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7A643F" w14:textId="77777777" w:rsidR="004F60DA" w:rsidRPr="00F6508F" w:rsidRDefault="004F60DA" w:rsidP="003A6CDA">
      <w:pPr>
        <w:suppressLineNumbers/>
        <w:shd w:val="clear" w:color="auto" w:fill="FFFFFF"/>
        <w:spacing w:after="0"/>
        <w:ind w:left="0"/>
        <w:jc w:val="both"/>
        <w:rPr>
          <w:rFonts w:eastAsia="Times New Roman" w:cs="Times New Roman"/>
          <w:color w:val="000000" w:themeColor="text1"/>
          <w:szCs w:val="24"/>
        </w:rPr>
      </w:pPr>
      <w:bookmarkStart w:id="0" w:name="_Hlk102686746"/>
      <w:bookmarkEnd w:id="0"/>
    </w:p>
    <w:p w14:paraId="6B7A6440" w14:textId="77777777" w:rsidR="004F60DA" w:rsidRPr="00F6508F" w:rsidRDefault="00447F55" w:rsidP="0090692E">
      <w:pPr>
        <w:suppressLineNumbers/>
        <w:shd w:val="clear" w:color="auto" w:fill="FFFFFF"/>
        <w:spacing w:after="0" w:line="276" w:lineRule="auto"/>
        <w:ind w:left="0"/>
        <w:jc w:val="center"/>
        <w:rPr>
          <w:rFonts w:eastAsia="Times New Roman" w:cs="Times New Roman"/>
          <w:b/>
          <w:color w:val="000000" w:themeColor="text1"/>
          <w:szCs w:val="24"/>
        </w:rPr>
      </w:pPr>
      <w:r w:rsidRPr="00F6508F">
        <w:rPr>
          <w:rFonts w:eastAsia="Times New Roman" w:cs="Times New Roman"/>
          <w:b/>
          <w:color w:val="000000" w:themeColor="text1"/>
          <w:szCs w:val="24"/>
        </w:rPr>
        <w:t>STATE OF GEORGIA</w:t>
      </w:r>
    </w:p>
    <w:p w14:paraId="6B7A6441" w14:textId="7EBBFD15" w:rsidR="004F60DA" w:rsidRPr="00F6508F" w:rsidRDefault="00447F55" w:rsidP="0090692E">
      <w:pPr>
        <w:suppressLineNumbers/>
        <w:shd w:val="clear" w:color="auto" w:fill="FFFFFF"/>
        <w:spacing w:after="0" w:line="276" w:lineRule="auto"/>
        <w:ind w:left="0"/>
        <w:jc w:val="center"/>
        <w:rPr>
          <w:rFonts w:eastAsia="Times New Roman" w:cs="Times New Roman"/>
          <w:b/>
          <w:color w:val="000000" w:themeColor="text1"/>
          <w:szCs w:val="24"/>
        </w:rPr>
      </w:pPr>
      <w:r w:rsidRPr="00F6508F">
        <w:rPr>
          <w:rFonts w:eastAsia="Times New Roman" w:cs="Times New Roman"/>
          <w:b/>
          <w:color w:val="000000" w:themeColor="text1"/>
          <w:szCs w:val="24"/>
        </w:rPr>
        <w:t>BEFORE THE</w:t>
      </w:r>
      <w:r w:rsidR="0090692E">
        <w:rPr>
          <w:rFonts w:eastAsia="Times New Roman" w:cs="Times New Roman"/>
          <w:b/>
          <w:color w:val="000000" w:themeColor="text1"/>
          <w:szCs w:val="24"/>
        </w:rPr>
        <w:br/>
      </w:r>
      <w:r w:rsidRPr="00F6508F">
        <w:rPr>
          <w:rFonts w:eastAsia="Times New Roman" w:cs="Times New Roman"/>
          <w:b/>
          <w:color w:val="000000" w:themeColor="text1"/>
          <w:szCs w:val="24"/>
        </w:rPr>
        <w:t xml:space="preserve"> GEORGIA PUBLIC SERVICE COMMISSION</w:t>
      </w:r>
    </w:p>
    <w:p w14:paraId="6B7A6444" w14:textId="77777777" w:rsidR="004F60DA" w:rsidRPr="00F6508F" w:rsidRDefault="004F60DA" w:rsidP="009B1D48">
      <w:pPr>
        <w:suppressLineNumbers/>
        <w:spacing w:after="0"/>
        <w:ind w:left="0"/>
        <w:jc w:val="center"/>
        <w:rPr>
          <w:rFonts w:eastAsia="Times New Roman" w:cs="Times New Roman"/>
          <w:b/>
          <w:color w:val="000000" w:themeColor="text1"/>
          <w:szCs w:val="24"/>
        </w:rPr>
      </w:pPr>
    </w:p>
    <w:tbl>
      <w:tblPr>
        <w:tblStyle w:val="TableGrid"/>
        <w:tblW w:w="873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10"/>
        <w:gridCol w:w="456"/>
        <w:gridCol w:w="3870"/>
      </w:tblGrid>
      <w:tr w:rsidR="0090692E" w14:paraId="6F9EB533" w14:textId="77777777" w:rsidTr="0090692E">
        <w:tc>
          <w:tcPr>
            <w:tcW w:w="4410" w:type="dxa"/>
          </w:tcPr>
          <w:p w14:paraId="1596B6EB" w14:textId="77777777" w:rsidR="0090692E" w:rsidRPr="00F6508F" w:rsidRDefault="0090692E" w:rsidP="0090692E">
            <w:pPr>
              <w:suppressLineNumbers/>
              <w:spacing w:after="0" w:line="240" w:lineRule="auto"/>
              <w:ind w:left="0"/>
              <w:rPr>
                <w:rFonts w:eastAsia="Times New Roman" w:cs="Times New Roman"/>
                <w:b/>
                <w:color w:val="000000" w:themeColor="text1"/>
                <w:szCs w:val="24"/>
              </w:rPr>
            </w:pPr>
            <w:r w:rsidRPr="00F6508F">
              <w:rPr>
                <w:rFonts w:eastAsia="Times New Roman" w:cs="Times New Roman"/>
                <w:b/>
                <w:color w:val="000000" w:themeColor="text1"/>
                <w:szCs w:val="24"/>
              </w:rPr>
              <w:t>In Re:</w:t>
            </w:r>
          </w:p>
          <w:p w14:paraId="191BFF5C" w14:textId="77777777" w:rsidR="0090692E" w:rsidRDefault="0090692E" w:rsidP="009B1D48">
            <w:pPr>
              <w:suppressLineNumbers/>
              <w:spacing w:after="0" w:line="240" w:lineRule="auto"/>
              <w:ind w:left="0"/>
              <w:rPr>
                <w:rFonts w:eastAsia="Times New Roman" w:cs="Times New Roman"/>
                <w:b/>
                <w:color w:val="000000" w:themeColor="text1"/>
                <w:szCs w:val="24"/>
              </w:rPr>
            </w:pPr>
          </w:p>
          <w:p w14:paraId="75EAA597" w14:textId="69310865" w:rsidR="0090692E" w:rsidRDefault="0090692E" w:rsidP="009B1D48">
            <w:pPr>
              <w:suppressLineNumbers/>
              <w:spacing w:after="0" w:line="240" w:lineRule="auto"/>
              <w:ind w:left="0"/>
              <w:rPr>
                <w:rFonts w:eastAsia="Times New Roman" w:cs="Times New Roman"/>
                <w:b/>
                <w:color w:val="000000" w:themeColor="text1"/>
                <w:szCs w:val="24"/>
              </w:rPr>
            </w:pPr>
            <w:r w:rsidRPr="00F6508F">
              <w:rPr>
                <w:rFonts w:eastAsia="Times New Roman" w:cs="Times New Roman"/>
                <w:b/>
                <w:color w:val="000000" w:themeColor="text1"/>
                <w:szCs w:val="24"/>
              </w:rPr>
              <w:t>Georgia Power Company’s</w:t>
            </w:r>
            <w:r>
              <w:rPr>
                <w:rFonts w:eastAsia="Times New Roman" w:cs="Times New Roman"/>
                <w:b/>
                <w:color w:val="000000" w:themeColor="text1"/>
                <w:szCs w:val="24"/>
              </w:rPr>
              <w:t xml:space="preserve"> </w:t>
            </w:r>
            <w:r w:rsidRPr="00F6508F">
              <w:rPr>
                <w:rFonts w:eastAsia="Times New Roman" w:cs="Times New Roman"/>
                <w:b/>
                <w:color w:val="000000" w:themeColor="text1"/>
                <w:szCs w:val="24"/>
              </w:rPr>
              <w:t>202</w:t>
            </w:r>
            <w:r>
              <w:rPr>
                <w:rFonts w:eastAsia="Times New Roman" w:cs="Times New Roman"/>
                <w:b/>
                <w:color w:val="000000" w:themeColor="text1"/>
                <w:szCs w:val="24"/>
              </w:rPr>
              <w:t>3</w:t>
            </w:r>
            <w:r w:rsidRPr="00F6508F">
              <w:rPr>
                <w:rFonts w:eastAsia="Times New Roman" w:cs="Times New Roman"/>
                <w:b/>
                <w:color w:val="000000" w:themeColor="text1"/>
                <w:szCs w:val="24"/>
              </w:rPr>
              <w:t xml:space="preserve"> Integrated Resource Plan</w:t>
            </w:r>
          </w:p>
        </w:tc>
        <w:tc>
          <w:tcPr>
            <w:tcW w:w="456" w:type="dxa"/>
          </w:tcPr>
          <w:p w14:paraId="388E31E2" w14:textId="77777777" w:rsidR="0090692E" w:rsidRPr="00F6508F" w:rsidRDefault="0090692E" w:rsidP="0090692E">
            <w:pPr>
              <w:suppressLineNumbers/>
              <w:spacing w:after="0" w:line="240" w:lineRule="auto"/>
              <w:ind w:left="0"/>
              <w:rPr>
                <w:rFonts w:eastAsia="Times New Roman" w:cs="Times New Roman"/>
                <w:b/>
                <w:color w:val="000000" w:themeColor="text1"/>
                <w:szCs w:val="24"/>
              </w:rPr>
            </w:pPr>
            <w:r w:rsidRPr="00F6508F">
              <w:rPr>
                <w:rFonts w:eastAsia="Times New Roman" w:cs="Times New Roman"/>
                <w:b/>
                <w:color w:val="000000" w:themeColor="text1"/>
                <w:szCs w:val="24"/>
              </w:rPr>
              <w:t>)</w:t>
            </w:r>
          </w:p>
          <w:p w14:paraId="0CC658A9" w14:textId="77777777" w:rsidR="0090692E" w:rsidRDefault="0090692E" w:rsidP="009B1D48">
            <w:pPr>
              <w:suppressLineNumbers/>
              <w:spacing w:after="0" w:line="240" w:lineRule="auto"/>
              <w:ind w:left="0"/>
              <w:rPr>
                <w:rFonts w:eastAsia="Times New Roman" w:cs="Times New Roman"/>
                <w:b/>
                <w:color w:val="000000" w:themeColor="text1"/>
                <w:szCs w:val="24"/>
              </w:rPr>
            </w:pPr>
            <w:r w:rsidRPr="00F6508F">
              <w:rPr>
                <w:rFonts w:eastAsia="Times New Roman" w:cs="Times New Roman"/>
                <w:b/>
                <w:color w:val="000000" w:themeColor="text1"/>
                <w:szCs w:val="24"/>
              </w:rPr>
              <w:t xml:space="preserve">) </w:t>
            </w:r>
          </w:p>
          <w:p w14:paraId="3C5BD9C3" w14:textId="77777777" w:rsidR="0090692E" w:rsidRDefault="0090692E" w:rsidP="009B1D48">
            <w:pPr>
              <w:suppressLineNumbers/>
              <w:spacing w:after="0" w:line="240" w:lineRule="auto"/>
              <w:ind w:left="0"/>
              <w:rPr>
                <w:rFonts w:eastAsia="Times New Roman" w:cs="Times New Roman"/>
                <w:b/>
                <w:color w:val="000000" w:themeColor="text1"/>
                <w:szCs w:val="24"/>
              </w:rPr>
            </w:pPr>
            <w:r w:rsidRPr="00F6508F">
              <w:rPr>
                <w:rFonts w:eastAsia="Times New Roman" w:cs="Times New Roman"/>
                <w:b/>
                <w:color w:val="000000" w:themeColor="text1"/>
                <w:szCs w:val="24"/>
              </w:rPr>
              <w:t>)</w:t>
            </w:r>
          </w:p>
          <w:p w14:paraId="45DF967A" w14:textId="2ABDD76C" w:rsidR="0090692E" w:rsidRDefault="0090692E" w:rsidP="009B1D48">
            <w:pPr>
              <w:suppressLineNumbers/>
              <w:spacing w:after="0" w:line="240" w:lineRule="auto"/>
              <w:ind w:left="0"/>
              <w:rPr>
                <w:rFonts w:eastAsia="Times New Roman" w:cs="Times New Roman"/>
                <w:b/>
                <w:color w:val="000000" w:themeColor="text1"/>
                <w:szCs w:val="24"/>
              </w:rPr>
            </w:pPr>
            <w:r>
              <w:rPr>
                <w:rFonts w:eastAsia="Times New Roman" w:cs="Times New Roman"/>
                <w:b/>
                <w:color w:val="000000" w:themeColor="text1"/>
                <w:szCs w:val="24"/>
              </w:rPr>
              <w:t>)</w:t>
            </w:r>
          </w:p>
        </w:tc>
        <w:tc>
          <w:tcPr>
            <w:tcW w:w="3870" w:type="dxa"/>
            <w:vAlign w:val="center"/>
          </w:tcPr>
          <w:p w14:paraId="2D9CB37E" w14:textId="6D3F3A5C" w:rsidR="0090692E" w:rsidRDefault="0090692E" w:rsidP="0090692E">
            <w:pPr>
              <w:suppressLineNumbers/>
              <w:spacing w:after="0" w:line="240" w:lineRule="auto"/>
              <w:ind w:left="0"/>
              <w:jc w:val="center"/>
              <w:rPr>
                <w:rFonts w:eastAsia="Times New Roman" w:cs="Times New Roman"/>
                <w:b/>
                <w:color w:val="000000" w:themeColor="text1"/>
                <w:szCs w:val="24"/>
              </w:rPr>
            </w:pPr>
            <w:r w:rsidRPr="00F6508F">
              <w:rPr>
                <w:rFonts w:eastAsia="Times New Roman" w:cs="Times New Roman"/>
                <w:b/>
                <w:color w:val="000000" w:themeColor="text1"/>
                <w:szCs w:val="24"/>
              </w:rPr>
              <w:t xml:space="preserve">DOCKET NO. </w:t>
            </w:r>
            <w:r>
              <w:rPr>
                <w:rFonts w:eastAsia="Times New Roman" w:cs="Times New Roman"/>
                <w:b/>
                <w:color w:val="000000" w:themeColor="text1"/>
                <w:szCs w:val="24"/>
              </w:rPr>
              <w:t>55378</w:t>
            </w:r>
          </w:p>
        </w:tc>
      </w:tr>
    </w:tbl>
    <w:p w14:paraId="6B7A6447" w14:textId="10B4CBEA" w:rsidR="004F60DA" w:rsidRPr="00F6508F" w:rsidRDefault="00447F55" w:rsidP="009B1D48">
      <w:pPr>
        <w:suppressLineNumbers/>
        <w:spacing w:after="0" w:line="240" w:lineRule="auto"/>
        <w:ind w:left="0"/>
        <w:rPr>
          <w:rFonts w:eastAsia="Times New Roman" w:cs="Times New Roman"/>
          <w:b/>
          <w:color w:val="000000" w:themeColor="text1"/>
          <w:szCs w:val="24"/>
        </w:rPr>
      </w:pPr>
      <w:r w:rsidRPr="00F6508F">
        <w:rPr>
          <w:rFonts w:eastAsia="Times New Roman" w:cs="Times New Roman"/>
          <w:b/>
          <w:color w:val="000000" w:themeColor="text1"/>
          <w:szCs w:val="24"/>
        </w:rPr>
        <w:tab/>
      </w:r>
      <w:r w:rsidRPr="00F6508F">
        <w:rPr>
          <w:rFonts w:eastAsia="Times New Roman" w:cs="Times New Roman"/>
          <w:b/>
          <w:color w:val="000000" w:themeColor="text1"/>
          <w:szCs w:val="24"/>
        </w:rPr>
        <w:tab/>
      </w:r>
      <w:r w:rsidRPr="00F6508F">
        <w:rPr>
          <w:rFonts w:eastAsia="Times New Roman" w:cs="Times New Roman"/>
          <w:b/>
          <w:color w:val="000000" w:themeColor="text1"/>
          <w:szCs w:val="24"/>
        </w:rPr>
        <w:tab/>
      </w:r>
    </w:p>
    <w:p w14:paraId="6B7A6448" w14:textId="115A122D" w:rsidR="004F60DA" w:rsidRPr="00F6508F" w:rsidRDefault="00447F55" w:rsidP="009B1D48">
      <w:pPr>
        <w:suppressLineNumbers/>
        <w:spacing w:after="0" w:line="240" w:lineRule="auto"/>
        <w:ind w:left="0"/>
        <w:rPr>
          <w:rFonts w:eastAsia="Times New Roman" w:cs="Times New Roman"/>
          <w:b/>
          <w:color w:val="000000" w:themeColor="text1"/>
          <w:szCs w:val="24"/>
        </w:rPr>
      </w:pPr>
      <w:r w:rsidRPr="00F6508F">
        <w:rPr>
          <w:rFonts w:eastAsia="Times New Roman" w:cs="Times New Roman"/>
          <w:b/>
          <w:color w:val="000000" w:themeColor="text1"/>
          <w:szCs w:val="24"/>
        </w:rPr>
        <w:tab/>
      </w:r>
      <w:r w:rsidRPr="00F6508F">
        <w:rPr>
          <w:rFonts w:eastAsia="Times New Roman" w:cs="Times New Roman"/>
          <w:b/>
          <w:color w:val="000000" w:themeColor="text1"/>
          <w:szCs w:val="24"/>
        </w:rPr>
        <w:tab/>
      </w:r>
    </w:p>
    <w:p w14:paraId="6B7A644B" w14:textId="7115ECB3" w:rsidR="004F60DA" w:rsidRPr="00F6508F" w:rsidRDefault="004F60DA" w:rsidP="009B1D48">
      <w:pPr>
        <w:suppressLineNumbers/>
        <w:spacing w:after="0"/>
        <w:ind w:left="0"/>
        <w:jc w:val="center"/>
        <w:rPr>
          <w:rFonts w:eastAsia="Times New Roman" w:cs="Times New Roman"/>
          <w:b/>
          <w:color w:val="000000" w:themeColor="text1"/>
          <w:szCs w:val="24"/>
        </w:rPr>
      </w:pPr>
    </w:p>
    <w:p w14:paraId="7126784D" w14:textId="77777777" w:rsidR="00CE7182" w:rsidRPr="00F6508F" w:rsidRDefault="00CE7182" w:rsidP="009B1D48">
      <w:pPr>
        <w:suppressLineNumbers/>
        <w:spacing w:after="0"/>
        <w:ind w:left="0"/>
        <w:jc w:val="center"/>
        <w:rPr>
          <w:rFonts w:eastAsia="Times New Roman" w:cs="Times New Roman"/>
          <w:b/>
          <w:color w:val="000000" w:themeColor="text1"/>
          <w:szCs w:val="24"/>
        </w:rPr>
      </w:pPr>
    </w:p>
    <w:p w14:paraId="6B7A644C" w14:textId="671CDD26" w:rsidR="004F60DA" w:rsidRPr="00F6508F" w:rsidRDefault="00447F55" w:rsidP="009B1D48">
      <w:pPr>
        <w:suppressLineNumbers/>
        <w:shd w:val="clear" w:color="auto" w:fill="FFFFFF"/>
        <w:spacing w:after="0" w:line="240" w:lineRule="auto"/>
        <w:ind w:left="0"/>
        <w:jc w:val="center"/>
        <w:rPr>
          <w:rFonts w:eastAsia="Times New Roman" w:cs="Times New Roman"/>
          <w:b/>
          <w:color w:val="000000" w:themeColor="text1"/>
          <w:sz w:val="28"/>
          <w:szCs w:val="28"/>
        </w:rPr>
      </w:pPr>
      <w:r w:rsidRPr="00F6508F">
        <w:rPr>
          <w:rFonts w:eastAsia="Times New Roman" w:cs="Times New Roman"/>
          <w:b/>
          <w:color w:val="000000" w:themeColor="text1"/>
          <w:sz w:val="28"/>
          <w:szCs w:val="28"/>
        </w:rPr>
        <w:t>DIRECT TESTIMONY OF</w:t>
      </w:r>
      <w:r w:rsidR="0090692E">
        <w:rPr>
          <w:rFonts w:eastAsia="Times New Roman" w:cs="Times New Roman"/>
          <w:b/>
          <w:color w:val="000000" w:themeColor="text1"/>
          <w:sz w:val="28"/>
          <w:szCs w:val="28"/>
        </w:rPr>
        <w:t xml:space="preserve"> ANJALI G. PATEL</w:t>
      </w:r>
    </w:p>
    <w:p w14:paraId="6B7A644D" w14:textId="37B00C6D" w:rsidR="004F60DA" w:rsidRPr="00F6508F" w:rsidRDefault="00447F55" w:rsidP="009B1D48">
      <w:pPr>
        <w:suppressLineNumbers/>
        <w:shd w:val="clear" w:color="auto" w:fill="FFFFFF"/>
        <w:spacing w:after="0" w:line="240" w:lineRule="auto"/>
        <w:ind w:left="0"/>
        <w:jc w:val="center"/>
        <w:rPr>
          <w:rFonts w:eastAsia="Times New Roman" w:cs="Times New Roman"/>
          <w:b/>
          <w:color w:val="000000" w:themeColor="text1"/>
          <w:sz w:val="28"/>
          <w:szCs w:val="28"/>
        </w:rPr>
      </w:pPr>
      <w:r w:rsidRPr="00F6508F">
        <w:rPr>
          <w:rFonts w:eastAsia="Times New Roman" w:cs="Times New Roman"/>
          <w:b/>
          <w:color w:val="000000" w:themeColor="text1"/>
          <w:sz w:val="28"/>
          <w:szCs w:val="28"/>
        </w:rPr>
        <w:t>ON BEHALF OF</w:t>
      </w:r>
    </w:p>
    <w:p w14:paraId="1598D631" w14:textId="77777777" w:rsidR="00E91B68" w:rsidRDefault="00447F55" w:rsidP="00E91B68">
      <w:pPr>
        <w:suppressLineNumbers/>
        <w:shd w:val="clear" w:color="auto" w:fill="FFFFFF"/>
        <w:spacing w:after="0" w:line="240" w:lineRule="auto"/>
        <w:ind w:left="0"/>
        <w:jc w:val="center"/>
        <w:rPr>
          <w:rFonts w:eastAsia="Times New Roman" w:cs="Times New Roman"/>
          <w:b/>
          <w:color w:val="000000" w:themeColor="text1"/>
          <w:sz w:val="28"/>
          <w:szCs w:val="28"/>
        </w:rPr>
      </w:pPr>
      <w:r w:rsidRPr="00F6508F">
        <w:rPr>
          <w:rFonts w:eastAsia="Times New Roman" w:cs="Times New Roman"/>
          <w:b/>
          <w:color w:val="000000" w:themeColor="text1"/>
          <w:sz w:val="28"/>
          <w:szCs w:val="28"/>
        </w:rPr>
        <w:t xml:space="preserve">SOUTHERN ALLIANCE FOR CLEAN ENERGY </w:t>
      </w:r>
    </w:p>
    <w:p w14:paraId="5FC5FD0D" w14:textId="77777777" w:rsidR="00E91B68" w:rsidRDefault="00E91B68" w:rsidP="00E91B68">
      <w:pPr>
        <w:suppressLineNumbers/>
        <w:shd w:val="clear" w:color="auto" w:fill="FFFFFF"/>
        <w:spacing w:after="0" w:line="240" w:lineRule="auto"/>
        <w:ind w:left="0"/>
        <w:jc w:val="center"/>
        <w:rPr>
          <w:rFonts w:eastAsia="Times New Roman" w:cs="Times New Roman"/>
          <w:b/>
          <w:color w:val="000000" w:themeColor="text1"/>
          <w:sz w:val="28"/>
          <w:szCs w:val="28"/>
        </w:rPr>
      </w:pPr>
    </w:p>
    <w:p w14:paraId="43D05DEE" w14:textId="77777777" w:rsidR="00E91B68" w:rsidRDefault="00E91B68" w:rsidP="00E91B68">
      <w:pPr>
        <w:suppressLineNumbers/>
        <w:shd w:val="clear" w:color="auto" w:fill="FFFFFF"/>
        <w:spacing w:after="0" w:line="240" w:lineRule="auto"/>
        <w:ind w:left="0"/>
        <w:jc w:val="center"/>
        <w:rPr>
          <w:rFonts w:eastAsia="Times New Roman" w:cs="Times New Roman"/>
          <w:b/>
          <w:color w:val="000000" w:themeColor="text1"/>
          <w:sz w:val="28"/>
          <w:szCs w:val="28"/>
        </w:rPr>
      </w:pPr>
    </w:p>
    <w:p w14:paraId="6B7A6450" w14:textId="77777777" w:rsidR="004F60DA" w:rsidRPr="00F6508F" w:rsidRDefault="004F60DA" w:rsidP="009B1D48">
      <w:pPr>
        <w:suppressLineNumbers/>
        <w:shd w:val="clear" w:color="auto" w:fill="FFFFFF"/>
        <w:spacing w:after="0"/>
        <w:ind w:left="0"/>
        <w:jc w:val="center"/>
        <w:rPr>
          <w:rFonts w:eastAsia="Times New Roman" w:cs="Times New Roman"/>
          <w:b/>
          <w:color w:val="000000" w:themeColor="text1"/>
          <w:sz w:val="28"/>
          <w:szCs w:val="28"/>
        </w:rPr>
      </w:pPr>
    </w:p>
    <w:p w14:paraId="42734EA0" w14:textId="59E08831" w:rsidR="00123E76" w:rsidRPr="00F6508F" w:rsidRDefault="0090692E" w:rsidP="009B1D48">
      <w:pPr>
        <w:suppressLineNumbers/>
        <w:shd w:val="clear" w:color="auto" w:fill="FFFFFF"/>
        <w:spacing w:after="0"/>
        <w:ind w:left="0"/>
        <w:jc w:val="center"/>
        <w:rPr>
          <w:rFonts w:eastAsia="Times New Roman" w:cs="Times New Roman"/>
          <w:b/>
          <w:color w:val="000000" w:themeColor="text1"/>
          <w:szCs w:val="24"/>
        </w:rPr>
      </w:pPr>
      <w:r>
        <w:rPr>
          <w:rFonts w:eastAsia="Times New Roman" w:cs="Times New Roman"/>
          <w:b/>
          <w:color w:val="000000" w:themeColor="text1"/>
          <w:sz w:val="28"/>
          <w:szCs w:val="28"/>
        </w:rPr>
        <w:t>FEBRUARY 15</w:t>
      </w:r>
      <w:r w:rsidR="00447F55" w:rsidRPr="00F6508F">
        <w:rPr>
          <w:rFonts w:eastAsia="Times New Roman" w:cs="Times New Roman"/>
          <w:b/>
          <w:color w:val="000000" w:themeColor="text1"/>
          <w:sz w:val="28"/>
          <w:szCs w:val="28"/>
        </w:rPr>
        <w:t>, 202</w:t>
      </w:r>
      <w:r>
        <w:rPr>
          <w:rFonts w:eastAsia="Times New Roman" w:cs="Times New Roman"/>
          <w:b/>
          <w:color w:val="000000" w:themeColor="text1"/>
          <w:sz w:val="28"/>
          <w:szCs w:val="28"/>
        </w:rPr>
        <w:t>4</w:t>
      </w:r>
      <w:r w:rsidR="00123E76" w:rsidRPr="00F6508F">
        <w:rPr>
          <w:rFonts w:eastAsia="Times New Roman" w:cs="Times New Roman"/>
          <w:b/>
          <w:color w:val="000000" w:themeColor="text1"/>
          <w:szCs w:val="24"/>
        </w:rPr>
        <w:br w:type="page"/>
      </w:r>
    </w:p>
    <w:p w14:paraId="577B6809" w14:textId="77777777" w:rsidR="0090692E" w:rsidRDefault="0090692E" w:rsidP="00086584">
      <w:pPr>
        <w:pBdr>
          <w:top w:val="nil"/>
          <w:left w:val="nil"/>
          <w:bottom w:val="nil"/>
          <w:right w:val="nil"/>
          <w:between w:val="nil"/>
        </w:pBdr>
        <w:spacing w:after="0"/>
        <w:ind w:hanging="720"/>
        <w:jc w:val="both"/>
        <w:rPr>
          <w:rFonts w:eastAsia="Times New Roman" w:cs="Times New Roman"/>
          <w:b/>
          <w:color w:val="000000" w:themeColor="text1"/>
          <w:szCs w:val="24"/>
        </w:rPr>
        <w:sectPr w:rsidR="0090692E" w:rsidSect="00F42306">
          <w:headerReference w:type="default" r:id="rId8"/>
          <w:footerReference w:type="default" r:id="rId9"/>
          <w:headerReference w:type="first" r:id="rId10"/>
          <w:footerReference w:type="first" r:id="rId11"/>
          <w:type w:val="continuous"/>
          <w:pgSz w:w="12240" w:h="15840"/>
          <w:pgMar w:top="1440" w:right="1440" w:bottom="1440" w:left="1440" w:header="576" w:footer="432" w:gutter="0"/>
          <w:lnNumType w:countBy="1"/>
          <w:cols w:space="720"/>
          <w:docGrid w:linePitch="326"/>
        </w:sectPr>
      </w:pPr>
    </w:p>
    <w:p w14:paraId="6B7A645D" w14:textId="360B6B3A" w:rsidR="004F60DA" w:rsidRPr="00F6508F" w:rsidRDefault="00133A6E" w:rsidP="008369E6">
      <w:pPr>
        <w:pStyle w:val="Heading1"/>
      </w:pPr>
      <w:r w:rsidRPr="00F6508F">
        <w:lastRenderedPageBreak/>
        <w:t>INTRODUCTION</w:t>
      </w:r>
    </w:p>
    <w:p w14:paraId="6B7A6461" w14:textId="3CB99E6D" w:rsidR="004F60DA" w:rsidRPr="00F6508F" w:rsidRDefault="00447F55" w:rsidP="004F2259">
      <w:pPr>
        <w:pStyle w:val="Question"/>
        <w:rPr>
          <w:smallCaps/>
        </w:rPr>
      </w:pPr>
      <w:r w:rsidRPr="00F6508F">
        <w:rPr>
          <w:smallCaps/>
        </w:rPr>
        <w:t>Q</w:t>
      </w:r>
      <w:r w:rsidR="00FD0BAA">
        <w:rPr>
          <w:smallCaps/>
        </w:rPr>
        <w:t>.</w:t>
      </w:r>
      <w:r w:rsidR="00086584" w:rsidRPr="00F6508F">
        <w:rPr>
          <w:smallCaps/>
        </w:rPr>
        <w:tab/>
      </w:r>
      <w:r w:rsidRPr="004F2259">
        <w:t>PLEASE</w:t>
      </w:r>
      <w:r w:rsidRPr="00F6508F">
        <w:rPr>
          <w:smallCaps/>
        </w:rPr>
        <w:t xml:space="preserve"> </w:t>
      </w:r>
      <w:r w:rsidRPr="00F6508F">
        <w:t>STATE YOUR NAME, POSITION</w:t>
      </w:r>
      <w:r w:rsidR="00133A6E" w:rsidRPr="00F6508F">
        <w:t>,</w:t>
      </w:r>
      <w:r w:rsidRPr="00F6508F">
        <w:t xml:space="preserve"> AND BUSINESS ADDRESS</w:t>
      </w:r>
      <w:r w:rsidRPr="00F6508F">
        <w:rPr>
          <w:smallCaps/>
        </w:rPr>
        <w:t xml:space="preserve">. </w:t>
      </w:r>
    </w:p>
    <w:p w14:paraId="6B7A6463" w14:textId="1ED54ABE" w:rsidR="004F60DA" w:rsidRPr="00F6508F" w:rsidRDefault="00447F55" w:rsidP="00794BC9">
      <w:pPr>
        <w:pStyle w:val="Answer"/>
      </w:pPr>
      <w:r w:rsidRPr="00F6508F">
        <w:t>A</w:t>
      </w:r>
      <w:r w:rsidR="00FD0BAA">
        <w:t>.</w:t>
      </w:r>
      <w:r w:rsidRPr="00F6508F">
        <w:tab/>
        <w:t xml:space="preserve">My name is </w:t>
      </w:r>
      <w:r w:rsidR="0090692E">
        <w:t>Anjali G. Patel</w:t>
      </w:r>
      <w:r w:rsidR="00E40219">
        <w:t>, and</w:t>
      </w:r>
      <w:r w:rsidRPr="00F6508F">
        <w:t xml:space="preserve"> I am </w:t>
      </w:r>
      <w:r w:rsidR="0090692E">
        <w:t>the Vice President for Clean Energy with David Gardiner and Associates</w:t>
      </w:r>
      <w:r w:rsidR="00F73989">
        <w:t xml:space="preserve"> (DGA)</w:t>
      </w:r>
      <w:r w:rsidR="0090692E">
        <w:t xml:space="preserve">. Our firm is focused on helping our clients develop strategic solutions to address the climate crisis and accelerate decarbonization </w:t>
      </w:r>
      <w:r w:rsidR="003501F1">
        <w:t>in</w:t>
      </w:r>
      <w:r w:rsidR="0090692E">
        <w:t xml:space="preserve"> the sectors principally responsible for emitting greenhouse gasses.  </w:t>
      </w:r>
      <w:r w:rsidR="00D348A0">
        <w:t xml:space="preserve">We </w:t>
      </w:r>
      <w:r w:rsidR="003501F1">
        <w:t>support a wide range of public and private clients and multistakeholder organizations.</w:t>
      </w:r>
      <w:r w:rsidRPr="00F6508F">
        <w:t xml:space="preserve"> My business address is </w:t>
      </w:r>
      <w:r w:rsidR="00E45293">
        <w:t>3100 Clarendon Ave. Arlington, VA</w:t>
      </w:r>
      <w:r w:rsidRPr="00F6508F">
        <w:t xml:space="preserve">, </w:t>
      </w:r>
      <w:r w:rsidR="00E45293">
        <w:t>22201</w:t>
      </w:r>
      <w:r w:rsidRPr="00F6508F">
        <w:t>.</w:t>
      </w:r>
    </w:p>
    <w:p w14:paraId="6B7A6464" w14:textId="3422225B" w:rsidR="004F60DA" w:rsidRPr="00F6508F" w:rsidRDefault="00447F55" w:rsidP="00086584">
      <w:pPr>
        <w:pStyle w:val="Question"/>
        <w:jc w:val="both"/>
        <w:rPr>
          <w:color w:val="000000" w:themeColor="text1"/>
        </w:rPr>
      </w:pPr>
      <w:r w:rsidRPr="00F6508F">
        <w:rPr>
          <w:smallCaps/>
          <w:color w:val="000000" w:themeColor="text1"/>
        </w:rPr>
        <w:t>Q</w:t>
      </w:r>
      <w:r w:rsidR="00FD0BAA">
        <w:rPr>
          <w:smallCaps/>
          <w:color w:val="000000" w:themeColor="text1"/>
        </w:rPr>
        <w:t>.</w:t>
      </w:r>
      <w:r w:rsidRPr="00F6508F">
        <w:rPr>
          <w:smallCaps/>
          <w:color w:val="000000" w:themeColor="text1"/>
        </w:rPr>
        <w:tab/>
      </w:r>
      <w:r w:rsidRPr="00F6508F">
        <w:rPr>
          <w:color w:val="000000" w:themeColor="text1"/>
        </w:rPr>
        <w:t>ON WHOSE BEHALF ARE YOU TESTIFYING IN THIS PROCEEDING?</w:t>
      </w:r>
    </w:p>
    <w:p w14:paraId="6B7A6467" w14:textId="5BC6059F" w:rsidR="004F60DA" w:rsidRPr="00F6508F" w:rsidRDefault="00447F55" w:rsidP="00794BC9">
      <w:pPr>
        <w:pStyle w:val="Answer"/>
      </w:pPr>
      <w:r w:rsidRPr="00F6508F">
        <w:t>A</w:t>
      </w:r>
      <w:r w:rsidR="00FD0BAA">
        <w:t>.</w:t>
      </w:r>
      <w:r w:rsidRPr="00F6508F">
        <w:tab/>
        <w:t>I am testifying on behalf of Southern Alliance for Clean Energy (“SACE”).</w:t>
      </w:r>
    </w:p>
    <w:p w14:paraId="6B7A6468" w14:textId="215C41A3" w:rsidR="004F60DA" w:rsidRPr="00F6508F" w:rsidRDefault="00447F55" w:rsidP="00086584">
      <w:pPr>
        <w:pStyle w:val="Question"/>
        <w:jc w:val="both"/>
        <w:rPr>
          <w:smallCaps/>
          <w:color w:val="000000" w:themeColor="text1"/>
        </w:rPr>
      </w:pPr>
      <w:r w:rsidRPr="00F6508F">
        <w:rPr>
          <w:smallCaps/>
          <w:color w:val="000000" w:themeColor="text1"/>
        </w:rPr>
        <w:t>Q</w:t>
      </w:r>
      <w:r w:rsidR="00FD0BAA">
        <w:rPr>
          <w:smallCaps/>
          <w:color w:val="000000" w:themeColor="text1"/>
        </w:rPr>
        <w:t>.</w:t>
      </w:r>
      <w:r w:rsidRPr="00F6508F">
        <w:rPr>
          <w:smallCaps/>
          <w:color w:val="000000" w:themeColor="text1"/>
        </w:rPr>
        <w:tab/>
      </w:r>
      <w:r w:rsidRPr="00F6508F">
        <w:rPr>
          <w:color w:val="000000" w:themeColor="text1"/>
        </w:rPr>
        <w:t xml:space="preserve">PLEASE SUMMARIZE YOUR </w:t>
      </w:r>
      <w:r w:rsidR="000C6F89">
        <w:rPr>
          <w:color w:val="000000" w:themeColor="text1"/>
        </w:rPr>
        <w:t xml:space="preserve">relevant </w:t>
      </w:r>
      <w:r w:rsidRPr="00F6508F">
        <w:rPr>
          <w:color w:val="000000" w:themeColor="text1"/>
        </w:rPr>
        <w:t>WORK EXPERIENCE</w:t>
      </w:r>
      <w:r w:rsidR="00515D10">
        <w:rPr>
          <w:color w:val="000000" w:themeColor="text1"/>
        </w:rPr>
        <w:t xml:space="preserve"> and education</w:t>
      </w:r>
      <w:r w:rsidRPr="00F6508F">
        <w:rPr>
          <w:color w:val="000000" w:themeColor="text1"/>
        </w:rPr>
        <w:t>.</w:t>
      </w:r>
    </w:p>
    <w:p w14:paraId="35C1744A" w14:textId="26FF1F76" w:rsidR="00794BC9" w:rsidRDefault="00447F55" w:rsidP="00794BC9">
      <w:pPr>
        <w:pStyle w:val="Answer"/>
      </w:pPr>
      <w:r w:rsidRPr="00F6508F">
        <w:t>A</w:t>
      </w:r>
      <w:r w:rsidR="00FD0BAA">
        <w:t>.</w:t>
      </w:r>
      <w:r w:rsidRPr="00F6508F">
        <w:rPr>
          <w:b/>
        </w:rPr>
        <w:tab/>
      </w:r>
      <w:r w:rsidR="0082577A">
        <w:t>In my current position</w:t>
      </w:r>
      <w:r w:rsidR="00794BC9">
        <w:t xml:space="preserve">, </w:t>
      </w:r>
      <w:r w:rsidR="0082577A">
        <w:t>I provide</w:t>
      </w:r>
      <w:r w:rsidR="006A5BC5">
        <w:t xml:space="preserve"> expert</w:t>
      </w:r>
      <w:r w:rsidR="0082577A">
        <w:t xml:space="preserve"> </w:t>
      </w:r>
      <w:r w:rsidR="006A5BC5">
        <w:t xml:space="preserve">advice on policies needed </w:t>
      </w:r>
      <w:r w:rsidR="00AC114B">
        <w:t xml:space="preserve">to </w:t>
      </w:r>
      <w:r w:rsidR="006A5BC5">
        <w:t xml:space="preserve">support equitable and cost-effective </w:t>
      </w:r>
      <w:r w:rsidR="00246F3C">
        <w:t>electric transmission</w:t>
      </w:r>
      <w:r w:rsidR="00AC114B">
        <w:t xml:space="preserve"> </w:t>
      </w:r>
      <w:r w:rsidR="006A5BC5">
        <w:t>expansion and modernization</w:t>
      </w:r>
      <w:r w:rsidR="004F2259">
        <w:t>, to advance</w:t>
      </w:r>
      <w:r w:rsidR="006A5BC5">
        <w:t xml:space="preserve"> </w:t>
      </w:r>
      <w:r w:rsidR="00246F3C">
        <w:t xml:space="preserve">transportation and building sector </w:t>
      </w:r>
      <w:r w:rsidR="006A5BC5">
        <w:t>decarboniz</w:t>
      </w:r>
      <w:r w:rsidR="00246F3C">
        <w:t>ation</w:t>
      </w:r>
      <w:r w:rsidR="004F2259">
        <w:t>,</w:t>
      </w:r>
      <w:r w:rsidR="00AC114B">
        <w:t xml:space="preserve"> and to increase access to decarbonized energy sources</w:t>
      </w:r>
      <w:r w:rsidR="006A5BC5">
        <w:t xml:space="preserve">. I also provide organizational management support to certain of our non-profit clients.  </w:t>
      </w:r>
    </w:p>
    <w:p w14:paraId="595F57A1" w14:textId="5B56560E" w:rsidR="00B00B99" w:rsidRDefault="00F73989" w:rsidP="00794BC9">
      <w:pPr>
        <w:pStyle w:val="Answer"/>
        <w:ind w:firstLine="0"/>
      </w:pPr>
      <w:r>
        <w:t xml:space="preserve">Prior to joining DGA, </w:t>
      </w:r>
      <w:r w:rsidR="00F2362B">
        <w:t>I served as the Litigation Supervisor and a Senior Assistant People’s Counsel at the District of Columbia Office of the People’s Counsel (DC OPC).  DC OPC is the statutorily designated utility ratepayer advocate for the District of Columbia.  In that role, I practice</w:t>
      </w:r>
      <w:r w:rsidR="006A5BC5">
        <w:t>d</w:t>
      </w:r>
      <w:r w:rsidR="00F2362B">
        <w:t xml:space="preserve"> before FERC, PJM, and the District of Columbia </w:t>
      </w:r>
      <w:r w:rsidR="00F2362B">
        <w:lastRenderedPageBreak/>
        <w:t>Public Service Commissio</w:t>
      </w:r>
      <w:r w:rsidR="006A5BC5">
        <w:t>n and supervised the dockets of junior attorneys</w:t>
      </w:r>
      <w:r w:rsidR="00F2362B">
        <w:t xml:space="preserve">.  </w:t>
      </w:r>
      <w:r w:rsidR="006A5BC5">
        <w:t xml:space="preserve">My portfolio addressed both wholesale and distribution issues, and included electric transmission and distribution rate cases, gas and electric infrastructure </w:t>
      </w:r>
      <w:r w:rsidR="006C5814">
        <w:t>proceedings</w:t>
      </w:r>
      <w:r w:rsidR="006A5BC5">
        <w:t xml:space="preserve">, </w:t>
      </w:r>
      <w:r w:rsidR="006C5814">
        <w:t xml:space="preserve">and </w:t>
      </w:r>
      <w:r w:rsidR="006A5BC5">
        <w:t>regional market</w:t>
      </w:r>
      <w:r w:rsidR="006C5814">
        <w:t>,</w:t>
      </w:r>
      <w:r w:rsidR="006A5BC5">
        <w:t xml:space="preserve"> </w:t>
      </w:r>
      <w:r w:rsidR="006C5814">
        <w:t>resource adequacy</w:t>
      </w:r>
      <w:r w:rsidR="006A5BC5">
        <w:t>,</w:t>
      </w:r>
      <w:r w:rsidR="00F2362B">
        <w:t xml:space="preserve"> </w:t>
      </w:r>
      <w:r w:rsidR="006A5BC5">
        <w:t xml:space="preserve">and </w:t>
      </w:r>
      <w:r w:rsidR="00F2362B">
        <w:t>grid modernization</w:t>
      </w:r>
      <w:r w:rsidR="006A5BC5">
        <w:t xml:space="preserve"> policies.</w:t>
      </w:r>
      <w:r w:rsidR="00246F3C">
        <w:t xml:space="preserve"> </w:t>
      </w:r>
      <w:r w:rsidR="006A5BC5">
        <w:t xml:space="preserve">Between 2010 and 2018, I </w:t>
      </w:r>
      <w:r w:rsidR="004F2259">
        <w:t>practiced law as</w:t>
      </w:r>
      <w:r w:rsidR="00246F3C">
        <w:t xml:space="preserve"> an Associate at Spiegel &amp; McDiarmid where I </w:t>
      </w:r>
      <w:r w:rsidR="00515D10">
        <w:t>represented public oriented clients on matters concerning regulated industries</w:t>
      </w:r>
      <w:r w:rsidR="006A5BC5">
        <w:t xml:space="preserve">. </w:t>
      </w:r>
      <w:r w:rsidR="00515D10">
        <w:t>During this time</w:t>
      </w:r>
      <w:r w:rsidR="00246F3C">
        <w:t>,</w:t>
      </w:r>
      <w:r w:rsidR="006A5BC5">
        <w:t xml:space="preserve"> I</w:t>
      </w:r>
      <w:r w:rsidR="00515D10">
        <w:t xml:space="preserve"> practiced before appellate courts, FERC, and state PSCs providing both transactional and litigation services to clients in the areas of energy, telecom, and transportation.  My energy portfolio included </w:t>
      </w:r>
      <w:r w:rsidR="006A5BC5">
        <w:t xml:space="preserve">transmission </w:t>
      </w:r>
      <w:r w:rsidR="00515D10">
        <w:t xml:space="preserve">and distribution </w:t>
      </w:r>
      <w:r w:rsidR="006A5BC5">
        <w:t xml:space="preserve">rate cases, </w:t>
      </w:r>
      <w:r w:rsidR="00515D10">
        <w:t xml:space="preserve">FERC rulemakings, environmental regulations, and regional energy and capacity </w:t>
      </w:r>
      <w:r w:rsidR="006A5BC5">
        <w:t>market rules</w:t>
      </w:r>
      <w:r w:rsidR="00515D10">
        <w:t>.</w:t>
      </w:r>
      <w:r w:rsidR="00794BC9">
        <w:t xml:space="preserve"> </w:t>
      </w:r>
      <w:r w:rsidR="00515D10">
        <w:t xml:space="preserve">Prior to working at Spiegel &amp; McDiarmid, I completed a fellowship with the Great Lakes Public Service Commission </w:t>
      </w:r>
      <w:r w:rsidR="000C6F89">
        <w:t>where one of my main projects was supporting the Great Lakes Wind Collaborative, a multistakeholder organization aimed at developing wind energy in the Great Lakes region</w:t>
      </w:r>
      <w:r w:rsidR="00B00B99">
        <w:t xml:space="preserve">. </w:t>
      </w:r>
    </w:p>
    <w:p w14:paraId="2029CF2A" w14:textId="1EC3D216" w:rsidR="000C6F89" w:rsidRPr="00F6508F" w:rsidRDefault="000C6F89" w:rsidP="00794BC9">
      <w:pPr>
        <w:pStyle w:val="Answer"/>
        <w:ind w:firstLine="0"/>
      </w:pPr>
      <w:r>
        <w:t>I earned my J.D. from the University of Michigan, M.S. in Environmental Policy from Drexel University, and B.A. in Biology and Environmental Studies from Case Western Reservice University.</w:t>
      </w:r>
    </w:p>
    <w:p w14:paraId="6B7A6473" w14:textId="08CB8232" w:rsidR="004F60DA" w:rsidRPr="00F6508F" w:rsidRDefault="00447F55" w:rsidP="00794BC9">
      <w:pPr>
        <w:pStyle w:val="Question"/>
        <w:rPr>
          <w:smallCaps/>
        </w:rPr>
      </w:pPr>
      <w:r w:rsidRPr="00F6508F">
        <w:rPr>
          <w:smallCaps/>
        </w:rPr>
        <w:t>Q</w:t>
      </w:r>
      <w:r w:rsidR="00FD0BAA">
        <w:rPr>
          <w:smallCaps/>
        </w:rPr>
        <w:t>.</w:t>
      </w:r>
      <w:r w:rsidRPr="00F6508F">
        <w:rPr>
          <w:smallCaps/>
        </w:rPr>
        <w:tab/>
      </w:r>
      <w:r w:rsidRPr="00F6508F">
        <w:t>HAVE YOU PREVIOUSLY TESTIFIED BEFORE THE GEORGIA PUBLIC SERVICE COMMISSION (“GPSC” OR “THE COMMISSION”)?</w:t>
      </w:r>
    </w:p>
    <w:p w14:paraId="765384BA" w14:textId="27A7EAFD" w:rsidR="008E5E5A" w:rsidRPr="00F6508F" w:rsidRDefault="00447F55" w:rsidP="00E40219">
      <w:pPr>
        <w:pStyle w:val="Answer"/>
        <w:spacing w:before="0" w:after="0"/>
        <w:jc w:val="both"/>
        <w:rPr>
          <w:color w:val="000000" w:themeColor="text1"/>
        </w:rPr>
      </w:pPr>
      <w:r w:rsidRPr="00F6508F">
        <w:rPr>
          <w:color w:val="000000" w:themeColor="text1"/>
        </w:rPr>
        <w:t>A</w:t>
      </w:r>
      <w:r w:rsidR="00FD0BAA">
        <w:rPr>
          <w:color w:val="000000" w:themeColor="text1"/>
        </w:rPr>
        <w:t>.</w:t>
      </w:r>
      <w:r w:rsidRPr="00F6508F">
        <w:rPr>
          <w:color w:val="000000" w:themeColor="text1"/>
        </w:rPr>
        <w:tab/>
      </w:r>
      <w:r w:rsidR="00E40219">
        <w:rPr>
          <w:color w:val="000000" w:themeColor="text1"/>
        </w:rPr>
        <w:t>No.</w:t>
      </w:r>
    </w:p>
    <w:p w14:paraId="6B7A6476" w14:textId="53A72A5F" w:rsidR="004F60DA" w:rsidRPr="00F6508F" w:rsidRDefault="00447F55" w:rsidP="00086584">
      <w:pPr>
        <w:pStyle w:val="Question"/>
        <w:jc w:val="both"/>
        <w:rPr>
          <w:color w:val="000000" w:themeColor="text1"/>
        </w:rPr>
      </w:pPr>
      <w:bookmarkStart w:id="1" w:name="_30j0zll" w:colFirst="0" w:colLast="0"/>
      <w:bookmarkEnd w:id="1"/>
      <w:r w:rsidRPr="00F6508F">
        <w:rPr>
          <w:color w:val="000000" w:themeColor="text1"/>
        </w:rPr>
        <w:t>Q</w:t>
      </w:r>
      <w:r w:rsidR="00FD0BAA">
        <w:rPr>
          <w:color w:val="000000" w:themeColor="text1"/>
        </w:rPr>
        <w:t>.</w:t>
      </w:r>
      <w:r w:rsidRPr="00F6508F">
        <w:rPr>
          <w:color w:val="000000" w:themeColor="text1"/>
        </w:rPr>
        <w:tab/>
        <w:t>WHAT IS THE PURPOSE OF YOUR TESTIMONY?</w:t>
      </w:r>
    </w:p>
    <w:p w14:paraId="6B7A6478" w14:textId="01B72CE6" w:rsidR="004F60DA" w:rsidRDefault="00447F55" w:rsidP="00E40219">
      <w:pPr>
        <w:pStyle w:val="Answer"/>
        <w:spacing w:before="0" w:after="0"/>
        <w:jc w:val="both"/>
        <w:rPr>
          <w:color w:val="000000" w:themeColor="text1"/>
        </w:rPr>
      </w:pPr>
      <w:r w:rsidRPr="00F6508F">
        <w:rPr>
          <w:bCs/>
          <w:color w:val="000000" w:themeColor="text1"/>
        </w:rPr>
        <w:t>A</w:t>
      </w:r>
      <w:r w:rsidR="00FD0BAA">
        <w:rPr>
          <w:bCs/>
          <w:color w:val="000000" w:themeColor="text1"/>
        </w:rPr>
        <w:t>.</w:t>
      </w:r>
      <w:r w:rsidRPr="00F6508F">
        <w:rPr>
          <w:b/>
          <w:color w:val="000000" w:themeColor="text1"/>
        </w:rPr>
        <w:tab/>
      </w:r>
      <w:r w:rsidRPr="00F6508F">
        <w:rPr>
          <w:color w:val="000000" w:themeColor="text1"/>
        </w:rPr>
        <w:t xml:space="preserve">I was asked by SACE to review the Georgia Power Company’s (“Georgia Power” or </w:t>
      </w:r>
      <w:r w:rsidR="003B64DA">
        <w:rPr>
          <w:color w:val="000000" w:themeColor="text1"/>
        </w:rPr>
        <w:t>t</w:t>
      </w:r>
      <w:r w:rsidRPr="00F6508F">
        <w:rPr>
          <w:color w:val="000000" w:themeColor="text1"/>
        </w:rPr>
        <w:t xml:space="preserve">he </w:t>
      </w:r>
      <w:r w:rsidR="003B64DA">
        <w:rPr>
          <w:color w:val="000000" w:themeColor="text1"/>
        </w:rPr>
        <w:t>“</w:t>
      </w:r>
      <w:r w:rsidRPr="00F6508F">
        <w:rPr>
          <w:color w:val="000000" w:themeColor="text1"/>
        </w:rPr>
        <w:t xml:space="preserve">Company”) </w:t>
      </w:r>
      <w:r w:rsidR="00BA2998">
        <w:rPr>
          <w:color w:val="000000" w:themeColor="text1"/>
        </w:rPr>
        <w:t>202</w:t>
      </w:r>
      <w:r w:rsidR="00E40219">
        <w:rPr>
          <w:color w:val="000000" w:themeColor="text1"/>
        </w:rPr>
        <w:t xml:space="preserve">3 Update to its </w:t>
      </w:r>
      <w:r w:rsidRPr="00F6508F">
        <w:rPr>
          <w:color w:val="000000" w:themeColor="text1"/>
        </w:rPr>
        <w:t>Integrated Resource Plan (“IRP</w:t>
      </w:r>
      <w:r w:rsidR="003B64DA">
        <w:rPr>
          <w:color w:val="000000" w:themeColor="text1"/>
        </w:rPr>
        <w:t xml:space="preserve"> Update</w:t>
      </w:r>
      <w:r w:rsidRPr="00F6508F">
        <w:rPr>
          <w:color w:val="000000" w:themeColor="text1"/>
        </w:rPr>
        <w:t xml:space="preserve">”) and offer </w:t>
      </w:r>
      <w:r w:rsidR="000C6F89">
        <w:rPr>
          <w:color w:val="000000" w:themeColor="text1"/>
        </w:rPr>
        <w:t xml:space="preserve">policy </w:t>
      </w:r>
      <w:r w:rsidRPr="00F6508F">
        <w:rPr>
          <w:color w:val="000000" w:themeColor="text1"/>
        </w:rPr>
        <w:lastRenderedPageBreak/>
        <w:t>recommendations to the Commission</w:t>
      </w:r>
      <w:r w:rsidR="00E40219">
        <w:rPr>
          <w:color w:val="000000" w:themeColor="text1"/>
        </w:rPr>
        <w:t xml:space="preserve"> on improvements that would benefit customers</w:t>
      </w:r>
      <w:r w:rsidR="000C6F89">
        <w:rPr>
          <w:color w:val="000000" w:themeColor="text1"/>
        </w:rPr>
        <w:t xml:space="preserve">. In particular, my testimony concerns the role of transmission in ensuring capacity sufficiency and </w:t>
      </w:r>
      <w:r w:rsidR="008B5126">
        <w:rPr>
          <w:color w:val="000000" w:themeColor="text1"/>
        </w:rPr>
        <w:t>the IRP Update</w:t>
      </w:r>
      <w:r w:rsidR="00E91E89">
        <w:rPr>
          <w:color w:val="000000" w:themeColor="text1"/>
        </w:rPr>
        <w:t xml:space="preserve">’s </w:t>
      </w:r>
      <w:r w:rsidR="008B5126">
        <w:rPr>
          <w:color w:val="000000" w:themeColor="text1"/>
        </w:rPr>
        <w:t xml:space="preserve">failure to consider </w:t>
      </w:r>
      <w:r w:rsidR="000C6F89">
        <w:rPr>
          <w:color w:val="000000" w:themeColor="text1"/>
        </w:rPr>
        <w:t>transmission solutions</w:t>
      </w:r>
      <w:r w:rsidR="008B5126">
        <w:rPr>
          <w:color w:val="000000" w:themeColor="text1"/>
        </w:rPr>
        <w:t>.</w:t>
      </w:r>
      <w:r w:rsidR="000C6F89">
        <w:rPr>
          <w:color w:val="000000" w:themeColor="text1"/>
        </w:rPr>
        <w:t xml:space="preserve">  </w:t>
      </w:r>
    </w:p>
    <w:p w14:paraId="6B7A647A" w14:textId="79354359" w:rsidR="004F60DA" w:rsidRPr="00BD33D3" w:rsidRDefault="00447F55" w:rsidP="008E5E5A">
      <w:pPr>
        <w:pStyle w:val="Question"/>
        <w:jc w:val="both"/>
        <w:rPr>
          <w:color w:val="000000" w:themeColor="text1"/>
        </w:rPr>
      </w:pPr>
      <w:r w:rsidRPr="00BD33D3">
        <w:rPr>
          <w:color w:val="000000" w:themeColor="text1"/>
        </w:rPr>
        <w:t>Q</w:t>
      </w:r>
      <w:r w:rsidR="00FD0BAA" w:rsidRPr="00BD33D3">
        <w:rPr>
          <w:color w:val="000000" w:themeColor="text1"/>
        </w:rPr>
        <w:t>.</w:t>
      </w:r>
      <w:r w:rsidRPr="00BD33D3">
        <w:rPr>
          <w:color w:val="000000" w:themeColor="text1"/>
        </w:rPr>
        <w:tab/>
        <w:t>ARE YOU SUBMITTING EXHIBITS ALONG WITH YOUR TESTIMONY?</w:t>
      </w:r>
    </w:p>
    <w:p w14:paraId="0D739433" w14:textId="31D0D5A0" w:rsidR="004E753E" w:rsidRPr="00BD33D3" w:rsidRDefault="00447F55" w:rsidP="004F2259">
      <w:pPr>
        <w:pStyle w:val="Answer"/>
        <w:spacing w:before="0" w:after="0"/>
        <w:jc w:val="both"/>
        <w:rPr>
          <w:color w:val="000000" w:themeColor="text1"/>
        </w:rPr>
      </w:pPr>
      <w:bookmarkStart w:id="2" w:name="_14agmdaxenju" w:colFirst="0" w:colLast="0"/>
      <w:bookmarkStart w:id="3" w:name="_jfb5iysh6u4u" w:colFirst="0" w:colLast="0"/>
      <w:bookmarkEnd w:id="2"/>
      <w:bookmarkEnd w:id="3"/>
      <w:r w:rsidRPr="00BD33D3">
        <w:rPr>
          <w:color w:val="000000" w:themeColor="text1"/>
        </w:rPr>
        <w:t xml:space="preserve">A. </w:t>
      </w:r>
      <w:r w:rsidRPr="00BD33D3">
        <w:rPr>
          <w:color w:val="000000" w:themeColor="text1"/>
        </w:rPr>
        <w:tab/>
        <w:t xml:space="preserve">Yes, I am submitting </w:t>
      </w:r>
      <w:r w:rsidR="004F2259" w:rsidRPr="00BD33D3">
        <w:rPr>
          <w:color w:val="000000" w:themeColor="text1"/>
        </w:rPr>
        <w:t xml:space="preserve">one </w:t>
      </w:r>
      <w:r w:rsidRPr="00BD33D3">
        <w:rPr>
          <w:color w:val="000000" w:themeColor="text1"/>
        </w:rPr>
        <w:t>exhibit</w:t>
      </w:r>
      <w:r w:rsidR="004F2259" w:rsidRPr="00BD33D3">
        <w:rPr>
          <w:color w:val="000000" w:themeColor="text1"/>
        </w:rPr>
        <w:t>, my curriculum vitae.</w:t>
      </w:r>
    </w:p>
    <w:p w14:paraId="6B7A6481" w14:textId="36C3F523" w:rsidR="004F60DA" w:rsidRPr="00BD33D3" w:rsidRDefault="00447F55" w:rsidP="004F2259">
      <w:pPr>
        <w:pStyle w:val="Heading1"/>
      </w:pPr>
      <w:r w:rsidRPr="00BD33D3">
        <w:t>SUMMARY OF FINDINGS AND CONCLUSIONS</w:t>
      </w:r>
    </w:p>
    <w:p w14:paraId="399B6336" w14:textId="53EDC600" w:rsidR="00167A98" w:rsidRPr="00BD33D3" w:rsidRDefault="00447F55" w:rsidP="004F2259">
      <w:pPr>
        <w:pStyle w:val="Question"/>
      </w:pPr>
      <w:r w:rsidRPr="00BD33D3">
        <w:rPr>
          <w:smallCaps/>
        </w:rPr>
        <w:t>Q</w:t>
      </w:r>
      <w:r w:rsidR="00FD0BAA" w:rsidRPr="00BD33D3">
        <w:rPr>
          <w:smallCaps/>
        </w:rPr>
        <w:t>.</w:t>
      </w:r>
      <w:r w:rsidRPr="00BD33D3">
        <w:rPr>
          <w:smallCaps/>
        </w:rPr>
        <w:tab/>
      </w:r>
      <w:r w:rsidRPr="00BD33D3">
        <w:t xml:space="preserve">PLEASE SUMMARIZE </w:t>
      </w:r>
      <w:r w:rsidR="00A0328E" w:rsidRPr="00BD33D3">
        <w:t>YOUR TESTIMONY AND RECOMMENDATIONS</w:t>
      </w:r>
      <w:r w:rsidR="004E753E" w:rsidRPr="00BD33D3">
        <w:t xml:space="preserve">. </w:t>
      </w:r>
      <w:r w:rsidR="00AF1ACF" w:rsidRPr="00BD33D3">
        <w:t xml:space="preserve"> </w:t>
      </w:r>
    </w:p>
    <w:p w14:paraId="7638E0B7" w14:textId="150BE4EB" w:rsidR="00BD33D3" w:rsidRDefault="00FD0BAA" w:rsidP="003632AF">
      <w:pPr>
        <w:pStyle w:val="Answer"/>
      </w:pPr>
      <w:r w:rsidRPr="00BD33D3">
        <w:t>A.</w:t>
      </w:r>
      <w:r w:rsidRPr="00BD33D3">
        <w:tab/>
      </w:r>
      <w:r w:rsidR="00553FBF">
        <w:t>Georgia Power Updated IRP offers the Commission an extremely limited set of solutions to resolve the projected exponential load growth</w:t>
      </w:r>
      <w:r w:rsidR="003632AF">
        <w:t xml:space="preserve">. By offering only generation resources in its Updated IRP package, Georgia Power overlooks other supply side solutions—namely new transmission and </w:t>
      </w:r>
      <w:r w:rsidR="0020776F">
        <w:t xml:space="preserve">transmission </w:t>
      </w:r>
      <w:r w:rsidR="003632AF">
        <w:t xml:space="preserve">upgrade projects—that could more cost effectively and reliably meet the Company’s identified needs.  Moreover, the proffered generation solutions run contrary to </w:t>
      </w:r>
      <w:r w:rsidR="00BD523F">
        <w:t>Southern Company’s, Georgia Power’s</w:t>
      </w:r>
      <w:r w:rsidR="003632AF">
        <w:t xml:space="preserve"> parent</w:t>
      </w:r>
      <w:r w:rsidR="00BD523F">
        <w:t xml:space="preserve">, </w:t>
      </w:r>
      <w:r w:rsidR="003632AF">
        <w:t>sustainability goals and the decarbonization goals of potential customers</w:t>
      </w:r>
      <w:r w:rsidR="0028478B">
        <w:t xml:space="preserve">, </w:t>
      </w:r>
      <w:r w:rsidR="003632AF">
        <w:t xml:space="preserve">and </w:t>
      </w:r>
      <w:r w:rsidR="0028478B">
        <w:t xml:space="preserve">the package </w:t>
      </w:r>
      <w:r w:rsidR="003632AF">
        <w:t>would saddle Georgia customers with costs for plants that neighboring state Mississippi has found to be uneconomic.</w:t>
      </w:r>
    </w:p>
    <w:p w14:paraId="548E4EEA" w14:textId="069DFE7E" w:rsidR="00BD33D3" w:rsidRDefault="00BD33D3" w:rsidP="003632AF">
      <w:pPr>
        <w:pStyle w:val="Answer"/>
        <w:ind w:firstLine="0"/>
      </w:pPr>
      <w:r>
        <w:t>In order to resolve these concerns, I recommend that the Commission:</w:t>
      </w:r>
    </w:p>
    <w:p w14:paraId="5E2674C6" w14:textId="4D01AE73" w:rsidR="00BD33D3" w:rsidRDefault="00BD33D3" w:rsidP="003632AF">
      <w:pPr>
        <w:pStyle w:val="Answer"/>
        <w:numPr>
          <w:ilvl w:val="0"/>
          <w:numId w:val="73"/>
        </w:numPr>
        <w:tabs>
          <w:tab w:val="left" w:pos="1080"/>
        </w:tabs>
        <w:ind w:firstLine="0"/>
      </w:pPr>
      <w:r>
        <w:t>require Georgia Power to refile the Updated IRP with proposed transmission solutions, and to include in that review both new and upgrade projects.</w:t>
      </w:r>
    </w:p>
    <w:p w14:paraId="247CFFF0" w14:textId="63772ADE" w:rsidR="00BD33D3" w:rsidRPr="00FD0BAA" w:rsidRDefault="00BD33D3" w:rsidP="003632AF">
      <w:pPr>
        <w:pStyle w:val="Answer"/>
        <w:numPr>
          <w:ilvl w:val="0"/>
          <w:numId w:val="73"/>
        </w:numPr>
        <w:tabs>
          <w:tab w:val="left" w:pos="1080"/>
        </w:tabs>
        <w:ind w:firstLine="0"/>
      </w:pPr>
      <w:r>
        <w:t>Direct Georgia Power to incorporate a multivalue planning analysis into its future transmission analyses.</w:t>
      </w:r>
    </w:p>
    <w:p w14:paraId="12C19945" w14:textId="0D5ED400" w:rsidR="00167A98" w:rsidRDefault="00710D3B" w:rsidP="008369E6">
      <w:pPr>
        <w:pStyle w:val="Heading1"/>
      </w:pPr>
      <w:r w:rsidRPr="008369E6">
        <w:lastRenderedPageBreak/>
        <w:t>TESTIMONY</w:t>
      </w:r>
    </w:p>
    <w:p w14:paraId="569005DD" w14:textId="26180377" w:rsidR="005B236A" w:rsidRPr="008369E6" w:rsidRDefault="005B236A" w:rsidP="003632AF">
      <w:pPr>
        <w:pStyle w:val="Heading2"/>
      </w:pPr>
      <w:r w:rsidRPr="008369E6">
        <w:t xml:space="preserve">Transmission is a supply side resource and should be considered </w:t>
      </w:r>
      <w:r w:rsidR="00812CB3" w:rsidRPr="008369E6">
        <w:t>as a potential solution for capacity needs</w:t>
      </w:r>
      <w:r w:rsidRPr="008369E6">
        <w:t>.</w:t>
      </w:r>
    </w:p>
    <w:p w14:paraId="19EC4BF2" w14:textId="7302FA3F" w:rsidR="00812CB3" w:rsidRDefault="005B236A" w:rsidP="007F328D">
      <w:pPr>
        <w:pStyle w:val="Question"/>
      </w:pPr>
      <w:r>
        <w:t>Q</w:t>
      </w:r>
      <w:r w:rsidR="00FD0BAA">
        <w:t>.</w:t>
      </w:r>
      <w:r>
        <w:tab/>
      </w:r>
      <w:r w:rsidR="002F1994">
        <w:t>do you have any concerns about georgia</w:t>
      </w:r>
      <w:r w:rsidR="000949AA">
        <w:t xml:space="preserve"> Power</w:t>
      </w:r>
      <w:r w:rsidR="002F1994">
        <w:t xml:space="preserve">’s IRP update </w:t>
      </w:r>
      <w:r w:rsidR="000949AA">
        <w:t>methodology</w:t>
      </w:r>
      <w:r w:rsidR="002F1994">
        <w:t>?</w:t>
      </w:r>
      <w:r w:rsidR="00812CB3">
        <w:t xml:space="preserve">  </w:t>
      </w:r>
    </w:p>
    <w:p w14:paraId="60391F00" w14:textId="77777777" w:rsidR="00AC114B" w:rsidRDefault="00812CB3" w:rsidP="00AC114B">
      <w:pPr>
        <w:pStyle w:val="Answer"/>
      </w:pPr>
      <w:r>
        <w:t>A</w:t>
      </w:r>
      <w:r w:rsidR="00FD0BAA">
        <w:t>.</w:t>
      </w:r>
      <w:r w:rsidR="007F328D" w:rsidRPr="007F328D">
        <w:tab/>
      </w:r>
      <w:r w:rsidR="002F1994">
        <w:t xml:space="preserve">Yes. </w:t>
      </w:r>
      <w:r w:rsidR="000949AA">
        <w:t xml:space="preserve">In its IRP Update, </w:t>
      </w:r>
      <w:r w:rsidR="002F1994">
        <w:t>Georgia Power</w:t>
      </w:r>
      <w:r w:rsidR="000949AA">
        <w:t xml:space="preserve"> alleges a 17-fold increase in projected demand growth</w:t>
      </w:r>
      <w:r w:rsidR="00066020">
        <w:t xml:space="preserve"> </w:t>
      </w:r>
      <w:r w:rsidR="00FD363A">
        <w:t>from</w:t>
      </w:r>
      <w:r w:rsidR="000949AA">
        <w:t xml:space="preserve"> its 2022 IRP filing</w:t>
      </w:r>
      <w:r w:rsidR="00FD363A">
        <w:t xml:space="preserve">, shifting from </w:t>
      </w:r>
      <w:r w:rsidR="00066020">
        <w:t xml:space="preserve">400 </w:t>
      </w:r>
      <w:r w:rsidR="00FD363A">
        <w:t xml:space="preserve">MW of projected growth between 2023/24 </w:t>
      </w:r>
      <w:r w:rsidR="0061731F">
        <w:t xml:space="preserve">and 2030/21 </w:t>
      </w:r>
      <w:r w:rsidR="00FD363A">
        <w:t xml:space="preserve">winter </w:t>
      </w:r>
      <w:r w:rsidR="0061731F">
        <w:t>to 6,600 MW projected growth in the same period. Assuming that Georgia Power’s projections are correct</w:t>
      </w:r>
      <w:r w:rsidR="00AC114B">
        <w:t xml:space="preserve">, </w:t>
      </w:r>
      <w:r w:rsidR="0061731F">
        <w:t>its IRP update p</w:t>
      </w:r>
      <w:r w:rsidR="00AC114B">
        <w:t>roposes</w:t>
      </w:r>
      <w:r w:rsidR="0061731F">
        <w:t xml:space="preserve"> </w:t>
      </w:r>
      <w:r w:rsidR="00AC114B">
        <w:t xml:space="preserve">only </w:t>
      </w:r>
      <w:r w:rsidR="0061731F">
        <w:t xml:space="preserve">a narrow set of solutions to meet those needs.  </w:t>
      </w:r>
    </w:p>
    <w:p w14:paraId="32F758DA" w14:textId="721DFD86" w:rsidR="00016035" w:rsidRDefault="00016035" w:rsidP="00016035">
      <w:pPr>
        <w:pStyle w:val="Question"/>
      </w:pPr>
      <w:r>
        <w:t>Q.</w:t>
      </w:r>
      <w:r>
        <w:tab/>
        <w:t xml:space="preserve">What basis do you have for saying that the set of solutions is narrow?  </w:t>
      </w:r>
    </w:p>
    <w:p w14:paraId="6EE2C6B2" w14:textId="300B6C6E" w:rsidR="00016035" w:rsidRDefault="00016035" w:rsidP="00016035">
      <w:pPr>
        <w:pStyle w:val="Answer"/>
      </w:pPr>
      <w:r>
        <w:t>A.</w:t>
      </w:r>
      <w:r>
        <w:tab/>
        <w:t>Georgia Power examined only generation capacity additions and gave a modest nod to demand side options</w:t>
      </w:r>
      <w:r w:rsidR="00D34A59">
        <w:t xml:space="preserve"> to address the projected growth</w:t>
      </w:r>
      <w:r>
        <w:t xml:space="preserve">. Specifically, Georgia Power’s IRP Update Resource Study Mix </w:t>
      </w:r>
      <w:r w:rsidR="00D31AC0">
        <w:t xml:space="preserve">concludes </w:t>
      </w:r>
      <w:r>
        <w:t>that “</w:t>
      </w:r>
      <w:r w:rsidRPr="00A1701E">
        <w:t>additional generation capacity requirements may involve a mixture of natural gas combined cycle, dual-fuel combustion turbine with SCR, advanced nuclear, solar photovoltaic, wind, and battery storage. Additionally, the study concludes that a market option, such as the Mississippi Power Company PPA, will be needed to meet near term capacity needs.</w:t>
      </w:r>
      <w:r>
        <w:t>”</w:t>
      </w:r>
      <w:r w:rsidR="00D31AC0">
        <w:rPr>
          <w:rStyle w:val="FootnoteReference"/>
        </w:rPr>
        <w:footnoteReference w:id="1"/>
      </w:r>
    </w:p>
    <w:p w14:paraId="3BEDB49B" w14:textId="14433420" w:rsidR="00016035" w:rsidRDefault="00016035" w:rsidP="00016035">
      <w:pPr>
        <w:pStyle w:val="Question"/>
      </w:pPr>
      <w:r>
        <w:lastRenderedPageBreak/>
        <w:t>Q.</w:t>
      </w:r>
      <w:r>
        <w:tab/>
        <w:t xml:space="preserve">What resources are missing from the study?  </w:t>
      </w:r>
    </w:p>
    <w:p w14:paraId="7D059622" w14:textId="77777777" w:rsidR="00D31AC0" w:rsidRDefault="00D31AC0" w:rsidP="00D31AC0">
      <w:pPr>
        <w:pStyle w:val="Answer"/>
      </w:pPr>
      <w:r>
        <w:t>A.</w:t>
      </w:r>
      <w:r>
        <w:tab/>
        <w:t xml:space="preserve">The most important resource missing from the study is transmission.  </w:t>
      </w:r>
    </w:p>
    <w:p w14:paraId="6C0CE453" w14:textId="77777777" w:rsidR="00D31AC0" w:rsidRDefault="00D31AC0" w:rsidP="00D31AC0">
      <w:pPr>
        <w:pStyle w:val="Question"/>
      </w:pPr>
      <w:r w:rsidRPr="002F1994">
        <w:t>Q.</w:t>
      </w:r>
      <w:r w:rsidRPr="002F1994">
        <w:tab/>
      </w:r>
      <w:r>
        <w:t>as the utility, shouldn’t georgia power get the opportunity to decide how best to meet load needs?</w:t>
      </w:r>
    </w:p>
    <w:p w14:paraId="1D70E939" w14:textId="70D7D6C0" w:rsidR="00D31AC0" w:rsidRDefault="00D31AC0" w:rsidP="008369E6">
      <w:pPr>
        <w:pStyle w:val="Answer"/>
      </w:pPr>
      <w:r>
        <w:t>A.</w:t>
      </w:r>
      <w:r>
        <w:tab/>
        <w:t xml:space="preserve">While it is Georgia Power’s responsibility to provide in the first instance options for meeting additional load needs, customers are ultimately responsible for the costs of those decisions.  Georgia Power must provide a comprehensive and transparent review of all available options so that the Commission can ensure that the proffered options are the most </w:t>
      </w:r>
      <w:r w:rsidRPr="008369E6">
        <w:t>cost</w:t>
      </w:r>
      <w:r>
        <w:t>-effective.  This obligation is reflected in the Commission’s rules which state that:</w:t>
      </w:r>
    </w:p>
    <w:p w14:paraId="45A0469A" w14:textId="0E6F3505" w:rsidR="00D31AC0" w:rsidRPr="00D34A59" w:rsidRDefault="00D31AC0" w:rsidP="00D34A59">
      <w:pPr>
        <w:pStyle w:val="blockquote"/>
      </w:pPr>
      <w:r w:rsidRPr="00D34A59">
        <w:t>A utility resource planning process in which an integrated combination of demand-side and supply-side resources is selected to satisfy future energy service demands in the most economic and reliable manner while balancing the interests of utility customers, utility shareholders and society-at large. In IRP, all resources reasonably available to reliably meet future energy service demands are considered by the utility on a fair and consistent basis.</w:t>
      </w:r>
      <w:r w:rsidR="00D34A59" w:rsidRPr="00D34A59">
        <w:rPr>
          <w:vertAlign w:val="superscript"/>
        </w:rPr>
        <w:t>[</w:t>
      </w:r>
      <w:r w:rsidRPr="00D34A59">
        <w:rPr>
          <w:rStyle w:val="FootnoteReference"/>
        </w:rPr>
        <w:footnoteReference w:id="2"/>
      </w:r>
      <w:r w:rsidR="00D34A59">
        <w:rPr>
          <w:vertAlign w:val="superscript"/>
        </w:rPr>
        <w:t>]</w:t>
      </w:r>
    </w:p>
    <w:p w14:paraId="3E1AE954" w14:textId="4E3BDA4D" w:rsidR="00D74EC6" w:rsidRDefault="00D74EC6" w:rsidP="00D34A59">
      <w:pPr>
        <w:pStyle w:val="Question"/>
      </w:pPr>
      <w:r w:rsidRPr="002F1994">
        <w:t>Q.</w:t>
      </w:r>
      <w:r w:rsidRPr="002F1994">
        <w:tab/>
      </w:r>
      <w:r>
        <w:t xml:space="preserve">IS TRANSMISSION A SUPPLY SIDE </w:t>
      </w:r>
      <w:r w:rsidRPr="00D34A59">
        <w:t>RESOURCE</w:t>
      </w:r>
      <w:r>
        <w:t>?</w:t>
      </w:r>
    </w:p>
    <w:p w14:paraId="1A834990" w14:textId="72837559" w:rsidR="00D74EC6" w:rsidRDefault="00D74EC6" w:rsidP="006B3643">
      <w:pPr>
        <w:pStyle w:val="Answer"/>
      </w:pPr>
      <w:r>
        <w:t>A.</w:t>
      </w:r>
      <w:r>
        <w:tab/>
        <w:t>Yes. Transmission provides multiple suppl</w:t>
      </w:r>
      <w:r w:rsidR="008369E6">
        <w:t>y</w:t>
      </w:r>
      <w:r>
        <w:t xml:space="preserve"> side functions including providing access to power generation from diversified locations, reducing the need to procure peaking resources </w:t>
      </w:r>
      <w:r w:rsidR="00D34A59">
        <w:t>by</w:t>
      </w:r>
      <w:r>
        <w:t xml:space="preserve"> improving capacity access from existing generation and providing access to energy from wider geographic areas some of which may serve load with a non- </w:t>
      </w:r>
      <w:r>
        <w:lastRenderedPageBreak/>
        <w:t>coincident peak demand, and increasing reliability and resilience especially in the face of grid threats such as cyber</w:t>
      </w:r>
      <w:r w:rsidR="006B3643">
        <w:t>-</w:t>
      </w:r>
      <w:r>
        <w:t>attacks and extreme weather events. Further, the Commission’s rules treat transmission modernization and expansion as a supply side resource</w:t>
      </w:r>
      <w:r w:rsidR="00B00B99">
        <w:t xml:space="preserve"> defining such a resource as</w:t>
      </w:r>
      <w:r>
        <w:t xml:space="preserve">: </w:t>
      </w:r>
    </w:p>
    <w:p w14:paraId="37F4A148" w14:textId="6B00FEC0" w:rsidR="00812CB3" w:rsidRDefault="00FE15A7" w:rsidP="00D34A59">
      <w:pPr>
        <w:pStyle w:val="blockquote"/>
      </w:pPr>
      <w:r w:rsidRPr="00FE15A7">
        <w:t xml:space="preserve">A resource which can provide for a supply of electrical energy and/or capacity to the utility. Supply-side resources include supply-side capacity options, supplies from other utilities, </w:t>
      </w:r>
      <w:proofErr w:type="spellStart"/>
      <w:r w:rsidRPr="00FE15A7">
        <w:t>cogenerators</w:t>
      </w:r>
      <w:proofErr w:type="spellEnd"/>
      <w:r w:rsidRPr="00FE15A7">
        <w:t xml:space="preserve">, renewable resource technologies, or independent third parties via existing or new transmission facilities; and </w:t>
      </w:r>
      <w:r w:rsidRPr="006B3643">
        <w:rPr>
          <w:b/>
          <w:bCs/>
        </w:rPr>
        <w:t xml:space="preserve">the </w:t>
      </w:r>
      <w:r w:rsidRPr="00FE15A7">
        <w:rPr>
          <w:b/>
          <w:bCs/>
        </w:rPr>
        <w:t>life extension, upgrading, plant refurbishment, efficiency improvement, or capital additions of</w:t>
      </w:r>
      <w:r w:rsidRPr="00FE15A7">
        <w:t xml:space="preserve"> existing generation, </w:t>
      </w:r>
      <w:r w:rsidRPr="00FE15A7">
        <w:rPr>
          <w:b/>
          <w:bCs/>
        </w:rPr>
        <w:t>transmission</w:t>
      </w:r>
      <w:r w:rsidRPr="00FE15A7">
        <w:t xml:space="preserve"> or distribution facilities of the </w:t>
      </w:r>
      <w:proofErr w:type="gramStart"/>
      <w:r w:rsidRPr="00FE15A7">
        <w:t>utility.</w:t>
      </w:r>
      <w:r w:rsidR="0046291A" w:rsidRPr="0046291A">
        <w:rPr>
          <w:vertAlign w:val="superscript"/>
        </w:rPr>
        <w:t>[</w:t>
      </w:r>
      <w:proofErr w:type="gramEnd"/>
      <w:r w:rsidR="00886A73">
        <w:rPr>
          <w:rStyle w:val="FootnoteReference"/>
        </w:rPr>
        <w:footnoteReference w:id="3"/>
      </w:r>
      <w:r w:rsidR="0046291A">
        <w:rPr>
          <w:vertAlign w:val="superscript"/>
        </w:rPr>
        <w:t>]</w:t>
      </w:r>
    </w:p>
    <w:p w14:paraId="19F61AA3" w14:textId="516F0411" w:rsidR="002F1994" w:rsidRDefault="002F1994" w:rsidP="002F1994">
      <w:pPr>
        <w:pStyle w:val="Question"/>
      </w:pPr>
      <w:r w:rsidRPr="002F1994">
        <w:t>Q.</w:t>
      </w:r>
      <w:r w:rsidRPr="002F1994">
        <w:tab/>
      </w:r>
      <w:r w:rsidR="006B3643">
        <w:t>Georgia power does not traditionally include transmission in its IRPs or its consideration of supply side resources, why should it do so now?</w:t>
      </w:r>
    </w:p>
    <w:p w14:paraId="1CB9C772" w14:textId="476C4939" w:rsidR="002F1994" w:rsidRDefault="002F1994" w:rsidP="00F92011">
      <w:pPr>
        <w:pStyle w:val="Answer"/>
      </w:pPr>
      <w:r>
        <w:t xml:space="preserve">A. </w:t>
      </w:r>
      <w:r>
        <w:tab/>
      </w:r>
      <w:r w:rsidR="006B3643">
        <w:t>There are several reasons for doing so.  Chiefly, t</w:t>
      </w:r>
      <w:r>
        <w:t xml:space="preserve">he electric network is an integrated system, and strong utility planning requires an integrated consideration of </w:t>
      </w:r>
      <w:r w:rsidR="006B3643">
        <w:t xml:space="preserve">all </w:t>
      </w:r>
      <w:r>
        <w:t xml:space="preserve">supply and demand inputs.  </w:t>
      </w:r>
      <w:r w:rsidR="006B3643">
        <w:t xml:space="preserve">Georgia Power examines transmission needs only to the extent they </w:t>
      </w:r>
      <w:r w:rsidR="00F92011">
        <w:t xml:space="preserve">may be needed to </w:t>
      </w:r>
      <w:r w:rsidR="006B3643">
        <w:t>serve their proposed generation solutions</w:t>
      </w:r>
      <w:r w:rsidR="00F92011">
        <w:t>. The Company provides no analysis of the fli</w:t>
      </w:r>
      <w:r w:rsidR="003D6D91">
        <w:t xml:space="preserve">p </w:t>
      </w:r>
      <w:r w:rsidR="00F92011">
        <w:t>side to that equation—</w:t>
      </w:r>
      <w:r w:rsidR="00B517E9">
        <w:t>whether</w:t>
      </w:r>
      <w:r w:rsidR="00314772">
        <w:t xml:space="preserve"> integrating</w:t>
      </w:r>
      <w:r w:rsidR="00B517E9">
        <w:t xml:space="preserve"> transmission solutions </w:t>
      </w:r>
      <w:r w:rsidR="00314772">
        <w:t xml:space="preserve">with generation </w:t>
      </w:r>
      <w:r w:rsidR="00922DE7">
        <w:t xml:space="preserve">solutions </w:t>
      </w:r>
      <w:r w:rsidR="00DE4935">
        <w:t>will result in a more cost-effective and reliable network.</w:t>
      </w:r>
    </w:p>
    <w:p w14:paraId="7003F776" w14:textId="6E7A1269" w:rsidR="00DE4935" w:rsidRDefault="00DE4935" w:rsidP="00DE4935">
      <w:pPr>
        <w:pStyle w:val="Question"/>
      </w:pPr>
      <w:r w:rsidRPr="002F1994">
        <w:lastRenderedPageBreak/>
        <w:t>Q.</w:t>
      </w:r>
      <w:r w:rsidRPr="002F1994">
        <w:tab/>
      </w:r>
      <w:r>
        <w:t xml:space="preserve">Are other utilities considering transmission </w:t>
      </w:r>
      <w:r w:rsidR="00F92011">
        <w:t xml:space="preserve">solutions </w:t>
      </w:r>
      <w:r>
        <w:t>in their integrated resource plans?</w:t>
      </w:r>
    </w:p>
    <w:p w14:paraId="4D077856" w14:textId="4B0C3985" w:rsidR="00DE4935" w:rsidRDefault="00DE4935" w:rsidP="00DE4935">
      <w:pPr>
        <w:pStyle w:val="Answer"/>
      </w:pPr>
      <w:r>
        <w:t>A.</w:t>
      </w:r>
      <w:r>
        <w:tab/>
        <w:t>Yes</w:t>
      </w:r>
      <w:r w:rsidR="00344C75">
        <w:t>.</w:t>
      </w:r>
      <w:r>
        <w:t xml:space="preserve"> For example, in Michigan, regulated utilities must </w:t>
      </w:r>
      <w:r w:rsidR="00DD1D52">
        <w:t>include in their IRPs</w:t>
      </w:r>
      <w:r>
        <w:t xml:space="preserve"> an “</w:t>
      </w:r>
      <w:r w:rsidRPr="00DE4935">
        <w:t>analysis of potential new or upgraded electric transmission options for the electric utility</w:t>
      </w:r>
      <w:r>
        <w:t>.</w:t>
      </w:r>
      <w:r w:rsidR="00DD1D52">
        <w:t>”</w:t>
      </w:r>
      <w:r w:rsidR="00662753">
        <w:rPr>
          <w:rStyle w:val="FootnoteReference"/>
        </w:rPr>
        <w:footnoteReference w:id="4"/>
      </w:r>
      <w:r>
        <w:t xml:space="preserve">  </w:t>
      </w:r>
    </w:p>
    <w:p w14:paraId="6BF2C804" w14:textId="44298EEE" w:rsidR="00344C75" w:rsidRDefault="00344C75" w:rsidP="00DD1D52">
      <w:pPr>
        <w:pStyle w:val="Answer"/>
      </w:pPr>
      <w:r>
        <w:tab/>
      </w:r>
      <w:r w:rsidR="00BD523F">
        <w:t xml:space="preserve">On the West Coast, </w:t>
      </w:r>
      <w:r>
        <w:t>Pacifi</w:t>
      </w:r>
      <w:r w:rsidR="00474458">
        <w:t>C</w:t>
      </w:r>
      <w:r>
        <w:t>orp</w:t>
      </w:r>
      <w:r w:rsidR="00DD1D52">
        <w:t>—</w:t>
      </w:r>
      <w:r w:rsidR="00474458">
        <w:t xml:space="preserve">a Berkshire Hathaway Energy subsidiary with a </w:t>
      </w:r>
      <w:r w:rsidR="00474458" w:rsidRPr="00474458">
        <w:t>service footprint</w:t>
      </w:r>
      <w:r w:rsidR="00474458">
        <w:t xml:space="preserve"> in Northern California and portions of Oregon and Washington State</w:t>
      </w:r>
      <w:r w:rsidR="00DD1D52">
        <w:t xml:space="preserve">—included in its March 2023 </w:t>
      </w:r>
      <w:r w:rsidR="00DA1501">
        <w:t xml:space="preserve">IRP </w:t>
      </w:r>
      <w:r w:rsidR="00DD1D52">
        <w:t xml:space="preserve">plans to </w:t>
      </w:r>
      <w:r w:rsidR="00474458">
        <w:t>“</w:t>
      </w:r>
      <w:proofErr w:type="gramStart"/>
      <w:r w:rsidR="00474458" w:rsidRPr="00474458">
        <w:t>add</w:t>
      </w:r>
      <w:r w:rsidR="00DD1D52">
        <w:t>[</w:t>
      </w:r>
      <w:proofErr w:type="gramEnd"/>
      <w:r w:rsidR="00DD1D52">
        <w:t>]</w:t>
      </w:r>
      <w:r w:rsidR="00474458" w:rsidRPr="00474458">
        <w:t xml:space="preserve"> 2,500 miles of new transmission lines</w:t>
      </w:r>
      <w:r w:rsidR="00474458">
        <w:t>” to promote access to affordable and reliable energy.</w:t>
      </w:r>
      <w:r w:rsidR="00474458">
        <w:rPr>
          <w:rStyle w:val="FootnoteReference"/>
        </w:rPr>
        <w:footnoteReference w:id="5"/>
      </w:r>
    </w:p>
    <w:p w14:paraId="29A8D21F" w14:textId="55974FD4" w:rsidR="0013345C" w:rsidRDefault="0013345C" w:rsidP="00702063">
      <w:pPr>
        <w:pStyle w:val="Answer"/>
      </w:pPr>
      <w:r>
        <w:tab/>
        <w:t>Similarly, Idaho Power</w:t>
      </w:r>
      <w:r w:rsidR="00DA1501">
        <w:t xml:space="preserve">, an IDACORP Company with a regulated footprint in eastern Oregon and southern Idaho, filed its most recent IRP in September of 2023.  </w:t>
      </w:r>
      <w:r w:rsidR="00F20610">
        <w:t>In incorporating transmission solutions into its</w:t>
      </w:r>
      <w:r w:rsidR="00DA1501">
        <w:t xml:space="preserve"> IRP</w:t>
      </w:r>
      <w:r w:rsidR="00F20610">
        <w:t>, Idaho Power explain</w:t>
      </w:r>
      <w:r w:rsidR="00DD1D52">
        <w:t>ed</w:t>
      </w:r>
      <w:r w:rsidR="00F20610">
        <w:t xml:space="preserve"> that: </w:t>
      </w:r>
    </w:p>
    <w:p w14:paraId="1E3C0FC0" w14:textId="77777777" w:rsidR="00F20610" w:rsidRDefault="00F20610" w:rsidP="00D34A59">
      <w:pPr>
        <w:pStyle w:val="blockquote"/>
      </w:pPr>
      <w:r>
        <w:t>Idaho Power’s transmission interconnections provide economic benefits and improve reliability by transferring electricity between utilities to serve load and share operating reserves. Historically, Idaho Power experiences its peak load at different times of the year than most Pacific Northwest utilities; as a result, Idaho Power can purchase energy from the Mid-C energy trading market during its peak load and sell excess energy to Pacific Northwest utilities during their peak. Additional regional transmission connections to the Pacific Northwest would benefit Idaho Power customers in the following ways:</w:t>
      </w:r>
    </w:p>
    <w:p w14:paraId="14739580" w14:textId="77777777" w:rsidR="0047367C" w:rsidRDefault="0047367C" w:rsidP="00D34A59">
      <w:pPr>
        <w:pStyle w:val="blockquote"/>
      </w:pPr>
    </w:p>
    <w:p w14:paraId="5ADA70C1" w14:textId="77777777" w:rsidR="00F20610" w:rsidRDefault="00F20610" w:rsidP="00111317">
      <w:pPr>
        <w:pStyle w:val="blockquote"/>
        <w:numPr>
          <w:ilvl w:val="0"/>
          <w:numId w:val="71"/>
        </w:numPr>
        <w:ind w:left="2520"/>
      </w:pPr>
      <w:r>
        <w:t>Delay or avoid construction of additional resources to serve peak demand</w:t>
      </w:r>
    </w:p>
    <w:p w14:paraId="09249174" w14:textId="77777777" w:rsidR="00F20610" w:rsidRDefault="00F20610" w:rsidP="00111317">
      <w:pPr>
        <w:pStyle w:val="blockquote"/>
        <w:numPr>
          <w:ilvl w:val="0"/>
          <w:numId w:val="71"/>
        </w:numPr>
        <w:ind w:left="2520"/>
      </w:pPr>
      <w:r>
        <w:lastRenderedPageBreak/>
        <w:t>Increase revenue from off-system sales during the winter and spring, which would then be credited to customers through the Power Cost Adjustment (PCA)</w:t>
      </w:r>
    </w:p>
    <w:p w14:paraId="5AECD3D9" w14:textId="77777777" w:rsidR="00F20610" w:rsidRDefault="00F20610" w:rsidP="00111317">
      <w:pPr>
        <w:pStyle w:val="blockquote"/>
        <w:numPr>
          <w:ilvl w:val="0"/>
          <w:numId w:val="71"/>
        </w:numPr>
        <w:ind w:left="2520"/>
      </w:pPr>
      <w:r>
        <w:t>Increase revenue from sales of transmission system capacity, which would then be credited to Idaho Power customers</w:t>
      </w:r>
    </w:p>
    <w:p w14:paraId="4A881B53" w14:textId="77777777" w:rsidR="00F20610" w:rsidRDefault="00F20610" w:rsidP="00111317">
      <w:pPr>
        <w:pStyle w:val="blockquote"/>
        <w:numPr>
          <w:ilvl w:val="0"/>
          <w:numId w:val="71"/>
        </w:numPr>
        <w:ind w:left="2520"/>
      </w:pPr>
      <w:r>
        <w:t>Increase system reliability</w:t>
      </w:r>
    </w:p>
    <w:p w14:paraId="2D4695AE" w14:textId="1C74643C" w:rsidR="00F20610" w:rsidRDefault="00F20610" w:rsidP="00111317">
      <w:pPr>
        <w:pStyle w:val="blockquote"/>
        <w:numPr>
          <w:ilvl w:val="0"/>
          <w:numId w:val="71"/>
        </w:numPr>
        <w:ind w:left="2520"/>
      </w:pPr>
      <w:r>
        <w:t>Increase the ability to integrate VERs, such as wind and solar.</w:t>
      </w:r>
    </w:p>
    <w:p w14:paraId="3636A83B" w14:textId="56ABC7DF" w:rsidR="00F20610" w:rsidRPr="00F20610" w:rsidRDefault="00F20610" w:rsidP="00111317">
      <w:pPr>
        <w:pStyle w:val="blockquote"/>
        <w:numPr>
          <w:ilvl w:val="0"/>
          <w:numId w:val="71"/>
        </w:numPr>
        <w:ind w:left="2520"/>
      </w:pPr>
      <w:r w:rsidRPr="00F20610">
        <w:t xml:space="preserve">Improve the ability to implement advanced market tools more efficiently, such as the </w:t>
      </w:r>
      <w:r w:rsidR="0047367C">
        <w:t>[Energy Imbalance Market]</w:t>
      </w:r>
      <w:r>
        <w:t>.</w:t>
      </w:r>
      <w:r w:rsidRPr="00F20610">
        <w:rPr>
          <w:vertAlign w:val="superscript"/>
        </w:rPr>
        <w:t>[</w:t>
      </w:r>
      <w:r>
        <w:rPr>
          <w:rStyle w:val="FootnoteReference"/>
        </w:rPr>
        <w:footnoteReference w:id="6"/>
      </w:r>
      <w:r>
        <w:rPr>
          <w:vertAlign w:val="superscript"/>
        </w:rPr>
        <w:t>]</w:t>
      </w:r>
    </w:p>
    <w:p w14:paraId="394F865D" w14:textId="612940FA" w:rsidR="00111317" w:rsidRDefault="00F20610" w:rsidP="00FE57C8">
      <w:pPr>
        <w:pStyle w:val="Answer"/>
        <w:ind w:firstLine="0"/>
      </w:pPr>
      <w:r>
        <w:t>Idaho Power</w:t>
      </w:r>
      <w:r w:rsidR="00111317">
        <w:t>’</w:t>
      </w:r>
      <w:r w:rsidR="00DD1D52">
        <w:t>s</w:t>
      </w:r>
      <w:r w:rsidR="00111317">
        <w:t xml:space="preserve"> IRP </w:t>
      </w:r>
      <w:r w:rsidR="0047367C">
        <w:t>transmission projects includ</w:t>
      </w:r>
      <w:r w:rsidR="00DD1D52">
        <w:t>e</w:t>
      </w:r>
      <w:r w:rsidR="0047367C">
        <w:t>:</w:t>
      </w:r>
    </w:p>
    <w:p w14:paraId="7D0CA636" w14:textId="5CADC6F2" w:rsidR="00111317" w:rsidRDefault="00111317" w:rsidP="00111317">
      <w:pPr>
        <w:pStyle w:val="blockquote"/>
      </w:pPr>
      <w:r>
        <w:t>the Boardman to Hemingway (B2H) 500-kilovolt (kV) transmission line in 2026 to connect the Pacific Northwest and Idaho; and three Gateway West (GWW) transmission phases spread across the 20-year plan to connect the Magic Valley and Treasure Valley, with the first phase (Midpoint–Hemingway #2 500-kV line, Midpoint– Cedar Hill 500-kV line, and Mayfield substation) modeled with an online date of late 2028.</w:t>
      </w:r>
      <w:r>
        <w:rPr>
          <w:rStyle w:val="FootnoteReference"/>
        </w:rPr>
        <w:footnoteReference w:id="7"/>
      </w:r>
    </w:p>
    <w:p w14:paraId="020A34A5" w14:textId="386E013B" w:rsidR="00FE57C8" w:rsidRDefault="00111317" w:rsidP="00DD1D52">
      <w:pPr>
        <w:pStyle w:val="Answer"/>
        <w:ind w:firstLine="0"/>
      </w:pPr>
      <w:r>
        <w:t>Idaho Power “also identified potential value associated with the addition of the Southwest Intertie Project-North (SWIP-N) transmission line,” a 500-kV line that would run between Idaho and Nevada, but it did not include this project in its preferred portfolio of projects.</w:t>
      </w:r>
      <w:r>
        <w:rPr>
          <w:rStyle w:val="FootnoteReference"/>
        </w:rPr>
        <w:footnoteReference w:id="8"/>
      </w:r>
      <w:r w:rsidR="00DD1D52">
        <w:t xml:space="preserve"> </w:t>
      </w:r>
      <w:r>
        <w:t>Idaho Power</w:t>
      </w:r>
      <w:r w:rsidR="00DD1D52">
        <w:t xml:space="preserve">’s </w:t>
      </w:r>
      <w:r>
        <w:t xml:space="preserve">IRP </w:t>
      </w:r>
      <w:r w:rsidR="00DD1D52">
        <w:t>includes an economic</w:t>
      </w:r>
      <w:r>
        <w:t xml:space="preserve"> evaluation of both the </w:t>
      </w:r>
      <w:r w:rsidR="00FE57C8">
        <w:t>proposed</w:t>
      </w:r>
      <w:r w:rsidR="00F20610">
        <w:t xml:space="preserve"> p</w:t>
      </w:r>
      <w:r w:rsidR="00FE57C8">
        <w:t xml:space="preserve">referred </w:t>
      </w:r>
      <w:r w:rsidR="00DD1D52">
        <w:t xml:space="preserve">and </w:t>
      </w:r>
      <w:r>
        <w:t xml:space="preserve">alternative </w:t>
      </w:r>
      <w:r w:rsidR="00DD1D52">
        <w:t>project portfolios</w:t>
      </w:r>
      <w:r w:rsidR="00BD523F">
        <w:t xml:space="preserve">. The evaluation </w:t>
      </w:r>
      <w:r w:rsidR="00DD1D52">
        <w:t xml:space="preserve">found </w:t>
      </w:r>
      <w:r w:rsidR="00FE57C8">
        <w:t>the costs for “</w:t>
      </w:r>
      <w:r w:rsidR="00FE57C8" w:rsidRPr="00FE57C8">
        <w:t>permitting, constructing, operating, and maintaining</w:t>
      </w:r>
      <w:r>
        <w:t>” the</w:t>
      </w:r>
      <w:r w:rsidR="00FE57C8" w:rsidRPr="00FE57C8">
        <w:t xml:space="preserve"> </w:t>
      </w:r>
      <w:r>
        <w:t>B2H line “</w:t>
      </w:r>
      <w:r w:rsidR="00FE57C8" w:rsidRPr="00FE57C8">
        <w:t xml:space="preserve">is approximately </w:t>
      </w:r>
      <w:r w:rsidR="00FE57C8" w:rsidRPr="00FE57C8">
        <w:lastRenderedPageBreak/>
        <w:t>$836 million more cost effective</w:t>
      </w:r>
      <w:r w:rsidR="00FE57C8">
        <w:t>”</w:t>
      </w:r>
      <w:r w:rsidR="00FE57C8" w:rsidRPr="00FE57C8">
        <w:t xml:space="preserve"> than </w:t>
      </w:r>
      <w:r w:rsidR="00FE57C8">
        <w:t>“th</w:t>
      </w:r>
      <w:r w:rsidR="00FE57C8" w:rsidRPr="00FE57C8">
        <w:t>e best alternative resource portfolio</w:t>
      </w:r>
      <w:r w:rsidR="00FE57C8">
        <w:t xml:space="preserve">” </w:t>
      </w:r>
      <w:r w:rsidR="00BD523F">
        <w:t>which</w:t>
      </w:r>
      <w:r w:rsidR="00FE57C8">
        <w:t xml:space="preserve"> did not include the </w:t>
      </w:r>
      <w:r>
        <w:t xml:space="preserve">B2H </w:t>
      </w:r>
      <w:r w:rsidR="00FE57C8">
        <w:t>transmission</w:t>
      </w:r>
      <w:r>
        <w:t xml:space="preserve"> project</w:t>
      </w:r>
      <w:r w:rsidR="00FE57C8">
        <w:t>.</w:t>
      </w:r>
      <w:r w:rsidR="00FE57C8">
        <w:rPr>
          <w:rStyle w:val="FootnoteReference"/>
        </w:rPr>
        <w:footnoteReference w:id="9"/>
      </w:r>
      <w:r w:rsidR="00FE57C8">
        <w:t xml:space="preserve"> </w:t>
      </w:r>
      <w:r w:rsidR="0047367C">
        <w:t>The Idaho Power IRP is under review by the Idaho and Oregon Public Utility Commissions.</w:t>
      </w:r>
    </w:p>
    <w:p w14:paraId="7AE4EF62" w14:textId="0159F60E" w:rsidR="00DE4935" w:rsidRDefault="00DE4935" w:rsidP="004559E7">
      <w:pPr>
        <w:pStyle w:val="Question"/>
        <w:tabs>
          <w:tab w:val="left" w:pos="5580"/>
        </w:tabs>
      </w:pPr>
      <w:r w:rsidRPr="002F1994">
        <w:t>Q.</w:t>
      </w:r>
      <w:r w:rsidRPr="002F1994">
        <w:tab/>
      </w:r>
      <w:r>
        <w:t xml:space="preserve">Earlier you said there were several reasons why Georgia power should include transmission </w:t>
      </w:r>
      <w:r w:rsidR="00922DE7">
        <w:t xml:space="preserve">solutions in its </w:t>
      </w:r>
      <w:r>
        <w:t>cons</w:t>
      </w:r>
      <w:r w:rsidR="00DD1D52">
        <w:t>I</w:t>
      </w:r>
      <w:r>
        <w:t xml:space="preserve">derations of supply side resources, </w:t>
      </w:r>
      <w:r w:rsidR="00922DE7">
        <w:t>what are the other reasons</w:t>
      </w:r>
      <w:r>
        <w:t>?</w:t>
      </w:r>
    </w:p>
    <w:p w14:paraId="13186D17" w14:textId="103CF20E" w:rsidR="00A024E2" w:rsidRDefault="00922DE7" w:rsidP="00922DE7">
      <w:pPr>
        <w:pStyle w:val="Answer"/>
        <w:rPr>
          <w:bCs/>
          <w:color w:val="000000"/>
        </w:rPr>
      </w:pPr>
      <w:r>
        <w:t>A.</w:t>
      </w:r>
      <w:r>
        <w:tab/>
        <w:t>In requesting approval of its Updated IRP, Georgia Power relies heavily on its claim that there is “</w:t>
      </w:r>
      <w:r w:rsidRPr="00923531">
        <w:t>no precedent for such loads in the historical records.</w:t>
      </w:r>
      <w:r>
        <w:t>”</w:t>
      </w:r>
      <w:r>
        <w:rPr>
          <w:rStyle w:val="FootnoteReference"/>
        </w:rPr>
        <w:footnoteReference w:id="10"/>
      </w:r>
      <w:r>
        <w:t xml:space="preserve"> </w:t>
      </w:r>
      <w:r>
        <w:rPr>
          <w:bCs/>
          <w:color w:val="000000"/>
        </w:rPr>
        <w:t>Unprecedented load shifts signal that there is an evolution occurring in the use of Georgia Power’s network.  Putting aside other significant changes— including, e.g., increasing extreme weather, aging infrastructure—the unprecedent growth alone speaks to the need to look for novel, proactive, and flexible solutions so that the system is better designed to meet</w:t>
      </w:r>
      <w:r w:rsidR="004559E7">
        <w:rPr>
          <w:bCs/>
          <w:color w:val="000000"/>
        </w:rPr>
        <w:t xml:space="preserve"> both known and</w:t>
      </w:r>
      <w:r>
        <w:rPr>
          <w:bCs/>
          <w:color w:val="000000"/>
        </w:rPr>
        <w:t xml:space="preserve"> unknown challenges</w:t>
      </w:r>
      <w:r w:rsidR="004559E7">
        <w:rPr>
          <w:bCs/>
          <w:color w:val="000000"/>
        </w:rPr>
        <w:t xml:space="preserve"> economically and reliably</w:t>
      </w:r>
      <w:r>
        <w:rPr>
          <w:bCs/>
          <w:color w:val="000000"/>
        </w:rPr>
        <w:t>.</w:t>
      </w:r>
      <w:r w:rsidR="005754CA">
        <w:rPr>
          <w:bCs/>
          <w:color w:val="000000"/>
        </w:rPr>
        <w:t xml:space="preserve"> </w:t>
      </w:r>
    </w:p>
    <w:p w14:paraId="28CB0BC4" w14:textId="5435ED46" w:rsidR="00922DE7" w:rsidRDefault="005754CA" w:rsidP="00BD523F">
      <w:pPr>
        <w:pStyle w:val="Answer"/>
        <w:ind w:firstLine="0"/>
        <w:rPr>
          <w:rStyle w:val="normaltextrun"/>
          <w:color w:val="000000" w:themeColor="text1"/>
        </w:rPr>
      </w:pPr>
      <w:r>
        <w:rPr>
          <w:bCs/>
          <w:color w:val="000000"/>
        </w:rPr>
        <w:t xml:space="preserve">But Georgia Power </w:t>
      </w:r>
      <w:r w:rsidR="00A024E2">
        <w:rPr>
          <w:bCs/>
          <w:color w:val="000000"/>
        </w:rPr>
        <w:t xml:space="preserve">has taken </w:t>
      </w:r>
      <w:r>
        <w:rPr>
          <w:bCs/>
          <w:color w:val="000000"/>
        </w:rPr>
        <w:t xml:space="preserve">no action to evolve its </w:t>
      </w:r>
      <w:r w:rsidR="004559E7">
        <w:rPr>
          <w:bCs/>
          <w:color w:val="000000"/>
        </w:rPr>
        <w:t xml:space="preserve">generation or </w:t>
      </w:r>
      <w:r>
        <w:rPr>
          <w:bCs/>
          <w:color w:val="000000"/>
        </w:rPr>
        <w:t xml:space="preserve">transmission planning processes.  When asked </w:t>
      </w:r>
      <w:r w:rsidR="002479E3">
        <w:rPr>
          <w:bCs/>
          <w:color w:val="000000"/>
        </w:rPr>
        <w:t xml:space="preserve">in multiple data requests about any transmission-oriented analysis, Georgia Power repeatedly referred </w:t>
      </w:r>
      <w:r w:rsidR="008369E6" w:rsidRPr="008369E6">
        <w:rPr>
          <w:bCs/>
          <w:color w:val="000000"/>
        </w:rPr>
        <w:t xml:space="preserve">“to the Transmission Planning study and project development processes outlined in Technical Appendix Volume 3 of the 2022 Georgia Power Integrated Resource Plan </w:t>
      </w:r>
      <w:r w:rsidR="004559E7">
        <w:rPr>
          <w:bCs/>
          <w:color w:val="000000"/>
        </w:rPr>
        <w:t>[]</w:t>
      </w:r>
      <w:r w:rsidR="008369E6" w:rsidRPr="008369E6">
        <w:rPr>
          <w:bCs/>
          <w:color w:val="000000"/>
        </w:rPr>
        <w:t xml:space="preserve"> (Docket No. 44160), </w:t>
      </w:r>
      <w:r w:rsidR="002479E3" w:rsidRPr="404D9EDB">
        <w:rPr>
          <w:rStyle w:val="normaltextrun"/>
          <w:color w:val="000000" w:themeColor="text1"/>
        </w:rPr>
        <w:t>which notes how projects are evaluated and developed.</w:t>
      </w:r>
      <w:r w:rsidR="002479E3">
        <w:rPr>
          <w:rStyle w:val="normaltextrun"/>
          <w:color w:val="000000" w:themeColor="text1"/>
        </w:rPr>
        <w:t>”</w:t>
      </w:r>
      <w:r w:rsidR="00A024E2">
        <w:rPr>
          <w:rStyle w:val="normaltextrun"/>
          <w:color w:val="000000" w:themeColor="text1"/>
        </w:rPr>
        <w:t xml:space="preserve"> This appendix is attached to the </w:t>
      </w:r>
      <w:r w:rsidR="00B00B99">
        <w:rPr>
          <w:rStyle w:val="normaltextrun"/>
          <w:color w:val="000000" w:themeColor="text1"/>
        </w:rPr>
        <w:t xml:space="preserve">2022 </w:t>
      </w:r>
      <w:r w:rsidR="00A024E2">
        <w:rPr>
          <w:rStyle w:val="normaltextrun"/>
          <w:color w:val="000000" w:themeColor="text1"/>
        </w:rPr>
        <w:t xml:space="preserve">IRP </w:t>
      </w:r>
      <w:r w:rsidR="00A024E2">
        <w:rPr>
          <w:rStyle w:val="normaltextrun"/>
          <w:color w:val="000000" w:themeColor="text1"/>
        </w:rPr>
        <w:lastRenderedPageBreak/>
        <w:t>process</w:t>
      </w:r>
      <w:r w:rsidR="00BD523F">
        <w:rPr>
          <w:rStyle w:val="normaltextrun"/>
          <w:color w:val="000000" w:themeColor="text1"/>
        </w:rPr>
        <w:t>—</w:t>
      </w:r>
      <w:r w:rsidR="00B00B99">
        <w:rPr>
          <w:rStyle w:val="normaltextrun"/>
          <w:color w:val="000000" w:themeColor="text1"/>
        </w:rPr>
        <w:t xml:space="preserve"> a process</w:t>
      </w:r>
      <w:r w:rsidR="00A024E2">
        <w:rPr>
          <w:rStyle w:val="normaltextrun"/>
          <w:color w:val="000000" w:themeColor="text1"/>
        </w:rPr>
        <w:t xml:space="preserve"> that Georgia Power used </w:t>
      </w:r>
      <w:r w:rsidR="004559E7">
        <w:rPr>
          <w:rStyle w:val="normaltextrun"/>
          <w:color w:val="000000" w:themeColor="text1"/>
        </w:rPr>
        <w:t>prior to</w:t>
      </w:r>
      <w:r w:rsidR="00A024E2">
        <w:rPr>
          <w:rStyle w:val="normaltextrun"/>
          <w:color w:val="000000" w:themeColor="text1"/>
        </w:rPr>
        <w:t xml:space="preserve"> it</w:t>
      </w:r>
      <w:r w:rsidR="00BD523F">
        <w:rPr>
          <w:rStyle w:val="normaltextrun"/>
          <w:color w:val="000000" w:themeColor="text1"/>
        </w:rPr>
        <w:t>s</w:t>
      </w:r>
      <w:r w:rsidR="00A024E2">
        <w:rPr>
          <w:rStyle w:val="normaltextrun"/>
          <w:color w:val="000000" w:themeColor="text1"/>
        </w:rPr>
        <w:t xml:space="preserve"> claim</w:t>
      </w:r>
      <w:r w:rsidR="004559E7">
        <w:rPr>
          <w:rStyle w:val="normaltextrun"/>
          <w:color w:val="000000" w:themeColor="text1"/>
        </w:rPr>
        <w:t xml:space="preserve">ed realization that there is </w:t>
      </w:r>
      <w:r w:rsidR="00A024E2">
        <w:rPr>
          <w:rStyle w:val="normaltextrun"/>
          <w:color w:val="000000" w:themeColor="text1"/>
        </w:rPr>
        <w:t>“unprecedented load growth”</w:t>
      </w:r>
      <w:r w:rsidR="004559E7">
        <w:rPr>
          <w:rStyle w:val="normaltextrun"/>
          <w:color w:val="000000" w:themeColor="text1"/>
        </w:rPr>
        <w:t xml:space="preserve"> on its system.</w:t>
      </w:r>
      <w:r w:rsidR="00A024E2">
        <w:rPr>
          <w:rStyle w:val="normaltextrun"/>
          <w:color w:val="000000" w:themeColor="text1"/>
        </w:rPr>
        <w:t xml:space="preserve"> </w:t>
      </w:r>
    </w:p>
    <w:p w14:paraId="781398A6" w14:textId="0AFAA994" w:rsidR="003219F5" w:rsidRDefault="003219F5" w:rsidP="003219F5">
      <w:pPr>
        <w:pStyle w:val="Question"/>
      </w:pPr>
      <w:r>
        <w:t>Q.</w:t>
      </w:r>
      <w:r>
        <w:tab/>
        <w:t>Do you have any other reasons that georgia power should be considering transmission in it</w:t>
      </w:r>
      <w:r w:rsidR="00384A74">
        <w:t>s</w:t>
      </w:r>
      <w:r>
        <w:t xml:space="preserve"> irp?</w:t>
      </w:r>
    </w:p>
    <w:p w14:paraId="22D4033B" w14:textId="614DBDD8" w:rsidR="003219F5" w:rsidRDefault="003219F5" w:rsidP="003219F5">
      <w:pPr>
        <w:pStyle w:val="Answer"/>
        <w:rPr>
          <w:color w:val="000000" w:themeColor="text1"/>
        </w:rPr>
      </w:pPr>
      <w:r>
        <w:t>A.</w:t>
      </w:r>
      <w:r>
        <w:tab/>
        <w:t>Yes. Georgia Power’s existing system is primarily lower voltage transmission lines.</w:t>
      </w:r>
      <w:r w:rsidRPr="005754CA">
        <w:rPr>
          <w:color w:val="000000" w:themeColor="text1"/>
        </w:rPr>
        <w:t xml:space="preserve"> </w:t>
      </w:r>
      <w:r>
        <w:rPr>
          <w:color w:val="000000" w:themeColor="text1"/>
        </w:rPr>
        <w:t xml:space="preserve">According to </w:t>
      </w:r>
      <w:r w:rsidR="003B64DA">
        <w:rPr>
          <w:color w:val="000000" w:themeColor="text1"/>
        </w:rPr>
        <w:t>the Company’s</w:t>
      </w:r>
      <w:r>
        <w:rPr>
          <w:color w:val="000000" w:themeColor="text1"/>
        </w:rPr>
        <w:t xml:space="preserve"> 2022 IRP Technical Appendix, less than 1/3 of Georgia Power’s transmission network is in higher voltage transmission &gt;230 kV, and only 10% of the total lines are 500kV or above.</w:t>
      </w:r>
      <w:r w:rsidR="005D3DB9">
        <w:rPr>
          <w:color w:val="000000" w:themeColor="text1"/>
        </w:rPr>
        <w:t xml:space="preserve"> See Figure 1 below:</w:t>
      </w:r>
    </w:p>
    <w:p w14:paraId="0794BFCA" w14:textId="403EF615" w:rsidR="005D3DB9" w:rsidRPr="005D3DB9" w:rsidRDefault="005D3DB9" w:rsidP="005D3DB9">
      <w:pPr>
        <w:pStyle w:val="FigureNumber"/>
        <w:rPr>
          <w:color w:val="000000" w:themeColor="text1"/>
        </w:rPr>
      </w:pPr>
      <w:r w:rsidRPr="005D3DB9">
        <w:t>Figure 1</w:t>
      </w:r>
    </w:p>
    <w:p w14:paraId="76824D37" w14:textId="7598956C" w:rsidR="003219F5" w:rsidRDefault="003219F5" w:rsidP="005D3DB9">
      <w:pPr>
        <w:pStyle w:val="Answer"/>
        <w:keepNext/>
        <w:keepLines/>
        <w:ind w:firstLine="0"/>
        <w:rPr>
          <w:color w:val="000000" w:themeColor="text1"/>
        </w:rPr>
      </w:pPr>
      <w:r>
        <w:rPr>
          <w:noProof/>
        </w:rPr>
        <w:drawing>
          <wp:inline distT="0" distB="0" distL="0" distR="0" wp14:anchorId="79A93B27" wp14:editId="6083986E">
            <wp:extent cx="2956845" cy="2258386"/>
            <wp:effectExtent l="12700" t="12700" r="15240" b="15240"/>
            <wp:docPr id="6776156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7615691" name=""/>
                    <pic:cNvPicPr/>
                  </pic:nvPicPr>
                  <pic:blipFill>
                    <a:blip r:embed="rId12"/>
                    <a:stretch>
                      <a:fillRect/>
                    </a:stretch>
                  </pic:blipFill>
                  <pic:spPr>
                    <a:xfrm>
                      <a:off x="0" y="0"/>
                      <a:ext cx="2971071" cy="2269252"/>
                    </a:xfrm>
                    <a:prstGeom prst="rect">
                      <a:avLst/>
                    </a:prstGeom>
                    <a:ln>
                      <a:solidFill>
                        <a:schemeClr val="accent1"/>
                      </a:solidFill>
                    </a:ln>
                  </pic:spPr>
                </pic:pic>
              </a:graphicData>
            </a:graphic>
          </wp:inline>
        </w:drawing>
      </w:r>
    </w:p>
    <w:p w14:paraId="73081C39" w14:textId="05C8B59A" w:rsidR="003219F5" w:rsidRDefault="003219F5" w:rsidP="003219F5">
      <w:pPr>
        <w:pStyle w:val="Question"/>
      </w:pPr>
      <w:r>
        <w:t>Q.</w:t>
      </w:r>
      <w:r>
        <w:tab/>
        <w:t>Why does that matter?</w:t>
      </w:r>
    </w:p>
    <w:p w14:paraId="4F28808B" w14:textId="77777777" w:rsidR="00323C6E" w:rsidRDefault="003219F5" w:rsidP="00AB1CA2">
      <w:pPr>
        <w:pStyle w:val="Answer"/>
      </w:pPr>
      <w:r>
        <w:t>A.</w:t>
      </w:r>
      <w:r>
        <w:tab/>
        <w:t xml:space="preserve">In addition to potentially being more cost-effective, higher voltage and higher capacity lines can maximize </w:t>
      </w:r>
      <w:r w:rsidR="00323C6E">
        <w:t>a utility’s ability</w:t>
      </w:r>
      <w:r w:rsidR="006B2F54">
        <w:t xml:space="preserve"> to carry and deliver </w:t>
      </w:r>
      <w:r w:rsidR="00B934F7">
        <w:t>power</w:t>
      </w:r>
      <w:r w:rsidR="00323C6E">
        <w:t xml:space="preserve">. </w:t>
      </w:r>
      <w:r w:rsidR="00B934F7">
        <w:t xml:space="preserve"> </w:t>
      </w:r>
      <w:r w:rsidR="00323C6E">
        <w:t>In contrast, tr</w:t>
      </w:r>
      <w:r w:rsidR="00B934F7">
        <w:t xml:space="preserve">ansmission constraints can </w:t>
      </w:r>
      <w:r w:rsidR="000F7FC7">
        <w:t>reduce</w:t>
      </w:r>
      <w:r w:rsidR="00B934F7">
        <w:t xml:space="preserve"> the capacity </w:t>
      </w:r>
      <w:r w:rsidR="00323C6E">
        <w:t xml:space="preserve">available </w:t>
      </w:r>
      <w:r w:rsidR="00B934F7">
        <w:t>from existing generation, which in turn increase</w:t>
      </w:r>
      <w:r w:rsidR="00323C6E">
        <w:t xml:space="preserve"> the utility’s</w:t>
      </w:r>
      <w:r w:rsidR="00B934F7">
        <w:t xml:space="preserve"> generation procurement requirements to meet peak load</w:t>
      </w:r>
      <w:r w:rsidR="006B2F54">
        <w:t xml:space="preserve">.  </w:t>
      </w:r>
    </w:p>
    <w:p w14:paraId="1218AA2D" w14:textId="440020EA" w:rsidR="00AB1CA2" w:rsidRDefault="006B2F54" w:rsidP="00323C6E">
      <w:pPr>
        <w:pStyle w:val="Answer"/>
        <w:ind w:firstLine="0"/>
        <w:rPr>
          <w:szCs w:val="24"/>
        </w:rPr>
      </w:pPr>
      <w:r>
        <w:lastRenderedPageBreak/>
        <w:t xml:space="preserve">As Georgia Power notes in response to </w:t>
      </w:r>
      <w:r w:rsidR="00B934F7">
        <w:t xml:space="preserve">Data Request No. </w:t>
      </w:r>
      <w:r w:rsidR="00DE7E32">
        <w:t>STF-GS-2-1, “</w:t>
      </w:r>
      <w:r w:rsidR="00DE7E32">
        <w:rPr>
          <w:szCs w:val="24"/>
        </w:rPr>
        <w:t>t</w:t>
      </w:r>
      <w:r w:rsidR="00DE7E32" w:rsidRPr="00367740">
        <w:rPr>
          <w:szCs w:val="24"/>
        </w:rPr>
        <w:t>ransmission constraints occur in all seasons.</w:t>
      </w:r>
      <w:r w:rsidR="00DE7E32">
        <w:rPr>
          <w:szCs w:val="24"/>
        </w:rPr>
        <w:t xml:space="preserve">” </w:t>
      </w:r>
      <w:r w:rsidR="00323C6E">
        <w:rPr>
          <w:szCs w:val="24"/>
        </w:rPr>
        <w:t xml:space="preserve">The impact of transmission constraints on generation availability is exemplified by Georgia Power’s explanation of the projects proposed in its Updated IRP. </w:t>
      </w:r>
      <w:r w:rsidR="00DE7E32">
        <w:rPr>
          <w:bCs/>
          <w:szCs w:val="24"/>
        </w:rPr>
        <w:t xml:space="preserve">Specifically, </w:t>
      </w:r>
      <w:r w:rsidR="00323C6E">
        <w:rPr>
          <w:bCs/>
          <w:szCs w:val="24"/>
        </w:rPr>
        <w:t xml:space="preserve">in response to Data Request No. </w:t>
      </w:r>
      <w:r w:rsidR="00DE7E32" w:rsidRPr="00B934F7">
        <w:rPr>
          <w:bCs/>
          <w:szCs w:val="24"/>
        </w:rPr>
        <w:t>STF-JKA-2-25</w:t>
      </w:r>
      <w:r w:rsidR="00DE7E32">
        <w:rPr>
          <w:bCs/>
          <w:szCs w:val="24"/>
        </w:rPr>
        <w:t xml:space="preserve"> explains that </w:t>
      </w:r>
      <w:r w:rsidR="00B934F7">
        <w:rPr>
          <w:bCs/>
          <w:szCs w:val="24"/>
        </w:rPr>
        <w:t>“</w:t>
      </w:r>
      <w:r w:rsidR="00B934F7" w:rsidRPr="28A211F0">
        <w:rPr>
          <w:szCs w:val="24"/>
        </w:rPr>
        <w:t xml:space="preserve">the Company’s economic analysis assumed resources could only provide capacity contribution up to the amount of capacity available on the transmission system. For </w:t>
      </w:r>
      <w:r w:rsidR="00B934F7">
        <w:rPr>
          <w:szCs w:val="24"/>
        </w:rPr>
        <w:t>example</w:t>
      </w:r>
      <w:r w:rsidR="00B934F7" w:rsidRPr="28A211F0">
        <w:rPr>
          <w:szCs w:val="24"/>
        </w:rPr>
        <w:t>, the output of Plant Yates Units 8-10 is limited to 600 MW during peak periods until summer of 2028. After the summer of 2028, the transmission system can accommodate the full output of Plant Yates Units</w:t>
      </w:r>
      <w:r w:rsidR="00384A74">
        <w:rPr>
          <w:szCs w:val="24"/>
        </w:rPr>
        <w:t> </w:t>
      </w:r>
      <w:r w:rsidR="00B934F7" w:rsidRPr="28A211F0">
        <w:rPr>
          <w:szCs w:val="24"/>
        </w:rPr>
        <w:t>8</w:t>
      </w:r>
      <w:r w:rsidR="00384A74">
        <w:rPr>
          <w:szCs w:val="24"/>
        </w:rPr>
        <w:noBreakHyphen/>
      </w:r>
      <w:r w:rsidR="00B934F7" w:rsidRPr="28A211F0">
        <w:rPr>
          <w:szCs w:val="24"/>
        </w:rPr>
        <w:t>10.</w:t>
      </w:r>
      <w:r w:rsidR="00B934F7">
        <w:rPr>
          <w:szCs w:val="24"/>
        </w:rPr>
        <w:t>”</w:t>
      </w:r>
      <w:r w:rsidR="00BC09FC">
        <w:rPr>
          <w:rStyle w:val="FootnoteReference"/>
          <w:szCs w:val="24"/>
        </w:rPr>
        <w:footnoteReference w:id="11"/>
      </w:r>
      <w:r w:rsidR="00384A74">
        <w:rPr>
          <w:szCs w:val="24"/>
        </w:rPr>
        <w:t xml:space="preserve"> </w:t>
      </w:r>
    </w:p>
    <w:p w14:paraId="22F349E0" w14:textId="4C3D0EBB" w:rsidR="002479E3" w:rsidRPr="00DE7E32" w:rsidRDefault="00384A74" w:rsidP="003632AF">
      <w:pPr>
        <w:pStyle w:val="Heading2"/>
        <w:rPr>
          <w:rStyle w:val="normaltextrun"/>
        </w:rPr>
      </w:pPr>
      <w:r w:rsidRPr="00DE7E32">
        <w:t>Georgia</w:t>
      </w:r>
      <w:r w:rsidR="00DE7E32">
        <w:t xml:space="preserve"> Power</w:t>
      </w:r>
      <w:r w:rsidRPr="00DE7E32">
        <w:t xml:space="preserve">’s transmission planning processes are reactive rather than proactive and </w:t>
      </w:r>
      <w:r w:rsidR="00DE7E32">
        <w:t xml:space="preserve">are </w:t>
      </w:r>
      <w:r w:rsidRPr="00DE7E32">
        <w:t>not designed to meet the state’s current and future needs.</w:t>
      </w:r>
    </w:p>
    <w:p w14:paraId="2DF45487" w14:textId="1CCC8136" w:rsidR="002479E3" w:rsidRDefault="002479E3" w:rsidP="002479E3">
      <w:pPr>
        <w:pStyle w:val="Question"/>
      </w:pPr>
      <w:r>
        <w:t>Q.</w:t>
      </w:r>
      <w:r>
        <w:tab/>
      </w:r>
      <w:r w:rsidR="00462B0B">
        <w:t>Are there deficiencies in</w:t>
      </w:r>
      <w:r>
        <w:t xml:space="preserve"> georgia power’s transmission planning study approach?</w:t>
      </w:r>
    </w:p>
    <w:p w14:paraId="59464C83" w14:textId="3C2A751F" w:rsidR="00C774EB" w:rsidRDefault="002479E3" w:rsidP="00462B0B">
      <w:pPr>
        <w:pStyle w:val="Answer"/>
        <w:rPr>
          <w:bCs/>
          <w:color w:val="000000"/>
        </w:rPr>
      </w:pPr>
      <w:r>
        <w:rPr>
          <w:bCs/>
          <w:color w:val="000000"/>
        </w:rPr>
        <w:t>A.</w:t>
      </w:r>
      <w:r>
        <w:rPr>
          <w:bCs/>
          <w:color w:val="000000"/>
        </w:rPr>
        <w:tab/>
      </w:r>
      <w:r w:rsidR="00462B0B">
        <w:rPr>
          <w:bCs/>
          <w:color w:val="000000"/>
        </w:rPr>
        <w:t xml:space="preserve">Yes. Though </w:t>
      </w:r>
      <w:r w:rsidR="00622830">
        <w:rPr>
          <w:bCs/>
          <w:color w:val="000000"/>
        </w:rPr>
        <w:t xml:space="preserve">Georgia Power </w:t>
      </w:r>
      <w:r w:rsidR="00462B0B">
        <w:rPr>
          <w:bCs/>
          <w:color w:val="000000"/>
        </w:rPr>
        <w:t xml:space="preserve">plans </w:t>
      </w:r>
      <w:r w:rsidR="00C14D16">
        <w:rPr>
          <w:bCs/>
          <w:color w:val="000000"/>
        </w:rPr>
        <w:t xml:space="preserve">resources on a twenty-year basis, it plans </w:t>
      </w:r>
      <w:r w:rsidR="00462B0B">
        <w:rPr>
          <w:bCs/>
          <w:color w:val="000000"/>
        </w:rPr>
        <w:t>transmission on a ten-year forward basis,</w:t>
      </w:r>
      <w:r w:rsidR="00C14D16">
        <w:rPr>
          <w:bCs/>
          <w:color w:val="000000"/>
        </w:rPr>
        <w:t xml:space="preserve"> and</w:t>
      </w:r>
      <w:r w:rsidR="00462B0B">
        <w:rPr>
          <w:bCs/>
          <w:color w:val="000000"/>
        </w:rPr>
        <w:t xml:space="preserve"> its latest </w:t>
      </w:r>
      <w:r w:rsidR="00C14D16">
        <w:rPr>
          <w:bCs/>
          <w:color w:val="000000"/>
        </w:rPr>
        <w:t xml:space="preserve">transmission </w:t>
      </w:r>
      <w:r w:rsidR="00462B0B">
        <w:rPr>
          <w:bCs/>
          <w:color w:val="000000"/>
        </w:rPr>
        <w:t>plan continues to be a reactive and backwards-looking examination rather than a forward-looking review of what transmission projects can help build capacity, reliability, and resiliency.  Georgia Power last filed its transmission study on Feb 28, 2023</w:t>
      </w:r>
      <w:r w:rsidR="00C774EB">
        <w:rPr>
          <w:bCs/>
          <w:color w:val="000000"/>
        </w:rPr>
        <w:t>,</w:t>
      </w:r>
      <w:r w:rsidR="00462B0B">
        <w:rPr>
          <w:bCs/>
          <w:color w:val="000000"/>
        </w:rPr>
        <w:t xml:space="preserve"> in compliance with the 2022 IRP Order.</w:t>
      </w:r>
      <w:r w:rsidR="00307C4A">
        <w:rPr>
          <w:rStyle w:val="FootnoteReference"/>
          <w:bCs/>
          <w:color w:val="000000"/>
        </w:rPr>
        <w:footnoteReference w:id="12"/>
      </w:r>
      <w:r w:rsidR="00622830">
        <w:rPr>
          <w:bCs/>
          <w:color w:val="000000"/>
        </w:rPr>
        <w:t xml:space="preserve"> </w:t>
      </w:r>
      <w:r w:rsidR="00462B0B">
        <w:rPr>
          <w:bCs/>
          <w:color w:val="000000"/>
        </w:rPr>
        <w:t xml:space="preserve">In the study Georgia Power explains that its planning is conducted by Southern </w:t>
      </w:r>
      <w:r w:rsidR="00462B0B">
        <w:rPr>
          <w:bCs/>
          <w:color w:val="000000"/>
        </w:rPr>
        <w:lastRenderedPageBreak/>
        <w:t xml:space="preserve">Company’s Services – Transmission (SCST) and that </w:t>
      </w:r>
      <w:r w:rsidR="00C774EB">
        <w:rPr>
          <w:bCs/>
          <w:color w:val="000000"/>
        </w:rPr>
        <w:t>planning is concerned with “</w:t>
      </w:r>
      <w:r w:rsidR="00C774EB" w:rsidRPr="00C774EB">
        <w:rPr>
          <w:bCs/>
          <w:color w:val="000000"/>
        </w:rPr>
        <w:t>maintaining system models</w:t>
      </w:r>
      <w:r w:rsidR="00C774EB">
        <w:rPr>
          <w:bCs/>
          <w:color w:val="000000"/>
        </w:rPr>
        <w:t xml:space="preserve">” and includes </w:t>
      </w:r>
      <w:r w:rsidR="00C774EB" w:rsidRPr="00C774EB">
        <w:rPr>
          <w:bCs/>
          <w:color w:val="000000"/>
        </w:rPr>
        <w:t>steady state, stability, and short circuit studies</w:t>
      </w:r>
      <w:r w:rsidR="00C774EB">
        <w:rPr>
          <w:bCs/>
          <w:color w:val="000000"/>
        </w:rPr>
        <w:t>.”</w:t>
      </w:r>
      <w:r w:rsidR="00C774EB">
        <w:rPr>
          <w:rStyle w:val="FootnoteReference"/>
          <w:bCs/>
          <w:color w:val="000000"/>
        </w:rPr>
        <w:footnoteReference w:id="13"/>
      </w:r>
    </w:p>
    <w:p w14:paraId="5CF2CA81" w14:textId="5C1A76E4" w:rsidR="00C774EB" w:rsidRDefault="00C774EB" w:rsidP="00C774EB">
      <w:pPr>
        <w:pStyle w:val="Question"/>
      </w:pPr>
      <w:r>
        <w:t>Q.</w:t>
      </w:r>
      <w:r>
        <w:tab/>
        <w:t>What does that mean?</w:t>
      </w:r>
    </w:p>
    <w:p w14:paraId="3B3760D7" w14:textId="41A3227C" w:rsidR="00C774EB" w:rsidRDefault="00C774EB" w:rsidP="00462B0B">
      <w:pPr>
        <w:pStyle w:val="Answer"/>
        <w:rPr>
          <w:bCs/>
          <w:color w:val="000000"/>
        </w:rPr>
      </w:pPr>
      <w:r>
        <w:rPr>
          <w:bCs/>
          <w:color w:val="000000"/>
        </w:rPr>
        <w:t>A.</w:t>
      </w:r>
      <w:r>
        <w:rPr>
          <w:bCs/>
          <w:color w:val="000000"/>
        </w:rPr>
        <w:tab/>
        <w:t xml:space="preserve">That means that Georgia Power is examining transmission needs only to ensure that there are no </w:t>
      </w:r>
      <w:r w:rsidR="00EC1AD2">
        <w:rPr>
          <w:bCs/>
          <w:color w:val="000000"/>
        </w:rPr>
        <w:t xml:space="preserve">current or expected </w:t>
      </w:r>
      <w:r>
        <w:rPr>
          <w:bCs/>
          <w:color w:val="000000"/>
        </w:rPr>
        <w:t>reliability violations</w:t>
      </w:r>
      <w:r w:rsidR="00384A74">
        <w:rPr>
          <w:bCs/>
          <w:color w:val="000000"/>
        </w:rPr>
        <w:t xml:space="preserve"> and that current generation capacity is connected (though not necessarily maximized) to the system. (See </w:t>
      </w:r>
      <w:r w:rsidR="00EC1AD2">
        <w:rPr>
          <w:bCs/>
          <w:color w:val="000000"/>
        </w:rPr>
        <w:t>Transmission Study</w:t>
      </w:r>
      <w:r w:rsidR="00384A74">
        <w:rPr>
          <w:bCs/>
          <w:color w:val="000000"/>
        </w:rPr>
        <w:t xml:space="preserve"> at</w:t>
      </w:r>
      <w:r w:rsidR="003130F0">
        <w:rPr>
          <w:bCs/>
          <w:color w:val="000000"/>
        </w:rPr>
        <w:t> </w:t>
      </w:r>
      <w:r w:rsidR="00EC1AD2">
        <w:rPr>
          <w:bCs/>
          <w:color w:val="000000"/>
        </w:rPr>
        <w:t>19 describing</w:t>
      </w:r>
      <w:r w:rsidR="003130F0">
        <w:rPr>
          <w:bCs/>
          <w:color w:val="000000"/>
        </w:rPr>
        <w:t xml:space="preserve"> the</w:t>
      </w:r>
      <w:r w:rsidR="00EC1AD2">
        <w:rPr>
          <w:bCs/>
          <w:color w:val="000000"/>
        </w:rPr>
        <w:t xml:space="preserve"> inputs </w:t>
      </w:r>
      <w:r w:rsidR="003130F0">
        <w:rPr>
          <w:bCs/>
          <w:color w:val="000000"/>
        </w:rPr>
        <w:t xml:space="preserve">used for </w:t>
      </w:r>
      <w:r w:rsidR="00EC1AD2">
        <w:rPr>
          <w:bCs/>
          <w:color w:val="000000"/>
        </w:rPr>
        <w:t>the base case).</w:t>
      </w:r>
      <w:r>
        <w:rPr>
          <w:bCs/>
          <w:color w:val="000000"/>
        </w:rPr>
        <w:t xml:space="preserve"> </w:t>
      </w:r>
    </w:p>
    <w:p w14:paraId="4D54EC68" w14:textId="58309772" w:rsidR="00EC1AD2" w:rsidRDefault="00EC1AD2" w:rsidP="00EC1AD2">
      <w:pPr>
        <w:pStyle w:val="Question"/>
      </w:pPr>
      <w:r>
        <w:t>Q.</w:t>
      </w:r>
      <w:r>
        <w:tab/>
        <w:t>how is proactive planning different?</w:t>
      </w:r>
    </w:p>
    <w:p w14:paraId="7EE0122A" w14:textId="7B9DC4EE" w:rsidR="00462B0B" w:rsidRDefault="00EC1AD2" w:rsidP="00AB1CA2">
      <w:pPr>
        <w:pStyle w:val="Answer"/>
      </w:pPr>
      <w:r>
        <w:rPr>
          <w:bCs/>
          <w:color w:val="000000"/>
        </w:rPr>
        <w:t>A.</w:t>
      </w:r>
      <w:r>
        <w:rPr>
          <w:bCs/>
          <w:color w:val="000000"/>
        </w:rPr>
        <w:tab/>
      </w:r>
      <w:r w:rsidR="00E37806">
        <w:rPr>
          <w:bCs/>
          <w:color w:val="000000"/>
        </w:rPr>
        <w:t xml:space="preserve">In contrast to a reactive process that addresses past problems, </w:t>
      </w:r>
      <w:r w:rsidR="00AB1CA2">
        <w:rPr>
          <w:bCs/>
          <w:color w:val="000000"/>
        </w:rPr>
        <w:t>i</w:t>
      </w:r>
      <w:r w:rsidR="00E37806">
        <w:rPr>
          <w:bCs/>
          <w:color w:val="000000"/>
        </w:rPr>
        <w:t xml:space="preserve">n a proactive planning process the utility conducts future-looking analysis that identifies whether new transmission solutions can help prepare the system for potential known and unknown network changes.  </w:t>
      </w:r>
      <w:r>
        <w:rPr>
          <w:bCs/>
          <w:color w:val="000000"/>
        </w:rPr>
        <w:t>In an ideal proactive plan, Georgia Power would run a multivalue scenario analysis that considers not only reliability issues,</w:t>
      </w:r>
      <w:r w:rsidR="00E37806">
        <w:rPr>
          <w:bCs/>
          <w:color w:val="000000"/>
        </w:rPr>
        <w:t xml:space="preserve"> but also</w:t>
      </w:r>
      <w:r w:rsidR="00AB1CA2">
        <w:rPr>
          <w:bCs/>
          <w:color w:val="000000"/>
        </w:rPr>
        <w:t xml:space="preserve"> at a minimum</w:t>
      </w:r>
      <w:r w:rsidR="00A30894">
        <w:rPr>
          <w:bCs/>
          <w:color w:val="000000"/>
        </w:rPr>
        <w:t xml:space="preserve"> examines:</w:t>
      </w:r>
      <w:r>
        <w:rPr>
          <w:bCs/>
          <w:color w:val="000000"/>
        </w:rPr>
        <w:t xml:space="preserve"> </w:t>
      </w:r>
      <w:r w:rsidR="00E37806">
        <w:rPr>
          <w:bCs/>
          <w:color w:val="000000"/>
        </w:rPr>
        <w:t xml:space="preserve">expected growth under both status quo and high growth load scenarios, </w:t>
      </w:r>
      <w:r w:rsidR="00A30894">
        <w:rPr>
          <w:bCs/>
          <w:color w:val="000000"/>
        </w:rPr>
        <w:t>n</w:t>
      </w:r>
      <w:r>
        <w:rPr>
          <w:bCs/>
          <w:color w:val="000000"/>
        </w:rPr>
        <w:t xml:space="preserve">ew transmission that would </w:t>
      </w:r>
      <w:r>
        <w:t>increase import or export capability</w:t>
      </w:r>
      <w:r w:rsidR="00A30894">
        <w:t>,</w:t>
      </w:r>
      <w:r w:rsidR="003130F0">
        <w:t xml:space="preserve"> </w:t>
      </w:r>
      <w:r w:rsidR="00E37806">
        <w:t xml:space="preserve">transmission upgrades that </w:t>
      </w:r>
      <w:r w:rsidR="00A30894">
        <w:t>c</w:t>
      </w:r>
      <w:r w:rsidR="00E37806">
        <w:t>ould result in increasing system efficiency and reducing line loss</w:t>
      </w:r>
      <w:r w:rsidR="00A30894">
        <w:t>es</w:t>
      </w:r>
      <w:r w:rsidR="00AB1CA2">
        <w:t xml:space="preserve">, </w:t>
      </w:r>
      <w:r w:rsidR="00A30894">
        <w:t xml:space="preserve">and new </w:t>
      </w:r>
      <w:r w:rsidR="00AB1CA2">
        <w:t xml:space="preserve">transmission </w:t>
      </w:r>
      <w:r w:rsidR="00A30894">
        <w:t xml:space="preserve">or transmission </w:t>
      </w:r>
      <w:r w:rsidR="00AB1CA2">
        <w:t>upgrades that would increase economic efficiency</w:t>
      </w:r>
      <w:r w:rsidR="00E37806">
        <w:t>.  Moreover,</w:t>
      </w:r>
      <w:r w:rsidR="003130F0">
        <w:t xml:space="preserve"> in contrast to Georgia Power’s current black box planning process, multivalue planning </w:t>
      </w:r>
      <w:r w:rsidR="00E37806">
        <w:t>process</w:t>
      </w:r>
      <w:r w:rsidR="003130F0">
        <w:t>es</w:t>
      </w:r>
      <w:r w:rsidR="00E37806">
        <w:t xml:space="preserve"> </w:t>
      </w:r>
      <w:r w:rsidR="003130F0">
        <w:t>are</w:t>
      </w:r>
      <w:r w:rsidR="00E37806">
        <w:t xml:space="preserve"> open and transparent to allow </w:t>
      </w:r>
      <w:r w:rsidR="00AB1CA2">
        <w:t xml:space="preserve">all stakeholders—not just other </w:t>
      </w:r>
      <w:r w:rsidR="00AB1CA2">
        <w:lastRenderedPageBreak/>
        <w:t xml:space="preserve">utilities and transmission providers—to </w:t>
      </w:r>
      <w:r w:rsidR="00E37806">
        <w:t>vet</w:t>
      </w:r>
      <w:r w:rsidR="00AB1CA2">
        <w:t xml:space="preserve"> and inform the</w:t>
      </w:r>
      <w:r w:rsidR="00E37806">
        <w:t xml:space="preserve"> scenario</w:t>
      </w:r>
      <w:r w:rsidR="00AB1CA2">
        <w:t xml:space="preserve"> development</w:t>
      </w:r>
      <w:r w:rsidR="00E37806">
        <w:t xml:space="preserve"> to ensure they match </w:t>
      </w:r>
      <w:r w:rsidR="00A30894">
        <w:t>probable</w:t>
      </w:r>
      <w:r w:rsidR="00AB1CA2">
        <w:t xml:space="preserve"> network changes. </w:t>
      </w:r>
    </w:p>
    <w:p w14:paraId="0C1EC4FB" w14:textId="64FA5D7B" w:rsidR="00A024E2" w:rsidRDefault="00A024E2" w:rsidP="00A024E2">
      <w:pPr>
        <w:pStyle w:val="Question"/>
      </w:pPr>
      <w:r>
        <w:t>Q.</w:t>
      </w:r>
      <w:r>
        <w:tab/>
        <w:t>Did Georgia Power engage in proactive planning when it conducted the transmission analysis to support this updated IRP filing?</w:t>
      </w:r>
    </w:p>
    <w:p w14:paraId="596ACFB6" w14:textId="6AE35760" w:rsidR="00334DD6" w:rsidRDefault="00A024E2" w:rsidP="00334DD6">
      <w:pPr>
        <w:pStyle w:val="Answer"/>
        <w:rPr>
          <w:rStyle w:val="normaltextrun"/>
          <w:color w:val="000000" w:themeColor="text1"/>
        </w:rPr>
      </w:pPr>
      <w:r>
        <w:t>A.</w:t>
      </w:r>
      <w:r>
        <w:tab/>
        <w:t xml:space="preserve">No. </w:t>
      </w:r>
      <w:r w:rsidR="00334DD6">
        <w:rPr>
          <w:rStyle w:val="normaltextrun"/>
          <w:color w:val="000000" w:themeColor="text1"/>
        </w:rPr>
        <w:t xml:space="preserve">The transmission analysis that </w:t>
      </w:r>
      <w:r w:rsidR="00BD523F">
        <w:rPr>
          <w:rStyle w:val="normaltextrun"/>
          <w:color w:val="000000" w:themeColor="text1"/>
        </w:rPr>
        <w:t>Georgia Power</w:t>
      </w:r>
      <w:r w:rsidR="00334DD6">
        <w:rPr>
          <w:rStyle w:val="normaltextrun"/>
          <w:color w:val="000000" w:themeColor="text1"/>
        </w:rPr>
        <w:t xml:space="preserve"> filed in January 2024 </w:t>
      </w:r>
      <w:r w:rsidR="00992279">
        <w:rPr>
          <w:rStyle w:val="normaltextrun"/>
          <w:color w:val="000000" w:themeColor="text1"/>
        </w:rPr>
        <w:t>is limited to</w:t>
      </w:r>
      <w:r w:rsidR="00334DD6">
        <w:rPr>
          <w:rStyle w:val="normaltextrun"/>
          <w:color w:val="000000" w:themeColor="text1"/>
        </w:rPr>
        <w:t xml:space="preserve"> analyz</w:t>
      </w:r>
      <w:r w:rsidR="00992279">
        <w:rPr>
          <w:rStyle w:val="normaltextrun"/>
          <w:color w:val="000000" w:themeColor="text1"/>
        </w:rPr>
        <w:t xml:space="preserve">ing </w:t>
      </w:r>
      <w:r w:rsidR="00334DD6">
        <w:rPr>
          <w:rStyle w:val="normaltextrun"/>
          <w:color w:val="000000" w:themeColor="text1"/>
        </w:rPr>
        <w:t>whether</w:t>
      </w:r>
      <w:r w:rsidR="00992279">
        <w:rPr>
          <w:rStyle w:val="normaltextrun"/>
          <w:color w:val="000000" w:themeColor="text1"/>
        </w:rPr>
        <w:t xml:space="preserve"> new or upgraded</w:t>
      </w:r>
      <w:r w:rsidR="00334DD6">
        <w:rPr>
          <w:rStyle w:val="normaltextrun"/>
          <w:color w:val="000000" w:themeColor="text1"/>
        </w:rPr>
        <w:t xml:space="preserve"> transmission is needed to deliver Georgia Power’s proposed generation options. It does not examine any</w:t>
      </w:r>
      <w:r w:rsidR="00992279">
        <w:rPr>
          <w:rStyle w:val="normaltextrun"/>
          <w:color w:val="000000" w:themeColor="text1"/>
        </w:rPr>
        <w:t xml:space="preserve"> independent</w:t>
      </w:r>
      <w:r w:rsidR="00334DD6">
        <w:rPr>
          <w:rStyle w:val="normaltextrun"/>
          <w:color w:val="000000" w:themeColor="text1"/>
        </w:rPr>
        <w:t xml:space="preserve"> potential </w:t>
      </w:r>
      <w:r w:rsidR="00CB1641">
        <w:rPr>
          <w:rStyle w:val="normaltextrun"/>
          <w:color w:val="000000" w:themeColor="text1"/>
        </w:rPr>
        <w:t xml:space="preserve">new </w:t>
      </w:r>
      <w:r w:rsidR="00334DD6">
        <w:rPr>
          <w:rStyle w:val="normaltextrun"/>
          <w:color w:val="000000" w:themeColor="text1"/>
        </w:rPr>
        <w:t xml:space="preserve">transmission solutions that could enhance or supplant the proposed generation options.  </w:t>
      </w:r>
    </w:p>
    <w:p w14:paraId="6D45F737" w14:textId="1035ED52" w:rsidR="00334DD6" w:rsidRDefault="00334DD6" w:rsidP="00334DD6">
      <w:pPr>
        <w:pStyle w:val="Question"/>
      </w:pPr>
      <w:r>
        <w:t>Q.</w:t>
      </w:r>
      <w:r>
        <w:tab/>
      </w:r>
      <w:r w:rsidR="00CB1641">
        <w:t xml:space="preserve">Did </w:t>
      </w:r>
      <w:r w:rsidR="00C80BC4">
        <w:t>GEORGIA</w:t>
      </w:r>
      <w:r w:rsidR="00CB1641">
        <w:t xml:space="preserve"> power review any transmission upgrades, such as new </w:t>
      </w:r>
      <w:r w:rsidR="00C80BC4">
        <w:t>SUBSTATIONS</w:t>
      </w:r>
      <w:r w:rsidR="00CB1641">
        <w:t xml:space="preserve"> and transformers, grid enhancing technologies </w:t>
      </w:r>
      <w:r w:rsidR="00C53EA6">
        <w:t xml:space="preserve">(GETS) </w:t>
      </w:r>
      <w:r w:rsidR="00CB1641">
        <w:t xml:space="preserve">such as dynamic line ratings, advanced </w:t>
      </w:r>
      <w:r w:rsidR="00C80BC4">
        <w:t>RECONDUCTORING</w:t>
      </w:r>
      <w:r w:rsidR="00CB1641">
        <w:t xml:space="preserve">, etc. </w:t>
      </w:r>
      <w:r w:rsidR="00992279">
        <w:t xml:space="preserve">in its transmission analysis to </w:t>
      </w:r>
      <w:r>
        <w:t>address the unprecedented load growth?</w:t>
      </w:r>
    </w:p>
    <w:p w14:paraId="63820C89" w14:textId="58E799D8" w:rsidR="00CB1641" w:rsidRDefault="00334DD6" w:rsidP="00CB1641">
      <w:pPr>
        <w:ind w:hanging="720"/>
        <w:rPr>
          <w:rStyle w:val="normaltextrun"/>
          <w:color w:val="000000"/>
          <w:shd w:val="clear" w:color="auto" w:fill="FFFFFF"/>
        </w:rPr>
      </w:pPr>
      <w:r>
        <w:rPr>
          <w:rStyle w:val="normaltextrun"/>
          <w:color w:val="000000" w:themeColor="text1"/>
        </w:rPr>
        <w:t>A.</w:t>
      </w:r>
      <w:r w:rsidR="00666F39">
        <w:rPr>
          <w:rStyle w:val="normaltextrun"/>
          <w:color w:val="000000" w:themeColor="text1"/>
        </w:rPr>
        <w:tab/>
      </w:r>
      <w:r w:rsidR="00CB1641">
        <w:rPr>
          <w:rStyle w:val="normaltextrun"/>
          <w:color w:val="000000" w:themeColor="text1"/>
        </w:rPr>
        <w:t>No</w:t>
      </w:r>
      <w:r w:rsidR="00B63129">
        <w:rPr>
          <w:rStyle w:val="normaltextrun"/>
          <w:color w:val="000000" w:themeColor="text1"/>
        </w:rPr>
        <w:t>t really</w:t>
      </w:r>
      <w:r w:rsidR="00992279">
        <w:rPr>
          <w:rStyle w:val="normaltextrun"/>
          <w:color w:val="000000" w:themeColor="text1"/>
        </w:rPr>
        <w:t>.</w:t>
      </w:r>
      <w:r>
        <w:rPr>
          <w:rStyle w:val="normaltextrun"/>
          <w:color w:val="000000" w:themeColor="text1"/>
        </w:rPr>
        <w:t xml:space="preserve"> </w:t>
      </w:r>
      <w:r w:rsidR="00C53EA6" w:rsidRPr="00C53EA6">
        <w:rPr>
          <w:rStyle w:val="normaltextrun"/>
          <w:color w:val="000000" w:themeColor="text1"/>
        </w:rPr>
        <w:t xml:space="preserve">In response to Data Request No. </w:t>
      </w:r>
      <w:r w:rsidR="00CB1641" w:rsidRPr="00323C6E">
        <w:rPr>
          <w:bCs/>
          <w:szCs w:val="24"/>
        </w:rPr>
        <w:t>STF-DEA-4-4</w:t>
      </w:r>
      <w:r w:rsidR="00CB1641">
        <w:rPr>
          <w:bCs/>
          <w:szCs w:val="24"/>
        </w:rPr>
        <w:t>, the company witness states that “t</w:t>
      </w:r>
      <w:r w:rsidR="00CB1641">
        <w:rPr>
          <w:szCs w:val="24"/>
        </w:rPr>
        <w:t xml:space="preserve">he Company did not consider constructing additional 345kV substations and transformers as an alternative means of energy provision from the bulk transmission system in the scenarios discussed on November 27, 2023.” </w:t>
      </w:r>
      <w:r w:rsidR="00CB1641">
        <w:rPr>
          <w:szCs w:val="24"/>
        </w:rPr>
        <w:br/>
        <w:t xml:space="preserve">In response to Data Request No. </w:t>
      </w:r>
      <w:r w:rsidR="00CB1641" w:rsidRPr="00323C6E">
        <w:rPr>
          <w:bCs/>
          <w:szCs w:val="24"/>
        </w:rPr>
        <w:t>STF-DEA-4-11</w:t>
      </w:r>
      <w:r w:rsidR="00CB1641">
        <w:rPr>
          <w:bCs/>
          <w:szCs w:val="24"/>
        </w:rPr>
        <w:t xml:space="preserve">, the Company witness </w:t>
      </w:r>
      <w:r w:rsidR="00CB1641">
        <w:t xml:space="preserve">stated that they “only applied dynamic line ratings to thermal constraints identified in off-peak transmission planning cases,” which does nothing to minimize the generation requirements to meet peak transmission planning cases.  </w:t>
      </w:r>
      <w:r w:rsidR="00CB1641">
        <w:rPr>
          <w:bCs/>
          <w:szCs w:val="24"/>
        </w:rPr>
        <w:br/>
      </w:r>
      <w:r>
        <w:rPr>
          <w:rStyle w:val="normaltextrun"/>
          <w:color w:val="000000" w:themeColor="text1"/>
        </w:rPr>
        <w:lastRenderedPageBreak/>
        <w:t xml:space="preserve">In response to Data Request No. </w:t>
      </w:r>
      <w:r w:rsidRPr="00323C6E">
        <w:rPr>
          <w:bCs/>
          <w:szCs w:val="24"/>
        </w:rPr>
        <w:t>STF-DEA-4-2</w:t>
      </w:r>
      <w:r>
        <w:rPr>
          <w:bCs/>
          <w:szCs w:val="24"/>
        </w:rPr>
        <w:t xml:space="preserve">, Georgia Power makes clear that its transmission </w:t>
      </w:r>
      <w:r w:rsidR="00C80BC4">
        <w:rPr>
          <w:bCs/>
          <w:szCs w:val="24"/>
        </w:rPr>
        <w:t>analysis</w:t>
      </w:r>
      <w:r>
        <w:rPr>
          <w:bCs/>
          <w:szCs w:val="24"/>
        </w:rPr>
        <w:t xml:space="preserve"> was limited, stating that</w:t>
      </w:r>
      <w:r w:rsidR="00C53EA6" w:rsidRPr="00C53EA6">
        <w:rPr>
          <w:bCs/>
          <w:szCs w:val="24"/>
        </w:rPr>
        <w:t xml:space="preserve"> “</w:t>
      </w:r>
      <w:r w:rsidR="00C53EA6">
        <w:rPr>
          <w:bCs/>
          <w:szCs w:val="24"/>
        </w:rPr>
        <w:t>[d]</w:t>
      </w:r>
      <w:proofErr w:type="spellStart"/>
      <w:r w:rsidR="00C53EA6" w:rsidRPr="00C53EA6">
        <w:rPr>
          <w:bCs/>
          <w:szCs w:val="24"/>
        </w:rPr>
        <w:t>ue</w:t>
      </w:r>
      <w:proofErr w:type="spellEnd"/>
      <w:r w:rsidR="00C53EA6" w:rsidRPr="00C53EA6">
        <w:rPr>
          <w:bCs/>
          <w:szCs w:val="24"/>
        </w:rPr>
        <w:t xml:space="preserve"> to the timing of the transmission screens, transmission planning focused on the use of operating guides, generation redispatch, and transmission line rebuilds/reconductors to alleviate identified constraints.”</w:t>
      </w:r>
    </w:p>
    <w:p w14:paraId="1A7F9922" w14:textId="5A85D30D" w:rsidR="00992279" w:rsidRDefault="00CB1641" w:rsidP="00CB1641">
      <w:pPr>
        <w:pStyle w:val="Question"/>
      </w:pPr>
      <w:r>
        <w:t>Q.</w:t>
      </w:r>
      <w:r>
        <w:tab/>
      </w:r>
      <w:r w:rsidR="00B63129">
        <w:t xml:space="preserve">Georgia power says it reviewed rebuilds and reconductors to alleviate constraints, </w:t>
      </w:r>
      <w:r>
        <w:t xml:space="preserve">Did </w:t>
      </w:r>
      <w:r w:rsidR="00B63129">
        <w:t>it</w:t>
      </w:r>
      <w:r>
        <w:t xml:space="preserve"> propose to </w:t>
      </w:r>
      <w:r w:rsidR="00B63129">
        <w:t xml:space="preserve">rebuild or </w:t>
      </w:r>
      <w:r>
        <w:t xml:space="preserve">reconductor any lines as part of its updated IRP? </w:t>
      </w:r>
    </w:p>
    <w:p w14:paraId="6D14FE13" w14:textId="202D2E90" w:rsidR="00CB1641" w:rsidRDefault="00CB1641" w:rsidP="00CF3806">
      <w:pPr>
        <w:pStyle w:val="Answer"/>
      </w:pPr>
      <w:r>
        <w:t>A.</w:t>
      </w:r>
      <w:r>
        <w:tab/>
        <w:t xml:space="preserve">No. </w:t>
      </w:r>
      <w:r w:rsidR="00B63129">
        <w:t>The only mention of an upgrade is with respect to the transmission line serving Plant Yates</w:t>
      </w:r>
      <w:r w:rsidR="00BD33D3">
        <w:t xml:space="preserve">; these </w:t>
      </w:r>
      <w:r w:rsidR="00B63129">
        <w:t xml:space="preserve">efforts were already identified in the </w:t>
      </w:r>
      <w:r>
        <w:t>2023 Transmission Plan</w:t>
      </w:r>
      <w:r w:rsidR="00B63129">
        <w:t xml:space="preserve"> which includes plans to rebuild or reconductor 27-115kV lines and 5-230 k</w:t>
      </w:r>
      <w:r w:rsidR="00B00B99">
        <w:t>V</w:t>
      </w:r>
      <w:r w:rsidR="00B63129">
        <w:t xml:space="preserve"> lines. It is not clear from the Transmission Study whether these rebuild/reconductor projects are like for like replacement or will include high </w:t>
      </w:r>
      <w:r w:rsidR="00BD33D3">
        <w:t xml:space="preserve">performance </w:t>
      </w:r>
      <w:r w:rsidR="00B63129">
        <w:t>conductors that could help maximize generator carrying capacity.</w:t>
      </w:r>
    </w:p>
    <w:p w14:paraId="7B70828E" w14:textId="1E7EF000" w:rsidR="00E360EE" w:rsidRDefault="00E360EE" w:rsidP="00E360EE">
      <w:pPr>
        <w:pStyle w:val="Question"/>
      </w:pPr>
      <w:r>
        <w:t>Q.</w:t>
      </w:r>
      <w:r>
        <w:tab/>
        <w:t>Can you describe how</w:t>
      </w:r>
      <w:r w:rsidR="009E2C7D">
        <w:t xml:space="preserve"> georgia power should analyze RECONDUCTORING projects</w:t>
      </w:r>
      <w:r w:rsidR="009E38BD">
        <w:t>.</w:t>
      </w:r>
    </w:p>
    <w:p w14:paraId="690E2DB6" w14:textId="29AD6D68" w:rsidR="009E2C7D" w:rsidRDefault="009E38BD" w:rsidP="00BD33D3">
      <w:pPr>
        <w:pStyle w:val="Answer"/>
      </w:pPr>
      <w:r>
        <w:t>A.</w:t>
      </w:r>
      <w:r>
        <w:tab/>
      </w:r>
      <w:r w:rsidR="00BD33D3">
        <w:t>Yes. In lieu of just replacing existing lines with lines of the same capacity and technology</w:t>
      </w:r>
      <w:r w:rsidR="009E2C7D">
        <w:t xml:space="preserve"> or dealing with congestion</w:t>
      </w:r>
      <w:r w:rsidR="00BD33D3">
        <w:t xml:space="preserve">, Georgia Power </w:t>
      </w:r>
      <w:r w:rsidR="009E2C7D">
        <w:t>sh</w:t>
      </w:r>
      <w:r w:rsidR="00BD33D3">
        <w:t>ould analyze the potential</w:t>
      </w:r>
      <w:r w:rsidR="009E2C7D">
        <w:t xml:space="preserve"> resiliency and capacity</w:t>
      </w:r>
      <w:r w:rsidR="00BD33D3">
        <w:t xml:space="preserve"> gains from reconductoring pathways with high performance conductors</w:t>
      </w:r>
      <w:r w:rsidR="009E2C7D">
        <w:t>. This</w:t>
      </w:r>
      <w:r w:rsidR="00BD33D3">
        <w:t xml:space="preserve"> </w:t>
      </w:r>
      <w:r w:rsidR="009E2C7D">
        <w:t>would</w:t>
      </w:r>
      <w:r w:rsidR="00BD33D3">
        <w:t xml:space="preserve"> entail replacing the line with </w:t>
      </w:r>
      <w:r w:rsidR="009E2C7D">
        <w:t>either a larger diameter of conductor or a new advanced conductor technology</w:t>
      </w:r>
      <w:r w:rsidR="00E97AFD">
        <w:t xml:space="preserve"> which “</w:t>
      </w:r>
      <w:r w:rsidR="009E2C7D">
        <w:t xml:space="preserve">may add approximately 5%-10% to the total </w:t>
      </w:r>
      <w:r w:rsidR="009E2C7D">
        <w:lastRenderedPageBreak/>
        <w:t>project cost</w:t>
      </w:r>
      <w:r w:rsidR="00E97AFD">
        <w:t>;</w:t>
      </w:r>
      <w:r w:rsidR="009E2C7D">
        <w:t xml:space="preserve"> however, the benefits can defray most or all of the upfront costs.”</w:t>
      </w:r>
      <w:r w:rsidR="009E2C7D">
        <w:rPr>
          <w:rStyle w:val="FootnoteReference"/>
        </w:rPr>
        <w:footnoteReference w:id="14"/>
      </w:r>
      <w:r w:rsidR="009E2C7D">
        <w:t xml:space="preserve"> These benefits include</w:t>
      </w:r>
      <w:r w:rsidR="00E97AFD">
        <w:t>, but are not limited to,</w:t>
      </w:r>
      <w:r w:rsidR="009E2C7D">
        <w:t xml:space="preserve"> the following:</w:t>
      </w:r>
    </w:p>
    <w:p w14:paraId="00047A55" w14:textId="498EF6C2" w:rsidR="009E38BD" w:rsidRDefault="00E97AFD" w:rsidP="009E2C7D">
      <w:pPr>
        <w:pStyle w:val="Answer"/>
        <w:numPr>
          <w:ilvl w:val="0"/>
          <w:numId w:val="74"/>
        </w:numPr>
        <w:ind w:left="1080"/>
      </w:pPr>
      <w:r>
        <w:rPr>
          <w:i/>
          <w:iCs/>
        </w:rPr>
        <w:t>Increasing efficiencies by r</w:t>
      </w:r>
      <w:r w:rsidR="009E2C7D">
        <w:rPr>
          <w:i/>
          <w:iCs/>
        </w:rPr>
        <w:t>educ</w:t>
      </w:r>
      <w:r>
        <w:rPr>
          <w:i/>
          <w:iCs/>
        </w:rPr>
        <w:t>ing</w:t>
      </w:r>
      <w:r w:rsidR="009E2C7D">
        <w:rPr>
          <w:i/>
          <w:iCs/>
        </w:rPr>
        <w:t xml:space="preserve"> </w:t>
      </w:r>
      <w:r w:rsidR="00BD523F">
        <w:rPr>
          <w:i/>
          <w:iCs/>
        </w:rPr>
        <w:t>t</w:t>
      </w:r>
      <w:r w:rsidR="009E2C7D">
        <w:rPr>
          <w:i/>
          <w:iCs/>
        </w:rPr>
        <w:t>ransmission</w:t>
      </w:r>
      <w:r w:rsidR="00BD523F">
        <w:rPr>
          <w:i/>
          <w:iCs/>
        </w:rPr>
        <w:t xml:space="preserve"> l</w:t>
      </w:r>
      <w:r w:rsidR="009E2C7D">
        <w:rPr>
          <w:i/>
          <w:iCs/>
        </w:rPr>
        <w:t xml:space="preserve">ine </w:t>
      </w:r>
      <w:r w:rsidR="00BD523F">
        <w:rPr>
          <w:i/>
          <w:iCs/>
        </w:rPr>
        <w:t>l</w:t>
      </w:r>
      <w:r w:rsidR="009E2C7D">
        <w:rPr>
          <w:i/>
          <w:iCs/>
        </w:rPr>
        <w:t>osses.</w:t>
      </w:r>
      <w:r w:rsidR="00BD523F">
        <w:rPr>
          <w:i/>
          <w:iCs/>
        </w:rPr>
        <w:t xml:space="preserve"> </w:t>
      </w:r>
      <w:r w:rsidR="00BD523F">
        <w:t>According to</w:t>
      </w:r>
      <w:r>
        <w:t xml:space="preserve"> </w:t>
      </w:r>
      <w:r w:rsidR="009E2C7D">
        <w:t>Grid Strategies</w:t>
      </w:r>
      <w:r w:rsidR="00BD523F">
        <w:t xml:space="preserve">, </w:t>
      </w:r>
      <w:r w:rsidR="009E2C7D">
        <w:t>“</w:t>
      </w:r>
      <w:r w:rsidR="00BD523F">
        <w:t>[a]</w:t>
      </w:r>
      <w:r w:rsidR="009E2C7D">
        <w:t>t the national level. . .Advanced Conductors can prevent annual transmission losses of approximately 21 million megawatt-hours (MWh).”</w:t>
      </w:r>
      <w:r w:rsidR="009E2C7D">
        <w:rPr>
          <w:rStyle w:val="FootnoteReference"/>
        </w:rPr>
        <w:footnoteReference w:id="15"/>
      </w:r>
      <w:r w:rsidR="009E2C7D">
        <w:t xml:space="preserve">  </w:t>
      </w:r>
    </w:p>
    <w:p w14:paraId="5DD4416F" w14:textId="002944C7" w:rsidR="00E97AFD" w:rsidRDefault="00E97AFD" w:rsidP="00E97AFD">
      <w:pPr>
        <w:pStyle w:val="Answer"/>
        <w:numPr>
          <w:ilvl w:val="0"/>
          <w:numId w:val="74"/>
        </w:numPr>
        <w:ind w:left="1080"/>
      </w:pPr>
      <w:r>
        <w:rPr>
          <w:i/>
          <w:iCs/>
        </w:rPr>
        <w:t xml:space="preserve">Maximizing </w:t>
      </w:r>
      <w:r w:rsidR="00A86C03">
        <w:rPr>
          <w:i/>
          <w:iCs/>
        </w:rPr>
        <w:t xml:space="preserve">load carrying </w:t>
      </w:r>
      <w:r>
        <w:rPr>
          <w:i/>
          <w:iCs/>
        </w:rPr>
        <w:t xml:space="preserve">capacity </w:t>
      </w:r>
      <w:r w:rsidR="00A86C03">
        <w:rPr>
          <w:i/>
          <w:iCs/>
        </w:rPr>
        <w:t>which</w:t>
      </w:r>
      <w:r>
        <w:rPr>
          <w:i/>
          <w:iCs/>
        </w:rPr>
        <w:t xml:space="preserve"> allow for the i</w:t>
      </w:r>
      <w:r w:rsidRPr="00E97AFD">
        <w:rPr>
          <w:i/>
          <w:iCs/>
        </w:rPr>
        <w:t>ntegrati</w:t>
      </w:r>
      <w:r>
        <w:rPr>
          <w:i/>
          <w:iCs/>
        </w:rPr>
        <w:t>on of</w:t>
      </w:r>
      <w:r w:rsidRPr="00E97AFD">
        <w:rPr>
          <w:i/>
          <w:iCs/>
        </w:rPr>
        <w:t xml:space="preserve"> additional generation resources</w:t>
      </w:r>
      <w:r>
        <w:rPr>
          <w:i/>
          <w:iCs/>
        </w:rPr>
        <w:t xml:space="preserve"> and reduce power costs</w:t>
      </w:r>
      <w:r>
        <w:t>. Grid Strategies reports that:</w:t>
      </w:r>
    </w:p>
    <w:p w14:paraId="69FE8156" w14:textId="5DD02F53" w:rsidR="009E2C7D" w:rsidRDefault="00E97AFD" w:rsidP="00E97AFD">
      <w:pPr>
        <w:pStyle w:val="blockquote"/>
      </w:pPr>
      <w:r>
        <w:t>Reconductoring 5,000 miles of transmission using Advanced Conductors creates 20,000 MW of transmission capacity each year, which can integrate up to 64 million MWh of renewable resource generation. . . By continuing the reconductoring over the entire 10-year time period, we estimate that cumulative renewable resource generation integration increases to 3.5 billion MWh and cumulative CO2 emission reductions increase to nearly 2.4 billion metric tons. The 3.5 billion MWh of energy savings from the use of high efficiency Advanced Conductors would save U.S. consumers about $140 billion or more over the decade.</w:t>
      </w:r>
      <w:r w:rsidRPr="00E97AFD">
        <w:rPr>
          <w:vertAlign w:val="superscript"/>
        </w:rPr>
        <w:t>[</w:t>
      </w:r>
      <w:r>
        <w:rPr>
          <w:rStyle w:val="FootnoteReference"/>
        </w:rPr>
        <w:footnoteReference w:id="16"/>
      </w:r>
      <w:r>
        <w:rPr>
          <w:vertAlign w:val="superscript"/>
        </w:rPr>
        <w:t>]</w:t>
      </w:r>
    </w:p>
    <w:p w14:paraId="1E32163F" w14:textId="48312E76" w:rsidR="00E97AFD" w:rsidRPr="00A86C03" w:rsidRDefault="00A86C03" w:rsidP="00A86C03">
      <w:pPr>
        <w:pStyle w:val="Answer"/>
        <w:numPr>
          <w:ilvl w:val="0"/>
          <w:numId w:val="75"/>
        </w:numPr>
        <w:ind w:left="1080"/>
        <w:rPr>
          <w:i/>
          <w:iCs/>
        </w:rPr>
      </w:pPr>
      <w:r w:rsidRPr="00A86C03">
        <w:rPr>
          <w:i/>
          <w:iCs/>
        </w:rPr>
        <w:t>Increased resiliency</w:t>
      </w:r>
      <w:r>
        <w:t xml:space="preserve">. New conductor technology can operate at higher temperatures and </w:t>
      </w:r>
      <w:r w:rsidR="00BD523F">
        <w:t xml:space="preserve">it </w:t>
      </w:r>
      <w:r>
        <w:t xml:space="preserve">sags less than the </w:t>
      </w:r>
      <w:r w:rsidR="00BD523F">
        <w:t>conventional</w:t>
      </w:r>
      <w:r>
        <w:t xml:space="preserve"> technology, making the lines more resistant to damage in extreme weather scenarios.</w:t>
      </w:r>
      <w:r w:rsidR="00BD523F">
        <w:rPr>
          <w:rStyle w:val="FootnoteReference"/>
        </w:rPr>
        <w:footnoteReference w:id="17"/>
      </w:r>
      <w:r>
        <w:t xml:space="preserve"> </w:t>
      </w:r>
      <w:r w:rsidR="00BD523F">
        <w:t xml:space="preserve">Additionally, </w:t>
      </w:r>
      <w:r>
        <w:t>“</w:t>
      </w:r>
      <w:r w:rsidR="00BD523F">
        <w:t>e</w:t>
      </w:r>
      <w:r>
        <w:t xml:space="preserve">ven though the rated </w:t>
      </w:r>
      <w:r>
        <w:lastRenderedPageBreak/>
        <w:t>operating capacity of a line using an Advanced Conductor might be 40%-65% of the available capacity, Advanced Conductors can double the power density on paths using existing structures, which can be valuable during system emergencies when system operators desperately need capacity to keep the lights on.”</w:t>
      </w:r>
      <w:r>
        <w:rPr>
          <w:rStyle w:val="FootnoteReference"/>
        </w:rPr>
        <w:footnoteReference w:id="18"/>
      </w:r>
    </w:p>
    <w:p w14:paraId="08C59BCD" w14:textId="499A5AED" w:rsidR="00A86C03" w:rsidRPr="00A86C03" w:rsidRDefault="00A86C03" w:rsidP="00A86C03">
      <w:pPr>
        <w:pStyle w:val="Answer"/>
        <w:numPr>
          <w:ilvl w:val="0"/>
          <w:numId w:val="75"/>
        </w:numPr>
        <w:ind w:left="1080"/>
        <w:rPr>
          <w:i/>
          <w:iCs/>
        </w:rPr>
      </w:pPr>
      <w:r w:rsidRPr="00A86C03">
        <w:rPr>
          <w:i/>
          <w:iCs/>
        </w:rPr>
        <w:t xml:space="preserve">Fast development timelines help </w:t>
      </w:r>
      <w:r>
        <w:rPr>
          <w:i/>
          <w:iCs/>
        </w:rPr>
        <w:t>address</w:t>
      </w:r>
      <w:r w:rsidRPr="00A86C03">
        <w:rPr>
          <w:i/>
          <w:iCs/>
        </w:rPr>
        <w:t xml:space="preserve"> near-term load increases</w:t>
      </w:r>
      <w:r>
        <w:t>. Because advanced conductors use existing right of ways, they likely will not need new permits and can be constructed in &lt;1-3 years.</w:t>
      </w:r>
      <w:r>
        <w:rPr>
          <w:rStyle w:val="FootnoteReference"/>
        </w:rPr>
        <w:footnoteReference w:id="19"/>
      </w:r>
    </w:p>
    <w:p w14:paraId="29C0FB3A" w14:textId="0C15CE05" w:rsidR="00F65DBC" w:rsidRDefault="00F65DBC" w:rsidP="00F65DBC">
      <w:pPr>
        <w:pStyle w:val="Question"/>
      </w:pPr>
      <w:r>
        <w:t>Q.</w:t>
      </w:r>
      <w:r>
        <w:tab/>
        <w:t>Do you have any other comments on how georgia power conducted its transmission screening analysis.</w:t>
      </w:r>
    </w:p>
    <w:p w14:paraId="50E1CFE7" w14:textId="57A7CB35" w:rsidR="00F65DBC" w:rsidRPr="00F65DBC" w:rsidRDefault="00F65DBC" w:rsidP="00F65DBC">
      <w:pPr>
        <w:pStyle w:val="Answer"/>
      </w:pPr>
      <w:r>
        <w:t>A.</w:t>
      </w:r>
      <w:r>
        <w:tab/>
        <w:t xml:space="preserve">Yes.  In addition to failing to plan proactively, Georgia Power also did not conduct any evaluation of whether its transmission plans would do no harm.  In Response to Data Request No. </w:t>
      </w:r>
      <w:r w:rsidRPr="00323C6E">
        <w:t>STF-GS-1-6</w:t>
      </w:r>
      <w:r>
        <w:t>, the Georgia Power witness stated that the Company “</w:t>
      </w:r>
      <w:r w:rsidRPr="404D9EDB">
        <w:rPr>
          <w:rStyle w:val="eop"/>
          <w:color w:val="000000" w:themeColor="text1"/>
        </w:rPr>
        <w:t>did not perform a direct evaluation</w:t>
      </w:r>
      <w:r>
        <w:rPr>
          <w:rStyle w:val="eop"/>
          <w:color w:val="000000" w:themeColor="text1"/>
        </w:rPr>
        <w:t>” of whether</w:t>
      </w:r>
      <w:r w:rsidRPr="404D9EDB">
        <w:rPr>
          <w:rStyle w:val="eop"/>
          <w:color w:val="000000" w:themeColor="text1"/>
        </w:rPr>
        <w:t xml:space="preserve"> </w:t>
      </w:r>
      <w:r>
        <w:t xml:space="preserve">any of the identified transmission upgrades would “interfere with the ability to deploy higher voltage transmission on that right-of-way to meet future needs.” </w:t>
      </w:r>
    </w:p>
    <w:p w14:paraId="72E40AB8" w14:textId="2A1073A1" w:rsidR="00362FE1" w:rsidRDefault="00362FE1" w:rsidP="00362FE1">
      <w:pPr>
        <w:pStyle w:val="Question"/>
      </w:pPr>
      <w:r>
        <w:lastRenderedPageBreak/>
        <w:t>Q.</w:t>
      </w:r>
      <w:r>
        <w:tab/>
        <w:t>outside of the updated irp, does Georgia Power have any plans to expand or modernize its transmission ne</w:t>
      </w:r>
      <w:r w:rsidR="00A30894">
        <w:t>t</w:t>
      </w:r>
      <w:r>
        <w:t xml:space="preserve">work? </w:t>
      </w:r>
    </w:p>
    <w:p w14:paraId="2CD2B6DF" w14:textId="34D73C5F" w:rsidR="00362FE1" w:rsidRDefault="00362FE1" w:rsidP="00362FE1">
      <w:pPr>
        <w:pStyle w:val="Answer"/>
      </w:pPr>
      <w:r>
        <w:t>A.</w:t>
      </w:r>
      <w:r>
        <w:tab/>
        <w:t xml:space="preserve">No. The Department of Energy’s recent Transmission Needs Study identifies the need to expand transmission within the Southeast region, which encompasses Georgia Power’s footprint, by 77% under a </w:t>
      </w:r>
      <w:r w:rsidRPr="00362FE1">
        <w:t>moderate load and high clean energy growth</w:t>
      </w:r>
      <w:r>
        <w:t xml:space="preserve"> scenario and by 102% under a </w:t>
      </w:r>
      <w:r w:rsidRPr="00362FE1">
        <w:t>high load and high clean energy growth</w:t>
      </w:r>
      <w:r>
        <w:t>,</w:t>
      </w:r>
      <w:r>
        <w:rPr>
          <w:rStyle w:val="FootnoteReference"/>
        </w:rPr>
        <w:footnoteReference w:id="20"/>
      </w:r>
      <w:r>
        <w:t xml:space="preserve"> and to increase exponentially the interregional transmission capacity between the Mid-Atlantic, Midwest, Delta, and Florida regions.</w:t>
      </w:r>
      <w:r w:rsidR="00407AD3">
        <w:t xml:space="preserve"> (See Figure 2).</w:t>
      </w:r>
    </w:p>
    <w:p w14:paraId="6BF4EA7C" w14:textId="003B77F9" w:rsidR="00407AD3" w:rsidRDefault="00407AD3" w:rsidP="00407AD3">
      <w:pPr>
        <w:pStyle w:val="FigureNumber"/>
      </w:pPr>
      <w:r>
        <w:t>Figure 2</w:t>
      </w:r>
    </w:p>
    <w:p w14:paraId="1B214D43" w14:textId="0B48EDCD" w:rsidR="00362FE1" w:rsidRDefault="00362FE1" w:rsidP="00362FE1">
      <w:pPr>
        <w:pStyle w:val="Answer"/>
        <w:ind w:firstLine="0"/>
      </w:pPr>
      <w:r>
        <w:rPr>
          <w:noProof/>
        </w:rPr>
        <w:drawing>
          <wp:inline distT="0" distB="0" distL="0" distR="0" wp14:anchorId="38F5C35A" wp14:editId="7E0FA024">
            <wp:extent cx="4916112" cy="3093578"/>
            <wp:effectExtent l="0" t="0" r="0" b="5715"/>
            <wp:docPr id="1437738001" name="Picture 3" descr="A graph with numbers and a number of different colored squar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7738001" name="Picture 3" descr="A graph with numbers and a number of different colored squares&#10;&#10;Description automatically generated with medium confidence"/>
                    <pic:cNvPicPr/>
                  </pic:nvPicPr>
                  <pic:blipFill>
                    <a:blip r:embed="rId13">
                      <a:extLst>
                        <a:ext uri="{28A0092B-C50C-407E-A947-70E740481C1C}">
                          <a14:useLocalDpi xmlns:a14="http://schemas.microsoft.com/office/drawing/2010/main" val="0"/>
                        </a:ext>
                      </a:extLst>
                    </a:blip>
                    <a:stretch>
                      <a:fillRect/>
                    </a:stretch>
                  </pic:blipFill>
                  <pic:spPr>
                    <a:xfrm>
                      <a:off x="0" y="0"/>
                      <a:ext cx="4952048" cy="3116192"/>
                    </a:xfrm>
                    <a:prstGeom prst="rect">
                      <a:avLst/>
                    </a:prstGeom>
                  </pic:spPr>
                </pic:pic>
              </a:graphicData>
            </a:graphic>
          </wp:inline>
        </w:drawing>
      </w:r>
      <w:r>
        <w:rPr>
          <w:rStyle w:val="FootnoteReference"/>
        </w:rPr>
        <w:footnoteReference w:id="21"/>
      </w:r>
    </w:p>
    <w:p w14:paraId="39BFC1BF" w14:textId="1DE3564B" w:rsidR="00AE3028" w:rsidRDefault="00362FE1" w:rsidP="00362FE1">
      <w:pPr>
        <w:pStyle w:val="Answer"/>
        <w:ind w:firstLine="0"/>
      </w:pPr>
      <w:r>
        <w:lastRenderedPageBreak/>
        <w:t xml:space="preserve">But Georgia Power’s transmission expansion and modernization progress is sluggish, at best.  The company has made relatively few additions to its system—in </w:t>
      </w:r>
      <w:r w:rsidRPr="008F6424">
        <w:t xml:space="preserve">2022 </w:t>
      </w:r>
      <w:r w:rsidR="00D01BCA">
        <w:t xml:space="preserve">it </w:t>
      </w:r>
      <w:r w:rsidRPr="008F6424">
        <w:t>add</w:t>
      </w:r>
      <w:r w:rsidR="00D01BCA">
        <w:t>ed/</w:t>
      </w:r>
      <w:r w:rsidRPr="008F6424">
        <w:t>alter</w:t>
      </w:r>
      <w:r w:rsidR="00D01BCA">
        <w:t>ed</w:t>
      </w:r>
      <w:r>
        <w:t xml:space="preserve"> only</w:t>
      </w:r>
      <w:r w:rsidRPr="008F6424">
        <w:t xml:space="preserve"> three transmission lines–one 115 kV line and two 46 kV lines, approximately one mile in cumulative length.</w:t>
      </w:r>
      <w:r>
        <w:rPr>
          <w:rStyle w:val="FootnoteReference"/>
          <w:color w:val="000000" w:themeColor="text1"/>
        </w:rPr>
        <w:footnoteReference w:id="22"/>
      </w:r>
      <w:r>
        <w:t xml:space="preserve"> </w:t>
      </w:r>
      <w:r w:rsidR="00D01BCA">
        <w:t xml:space="preserve">Similarly, in 2021, it </w:t>
      </w:r>
      <w:r w:rsidR="00AE3028">
        <w:t>added or altered 6.27 miles of lines, only 1.06 of that was a 230 kV line and the rest 115 kV.</w:t>
      </w:r>
      <w:r w:rsidR="00AE3028">
        <w:rPr>
          <w:rStyle w:val="FootnoteReference"/>
        </w:rPr>
        <w:footnoteReference w:id="23"/>
      </w:r>
      <w:r w:rsidR="00AE3028">
        <w:t xml:space="preserve"> </w:t>
      </w:r>
      <w:r w:rsidR="00D705A5">
        <w:t>The year prior, 2020, was no different in that the company added or altered 7.62 miles of lines while also removing 1.43 miles of lines.</w:t>
      </w:r>
      <w:r w:rsidR="00D705A5">
        <w:rPr>
          <w:rStyle w:val="FootnoteReference"/>
        </w:rPr>
        <w:footnoteReference w:id="24"/>
      </w:r>
    </w:p>
    <w:p w14:paraId="317C19A0" w14:textId="7812C7D1" w:rsidR="00362FE1" w:rsidRDefault="00AE3028" w:rsidP="00362FE1">
      <w:pPr>
        <w:pStyle w:val="Answer"/>
        <w:ind w:firstLine="0"/>
      </w:pPr>
      <w:r>
        <w:t>T</w:t>
      </w:r>
      <w:r w:rsidR="00362FE1">
        <w:t xml:space="preserve">he </w:t>
      </w:r>
      <w:r w:rsidR="00362FE1" w:rsidRPr="008F6424">
        <w:t xml:space="preserve">Southern Company’s Ten-Year Expansion Plan for transmission </w:t>
      </w:r>
      <w:r w:rsidR="00362FE1">
        <w:t xml:space="preserve">includes a limited set of new projects, </w:t>
      </w:r>
      <w:r>
        <w:t xml:space="preserve">but they are </w:t>
      </w:r>
      <w:r w:rsidR="00362FE1">
        <w:t xml:space="preserve">all </w:t>
      </w:r>
      <w:r>
        <w:t>aimed at</w:t>
      </w:r>
      <w:r w:rsidR="00362FE1">
        <w:t xml:space="preserve"> address</w:t>
      </w:r>
      <w:r>
        <w:t>ing</w:t>
      </w:r>
      <w:r w:rsidR="00362FE1">
        <w:t xml:space="preserve"> existing reliability issues.  For example, Georgia Power proposes only </w:t>
      </w:r>
      <w:r w:rsidR="00362FE1" w:rsidRPr="00A53192">
        <w:t>three</w:t>
      </w:r>
      <w:r w:rsidR="00362FE1">
        <w:t xml:space="preserve"> 500 kV lines over the next 10 year</w:t>
      </w:r>
      <w:r w:rsidR="00D705A5">
        <w:t>s</w:t>
      </w:r>
      <w:r w:rsidR="00362FE1">
        <w:t xml:space="preserve"> but </w:t>
      </w:r>
      <w:r>
        <w:t>the</w:t>
      </w:r>
      <w:r w:rsidR="00362FE1">
        <w:t xml:space="preserve"> project</w:t>
      </w:r>
      <w:r>
        <w:t xml:space="preserve">s </w:t>
      </w:r>
      <w:r w:rsidR="00362FE1">
        <w:t>(</w:t>
      </w:r>
      <w:r w:rsidR="00362FE1" w:rsidRPr="00A53192">
        <w:t>Dresden – Talbot 500kV and East Walton 500/230kV area project</w:t>
      </w:r>
      <w:r w:rsidR="00A07A4A">
        <w:t>)</w:t>
      </w:r>
      <w:r w:rsidR="00362FE1" w:rsidRPr="00A53192">
        <w:t xml:space="preserve"> </w:t>
      </w:r>
      <w:r>
        <w:t>are</w:t>
      </w:r>
      <w:r w:rsidR="00362FE1">
        <w:t xml:space="preserve"> designed to “</w:t>
      </w:r>
      <w:r w:rsidR="00362FE1" w:rsidRPr="00A53192">
        <w:t>addresses multiple thermal overloads resulting from Category P1 – Single Contingency events identified as part of the Georgia Integrated Transmission System (ITS) transmission planning processes in compliance with NERC TPL-001-5.</w:t>
      </w:r>
      <w:r w:rsidR="00362FE1">
        <w:t>”</w:t>
      </w:r>
      <w:r w:rsidR="00362FE1">
        <w:rPr>
          <w:rStyle w:val="FootnoteReference"/>
        </w:rPr>
        <w:footnoteReference w:id="25"/>
      </w:r>
    </w:p>
    <w:p w14:paraId="692BAEA7" w14:textId="0DB6FEE3" w:rsidR="00334DD6" w:rsidRPr="001310B1" w:rsidRDefault="00CF3806" w:rsidP="00CF3806">
      <w:pPr>
        <w:pStyle w:val="Question"/>
      </w:pPr>
      <w:r>
        <w:lastRenderedPageBreak/>
        <w:t>Q.</w:t>
      </w:r>
      <w:r>
        <w:tab/>
        <w:t xml:space="preserve">please provide an example of how georgia power could have used multivalue planning to address the </w:t>
      </w:r>
      <w:r w:rsidR="004E5FF5">
        <w:t>UNPRECEDENTED</w:t>
      </w:r>
      <w:r>
        <w:t xml:space="preserve"> load growth.</w:t>
      </w:r>
    </w:p>
    <w:p w14:paraId="124E4EAF" w14:textId="3F474F1C" w:rsidR="00334DD6" w:rsidRDefault="00CF3806" w:rsidP="00CF3806">
      <w:pPr>
        <w:pStyle w:val="Answer"/>
        <w:rPr>
          <w:rStyle w:val="normaltextrun"/>
        </w:rPr>
      </w:pPr>
      <w:r>
        <w:rPr>
          <w:rStyle w:val="normaltextrun"/>
        </w:rPr>
        <w:t>A.</w:t>
      </w:r>
      <w:r>
        <w:rPr>
          <w:rStyle w:val="normaltextrun"/>
        </w:rPr>
        <w:tab/>
        <w:t>A prime example of how Georgia Power could use multivalue planning models is the opportunity and ability for Georgia Power to incorporate renewable energy on its system. Georgia Power provides on its website</w:t>
      </w:r>
      <w:r w:rsidR="00553EBE">
        <w:rPr>
          <w:rStyle w:val="normaltextrun"/>
        </w:rPr>
        <w:t xml:space="preserve"> </w:t>
      </w:r>
      <w:r>
        <w:rPr>
          <w:rStyle w:val="normaltextrun"/>
        </w:rPr>
        <w:t>the following solar potential map</w:t>
      </w:r>
      <w:r w:rsidR="00DA01BB">
        <w:rPr>
          <w:rStyle w:val="normaltextrun"/>
        </w:rPr>
        <w:t xml:space="preserve"> (see Figure 3)</w:t>
      </w:r>
      <w:r>
        <w:rPr>
          <w:rStyle w:val="normaltextrun"/>
        </w:rPr>
        <w:t>:</w:t>
      </w:r>
    </w:p>
    <w:p w14:paraId="7B6550FD" w14:textId="44F0A803" w:rsidR="00553EBE" w:rsidRDefault="00553EBE" w:rsidP="00553EBE">
      <w:pPr>
        <w:pStyle w:val="FigureNumber"/>
        <w:rPr>
          <w:rStyle w:val="normaltextrun"/>
        </w:rPr>
      </w:pPr>
      <w:r>
        <w:rPr>
          <w:rStyle w:val="normaltextrun"/>
        </w:rPr>
        <w:t xml:space="preserve">Figure </w:t>
      </w:r>
      <w:r w:rsidR="00BA5783">
        <w:rPr>
          <w:rStyle w:val="normaltextrun"/>
        </w:rPr>
        <w:t>3</w:t>
      </w:r>
    </w:p>
    <w:p w14:paraId="459330F0" w14:textId="0A75758F" w:rsidR="00CF3806" w:rsidRPr="00CF3806" w:rsidRDefault="008B7932" w:rsidP="008B7932">
      <w:pPr>
        <w:pStyle w:val="Answer"/>
        <w:ind w:firstLine="0"/>
        <w:rPr>
          <w:rStyle w:val="normaltextrun"/>
        </w:rPr>
      </w:pPr>
      <w:r>
        <w:fldChar w:fldCharType="begin"/>
      </w:r>
      <w:r>
        <w:instrText xml:space="preserve"> INCLUDEPICTURE "/Users/anjalipatel/Library/Group Containers/UBF8T346G9.ms/WebArchiveCopyPasteTempFiles/com.microsoft.Word/solar-insolation-map-reduced2.jpeg" \* MERGEFORMATINET </w:instrText>
      </w:r>
      <w:r>
        <w:fldChar w:fldCharType="separate"/>
      </w:r>
      <w:r>
        <w:rPr>
          <w:noProof/>
        </w:rPr>
        <w:drawing>
          <wp:inline distT="0" distB="0" distL="0" distR="0" wp14:anchorId="4604EB42" wp14:editId="72A0788E">
            <wp:extent cx="3485213" cy="2693965"/>
            <wp:effectExtent l="0" t="0" r="0" b="0"/>
            <wp:docPr id="502540404" name="Picture 2" descr="solar insolation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olar insolation map"/>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492636" cy="2699703"/>
                    </a:xfrm>
                    <a:prstGeom prst="rect">
                      <a:avLst/>
                    </a:prstGeom>
                    <a:noFill/>
                    <a:ln>
                      <a:noFill/>
                    </a:ln>
                  </pic:spPr>
                </pic:pic>
              </a:graphicData>
            </a:graphic>
          </wp:inline>
        </w:drawing>
      </w:r>
      <w:r>
        <w:fldChar w:fldCharType="end"/>
      </w:r>
      <w:r w:rsidR="00553EBE">
        <w:rPr>
          <w:rStyle w:val="FootnoteReference"/>
        </w:rPr>
        <w:footnoteReference w:id="26"/>
      </w:r>
    </w:p>
    <w:p w14:paraId="376BEBCB" w14:textId="37189085" w:rsidR="00A024E2" w:rsidRDefault="008B7932" w:rsidP="008B7932">
      <w:pPr>
        <w:pStyle w:val="Answer"/>
        <w:ind w:firstLine="0"/>
      </w:pPr>
      <w:r>
        <w:t>The map is accompanied by the statement that: “</w:t>
      </w:r>
      <w:r w:rsidRPr="008B7932">
        <w:t xml:space="preserve">As can be seen on this solar map, insolation values in Georgia are significant enough to support solar energy systems in our </w:t>
      </w:r>
      <w:r w:rsidRPr="008B7932">
        <w:lastRenderedPageBreak/>
        <w:t>state, with the southern two-thirds of Georgia having solar insolation values equivalent to most of the state of Florida.</w:t>
      </w:r>
      <w:r w:rsidR="00553EBE">
        <w:t>”</w:t>
      </w:r>
      <w:r w:rsidR="00A60610">
        <w:rPr>
          <w:rStyle w:val="FootnoteReference"/>
        </w:rPr>
        <w:footnoteReference w:id="27"/>
      </w:r>
    </w:p>
    <w:p w14:paraId="69435E55" w14:textId="66A0426B" w:rsidR="008B7932" w:rsidRDefault="008B7932" w:rsidP="008B7932">
      <w:pPr>
        <w:pStyle w:val="Answer"/>
        <w:ind w:firstLine="0"/>
      </w:pPr>
      <w:r>
        <w:t>The Sothern portion of Georgia, however, has a notable dearth of transmission, particularly high-voltage transmission</w:t>
      </w:r>
      <w:r w:rsidR="00A60610">
        <w:t xml:space="preserve"> (See Figure </w:t>
      </w:r>
      <w:r w:rsidR="00BA5783">
        <w:t>4</w:t>
      </w:r>
      <w:r w:rsidR="00A60610">
        <w:t>).</w:t>
      </w:r>
    </w:p>
    <w:p w14:paraId="21FD4006" w14:textId="0FCECFE3" w:rsidR="00A60610" w:rsidRDefault="00A60610" w:rsidP="00A60610">
      <w:pPr>
        <w:pStyle w:val="FigureNumber"/>
      </w:pPr>
      <w:r>
        <w:t xml:space="preserve">Figure </w:t>
      </w:r>
      <w:r w:rsidR="00BA5783">
        <w:t>4</w:t>
      </w:r>
    </w:p>
    <w:p w14:paraId="4D7789D6" w14:textId="0B064F03" w:rsidR="008B7932" w:rsidRDefault="008B7932" w:rsidP="008B7932">
      <w:pPr>
        <w:pStyle w:val="Answer"/>
        <w:ind w:firstLine="0"/>
      </w:pPr>
      <w:r>
        <w:rPr>
          <w:noProof/>
        </w:rPr>
        <w:drawing>
          <wp:inline distT="0" distB="0" distL="0" distR="0" wp14:anchorId="13624BBC" wp14:editId="16086504">
            <wp:extent cx="3697982" cy="4785645"/>
            <wp:effectExtent l="0" t="0" r="0" b="2540"/>
            <wp:docPr id="1102423703" name="Picture 1" descr="A map of the united stat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2423703" name="Picture 1" descr="A map of the united states&#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3725420" cy="4821153"/>
                    </a:xfrm>
                    <a:prstGeom prst="rect">
                      <a:avLst/>
                    </a:prstGeom>
                  </pic:spPr>
                </pic:pic>
              </a:graphicData>
            </a:graphic>
          </wp:inline>
        </w:drawing>
      </w:r>
      <w:r w:rsidRPr="00F30527">
        <w:rPr>
          <w:rStyle w:val="FootnoteReference"/>
          <w:color w:val="000000" w:themeColor="text1"/>
        </w:rPr>
        <w:footnoteReference w:id="28"/>
      </w:r>
      <w:r w:rsidRPr="008F6424">
        <w:rPr>
          <w:color w:val="000000" w:themeColor="text1"/>
        </w:rPr>
        <w:t xml:space="preserve"> </w:t>
      </w:r>
    </w:p>
    <w:p w14:paraId="253B8FCC" w14:textId="2ADA4D3A" w:rsidR="008B7932" w:rsidRPr="00AB1CA2" w:rsidRDefault="008B7932" w:rsidP="00EC6A70">
      <w:pPr>
        <w:pStyle w:val="Answer"/>
        <w:ind w:firstLine="0"/>
      </w:pPr>
      <w:r>
        <w:lastRenderedPageBreak/>
        <w:t>I</w:t>
      </w:r>
      <w:r w:rsidR="009101E7">
        <w:t xml:space="preserve">f </w:t>
      </w:r>
      <w:r w:rsidR="00BC033C">
        <w:t>the Company</w:t>
      </w:r>
      <w:r w:rsidR="009101E7">
        <w:t xml:space="preserve"> had</w:t>
      </w:r>
      <w:r>
        <w:t xml:space="preserve"> conduct</w:t>
      </w:r>
      <w:r w:rsidR="009101E7">
        <w:t>ed</w:t>
      </w:r>
      <w:r>
        <w:t xml:space="preserve"> a multivalue analysis, it is possible that Georgia Power may have found the lifetime combined costs of new transmission</w:t>
      </w:r>
      <w:r w:rsidR="00A30894">
        <w:t>/transmission upgrades</w:t>
      </w:r>
      <w:r>
        <w:t xml:space="preserve"> and renewable generation from the South would result in a greater benefit</w:t>
      </w:r>
      <w:r w:rsidR="00A07A4A">
        <w:t xml:space="preserve"> to cost</w:t>
      </w:r>
      <w:r>
        <w:t xml:space="preserve"> ratio than </w:t>
      </w:r>
      <w:r w:rsidR="00A30894">
        <w:t>the Company’s</w:t>
      </w:r>
      <w:r>
        <w:t xml:space="preserve"> proposed generation procurement options. </w:t>
      </w:r>
      <w:r w:rsidR="00C5047F">
        <w:t>As Georgia Power recognizes in Response to Data Request No. </w:t>
      </w:r>
      <w:r w:rsidR="00C5047F" w:rsidRPr="00323C6E">
        <w:rPr>
          <w:bCs/>
          <w:szCs w:val="24"/>
        </w:rPr>
        <w:t>STF-JKA-4</w:t>
      </w:r>
      <w:r w:rsidR="00C5047F">
        <w:rPr>
          <w:bCs/>
          <w:szCs w:val="24"/>
        </w:rPr>
        <w:noBreakHyphen/>
      </w:r>
      <w:r w:rsidR="00C5047F" w:rsidRPr="00323C6E">
        <w:rPr>
          <w:bCs/>
          <w:szCs w:val="24"/>
        </w:rPr>
        <w:t>16(d),</w:t>
      </w:r>
      <w:r w:rsidR="00C5047F">
        <w:rPr>
          <w:bCs/>
          <w:szCs w:val="24"/>
        </w:rPr>
        <w:t xml:space="preserve"> transmission is among the </w:t>
      </w:r>
      <w:r w:rsidR="00C5047F" w:rsidRPr="00EC6A70">
        <w:rPr>
          <w:szCs w:val="24"/>
        </w:rPr>
        <w:t xml:space="preserve">factors </w:t>
      </w:r>
      <w:r w:rsidR="00C5047F">
        <w:rPr>
          <w:szCs w:val="24"/>
        </w:rPr>
        <w:t xml:space="preserve">that </w:t>
      </w:r>
      <w:r w:rsidR="00C5047F" w:rsidRPr="00EC6A70">
        <w:rPr>
          <w:szCs w:val="24"/>
        </w:rPr>
        <w:t>will impact the speed in which Georgia Power can bring solar</w:t>
      </w:r>
      <w:r w:rsidR="00C5047F">
        <w:rPr>
          <w:szCs w:val="24"/>
        </w:rPr>
        <w:t xml:space="preserve"> </w:t>
      </w:r>
      <w:r w:rsidR="00C5047F" w:rsidRPr="00EC6A70">
        <w:rPr>
          <w:szCs w:val="24"/>
        </w:rPr>
        <w:t>online</w:t>
      </w:r>
      <w:r w:rsidR="00C5047F">
        <w:rPr>
          <w:szCs w:val="24"/>
        </w:rPr>
        <w:t xml:space="preserve">. But </w:t>
      </w:r>
      <w:r w:rsidR="00C5047F">
        <w:t>a</w:t>
      </w:r>
      <w:r>
        <w:t>s no such analysis was conducted, stakeholders and the Commission</w:t>
      </w:r>
      <w:r w:rsidR="00B01F10">
        <w:t xml:space="preserve"> </w:t>
      </w:r>
      <w:r>
        <w:t>lack data needed to evaluate whether Georgia Power’s proposed solution set will meet customer needs in an economic and reliable manner.</w:t>
      </w:r>
    </w:p>
    <w:p w14:paraId="24ABCCFC" w14:textId="54B89827" w:rsidR="00EC6A70" w:rsidRDefault="00EC6A70" w:rsidP="00922DE7">
      <w:pPr>
        <w:pStyle w:val="Question"/>
        <w:rPr>
          <w:rFonts w:ascii="Times New Roman" w:hAnsi="Times New Roman"/>
        </w:rPr>
      </w:pPr>
      <w:bookmarkStart w:id="4" w:name="OLE_LINK1"/>
      <w:r>
        <w:t xml:space="preserve">Q. </w:t>
      </w:r>
      <w:r>
        <w:tab/>
        <w:t xml:space="preserve">Georgia Power is developing a </w:t>
      </w:r>
      <w:r w:rsidRPr="121FF00B">
        <w:rPr>
          <w:rFonts w:ascii="Times New Roman" w:hAnsi="Times New Roman"/>
        </w:rPr>
        <w:t>North Georgia Reliability &amp; Resilience Plan</w:t>
      </w:r>
      <w:r w:rsidR="00E00E00">
        <w:rPr>
          <w:rFonts w:ascii="Times New Roman" w:hAnsi="Times New Roman"/>
        </w:rPr>
        <w:t>.</w:t>
      </w:r>
      <w:r>
        <w:rPr>
          <w:rFonts w:ascii="Times New Roman" w:hAnsi="Times New Roman"/>
        </w:rPr>
        <w:t xml:space="preserve"> </w:t>
      </w:r>
      <w:r w:rsidR="00E00E00">
        <w:rPr>
          <w:rFonts w:ascii="Times New Roman" w:hAnsi="Times New Roman"/>
        </w:rPr>
        <w:t xml:space="preserve">doesn’t </w:t>
      </w:r>
      <w:r>
        <w:rPr>
          <w:rFonts w:ascii="Times New Roman" w:hAnsi="Times New Roman"/>
        </w:rPr>
        <w:t xml:space="preserve">that </w:t>
      </w:r>
      <w:r w:rsidR="00E00E00">
        <w:rPr>
          <w:rFonts w:ascii="Times New Roman" w:hAnsi="Times New Roman"/>
        </w:rPr>
        <w:t xml:space="preserve">plan </w:t>
      </w:r>
      <w:r>
        <w:rPr>
          <w:rFonts w:ascii="Times New Roman" w:hAnsi="Times New Roman"/>
        </w:rPr>
        <w:t>address the concerns you raise?</w:t>
      </w:r>
    </w:p>
    <w:p w14:paraId="196181E3" w14:textId="2179ABB2" w:rsidR="00EC6A70" w:rsidRDefault="00EC6A70" w:rsidP="004D58B6">
      <w:pPr>
        <w:pStyle w:val="Answer"/>
        <w:rPr>
          <w:szCs w:val="24"/>
        </w:rPr>
      </w:pPr>
      <w:r>
        <w:t>A.</w:t>
      </w:r>
      <w:r>
        <w:tab/>
        <w:t xml:space="preserve">Potentially it could. But Georgia Power did not incorporate that planning process in its Updated IRP analysis. </w:t>
      </w:r>
      <w:r w:rsidR="004D58B6">
        <w:t xml:space="preserve">Data Request No. </w:t>
      </w:r>
      <w:r w:rsidR="004D58B6" w:rsidRPr="00323C6E">
        <w:rPr>
          <w:bCs/>
          <w:szCs w:val="24"/>
        </w:rPr>
        <w:t>STF-DEA-4-16</w:t>
      </w:r>
      <w:r w:rsidR="004D58B6">
        <w:rPr>
          <w:bCs/>
          <w:szCs w:val="24"/>
        </w:rPr>
        <w:t xml:space="preserve"> specifically asks if </w:t>
      </w:r>
      <w:r w:rsidR="002C61FE" w:rsidRPr="002C61FE">
        <w:rPr>
          <w:bCs/>
          <w:szCs w:val="24"/>
        </w:rPr>
        <w:t xml:space="preserve">“For the screening analysis, were any transmission upgrades from the separate ‘North-South’ transmission study included, either in the base case or as a sensitivity?” </w:t>
      </w:r>
      <w:r w:rsidR="004D58B6">
        <w:rPr>
          <w:rStyle w:val="normaltextrun"/>
          <w:color w:val="000000"/>
          <w:shd w:val="clear" w:color="auto" w:fill="FFFFFF"/>
        </w:rPr>
        <w:t>The Georgia Power’s witness response was “</w:t>
      </w:r>
      <w:r w:rsidR="004D58B6">
        <w:t xml:space="preserve">No, transmission upgrades from the separate </w:t>
      </w:r>
      <w:r w:rsidR="0074364E">
        <w:t>‘</w:t>
      </w:r>
      <w:r w:rsidR="004D58B6">
        <w:t>North-South</w:t>
      </w:r>
      <w:r w:rsidR="0074364E">
        <w:t>’</w:t>
      </w:r>
      <w:r w:rsidR="004D58B6">
        <w:t xml:space="preserve"> transmission analyses were not included in the 2023 Integrated Resource Plan </w:t>
      </w:r>
      <w:r w:rsidR="0074364E">
        <w:t>[]</w:t>
      </w:r>
      <w:r w:rsidR="004D58B6">
        <w:t xml:space="preserve"> Update transmission screens.</w:t>
      </w:r>
      <w:r w:rsidR="0074364E">
        <w:t xml:space="preserve">” </w:t>
      </w:r>
    </w:p>
    <w:p w14:paraId="711CA09E" w14:textId="084D7DA7" w:rsidR="00BA524C" w:rsidRDefault="00BA524C" w:rsidP="00BA524C">
      <w:pPr>
        <w:pStyle w:val="Question"/>
      </w:pPr>
      <w:r>
        <w:lastRenderedPageBreak/>
        <w:t>Q.</w:t>
      </w:r>
      <w:r>
        <w:tab/>
        <w:t>What about the SERTP process? isn</w:t>
      </w:r>
      <w:r w:rsidR="002317CF">
        <w:t>’</w:t>
      </w:r>
      <w:r>
        <w:t xml:space="preserve">t that a more </w:t>
      </w:r>
      <w:r w:rsidR="00B01F10">
        <w:t xml:space="preserve">appropriate </w:t>
      </w:r>
      <w:r>
        <w:t>venue to address multivalue transmission planning?</w:t>
      </w:r>
    </w:p>
    <w:p w14:paraId="5CE1DF6F" w14:textId="33C8FE4C" w:rsidR="00BA524C" w:rsidRPr="00BA524C" w:rsidRDefault="00BA524C" w:rsidP="00BA524C">
      <w:pPr>
        <w:pStyle w:val="Answer"/>
      </w:pPr>
      <w:r>
        <w:t>A.</w:t>
      </w:r>
      <w:r>
        <w:tab/>
        <w:t>SERTP should evolve its transmission planning processes, especially given the pending FERC Transmission Planning and Cost Allocation Rulemaking which proposes to require planning regions to amend their planning protocols to conduct long-term, comprehensive, multivalue planning.</w:t>
      </w:r>
      <w:r>
        <w:rPr>
          <w:rStyle w:val="FootnoteReference"/>
        </w:rPr>
        <w:footnoteReference w:id="29"/>
      </w:r>
      <w:r>
        <w:t xml:space="preserve"> However, the SERTP process is informed by and based on Southern Company’s planning processes. </w:t>
      </w:r>
      <w:r w:rsidR="00B01F10">
        <w:t>As the old adage goes, “garbage in means garbage out.” I</w:t>
      </w:r>
      <w:r w:rsidR="002A1DBD">
        <w:t>f</w:t>
      </w:r>
      <w:r w:rsidR="00B01F10">
        <w:t xml:space="preserve"> p</w:t>
      </w:r>
      <w:r>
        <w:t xml:space="preserve">lanning </w:t>
      </w:r>
      <w:r w:rsidR="00B01F10">
        <w:t xml:space="preserve">is not improved from the </w:t>
      </w:r>
      <w:r>
        <w:t>ground up at Georgia Power and Southern</w:t>
      </w:r>
      <w:r w:rsidR="002317CF">
        <w:t xml:space="preserve"> Company</w:t>
      </w:r>
      <w:r w:rsidR="00B01F10">
        <w:t>, the SERTP processes will similarly be hamstrung in producing results that meet current and future system needs</w:t>
      </w:r>
      <w:r>
        <w:t>.</w:t>
      </w:r>
    </w:p>
    <w:p w14:paraId="29753CBB" w14:textId="3356D165" w:rsidR="00922DE7" w:rsidRDefault="00922DE7" w:rsidP="00922DE7">
      <w:pPr>
        <w:pStyle w:val="Question"/>
      </w:pPr>
      <w:r>
        <w:t>Q.</w:t>
      </w:r>
      <w:r>
        <w:tab/>
      </w:r>
      <w:r w:rsidR="00A024E2">
        <w:t>are there any utilities that are conducting proactive planning</w:t>
      </w:r>
      <w:r>
        <w:t>?</w:t>
      </w:r>
    </w:p>
    <w:p w14:paraId="15FD8CDE" w14:textId="3F72E059" w:rsidR="00A024E2" w:rsidRDefault="00922DE7" w:rsidP="005754CA">
      <w:pPr>
        <w:pStyle w:val="Answer"/>
      </w:pPr>
      <w:r>
        <w:t>A.</w:t>
      </w:r>
      <w:r>
        <w:tab/>
      </w:r>
      <w:r w:rsidR="00A024E2">
        <w:t>Yes. As mentioned earlier, Michigan’s IRP regulations require utilities to integrate their transmission and generation plans. The required transmission analysis must include the following:</w:t>
      </w:r>
      <w:r w:rsidR="00A024E2">
        <w:rPr>
          <w:rStyle w:val="FootnoteReference"/>
        </w:rPr>
        <w:footnoteReference w:id="30"/>
      </w:r>
    </w:p>
    <w:p w14:paraId="7E1CD859" w14:textId="77777777" w:rsidR="00A024E2" w:rsidRDefault="00A024E2" w:rsidP="00A024E2">
      <w:pPr>
        <w:pStyle w:val="Answer"/>
        <w:spacing w:line="240" w:lineRule="auto"/>
        <w:ind w:left="1440" w:right="1440" w:firstLine="0"/>
      </w:pPr>
      <w:r>
        <w:t xml:space="preserve">a) The utility shall assess the need to construct new, or modify existing transmission facilities to interconnect any new generation </w:t>
      </w:r>
      <w:r>
        <w:lastRenderedPageBreak/>
        <w:t xml:space="preserve">and shall reflect the estimated costs of those transmission facilities in the analyses of the resource options; </w:t>
      </w:r>
    </w:p>
    <w:p w14:paraId="342952D7" w14:textId="77777777" w:rsidR="00A024E2" w:rsidRDefault="00A024E2" w:rsidP="00A024E2">
      <w:pPr>
        <w:pStyle w:val="Answer"/>
        <w:spacing w:line="240" w:lineRule="auto"/>
        <w:ind w:left="1440" w:right="1440" w:firstLine="0"/>
      </w:pPr>
      <w:r>
        <w:t xml:space="preserve">b) A detailed description of the utility’s efforts to engage local transmission owners in the utility’s IRP process in an effort to inform the IRP process and assumptions, including a summary of meetings that have taken place; </w:t>
      </w:r>
    </w:p>
    <w:p w14:paraId="3C41AA15" w14:textId="77777777" w:rsidR="00A024E2" w:rsidRDefault="00A024E2" w:rsidP="00A024E2">
      <w:pPr>
        <w:pStyle w:val="Answer"/>
        <w:spacing w:line="240" w:lineRule="auto"/>
        <w:ind w:left="1440" w:right="1440" w:firstLine="0"/>
      </w:pPr>
      <w:r>
        <w:t xml:space="preserve">c) Current transmission system import and export limits as most recently documented by the RTO and any local area constraints or congestion concerns; </w:t>
      </w:r>
    </w:p>
    <w:p w14:paraId="2B498D28" w14:textId="77777777" w:rsidR="00A024E2" w:rsidRDefault="00A024E2" w:rsidP="00A024E2">
      <w:pPr>
        <w:pStyle w:val="Answer"/>
        <w:spacing w:line="240" w:lineRule="auto"/>
        <w:ind w:left="1440" w:right="1440" w:firstLine="0"/>
      </w:pPr>
      <w:r>
        <w:t xml:space="preserve">d) Any information provided by the transmission owner(s) indicating the anticipated effects of fleet changes proposed in the IRP on the transmission system, including both generation retirements and new generation, subject to confidentiality provisions; </w:t>
      </w:r>
    </w:p>
    <w:p w14:paraId="5537F21E" w14:textId="2B504A6E" w:rsidR="00A024E2" w:rsidRDefault="00A024E2" w:rsidP="00A024E2">
      <w:pPr>
        <w:pStyle w:val="Answer"/>
        <w:spacing w:line="240" w:lineRule="auto"/>
        <w:ind w:left="1440" w:right="1440" w:firstLine="0"/>
      </w:pPr>
      <w:r>
        <w:t>e) Any information provided by the transmission owner(s), including cost and timing, indicating potential transmission options that could impact the utility’s IRP by: (1) increasing import or export capability; (2) facilitating power purchase agreements or sales of energy and capacity both within or outside the planning zone or from neighboring RTOs; (3) transmission upgrades resulting in increasing system efficiency and reducing line loss allowing for greater energy delivery and reduced capacity need; and (4) advanced transmission and distribution network technologies affecting supply-side resources or demand-side resources.</w:t>
      </w:r>
    </w:p>
    <w:p w14:paraId="4F246F10" w14:textId="23ACCE3C" w:rsidR="00A024E2" w:rsidRDefault="00A024E2" w:rsidP="00A024E2">
      <w:pPr>
        <w:pStyle w:val="Question"/>
      </w:pPr>
      <w:r>
        <w:t>Q.</w:t>
      </w:r>
      <w:r>
        <w:tab/>
        <w:t>are there any other utilities that are conducting</w:t>
      </w:r>
      <w:r w:rsidR="00D92946">
        <w:t>,</w:t>
      </w:r>
      <w:r w:rsidR="00A30894">
        <w:t xml:space="preserve"> or evolving their processes to conduct</w:t>
      </w:r>
      <w:r w:rsidR="00D92946">
        <w:t xml:space="preserve">, </w:t>
      </w:r>
      <w:r>
        <w:t>proactive planning?</w:t>
      </w:r>
    </w:p>
    <w:p w14:paraId="57F489C4" w14:textId="62134EEB" w:rsidR="005754CA" w:rsidRDefault="00A024E2" w:rsidP="00A024E2">
      <w:pPr>
        <w:pStyle w:val="Answer"/>
        <w:rPr>
          <w:color w:val="000000" w:themeColor="text1"/>
        </w:rPr>
      </w:pPr>
      <w:r>
        <w:t>A.</w:t>
      </w:r>
      <w:r>
        <w:tab/>
        <w:t xml:space="preserve">Yes. </w:t>
      </w:r>
      <w:r w:rsidR="00A30894">
        <w:t xml:space="preserve">Duke Energy Carolinas and Duke Energy Progress recently filed proposed tariff changes at the Federal Energy Regulatory Commission to implement a new planning process for </w:t>
      </w:r>
      <w:r w:rsidR="00A30894" w:rsidRPr="00A30894">
        <w:t>Multi-Value Strategic Transmission Projects</w:t>
      </w:r>
      <w:r w:rsidR="003632AF">
        <w:t xml:space="preserve"> and “</w:t>
      </w:r>
      <w:r w:rsidR="003632AF" w:rsidRPr="003632AF">
        <w:t xml:space="preserve">timely address transmission needs as the grid transitions to support a new resource mix, retire </w:t>
      </w:r>
      <w:r w:rsidR="003632AF" w:rsidRPr="003632AF">
        <w:lastRenderedPageBreak/>
        <w:t>generation, and respond to changing dynamics in energy use and demands</w:t>
      </w:r>
      <w:r w:rsidR="003632AF">
        <w:t>.”</w:t>
      </w:r>
      <w:r w:rsidR="003632AF">
        <w:rPr>
          <w:rStyle w:val="FootnoteReference"/>
        </w:rPr>
        <w:footnoteReference w:id="31"/>
      </w:r>
      <w:r w:rsidR="003632AF">
        <w:t xml:space="preserve"> The proposed planning process includes both scenario analyses and increased transparency and opportunities for meaningful stakeholder engagement in developing the “</w:t>
      </w:r>
      <w:r w:rsidR="003632AF" w:rsidRPr="003632AF">
        <w:t>assumptions, models, and criteria used in the transmission planning process, as well as transmission needs and potential solutions.</w:t>
      </w:r>
      <w:r w:rsidR="003632AF">
        <w:t>”</w:t>
      </w:r>
      <w:r w:rsidR="00723AE0">
        <w:rPr>
          <w:rStyle w:val="FootnoteReference"/>
        </w:rPr>
        <w:footnoteReference w:id="32"/>
      </w:r>
    </w:p>
    <w:bookmarkEnd w:id="4"/>
    <w:p w14:paraId="53D30703" w14:textId="17CD878C" w:rsidR="00E00E00" w:rsidRPr="00FC530E" w:rsidRDefault="0033005C" w:rsidP="003632AF">
      <w:pPr>
        <w:pStyle w:val="Heading2"/>
        <w:rPr>
          <w:rStyle w:val="normaltextrun"/>
        </w:rPr>
      </w:pPr>
      <w:r w:rsidRPr="00FC530E">
        <w:t>Transmission</w:t>
      </w:r>
      <w:r>
        <w:t xml:space="preserve"> can maintain reliability in the face of extreme weather events</w:t>
      </w:r>
      <w:r w:rsidR="00E00E00" w:rsidRPr="00FC530E">
        <w:t>.</w:t>
      </w:r>
    </w:p>
    <w:p w14:paraId="2ED5F75C" w14:textId="265B3AA8" w:rsidR="00E00E00" w:rsidRPr="00E00E00" w:rsidRDefault="00E00E00" w:rsidP="00E00E00">
      <w:pPr>
        <w:pStyle w:val="Question"/>
      </w:pPr>
      <w:r>
        <w:t>Q.</w:t>
      </w:r>
      <w:r>
        <w:tab/>
        <w:t>You mention earlier in your testimony that</w:t>
      </w:r>
      <w:r w:rsidR="002A1DBD">
        <w:t xml:space="preserve"> it can be beneficial to have</w:t>
      </w:r>
      <w:r>
        <w:t xml:space="preserve"> integrated transmission systems.  What level of interconnection does Georgia Power have to neighboring utilities?</w:t>
      </w:r>
    </w:p>
    <w:p w14:paraId="6ACB307C" w14:textId="00B14B98" w:rsidR="008F6424" w:rsidRPr="008F6424" w:rsidRDefault="00E00E00" w:rsidP="001D4958">
      <w:pPr>
        <w:pStyle w:val="Answer"/>
      </w:pPr>
      <w:r>
        <w:t xml:space="preserve">A. </w:t>
      </w:r>
      <w:r>
        <w:tab/>
      </w:r>
      <w:r w:rsidRPr="008F6424">
        <w:t xml:space="preserve">According to the FERC, NERC, and Regional Staff Entity Report on Winter Storm Elliott, Southern </w:t>
      </w:r>
      <w:r w:rsidR="005C2873">
        <w:t xml:space="preserve">Company, which includes the Georgia Power footprint, </w:t>
      </w:r>
      <w:r w:rsidRPr="008F6424">
        <w:t xml:space="preserve">has 55 total alternating current (AC) transmission ties to other core balancing authorities (BA) in the Eastern Interconnection. Those include: twenty-six (26) ties to Florida BAs, twelve (12) ties to Tennessee Valley Authority (TVA), nine (9) ties to Midcontinent Independent </w:t>
      </w:r>
      <w:r w:rsidRPr="008F6424">
        <w:lastRenderedPageBreak/>
        <w:t>System Operator (MISO), 5 ties to Dominion Energy South Carolina (DESC), 2 ties to Santee Cooper, and 1 tie to Duke Energy Carolinas (DEC).</w:t>
      </w:r>
      <w:r w:rsidRPr="00F30527">
        <w:rPr>
          <w:rStyle w:val="FootnoteReference"/>
          <w:color w:val="000000" w:themeColor="text1"/>
        </w:rPr>
        <w:footnoteReference w:id="33"/>
      </w:r>
      <w:r w:rsidRPr="008F6424">
        <w:t xml:space="preserve"> </w:t>
      </w:r>
    </w:p>
    <w:p w14:paraId="2375C5C1" w14:textId="68495125" w:rsidR="008F6424" w:rsidRPr="008F6424" w:rsidRDefault="008F6424" w:rsidP="008F6424">
      <w:pPr>
        <w:pStyle w:val="Question"/>
      </w:pPr>
      <w:r>
        <w:t>Q.</w:t>
      </w:r>
      <w:r>
        <w:tab/>
      </w:r>
      <w:r w:rsidRPr="008F6424">
        <w:t xml:space="preserve">WHY DOES IT MATTER IF A UTILITY HAS TIES WITH OTHER AREAS? </w:t>
      </w:r>
    </w:p>
    <w:p w14:paraId="547A5FEB" w14:textId="54FCDFCD" w:rsidR="008F6424" w:rsidRDefault="008F6424" w:rsidP="008F6424">
      <w:pPr>
        <w:pStyle w:val="Answer"/>
        <w:rPr>
          <w:color w:val="000000" w:themeColor="text1"/>
        </w:rPr>
      </w:pPr>
      <w:r>
        <w:t>A.</w:t>
      </w:r>
      <w:r>
        <w:tab/>
      </w:r>
      <w:r w:rsidR="0033005C">
        <w:t xml:space="preserve">Over the last few decades, we have </w:t>
      </w:r>
      <w:r w:rsidR="001D4958">
        <w:t>seen</w:t>
      </w:r>
      <w:r w:rsidRPr="008F6424">
        <w:t xml:space="preserve"> </w:t>
      </w:r>
      <w:r w:rsidR="001D4958">
        <w:t>a</w:t>
      </w:r>
      <w:r w:rsidR="0033005C">
        <w:t xml:space="preserve"> significant</w:t>
      </w:r>
      <w:r w:rsidRPr="008F6424">
        <w:t xml:space="preserve"> increase the intensity and frequency of extreme weather events</w:t>
      </w:r>
      <w:r w:rsidR="0033005C">
        <w:t xml:space="preserve"> that have impacted the ability to run generation and deliver power</w:t>
      </w:r>
      <w:r w:rsidRPr="008F6424">
        <w:t>.</w:t>
      </w:r>
      <w:r w:rsidRPr="00F30527">
        <w:rPr>
          <w:rStyle w:val="FootnoteReference"/>
          <w:color w:val="000000" w:themeColor="text1"/>
        </w:rPr>
        <w:footnoteReference w:id="34"/>
      </w:r>
      <w:r w:rsidRPr="008F6424">
        <w:t xml:space="preserve"> </w:t>
      </w:r>
      <w:r w:rsidR="0033005C">
        <w:t xml:space="preserve">Because </w:t>
      </w:r>
      <w:r w:rsidR="0033005C">
        <w:rPr>
          <w:color w:val="000000" w:themeColor="text1"/>
        </w:rPr>
        <w:t>e</w:t>
      </w:r>
      <w:r w:rsidR="0033005C" w:rsidRPr="008F6424">
        <w:rPr>
          <w:color w:val="000000" w:themeColor="text1"/>
        </w:rPr>
        <w:t xml:space="preserve">xtreme weather events </w:t>
      </w:r>
      <w:r w:rsidR="0033005C">
        <w:rPr>
          <w:color w:val="000000" w:themeColor="text1"/>
        </w:rPr>
        <w:t xml:space="preserve">can </w:t>
      </w:r>
      <w:r w:rsidR="0033005C" w:rsidRPr="008F6424">
        <w:rPr>
          <w:color w:val="000000" w:themeColor="text1"/>
        </w:rPr>
        <w:t xml:space="preserve">cover </w:t>
      </w:r>
      <w:r w:rsidR="0033005C">
        <w:rPr>
          <w:color w:val="000000" w:themeColor="text1"/>
        </w:rPr>
        <w:t xml:space="preserve">an entire or even multiple utility footprints, it is important that utilities have connections with </w:t>
      </w:r>
      <w:r w:rsidRPr="008F6424">
        <w:t xml:space="preserve">neighboring utilities and regions </w:t>
      </w:r>
      <w:r w:rsidR="00450B7E">
        <w:t xml:space="preserve">who may not be experiencing the same, or may be less impacted by, weather conditions and to use these connections </w:t>
      </w:r>
      <w:r w:rsidR="0033005C">
        <w:t xml:space="preserve">to import power and </w:t>
      </w:r>
      <w:r w:rsidRPr="008F6424">
        <w:t>keep the lights on</w:t>
      </w:r>
      <w:r w:rsidRPr="008F6424">
        <w:rPr>
          <w:color w:val="000000" w:themeColor="text1"/>
        </w:rPr>
        <w:t xml:space="preserve">. </w:t>
      </w:r>
    </w:p>
    <w:p w14:paraId="11D1106C" w14:textId="4BB40AF5" w:rsidR="008F6424" w:rsidRPr="008F6424" w:rsidRDefault="008F6424" w:rsidP="008F6424">
      <w:pPr>
        <w:pStyle w:val="Question"/>
      </w:pPr>
      <w:r>
        <w:t>Q.</w:t>
      </w:r>
      <w:r>
        <w:tab/>
        <w:t>Please describe some of the</w:t>
      </w:r>
      <w:r w:rsidR="00023625">
        <w:t>se</w:t>
      </w:r>
      <w:r w:rsidR="006128F7">
        <w:t xml:space="preserve"> recent </w:t>
      </w:r>
      <w:r>
        <w:t>major weather events.</w:t>
      </w:r>
    </w:p>
    <w:p w14:paraId="5C0FC603" w14:textId="3D36A8D0" w:rsidR="008F6424" w:rsidRDefault="008F6424" w:rsidP="006128F7">
      <w:pPr>
        <w:pStyle w:val="Answer"/>
      </w:pPr>
      <w:r>
        <w:t>A.</w:t>
      </w:r>
      <w:r>
        <w:tab/>
      </w:r>
      <w:r w:rsidR="006128F7" w:rsidRPr="00023625">
        <w:rPr>
          <w:i/>
          <w:iCs/>
        </w:rPr>
        <w:t xml:space="preserve">December 2022- </w:t>
      </w:r>
      <w:r w:rsidRPr="00023625">
        <w:rPr>
          <w:i/>
          <w:iCs/>
        </w:rPr>
        <w:t>Winter Storm Elliott</w:t>
      </w:r>
      <w:r w:rsidRPr="008F6424">
        <w:t xml:space="preserve">: </w:t>
      </w:r>
      <w:r w:rsidR="00023625">
        <w:t xml:space="preserve">Hitting </w:t>
      </w:r>
      <w:r w:rsidR="005D14D1">
        <w:t xml:space="preserve">right </w:t>
      </w:r>
      <w:r w:rsidR="00023625">
        <w:t xml:space="preserve">around the Christmas holiday, Winter Storm Elliott </w:t>
      </w:r>
      <w:r w:rsidRPr="008F6424">
        <w:t xml:space="preserve">“had the largest footprint of any </w:t>
      </w:r>
      <w:r w:rsidR="00023625">
        <w:t xml:space="preserve">[extreme weather event] </w:t>
      </w:r>
      <w:r w:rsidRPr="008F6424">
        <w:t>examined in a joint FERC-NERC-Regional Entity inquiry…the extreme cold weather covered most of the eastern half of the lower 48 United States, except for some of Florida.”</w:t>
      </w:r>
      <w:r w:rsidRPr="00F30527">
        <w:rPr>
          <w:rStyle w:val="FootnoteReference"/>
          <w:color w:val="000000" w:themeColor="text1"/>
        </w:rPr>
        <w:footnoteReference w:id="35"/>
      </w:r>
      <w:r w:rsidRPr="008F6424">
        <w:t xml:space="preserve"> </w:t>
      </w:r>
      <w:r w:rsidR="00FC530E">
        <w:t>(See Figure </w:t>
      </w:r>
      <w:r w:rsidR="00BA5783">
        <w:t>5</w:t>
      </w:r>
      <w:r w:rsidR="00FC530E">
        <w:t>).</w:t>
      </w:r>
    </w:p>
    <w:p w14:paraId="71F9BA73" w14:textId="3A3B91EC" w:rsidR="00FC530E" w:rsidRPr="00FC530E" w:rsidRDefault="00FC530E" w:rsidP="00FC530E">
      <w:pPr>
        <w:pStyle w:val="FigureNumber"/>
      </w:pPr>
      <w:r w:rsidRPr="00FC530E">
        <w:lastRenderedPageBreak/>
        <w:t xml:space="preserve">Figure </w:t>
      </w:r>
      <w:r w:rsidR="00BA5783">
        <w:t>5</w:t>
      </w:r>
    </w:p>
    <w:p w14:paraId="642C3BFA" w14:textId="04C7DBA1" w:rsidR="008F6424" w:rsidRPr="008F6424" w:rsidRDefault="008F6424" w:rsidP="008F6424">
      <w:pPr>
        <w:pStyle w:val="Answer"/>
        <w:ind w:left="1440"/>
        <w:rPr>
          <w:color w:val="000000" w:themeColor="text1"/>
        </w:rPr>
      </w:pPr>
      <w:r>
        <w:rPr>
          <w:noProof/>
        </w:rPr>
        <w:drawing>
          <wp:inline distT="0" distB="0" distL="0" distR="0" wp14:anchorId="679BE9DA" wp14:editId="2A3FF9D8">
            <wp:extent cx="5291216" cy="2353455"/>
            <wp:effectExtent l="0" t="0" r="5080" b="0"/>
            <wp:docPr id="1771646808" name="Picture 5" descr="A map of the united stat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1646808" name="Picture 5" descr="A map of the united states&#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5343511" cy="2376715"/>
                    </a:xfrm>
                    <a:prstGeom prst="rect">
                      <a:avLst/>
                    </a:prstGeom>
                  </pic:spPr>
                </pic:pic>
              </a:graphicData>
            </a:graphic>
          </wp:inline>
        </w:drawing>
      </w:r>
      <w:r w:rsidR="005D14D1" w:rsidRPr="00F30527">
        <w:rPr>
          <w:rStyle w:val="FootnoteReference"/>
          <w:color w:val="000000" w:themeColor="text1"/>
        </w:rPr>
        <w:footnoteReference w:id="36"/>
      </w:r>
    </w:p>
    <w:p w14:paraId="2A978DF9" w14:textId="7E9493E2" w:rsidR="00FC530E" w:rsidRDefault="006128F7" w:rsidP="00AB1D48">
      <w:pPr>
        <w:pStyle w:val="ListParagraph"/>
        <w:numPr>
          <w:ilvl w:val="0"/>
          <w:numId w:val="44"/>
        </w:numPr>
        <w:ind w:firstLine="0"/>
        <w:rPr>
          <w:color w:val="000000" w:themeColor="text1"/>
        </w:rPr>
      </w:pPr>
      <w:r w:rsidRPr="00FC530E">
        <w:rPr>
          <w:i/>
          <w:iCs/>
          <w:color w:val="000000" w:themeColor="text1"/>
        </w:rPr>
        <w:t>August-September 2021- Hurricane Ida</w:t>
      </w:r>
      <w:r w:rsidRPr="00FC530E">
        <w:rPr>
          <w:color w:val="000000" w:themeColor="text1"/>
        </w:rPr>
        <w:t xml:space="preserve">: </w:t>
      </w:r>
      <w:r w:rsidR="00023625" w:rsidRPr="00FC530E">
        <w:rPr>
          <w:color w:val="000000" w:themeColor="text1"/>
        </w:rPr>
        <w:t>This</w:t>
      </w:r>
      <w:r w:rsidRPr="00FC530E">
        <w:rPr>
          <w:color w:val="000000" w:themeColor="text1"/>
        </w:rPr>
        <w:t xml:space="preserve"> Category 4 hurricane “resulted in service outages for up to 1.2 million electricity customers across eight states,” including three southern states (Louisiana, Mississippi, and Alabama) and five northeastern state</w:t>
      </w:r>
      <w:r w:rsidR="00FC530E">
        <w:rPr>
          <w:color w:val="000000" w:themeColor="text1"/>
        </w:rPr>
        <w:t xml:space="preserve">s </w:t>
      </w:r>
      <w:r w:rsidRPr="00FC530E">
        <w:rPr>
          <w:color w:val="000000" w:themeColor="text1"/>
        </w:rPr>
        <w:t>(Connecticut, Massachusetts, New Jersey, New York, and Pennsylvania).</w:t>
      </w:r>
      <w:r w:rsidRPr="00F30527">
        <w:rPr>
          <w:rStyle w:val="FootnoteReference"/>
          <w:color w:val="000000" w:themeColor="text1"/>
        </w:rPr>
        <w:footnoteReference w:id="37"/>
      </w:r>
      <w:r w:rsidRPr="00FC530E">
        <w:rPr>
          <w:color w:val="000000" w:themeColor="text1"/>
        </w:rPr>
        <w:t xml:space="preserve"> </w:t>
      </w:r>
      <w:r w:rsidR="00FC530E">
        <w:rPr>
          <w:color w:val="000000" w:themeColor="text1"/>
        </w:rPr>
        <w:t>(See Figure </w:t>
      </w:r>
      <w:r w:rsidR="00BA5783">
        <w:rPr>
          <w:color w:val="000000" w:themeColor="text1"/>
        </w:rPr>
        <w:t>6</w:t>
      </w:r>
      <w:r w:rsidR="00FC530E">
        <w:rPr>
          <w:color w:val="000000" w:themeColor="text1"/>
        </w:rPr>
        <w:t>).</w:t>
      </w:r>
    </w:p>
    <w:p w14:paraId="68D2A130" w14:textId="2E60FDE4" w:rsidR="00FC530E" w:rsidRDefault="00FC530E" w:rsidP="00FC530E">
      <w:pPr>
        <w:pStyle w:val="FigureNumber"/>
      </w:pPr>
      <w:r>
        <w:lastRenderedPageBreak/>
        <w:t xml:space="preserve">Figure </w:t>
      </w:r>
      <w:r w:rsidR="00BA5783">
        <w:t>6</w:t>
      </w:r>
    </w:p>
    <w:p w14:paraId="740FBE7E" w14:textId="62DF4644" w:rsidR="006128F7" w:rsidRPr="00FC530E" w:rsidRDefault="006128F7" w:rsidP="00FC530E">
      <w:pPr>
        <w:pStyle w:val="ListParagraph"/>
        <w:rPr>
          <w:color w:val="000000" w:themeColor="text1"/>
        </w:rPr>
      </w:pPr>
      <w:r>
        <w:rPr>
          <w:noProof/>
        </w:rPr>
        <w:drawing>
          <wp:inline distT="0" distB="0" distL="0" distR="0" wp14:anchorId="59817505" wp14:editId="6CCAA245">
            <wp:extent cx="5336499" cy="2793680"/>
            <wp:effectExtent l="0" t="0" r="0" b="635"/>
            <wp:docPr id="344764852" name="Picture 2" descr="A graph of the number of outag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764852" name="Picture 2" descr="A graph of the number of outages&#10;&#10;Description automatically generated with medium confidenc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353408" cy="2802532"/>
                    </a:xfrm>
                    <a:prstGeom prst="rect">
                      <a:avLst/>
                    </a:prstGeom>
                  </pic:spPr>
                </pic:pic>
              </a:graphicData>
            </a:graphic>
          </wp:inline>
        </w:drawing>
      </w:r>
      <w:r w:rsidR="005D14D1" w:rsidRPr="00F30527">
        <w:rPr>
          <w:rStyle w:val="FootnoteReference"/>
          <w:color w:val="000000" w:themeColor="text1"/>
        </w:rPr>
        <w:footnoteReference w:id="38"/>
      </w:r>
    </w:p>
    <w:p w14:paraId="3139CA03" w14:textId="719B1D31" w:rsidR="006128F7" w:rsidRPr="005D14D1" w:rsidRDefault="006128F7" w:rsidP="00697953">
      <w:pPr>
        <w:pStyle w:val="Answer"/>
        <w:numPr>
          <w:ilvl w:val="0"/>
          <w:numId w:val="44"/>
        </w:numPr>
        <w:ind w:left="1080"/>
        <w:rPr>
          <w:color w:val="000000" w:themeColor="text1"/>
        </w:rPr>
      </w:pPr>
      <w:r w:rsidRPr="005D14D1">
        <w:rPr>
          <w:i/>
          <w:iCs/>
        </w:rPr>
        <w:t>February 2021- Winter Storm Uri</w:t>
      </w:r>
      <w:r w:rsidRPr="008F6424">
        <w:t>: the storm “dumped record amounts of snow on Texas, with the frigid temperatures and severe weather impacting all 254 counties in the state in February 2021. Millions of Texans lost power…Gov. Greg Abbott issued a disaster declaration for all 254 counties in the state.”</w:t>
      </w:r>
      <w:r w:rsidRPr="00F30527">
        <w:rPr>
          <w:rStyle w:val="FootnoteReference"/>
          <w:color w:val="000000" w:themeColor="text1"/>
        </w:rPr>
        <w:footnoteReference w:id="39"/>
      </w:r>
      <w:r w:rsidRPr="008F6424">
        <w:t xml:space="preserve"> </w:t>
      </w:r>
      <w:r w:rsidR="005D14D1" w:rsidRPr="005D14D1">
        <w:t>More than 200 people died</w:t>
      </w:r>
      <w:r w:rsidR="005D14D1">
        <w:t xml:space="preserve"> in Texas, the majority from power o</w:t>
      </w:r>
      <w:r w:rsidR="005D14D1" w:rsidRPr="005D14D1">
        <w:t>utage-related causes.</w:t>
      </w:r>
      <w:r w:rsidR="005D14D1">
        <w:rPr>
          <w:rStyle w:val="FootnoteReference"/>
        </w:rPr>
        <w:footnoteReference w:id="40"/>
      </w:r>
      <w:r w:rsidR="005D14D1">
        <w:t xml:space="preserve"> </w:t>
      </w:r>
      <w:r w:rsidR="005D14D1">
        <w:rPr>
          <w:noProof/>
        </w:rPr>
        <w:t>Though the southern portion of the MISO territory was hit by the same snowstorm, they were able to keep their lights on by importing power from neighboring balancing authorities.</w:t>
      </w:r>
    </w:p>
    <w:p w14:paraId="214043D8" w14:textId="63D0B913" w:rsidR="0086198B" w:rsidRPr="0086198B" w:rsidRDefault="006128F7" w:rsidP="005830CE">
      <w:pPr>
        <w:pStyle w:val="Answer"/>
        <w:numPr>
          <w:ilvl w:val="0"/>
          <w:numId w:val="44"/>
        </w:numPr>
        <w:ind w:left="1080"/>
        <w:rPr>
          <w:color w:val="000000" w:themeColor="text1"/>
        </w:rPr>
      </w:pPr>
      <w:r w:rsidRPr="005D14D1">
        <w:rPr>
          <w:i/>
          <w:iCs/>
        </w:rPr>
        <w:lastRenderedPageBreak/>
        <w:t>October 2018- Hurricane Michael</w:t>
      </w:r>
      <w:r w:rsidRPr="008F6424">
        <w:t>: the tropical cyclone “resulted in service outages for up to 1.7 million electricity customers across six states,” making landfall in the Florida panhandle and travelling through Alabama, Georgia, North Carolina, South Carolina, and Virginia.</w:t>
      </w:r>
      <w:r w:rsidRPr="00F30527">
        <w:rPr>
          <w:rStyle w:val="FootnoteReference"/>
          <w:color w:val="000000" w:themeColor="text1"/>
        </w:rPr>
        <w:footnoteReference w:id="41"/>
      </w:r>
      <w:r w:rsidRPr="008F6424">
        <w:t xml:space="preserve"> </w:t>
      </w:r>
      <w:r w:rsidR="0086198B">
        <w:t xml:space="preserve">(See Figure </w:t>
      </w:r>
      <w:r w:rsidR="00BA5783">
        <w:t>7</w:t>
      </w:r>
      <w:r w:rsidR="0086198B">
        <w:t>)</w:t>
      </w:r>
    </w:p>
    <w:p w14:paraId="4EEACFF4" w14:textId="6602B6EA" w:rsidR="0086198B" w:rsidRPr="0086198B" w:rsidRDefault="0086198B" w:rsidP="0086198B">
      <w:pPr>
        <w:pStyle w:val="FigureNumber"/>
        <w:rPr>
          <w:color w:val="000000" w:themeColor="text1"/>
        </w:rPr>
      </w:pPr>
      <w:r>
        <w:t xml:space="preserve">Figure </w:t>
      </w:r>
      <w:r w:rsidR="00BA5783">
        <w:t>7</w:t>
      </w:r>
      <w:r>
        <w:t xml:space="preserve"> </w:t>
      </w:r>
    </w:p>
    <w:p w14:paraId="3D5D4688" w14:textId="175FBD38" w:rsidR="006128F7" w:rsidRPr="005D14D1" w:rsidRDefault="006128F7" w:rsidP="0086198B">
      <w:pPr>
        <w:pStyle w:val="Answer"/>
        <w:ind w:left="1080" w:firstLine="0"/>
        <w:rPr>
          <w:color w:val="000000" w:themeColor="text1"/>
        </w:rPr>
      </w:pPr>
      <w:r>
        <w:rPr>
          <w:noProof/>
        </w:rPr>
        <w:drawing>
          <wp:inline distT="0" distB="0" distL="0" distR="0" wp14:anchorId="3E6797B6" wp14:editId="51616D15">
            <wp:extent cx="5141626" cy="2570813"/>
            <wp:effectExtent l="0" t="0" r="1905" b="0"/>
            <wp:docPr id="1212365689" name="Picture 3" descr="A graph of the number of people in the united stat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2365689" name="Picture 3" descr="A graph of the number of people in the united states&#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5149217" cy="2574608"/>
                    </a:xfrm>
                    <a:prstGeom prst="rect">
                      <a:avLst/>
                    </a:prstGeom>
                  </pic:spPr>
                </pic:pic>
              </a:graphicData>
            </a:graphic>
          </wp:inline>
        </w:drawing>
      </w:r>
      <w:r w:rsidR="005D14D1" w:rsidRPr="00F30527">
        <w:rPr>
          <w:rStyle w:val="FootnoteReference"/>
          <w:color w:val="000000" w:themeColor="text1"/>
        </w:rPr>
        <w:footnoteReference w:id="42"/>
      </w:r>
    </w:p>
    <w:p w14:paraId="34966DFA" w14:textId="3FC06003" w:rsidR="00023625" w:rsidRDefault="00023625" w:rsidP="00023625">
      <w:pPr>
        <w:pStyle w:val="Question"/>
      </w:pPr>
      <w:r>
        <w:t>Q.</w:t>
      </w:r>
      <w:r>
        <w:tab/>
        <w:t xml:space="preserve">Have any of these extreme weather events impacted </w:t>
      </w:r>
      <w:r w:rsidR="005D14D1">
        <w:t xml:space="preserve">electric service in </w:t>
      </w:r>
      <w:r>
        <w:t>georgia?</w:t>
      </w:r>
    </w:p>
    <w:p w14:paraId="0A05E338" w14:textId="3D51FDBB" w:rsidR="00023625" w:rsidRDefault="00023625" w:rsidP="00023625">
      <w:pPr>
        <w:pStyle w:val="Answer"/>
      </w:pPr>
      <w:r>
        <w:t>A.</w:t>
      </w:r>
      <w:r>
        <w:tab/>
        <w:t>Yes</w:t>
      </w:r>
      <w:r w:rsidR="005D14D1">
        <w:t>, with respect to the events listed above, both Winter Storm Eliot and Hurricane Michael impacted power availability in Georgia</w:t>
      </w:r>
      <w:r>
        <w:t xml:space="preserve">. </w:t>
      </w:r>
      <w:r w:rsidR="005D14D1">
        <w:t>More generally, a</w:t>
      </w:r>
      <w:r w:rsidRPr="008F6424">
        <w:t xml:space="preserve">ccording to the National Oceanic and Atmospheric Administration (NOAA), </w:t>
      </w:r>
      <w:r w:rsidR="002D038A">
        <w:t xml:space="preserve">in </w:t>
      </w:r>
      <w:r>
        <w:t>2023</w:t>
      </w:r>
      <w:r w:rsidR="002D038A">
        <w:t xml:space="preserve"> we experienced </w:t>
      </w:r>
      <w:r w:rsidRPr="008F6424">
        <w:t xml:space="preserve">28 severe weather events </w:t>
      </w:r>
      <w:r>
        <w:t xml:space="preserve">each </w:t>
      </w:r>
      <w:r w:rsidRPr="008F6424">
        <w:t>costing more than $1 billion in damages</w:t>
      </w:r>
      <w:r w:rsidR="002D038A">
        <w:t xml:space="preserve">, </w:t>
      </w:r>
      <w:r>
        <w:t xml:space="preserve">collectively </w:t>
      </w:r>
      <w:r w:rsidRPr="008F6424">
        <w:t xml:space="preserve">totaling </w:t>
      </w:r>
      <w:r w:rsidRPr="008F6424">
        <w:lastRenderedPageBreak/>
        <w:t>$92.9 billion</w:t>
      </w:r>
      <w:r>
        <w:t xml:space="preserve"> in damages</w:t>
      </w:r>
      <w:r w:rsidRPr="008F6424">
        <w:t>. Half (14) of those events</w:t>
      </w:r>
      <w:r>
        <w:t xml:space="preserve">, including </w:t>
      </w:r>
      <w:r w:rsidRPr="008F6424">
        <w:t>heat waves, hurricanes, flooding, and severe storms</w:t>
      </w:r>
      <w:r>
        <w:t xml:space="preserve">, </w:t>
      </w:r>
      <w:r w:rsidRPr="008F6424">
        <w:t>affected Georgia.</w:t>
      </w:r>
      <w:r w:rsidRPr="00F30527">
        <w:rPr>
          <w:rStyle w:val="FootnoteReference"/>
          <w:color w:val="000000" w:themeColor="text1"/>
        </w:rPr>
        <w:footnoteReference w:id="43"/>
      </w:r>
      <w:r w:rsidRPr="008F6424">
        <w:t xml:space="preserve"> </w:t>
      </w:r>
      <w:r>
        <w:t xml:space="preserve">Based on NOAA data, </w:t>
      </w:r>
      <w:r w:rsidR="0086198B">
        <w:t xml:space="preserve">Figure </w:t>
      </w:r>
      <w:r w:rsidR="00BA5783">
        <w:t>8</w:t>
      </w:r>
      <w:r w:rsidRPr="008F6424">
        <w:t xml:space="preserve"> chart</w:t>
      </w:r>
      <w:r w:rsidR="0086198B">
        <w:t>s the</w:t>
      </w:r>
      <w:r w:rsidRPr="008F6424">
        <w:t xml:space="preserve"> billion-dollar disaster events in Georgia </w:t>
      </w:r>
      <w:r>
        <w:t>between</w:t>
      </w:r>
      <w:r w:rsidRPr="008F6424">
        <w:t xml:space="preserve"> 1980-2023</w:t>
      </w:r>
      <w:r w:rsidR="0086198B">
        <w:t>. N</w:t>
      </w:r>
      <w:r>
        <w:t>otably</w:t>
      </w:r>
      <w:r w:rsidRPr="008F6424">
        <w:t xml:space="preserve"> </w:t>
      </w:r>
      <w:r>
        <w:t xml:space="preserve">in the 53 years of data collection, the state faced the </w:t>
      </w:r>
      <w:r w:rsidRPr="008F6424">
        <w:t xml:space="preserve">highest number of billion-dollar weather events </w:t>
      </w:r>
      <w:r>
        <w:t>in 2023</w:t>
      </w:r>
      <w:r w:rsidRPr="008F6424">
        <w:t>.</w:t>
      </w:r>
    </w:p>
    <w:p w14:paraId="7CB27BEF" w14:textId="09AE1151" w:rsidR="0086198B" w:rsidRPr="008F6424" w:rsidRDefault="0086198B" w:rsidP="0086198B">
      <w:pPr>
        <w:pStyle w:val="FigureNumber"/>
      </w:pPr>
      <w:r>
        <w:t xml:space="preserve">Figure </w:t>
      </w:r>
      <w:r w:rsidR="00BA5783">
        <w:t>8</w:t>
      </w:r>
    </w:p>
    <w:p w14:paraId="1EEA9531" w14:textId="7C5535C1" w:rsidR="00023625" w:rsidRPr="008F6424" w:rsidRDefault="00023625" w:rsidP="003F3BF4">
      <w:pPr>
        <w:pStyle w:val="Answer"/>
        <w:ind w:firstLine="0"/>
        <w:rPr>
          <w:color w:val="000000" w:themeColor="text1"/>
        </w:rPr>
      </w:pPr>
      <w:r w:rsidRPr="00F30527">
        <w:rPr>
          <w:noProof/>
        </w:rPr>
        <w:drawing>
          <wp:inline distT="0" distB="0" distL="0" distR="0" wp14:anchorId="286A34F8" wp14:editId="4EF65610">
            <wp:extent cx="5362352" cy="2900597"/>
            <wp:effectExtent l="0" t="0" r="0" b="0"/>
            <wp:docPr id="13784608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846083" name="Picture 137846083"/>
                    <pic:cNvPicPr/>
                  </pic:nvPicPr>
                  <pic:blipFill>
                    <a:blip r:embed="rId19">
                      <a:extLst>
                        <a:ext uri="{28A0092B-C50C-407E-A947-70E740481C1C}">
                          <a14:useLocalDpi xmlns:a14="http://schemas.microsoft.com/office/drawing/2010/main" val="0"/>
                        </a:ext>
                      </a:extLst>
                    </a:blip>
                    <a:stretch>
                      <a:fillRect/>
                    </a:stretch>
                  </pic:blipFill>
                  <pic:spPr>
                    <a:xfrm>
                      <a:off x="0" y="0"/>
                      <a:ext cx="5374262" cy="2907039"/>
                    </a:xfrm>
                    <a:prstGeom prst="rect">
                      <a:avLst/>
                    </a:prstGeom>
                  </pic:spPr>
                </pic:pic>
              </a:graphicData>
            </a:graphic>
          </wp:inline>
        </w:drawing>
      </w:r>
      <w:r w:rsidR="003F3BF4" w:rsidRPr="00F30527">
        <w:rPr>
          <w:rStyle w:val="FootnoteReference"/>
          <w:color w:val="000000" w:themeColor="text1"/>
        </w:rPr>
        <w:footnoteReference w:id="44"/>
      </w:r>
    </w:p>
    <w:p w14:paraId="459D89B8" w14:textId="57A4D8E1" w:rsidR="008F6424" w:rsidRPr="006128F7" w:rsidRDefault="006128F7" w:rsidP="006128F7">
      <w:pPr>
        <w:pStyle w:val="Question"/>
      </w:pPr>
      <w:r>
        <w:lastRenderedPageBreak/>
        <w:t>Q.</w:t>
      </w:r>
      <w:r>
        <w:tab/>
      </w:r>
      <w:r w:rsidR="008F6424" w:rsidRPr="006128F7">
        <w:t xml:space="preserve">WHAT WAS THE EFFECT OF WINTER STORM ELLIOTT ON </w:t>
      </w:r>
      <w:r>
        <w:t xml:space="preserve">Georgia Power’s Footprint and </w:t>
      </w:r>
      <w:r w:rsidR="008F6424" w:rsidRPr="006128F7">
        <w:t>ON SOUTHERN COMPANY</w:t>
      </w:r>
      <w:r>
        <w:t xml:space="preserve"> more generally</w:t>
      </w:r>
      <w:r w:rsidR="008F6424" w:rsidRPr="006128F7">
        <w:t>?</w:t>
      </w:r>
    </w:p>
    <w:p w14:paraId="285D451C" w14:textId="35FE397F" w:rsidR="008F6424" w:rsidRPr="006128F7" w:rsidRDefault="006128F7" w:rsidP="006128F7">
      <w:pPr>
        <w:pStyle w:val="Answer"/>
      </w:pPr>
      <w:r>
        <w:rPr>
          <w:color w:val="000000" w:themeColor="text1"/>
        </w:rPr>
        <w:t>A.</w:t>
      </w:r>
      <w:r>
        <w:rPr>
          <w:color w:val="000000" w:themeColor="text1"/>
        </w:rPr>
        <w:tab/>
      </w:r>
      <w:r w:rsidR="008F6424" w:rsidRPr="008F6424">
        <w:rPr>
          <w:color w:val="000000" w:themeColor="text1"/>
        </w:rPr>
        <w:t xml:space="preserve">During Winter Storm Elliott, </w:t>
      </w:r>
      <w:r w:rsidR="008F6424">
        <w:t>several major utilities in the Southeast region of the U.S. were forced to implement rolling blackouts within their systems, including Duke Energy, TVA, and LG&amp;E/KU.</w:t>
      </w:r>
      <w:r w:rsidR="008F6424" w:rsidRPr="00BC72B2">
        <w:rPr>
          <w:rStyle w:val="FootnoteReference"/>
        </w:rPr>
        <w:footnoteReference w:id="45"/>
      </w:r>
      <w:r w:rsidR="003F3BF4">
        <w:rPr>
          <w:vertAlign w:val="superscript"/>
        </w:rPr>
        <w:t xml:space="preserve"> </w:t>
      </w:r>
      <w:r w:rsidR="00936C91">
        <w:t>In the Southern Company, generation also went down, but the Southern utilities were able to import</w:t>
      </w:r>
      <w:r w:rsidR="003F3BF4">
        <w:t xml:space="preserve"> </w:t>
      </w:r>
      <w:r w:rsidR="00936C91">
        <w:t>sufficient power from neighboring balancing authorities to stave off large scale blackouts.</w:t>
      </w:r>
    </w:p>
    <w:p w14:paraId="684CDDFF" w14:textId="4FB3C2DD" w:rsidR="003F3BF4" w:rsidRDefault="003F3BF4" w:rsidP="003F3BF4">
      <w:pPr>
        <w:pStyle w:val="Question"/>
      </w:pPr>
      <w:r>
        <w:t>Q.</w:t>
      </w:r>
      <w:r>
        <w:tab/>
        <w:t xml:space="preserve">Please break down the event. </w:t>
      </w:r>
    </w:p>
    <w:p w14:paraId="41D46665" w14:textId="50D65283" w:rsidR="003F3BF4" w:rsidRDefault="003F3BF4" w:rsidP="003F3BF4">
      <w:pPr>
        <w:pStyle w:val="Answer"/>
      </w:pPr>
      <w:r>
        <w:t>A.</w:t>
      </w:r>
      <w:r>
        <w:tab/>
        <w:t xml:space="preserve">As per the </w:t>
      </w:r>
      <w:r w:rsidR="008F6424">
        <w:t>FERC</w:t>
      </w:r>
      <w:r w:rsidR="00834893">
        <w:t>-</w:t>
      </w:r>
      <w:r w:rsidR="008F6424">
        <w:t>NERC report</w:t>
      </w:r>
      <w:r>
        <w:t>:</w:t>
      </w:r>
    </w:p>
    <w:p w14:paraId="25BE92A9" w14:textId="4CA36786" w:rsidR="003F3BF4" w:rsidRDefault="008F6424" w:rsidP="00834893">
      <w:pPr>
        <w:pStyle w:val="blockquote"/>
      </w:pPr>
      <w:r>
        <w:t>virtually all of the [</w:t>
      </w:r>
      <w:r w:rsidRPr="00834893">
        <w:t>balancing</w:t>
      </w:r>
      <w:r>
        <w:t xml:space="preserve"> authorities/reliability coordinators] saw generation lost or derated due to Natural Gas Fuel Issues on December 23 and 24. SPP, TVA, LG&amp;E/KU, and VACAR-South RC all reported gaining awareness on December 23 or 24 that generating units were struggling to find adequate natural gas supply or that pipelines were struggling or unable to maintain adequate pressure at certain locations.</w:t>
      </w:r>
      <w:r>
        <w:rPr>
          <w:rStyle w:val="FootnoteReference"/>
        </w:rPr>
        <w:footnoteReference w:id="46"/>
      </w:r>
      <w:r w:rsidR="006128F7">
        <w:t xml:space="preserve">  </w:t>
      </w:r>
    </w:p>
    <w:p w14:paraId="535C263E" w14:textId="4614C461" w:rsidR="008F6424" w:rsidRDefault="008F6424" w:rsidP="003F3BF4">
      <w:pPr>
        <w:pStyle w:val="Answer"/>
        <w:ind w:firstLine="0"/>
      </w:pPr>
      <w:r w:rsidRPr="003F3BF4">
        <w:rPr>
          <w:color w:val="000000" w:themeColor="text1"/>
        </w:rPr>
        <w:lastRenderedPageBreak/>
        <w:t xml:space="preserve">For Georgia specifically, power outages in the Southern BA began at midnight on December 23, 2022. During the first two hours of December 24, Southern forced </w:t>
      </w:r>
      <w:r>
        <w:t xml:space="preserve">500 MW of gas and oil generating unit capacity offline. Over the following four hours, Southern forced an additional 890 MW of gas and combined cycle generating capacity offline. Between 12:00am to 6:00am on December 24, </w:t>
      </w:r>
      <w:r w:rsidRPr="003F3BF4">
        <w:rPr>
          <w:b/>
          <w:bCs/>
        </w:rPr>
        <w:t>Southern had a total of 1,390 MW in incremental unplanned outages</w:t>
      </w:r>
      <w:r>
        <w:t>.</w:t>
      </w:r>
      <w:r>
        <w:rPr>
          <w:rStyle w:val="FootnoteReference"/>
        </w:rPr>
        <w:footnoteReference w:id="47"/>
      </w:r>
    </w:p>
    <w:p w14:paraId="144F8425" w14:textId="35595FA7" w:rsidR="008F6424" w:rsidRPr="006128F7" w:rsidRDefault="008F6424" w:rsidP="006128F7">
      <w:pPr>
        <w:pStyle w:val="Answer"/>
        <w:ind w:firstLine="0"/>
      </w:pPr>
      <w:r>
        <w:t>The FERC, NERC, and Regional Staff Entity report</w:t>
      </w:r>
      <w:r w:rsidR="00936C91">
        <w:t xml:space="preserve"> further</w:t>
      </w:r>
      <w:r>
        <w:t xml:space="preserve"> </w:t>
      </w:r>
      <w:r w:rsidR="00936C91">
        <w:t>discuss</w:t>
      </w:r>
      <w:r w:rsidR="00FC3D39">
        <w:t>es</w:t>
      </w:r>
      <w:r w:rsidR="00936C91">
        <w:t xml:space="preserve"> how</w:t>
      </w:r>
      <w:r>
        <w:t xml:space="preserve"> </w:t>
      </w:r>
      <w:r w:rsidRPr="00AD2398">
        <w:t>at first Southern was able to provide emergency energy to other BAs, such as TVA who declared an Energy Emergency Alert (EEA) 3 on the morning of December 23. But by the early evening of December 23, Southern began curtailing their energy exports to TVA to deal with their own energy emergencies.</w:t>
      </w:r>
      <w:r>
        <w:t xml:space="preserve"> On December 24 at 2:00am Southern declared an Energy Emergency Alert (EEA) 1 given increasing system loads and unplanned generation outages. By 6:25am, Southern declared an EEA 2 due to additional unplanned generation outages, declining operating reserves, and expected load increase, leading to a request for emergency energy from its neighbors: FP&amp;L. “At 7:00 a.m.,</w:t>
      </w:r>
      <w:r w:rsidRPr="008F6424">
        <w:rPr>
          <w:b/>
          <w:bCs/>
        </w:rPr>
        <w:t xml:space="preserve"> Florida Power and Light provided 1,000 MW of emergency energy to the Southern BA Area</w:t>
      </w:r>
      <w:r>
        <w:t>.”</w:t>
      </w:r>
      <w:r>
        <w:rPr>
          <w:rStyle w:val="FootnoteReference"/>
        </w:rPr>
        <w:footnoteReference w:id="48"/>
      </w:r>
    </w:p>
    <w:p w14:paraId="4ACFDD0F" w14:textId="033C6076" w:rsidR="008F6424" w:rsidRPr="006128F7" w:rsidRDefault="008F6424" w:rsidP="006128F7">
      <w:pPr>
        <w:pStyle w:val="ListParagraph"/>
        <w:rPr>
          <w:color w:val="000000" w:themeColor="text1"/>
        </w:rPr>
      </w:pPr>
      <w:r w:rsidRPr="008F6424">
        <w:rPr>
          <w:color w:val="000000" w:themeColor="text1"/>
        </w:rPr>
        <w:t>PJM report</w:t>
      </w:r>
      <w:r w:rsidR="00936C91">
        <w:rPr>
          <w:color w:val="000000" w:themeColor="text1"/>
        </w:rPr>
        <w:t>s</w:t>
      </w:r>
      <w:r w:rsidRPr="008F6424">
        <w:rPr>
          <w:color w:val="000000" w:themeColor="text1"/>
        </w:rPr>
        <w:t xml:space="preserve"> that MISO provided 100 MW of emergency power to the Southern BA during Winter Storm Elliot as well.</w:t>
      </w:r>
      <w:r>
        <w:rPr>
          <w:rStyle w:val="FootnoteReference"/>
          <w:color w:val="000000" w:themeColor="text1"/>
        </w:rPr>
        <w:footnoteReference w:id="49"/>
      </w:r>
    </w:p>
    <w:p w14:paraId="421514A9" w14:textId="655AB983" w:rsidR="008F6424" w:rsidRPr="006128F7" w:rsidRDefault="006128F7" w:rsidP="006128F7">
      <w:pPr>
        <w:pStyle w:val="Question"/>
      </w:pPr>
      <w:r>
        <w:lastRenderedPageBreak/>
        <w:t>Q.</w:t>
      </w:r>
      <w:r>
        <w:tab/>
      </w:r>
      <w:r w:rsidR="00936C91">
        <w:t xml:space="preserve">during hurricane michael, did </w:t>
      </w:r>
      <w:r w:rsidR="008F6424" w:rsidRPr="008F6424">
        <w:t xml:space="preserve">SOUTHERN COMPANY AND/OR GEORGIA POWER </w:t>
      </w:r>
      <w:r w:rsidR="0082613B" w:rsidRPr="008F6424">
        <w:t>EXPERIENC</w:t>
      </w:r>
      <w:r w:rsidR="0082613B">
        <w:t xml:space="preserve">E </w:t>
      </w:r>
      <w:r w:rsidR="00936C91">
        <w:t>generation</w:t>
      </w:r>
      <w:r w:rsidR="008F6424" w:rsidRPr="008F6424">
        <w:t xml:space="preserve"> OUTAGE</w:t>
      </w:r>
      <w:r w:rsidR="00936C91">
        <w:t>s</w:t>
      </w:r>
      <w:r w:rsidR="008F6424" w:rsidRPr="008F6424">
        <w:t xml:space="preserve"> </w:t>
      </w:r>
      <w:r w:rsidR="00936C91">
        <w:t>similar to what happened with</w:t>
      </w:r>
      <w:r w:rsidR="008F6424" w:rsidRPr="008F6424">
        <w:t xml:space="preserve"> </w:t>
      </w:r>
      <w:r w:rsidR="00936C91">
        <w:t>winter storm elliott</w:t>
      </w:r>
      <w:r w:rsidR="008F6424" w:rsidRPr="008F6424">
        <w:t>?</w:t>
      </w:r>
    </w:p>
    <w:p w14:paraId="3972B85B" w14:textId="590A87AF" w:rsidR="00936C91" w:rsidRDefault="006128F7" w:rsidP="006128F7">
      <w:pPr>
        <w:pStyle w:val="Answer"/>
      </w:pPr>
      <w:r>
        <w:t>A.</w:t>
      </w:r>
      <w:r>
        <w:tab/>
      </w:r>
      <w:r w:rsidR="008F6424" w:rsidRPr="008F6424">
        <w:t>Yes, similar grid outages occurred as a direct result of Hurricane Michael</w:t>
      </w:r>
      <w:r w:rsidR="00936C91">
        <w:t xml:space="preserve"> which struck o</w:t>
      </w:r>
      <w:r w:rsidR="00936C91" w:rsidRPr="008F6424">
        <w:t>n the morning of Thursday, October 11, 2018</w:t>
      </w:r>
      <w:r w:rsidR="00936C91">
        <w:t xml:space="preserve">, </w:t>
      </w:r>
      <w:r w:rsidR="008F6424" w:rsidRPr="008F6424">
        <w:t xml:space="preserve">During the Category 5 tropical cyclone, Georgia </w:t>
      </w:r>
      <w:r w:rsidR="00936C91">
        <w:t xml:space="preserve">hit a </w:t>
      </w:r>
      <w:r w:rsidR="008F6424" w:rsidRPr="008F6424">
        <w:t>peak of more than 336,000 customers outages</w:t>
      </w:r>
      <w:r w:rsidR="00936C91">
        <w:t xml:space="preserve">, which means </w:t>
      </w:r>
      <w:r w:rsidR="008F6424" w:rsidRPr="008F6424">
        <w:t>7% of total customers in the state</w:t>
      </w:r>
      <w:r w:rsidR="00936C91">
        <w:t xml:space="preserve"> were</w:t>
      </w:r>
      <w:r w:rsidR="008F6424" w:rsidRPr="008F6424">
        <w:t xml:space="preserve"> without electricity. Over 188,000, or 56%, of those customers were in Georgia Power’s service territory.</w:t>
      </w:r>
      <w:r w:rsidR="008F6424" w:rsidRPr="00F30527">
        <w:rPr>
          <w:rStyle w:val="FootnoteReference"/>
          <w:color w:val="000000" w:themeColor="text1"/>
        </w:rPr>
        <w:footnoteReference w:id="50"/>
      </w:r>
      <w:r w:rsidR="008F6424" w:rsidRPr="008F6424">
        <w:t xml:space="preserve"> During the span of a week, more than 385,000 Georgia Power customers experienced power loss, with damages to 130 miles of lines, over 1,000 power poles, and more than 200 transformers.</w:t>
      </w:r>
      <w:r w:rsidR="008F6424" w:rsidRPr="00424FBD">
        <w:rPr>
          <w:rStyle w:val="FootnoteReference"/>
          <w:color w:val="000000" w:themeColor="text1"/>
        </w:rPr>
        <w:footnoteReference w:id="51"/>
      </w:r>
      <w:r w:rsidR="008F6424" w:rsidRPr="008F6424">
        <w:t xml:space="preserve"> </w:t>
      </w:r>
      <w:r w:rsidR="00C254F4" w:rsidRPr="008F6424">
        <w:t>Georgia Power</w:t>
      </w:r>
      <w:r w:rsidR="00C254F4">
        <w:t>’s</w:t>
      </w:r>
      <w:r w:rsidR="00C254F4" w:rsidRPr="008F6424">
        <w:t xml:space="preserve"> </w:t>
      </w:r>
      <w:r w:rsidR="008F6424" w:rsidRPr="008F6424">
        <w:t xml:space="preserve">damages amounted </w:t>
      </w:r>
      <w:r w:rsidR="00C254F4">
        <w:t>to</w:t>
      </w:r>
      <w:r w:rsidR="008F6424" w:rsidRPr="008F6424">
        <w:t xml:space="preserve"> </w:t>
      </w:r>
      <w:r w:rsidR="00C254F4">
        <w:t xml:space="preserve">between </w:t>
      </w:r>
      <w:r w:rsidR="008F6424" w:rsidRPr="008F6424">
        <w:t>$125 million and $150 million.</w:t>
      </w:r>
      <w:r w:rsidR="008F6424" w:rsidRPr="00424FBD">
        <w:rPr>
          <w:rStyle w:val="FootnoteReference"/>
          <w:color w:val="000000" w:themeColor="text1"/>
        </w:rPr>
        <w:footnoteReference w:id="52"/>
      </w:r>
      <w:r w:rsidR="008F6424" w:rsidRPr="008F6424">
        <w:t xml:space="preserve"> </w:t>
      </w:r>
    </w:p>
    <w:p w14:paraId="011B1AAA" w14:textId="5C6419BD" w:rsidR="008F6424" w:rsidRDefault="00936C91" w:rsidP="00936C91">
      <w:pPr>
        <w:pStyle w:val="Answer"/>
        <w:ind w:firstLine="0"/>
      </w:pPr>
      <w:r>
        <w:t xml:space="preserve">As shown on </w:t>
      </w:r>
      <w:r w:rsidR="0086198B">
        <w:t xml:space="preserve">Figure </w:t>
      </w:r>
      <w:r w:rsidR="00BA5783">
        <w:t>9</w:t>
      </w:r>
      <w:r w:rsidR="0086198B">
        <w:t xml:space="preserve"> from the Energy Information Administration</w:t>
      </w:r>
      <w:r>
        <w:t>, a</w:t>
      </w:r>
      <w:r w:rsidR="008F6424" w:rsidRPr="008F6424">
        <w:t>cross Southern Company service territory, natural gas net generation decreased significantly</w:t>
      </w:r>
      <w:r>
        <w:t xml:space="preserve"> during the hurricane</w:t>
      </w:r>
      <w:r w:rsidR="008F6424" w:rsidRPr="008F6424">
        <w:t xml:space="preserve"> from a daily peak of &gt;20,000 MW pre-Hurricane (October 3) to approximately 15,000 MW of generation </w:t>
      </w:r>
      <w:r>
        <w:t xml:space="preserve">in the days leading up to and </w:t>
      </w:r>
      <w:r w:rsidR="008F6424" w:rsidRPr="008F6424">
        <w:t>during the hurricane (October</w:t>
      </w:r>
      <w:r w:rsidR="00FC3D39">
        <w:t> </w:t>
      </w:r>
      <w:r w:rsidR="008F6424" w:rsidRPr="008F6424">
        <w:t xml:space="preserve">11). </w:t>
      </w:r>
    </w:p>
    <w:p w14:paraId="5F4DE39A" w14:textId="2FF905A4" w:rsidR="0086198B" w:rsidRPr="006128F7" w:rsidRDefault="0086198B" w:rsidP="0086198B">
      <w:pPr>
        <w:pStyle w:val="FigureNumber"/>
      </w:pPr>
      <w:r>
        <w:lastRenderedPageBreak/>
        <w:t xml:space="preserve">Figure </w:t>
      </w:r>
      <w:r w:rsidR="00BA5783">
        <w:t>9</w:t>
      </w:r>
    </w:p>
    <w:p w14:paraId="07DA8B75" w14:textId="5DB51E7B" w:rsidR="008F6424" w:rsidRPr="008F6424" w:rsidRDefault="008F6424" w:rsidP="006128F7">
      <w:pPr>
        <w:pStyle w:val="ListParagraph"/>
        <w:rPr>
          <w:color w:val="000000" w:themeColor="text1"/>
        </w:rPr>
      </w:pPr>
      <w:r>
        <w:rPr>
          <w:noProof/>
        </w:rPr>
        <w:drawing>
          <wp:inline distT="0" distB="0" distL="0" distR="0" wp14:anchorId="0644CC31" wp14:editId="4C1195E7">
            <wp:extent cx="5164035" cy="2113613"/>
            <wp:effectExtent l="0" t="0" r="5080" b="0"/>
            <wp:docPr id="1542713611" name="Picture 7" descr="A graph of a number of data&#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2713611" name="Picture 7" descr="A graph of a number of data&#10;&#10;Description automatically generated with medium confidence"/>
                    <pic:cNvPicPr/>
                  </pic:nvPicPr>
                  <pic:blipFill>
                    <a:blip r:embed="rId20">
                      <a:extLst>
                        <a:ext uri="{28A0092B-C50C-407E-A947-70E740481C1C}">
                          <a14:useLocalDpi xmlns:a14="http://schemas.microsoft.com/office/drawing/2010/main" val="0"/>
                        </a:ext>
                      </a:extLst>
                    </a:blip>
                    <a:stretch>
                      <a:fillRect/>
                    </a:stretch>
                  </pic:blipFill>
                  <pic:spPr>
                    <a:xfrm>
                      <a:off x="0" y="0"/>
                      <a:ext cx="5186382" cy="2122759"/>
                    </a:xfrm>
                    <a:prstGeom prst="rect">
                      <a:avLst/>
                    </a:prstGeom>
                  </pic:spPr>
                </pic:pic>
              </a:graphicData>
            </a:graphic>
          </wp:inline>
        </w:drawing>
      </w:r>
      <w:r w:rsidR="00936C91">
        <w:rPr>
          <w:rStyle w:val="FootnoteReference"/>
          <w:color w:val="000000" w:themeColor="text1"/>
        </w:rPr>
        <w:footnoteReference w:id="53"/>
      </w:r>
    </w:p>
    <w:p w14:paraId="7353BE6D" w14:textId="14E49C3D" w:rsidR="008F6424" w:rsidRPr="00CB4BF5" w:rsidRDefault="00CB4BF5" w:rsidP="00CB4BF5">
      <w:pPr>
        <w:pStyle w:val="Question"/>
      </w:pPr>
      <w:r>
        <w:t>Q.</w:t>
      </w:r>
      <w:r>
        <w:tab/>
      </w:r>
      <w:r w:rsidR="00936C91">
        <w:t xml:space="preserve">are there economic </w:t>
      </w:r>
      <w:r w:rsidR="008F6424" w:rsidRPr="008F6424">
        <w:t xml:space="preserve">BENEFITS </w:t>
      </w:r>
      <w:r w:rsidR="00936C91">
        <w:t>to</w:t>
      </w:r>
      <w:r w:rsidR="008F6424" w:rsidRPr="008F6424">
        <w:t xml:space="preserve"> EXPANDING REGIONAL TIES BETWEEN UTILITIES AND TRANSMISSION OPERATORS?</w:t>
      </w:r>
    </w:p>
    <w:p w14:paraId="37AC81A9" w14:textId="0AFA2F7B" w:rsidR="008F6424" w:rsidRDefault="00CB4BF5" w:rsidP="00FF15CF">
      <w:pPr>
        <w:pStyle w:val="Answer"/>
      </w:pPr>
      <w:r>
        <w:t>A.</w:t>
      </w:r>
      <w:r>
        <w:tab/>
      </w:r>
      <w:r w:rsidR="00936C91">
        <w:t>Yes</w:t>
      </w:r>
      <w:r w:rsidR="008F6424" w:rsidRPr="008F6424">
        <w:t>.</w:t>
      </w:r>
      <w:r w:rsidR="00936C91">
        <w:t xml:space="preserve"> </w:t>
      </w:r>
      <w:r w:rsidR="008F6424">
        <w:t>A 2023 report on the value of transmission during Winter Storm Elliot explains that “a region that primarily exports power during one severe weather event is likely to benefit from imports during another event.”</w:t>
      </w:r>
      <w:r w:rsidR="008F6424" w:rsidRPr="00194FC4">
        <w:rPr>
          <w:rStyle w:val="FootnoteReference"/>
        </w:rPr>
        <w:t xml:space="preserve"> </w:t>
      </w:r>
      <w:r w:rsidR="008F6424">
        <w:rPr>
          <w:rStyle w:val="FootnoteReference"/>
        </w:rPr>
        <w:footnoteReference w:id="54"/>
      </w:r>
      <w:r w:rsidR="008F6424">
        <w:t xml:space="preserve"> </w:t>
      </w:r>
      <w:r w:rsidR="00936C91">
        <w:t xml:space="preserve"> </w:t>
      </w:r>
      <w:r w:rsidR="00711192">
        <w:t xml:space="preserve">In fact, had there been adequate transmission times between Texas and the Southeast, the </w:t>
      </w:r>
      <w:r w:rsidR="00FF15CF">
        <w:t xml:space="preserve">“modest investments to increase </w:t>
      </w:r>
      <w:r w:rsidR="00711192">
        <w:t>power flows</w:t>
      </w:r>
      <w:r w:rsidR="00FF15CF">
        <w:t>”</w:t>
      </w:r>
      <w:r w:rsidR="00711192">
        <w:t xml:space="preserve"> that </w:t>
      </w:r>
      <w:r w:rsidR="00FF15CF">
        <w:t>c</w:t>
      </w:r>
      <w:r w:rsidR="00711192">
        <w:t>ould have saved live</w:t>
      </w:r>
      <w:r w:rsidR="009F1794">
        <w:t>s</w:t>
      </w:r>
      <w:r w:rsidR="00711192">
        <w:t xml:space="preserve"> during Winter Storm Uri</w:t>
      </w:r>
      <w:r w:rsidR="00FF15CF">
        <w:t xml:space="preserve"> also </w:t>
      </w:r>
      <w:r w:rsidR="00711192">
        <w:t xml:space="preserve">could have </w:t>
      </w:r>
      <w:r w:rsidR="00FC3D39">
        <w:t xml:space="preserve">provided reverse power flows </w:t>
      </w:r>
      <w:r w:rsidR="00711192">
        <w:t>during Elliott</w:t>
      </w:r>
      <w:r w:rsidR="00FC3D39">
        <w:t>,</w:t>
      </w:r>
      <w:r w:rsidR="00711192">
        <w:t xml:space="preserve"> and over the </w:t>
      </w:r>
      <w:r w:rsidR="00FC3D39">
        <w:t xml:space="preserve">course of the </w:t>
      </w:r>
      <w:r w:rsidR="00711192">
        <w:t>two events provided close to $2 billions in value.</w:t>
      </w:r>
      <w:r w:rsidR="00711192">
        <w:rPr>
          <w:rStyle w:val="FootnoteReference"/>
        </w:rPr>
        <w:footnoteReference w:id="55"/>
      </w:r>
      <w:r w:rsidR="00FF15CF">
        <w:t xml:space="preserve"> Similarly, </w:t>
      </w:r>
      <w:r w:rsidR="008F6424">
        <w:t xml:space="preserve">A 2022 Energy Systems Integration </w:t>
      </w:r>
      <w:r w:rsidR="008F6424">
        <w:lastRenderedPageBreak/>
        <w:t>Group (ESIG) report on multi-value transmission planning highlights the relatively low cost of building out transmission to mitigate the impacts of climate events compared to the high-cost implications of said climate events to ratepayers.</w:t>
      </w:r>
      <w:r w:rsidR="008F6424">
        <w:rPr>
          <w:rStyle w:val="FootnoteReference"/>
        </w:rPr>
        <w:footnoteReference w:id="56"/>
      </w:r>
      <w:r w:rsidR="008F6424">
        <w:t xml:space="preserve"> </w:t>
      </w:r>
      <w:r w:rsidR="00FF15CF">
        <w:t xml:space="preserve">Specifically, the </w:t>
      </w:r>
      <w:r w:rsidR="008F6424">
        <w:t>analysis project</w:t>
      </w:r>
      <w:r w:rsidR="00FF15CF">
        <w:t>s</w:t>
      </w:r>
      <w:r w:rsidR="008F6424">
        <w:t xml:space="preserve"> a potential 2 GW HVDC interregional line between ERCOT and Southern Company could “avert $2.7 billion of unserved energy over 30 years depending on the loss of load expectation (LOLE).”</w:t>
      </w:r>
      <w:r w:rsidR="008F6424">
        <w:rPr>
          <w:rStyle w:val="FootnoteReference"/>
        </w:rPr>
        <w:footnoteReference w:id="57"/>
      </w:r>
      <w:r w:rsidR="008F6424">
        <w:t xml:space="preserve"> </w:t>
      </w:r>
    </w:p>
    <w:p w14:paraId="24FCA49A" w14:textId="16C9C4DD" w:rsidR="00362FE1" w:rsidRPr="00132A74" w:rsidRDefault="00362FE1" w:rsidP="003632AF">
      <w:pPr>
        <w:pStyle w:val="Heading2"/>
        <w:rPr>
          <w:rStyle w:val="normaltextrun"/>
        </w:rPr>
      </w:pPr>
      <w:r>
        <w:t>Georgia Power fails to account for changing generation needs in the region</w:t>
      </w:r>
      <w:r w:rsidRPr="00362FE1">
        <w:t>.</w:t>
      </w:r>
    </w:p>
    <w:p w14:paraId="04575CF2" w14:textId="2D55A4F5" w:rsidR="00FF15CF" w:rsidRDefault="00362FE1" w:rsidP="00362FE1">
      <w:pPr>
        <w:pStyle w:val="Question"/>
        <w:rPr>
          <w:rStyle w:val="normaltextrun"/>
          <w:color w:val="000000" w:themeColor="text1"/>
        </w:rPr>
      </w:pPr>
      <w:r>
        <w:rPr>
          <w:rStyle w:val="normaltextrun"/>
          <w:color w:val="000000" w:themeColor="text1"/>
        </w:rPr>
        <w:t>Q.</w:t>
      </w:r>
      <w:r>
        <w:rPr>
          <w:rStyle w:val="normaltextrun"/>
          <w:color w:val="000000" w:themeColor="text1"/>
        </w:rPr>
        <w:tab/>
        <w:t>Do you have any other comments on georgia powers updated IRP proposal?</w:t>
      </w:r>
    </w:p>
    <w:p w14:paraId="36619169" w14:textId="5FF70453" w:rsidR="00362FE1" w:rsidRDefault="00362FE1" w:rsidP="00362FE1">
      <w:pPr>
        <w:pStyle w:val="Answer"/>
        <w:rPr>
          <w:rStyle w:val="normaltextrun"/>
        </w:rPr>
      </w:pPr>
      <w:r>
        <w:rPr>
          <w:rStyle w:val="normaltextrun"/>
        </w:rPr>
        <w:t>A.</w:t>
      </w:r>
      <w:r>
        <w:rPr>
          <w:rStyle w:val="normaltextrun"/>
        </w:rPr>
        <w:tab/>
        <w:t xml:space="preserve">Yes. </w:t>
      </w:r>
      <w:r w:rsidR="0049387D">
        <w:rPr>
          <w:rStyle w:val="normaltextrun"/>
        </w:rPr>
        <w:t>I am concerned about the resources that Georgia Power is proposing to procure as they match neither the climate/sustainability goals of the Company or of its projected load customers.</w:t>
      </w:r>
      <w:r w:rsidR="00FC3D39">
        <w:rPr>
          <w:rStyle w:val="normaltextrun"/>
        </w:rPr>
        <w:t xml:space="preserve"> And unlike transmission, which is resource neutral, lock Georgia Power into purchasing untenable power for its customers.</w:t>
      </w:r>
    </w:p>
    <w:p w14:paraId="07ABBB39" w14:textId="592EFB77" w:rsidR="0049387D" w:rsidRDefault="0049387D" w:rsidP="0049387D">
      <w:pPr>
        <w:pStyle w:val="Question"/>
      </w:pPr>
      <w:r>
        <w:t>Q.</w:t>
      </w:r>
      <w:r>
        <w:tab/>
        <w:t>Please describe the company’s corporate climate/</w:t>
      </w:r>
      <w:r w:rsidR="00FC3D39">
        <w:t xml:space="preserve"> </w:t>
      </w:r>
      <w:r>
        <w:t>sustainability goals</w:t>
      </w:r>
      <w:r w:rsidRPr="00007D22">
        <w:t>?</w:t>
      </w:r>
    </w:p>
    <w:p w14:paraId="623A20E5" w14:textId="05E6C098" w:rsidR="0049387D" w:rsidRPr="00007D22" w:rsidRDefault="0049387D" w:rsidP="0049387D">
      <w:pPr>
        <w:pStyle w:val="Answer"/>
      </w:pPr>
      <w:r>
        <w:t>A.</w:t>
      </w:r>
      <w:r>
        <w:tab/>
        <w:t xml:space="preserve">Southern Company’s goal is to reach net zero greenhouse gas emissions by 2050, with an interim goal of 50% reduction in emissions by 2030 compared to a 2007 baseline. This </w:t>
      </w:r>
      <w:r>
        <w:lastRenderedPageBreak/>
        <w:t>covers company-wide operations and includes their equity-share of Scope 1 emissions from all electricity and natural gas operations.</w:t>
      </w:r>
      <w:r>
        <w:rPr>
          <w:rStyle w:val="FootnoteReference"/>
        </w:rPr>
        <w:footnoteReference w:id="58"/>
      </w:r>
    </w:p>
    <w:p w14:paraId="6E3DE1B4" w14:textId="606AAF31" w:rsidR="00B82297" w:rsidRPr="00EB68C4" w:rsidRDefault="00B82297" w:rsidP="00B82297">
      <w:pPr>
        <w:pStyle w:val="Question"/>
      </w:pPr>
      <w:r>
        <w:t>Q.</w:t>
      </w:r>
      <w:r>
        <w:tab/>
        <w:t>are the goals voluntary or state imposed requirements</w:t>
      </w:r>
      <w:r w:rsidRPr="004100FD">
        <w:t>?</w:t>
      </w:r>
    </w:p>
    <w:p w14:paraId="5708A43C" w14:textId="008AB61C" w:rsidR="00B82297" w:rsidRPr="00EB68C4" w:rsidRDefault="00B82297" w:rsidP="00B82297">
      <w:pPr>
        <w:pStyle w:val="Answer"/>
      </w:pPr>
      <w:r>
        <w:rPr>
          <w:color w:val="000000" w:themeColor="text1"/>
        </w:rPr>
        <w:t>A.</w:t>
      </w:r>
      <w:r>
        <w:rPr>
          <w:color w:val="000000" w:themeColor="text1"/>
        </w:rPr>
        <w:tab/>
        <w:t xml:space="preserve">At the moment, </w:t>
      </w:r>
      <w:r w:rsidR="00FC3D39">
        <w:rPr>
          <w:color w:val="000000" w:themeColor="text1"/>
        </w:rPr>
        <w:t xml:space="preserve">they are </w:t>
      </w:r>
      <w:r>
        <w:rPr>
          <w:color w:val="000000" w:themeColor="text1"/>
        </w:rPr>
        <w:t xml:space="preserve">voluntary as </w:t>
      </w:r>
      <w:r w:rsidRPr="004100FD">
        <w:rPr>
          <w:color w:val="000000" w:themeColor="text1"/>
        </w:rPr>
        <w:t xml:space="preserve">Georgia does not have any statewide climate or carbon reduction goals. </w:t>
      </w:r>
      <w:r w:rsidRPr="004100FD">
        <w:t>According to the Center for Climate and Energy Solutions</w:t>
      </w:r>
      <w:r w:rsidR="00F73C85">
        <w:t xml:space="preserve">: </w:t>
      </w:r>
      <w:r w:rsidRPr="004100FD">
        <w:t>“33 states have released a climate action plan or are in the process of revising or developing one. This includes 32 states that have released plans and 1 state that is updating its plan</w:t>
      </w:r>
      <w:r>
        <w:t>,</w:t>
      </w:r>
      <w:r w:rsidRPr="000D58DD">
        <w:t>”</w:t>
      </w:r>
      <w:r w:rsidR="00F73C85">
        <w:rPr>
          <w:rStyle w:val="FootnoteReference"/>
        </w:rPr>
        <w:footnoteReference w:id="59"/>
      </w:r>
      <w:r>
        <w:t xml:space="preserve"> but </w:t>
      </w:r>
      <w:r w:rsidRPr="000D58DD">
        <w:t xml:space="preserve">Georgia is not one </w:t>
      </w:r>
      <w:r>
        <w:t>those</w:t>
      </w:r>
      <w:r w:rsidRPr="000D58DD">
        <w:t xml:space="preserve"> states.</w:t>
      </w:r>
    </w:p>
    <w:p w14:paraId="01917694" w14:textId="1B017BFF" w:rsidR="00B82297" w:rsidRPr="00EB68C4" w:rsidRDefault="00B82297" w:rsidP="00B82297">
      <w:pPr>
        <w:pStyle w:val="Question"/>
      </w:pPr>
      <w:r>
        <w:t>Q.</w:t>
      </w:r>
      <w:r>
        <w:tab/>
      </w:r>
      <w:r w:rsidRPr="004100FD">
        <w:t>WHY DO YOU SAY</w:t>
      </w:r>
      <w:r>
        <w:t>,</w:t>
      </w:r>
      <w:r w:rsidRPr="004100FD">
        <w:t xml:space="preserve"> “AT THE MOMENT”?</w:t>
      </w:r>
    </w:p>
    <w:p w14:paraId="447ECB01" w14:textId="77777777" w:rsidR="00B82297" w:rsidRDefault="00B82297" w:rsidP="00B82297">
      <w:pPr>
        <w:pStyle w:val="Answer"/>
      </w:pPr>
      <w:r>
        <w:t>A.</w:t>
      </w:r>
      <w:r>
        <w:tab/>
        <w:t>Georgia is currently developing climate action plan to reduce its greenhouse gas emissions, with an initial draft expected in Q1 2024.</w:t>
      </w:r>
    </w:p>
    <w:p w14:paraId="4F3ECAE4" w14:textId="77777777" w:rsidR="00B82297" w:rsidRDefault="00B82297" w:rsidP="00B82297">
      <w:pPr>
        <w:pStyle w:val="Question"/>
      </w:pPr>
      <w:r>
        <w:t>Q.</w:t>
      </w:r>
      <w:r>
        <w:tab/>
        <w:t>WHO IS DEVELOPING THE PLAN? WHAT IS THE TIMELINE FOR THE PLAN?</w:t>
      </w:r>
    </w:p>
    <w:p w14:paraId="36FA76DA" w14:textId="45E5DE33" w:rsidR="00B82297" w:rsidRPr="000D58DD" w:rsidRDefault="00B82297" w:rsidP="00B82297">
      <w:pPr>
        <w:pStyle w:val="Answer"/>
      </w:pPr>
      <w:r>
        <w:t>A.</w:t>
      </w:r>
      <w:r>
        <w:tab/>
        <w:t>On June 30, 2023, EPA awarded Georgia $3 million through a Climate Pollution Reduction Grant to devel</w:t>
      </w:r>
      <w:r w:rsidRPr="000D58DD">
        <w:t>op a state-wide climate action plan.</w:t>
      </w:r>
      <w:r>
        <w:rPr>
          <w:rStyle w:val="FootnoteReference"/>
        </w:rPr>
        <w:footnoteReference w:id="60"/>
      </w:r>
      <w:r w:rsidRPr="000D58DD">
        <w:t xml:space="preserve"> The </w:t>
      </w:r>
      <w:r w:rsidR="00F73C85">
        <w:t>EPA grant</w:t>
      </w:r>
      <w:r w:rsidRPr="000D58DD">
        <w:t xml:space="preserve"> requires the following three key deliverables:</w:t>
      </w:r>
    </w:p>
    <w:p w14:paraId="41AE63DC" w14:textId="77777777" w:rsidR="00B82297" w:rsidRPr="000D58DD" w:rsidRDefault="00B82297" w:rsidP="00B82297">
      <w:pPr>
        <w:pStyle w:val="Answer"/>
        <w:numPr>
          <w:ilvl w:val="0"/>
          <w:numId w:val="47"/>
        </w:numPr>
        <w:spacing w:line="240" w:lineRule="auto"/>
        <w:ind w:left="1080"/>
      </w:pPr>
      <w:r>
        <w:lastRenderedPageBreak/>
        <w:t xml:space="preserve">March 2024: </w:t>
      </w:r>
      <w:r w:rsidRPr="000D58DD">
        <w:t>Priority Climate Action Plan (PCAP)</w:t>
      </w:r>
      <w:r>
        <w:t>;</w:t>
      </w:r>
    </w:p>
    <w:p w14:paraId="5A39C084" w14:textId="77777777" w:rsidR="00B82297" w:rsidRDefault="00B82297" w:rsidP="00B82297">
      <w:pPr>
        <w:pStyle w:val="Answer"/>
        <w:numPr>
          <w:ilvl w:val="0"/>
          <w:numId w:val="47"/>
        </w:numPr>
        <w:spacing w:line="240" w:lineRule="auto"/>
        <w:ind w:left="1080"/>
      </w:pPr>
      <w:r>
        <w:t>June 2025: Comprehensive Climate Action Plan (CCAP); and</w:t>
      </w:r>
    </w:p>
    <w:p w14:paraId="749B80BC" w14:textId="77777777" w:rsidR="00B82297" w:rsidRDefault="00B82297" w:rsidP="00B82297">
      <w:pPr>
        <w:pStyle w:val="Answer"/>
        <w:numPr>
          <w:ilvl w:val="0"/>
          <w:numId w:val="47"/>
        </w:numPr>
        <w:spacing w:line="240" w:lineRule="auto"/>
        <w:ind w:left="1080"/>
      </w:pPr>
      <w:r>
        <w:t>Summer 2027: Status Report deadline.</w:t>
      </w:r>
      <w:r>
        <w:rPr>
          <w:rStyle w:val="FootnoteReference"/>
        </w:rPr>
        <w:footnoteReference w:id="61"/>
      </w:r>
    </w:p>
    <w:p w14:paraId="0CA6A503" w14:textId="0EA54472" w:rsidR="00B82297" w:rsidRDefault="00B82297" w:rsidP="00B82297">
      <w:r>
        <w:t>According to Georgia’s Environmental Protection Division, its “Air Protection Branch will work with various state agencies, the Atlanta Regional Commission, industry, community and environmental organizations, and other stakeholders to develop Georgia’s climate action plan. This plan will include a GHG emissions inventory, potential GHG reduction measures, and a low-income and disadvantaged communities (LIDAC) benefits analysis.”</w:t>
      </w:r>
      <w:r>
        <w:rPr>
          <w:rStyle w:val="FootnoteReference"/>
        </w:rPr>
        <w:footnoteReference w:id="62"/>
      </w:r>
    </w:p>
    <w:p w14:paraId="21F48F1B" w14:textId="53BB2A20" w:rsidR="0075124B" w:rsidRDefault="0075124B" w:rsidP="0075124B">
      <w:pPr>
        <w:pStyle w:val="Question"/>
      </w:pPr>
      <w:r w:rsidRPr="0075124B">
        <w:t>Q.</w:t>
      </w:r>
      <w:r w:rsidRPr="0075124B">
        <w:tab/>
      </w:r>
      <w:r>
        <w:t>you mention customer climate goals, can you speak more to this issue?</w:t>
      </w:r>
    </w:p>
    <w:p w14:paraId="6961E858" w14:textId="1B9FB5F3" w:rsidR="0075124B" w:rsidRDefault="0075124B" w:rsidP="00FC3D39">
      <w:pPr>
        <w:pStyle w:val="Answer"/>
      </w:pPr>
      <w:r>
        <w:t>A.</w:t>
      </w:r>
      <w:r>
        <w:tab/>
      </w:r>
      <w:r w:rsidR="00FC3D39">
        <w:t xml:space="preserve">When asked in Data Request No. </w:t>
      </w:r>
      <w:r w:rsidR="00FC3D39" w:rsidRPr="00323C6E">
        <w:t>STF-DEA-4-10</w:t>
      </w:r>
      <w:r w:rsidR="00FC3D39">
        <w:t xml:space="preserve"> whether it “assess[ed] and incorporate[d] the clean energy requirements or preferences of each new load customer into the planning process?,” the Company responded that it “often discusses the benefits and eligibility criteria for potential new large load customers to participate in one or more of Georgia Power’s customer renewable programs, such as the Clean and Renewable Energy Subscription (“CARES”) Program, the Flex Renewable Energy Credit (“REC”) Program, the Retail REC Retirement (“R3”) Program, or other renewable program solutions as outlined on Georgia Power’s website.” However, the Company did not </w:t>
      </w:r>
      <w:r w:rsidR="00FC3D39">
        <w:lastRenderedPageBreak/>
        <w:t xml:space="preserve">provide any evidence that </w:t>
      </w:r>
      <w:r w:rsidR="00F73C85">
        <w:t xml:space="preserve">it </w:t>
      </w:r>
      <w:r w:rsidR="00FC3D39">
        <w:t xml:space="preserve">accounted for the climate preferences of its new large load customers when preparing the menu of generation options in its Updated IRP. </w:t>
      </w:r>
    </w:p>
    <w:p w14:paraId="035E6AA3" w14:textId="3249A933" w:rsidR="000774AF" w:rsidRDefault="000774AF" w:rsidP="00FC3D39">
      <w:pPr>
        <w:pStyle w:val="Answer"/>
      </w:pPr>
      <w:r>
        <w:tab/>
        <w:t>For example, based on publicly available data, the following large industrial have announced plans</w:t>
      </w:r>
      <w:r w:rsidR="00D92946">
        <w:t xml:space="preserve"> to build,</w:t>
      </w:r>
      <w:r>
        <w:t xml:space="preserve"> or are in the process of building</w:t>
      </w:r>
      <w:r w:rsidR="00D92946">
        <w:t>,</w:t>
      </w:r>
      <w:r>
        <w:t xml:space="preserve"> manufacturing plants in or near Georgia Power’s footprint:</w:t>
      </w:r>
    </w:p>
    <w:p w14:paraId="2C6E0723" w14:textId="4F131DA8" w:rsidR="000774AF" w:rsidRDefault="000774AF" w:rsidP="000774AF">
      <w:pPr>
        <w:pStyle w:val="Answer"/>
        <w:numPr>
          <w:ilvl w:val="0"/>
          <w:numId w:val="72"/>
        </w:numPr>
        <w:ind w:left="1080"/>
      </w:pPr>
      <w:r w:rsidRPr="000774AF">
        <w:t>Hyundai Motor Group and LG Energy Solutions</w:t>
      </w:r>
      <w:r>
        <w:t xml:space="preserve"> plan to construct a $4.3 billion </w:t>
      </w:r>
      <w:r w:rsidRPr="000774AF">
        <w:t>EV battery manufacturing plant in Bryan County</w:t>
      </w:r>
      <w:r>
        <w:t>; Hyundai is also constructing a $5.5 billion Electric Vehicle Metaplant also in Bryan County and a $5 billion battery plant in Bartow County.</w:t>
      </w:r>
      <w:r>
        <w:rPr>
          <w:rStyle w:val="FootnoteReference"/>
        </w:rPr>
        <w:footnoteReference w:id="63"/>
      </w:r>
    </w:p>
    <w:p w14:paraId="7178C916" w14:textId="041CD4E8" w:rsidR="0085664B" w:rsidRDefault="0085664B" w:rsidP="000774AF">
      <w:pPr>
        <w:pStyle w:val="Answer"/>
        <w:numPr>
          <w:ilvl w:val="0"/>
          <w:numId w:val="72"/>
        </w:numPr>
        <w:ind w:left="1080"/>
      </w:pPr>
      <w:r>
        <w:t>Rivian is constructing a $5 billion EV factory near Atlanta.</w:t>
      </w:r>
      <w:r>
        <w:rPr>
          <w:rStyle w:val="FootnoteReference"/>
        </w:rPr>
        <w:footnoteReference w:id="64"/>
      </w:r>
    </w:p>
    <w:p w14:paraId="6DD07A27" w14:textId="25F276BB" w:rsidR="0085664B" w:rsidRDefault="0085664B" w:rsidP="000774AF">
      <w:pPr>
        <w:pStyle w:val="Answer"/>
        <w:numPr>
          <w:ilvl w:val="0"/>
          <w:numId w:val="72"/>
        </w:numPr>
        <w:ind w:left="1080"/>
      </w:pPr>
      <w:r>
        <w:t xml:space="preserve">Qcells plans to expand is solar panel production by building a new </w:t>
      </w:r>
      <w:r w:rsidRPr="0085664B">
        <w:t>3.3-gigawatt plant</w:t>
      </w:r>
      <w:r>
        <w:t xml:space="preserve"> in Bartow County.</w:t>
      </w:r>
      <w:r>
        <w:rPr>
          <w:rStyle w:val="FootnoteReference"/>
        </w:rPr>
        <w:footnoteReference w:id="65"/>
      </w:r>
    </w:p>
    <w:p w14:paraId="3CD3B5B2" w14:textId="349F5B29" w:rsidR="009B5431" w:rsidRDefault="009B5431" w:rsidP="001D43BC">
      <w:pPr>
        <w:pStyle w:val="Answer"/>
        <w:ind w:firstLine="0"/>
      </w:pPr>
      <w:r>
        <w:t xml:space="preserve">Each of these companies has strong sustainability goals which means </w:t>
      </w:r>
      <w:r w:rsidR="001D43BC">
        <w:t xml:space="preserve">they </w:t>
      </w:r>
      <w:r w:rsidR="00D92946">
        <w:t>will want to</w:t>
      </w:r>
      <w:r w:rsidR="001D43BC">
        <w:t xml:space="preserve"> procure </w:t>
      </w:r>
      <w:r w:rsidR="00D07A9A">
        <w:t xml:space="preserve">energy </w:t>
      </w:r>
      <w:r w:rsidR="001D43BC">
        <w:t xml:space="preserve">that </w:t>
      </w:r>
      <w:r w:rsidR="00D07A9A">
        <w:t xml:space="preserve">meets their goals.  </w:t>
      </w:r>
      <w:r w:rsidR="002A7595">
        <w:t>For example,</w:t>
      </w:r>
    </w:p>
    <w:p w14:paraId="17BAA182" w14:textId="428EEFD5" w:rsidR="00D07A9A" w:rsidRDefault="00D07A9A" w:rsidP="00D92946">
      <w:pPr>
        <w:pStyle w:val="Answer"/>
        <w:numPr>
          <w:ilvl w:val="0"/>
          <w:numId w:val="72"/>
        </w:numPr>
        <w:tabs>
          <w:tab w:val="left" w:pos="1080"/>
        </w:tabs>
        <w:ind w:left="1080"/>
      </w:pPr>
      <w:r>
        <w:lastRenderedPageBreak/>
        <w:t>With respect to its business sites, the Hyundai Company aims to transition to 60% renewable energy by 2030, 90% by 2040, and 100% by 2045, and has a company-wide goal of achieving carbon neutrality by 2045.</w:t>
      </w:r>
      <w:r>
        <w:rPr>
          <w:rStyle w:val="FootnoteReference"/>
        </w:rPr>
        <w:footnoteReference w:id="66"/>
      </w:r>
    </w:p>
    <w:p w14:paraId="64F3D76B" w14:textId="66DBFD07" w:rsidR="00D07A9A" w:rsidRDefault="00886DAE" w:rsidP="00D92946">
      <w:pPr>
        <w:pStyle w:val="Answer"/>
        <w:numPr>
          <w:ilvl w:val="0"/>
          <w:numId w:val="72"/>
        </w:numPr>
        <w:tabs>
          <w:tab w:val="left" w:pos="1170"/>
        </w:tabs>
        <w:ind w:left="1080"/>
      </w:pPr>
      <w:r>
        <w:t>LG Energy Solutions’ targets are even more aggressive as it aims to achieve 100% renewable energy at all business sites by 2030, Scope 1&amp;2 carbon neutrality by 2040, carbon neutrality through its entire value chain by 2050, and become carbon negative after 2050.</w:t>
      </w:r>
      <w:r>
        <w:rPr>
          <w:rStyle w:val="FootnoteReference"/>
        </w:rPr>
        <w:footnoteReference w:id="67"/>
      </w:r>
    </w:p>
    <w:p w14:paraId="47055347" w14:textId="0F8F7FD7" w:rsidR="00886DAE" w:rsidRDefault="00886DAE" w:rsidP="00D92946">
      <w:pPr>
        <w:pStyle w:val="Answer"/>
        <w:numPr>
          <w:ilvl w:val="0"/>
          <w:numId w:val="72"/>
        </w:numPr>
        <w:ind w:left="1080"/>
      </w:pPr>
      <w:r>
        <w:t xml:space="preserve">Similarly, Rivian’s goal is </w:t>
      </w:r>
      <w:r w:rsidR="005E30DF">
        <w:t xml:space="preserve">by 2030 </w:t>
      </w:r>
      <w:r>
        <w:t>to power its normal manufacturing plants with “100% renewable energy on an annual basis and over 90% hourly carbon-free electricity</w:t>
      </w:r>
      <w:r w:rsidR="005E30DF">
        <w:t>” and use “</w:t>
      </w:r>
      <w:r>
        <w:t>100</w:t>
      </w:r>
      <w:r w:rsidR="005E30DF">
        <w:t>%</w:t>
      </w:r>
      <w:r>
        <w:t xml:space="preserve"> renewable energy at all other nonmanufacturing facilities (service centers, offices,</w:t>
      </w:r>
      <w:r w:rsidR="005E30DF">
        <w:t xml:space="preserve"> </w:t>
      </w:r>
      <w:r>
        <w:t>etc.)</w:t>
      </w:r>
      <w:r w:rsidR="005E30DF">
        <w:t>.”</w:t>
      </w:r>
      <w:r w:rsidR="005E30DF">
        <w:rPr>
          <w:rStyle w:val="FootnoteReference"/>
        </w:rPr>
        <w:footnoteReference w:id="68"/>
      </w:r>
    </w:p>
    <w:p w14:paraId="5D4CA35C" w14:textId="2B0C2C4A" w:rsidR="000774AF" w:rsidRDefault="00F869BB" w:rsidP="00D92946">
      <w:pPr>
        <w:pStyle w:val="Answer"/>
        <w:numPr>
          <w:ilvl w:val="0"/>
          <w:numId w:val="72"/>
        </w:numPr>
        <w:ind w:left="1080"/>
      </w:pPr>
      <w:r>
        <w:t>QCells parent company, Hanwha Solutions</w:t>
      </w:r>
      <w:r w:rsidR="00D92946">
        <w:t>,</w:t>
      </w:r>
      <w:r>
        <w:t xml:space="preserve"> has set</w:t>
      </w:r>
      <w:r w:rsidR="002A7595">
        <w:t xml:space="preserve"> a</w:t>
      </w:r>
      <w:r>
        <w:t xml:space="preserve"> “Scope 1 and 2 emission reduction </w:t>
      </w:r>
      <w:proofErr w:type="gramStart"/>
      <w:r>
        <w:t>target</w:t>
      </w:r>
      <w:proofErr w:type="gramEnd"/>
      <w:r>
        <w:t xml:space="preserve"> of 35% in 2030 and 60% in 2040 compared to the emissions in 2018.” And with respect to electricity, Hanwha Solutions’ goal is to “increase the proportion of renewable energy powered-electricity use to 21% by 2030, 37% by </w:t>
      </w:r>
      <w:r>
        <w:lastRenderedPageBreak/>
        <w:t xml:space="preserve">2040, and 100% by 2050. Starting in 2023, </w:t>
      </w:r>
      <w:r w:rsidR="00337851">
        <w:t>[they]</w:t>
      </w:r>
      <w:r>
        <w:t xml:space="preserve"> will increase the supply of solar-based renewable energy power through long-term REC purchase agreements.”</w:t>
      </w:r>
      <w:r w:rsidR="00337851">
        <w:rPr>
          <w:rStyle w:val="FootnoteReference"/>
        </w:rPr>
        <w:footnoteReference w:id="69"/>
      </w:r>
    </w:p>
    <w:p w14:paraId="12AEED9F" w14:textId="25490561" w:rsidR="002A7595" w:rsidRPr="0075124B" w:rsidRDefault="002A7595" w:rsidP="002A7595">
      <w:pPr>
        <w:pStyle w:val="Answer"/>
        <w:ind w:firstLine="0"/>
      </w:pPr>
      <w:r>
        <w:t>But the majority of the procurement options proposed by Georgia Power in its Updated IRP do not match these decarbonization goals.</w:t>
      </w:r>
    </w:p>
    <w:p w14:paraId="6B0CCAF4" w14:textId="518F645B" w:rsidR="0049387D" w:rsidRPr="00007D22" w:rsidRDefault="0049387D" w:rsidP="0049387D">
      <w:pPr>
        <w:pStyle w:val="Question"/>
      </w:pPr>
      <w:r>
        <w:t>Q.</w:t>
      </w:r>
      <w:r>
        <w:tab/>
        <w:t xml:space="preserve">Does </w:t>
      </w:r>
      <w:r w:rsidRPr="00007D22">
        <w:t xml:space="preserve">GEORGIA POWER’S INTEGRATED RESOURCE PLAN </w:t>
      </w:r>
      <w:r>
        <w:t xml:space="preserve">account for </w:t>
      </w:r>
      <w:r w:rsidR="007C6941">
        <w:t xml:space="preserve">its parent </w:t>
      </w:r>
      <w:r w:rsidRPr="00007D22">
        <w:t>SOUTHERN COMPANY’S CARBON GOALS?</w:t>
      </w:r>
    </w:p>
    <w:p w14:paraId="64D2E3B5" w14:textId="3096D467" w:rsidR="0049387D" w:rsidRDefault="0049387D" w:rsidP="0049387D">
      <w:pPr>
        <w:pStyle w:val="Answer"/>
      </w:pPr>
      <w:r w:rsidRPr="00EB68C4">
        <w:rPr>
          <w:bCs/>
          <w:szCs w:val="24"/>
        </w:rPr>
        <w:t>A.</w:t>
      </w:r>
      <w:r w:rsidRPr="00EB68C4">
        <w:rPr>
          <w:bCs/>
          <w:szCs w:val="24"/>
        </w:rPr>
        <w:tab/>
        <w:t xml:space="preserve">No.  </w:t>
      </w:r>
      <w:r>
        <w:rPr>
          <w:bCs/>
          <w:szCs w:val="24"/>
        </w:rPr>
        <w:t>In Data Request No.</w:t>
      </w:r>
      <w:r>
        <w:rPr>
          <w:b/>
          <w:szCs w:val="24"/>
        </w:rPr>
        <w:t xml:space="preserve"> </w:t>
      </w:r>
      <w:r w:rsidRPr="00323C6E">
        <w:rPr>
          <w:bCs/>
          <w:szCs w:val="24"/>
        </w:rPr>
        <w:t>STF-DEA-4-14</w:t>
      </w:r>
      <w:r>
        <w:rPr>
          <w:bCs/>
          <w:szCs w:val="24"/>
        </w:rPr>
        <w:t>, Georgia Power was asked “</w:t>
      </w:r>
      <w:r>
        <w:rPr>
          <w:rStyle w:val="normaltextrun"/>
          <w:color w:val="000000"/>
          <w:shd w:val="clear" w:color="auto" w:fill="FFFFFF"/>
        </w:rPr>
        <w:t>In designing transmission solutions for the proposed new load, did Georgia Power consider and align with Southern Company’s internal targets regarding clean energy?” The response was that “</w:t>
      </w:r>
      <w:r>
        <w:t xml:space="preserve">specific clean energy targets did not impact the selection of transmission solutions.” </w:t>
      </w:r>
    </w:p>
    <w:p w14:paraId="6E6CACC6" w14:textId="6781DB7D" w:rsidR="0049387D" w:rsidRPr="00007D22" w:rsidRDefault="0049387D" w:rsidP="0049387D">
      <w:pPr>
        <w:pStyle w:val="Question"/>
      </w:pPr>
      <w:r>
        <w:t>Q.</w:t>
      </w:r>
      <w:r>
        <w:tab/>
        <w:t>Is there other evidence that georgia power’s plans do not align with southern company’s goals</w:t>
      </w:r>
      <w:r w:rsidRPr="00007D22">
        <w:t>?</w:t>
      </w:r>
    </w:p>
    <w:p w14:paraId="07EF69BF" w14:textId="570CBCFA" w:rsidR="0049387D" w:rsidRDefault="0049387D" w:rsidP="0049387D">
      <w:pPr>
        <w:pStyle w:val="Answer"/>
      </w:pPr>
      <w:r>
        <w:rPr>
          <w:rStyle w:val="normaltextrun"/>
          <w:color w:val="000000"/>
          <w:shd w:val="clear" w:color="auto" w:fill="FFFFFF"/>
        </w:rPr>
        <w:t>A.</w:t>
      </w:r>
      <w:r>
        <w:rPr>
          <w:rStyle w:val="normaltextrun"/>
          <w:color w:val="000000"/>
          <w:shd w:val="clear" w:color="auto" w:fill="FFFFFF"/>
        </w:rPr>
        <w:tab/>
        <w:t xml:space="preserve">Yes. </w:t>
      </w:r>
      <w:r>
        <w:t>Southern Company voluntarily participates in the annual CDP Climate Change Disclosure reports and includes in those reports the annual greenhouse gas emissions data for Georgia Power.</w:t>
      </w:r>
      <w:r>
        <w:rPr>
          <w:rStyle w:val="FootnoteReference"/>
        </w:rPr>
        <w:footnoteReference w:id="70"/>
      </w:r>
      <w:r>
        <w:t xml:space="preserve"> In the latest 2023 CDP Climate Change questionnaire, Southern </w:t>
      </w:r>
      <w:r>
        <w:lastRenderedPageBreak/>
        <w:t>reported 22,559,027 metric tons of CO2 equivalent for Georgia Power Scope 1 emissions (see Figure below).</w:t>
      </w:r>
      <w:r>
        <w:rPr>
          <w:rStyle w:val="FootnoteReference"/>
        </w:rPr>
        <w:footnoteReference w:id="71"/>
      </w:r>
      <w:r>
        <w:t xml:space="preserve"> Note that the increase in emissions in 2021 was expected with electricity demand increases associated with COVID-19.</w:t>
      </w:r>
      <w:r>
        <w:rPr>
          <w:rStyle w:val="FootnoteReference"/>
        </w:rPr>
        <w:footnoteReference w:id="72"/>
      </w:r>
    </w:p>
    <w:p w14:paraId="7291FD86" w14:textId="2E6D3F9B" w:rsidR="000774AF" w:rsidRDefault="000774AF" w:rsidP="000774AF">
      <w:pPr>
        <w:pStyle w:val="FigureNumber"/>
      </w:pPr>
      <w:r>
        <w:rPr>
          <w:rStyle w:val="normaltextrun"/>
          <w:color w:val="000000"/>
          <w:shd w:val="clear" w:color="auto" w:fill="FFFFFF"/>
        </w:rPr>
        <w:t xml:space="preserve">Figure </w:t>
      </w:r>
      <w:r w:rsidR="00BA5783">
        <w:rPr>
          <w:rStyle w:val="normaltextrun"/>
          <w:color w:val="000000"/>
          <w:shd w:val="clear" w:color="auto" w:fill="FFFFFF"/>
        </w:rPr>
        <w:t>10</w:t>
      </w:r>
    </w:p>
    <w:p w14:paraId="06B86715" w14:textId="4D1E0F61" w:rsidR="0049387D" w:rsidRDefault="0049387D" w:rsidP="0049387D">
      <w:pPr>
        <w:pStyle w:val="Answer"/>
        <w:ind w:firstLine="0"/>
      </w:pPr>
      <w:r>
        <w:rPr>
          <w:noProof/>
        </w:rPr>
        <w:drawing>
          <wp:inline distT="0" distB="0" distL="0" distR="0" wp14:anchorId="59CD0D92" wp14:editId="51E76844">
            <wp:extent cx="4302177" cy="2915461"/>
            <wp:effectExtent l="0" t="0" r="3175" b="5715"/>
            <wp:docPr id="851920048" name="Picture 6" descr="A graph with a red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1920048" name="Picture 6" descr="A graph with a red line&#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311645" cy="2921877"/>
                    </a:xfrm>
                    <a:prstGeom prst="rect">
                      <a:avLst/>
                    </a:prstGeom>
                  </pic:spPr>
                </pic:pic>
              </a:graphicData>
            </a:graphic>
          </wp:inline>
        </w:drawing>
      </w:r>
      <w:r>
        <w:rPr>
          <w:rStyle w:val="FootnoteReference"/>
        </w:rPr>
        <w:footnoteReference w:id="73"/>
      </w:r>
    </w:p>
    <w:p w14:paraId="205A026D" w14:textId="05C45399" w:rsidR="0049387D" w:rsidRDefault="0049387D" w:rsidP="0049387D">
      <w:pPr>
        <w:pStyle w:val="Answer"/>
        <w:ind w:firstLine="0"/>
      </w:pPr>
      <w:r>
        <w:t xml:space="preserve">Based on the utility’s current trajectory, it is unlikely that Georgia Power will be able to meet the Company’s internal targets. According to SACE’s Tracking Decarbonization in the Southeast report, Georgia Power’s current plans project a steeper emission reduction than that of Alabama Power and Mississippi Power, but there is a worrisome flattening of </w:t>
      </w:r>
      <w:r>
        <w:lastRenderedPageBreak/>
        <w:t xml:space="preserve">emissions from all utilities after 2030 that will make it difficult for Southern Company to achieve zero emissions by 2050. As depicted in </w:t>
      </w:r>
      <w:r w:rsidR="006A2632">
        <w:t>Figure 1</w:t>
      </w:r>
      <w:r w:rsidR="00BA5783">
        <w:t>1</w:t>
      </w:r>
      <w:r>
        <w:t xml:space="preserve"> below, the pathways to zero emissions by 2035 and 2050 will require a significant departure from the Southern Company utilities current track of emission reductions.</w:t>
      </w:r>
      <w:r>
        <w:rPr>
          <w:rStyle w:val="FootnoteReference"/>
        </w:rPr>
        <w:footnoteReference w:id="74"/>
      </w:r>
    </w:p>
    <w:p w14:paraId="4D7378DE" w14:textId="0F4973FE" w:rsidR="006A2632" w:rsidRDefault="006A2632" w:rsidP="006A2632">
      <w:pPr>
        <w:pStyle w:val="FigureNumber"/>
      </w:pPr>
      <w:r>
        <w:t>Figure 1</w:t>
      </w:r>
      <w:r w:rsidR="00BA5783">
        <w:t>1</w:t>
      </w:r>
    </w:p>
    <w:p w14:paraId="381BDAC0" w14:textId="0CEA5D65" w:rsidR="0049387D" w:rsidRDefault="0049387D" w:rsidP="0049387D">
      <w:r>
        <w:rPr>
          <w:noProof/>
        </w:rPr>
        <w:drawing>
          <wp:inline distT="0" distB="0" distL="0" distR="0" wp14:anchorId="7CE50ECF" wp14:editId="46B98699">
            <wp:extent cx="5080419" cy="2585803"/>
            <wp:effectExtent l="0" t="0" r="0" b="5080"/>
            <wp:docPr id="395757780" name="Picture 8" descr="A graph showing a company pla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5757780" name="Picture 8" descr="A graph showing a company plan&#10;&#10;Description automatically generated with medium confidence"/>
                    <pic:cNvPicPr/>
                  </pic:nvPicPr>
                  <pic:blipFill>
                    <a:blip r:embed="rId22">
                      <a:extLst>
                        <a:ext uri="{28A0092B-C50C-407E-A947-70E740481C1C}">
                          <a14:useLocalDpi xmlns:a14="http://schemas.microsoft.com/office/drawing/2010/main" val="0"/>
                        </a:ext>
                      </a:extLst>
                    </a:blip>
                    <a:stretch>
                      <a:fillRect/>
                    </a:stretch>
                  </pic:blipFill>
                  <pic:spPr>
                    <a:xfrm>
                      <a:off x="0" y="0"/>
                      <a:ext cx="5087718" cy="2589518"/>
                    </a:xfrm>
                    <a:prstGeom prst="rect">
                      <a:avLst/>
                    </a:prstGeom>
                  </pic:spPr>
                </pic:pic>
              </a:graphicData>
            </a:graphic>
          </wp:inline>
        </w:drawing>
      </w:r>
      <w:r>
        <w:rPr>
          <w:rStyle w:val="FootnoteReference"/>
        </w:rPr>
        <w:footnoteReference w:id="75"/>
      </w:r>
    </w:p>
    <w:p w14:paraId="4C57A869" w14:textId="3ABC06B8" w:rsidR="0049387D" w:rsidRDefault="0049387D" w:rsidP="0049387D">
      <w:pPr>
        <w:pStyle w:val="Question"/>
      </w:pPr>
      <w:r>
        <w:t>Q.</w:t>
      </w:r>
      <w:r>
        <w:tab/>
        <w:t>Is there any other evidence that georgia power’s plans do not align with southern company’s goals</w:t>
      </w:r>
      <w:r w:rsidRPr="00007D22">
        <w:t>?</w:t>
      </w:r>
    </w:p>
    <w:p w14:paraId="1AD9AA7D" w14:textId="1E2AF200" w:rsidR="0049387D" w:rsidRDefault="0049387D" w:rsidP="0049387D">
      <w:pPr>
        <w:pStyle w:val="Answer"/>
      </w:pPr>
      <w:r>
        <w:t>A.</w:t>
      </w:r>
      <w:r>
        <w:tab/>
        <w:t>Yes. In its Updated IRP, Georgia Power seeks</w:t>
      </w:r>
      <w:r w:rsidR="00D8689B">
        <w:t>, among other things, to enter into a power purchase agreement with Mississippi</w:t>
      </w:r>
      <w:r>
        <w:t xml:space="preserve"> Power</w:t>
      </w:r>
      <w:r w:rsidR="00C2168D">
        <w:t xml:space="preserve"> and </w:t>
      </w:r>
      <w:r w:rsidR="00D8689B">
        <w:t xml:space="preserve">to </w:t>
      </w:r>
      <w:r w:rsidR="009F1794">
        <w:t>add three</w:t>
      </w:r>
      <w:r w:rsidR="00D8689B">
        <w:t xml:space="preserve"> </w:t>
      </w:r>
      <w:r w:rsidR="009F1794">
        <w:t>gas oil</w:t>
      </w:r>
      <w:r w:rsidR="00D8689B">
        <w:t xml:space="preserve"> </w:t>
      </w:r>
      <w:r w:rsidR="009F1794">
        <w:t>combustion turbine</w:t>
      </w:r>
      <w:r w:rsidR="00D8689B">
        <w:t xml:space="preserve"> </w:t>
      </w:r>
      <w:r w:rsidR="009F1794">
        <w:t>units</w:t>
      </w:r>
      <w:r w:rsidR="00D8689B">
        <w:t xml:space="preserve"> at Yates.  </w:t>
      </w:r>
      <w:r w:rsidR="00C2168D">
        <w:t>Both</w:t>
      </w:r>
      <w:r w:rsidR="00D8689B">
        <w:t xml:space="preserve"> are problematic from a climate positive resource perspective.</w:t>
      </w:r>
    </w:p>
    <w:p w14:paraId="3AFE8BBB" w14:textId="1481FEA4" w:rsidR="00D8689B" w:rsidRDefault="00D8689B" w:rsidP="00D8689B">
      <w:pPr>
        <w:pStyle w:val="Question"/>
      </w:pPr>
      <w:r>
        <w:lastRenderedPageBreak/>
        <w:t>Q.</w:t>
      </w:r>
      <w:r>
        <w:tab/>
        <w:t>What concerns do you have with the Missi</w:t>
      </w:r>
      <w:r w:rsidR="00063515">
        <w:t>SSI</w:t>
      </w:r>
      <w:r>
        <w:t>ppi Power Purchase Agreement?</w:t>
      </w:r>
    </w:p>
    <w:p w14:paraId="1901C77C" w14:textId="756050CF" w:rsidR="0075124B" w:rsidRDefault="00D8689B" w:rsidP="0075124B">
      <w:pPr>
        <w:pStyle w:val="Answer"/>
        <w:rPr>
          <w:szCs w:val="24"/>
        </w:rPr>
      </w:pPr>
      <w:r>
        <w:t>A.</w:t>
      </w:r>
      <w:r>
        <w:tab/>
      </w:r>
      <w:r w:rsidR="00323C6E">
        <w:t>Per Georgia Power’s own admission, t</w:t>
      </w:r>
      <w:r w:rsidR="0075124B">
        <w:t>he Mississippi Power PPA is “</w:t>
      </w:r>
      <w:r w:rsidR="0075124B" w:rsidRPr="00AB65CE">
        <w:rPr>
          <w:szCs w:val="24"/>
        </w:rPr>
        <w:t>not unit specific and may be supplied by any resource in the Mississippi Power fleet.</w:t>
      </w:r>
      <w:r w:rsidR="0075124B">
        <w:rPr>
          <w:szCs w:val="24"/>
        </w:rPr>
        <w:t>”</w:t>
      </w:r>
      <w:r w:rsidR="00323C6E">
        <w:rPr>
          <w:rStyle w:val="FootnoteReference"/>
          <w:szCs w:val="24"/>
        </w:rPr>
        <w:footnoteReference w:id="76"/>
      </w:r>
      <w:r w:rsidR="0075124B">
        <w:rPr>
          <w:szCs w:val="24"/>
        </w:rPr>
        <w:t xml:space="preserve"> </w:t>
      </w:r>
      <w:r w:rsidR="0075124B">
        <w:rPr>
          <w:rStyle w:val="eop"/>
          <w:bCs/>
          <w:szCs w:val="24"/>
        </w:rPr>
        <w:t xml:space="preserve">That said, the </w:t>
      </w:r>
      <w:r w:rsidR="00323C6E">
        <w:rPr>
          <w:rStyle w:val="eop"/>
          <w:bCs/>
          <w:szCs w:val="24"/>
        </w:rPr>
        <w:t>Company’s witness also explains that</w:t>
      </w:r>
      <w:r w:rsidR="0075124B">
        <w:rPr>
          <w:rStyle w:val="eop"/>
          <w:bCs/>
          <w:szCs w:val="24"/>
        </w:rPr>
        <w:t xml:space="preserve"> “</w:t>
      </w:r>
      <w:r w:rsidR="0075124B" w:rsidRPr="00AB65CE">
        <w:rPr>
          <w:szCs w:val="24"/>
        </w:rPr>
        <w:t>in the absence of the Mississippi Power PPA, several Mississippi Power resources would be retired and removed from the Southern Company pool</w:t>
      </w:r>
      <w:r w:rsidR="0075124B">
        <w:rPr>
          <w:rStyle w:val="eop"/>
          <w:bCs/>
          <w:szCs w:val="24"/>
        </w:rPr>
        <w:t xml:space="preserve">. </w:t>
      </w:r>
      <w:r w:rsidR="0075124B" w:rsidRPr="00AB65CE">
        <w:rPr>
          <w:szCs w:val="24"/>
        </w:rPr>
        <w:t>The existence of the Mississippi Power PPA ensures that these resources will continue to be part of the Southern Company pool and that the power produced will be designated for service to Georgia Power’s customers.</w:t>
      </w:r>
      <w:r w:rsidR="0075124B">
        <w:rPr>
          <w:szCs w:val="24"/>
        </w:rPr>
        <w:t>”</w:t>
      </w:r>
      <w:r w:rsidR="00323C6E">
        <w:rPr>
          <w:rStyle w:val="FootnoteReference"/>
          <w:szCs w:val="24"/>
        </w:rPr>
        <w:footnoteReference w:id="77"/>
      </w:r>
    </w:p>
    <w:p w14:paraId="4CD5C2EB" w14:textId="477A19BB" w:rsidR="00D8689B" w:rsidRPr="0075124B" w:rsidRDefault="0075124B" w:rsidP="0075124B">
      <w:pPr>
        <w:pStyle w:val="Answer"/>
        <w:ind w:firstLine="0"/>
        <w:rPr>
          <w:szCs w:val="24"/>
        </w:rPr>
      </w:pPr>
      <w:r>
        <w:rPr>
          <w:szCs w:val="24"/>
        </w:rPr>
        <w:t xml:space="preserve">In additional responses it becomes clearer that the </w:t>
      </w:r>
      <w:r w:rsidR="00323C6E">
        <w:rPr>
          <w:szCs w:val="24"/>
        </w:rPr>
        <w:t xml:space="preserve">Mississippi </w:t>
      </w:r>
      <w:r>
        <w:rPr>
          <w:szCs w:val="24"/>
        </w:rPr>
        <w:t xml:space="preserve">PPA concerns fossil resources. </w:t>
      </w:r>
      <w:r>
        <w:rPr>
          <w:rStyle w:val="eop"/>
          <w:bCs/>
          <w:szCs w:val="24"/>
        </w:rPr>
        <w:t xml:space="preserve">Specifically, </w:t>
      </w:r>
      <w:r>
        <w:t>i</w:t>
      </w:r>
      <w:r w:rsidR="00D8689B">
        <w:t xml:space="preserve">n response to Data Request No. </w:t>
      </w:r>
      <w:r w:rsidR="00D8689B" w:rsidRPr="00323C6E">
        <w:rPr>
          <w:bCs/>
        </w:rPr>
        <w:t>STF-JKA-2-20</w:t>
      </w:r>
      <w:r w:rsidR="00D8689B">
        <w:rPr>
          <w:bCs/>
        </w:rPr>
        <w:t xml:space="preserve">, the Georgia Power witness explains that the reason the Company negotiated a term </w:t>
      </w:r>
      <w:r w:rsidR="00D8689B" w:rsidRPr="00D8689B">
        <w:t>begin</w:t>
      </w:r>
      <w:r w:rsidR="00D8689B">
        <w:t>ning on</w:t>
      </w:r>
      <w:r w:rsidR="00D8689B" w:rsidRPr="00D8689B">
        <w:t xml:space="preserve"> January 1, 2024, </w:t>
      </w:r>
      <w:r w:rsidR="00D8689B">
        <w:t>well before its increased load needs commence, was “</w:t>
      </w:r>
      <w:r w:rsidR="00D8689B" w:rsidRPr="00D8689B">
        <w:t>because Mississippi Power was ordered to retire approximately 950 MW of capacity by the end of 2027 or show with detailed evidence why continued operation of the resources is in the best interests of its customers.</w:t>
      </w:r>
      <w:r w:rsidR="00D8689B">
        <w:t xml:space="preserve"> . .</w:t>
      </w:r>
      <w:r w:rsidR="00D8689B" w:rsidRPr="00D8689B">
        <w:t xml:space="preserve">. By purchasing 750 MW from Mississippi Power through this PPA, Georgia Power ensures that this resource </w:t>
      </w:r>
      <w:r w:rsidR="00D8689B">
        <w:t>[]</w:t>
      </w:r>
      <w:r w:rsidR="00D8689B" w:rsidRPr="00D8689B">
        <w:t xml:space="preserve"> remains in the Southern Company pool.</w:t>
      </w:r>
      <w:r w:rsidR="00D8689B">
        <w:t>”</w:t>
      </w:r>
      <w:r w:rsidR="00C77CAA">
        <w:t xml:space="preserve"> These plants are fossil fueled and the Mississippi PSC ordered their retirement because they were uneconomic for Mississippi ratepayers.  Yet Georgia Power </w:t>
      </w:r>
      <w:r w:rsidR="00C77CAA">
        <w:lastRenderedPageBreak/>
        <w:t>seeks to continue to run the uneconomic and carbon emitting plants by having Georgia customers pay for the output.</w:t>
      </w:r>
    </w:p>
    <w:p w14:paraId="0275749F" w14:textId="2087DD85" w:rsidR="00D8689B" w:rsidRDefault="00C77CAA" w:rsidP="00C77CAA">
      <w:pPr>
        <w:pStyle w:val="Question"/>
      </w:pPr>
      <w:r>
        <w:t>Q.</w:t>
      </w:r>
      <w:r>
        <w:tab/>
        <w:t>Why do you have concerns about the dual fired power plant at Plant Yates 8-10.</w:t>
      </w:r>
    </w:p>
    <w:p w14:paraId="4265C330" w14:textId="1A92A0AB" w:rsidR="00E177A6" w:rsidRPr="00C2168D" w:rsidRDefault="00C77CAA" w:rsidP="00C2168D">
      <w:pPr>
        <w:pStyle w:val="Answer"/>
        <w:rPr>
          <w:bCs/>
          <w:szCs w:val="24"/>
        </w:rPr>
      </w:pPr>
      <w:r>
        <w:t>A.</w:t>
      </w:r>
      <w:r>
        <w:tab/>
        <w:t xml:space="preserve">Though the IRP update touts the natural gas aspects of the plants, discovery makes clear that Georgia Power plans to run these plants primarily on oil due to natural gas supply constraints, especially in cold weather months. </w:t>
      </w:r>
      <w:r w:rsidR="00E177A6">
        <w:t xml:space="preserve">Specifically, in response to Data Request No. </w:t>
      </w:r>
      <w:r w:rsidR="00E177A6" w:rsidRPr="00323C6E">
        <w:rPr>
          <w:bCs/>
          <w:szCs w:val="24"/>
        </w:rPr>
        <w:t>STF-JKA-2-22</w:t>
      </w:r>
      <w:r w:rsidR="00E177A6">
        <w:rPr>
          <w:bCs/>
          <w:szCs w:val="24"/>
        </w:rPr>
        <w:t>, Georgia Power states that:</w:t>
      </w:r>
    </w:p>
    <w:p w14:paraId="421B5C33" w14:textId="1BD2D34A" w:rsidR="00E177A6" w:rsidRPr="00E177A6" w:rsidRDefault="00E177A6" w:rsidP="006A2632">
      <w:pPr>
        <w:pStyle w:val="blockquote"/>
        <w:rPr>
          <w:color w:val="FF0000"/>
        </w:rPr>
      </w:pPr>
      <w:r w:rsidRPr="3F67FCC0">
        <w:t>Plant Yates Units 8-10 are dual fuel units. They can operate on natural gas as available, but they are unlikely to have reliable supply of natural gas during peak winter periods without firm transportation (“FT”).  No FT has been procured for these units.  Therefore, these units will be supplied with oil to support continued operation during peak conditions. These units will be able to utilize gas when FT is available from other units such as the Plant Yates steam units or when interruptible pipeline transportation is available.</w:t>
      </w:r>
      <w:r>
        <w:t xml:space="preserve"> . . </w:t>
      </w:r>
      <w:r w:rsidRPr="00E177A6">
        <w:t xml:space="preserve">Plant Yates Units 8-10 will primarily run on fuel oil during peak winter and summer periods when the pipeline is constrained. No FT or additional gas capacity is being proposed to support these units since these units can burn oil year around. </w:t>
      </w:r>
    </w:p>
    <w:p w14:paraId="74018D86" w14:textId="22B2D0E2" w:rsidR="00C77CAA" w:rsidRPr="00E177A6" w:rsidRDefault="00E177A6" w:rsidP="00E177A6">
      <w:pPr>
        <w:pStyle w:val="Answer"/>
        <w:ind w:firstLine="0"/>
      </w:pPr>
      <w:r>
        <w:t xml:space="preserve">In response to Data Request No. </w:t>
      </w:r>
      <w:r w:rsidR="00C77CAA" w:rsidRPr="00323C6E">
        <w:rPr>
          <w:bCs/>
        </w:rPr>
        <w:t>STF-JKA-2-14</w:t>
      </w:r>
      <w:r>
        <w:t>, the Company provides a similar response about constrained gas access stating that:</w:t>
      </w:r>
    </w:p>
    <w:p w14:paraId="7A9F4590" w14:textId="6E42DE1B" w:rsidR="00C77CAA" w:rsidRDefault="00C77CAA" w:rsidP="006A2632">
      <w:pPr>
        <w:pStyle w:val="blockquote"/>
      </w:pPr>
      <w:r w:rsidRPr="5364E533">
        <w:t xml:space="preserve">The Company assumed oil dispatch for new generic </w:t>
      </w:r>
      <w:r w:rsidRPr="006A2632">
        <w:t>combustion</w:t>
      </w:r>
      <w:r>
        <w:t xml:space="preserve"> turbines (“</w:t>
      </w:r>
      <w:r w:rsidRPr="5364E533">
        <w:t>CTs</w:t>
      </w:r>
      <w:r>
        <w:t>”)</w:t>
      </w:r>
      <w:r w:rsidRPr="5364E533">
        <w:t xml:space="preserve"> because the pipelines serving the Company region have become increasingly constrained and less flexible in recent years. These constraints limit the amount of swing and daily imbalance through frequent issuance of daily Operational Flow Orders (i.e., curtailment of gas supply). These constraints bind the </w:t>
      </w:r>
      <w:r>
        <w:t xml:space="preserve">Southern </w:t>
      </w:r>
      <w:r>
        <w:lastRenderedPageBreak/>
        <w:t>Company retail operating c</w:t>
      </w:r>
      <w:r w:rsidRPr="5364E533">
        <w:t xml:space="preserve">ompanies’ ability to operate any of its natural gas units on the same pipeline system, including new CTs. The Company can successfully manage this through the usage of fuel oil. Additionally, the ability to construct new pipeline infrastructure to alleviate pipeline constraints has been very challenging (e.g., Mountain Valley Pipeline). Therefore, assuming new pipeline infrastructure </w:t>
      </w:r>
      <w:r>
        <w:t>will</w:t>
      </w:r>
      <w:r w:rsidRPr="5364E533">
        <w:t xml:space="preserve"> be available for all future natural gas units is unrealistic. Given the current operational realities and the challenges facing the pipeline infrastructure industry, the Company assumes the most reliable operational plan for new generic expansion CTs is for them to be dual</w:t>
      </w:r>
      <w:r>
        <w:t>-</w:t>
      </w:r>
      <w:r w:rsidRPr="5364E533">
        <w:t xml:space="preserve">fueled with the ability to burn fuel oil year-round and plan to be augmented with natural gas when it is available. </w:t>
      </w:r>
    </w:p>
    <w:p w14:paraId="4B3C9721" w14:textId="77777777" w:rsidR="00C77CAA" w:rsidRPr="007A3192" w:rsidRDefault="00C77CAA" w:rsidP="00C77CAA">
      <w:pPr>
        <w:pStyle w:val="ListParagraph"/>
        <w:tabs>
          <w:tab w:val="left" w:pos="2250"/>
        </w:tabs>
        <w:spacing w:after="0" w:line="240" w:lineRule="auto"/>
        <w:jc w:val="both"/>
        <w:rPr>
          <w:szCs w:val="24"/>
        </w:rPr>
      </w:pPr>
    </w:p>
    <w:p w14:paraId="45E1FCDB" w14:textId="6FE3DB5C" w:rsidR="002644EC" w:rsidRDefault="002644EC" w:rsidP="002644EC">
      <w:pPr>
        <w:pStyle w:val="Question"/>
      </w:pPr>
      <w:r>
        <w:t>Q.</w:t>
      </w:r>
      <w:r>
        <w:tab/>
      </w:r>
      <w:r w:rsidR="00D11A42">
        <w:t>why is that a problem</w:t>
      </w:r>
      <w:r>
        <w:t>?</w:t>
      </w:r>
    </w:p>
    <w:p w14:paraId="6FB7B7B4" w14:textId="2F8087FD" w:rsidR="002644EC" w:rsidRDefault="002644EC" w:rsidP="002644EC">
      <w:pPr>
        <w:pStyle w:val="Answer"/>
      </w:pPr>
      <w:r>
        <w:t>A.</w:t>
      </w:r>
      <w:r>
        <w:tab/>
      </w:r>
      <w:r w:rsidR="005E47C1">
        <w:t xml:space="preserve">Carbon emissions are significantly higher when oil is burned </w:t>
      </w:r>
      <w:r w:rsidR="006A2632">
        <w:t>instead of</w:t>
      </w:r>
      <w:r w:rsidR="005E47C1">
        <w:t xml:space="preserve"> natural gas (which itself is significantly higher than using renewable resources to produce electricity).  </w:t>
      </w:r>
      <w:r w:rsidR="00CC615A">
        <w:t>Table 1 provides Energy Information Administration</w:t>
      </w:r>
      <w:r w:rsidR="00CC615A">
        <w:rPr>
          <w:rStyle w:val="FootnoteReference"/>
        </w:rPr>
        <w:footnoteReference w:id="78"/>
      </w:r>
      <w:r w:rsidR="00CC615A">
        <w:t xml:space="preserve"> data for the </w:t>
      </w:r>
      <w:r w:rsidR="00981D31">
        <w:t>g</w:t>
      </w:r>
      <w:r w:rsidR="00C639E9">
        <w:t>eneration</w:t>
      </w:r>
      <w:r w:rsidR="00981D31">
        <w:t xml:space="preserve"> (kWh)</w:t>
      </w:r>
      <w:r w:rsidR="00C639E9">
        <w:t>, carbon emission</w:t>
      </w:r>
      <w:r w:rsidR="00981D31">
        <w:t xml:space="preserve"> (MT CO</w:t>
      </w:r>
      <w:r w:rsidR="00981D31" w:rsidRPr="00981D31">
        <w:rPr>
          <w:vertAlign w:val="subscript"/>
        </w:rPr>
        <w:t>2</w:t>
      </w:r>
      <w:r w:rsidR="00981D31">
        <w:t>)</w:t>
      </w:r>
      <w:r w:rsidR="00C639E9">
        <w:t xml:space="preserve">, and fuel consumption </w:t>
      </w:r>
      <w:r w:rsidR="00981D31">
        <w:t xml:space="preserve">(MMBtu) </w:t>
      </w:r>
      <w:r w:rsidR="00C639E9">
        <w:t>data from</w:t>
      </w:r>
      <w:r w:rsidR="00D11A42">
        <w:t xml:space="preserve"> </w:t>
      </w:r>
      <w:r w:rsidR="00C639E9">
        <w:t xml:space="preserve">five plants in the state of Georgia that </w:t>
      </w:r>
      <w:r w:rsidR="00CC615A">
        <w:t xml:space="preserve">have units that </w:t>
      </w:r>
      <w:r w:rsidR="00C639E9">
        <w:t xml:space="preserve">run on gas and petroleum.  Two of these plants, McIntosh and Robins, are owned by Georgia Power, and a third, Dahlberg, is owned by Southern Company. </w:t>
      </w:r>
      <w:r w:rsidR="00981D31">
        <w:t xml:space="preserve">Using the EIA data to calculate </w:t>
      </w:r>
      <w:r w:rsidR="00C639E9">
        <w:t>carbon dioxide emissions</w:t>
      </w:r>
      <w:r w:rsidR="00CC615A">
        <w:t xml:space="preserve"> per energy</w:t>
      </w:r>
      <w:r w:rsidR="006A2632">
        <w:t xml:space="preserve"> output</w:t>
      </w:r>
      <w:r w:rsidR="00CC615A">
        <w:t xml:space="preserve">, it is clear that </w:t>
      </w:r>
      <w:r w:rsidR="00981D31">
        <w:t xml:space="preserve">each plant emitted more carbon dioxide </w:t>
      </w:r>
      <w:r w:rsidR="00CC615A">
        <w:t xml:space="preserve">to produce the same amount of electricity </w:t>
      </w:r>
      <w:r w:rsidR="00981D31">
        <w:t xml:space="preserve">when burning oil versus natural gas. </w:t>
      </w:r>
    </w:p>
    <w:p w14:paraId="7E84CB24" w14:textId="7E7B79DA" w:rsidR="00CC615A" w:rsidRDefault="00CC615A" w:rsidP="00CC615A">
      <w:pPr>
        <w:pStyle w:val="FigureNumber"/>
      </w:pPr>
      <w:r>
        <w:lastRenderedPageBreak/>
        <w:t>Table 1</w:t>
      </w:r>
    </w:p>
    <w:p w14:paraId="6306D3E5" w14:textId="61A1B7CD" w:rsidR="00D11A42" w:rsidRPr="002644EC" w:rsidRDefault="00CC615A" w:rsidP="00981D31">
      <w:pPr>
        <w:pStyle w:val="Answer"/>
      </w:pPr>
      <w:r w:rsidRPr="00CC615A">
        <w:rPr>
          <w:noProof/>
        </w:rPr>
        <w:drawing>
          <wp:inline distT="0" distB="0" distL="0" distR="0" wp14:anchorId="14151A81" wp14:editId="08A670FA">
            <wp:extent cx="5918200" cy="2628900"/>
            <wp:effectExtent l="0" t="0" r="0" b="0"/>
            <wp:docPr id="17178005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7800513" name=""/>
                    <pic:cNvPicPr/>
                  </pic:nvPicPr>
                  <pic:blipFill>
                    <a:blip r:embed="rId23"/>
                    <a:stretch>
                      <a:fillRect/>
                    </a:stretch>
                  </pic:blipFill>
                  <pic:spPr>
                    <a:xfrm>
                      <a:off x="0" y="0"/>
                      <a:ext cx="5918200" cy="2628900"/>
                    </a:xfrm>
                    <a:prstGeom prst="rect">
                      <a:avLst/>
                    </a:prstGeom>
                  </pic:spPr>
                </pic:pic>
              </a:graphicData>
            </a:graphic>
          </wp:inline>
        </w:drawing>
      </w:r>
    </w:p>
    <w:p w14:paraId="79B8F9C6" w14:textId="3048B0E9" w:rsidR="00C77CAA" w:rsidRDefault="00C2168D" w:rsidP="00C2168D">
      <w:pPr>
        <w:pStyle w:val="Question"/>
      </w:pPr>
      <w:r>
        <w:t>Q.</w:t>
      </w:r>
      <w:r>
        <w:tab/>
        <w:t>Do you have any other concerns?</w:t>
      </w:r>
    </w:p>
    <w:p w14:paraId="3EDEFE98" w14:textId="77777777" w:rsidR="00323C6E" w:rsidRDefault="00C2168D" w:rsidP="00C2168D">
      <w:pPr>
        <w:pStyle w:val="Answer"/>
      </w:pPr>
      <w:r>
        <w:t>A.</w:t>
      </w:r>
      <w:r>
        <w:tab/>
        <w:t xml:space="preserve"> Yes. The Updated IRP and associated data responses indicate that Georgia Power is considering extending the retirement dates of its coal plants. Specifically, the Updated IRP states that </w:t>
      </w:r>
    </w:p>
    <w:p w14:paraId="6B32555B" w14:textId="6CE6B6CF" w:rsidR="00323C6E" w:rsidRDefault="00C2168D" w:rsidP="00323C6E">
      <w:pPr>
        <w:pStyle w:val="blockquote"/>
        <w:rPr>
          <w:rStyle w:val="normaltextrun"/>
        </w:rPr>
      </w:pPr>
      <w:r>
        <w:rPr>
          <w:rStyle w:val="normaltextrun"/>
        </w:rPr>
        <w:t>In the 2022 IRP Final Order, the Commission approved the retirement and decertification of Plant Scherer Unit 3 and Plant Gaston Units 1-4 and Unit A by December 31, 2028. With continuing increases to the projected load forecast and capacity needs following 2028, the Company will likely evaluate extending the operation of certain units, particularly Plant Scherer Unit 3, beyond 2028.</w:t>
      </w:r>
      <w:r w:rsidR="00323C6E">
        <w:rPr>
          <w:rStyle w:val="FootnoteReference"/>
        </w:rPr>
        <w:footnoteReference w:id="79"/>
      </w:r>
    </w:p>
    <w:p w14:paraId="0F1E6300" w14:textId="77777777" w:rsidR="00323C6E" w:rsidRDefault="00C2168D" w:rsidP="00323C6E">
      <w:pPr>
        <w:pStyle w:val="Answer"/>
        <w:ind w:firstLine="0"/>
        <w:rPr>
          <w:bCs/>
          <w:szCs w:val="24"/>
        </w:rPr>
      </w:pPr>
      <w:r>
        <w:rPr>
          <w:rStyle w:val="normaltextrun"/>
        </w:rPr>
        <w:t xml:space="preserve">Moreover, in response to </w:t>
      </w:r>
      <w:r>
        <w:t xml:space="preserve">Data Request No. </w:t>
      </w:r>
      <w:r w:rsidRPr="00323C6E">
        <w:rPr>
          <w:bCs/>
          <w:szCs w:val="24"/>
        </w:rPr>
        <w:t>STF-JKA-2-8</w:t>
      </w:r>
      <w:r>
        <w:rPr>
          <w:bCs/>
          <w:szCs w:val="24"/>
        </w:rPr>
        <w:t xml:space="preserve"> the Company witness states that</w:t>
      </w:r>
      <w:r w:rsidR="00323C6E">
        <w:rPr>
          <w:bCs/>
          <w:szCs w:val="24"/>
        </w:rPr>
        <w:t>:</w:t>
      </w:r>
    </w:p>
    <w:p w14:paraId="4DDC9175" w14:textId="136C892E" w:rsidR="00C2168D" w:rsidRDefault="00C2168D" w:rsidP="00323C6E">
      <w:pPr>
        <w:pStyle w:val="blockquote"/>
        <w:rPr>
          <w:rStyle w:val="normaltextrun"/>
          <w:szCs w:val="24"/>
        </w:rPr>
      </w:pPr>
      <w:r w:rsidRPr="00C2168D">
        <w:rPr>
          <w:rStyle w:val="normaltextrun"/>
          <w:bCs/>
          <w:szCs w:val="24"/>
        </w:rPr>
        <w:t>with</w:t>
      </w:r>
      <w:r w:rsidRPr="60A3DD8D">
        <w:rPr>
          <w:rStyle w:val="normaltextrun"/>
          <w:szCs w:val="24"/>
        </w:rPr>
        <w:t xml:space="preserve"> the increase in capacity needs in 2028 and beyond, the Company is assuming Bowen Units 1-2 will retire at the end </w:t>
      </w:r>
      <w:r w:rsidRPr="60A3DD8D">
        <w:rPr>
          <w:rStyle w:val="normaltextrun"/>
          <w:szCs w:val="24"/>
        </w:rPr>
        <w:lastRenderedPageBreak/>
        <w:t>of 2035 for planning purposes. Also, while the current assumed retirement date for Scherer Unit 3 and Plant Gaston Units 1-4 and Unit A are at the end of 2028, the Company will likely evaluate extending operation of certain units beyond 2028 in the 2025 IRP</w:t>
      </w:r>
      <w:r>
        <w:rPr>
          <w:rStyle w:val="normaltextrun"/>
          <w:szCs w:val="24"/>
        </w:rPr>
        <w:t>.</w:t>
      </w:r>
    </w:p>
    <w:p w14:paraId="0CB3B094" w14:textId="18A7AB2F" w:rsidR="00C2168D" w:rsidRDefault="00C2168D" w:rsidP="00C2168D">
      <w:pPr>
        <w:pStyle w:val="Question"/>
      </w:pPr>
      <w:r>
        <w:t>Q.</w:t>
      </w:r>
      <w:r>
        <w:tab/>
        <w:t>Why is this concerning?</w:t>
      </w:r>
    </w:p>
    <w:p w14:paraId="6096B9D8" w14:textId="5E04344C" w:rsidR="00E569EB" w:rsidRDefault="00C2168D" w:rsidP="00FB40AF">
      <w:pPr>
        <w:pStyle w:val="Answer"/>
      </w:pPr>
      <w:r>
        <w:t>A.</w:t>
      </w:r>
      <w:r>
        <w:tab/>
        <w:t xml:space="preserve">Rather than evolving its system needs and looking to build a network that is future proof, the utility is looking backwards to continue operating plants that </w:t>
      </w:r>
      <w:r w:rsidR="00F626E4">
        <w:t>the affiliate-owner</w:t>
      </w:r>
      <w:r>
        <w:t xml:space="preserve"> itself found are uneconomic and misalign</w:t>
      </w:r>
      <w:r w:rsidR="00B82297">
        <w:t>ed with the Company’s goals.  Georgia Power should be increasing its network capacity to procure resources that the Company and its customers want.</w:t>
      </w:r>
    </w:p>
    <w:p w14:paraId="7367D622" w14:textId="391D1E8A" w:rsidR="005B236A" w:rsidRDefault="005B236A" w:rsidP="003B289A">
      <w:pPr>
        <w:pStyle w:val="Heading1"/>
      </w:pPr>
      <w:r>
        <w:t>RECOMMENDATIONS</w:t>
      </w:r>
    </w:p>
    <w:p w14:paraId="6BF4E3AF" w14:textId="35980331" w:rsidR="00FB40AF" w:rsidRDefault="00FB40AF" w:rsidP="00FB40AF">
      <w:pPr>
        <w:pStyle w:val="Question"/>
      </w:pPr>
      <w:r>
        <w:t>Q.</w:t>
      </w:r>
      <w:r>
        <w:tab/>
        <w:t>Do you have recommendations to address the concerns and deficiencies that you have raised above?</w:t>
      </w:r>
    </w:p>
    <w:p w14:paraId="6D492104" w14:textId="459A421F" w:rsidR="00FB40AF" w:rsidRDefault="00FB40AF" w:rsidP="0075124B">
      <w:pPr>
        <w:pStyle w:val="Answer"/>
      </w:pPr>
      <w:r>
        <w:t>A.</w:t>
      </w:r>
      <w:r>
        <w:tab/>
        <w:t xml:space="preserve">Yes. First and foremost, the Commission should require Georgia </w:t>
      </w:r>
      <w:r w:rsidR="009F1794">
        <w:t xml:space="preserve">Power </w:t>
      </w:r>
      <w:r>
        <w:t>to refile</w:t>
      </w:r>
      <w:r w:rsidR="009F1794">
        <w:t xml:space="preserve"> </w:t>
      </w:r>
      <w:r>
        <w:t xml:space="preserve">the Updated IRP with proposed transmission solutions, </w:t>
      </w:r>
      <w:r w:rsidR="009F1794">
        <w:t xml:space="preserve">and to include in that </w:t>
      </w:r>
      <w:r>
        <w:t>review</w:t>
      </w:r>
      <w:r w:rsidR="009F1794">
        <w:t xml:space="preserve"> both</w:t>
      </w:r>
      <w:r>
        <w:t xml:space="preserve"> new and </w:t>
      </w:r>
      <w:r w:rsidR="009F1794">
        <w:t>upgrade</w:t>
      </w:r>
      <w:r>
        <w:t xml:space="preserve"> projects. While Georgia Power sweepingly declares that there is not sufficient time to incorporate transmission projects, </w:t>
      </w:r>
      <w:r w:rsidR="003B289A">
        <w:t xml:space="preserve">it provides </w:t>
      </w:r>
      <w:r w:rsidR="006079A4">
        <w:t xml:space="preserve">no data to back its claim.  Further, the Company </w:t>
      </w:r>
      <w:r w:rsidR="00242E4C">
        <w:t>failed to study any GETS solutions and there is scant evidence of any reconductoring analysis</w:t>
      </w:r>
      <w:r w:rsidR="0075124B">
        <w:t xml:space="preserve">—both of which </w:t>
      </w:r>
      <w:r w:rsidR="003B289A">
        <w:t xml:space="preserve">are solutions that </w:t>
      </w:r>
      <w:r w:rsidR="0075124B">
        <w:t>can be implemented over short timelines</w:t>
      </w:r>
      <w:r w:rsidR="00242E4C">
        <w:t>.</w:t>
      </w:r>
      <w:r w:rsidR="00E360EE">
        <w:t xml:space="preserve"> In </w:t>
      </w:r>
      <w:r w:rsidR="0075124B">
        <w:t>directing Georgia Power to conduct a more robust transmission</w:t>
      </w:r>
      <w:r w:rsidR="00E360EE">
        <w:t xml:space="preserve"> analysis, </w:t>
      </w:r>
      <w:r w:rsidR="003B289A">
        <w:t xml:space="preserve">the Commission should also </w:t>
      </w:r>
      <w:r w:rsidR="00E360EE">
        <w:t>require</w:t>
      </w:r>
      <w:r w:rsidR="003B289A">
        <w:t xml:space="preserve"> the Company</w:t>
      </w:r>
      <w:r w:rsidR="00E360EE">
        <w:t xml:space="preserve"> to </w:t>
      </w:r>
      <w:r w:rsidR="0075124B">
        <w:t xml:space="preserve">base </w:t>
      </w:r>
      <w:r w:rsidR="003B289A">
        <w:t>its economic analysis</w:t>
      </w:r>
      <w:r w:rsidR="0075124B">
        <w:t xml:space="preserve"> on a</w:t>
      </w:r>
      <w:r w:rsidR="00E360EE">
        <w:t xml:space="preserve"> life-cycle economic cost and benefit assessment which includes not only the capital </w:t>
      </w:r>
      <w:r w:rsidR="00E360EE">
        <w:lastRenderedPageBreak/>
        <w:t>costs</w:t>
      </w:r>
      <w:r w:rsidR="003B289A">
        <w:t xml:space="preserve"> of new infrastructure</w:t>
      </w:r>
      <w:r w:rsidR="00E360EE">
        <w:t xml:space="preserve">, but also </w:t>
      </w:r>
      <w:r w:rsidR="003B289A">
        <w:t xml:space="preserve">the </w:t>
      </w:r>
      <w:r w:rsidR="00E360EE">
        <w:t>efficiency, reliability, and generation access gains</w:t>
      </w:r>
      <w:r w:rsidR="0075124B">
        <w:t xml:space="preserve"> over the lifecycle of the proposed project</w:t>
      </w:r>
      <w:r w:rsidR="00E360EE">
        <w:t>.</w:t>
      </w:r>
    </w:p>
    <w:p w14:paraId="1633EBE0" w14:textId="77777777" w:rsidR="00E97AFD" w:rsidRDefault="0075124B" w:rsidP="00E360EE">
      <w:pPr>
        <w:pStyle w:val="Answer"/>
        <w:ind w:firstLine="0"/>
        <w:rPr>
          <w:szCs w:val="24"/>
        </w:rPr>
      </w:pPr>
      <w:r>
        <w:t xml:space="preserve">Moreover, </w:t>
      </w:r>
      <w:r w:rsidR="00A80858">
        <w:t>the Commission</w:t>
      </w:r>
      <w:r>
        <w:t xml:space="preserve"> </w:t>
      </w:r>
      <w:r w:rsidR="00E360EE">
        <w:t xml:space="preserve">should </w:t>
      </w:r>
      <w:r w:rsidR="00A80858">
        <w:t xml:space="preserve">require </w:t>
      </w:r>
      <w:r w:rsidR="00A80858" w:rsidRPr="00E360EE">
        <w:t>Georgia</w:t>
      </w:r>
      <w:r w:rsidR="00A80858">
        <w:t xml:space="preserve"> Power to consider federal financing options</w:t>
      </w:r>
      <w:r w:rsidR="009E38BD">
        <w:t xml:space="preserve"> in its economic calculations</w:t>
      </w:r>
      <w:r w:rsidR="00E360EE">
        <w:t>.  In its response to Data Request No. </w:t>
      </w:r>
      <w:r w:rsidR="00E360EE" w:rsidRPr="002644EC">
        <w:rPr>
          <w:bCs/>
          <w:szCs w:val="24"/>
        </w:rPr>
        <w:t>STF-PIA-7-1</w:t>
      </w:r>
      <w:r w:rsidR="00E360EE">
        <w:rPr>
          <w:bCs/>
          <w:szCs w:val="24"/>
        </w:rPr>
        <w:t xml:space="preserve">, Georgia Power explained that </w:t>
      </w:r>
      <w:r w:rsidR="00E360EE">
        <w:rPr>
          <w:color w:val="000000"/>
          <w:shd w:val="clear" w:color="auto" w:fill="FFFFFF"/>
        </w:rPr>
        <w:t>its “</w:t>
      </w:r>
      <w:r w:rsidR="00E360EE">
        <w:rPr>
          <w:szCs w:val="24"/>
        </w:rPr>
        <w:t>T</w:t>
      </w:r>
      <w:r w:rsidR="00E360EE" w:rsidRPr="00027B34">
        <w:rPr>
          <w:szCs w:val="24"/>
        </w:rPr>
        <w:t>ransmission planning does not consider any</w:t>
      </w:r>
      <w:r w:rsidR="00E360EE" w:rsidRPr="00315A7F">
        <w:rPr>
          <w:szCs w:val="24"/>
        </w:rPr>
        <w:t xml:space="preserve"> </w:t>
      </w:r>
      <w:r w:rsidR="00E360EE" w:rsidRPr="0059648F">
        <w:rPr>
          <w:szCs w:val="24"/>
        </w:rPr>
        <w:t xml:space="preserve">assumptions, costs and benefits related to federal, state, and local tax incentives, grants, loan subsidies or other benefits </w:t>
      </w:r>
      <w:r w:rsidR="00E360EE">
        <w:rPr>
          <w:szCs w:val="24"/>
        </w:rPr>
        <w:t>in its analyses on transmission needs and investments</w:t>
      </w:r>
      <w:r w:rsidR="00E360EE" w:rsidRPr="00027B34">
        <w:rPr>
          <w:szCs w:val="24"/>
        </w:rPr>
        <w:t>.</w:t>
      </w:r>
      <w:r w:rsidR="00E360EE">
        <w:rPr>
          <w:szCs w:val="24"/>
        </w:rPr>
        <w:t>”</w:t>
      </w:r>
    </w:p>
    <w:p w14:paraId="30D0F43A" w14:textId="282B0A39" w:rsidR="00E360EE" w:rsidRPr="00E360EE" w:rsidRDefault="009E38BD" w:rsidP="00E360EE">
      <w:pPr>
        <w:pStyle w:val="Answer"/>
        <w:ind w:firstLine="0"/>
        <w:rPr>
          <w:color w:val="000000"/>
          <w:shd w:val="clear" w:color="auto" w:fill="FFFFFF"/>
        </w:rPr>
      </w:pPr>
      <w:r>
        <w:rPr>
          <w:szCs w:val="24"/>
        </w:rPr>
        <w:t xml:space="preserve">But these incentives and subsidies can play a key role in making transmission solutions more economic.  For example, the Department of Energy </w:t>
      </w:r>
      <w:r w:rsidRPr="009E38BD">
        <w:t>Loan Program Office</w:t>
      </w:r>
      <w:r>
        <w:t>’s</w:t>
      </w:r>
      <w:r w:rsidRPr="009E38BD">
        <w:t xml:space="preserve"> (LPO)</w:t>
      </w:r>
      <w:r>
        <w:rPr>
          <w:szCs w:val="24"/>
        </w:rPr>
        <w:t xml:space="preserve"> </w:t>
      </w:r>
      <w:r w:rsidRPr="009E38BD">
        <w:t>Energy Infrastructure Reinvestment Program (EIR)</w:t>
      </w:r>
      <w:r w:rsidR="00407739">
        <w:t xml:space="preserve"> </w:t>
      </w:r>
      <w:r w:rsidR="0012189A">
        <w:t>help</w:t>
      </w:r>
      <w:r w:rsidR="00BD1A00">
        <w:t>s</w:t>
      </w:r>
      <w:r w:rsidR="0012189A">
        <w:t xml:space="preserve"> finance projects</w:t>
      </w:r>
      <w:r w:rsidR="00BD1A00">
        <w:t xml:space="preserve"> that “r</w:t>
      </w:r>
      <w:r w:rsidR="00BD1A00" w:rsidRPr="00BD1A00">
        <w:t>etool, repower, repurpose, or replace</w:t>
      </w:r>
      <w:r w:rsidR="00BD1A00">
        <w:t>” certain aging infrastructure, this includes “r</w:t>
      </w:r>
      <w:r w:rsidR="00BD1A00" w:rsidRPr="00BD1A00">
        <w:t>econductoring transmission lines and upgrading voltage</w:t>
      </w:r>
      <w:r w:rsidR="00BD1A00">
        <w:t>” and replacing retired power plants with “t</w:t>
      </w:r>
      <w:r w:rsidR="00BD1A00" w:rsidRPr="00BD1A00">
        <w:t>ransmission interconnection to off-site clean energy</w:t>
      </w:r>
      <w:r w:rsidR="00BD1A00">
        <w:t>.”</w:t>
      </w:r>
      <w:r w:rsidR="00BD1A00">
        <w:rPr>
          <w:rStyle w:val="FootnoteReference"/>
        </w:rPr>
        <w:footnoteReference w:id="80"/>
      </w:r>
      <w:r w:rsidRPr="009E38BD">
        <w:t xml:space="preserve"> </w:t>
      </w:r>
      <w:r>
        <w:t>And the Department of Energy’s Grid Deployment Office offer</w:t>
      </w:r>
      <w:r w:rsidR="00407739">
        <w:t>s</w:t>
      </w:r>
      <w:r>
        <w:t xml:space="preserve"> </w:t>
      </w:r>
      <w:r w:rsidR="002644EC">
        <w:t>several</w:t>
      </w:r>
      <w:r>
        <w:t xml:space="preserve"> programs to finance the construction and upgrade of transmission lines including the Transmission Facilitation Program, </w:t>
      </w:r>
      <w:r w:rsidR="0075124B" w:rsidRPr="0075124B">
        <w:t>Grid Resilience and Innovation Partnerships (GRIP) Program</w:t>
      </w:r>
      <w:r>
        <w:t>, and</w:t>
      </w:r>
      <w:r w:rsidR="0075124B">
        <w:t xml:space="preserve"> Grid Resilience Grants.</w:t>
      </w:r>
      <w:r w:rsidR="00BD1A00">
        <w:rPr>
          <w:rStyle w:val="FootnoteReference"/>
        </w:rPr>
        <w:footnoteReference w:id="81"/>
      </w:r>
      <w:r w:rsidR="0075124B">
        <w:t xml:space="preserve"> </w:t>
      </w:r>
    </w:p>
    <w:p w14:paraId="513B5B5C" w14:textId="16A028F1" w:rsidR="0075124B" w:rsidRDefault="0075124B" w:rsidP="0075124B">
      <w:pPr>
        <w:pStyle w:val="Question"/>
      </w:pPr>
      <w:r>
        <w:lastRenderedPageBreak/>
        <w:t>Q.</w:t>
      </w:r>
      <w:r>
        <w:tab/>
        <w:t>Do you have any additional recommendations?</w:t>
      </w:r>
    </w:p>
    <w:p w14:paraId="3F388E0C" w14:textId="0BD295C4" w:rsidR="00457739" w:rsidRDefault="0075124B" w:rsidP="00457739">
      <w:pPr>
        <w:pStyle w:val="Answer"/>
      </w:pPr>
      <w:r>
        <w:t>A.</w:t>
      </w:r>
      <w:r>
        <w:tab/>
        <w:t xml:space="preserve">Yes. The Commission should continue to evolve its transmission planning processes and direct Georgia Power to conduct a </w:t>
      </w:r>
      <w:r w:rsidR="00B9069D">
        <w:t xml:space="preserve">proactive and </w:t>
      </w:r>
      <w:r>
        <w:t>multivalue, rather than reactive, planning analysis in concert with its three</w:t>
      </w:r>
      <w:r w:rsidR="002644EC">
        <w:t>-</w:t>
      </w:r>
      <w:r>
        <w:t xml:space="preserve">year IRP filing. </w:t>
      </w:r>
      <w:r w:rsidR="00457739">
        <w:t>In making this recommendation, I also recommend the Commission adopt SACE’</w:t>
      </w:r>
      <w:r w:rsidR="00F15885">
        <w:t>s</w:t>
      </w:r>
      <w:r w:rsidR="00457739">
        <w:t xml:space="preserve"> 2022 IRP recommendation to “[e]</w:t>
      </w:r>
      <w:r w:rsidR="00457739" w:rsidRPr="00457739">
        <w:t>stablish a Transmission Planning Collaborative that includes opportunities for meaningful engagement by interested stakeholders to enable consideration of economic transmission and distribution system investments and alternatives.</w:t>
      </w:r>
      <w:r w:rsidR="00457739">
        <w:t>”</w:t>
      </w:r>
      <w:r w:rsidR="00457739">
        <w:rPr>
          <w:rStyle w:val="FootnoteReference"/>
        </w:rPr>
        <w:footnoteReference w:id="82"/>
      </w:r>
    </w:p>
    <w:p w14:paraId="7FEF5AEF" w14:textId="0DDC7432" w:rsidR="003A4863" w:rsidRDefault="00457739" w:rsidP="00457739">
      <w:pPr>
        <w:pStyle w:val="Answer"/>
        <w:ind w:firstLine="0"/>
        <w:rPr>
          <w:bCs/>
          <w:szCs w:val="24"/>
        </w:rPr>
      </w:pPr>
      <w:r>
        <w:t>These process and planning improvements</w:t>
      </w:r>
      <w:r w:rsidR="0075124B">
        <w:t xml:space="preserve"> will aid </w:t>
      </w:r>
      <w:r>
        <w:t>both Georgia Power’s own and the SERTP</w:t>
      </w:r>
      <w:r w:rsidR="003A4863">
        <w:t xml:space="preserve"> regional planning process.  In the Commission’s own words, </w:t>
      </w:r>
      <w:r w:rsidR="003A4863" w:rsidRPr="003A4863">
        <w:t>“</w:t>
      </w:r>
      <w:r w:rsidR="00E4150A" w:rsidRPr="003A4863">
        <w:rPr>
          <w:bCs/>
          <w:szCs w:val="24"/>
        </w:rPr>
        <w:t>This type of transparency in transmission planning will facilitate better decision-making compared to</w:t>
      </w:r>
      <w:r w:rsidR="003A4863">
        <w:rPr>
          <w:bCs/>
          <w:szCs w:val="24"/>
        </w:rPr>
        <w:t xml:space="preserve"> the </w:t>
      </w:r>
      <w:r w:rsidR="006079A4">
        <w:rPr>
          <w:bCs/>
          <w:szCs w:val="24"/>
        </w:rPr>
        <w:t>[</w:t>
      </w:r>
      <w:r w:rsidR="003A4863">
        <w:rPr>
          <w:bCs/>
          <w:szCs w:val="24"/>
        </w:rPr>
        <w:t>information</w:t>
      </w:r>
      <w:r w:rsidR="006079A4">
        <w:rPr>
          <w:bCs/>
          <w:szCs w:val="24"/>
        </w:rPr>
        <w:t>]</w:t>
      </w:r>
      <w:r w:rsidR="003A4863">
        <w:rPr>
          <w:bCs/>
          <w:szCs w:val="24"/>
        </w:rPr>
        <w:t xml:space="preserve"> that the Commission </w:t>
      </w:r>
      <w:r w:rsidR="006079A4">
        <w:rPr>
          <w:bCs/>
          <w:szCs w:val="24"/>
        </w:rPr>
        <w:t>[</w:t>
      </w:r>
      <w:r w:rsidR="003A4863">
        <w:rPr>
          <w:bCs/>
          <w:szCs w:val="24"/>
        </w:rPr>
        <w:t>is</w:t>
      </w:r>
      <w:r w:rsidR="006079A4">
        <w:rPr>
          <w:bCs/>
          <w:szCs w:val="24"/>
        </w:rPr>
        <w:t>]</w:t>
      </w:r>
      <w:r w:rsidR="003A4863">
        <w:rPr>
          <w:bCs/>
          <w:szCs w:val="24"/>
        </w:rPr>
        <w:t xml:space="preserve"> currently receiv</w:t>
      </w:r>
      <w:r w:rsidR="006079A4">
        <w:rPr>
          <w:bCs/>
          <w:szCs w:val="24"/>
        </w:rPr>
        <w:t>[</w:t>
      </w:r>
      <w:r w:rsidR="003A4863">
        <w:rPr>
          <w:bCs/>
          <w:szCs w:val="24"/>
        </w:rPr>
        <w:t>ing</w:t>
      </w:r>
      <w:r w:rsidR="006079A4">
        <w:rPr>
          <w:bCs/>
          <w:szCs w:val="24"/>
        </w:rPr>
        <w:t>]</w:t>
      </w:r>
      <w:r w:rsidR="003A4863">
        <w:rPr>
          <w:bCs/>
          <w:szCs w:val="24"/>
        </w:rPr>
        <w:t>.</w:t>
      </w:r>
      <w:r w:rsidR="006079A4">
        <w:rPr>
          <w:bCs/>
          <w:szCs w:val="24"/>
        </w:rPr>
        <w:t>”</w:t>
      </w:r>
      <w:r w:rsidR="006079A4">
        <w:rPr>
          <w:rStyle w:val="FootnoteReference"/>
          <w:bCs/>
          <w:szCs w:val="24"/>
        </w:rPr>
        <w:footnoteReference w:id="83"/>
      </w:r>
    </w:p>
    <w:p w14:paraId="79DA6302" w14:textId="32979084" w:rsidR="00F56BDC" w:rsidRPr="003A4863" w:rsidRDefault="00F56BDC" w:rsidP="006079A4">
      <w:pPr>
        <w:pStyle w:val="Question"/>
        <w:rPr>
          <w:color w:val="auto"/>
        </w:rPr>
      </w:pPr>
      <w:r w:rsidRPr="00F6508F">
        <w:t>Q</w:t>
      </w:r>
      <w:r w:rsidR="006079A4">
        <w:t>.</w:t>
      </w:r>
      <w:r w:rsidRPr="00F6508F">
        <w:tab/>
        <w:t xml:space="preserve">DOES THIS </w:t>
      </w:r>
      <w:r w:rsidR="00E40219">
        <w:t>conclude</w:t>
      </w:r>
      <w:r w:rsidRPr="00F6508F">
        <w:t xml:space="preserve"> YOUR TESTIMONY?</w:t>
      </w:r>
    </w:p>
    <w:p w14:paraId="15564BA6" w14:textId="2018CCDE" w:rsidR="00D40BDB" w:rsidRPr="007F328D" w:rsidRDefault="00E40219" w:rsidP="006079A4">
      <w:pPr>
        <w:pStyle w:val="Answer"/>
      </w:pPr>
      <w:r>
        <w:t>A</w:t>
      </w:r>
      <w:r w:rsidR="006079A4">
        <w:t xml:space="preserve">. </w:t>
      </w:r>
      <w:r>
        <w:tab/>
        <w:t>Ye</w:t>
      </w:r>
      <w:r w:rsidR="007F328D">
        <w:t>s</w:t>
      </w:r>
    </w:p>
    <w:sectPr w:rsidR="00D40BDB" w:rsidRPr="007F328D" w:rsidSect="00F42306">
      <w:headerReference w:type="default" r:id="rId24"/>
      <w:pgSz w:w="12240" w:h="15840"/>
      <w:pgMar w:top="1440" w:right="1440" w:bottom="1440" w:left="1440" w:header="576" w:footer="432" w:gutter="0"/>
      <w:lnNumType w:countBy="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A40DFF" w14:textId="77777777" w:rsidR="00FA2002" w:rsidRDefault="00FA2002">
      <w:pPr>
        <w:spacing w:after="0" w:line="240" w:lineRule="auto"/>
      </w:pPr>
      <w:r>
        <w:separator/>
      </w:r>
    </w:p>
  </w:endnote>
  <w:endnote w:type="continuationSeparator" w:id="0">
    <w:p w14:paraId="45896FEB" w14:textId="77777777" w:rsidR="00FA2002" w:rsidRDefault="00FA200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Noto Sans Symbols">
    <w:altName w:val="Calibri"/>
    <w:panose1 w:val="020B0604020202020204"/>
    <w:charset w:val="00"/>
    <w:family w:val="auto"/>
    <w:pitch w:val="default"/>
  </w:font>
  <w:font w:name="Calibri">
    <w:panose1 w:val="020F0502020204030204"/>
    <w:charset w:val="00"/>
    <w:family w:val="swiss"/>
    <w:pitch w:val="variable"/>
    <w:sig w:usb0="E0002AFF" w:usb1="C000ACFF"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Times New Roman Bold">
    <w:altName w:val="Times New Roman"/>
    <w:panose1 w:val="020B0604020202020204"/>
    <w:charset w:val="00"/>
    <w:family w:val="roman"/>
    <w:notTrueType/>
    <w:pitch w:val="default"/>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75846983"/>
      <w:docPartObj>
        <w:docPartGallery w:val="Page Numbers (Bottom of Page)"/>
        <w:docPartUnique/>
      </w:docPartObj>
    </w:sdtPr>
    <w:sdtEndPr>
      <w:rPr>
        <w:noProof/>
      </w:rPr>
    </w:sdtEndPr>
    <w:sdtContent>
      <w:p w14:paraId="098FB1FF" w14:textId="5EB07129" w:rsidR="00594225" w:rsidRDefault="00594225" w:rsidP="00594225">
        <w:pPr>
          <w:pStyle w:val="Footer"/>
          <w:ind w:left="0"/>
          <w:jc w:val="center"/>
        </w:pPr>
        <w:r>
          <w:fldChar w:fldCharType="begin"/>
        </w:r>
        <w:r>
          <w:instrText xml:space="preserve"> PAGE   \* MERGEFORMAT </w:instrText>
        </w:r>
        <w:r>
          <w:fldChar w:fldCharType="separate"/>
        </w:r>
        <w:r>
          <w:rPr>
            <w:noProof/>
          </w:rPr>
          <w:t>2</w:t>
        </w:r>
        <w:r>
          <w:rPr>
            <w:noProof/>
          </w:rPr>
          <w:fldChar w:fldCharType="end"/>
        </w:r>
      </w:p>
    </w:sdtContent>
  </w:sdt>
  <w:p w14:paraId="6B7A658C" w14:textId="382A95A4" w:rsidR="004F60DA" w:rsidRPr="00594225" w:rsidRDefault="004F60DA" w:rsidP="00594225">
    <w:pPr>
      <w:pBdr>
        <w:top w:val="nil"/>
        <w:left w:val="nil"/>
        <w:bottom w:val="nil"/>
        <w:right w:val="nil"/>
        <w:between w:val="nil"/>
      </w:pBdr>
      <w:tabs>
        <w:tab w:val="center" w:pos="4680"/>
        <w:tab w:val="left" w:pos="5602"/>
        <w:tab w:val="right" w:pos="9360"/>
      </w:tabs>
      <w:spacing w:after="0" w:line="240" w:lineRule="auto"/>
      <w:ind w:left="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7A658D" w14:textId="2798FFD5" w:rsidR="004F60DA" w:rsidRDefault="00447F55">
    <w:pPr>
      <w:jc w:val="right"/>
    </w:pPr>
    <w:r>
      <w:fldChar w:fldCharType="begin"/>
    </w:r>
    <w:r>
      <w:instrText>PAGE</w:instrText>
    </w:r>
    <w:r>
      <w:fldChar w:fldCharType="separate"/>
    </w:r>
    <w:r>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C43673" w14:textId="77777777" w:rsidR="00FA2002" w:rsidRDefault="00FA2002" w:rsidP="00980BE5">
      <w:pPr>
        <w:spacing w:after="0" w:line="240" w:lineRule="auto"/>
        <w:ind w:left="0"/>
      </w:pPr>
      <w:r>
        <w:separator/>
      </w:r>
    </w:p>
  </w:footnote>
  <w:footnote w:type="continuationSeparator" w:id="0">
    <w:p w14:paraId="45B2D8E5" w14:textId="77777777" w:rsidR="00FA2002" w:rsidRDefault="00FA2002">
      <w:pPr>
        <w:spacing w:after="0" w:line="240" w:lineRule="auto"/>
      </w:pPr>
      <w:r>
        <w:continuationSeparator/>
      </w:r>
    </w:p>
  </w:footnote>
  <w:footnote w:id="1">
    <w:p w14:paraId="47C69559" w14:textId="05F59FC8" w:rsidR="00D31AC0" w:rsidRPr="00886A73" w:rsidRDefault="00D31AC0" w:rsidP="00886A73">
      <w:pPr>
        <w:pStyle w:val="FootnoteText"/>
      </w:pPr>
      <w:r>
        <w:rPr>
          <w:rStyle w:val="FootnoteReference"/>
        </w:rPr>
        <w:footnoteRef/>
      </w:r>
      <w:r>
        <w:t xml:space="preserve"> </w:t>
      </w:r>
      <w:r w:rsidR="00886A73">
        <w:tab/>
      </w:r>
      <w:r w:rsidRPr="00886A73">
        <w:t>Southern Company</w:t>
      </w:r>
      <w:r w:rsidR="00886A73" w:rsidRPr="00886A73">
        <w:t xml:space="preserve">, </w:t>
      </w:r>
      <w:r w:rsidRPr="00886A73">
        <w:rPr>
          <w:i/>
          <w:iCs/>
        </w:rPr>
        <w:t>2023 Integrated Resource Plan Update Resource Mix Study</w:t>
      </w:r>
      <w:r w:rsidRPr="00886A73">
        <w:t>, at 17, October 2023</w:t>
      </w:r>
      <w:r w:rsidR="00886A73" w:rsidRPr="00886A73">
        <w:t xml:space="preserve"> (Updated IRP)</w:t>
      </w:r>
      <w:r w:rsidRPr="00886A73">
        <w:t>.</w:t>
      </w:r>
    </w:p>
  </w:footnote>
  <w:footnote w:id="2">
    <w:p w14:paraId="445B4F09" w14:textId="16FEED09" w:rsidR="00D31AC0" w:rsidRDefault="00D31AC0" w:rsidP="00886A73">
      <w:pPr>
        <w:pStyle w:val="FootnoteText"/>
      </w:pPr>
      <w:r>
        <w:rPr>
          <w:rStyle w:val="FootnoteReference"/>
        </w:rPr>
        <w:footnoteRef/>
      </w:r>
      <w:r>
        <w:t xml:space="preserve"> </w:t>
      </w:r>
      <w:r w:rsidR="00886A73">
        <w:tab/>
      </w:r>
      <w:r w:rsidRPr="007F328D">
        <w:t>Commission Rule 515-3-4-.02(25)</w:t>
      </w:r>
      <w:r w:rsidR="00474458">
        <w:t>.</w:t>
      </w:r>
    </w:p>
  </w:footnote>
  <w:footnote w:id="3">
    <w:p w14:paraId="59673516" w14:textId="2467099F" w:rsidR="00886A73" w:rsidRDefault="00886A73" w:rsidP="00886A73">
      <w:pPr>
        <w:pStyle w:val="FootnoteText"/>
      </w:pPr>
      <w:r>
        <w:rPr>
          <w:rStyle w:val="FootnoteReference"/>
        </w:rPr>
        <w:footnoteRef/>
      </w:r>
      <w:r>
        <w:t xml:space="preserve"> </w:t>
      </w:r>
      <w:r>
        <w:tab/>
      </w:r>
      <w:r w:rsidRPr="007F328D">
        <w:t>Commission Rule 515-3-4-.02(</w:t>
      </w:r>
      <w:r w:rsidR="00F92011">
        <w:t>39</w:t>
      </w:r>
      <w:r w:rsidRPr="007F328D">
        <w:t>)</w:t>
      </w:r>
      <w:r>
        <w:t>.</w:t>
      </w:r>
    </w:p>
  </w:footnote>
  <w:footnote w:id="4">
    <w:p w14:paraId="7AD42C52" w14:textId="204A363E" w:rsidR="00662753" w:rsidRDefault="00662753" w:rsidP="00886A73">
      <w:pPr>
        <w:pStyle w:val="FootnoteText"/>
      </w:pPr>
      <w:r>
        <w:rPr>
          <w:rStyle w:val="FootnoteReference"/>
        </w:rPr>
        <w:footnoteRef/>
      </w:r>
      <w:r>
        <w:t xml:space="preserve"> </w:t>
      </w:r>
      <w:r w:rsidR="00F92011">
        <w:tab/>
      </w:r>
      <w:r>
        <w:t xml:space="preserve">MCL 460.6t(5)(h), </w:t>
      </w:r>
      <w:r>
        <w:rPr>
          <w:i/>
          <w:iCs/>
        </w:rPr>
        <w:t xml:space="preserve">see also </w:t>
      </w:r>
      <w:r>
        <w:t>MI PSC, Case Nos. U-15896 U-18461, Opinion and Order (Dec. 20, 2017)(approving the MI IRP Planning Parameters).</w:t>
      </w:r>
    </w:p>
  </w:footnote>
  <w:footnote w:id="5">
    <w:p w14:paraId="2653087C" w14:textId="5A0F9CE6" w:rsidR="00474458" w:rsidRDefault="00474458" w:rsidP="00886A73">
      <w:pPr>
        <w:pStyle w:val="FootnoteText"/>
      </w:pPr>
      <w:r>
        <w:rPr>
          <w:rStyle w:val="FootnoteReference"/>
        </w:rPr>
        <w:footnoteRef/>
      </w:r>
      <w:r>
        <w:t xml:space="preserve"> </w:t>
      </w:r>
      <w:r w:rsidR="00F92011">
        <w:tab/>
      </w:r>
      <w:proofErr w:type="spellStart"/>
      <w:r>
        <w:t>Pacificorp</w:t>
      </w:r>
      <w:proofErr w:type="spellEnd"/>
      <w:r>
        <w:t xml:space="preserve">, </w:t>
      </w:r>
      <w:r w:rsidRPr="00474458">
        <w:rPr>
          <w:i/>
          <w:iCs/>
        </w:rPr>
        <w:t>2023 Integrated Resource Plan</w:t>
      </w:r>
      <w:r>
        <w:t xml:space="preserve">, Chapter 4 (March 31, 2023), available at </w:t>
      </w:r>
      <w:r w:rsidRPr="00474458">
        <w:t>https://www.pacificorp.com/content/dam/pcorp/documents/en/pacificorp/energy/integrated-resource-plan/2023-irp/2023_IRP_Volume_I.pdf</w:t>
      </w:r>
      <w:r>
        <w:t>.</w:t>
      </w:r>
    </w:p>
  </w:footnote>
  <w:footnote w:id="6">
    <w:p w14:paraId="15B685B1" w14:textId="111C2D0F" w:rsidR="00F20610" w:rsidRDefault="00F20610" w:rsidP="00886A73">
      <w:pPr>
        <w:pStyle w:val="FootnoteText"/>
      </w:pPr>
      <w:r>
        <w:rPr>
          <w:rStyle w:val="FootnoteReference"/>
        </w:rPr>
        <w:footnoteRef/>
      </w:r>
      <w:r>
        <w:t xml:space="preserve"> </w:t>
      </w:r>
      <w:r w:rsidR="00111317">
        <w:tab/>
      </w:r>
      <w:r>
        <w:t xml:space="preserve">Idaho Power, </w:t>
      </w:r>
      <w:r w:rsidRPr="00F20610">
        <w:rPr>
          <w:i/>
          <w:iCs/>
        </w:rPr>
        <w:t>Building our Future: Integrated Resource Plan</w:t>
      </w:r>
      <w:r>
        <w:t>, September 2023</w:t>
      </w:r>
      <w:r w:rsidR="00FE57C8">
        <w:t xml:space="preserve"> (“2023 Idaho Power IRP”), available at </w:t>
      </w:r>
      <w:hyperlink r:id="rId1" w:history="1">
        <w:r w:rsidR="00FE57C8" w:rsidRPr="001E5578">
          <w:rPr>
            <w:rStyle w:val="Hyperlink"/>
          </w:rPr>
          <w:t>https://docs.idahopower.com/pdfs/AboutUs/PlanningForFuture/irp/2023/2023-irp-final.pdf</w:t>
        </w:r>
      </w:hyperlink>
      <w:r w:rsidR="00FE57C8">
        <w:t>.</w:t>
      </w:r>
    </w:p>
  </w:footnote>
  <w:footnote w:id="7">
    <w:p w14:paraId="33DC7DE7" w14:textId="3A5F5243" w:rsidR="00111317" w:rsidRPr="00111317" w:rsidRDefault="00111317">
      <w:pPr>
        <w:pStyle w:val="FootnoteText"/>
      </w:pPr>
      <w:r>
        <w:rPr>
          <w:rStyle w:val="FootnoteReference"/>
        </w:rPr>
        <w:footnoteRef/>
      </w:r>
      <w:r>
        <w:t xml:space="preserve"> </w:t>
      </w:r>
      <w:r>
        <w:tab/>
      </w:r>
      <w:r>
        <w:rPr>
          <w:i/>
          <w:iCs/>
        </w:rPr>
        <w:t>Id.</w:t>
      </w:r>
      <w:r>
        <w:t xml:space="preserve"> at 1.</w:t>
      </w:r>
    </w:p>
  </w:footnote>
  <w:footnote w:id="8">
    <w:p w14:paraId="75D65C8B" w14:textId="418E77CF" w:rsidR="00111317" w:rsidRPr="00111317" w:rsidRDefault="00111317">
      <w:pPr>
        <w:pStyle w:val="FootnoteText"/>
      </w:pPr>
      <w:r>
        <w:rPr>
          <w:rStyle w:val="FootnoteReference"/>
        </w:rPr>
        <w:footnoteRef/>
      </w:r>
      <w:r>
        <w:t xml:space="preserve"> </w:t>
      </w:r>
      <w:r>
        <w:tab/>
      </w:r>
      <w:r>
        <w:rPr>
          <w:i/>
          <w:iCs/>
        </w:rPr>
        <w:t xml:space="preserve">Id. </w:t>
      </w:r>
      <w:r>
        <w:t>at 1-2.</w:t>
      </w:r>
    </w:p>
  </w:footnote>
  <w:footnote w:id="9">
    <w:p w14:paraId="7AB1826F" w14:textId="266D1EAB" w:rsidR="00FE57C8" w:rsidRPr="00FE57C8" w:rsidRDefault="00FE57C8" w:rsidP="00886A73">
      <w:pPr>
        <w:pStyle w:val="FootnoteText"/>
      </w:pPr>
      <w:r>
        <w:rPr>
          <w:rStyle w:val="FootnoteReference"/>
        </w:rPr>
        <w:footnoteRef/>
      </w:r>
      <w:r>
        <w:t xml:space="preserve"> </w:t>
      </w:r>
      <w:r w:rsidR="00111317">
        <w:tab/>
      </w:r>
      <w:r>
        <w:rPr>
          <w:i/>
          <w:iCs/>
        </w:rPr>
        <w:t xml:space="preserve">Id. </w:t>
      </w:r>
      <w:r>
        <w:t>at 83-84</w:t>
      </w:r>
      <w:r w:rsidR="00111317">
        <w:t>.</w:t>
      </w:r>
    </w:p>
  </w:footnote>
  <w:footnote w:id="10">
    <w:p w14:paraId="440EE940" w14:textId="5B3455EE" w:rsidR="00922DE7" w:rsidRPr="00922DE7" w:rsidRDefault="00922DE7" w:rsidP="00886A73">
      <w:pPr>
        <w:pStyle w:val="FootnoteText"/>
        <w:rPr>
          <w:bCs/>
          <w:i/>
          <w:iCs/>
        </w:rPr>
      </w:pPr>
      <w:r>
        <w:rPr>
          <w:rStyle w:val="FootnoteReference"/>
        </w:rPr>
        <w:footnoteRef/>
      </w:r>
      <w:r>
        <w:t xml:space="preserve"> </w:t>
      </w:r>
      <w:r w:rsidR="00111317">
        <w:tab/>
      </w:r>
      <w:r>
        <w:rPr>
          <w:i/>
          <w:iCs/>
        </w:rPr>
        <w:t xml:space="preserve">See, e.g. </w:t>
      </w:r>
      <w:r>
        <w:t xml:space="preserve">GP Data Response to </w:t>
      </w:r>
      <w:r w:rsidR="0047367C">
        <w:t xml:space="preserve">Data Request No. </w:t>
      </w:r>
      <w:r w:rsidRPr="00922DE7">
        <w:rPr>
          <w:bCs/>
          <w:color w:val="000000"/>
        </w:rPr>
        <w:t>STF-DEA</w:t>
      </w:r>
      <w:r>
        <w:rPr>
          <w:bCs/>
          <w:color w:val="000000"/>
        </w:rPr>
        <w:t xml:space="preserve">-5-6. </w:t>
      </w:r>
      <w:r w:rsidRPr="00922DE7">
        <w:rPr>
          <w:bCs/>
          <w:color w:val="000000"/>
        </w:rPr>
        <w:t xml:space="preserve"> </w:t>
      </w:r>
    </w:p>
  </w:footnote>
  <w:footnote w:id="11">
    <w:p w14:paraId="53FB9CFB" w14:textId="15660EA8" w:rsidR="00BC09FC" w:rsidRPr="00BC09FC" w:rsidRDefault="00BC09FC">
      <w:pPr>
        <w:pStyle w:val="FootnoteText"/>
      </w:pPr>
      <w:r>
        <w:rPr>
          <w:rStyle w:val="FootnoteReference"/>
        </w:rPr>
        <w:footnoteRef/>
      </w:r>
      <w:r>
        <w:t xml:space="preserve"> </w:t>
      </w:r>
      <w:r>
        <w:rPr>
          <w:i/>
          <w:iCs/>
        </w:rPr>
        <w:tab/>
        <w:t>See also</w:t>
      </w:r>
      <w:r>
        <w:t xml:space="preserve">, Response to Data Request No. </w:t>
      </w:r>
      <w:r w:rsidRPr="00BC09FC">
        <w:t>STF-GS-2-2</w:t>
      </w:r>
      <w:r>
        <w:t xml:space="preserve"> (stating that “the Company plans to designate all 1,350 MW of proposed Plant Yates combustion turbines, and the facility will be limited to 600 MW of firm output until all identified transmission improvements are in-service by summer 2028.”)</w:t>
      </w:r>
    </w:p>
  </w:footnote>
  <w:footnote w:id="12">
    <w:p w14:paraId="43DBF383" w14:textId="631EFCCD" w:rsidR="00307C4A" w:rsidRPr="00307C4A" w:rsidRDefault="00307C4A" w:rsidP="00886A73">
      <w:pPr>
        <w:pStyle w:val="FootnoteText"/>
      </w:pPr>
      <w:r>
        <w:rPr>
          <w:rStyle w:val="FootnoteReference"/>
        </w:rPr>
        <w:footnoteRef/>
      </w:r>
      <w:r>
        <w:t xml:space="preserve"> </w:t>
      </w:r>
      <w:r w:rsidR="00C80BC4">
        <w:tab/>
      </w:r>
      <w:r>
        <w:rPr>
          <w:i/>
          <w:iCs/>
        </w:rPr>
        <w:t xml:space="preserve">See </w:t>
      </w:r>
      <w:r w:rsidRPr="00307C4A">
        <w:rPr>
          <w:rFonts w:eastAsia="Times New Roman"/>
          <w:bCs/>
        </w:rPr>
        <w:t>Georgia Power Company’s 2022 Integrated Resource Plan et al.</w:t>
      </w:r>
      <w:r w:rsidRPr="00307C4A">
        <w:rPr>
          <w:bCs/>
        </w:rPr>
        <w:t>,</w:t>
      </w:r>
      <w:r w:rsidRPr="00307C4A">
        <w:t xml:space="preserve"> </w:t>
      </w:r>
      <w:r>
        <w:t xml:space="preserve">Docket Nos. 441060 and 44161, </w:t>
      </w:r>
      <w:r w:rsidRPr="00307C4A">
        <w:rPr>
          <w:i/>
          <w:iCs/>
        </w:rPr>
        <w:t>Order Adopting Stipulations</w:t>
      </w:r>
      <w:r>
        <w:t>, ¶ 11 (2022) (IRP Order).</w:t>
      </w:r>
    </w:p>
  </w:footnote>
  <w:footnote w:id="13">
    <w:p w14:paraId="4E6431E1" w14:textId="36D52E6C" w:rsidR="00C774EB" w:rsidRDefault="00C774EB" w:rsidP="00886A73">
      <w:pPr>
        <w:pStyle w:val="FootnoteText"/>
      </w:pPr>
      <w:r>
        <w:rPr>
          <w:rStyle w:val="FootnoteReference"/>
        </w:rPr>
        <w:footnoteRef/>
      </w:r>
      <w:r>
        <w:t xml:space="preserve"> </w:t>
      </w:r>
      <w:r w:rsidR="00C80BC4">
        <w:tab/>
      </w:r>
      <w:r w:rsidR="00307C4A" w:rsidRPr="00307C4A">
        <w:rPr>
          <w:rFonts w:eastAsia="Times New Roman"/>
        </w:rPr>
        <w:t xml:space="preserve">Georgia Power Company’s 2022 Integrated Resource Plan, </w:t>
      </w:r>
      <w:r w:rsidRPr="00307C4A">
        <w:t>Docket</w:t>
      </w:r>
      <w:r>
        <w:t xml:space="preserve"> No. 44160, </w:t>
      </w:r>
      <w:r w:rsidRPr="00307C4A">
        <w:rPr>
          <w:i/>
          <w:iCs/>
        </w:rPr>
        <w:t xml:space="preserve">Southern Company, </w:t>
      </w:r>
      <w:r w:rsidRPr="00307C4A">
        <w:rPr>
          <w:i/>
          <w:iCs/>
          <w:color w:val="000000"/>
        </w:rPr>
        <w:t>2022 GA ITS Ten-Year Plan (2023-2032)</w:t>
      </w:r>
      <w:r w:rsidR="00307C4A">
        <w:rPr>
          <w:color w:val="000000"/>
        </w:rPr>
        <w:t>,</w:t>
      </w:r>
      <w:r>
        <w:rPr>
          <w:color w:val="000000"/>
        </w:rPr>
        <w:t xml:space="preserve"> filed Feb. 28, 2023</w:t>
      </w:r>
      <w:r w:rsidR="00307C4A">
        <w:rPr>
          <w:color w:val="000000"/>
        </w:rPr>
        <w:t xml:space="preserve"> (“Transmission Study”).</w:t>
      </w:r>
    </w:p>
  </w:footnote>
  <w:footnote w:id="14">
    <w:p w14:paraId="18D8A141" w14:textId="205D98E1" w:rsidR="009E2C7D" w:rsidRDefault="009E2C7D" w:rsidP="00E97AFD">
      <w:pPr>
        <w:pStyle w:val="FootnoteText"/>
      </w:pPr>
      <w:r>
        <w:rPr>
          <w:rStyle w:val="FootnoteReference"/>
        </w:rPr>
        <w:footnoteRef/>
      </w:r>
      <w:r>
        <w:t xml:space="preserve"> </w:t>
      </w:r>
      <w:r>
        <w:tab/>
      </w:r>
      <w:r w:rsidR="00E97AFD">
        <w:t>Jay Caspary and Jesse Schneider</w:t>
      </w:r>
      <w:r>
        <w:t xml:space="preserve">, </w:t>
      </w:r>
      <w:r w:rsidR="00E97AFD">
        <w:t xml:space="preserve">Advanced Conductors on Existing Transmission Corridors to Accelerate Low Cost Decarbonization, at 15, March 2022, available at </w:t>
      </w:r>
      <w:hyperlink r:id="rId2" w:history="1">
        <w:r w:rsidR="00A86C03" w:rsidRPr="001E5578">
          <w:rPr>
            <w:rStyle w:val="Hyperlink"/>
          </w:rPr>
          <w:t>https://acore.org/wp-content/uploads/2022/03/Advanced_Conductors_to_Accelerate_Grid_Decarbonization.pdf</w:t>
        </w:r>
      </w:hyperlink>
      <w:r w:rsidR="00A86C03">
        <w:t>.</w:t>
      </w:r>
    </w:p>
  </w:footnote>
  <w:footnote w:id="15">
    <w:p w14:paraId="3C401661" w14:textId="4E21EC10" w:rsidR="009E2C7D" w:rsidRPr="009E2C7D" w:rsidRDefault="009E2C7D">
      <w:pPr>
        <w:pStyle w:val="FootnoteText"/>
      </w:pPr>
      <w:r>
        <w:rPr>
          <w:rStyle w:val="FootnoteReference"/>
        </w:rPr>
        <w:footnoteRef/>
      </w:r>
      <w:r>
        <w:t xml:space="preserve"> </w:t>
      </w:r>
      <w:r>
        <w:tab/>
      </w:r>
      <w:r>
        <w:rPr>
          <w:i/>
          <w:iCs/>
        </w:rPr>
        <w:t xml:space="preserve">Id. </w:t>
      </w:r>
      <w:r>
        <w:t>at 18.</w:t>
      </w:r>
    </w:p>
  </w:footnote>
  <w:footnote w:id="16">
    <w:p w14:paraId="30C65BDB" w14:textId="42DC5120" w:rsidR="00E97AFD" w:rsidRPr="00E97AFD" w:rsidRDefault="00E97AFD">
      <w:pPr>
        <w:pStyle w:val="FootnoteText"/>
        <w:rPr>
          <w:i/>
          <w:iCs/>
        </w:rPr>
      </w:pPr>
      <w:r>
        <w:rPr>
          <w:rStyle w:val="FootnoteReference"/>
        </w:rPr>
        <w:footnoteRef/>
      </w:r>
      <w:r>
        <w:t xml:space="preserve"> </w:t>
      </w:r>
      <w:r>
        <w:tab/>
      </w:r>
      <w:r>
        <w:rPr>
          <w:i/>
          <w:iCs/>
        </w:rPr>
        <w:t xml:space="preserve">Id. </w:t>
      </w:r>
      <w:r w:rsidRPr="00E97AFD">
        <w:t>at 19.</w:t>
      </w:r>
    </w:p>
  </w:footnote>
  <w:footnote w:id="17">
    <w:p w14:paraId="0DFAFE73" w14:textId="77777777" w:rsidR="00BD523F" w:rsidRDefault="00BD523F" w:rsidP="00BD523F">
      <w:pPr>
        <w:pStyle w:val="FootnoteText"/>
      </w:pPr>
      <w:r>
        <w:rPr>
          <w:rStyle w:val="FootnoteReference"/>
        </w:rPr>
        <w:footnoteRef/>
      </w:r>
      <w:r>
        <w:t xml:space="preserve"> </w:t>
      </w:r>
      <w:r>
        <w:tab/>
      </w:r>
      <w:r>
        <w:rPr>
          <w:i/>
          <w:iCs/>
        </w:rPr>
        <w:t xml:space="preserve">Id. </w:t>
      </w:r>
      <w:r>
        <w:t xml:space="preserve">at 6-7. </w:t>
      </w:r>
    </w:p>
  </w:footnote>
  <w:footnote w:id="18">
    <w:p w14:paraId="438F4002" w14:textId="27A1B0C4" w:rsidR="00A86C03" w:rsidRDefault="00A86C03" w:rsidP="00A86C03">
      <w:pPr>
        <w:pStyle w:val="FootnoteText"/>
      </w:pPr>
      <w:r>
        <w:rPr>
          <w:rStyle w:val="FootnoteReference"/>
        </w:rPr>
        <w:footnoteRef/>
      </w:r>
      <w:r>
        <w:t xml:space="preserve"> </w:t>
      </w:r>
      <w:r>
        <w:tab/>
      </w:r>
      <w:r>
        <w:rPr>
          <w:i/>
          <w:iCs/>
        </w:rPr>
        <w:t>Id</w:t>
      </w:r>
      <w:r>
        <w:t xml:space="preserve">. </w:t>
      </w:r>
    </w:p>
  </w:footnote>
  <w:footnote w:id="19">
    <w:p w14:paraId="111ED05F" w14:textId="3D78D719" w:rsidR="00A86C03" w:rsidRPr="00E97AFD" w:rsidRDefault="00A86C03" w:rsidP="00A86C03">
      <w:pPr>
        <w:pStyle w:val="FootnoteText"/>
      </w:pPr>
      <w:r>
        <w:rPr>
          <w:rStyle w:val="FootnoteReference"/>
        </w:rPr>
        <w:footnoteRef/>
      </w:r>
      <w:r>
        <w:t xml:space="preserve"> </w:t>
      </w:r>
      <w:r>
        <w:tab/>
        <w:t xml:space="preserve">Department of Energy, </w:t>
      </w:r>
      <w:r w:rsidRPr="00E97AFD">
        <w:rPr>
          <w:i/>
          <w:iCs/>
        </w:rPr>
        <w:t>Innovative Grid Deployment: Pathways to Commercial Liftoff</w:t>
      </w:r>
      <w:r>
        <w:t xml:space="preserve">, at 19, Dec. 2023, available at </w:t>
      </w:r>
      <w:hyperlink r:id="rId3" w:history="1">
        <w:r w:rsidRPr="001E5578">
          <w:rPr>
            <w:rStyle w:val="Hyperlink"/>
          </w:rPr>
          <w:t>https://www.energy.gov/sites/default/files/2023-12/Grid%20Liftoff%20Webinar%20Final.pdf</w:t>
        </w:r>
      </w:hyperlink>
      <w:r>
        <w:t>.</w:t>
      </w:r>
    </w:p>
    <w:p w14:paraId="419F07EB" w14:textId="662C787E" w:rsidR="00A86C03" w:rsidRDefault="00A86C03">
      <w:pPr>
        <w:pStyle w:val="FootnoteText"/>
      </w:pPr>
    </w:p>
  </w:footnote>
  <w:footnote w:id="20">
    <w:p w14:paraId="1D1F0B12" w14:textId="46C57CBF" w:rsidR="00362FE1" w:rsidRDefault="00362FE1" w:rsidP="00886A73">
      <w:pPr>
        <w:pStyle w:val="FootnoteText"/>
      </w:pPr>
      <w:r>
        <w:rPr>
          <w:rStyle w:val="FootnoteReference"/>
        </w:rPr>
        <w:footnoteRef/>
      </w:r>
      <w:r>
        <w:t xml:space="preserve"> </w:t>
      </w:r>
      <w:r w:rsidR="00C80BC4">
        <w:tab/>
      </w:r>
      <w:r w:rsidR="00341DDD">
        <w:t xml:space="preserve">U.S. </w:t>
      </w:r>
      <w:r w:rsidR="00C80BC4">
        <w:t xml:space="preserve">Department of Energy, </w:t>
      </w:r>
      <w:r w:rsidR="00C80BC4" w:rsidRPr="00C80BC4">
        <w:rPr>
          <w:i/>
          <w:iCs/>
        </w:rPr>
        <w:t>National Transmission Needs Study</w:t>
      </w:r>
      <w:r w:rsidR="00C80BC4">
        <w:t xml:space="preserve">, at vi to x, Oct. 2023, available at </w:t>
      </w:r>
      <w:hyperlink r:id="rId4" w:history="1">
        <w:r w:rsidR="00C80BC4" w:rsidRPr="001E5578">
          <w:rPr>
            <w:rStyle w:val="Hyperlink"/>
          </w:rPr>
          <w:t>https://www.energy.gov/sites/default/files/2023-12/National%20Transmission%20Needs%20Study%20-%20Final_2023.12.1.pdf</w:t>
        </w:r>
      </w:hyperlink>
      <w:r w:rsidR="00C80BC4">
        <w:t>.</w:t>
      </w:r>
    </w:p>
  </w:footnote>
  <w:footnote w:id="21">
    <w:p w14:paraId="07D77D9C" w14:textId="2CFC68EA" w:rsidR="00362FE1" w:rsidRDefault="00362FE1" w:rsidP="00831491">
      <w:pPr>
        <w:pStyle w:val="FootnoteText"/>
      </w:pPr>
      <w:r>
        <w:rPr>
          <w:rStyle w:val="FootnoteReference"/>
        </w:rPr>
        <w:footnoteRef/>
      </w:r>
      <w:r>
        <w:t xml:space="preserve"> </w:t>
      </w:r>
      <w:r w:rsidR="00831491">
        <w:tab/>
        <w:t xml:space="preserve">U.S. Department of Energy, </w:t>
      </w:r>
      <w:r w:rsidR="00831491" w:rsidRPr="00831491">
        <w:rPr>
          <w:i/>
          <w:iCs/>
        </w:rPr>
        <w:t>Fact Sheet: 2023 National Transmission Needs Study: Southeast and Florida</w:t>
      </w:r>
      <w:r w:rsidR="00831491">
        <w:t>, at 2, Oct. 2023, available at</w:t>
      </w:r>
      <w:r w:rsidR="00831491" w:rsidRPr="00362FE1">
        <w:t xml:space="preserve"> </w:t>
      </w:r>
      <w:hyperlink r:id="rId5" w:history="1">
        <w:r w:rsidR="00831491" w:rsidRPr="001E5578">
          <w:rPr>
            <w:rStyle w:val="Hyperlink"/>
          </w:rPr>
          <w:t>https://www.energy.gov/sites/default/files/2023-12/43451_DOE_GDO_Needs_Study_Fact_Sheets_Southeast_Florida_v6_RELEASE_508_Compliant.pdf</w:t>
        </w:r>
      </w:hyperlink>
      <w:r w:rsidR="00831491">
        <w:t>.</w:t>
      </w:r>
    </w:p>
  </w:footnote>
  <w:footnote w:id="22">
    <w:p w14:paraId="0ACF8B30" w14:textId="2F9FA9DD" w:rsidR="00362FE1" w:rsidRDefault="00362FE1" w:rsidP="00886A73">
      <w:pPr>
        <w:pStyle w:val="FootnoteText"/>
      </w:pPr>
      <w:r>
        <w:rPr>
          <w:rStyle w:val="FootnoteReference"/>
        </w:rPr>
        <w:footnoteRef/>
      </w:r>
      <w:r>
        <w:t xml:space="preserve"> </w:t>
      </w:r>
      <w:r w:rsidR="00831491">
        <w:tab/>
      </w:r>
      <w:r w:rsidR="00AE3028">
        <w:t>Georgia Power</w:t>
      </w:r>
      <w:r w:rsidR="00AE3028" w:rsidRPr="00AE3028">
        <w:t>,</w:t>
      </w:r>
      <w:r w:rsidR="00831491" w:rsidRPr="00831491">
        <w:rPr>
          <w:i/>
          <w:iCs/>
        </w:rPr>
        <w:t xml:space="preserve"> </w:t>
      </w:r>
      <w:r w:rsidR="00AE3028">
        <w:rPr>
          <w:i/>
          <w:iCs/>
        </w:rPr>
        <w:t xml:space="preserve">2022 </w:t>
      </w:r>
      <w:r w:rsidRPr="00831491">
        <w:rPr>
          <w:i/>
          <w:iCs/>
        </w:rPr>
        <w:t>FERC Form No. 1</w:t>
      </w:r>
      <w:r w:rsidR="00831491">
        <w:t xml:space="preserve">, at p 422-423, </w:t>
      </w:r>
      <w:r>
        <w:t xml:space="preserve">April 20, 2023. </w:t>
      </w:r>
    </w:p>
  </w:footnote>
  <w:footnote w:id="23">
    <w:p w14:paraId="0964D72D" w14:textId="678825C3" w:rsidR="00AE3028" w:rsidRDefault="00AE3028">
      <w:pPr>
        <w:pStyle w:val="FootnoteText"/>
      </w:pPr>
      <w:r>
        <w:rPr>
          <w:rStyle w:val="FootnoteReference"/>
        </w:rPr>
        <w:footnoteRef/>
      </w:r>
      <w:r>
        <w:t xml:space="preserve"> </w:t>
      </w:r>
      <w:r>
        <w:tab/>
        <w:t>Georgia Power</w:t>
      </w:r>
      <w:r w:rsidRPr="00AE3028">
        <w:t xml:space="preserve">, </w:t>
      </w:r>
      <w:r>
        <w:rPr>
          <w:i/>
          <w:iCs/>
        </w:rPr>
        <w:t>2021</w:t>
      </w:r>
      <w:r w:rsidRPr="00831491">
        <w:rPr>
          <w:i/>
          <w:iCs/>
        </w:rPr>
        <w:t xml:space="preserve"> FERC Form No. 1</w:t>
      </w:r>
      <w:r>
        <w:t>, at p 424-425, April 13, 202</w:t>
      </w:r>
      <w:r w:rsidR="00D705A5">
        <w:t>2.</w:t>
      </w:r>
    </w:p>
  </w:footnote>
  <w:footnote w:id="24">
    <w:p w14:paraId="35723039" w14:textId="7DD8C50A" w:rsidR="00D705A5" w:rsidRDefault="00D705A5">
      <w:pPr>
        <w:pStyle w:val="FootnoteText"/>
      </w:pPr>
      <w:r>
        <w:rPr>
          <w:rStyle w:val="FootnoteReference"/>
        </w:rPr>
        <w:footnoteRef/>
      </w:r>
      <w:r>
        <w:t xml:space="preserve"> </w:t>
      </w:r>
      <w:r>
        <w:tab/>
        <w:t>Georgia Power</w:t>
      </w:r>
      <w:r w:rsidRPr="00AE3028">
        <w:t xml:space="preserve">, </w:t>
      </w:r>
      <w:r>
        <w:rPr>
          <w:i/>
          <w:iCs/>
        </w:rPr>
        <w:t>2020</w:t>
      </w:r>
      <w:r w:rsidRPr="00831491">
        <w:rPr>
          <w:i/>
          <w:iCs/>
        </w:rPr>
        <w:t xml:space="preserve"> FERC Form No. 1</w:t>
      </w:r>
      <w:r>
        <w:t>, at p 424, May 3, 2021.</w:t>
      </w:r>
    </w:p>
  </w:footnote>
  <w:footnote w:id="25">
    <w:p w14:paraId="571B6483" w14:textId="366AC0AC" w:rsidR="00362FE1" w:rsidRDefault="00362FE1" w:rsidP="00886A73">
      <w:pPr>
        <w:pStyle w:val="FootnoteText"/>
      </w:pPr>
      <w:r>
        <w:rPr>
          <w:rStyle w:val="FootnoteReference"/>
        </w:rPr>
        <w:footnoteRef/>
      </w:r>
      <w:r>
        <w:t xml:space="preserve"> </w:t>
      </w:r>
      <w:r w:rsidR="004E5FF5">
        <w:tab/>
      </w:r>
      <w:r w:rsidR="00AE3028">
        <w:t xml:space="preserve">Georgia Power </w:t>
      </w:r>
      <w:r>
        <w:t xml:space="preserve">2023 Transmission Study at </w:t>
      </w:r>
      <w:r w:rsidR="00AE3028">
        <w:t>163, 169</w:t>
      </w:r>
      <w:r>
        <w:t>.</w:t>
      </w:r>
    </w:p>
  </w:footnote>
  <w:footnote w:id="26">
    <w:p w14:paraId="572B959C" w14:textId="77777777" w:rsidR="00553EBE" w:rsidRDefault="00553EBE" w:rsidP="00553EBE">
      <w:pPr>
        <w:pStyle w:val="FootnoteText"/>
      </w:pPr>
      <w:r>
        <w:rPr>
          <w:rStyle w:val="FootnoteReference"/>
        </w:rPr>
        <w:footnoteRef/>
      </w:r>
      <w:r>
        <w:t xml:space="preserve"> </w:t>
      </w:r>
      <w:r>
        <w:tab/>
        <w:t xml:space="preserve">Georgia Power, </w:t>
      </w:r>
      <w:r w:rsidRPr="00A36F1A">
        <w:rPr>
          <w:i/>
          <w:iCs/>
        </w:rPr>
        <w:t>Georgia Solar Potential</w:t>
      </w:r>
      <w:r>
        <w:t xml:space="preserve">, last accessed Feb. 15, 2023, </w:t>
      </w:r>
      <w:hyperlink r:id="rId6" w:history="1">
        <w:r w:rsidRPr="001E5578">
          <w:rPr>
            <w:rStyle w:val="Hyperlink"/>
          </w:rPr>
          <w:t>https://www.georgiapower.com/company/energy-industry/energy-sources/solar-energy/georgia-s-solar-energy.html#</w:t>
        </w:r>
      </w:hyperlink>
      <w:r>
        <w:t>.</w:t>
      </w:r>
    </w:p>
  </w:footnote>
  <w:footnote w:id="27">
    <w:p w14:paraId="446D1768" w14:textId="2F2339C3" w:rsidR="00A60610" w:rsidRPr="00A60610" w:rsidRDefault="00A60610">
      <w:pPr>
        <w:pStyle w:val="FootnoteText"/>
        <w:rPr>
          <w:i/>
          <w:iCs/>
        </w:rPr>
      </w:pPr>
      <w:r>
        <w:rPr>
          <w:rStyle w:val="FootnoteReference"/>
        </w:rPr>
        <w:footnoteRef/>
      </w:r>
      <w:r>
        <w:t xml:space="preserve"> </w:t>
      </w:r>
      <w:r>
        <w:tab/>
      </w:r>
      <w:r>
        <w:rPr>
          <w:i/>
          <w:iCs/>
        </w:rPr>
        <w:t>Id.</w:t>
      </w:r>
    </w:p>
  </w:footnote>
  <w:footnote w:id="28">
    <w:p w14:paraId="7DEFB646" w14:textId="78AC3EB6" w:rsidR="008B7932" w:rsidRDefault="008B7932" w:rsidP="00886A73">
      <w:pPr>
        <w:pStyle w:val="FootnoteText"/>
      </w:pPr>
      <w:r>
        <w:rPr>
          <w:rStyle w:val="FootnoteReference"/>
        </w:rPr>
        <w:footnoteRef/>
      </w:r>
      <w:r>
        <w:t xml:space="preserve"> </w:t>
      </w:r>
      <w:r w:rsidR="00A60610">
        <w:tab/>
      </w:r>
      <w:r w:rsidR="0086198B">
        <w:t xml:space="preserve">Source: </w:t>
      </w:r>
      <w:r w:rsidR="005C2873" w:rsidRPr="008F6424">
        <w:t>Climate Mapping for Resilience and Adaptation (CMRA)</w:t>
      </w:r>
      <w:r w:rsidR="00A60610">
        <w:t>,</w:t>
      </w:r>
      <w:r>
        <w:t xml:space="preserve"> U</w:t>
      </w:r>
      <w:r w:rsidRPr="00A60610">
        <w:rPr>
          <w:i/>
          <w:iCs/>
        </w:rPr>
        <w:t>.S. Electric Power Transmission Lines Data</w:t>
      </w:r>
      <w:r w:rsidR="00A60610">
        <w:t xml:space="preserve">, </w:t>
      </w:r>
      <w:r>
        <w:t>updated January 22, 2024</w:t>
      </w:r>
      <w:r w:rsidR="00A60610">
        <w:t xml:space="preserve">, available at </w:t>
      </w:r>
      <w:hyperlink r:id="rId7" w:history="1">
        <w:r w:rsidR="009101E7" w:rsidRPr="001E5578">
          <w:rPr>
            <w:rStyle w:val="Hyperlink"/>
          </w:rPr>
          <w:t>https://resilience.climate.gov/datasets/d4090758322c4d32a4cd002ffaa0aa12_0/about</w:t>
        </w:r>
      </w:hyperlink>
      <w:r>
        <w:t>.</w:t>
      </w:r>
      <w:r w:rsidR="005C2873">
        <w:t xml:space="preserve"> T</w:t>
      </w:r>
      <w:r w:rsidR="005C2873" w:rsidRPr="008F6424">
        <w:t>he</w:t>
      </w:r>
      <w:r w:rsidR="005C2873">
        <w:t xml:space="preserve"> CMRA</w:t>
      </w:r>
      <w:r w:rsidR="005C2873" w:rsidRPr="008F6424">
        <w:t xml:space="preserve"> map of U.S. electric power transmission uses data from Homeland Infrastructure Foundation-Level Data (HIFLD)</w:t>
      </w:r>
      <w:r w:rsidR="00D07B1E">
        <w:t>.</w:t>
      </w:r>
    </w:p>
  </w:footnote>
  <w:footnote w:id="29">
    <w:p w14:paraId="71EE8EBA" w14:textId="65F4C0AB" w:rsidR="00BA524C" w:rsidRPr="0075124B" w:rsidRDefault="00BA524C" w:rsidP="00975C94">
      <w:pPr>
        <w:pStyle w:val="FootnoteText"/>
      </w:pPr>
      <w:r>
        <w:rPr>
          <w:rStyle w:val="FootnoteReference"/>
        </w:rPr>
        <w:footnoteRef/>
      </w:r>
      <w:r>
        <w:t xml:space="preserve"> </w:t>
      </w:r>
      <w:r w:rsidR="00FC530E">
        <w:tab/>
      </w:r>
      <w:r w:rsidR="00975C94" w:rsidRPr="00975C94">
        <w:rPr>
          <w:i/>
          <w:iCs/>
        </w:rPr>
        <w:t>Building for the Future Through Electric Regional Transmission Planning and Cost Allocation and Generator Interconnection</w:t>
      </w:r>
      <w:r w:rsidR="00975C94" w:rsidRPr="00975C94">
        <w:t xml:space="preserve"> </w:t>
      </w:r>
      <w:r w:rsidR="00975C94">
        <w:t xml:space="preserve">(FERC Docket No. RM21-17-000), 87 Fed. Reg. 26504, 179 FERC ¶ 61,028 (2022) (NOPR); </w:t>
      </w:r>
      <w:r w:rsidR="0075124B">
        <w:t xml:space="preserve">For a list of recommendations on steps SERTP can take to improve its planning processes, see </w:t>
      </w:r>
      <w:r w:rsidR="00975C94" w:rsidRPr="00975C94">
        <w:t>Comments of the Southeast Public Interest Groups,</w:t>
      </w:r>
      <w:r w:rsidR="00975C94">
        <w:t xml:space="preserve"> FERC </w:t>
      </w:r>
      <w:proofErr w:type="spellStart"/>
      <w:r w:rsidR="00975C94">
        <w:t>eLibrary</w:t>
      </w:r>
      <w:proofErr w:type="spellEnd"/>
      <w:r w:rsidR="00975C94">
        <w:t xml:space="preserve"> No. </w:t>
      </w:r>
      <w:r w:rsidR="00975C94" w:rsidRPr="00975C94">
        <w:t>20220817-5175</w:t>
      </w:r>
      <w:r w:rsidR="00975C94">
        <w:t>, filed Aug. 17, 2022, available at</w:t>
      </w:r>
      <w:r w:rsidR="00975C94" w:rsidRPr="00975C94">
        <w:t xml:space="preserve"> </w:t>
      </w:r>
      <w:hyperlink r:id="rId8" w:history="1">
        <w:r w:rsidR="004C5175" w:rsidRPr="001E5578">
          <w:rPr>
            <w:rStyle w:val="Hyperlink"/>
          </w:rPr>
          <w:t>https://www.cleanenergy.org/news-and-resources/sace-signed-comments-to-ferc-on-transmission-notice-of-proposed-rulemaking-nopr/</w:t>
        </w:r>
      </w:hyperlink>
      <w:r w:rsidR="00A30894" w:rsidRPr="0075124B">
        <w:t>.</w:t>
      </w:r>
    </w:p>
  </w:footnote>
  <w:footnote w:id="30">
    <w:p w14:paraId="35158708" w14:textId="513A8BE0" w:rsidR="00A024E2" w:rsidRDefault="00A024E2" w:rsidP="00886A73">
      <w:pPr>
        <w:pStyle w:val="FootnoteText"/>
      </w:pPr>
      <w:r>
        <w:rPr>
          <w:rStyle w:val="FootnoteReference"/>
        </w:rPr>
        <w:footnoteRef/>
      </w:r>
      <w:r>
        <w:t xml:space="preserve"> </w:t>
      </w:r>
      <w:r w:rsidR="00FC530E">
        <w:tab/>
      </w:r>
      <w:r>
        <w:t>MI PSC</w:t>
      </w:r>
      <w:r w:rsidR="00975C94">
        <w:t xml:space="preserve"> </w:t>
      </w:r>
      <w:r w:rsidR="00975C94" w:rsidRPr="00975C94">
        <w:t>Case No</w:t>
      </w:r>
      <w:r w:rsidR="00975C94">
        <w:t>s</w:t>
      </w:r>
      <w:r w:rsidR="00975C94" w:rsidRPr="00975C94">
        <w:t>. U-18461</w:t>
      </w:r>
      <w:r w:rsidR="00975C94">
        <w:t xml:space="preserve"> and U-15896</w:t>
      </w:r>
      <w:r>
        <w:t xml:space="preserve">, </w:t>
      </w:r>
      <w:r w:rsidRPr="00FC530E">
        <w:rPr>
          <w:i/>
          <w:iCs/>
        </w:rPr>
        <w:t>Integrated Resource Plan Filing Requirements Pursuant to Public Act 341 of 2016, Section 6t, Part XII</w:t>
      </w:r>
      <w:r w:rsidR="00975C94">
        <w:t xml:space="preserve">, December 20, 2017, available at </w:t>
      </w:r>
      <w:hyperlink r:id="rId9" w:history="1">
        <w:r w:rsidR="00975C94" w:rsidRPr="001E5578">
          <w:rPr>
            <w:rStyle w:val="Hyperlink"/>
          </w:rPr>
          <w:t>https://www.michigan.gov/mpsc/commission/workgroups/2016-energy-legislation/integrated-resource-plan-filing-requirements-schedule</w:t>
        </w:r>
      </w:hyperlink>
      <w:r w:rsidR="00975C94">
        <w:t>.</w:t>
      </w:r>
    </w:p>
  </w:footnote>
  <w:footnote w:id="31">
    <w:p w14:paraId="7229863C" w14:textId="1847E954" w:rsidR="003632AF" w:rsidRDefault="003632AF">
      <w:pPr>
        <w:pStyle w:val="FootnoteText"/>
      </w:pPr>
      <w:r>
        <w:rPr>
          <w:rStyle w:val="FootnoteReference"/>
        </w:rPr>
        <w:footnoteRef/>
      </w:r>
      <w:r>
        <w:t xml:space="preserve"> </w:t>
      </w:r>
      <w:r w:rsidR="00723AE0">
        <w:tab/>
      </w:r>
      <w:r w:rsidRPr="003632AF">
        <w:rPr>
          <w:i/>
          <w:iCs/>
        </w:rPr>
        <w:t>Duke Energy Carolinas, LLC and Duke Energy Progress, LLC</w:t>
      </w:r>
      <w:r>
        <w:t xml:space="preserve">, Docket No. </w:t>
      </w:r>
      <w:r w:rsidRPr="003632AF">
        <w:t>ER24-874</w:t>
      </w:r>
      <w:r>
        <w:t xml:space="preserve">, </w:t>
      </w:r>
      <w:r w:rsidRPr="003632AF">
        <w:t>Re-Filing of Proposed Revisions to Local Transmission Planning Process in Attachment N-1 of Joint OATT</w:t>
      </w:r>
      <w:r>
        <w:t>, at 1</w:t>
      </w:r>
      <w:r w:rsidR="00B26E23">
        <w:t xml:space="preserve">, filed Jan. 12, </w:t>
      </w:r>
      <w:r>
        <w:t xml:space="preserve">2024, </w:t>
      </w:r>
      <w:proofErr w:type="spellStart"/>
      <w:r>
        <w:t>eLibrary</w:t>
      </w:r>
      <w:proofErr w:type="spellEnd"/>
      <w:r>
        <w:t xml:space="preserve"> No. </w:t>
      </w:r>
      <w:r w:rsidRPr="003632AF">
        <w:t>20240112-5127</w:t>
      </w:r>
      <w:r>
        <w:t>.</w:t>
      </w:r>
    </w:p>
  </w:footnote>
  <w:footnote w:id="32">
    <w:p w14:paraId="19C78AA7" w14:textId="350742D1" w:rsidR="00723AE0" w:rsidRPr="004A62FA" w:rsidRDefault="00723AE0" w:rsidP="004A62FA">
      <w:pPr>
        <w:pStyle w:val="FootnoteText"/>
      </w:pPr>
      <w:r>
        <w:rPr>
          <w:rStyle w:val="FootnoteReference"/>
        </w:rPr>
        <w:footnoteRef/>
      </w:r>
      <w:r>
        <w:t xml:space="preserve"> </w:t>
      </w:r>
      <w:r>
        <w:tab/>
      </w:r>
      <w:r>
        <w:rPr>
          <w:i/>
          <w:iCs/>
        </w:rPr>
        <w:t>Id.</w:t>
      </w:r>
      <w:r w:rsidR="004A62FA">
        <w:rPr>
          <w:i/>
          <w:iCs/>
        </w:rPr>
        <w:t xml:space="preserve"> </w:t>
      </w:r>
      <w:r w:rsidR="004A62FA">
        <w:t xml:space="preserve">SACE has joined other organization in filing comments in support of Duke’s proposed changes. </w:t>
      </w:r>
      <w:r w:rsidR="004A62FA" w:rsidRPr="003632AF">
        <w:rPr>
          <w:i/>
          <w:iCs/>
        </w:rPr>
        <w:t>Duke Energy Carolinas, LLC and Duke Energy Progress, LLC</w:t>
      </w:r>
      <w:r w:rsidR="004A62FA">
        <w:t xml:space="preserve">, Docket No. </w:t>
      </w:r>
      <w:r w:rsidR="004A62FA" w:rsidRPr="003632AF">
        <w:t>ER24-874</w:t>
      </w:r>
      <w:r w:rsidR="004A62FA">
        <w:t xml:space="preserve">, Joint Comments of Appalachian Voices, Carolinas Clean Energy Business Association, North Carolina Sustainable Energy Association, Sierra Club, South Carolina Coastal Conservation League, and Southern Alliance for Clean Energy, filed Feb. 2, 2024, </w:t>
      </w:r>
      <w:proofErr w:type="spellStart"/>
      <w:r w:rsidR="004A62FA">
        <w:t>eLibrary</w:t>
      </w:r>
      <w:proofErr w:type="spellEnd"/>
      <w:r w:rsidR="004A62FA">
        <w:t xml:space="preserve"> No. </w:t>
      </w:r>
      <w:r w:rsidR="004A62FA" w:rsidRPr="004A62FA">
        <w:t>20240202-5030</w:t>
      </w:r>
      <w:r w:rsidR="004A62FA">
        <w:t>.</w:t>
      </w:r>
    </w:p>
  </w:footnote>
  <w:footnote w:id="33">
    <w:p w14:paraId="5D5E2C4F" w14:textId="381CD60F" w:rsidR="00E00E00" w:rsidRPr="007A6C8D" w:rsidRDefault="00E00E00" w:rsidP="00886A73">
      <w:pPr>
        <w:pStyle w:val="FootnoteText"/>
        <w:rPr>
          <w:color w:val="000000" w:themeColor="text1"/>
        </w:rPr>
      </w:pPr>
      <w:r>
        <w:rPr>
          <w:rStyle w:val="FootnoteReference"/>
        </w:rPr>
        <w:footnoteRef/>
      </w:r>
      <w:r>
        <w:t xml:space="preserve"> </w:t>
      </w:r>
      <w:r w:rsidR="002317CF">
        <w:tab/>
      </w:r>
      <w:r>
        <w:t>FERC, NERC, and Regional Staff Entity Report</w:t>
      </w:r>
      <w:r w:rsidR="002317CF">
        <w:t xml:space="preserve">, </w:t>
      </w:r>
      <w:r>
        <w:t>“</w:t>
      </w:r>
      <w:r w:rsidRPr="002317CF">
        <w:rPr>
          <w:i/>
          <w:iCs/>
        </w:rPr>
        <w:t>Inquiry into Bulk-Power System Operations During December 2022 Winter Storm Elliott</w:t>
      </w:r>
      <w:r w:rsidR="002317CF">
        <w:t>,</w:t>
      </w:r>
      <w:r>
        <w:t>”</w:t>
      </w:r>
      <w:r w:rsidR="002317CF">
        <w:t xml:space="preserve"> at 29, </w:t>
      </w:r>
      <w:r>
        <w:t>October 2023</w:t>
      </w:r>
      <w:r w:rsidR="002317CF">
        <w:t xml:space="preserve">, available at </w:t>
      </w:r>
      <w:hyperlink r:id="rId10" w:history="1">
        <w:r w:rsidRPr="006438FD">
          <w:rPr>
            <w:rStyle w:val="Hyperlink"/>
          </w:rPr>
          <w:t>https://www.ferc.gov/sites/default/files/2023-11/24_Winter-Storm_Elliot_1107_1300.pdf</w:t>
        </w:r>
      </w:hyperlink>
      <w:r w:rsidR="002317CF">
        <w:rPr>
          <w:rStyle w:val="Hyperlink"/>
          <w:color w:val="000000" w:themeColor="text1"/>
          <w:u w:val="none"/>
        </w:rPr>
        <w:t xml:space="preserve"> (“FERC-NERC Elliott Report) </w:t>
      </w:r>
      <w:r w:rsidR="005C2873" w:rsidRPr="005C2873">
        <w:rPr>
          <w:rStyle w:val="Hyperlink"/>
          <w:color w:val="000000" w:themeColor="text1"/>
          <w:u w:val="none"/>
        </w:rPr>
        <w:t>(Figure 12 provides a breakdown of AC and DC lines by Balancing Authority).</w:t>
      </w:r>
    </w:p>
  </w:footnote>
  <w:footnote w:id="34">
    <w:p w14:paraId="582860C5" w14:textId="0F493574" w:rsidR="008F6424" w:rsidRDefault="008F6424" w:rsidP="00886A73">
      <w:pPr>
        <w:pStyle w:val="FootnoteText"/>
      </w:pPr>
      <w:r>
        <w:rPr>
          <w:rStyle w:val="FootnoteReference"/>
        </w:rPr>
        <w:footnoteRef/>
      </w:r>
      <w:r>
        <w:t xml:space="preserve"> </w:t>
      </w:r>
      <w:r w:rsidR="002317CF">
        <w:tab/>
      </w:r>
      <w:r>
        <w:t>IPCC</w:t>
      </w:r>
      <w:r w:rsidR="002317CF">
        <w:t>,</w:t>
      </w:r>
      <w:r>
        <w:t xml:space="preserve"> </w:t>
      </w:r>
      <w:r w:rsidRPr="002317CF">
        <w:rPr>
          <w:i/>
          <w:iCs/>
        </w:rPr>
        <w:t>Sixth Assessment Report</w:t>
      </w:r>
      <w:r w:rsidR="002317CF">
        <w:t>,</w:t>
      </w:r>
      <w:r w:rsidRPr="002317CF">
        <w:rPr>
          <w:i/>
          <w:iCs/>
        </w:rPr>
        <w:t xml:space="preserve"> Working Group 1: The Physical Science Basis</w:t>
      </w:r>
      <w:r w:rsidR="002317CF">
        <w:t>,</w:t>
      </w:r>
      <w:r>
        <w:t xml:space="preserve"> 2021</w:t>
      </w:r>
      <w:r w:rsidR="002317CF">
        <w:t xml:space="preserve">, available at </w:t>
      </w:r>
      <w:hyperlink r:id="rId11" w:history="1">
        <w:r w:rsidR="002317CF" w:rsidRPr="001E5578">
          <w:rPr>
            <w:rStyle w:val="Hyperlink"/>
          </w:rPr>
          <w:t>https://www.ipcc.ch/report/ar6/wg1/</w:t>
        </w:r>
      </w:hyperlink>
      <w:r>
        <w:t>.</w:t>
      </w:r>
    </w:p>
  </w:footnote>
  <w:footnote w:id="35">
    <w:p w14:paraId="6DC5AF4D" w14:textId="2BB8603E" w:rsidR="008F6424" w:rsidRDefault="008F6424" w:rsidP="00886A73">
      <w:pPr>
        <w:pStyle w:val="FootnoteText"/>
      </w:pPr>
      <w:r>
        <w:rPr>
          <w:rStyle w:val="FootnoteReference"/>
        </w:rPr>
        <w:footnoteRef/>
      </w:r>
      <w:r>
        <w:t xml:space="preserve"> </w:t>
      </w:r>
      <w:r w:rsidR="002317CF">
        <w:tab/>
        <w:t xml:space="preserve">FERC-NERC Elliott Report at </w:t>
      </w:r>
      <w:r>
        <w:t>22</w:t>
      </w:r>
      <w:r w:rsidR="002317CF">
        <w:t>.</w:t>
      </w:r>
    </w:p>
  </w:footnote>
  <w:footnote w:id="36">
    <w:p w14:paraId="02415482" w14:textId="2E70CF4A" w:rsidR="005D14D1" w:rsidRDefault="005D14D1" w:rsidP="00886A73">
      <w:pPr>
        <w:pStyle w:val="FootnoteText"/>
      </w:pPr>
      <w:r>
        <w:rPr>
          <w:rStyle w:val="FootnoteReference"/>
        </w:rPr>
        <w:footnoteRef/>
      </w:r>
      <w:r>
        <w:t xml:space="preserve"> </w:t>
      </w:r>
      <w:r w:rsidR="00FC530E">
        <w:tab/>
        <w:t>FERC-NERC Elliott Report at</w:t>
      </w:r>
      <w:r>
        <w:t xml:space="preserve"> Figure 8</w:t>
      </w:r>
      <w:r w:rsidR="00FC530E">
        <w:t xml:space="preserve">, </w:t>
      </w:r>
      <w:r>
        <w:t>Page 23.</w:t>
      </w:r>
    </w:p>
  </w:footnote>
  <w:footnote w:id="37">
    <w:p w14:paraId="189BD32A" w14:textId="34250652" w:rsidR="006128F7" w:rsidRDefault="006128F7" w:rsidP="00886A73">
      <w:pPr>
        <w:pStyle w:val="FootnoteText"/>
      </w:pPr>
      <w:r>
        <w:rPr>
          <w:rStyle w:val="FootnoteReference"/>
        </w:rPr>
        <w:footnoteRef/>
      </w:r>
      <w:r>
        <w:t xml:space="preserve"> </w:t>
      </w:r>
      <w:r w:rsidR="00FC530E">
        <w:tab/>
      </w:r>
      <w:r>
        <w:t>E</w:t>
      </w:r>
      <w:r w:rsidR="00FC530E">
        <w:t xml:space="preserve">nergy Information Administration, </w:t>
      </w:r>
      <w:r w:rsidRPr="00FC530E">
        <w:rPr>
          <w:i/>
          <w:iCs/>
        </w:rPr>
        <w:t>Hurricane Ida caused at least 1.2 million electricity customers to lose power</w:t>
      </w:r>
      <w:r w:rsidR="00FC530E">
        <w:t>,</w:t>
      </w:r>
      <w:r>
        <w:t xml:space="preserve"> 2021</w:t>
      </w:r>
      <w:r w:rsidR="00FC530E">
        <w:t>, available at</w:t>
      </w:r>
      <w:r>
        <w:t xml:space="preserve"> </w:t>
      </w:r>
      <w:hyperlink r:id="rId12" w:history="1">
        <w:r w:rsidRPr="006438FD">
          <w:rPr>
            <w:rStyle w:val="Hyperlink"/>
          </w:rPr>
          <w:t>https://www.eia.gov/todayinenergy/detail.php?id=49556#</w:t>
        </w:r>
      </w:hyperlink>
      <w:r w:rsidR="0086198B">
        <w:t xml:space="preserve"> (referencing </w:t>
      </w:r>
      <w:r>
        <w:t>D</w:t>
      </w:r>
      <w:r w:rsidR="00FC530E">
        <w:t xml:space="preserve">epartment of Energy, </w:t>
      </w:r>
      <w:r>
        <w:t>CESER</w:t>
      </w:r>
      <w:r w:rsidR="00FC530E">
        <w:t xml:space="preserve">, </w:t>
      </w:r>
      <w:r w:rsidRPr="00FC530E">
        <w:rPr>
          <w:i/>
          <w:iCs/>
        </w:rPr>
        <w:t>Hurricane Ida Situation Reports</w:t>
      </w:r>
      <w:r w:rsidR="00FC530E">
        <w:t>, available at</w:t>
      </w:r>
      <w:r>
        <w:t xml:space="preserve"> </w:t>
      </w:r>
      <w:hyperlink r:id="rId13" w:history="1">
        <w:r w:rsidRPr="006438FD">
          <w:rPr>
            <w:rStyle w:val="Hyperlink"/>
          </w:rPr>
          <w:t>https://www.energy.gov/ceser/hurricane-ida-situation-reports</w:t>
        </w:r>
      </w:hyperlink>
      <w:r w:rsidR="0086198B">
        <w:t>).</w:t>
      </w:r>
    </w:p>
  </w:footnote>
  <w:footnote w:id="38">
    <w:p w14:paraId="1FAEB623" w14:textId="29FD12B5" w:rsidR="005D14D1" w:rsidRPr="008C20C7" w:rsidRDefault="005D14D1" w:rsidP="00886A73">
      <w:pPr>
        <w:pStyle w:val="FootnoteText"/>
      </w:pPr>
      <w:r w:rsidRPr="008C20C7">
        <w:rPr>
          <w:rStyle w:val="FootnoteReference"/>
          <w:color w:val="000000" w:themeColor="text1"/>
        </w:rPr>
        <w:footnoteRef/>
      </w:r>
      <w:r w:rsidRPr="008C20C7">
        <w:t xml:space="preserve"> </w:t>
      </w:r>
      <w:r w:rsidR="001C34F3">
        <w:tab/>
      </w:r>
      <w:r w:rsidR="0086198B">
        <w:rPr>
          <w:i/>
          <w:iCs/>
        </w:rPr>
        <w:t xml:space="preserve">Id. </w:t>
      </w:r>
      <w:r w:rsidR="0086198B" w:rsidRPr="0086198B">
        <w:t>(Source:</w:t>
      </w:r>
      <w:r w:rsidR="0086198B">
        <w:rPr>
          <w:i/>
          <w:iCs/>
        </w:rPr>
        <w:t xml:space="preserve"> </w:t>
      </w:r>
      <w:r w:rsidRPr="008C20C7">
        <w:t>U.S. Energy Information Administration, based on data from the U.S. Department of Energy </w:t>
      </w:r>
      <w:hyperlink r:id="rId14" w:history="1">
        <w:r w:rsidRPr="008C20C7">
          <w:rPr>
            <w:color w:val="007EB5"/>
            <w:u w:val="single"/>
          </w:rPr>
          <w:t>Office of Cybersecurity, Energy Security, and Emergency Response</w:t>
        </w:r>
      </w:hyperlink>
      <w:r w:rsidR="0086198B">
        <w:t>).</w:t>
      </w:r>
    </w:p>
  </w:footnote>
  <w:footnote w:id="39">
    <w:p w14:paraId="78FA22BC" w14:textId="66E3DE81" w:rsidR="006128F7" w:rsidRDefault="006128F7" w:rsidP="00886A73">
      <w:pPr>
        <w:pStyle w:val="FootnoteText"/>
      </w:pPr>
      <w:r>
        <w:rPr>
          <w:rStyle w:val="FootnoteReference"/>
        </w:rPr>
        <w:footnoteRef/>
      </w:r>
      <w:r>
        <w:t xml:space="preserve"> </w:t>
      </w:r>
      <w:r w:rsidR="001C34F3">
        <w:tab/>
      </w:r>
      <w:r>
        <w:t>The Texas A&amp;M University System</w:t>
      </w:r>
      <w:r w:rsidR="001C34F3">
        <w:t>,</w:t>
      </w:r>
      <w:r>
        <w:t xml:space="preserve"> </w:t>
      </w:r>
      <w:r w:rsidRPr="001C34F3">
        <w:rPr>
          <w:i/>
          <w:iCs/>
        </w:rPr>
        <w:t>Texas Severe Winter Storm DR-4586</w:t>
      </w:r>
      <w:r w:rsidR="001C34F3">
        <w:rPr>
          <w:i/>
          <w:iCs/>
        </w:rPr>
        <w:t>,</w:t>
      </w:r>
      <w:r w:rsidRPr="001C34F3">
        <w:rPr>
          <w:i/>
          <w:iCs/>
        </w:rPr>
        <w:t xml:space="preserve"> Winter Storm Uri</w:t>
      </w:r>
      <w:r w:rsidR="001C34F3">
        <w:t>,</w:t>
      </w:r>
      <w:r>
        <w:t xml:space="preserve"> </w:t>
      </w:r>
      <w:r w:rsidR="0019486B">
        <w:t xml:space="preserve">available at </w:t>
      </w:r>
      <w:hyperlink r:id="rId15" w:history="1">
        <w:r w:rsidR="0019486B" w:rsidRPr="001E5578">
          <w:rPr>
            <w:rStyle w:val="Hyperlink"/>
          </w:rPr>
          <w:t>https://www.tdem.texas.gov/disasters/winter-storm-uri</w:t>
        </w:r>
      </w:hyperlink>
      <w:r w:rsidR="0019486B">
        <w:t>, last accessed Feb. 15, 2024.</w:t>
      </w:r>
    </w:p>
  </w:footnote>
  <w:footnote w:id="40">
    <w:p w14:paraId="20B2CB77" w14:textId="62893B82" w:rsidR="005D14D1" w:rsidRDefault="005D14D1" w:rsidP="00886A73">
      <w:pPr>
        <w:pStyle w:val="FootnoteText"/>
      </w:pPr>
      <w:r>
        <w:rPr>
          <w:rStyle w:val="FootnoteReference"/>
        </w:rPr>
        <w:footnoteRef/>
      </w:r>
      <w:r>
        <w:t xml:space="preserve"> </w:t>
      </w:r>
      <w:r w:rsidRPr="005D14D1">
        <w:t xml:space="preserve"> </w:t>
      </w:r>
      <w:r w:rsidR="00427F63">
        <w:tab/>
      </w:r>
      <w:r w:rsidRPr="005D14D1">
        <w:t xml:space="preserve">FERC - NERC, </w:t>
      </w:r>
      <w:r w:rsidRPr="00427F63">
        <w:rPr>
          <w:i/>
          <w:iCs/>
        </w:rPr>
        <w:t>Regional Entity Staff Report: The February 2021 Cold Weather Outages in Texas and the South Central United States</w:t>
      </w:r>
      <w:r w:rsidR="00427F63">
        <w:t xml:space="preserve">, </w:t>
      </w:r>
      <w:r w:rsidRPr="005D14D1">
        <w:t>Nov. 2021</w:t>
      </w:r>
      <w:r w:rsidR="0008096D">
        <w:t xml:space="preserve">, available at </w:t>
      </w:r>
      <w:hyperlink r:id="rId16" w:history="1">
        <w:r w:rsidR="0008096D" w:rsidRPr="001E5578">
          <w:rPr>
            <w:rStyle w:val="Hyperlink"/>
          </w:rPr>
          <w:t>https://www.ferc.gov/media/february-2021-cold-weather-outages-texas-and-south-central-united-states-ferc-nerc-and</w:t>
        </w:r>
      </w:hyperlink>
      <w:r w:rsidR="0008096D">
        <w:t>.</w:t>
      </w:r>
    </w:p>
  </w:footnote>
  <w:footnote w:id="41">
    <w:p w14:paraId="11D027ED" w14:textId="387076C3" w:rsidR="006128F7" w:rsidRPr="00FA734A" w:rsidRDefault="006128F7" w:rsidP="00886A73">
      <w:pPr>
        <w:pStyle w:val="FootnoteText"/>
      </w:pPr>
      <w:r>
        <w:rPr>
          <w:rStyle w:val="FootnoteReference"/>
        </w:rPr>
        <w:footnoteRef/>
      </w:r>
      <w:r>
        <w:t xml:space="preserve"> </w:t>
      </w:r>
      <w:r w:rsidR="00427F63">
        <w:tab/>
      </w:r>
      <w:r>
        <w:t>E</w:t>
      </w:r>
      <w:r w:rsidR="00427F63">
        <w:t xml:space="preserve">nergy Information </w:t>
      </w:r>
      <w:r>
        <w:t>A</w:t>
      </w:r>
      <w:r w:rsidR="00427F63">
        <w:t>dministration,</w:t>
      </w:r>
      <w:r>
        <w:t xml:space="preserve"> </w:t>
      </w:r>
      <w:r w:rsidRPr="00427F63">
        <w:rPr>
          <w:i/>
          <w:iCs/>
        </w:rPr>
        <w:t>Hurricane Michael caused 1.7 million electricity outages in the Southeast United States</w:t>
      </w:r>
      <w:r w:rsidR="00427F63">
        <w:t>,</w:t>
      </w:r>
      <w:r>
        <w:t xml:space="preserve"> October 22, 2018</w:t>
      </w:r>
      <w:r w:rsidR="00427F63">
        <w:t xml:space="preserve">, available at </w:t>
      </w:r>
      <w:hyperlink r:id="rId17" w:history="1">
        <w:r w:rsidR="00427F63" w:rsidRPr="001E5578">
          <w:rPr>
            <w:rStyle w:val="Hyperlink"/>
          </w:rPr>
          <w:t>https://www.eia.gov/todayinenergy/detail.php?id=37332#</w:t>
        </w:r>
      </w:hyperlink>
      <w:r>
        <w:t>.</w:t>
      </w:r>
    </w:p>
  </w:footnote>
  <w:footnote w:id="42">
    <w:p w14:paraId="21F3769B" w14:textId="478E52FA" w:rsidR="005D14D1" w:rsidRDefault="005D14D1" w:rsidP="00886A73">
      <w:pPr>
        <w:pStyle w:val="FootnoteText"/>
      </w:pPr>
      <w:r w:rsidRPr="00FA734A">
        <w:rPr>
          <w:rStyle w:val="FootnoteReference"/>
        </w:rPr>
        <w:footnoteRef/>
      </w:r>
      <w:r w:rsidRPr="00FA734A">
        <w:t xml:space="preserve"> </w:t>
      </w:r>
      <w:r w:rsidR="009E063C">
        <w:tab/>
      </w:r>
      <w:r w:rsidR="0086198B">
        <w:rPr>
          <w:i/>
          <w:iCs/>
        </w:rPr>
        <w:t xml:space="preserve">Id. </w:t>
      </w:r>
      <w:r w:rsidR="0086198B" w:rsidRPr="0086198B">
        <w:t xml:space="preserve">(Source: </w:t>
      </w:r>
      <w:r w:rsidRPr="00FA734A">
        <w:rPr>
          <w:color w:val="333333"/>
        </w:rPr>
        <w:t>Energy Information Administration, compiled from </w:t>
      </w:r>
      <w:hyperlink r:id="rId18" w:history="1">
        <w:r w:rsidRPr="00FA734A">
          <w:rPr>
            <w:rStyle w:val="Hyperlink"/>
            <w:rFonts w:cs="Arial"/>
            <w:color w:val="007EB5"/>
          </w:rPr>
          <w:t>U.S. Department of Energy's Office of Cybersecurity, Energy Security, and Emergency Response Situation Reports</w:t>
        </w:r>
      </w:hyperlink>
      <w:r w:rsidR="0086198B">
        <w:t>).</w:t>
      </w:r>
    </w:p>
  </w:footnote>
  <w:footnote w:id="43">
    <w:p w14:paraId="57C2B6F0" w14:textId="6702B35B" w:rsidR="00023625" w:rsidRDefault="00023625" w:rsidP="00886A73">
      <w:pPr>
        <w:pStyle w:val="FootnoteText"/>
      </w:pPr>
      <w:r>
        <w:rPr>
          <w:rStyle w:val="FootnoteReference"/>
        </w:rPr>
        <w:footnoteRef/>
      </w:r>
      <w:r>
        <w:t xml:space="preserve"> </w:t>
      </w:r>
      <w:r w:rsidR="009E063C">
        <w:tab/>
      </w:r>
      <w:r w:rsidRPr="00FF17B9">
        <w:t>NOAA</w:t>
      </w:r>
      <w:r w:rsidR="009E063C">
        <w:t>,</w:t>
      </w:r>
      <w:r>
        <w:t xml:space="preserve"> </w:t>
      </w:r>
      <w:r w:rsidRPr="00FF17B9">
        <w:t>National Centers for Environmental Information (NCEI)</w:t>
      </w:r>
      <w:r w:rsidR="009E063C">
        <w:t>,</w:t>
      </w:r>
      <w:r>
        <w:t xml:space="preserve"> </w:t>
      </w:r>
      <w:r w:rsidRPr="009E063C">
        <w:rPr>
          <w:i/>
          <w:iCs/>
        </w:rPr>
        <w:t>U.S. Billion-Dollar Weather and Climate Disasters</w:t>
      </w:r>
      <w:r w:rsidR="009E063C">
        <w:t>,</w:t>
      </w:r>
      <w:r>
        <w:t xml:space="preserve"> </w:t>
      </w:r>
      <w:r w:rsidRPr="00FF17B9">
        <w:t>2024</w:t>
      </w:r>
      <w:r w:rsidR="009E063C">
        <w:t>, available at</w:t>
      </w:r>
      <w:r w:rsidRPr="00FF17B9">
        <w:t xml:space="preserve"> </w:t>
      </w:r>
      <w:hyperlink r:id="rId19" w:history="1">
        <w:r w:rsidRPr="006438FD">
          <w:rPr>
            <w:rStyle w:val="Hyperlink"/>
          </w:rPr>
          <w:t>https://www.ncei.noaa.gov/access/billions/</w:t>
        </w:r>
      </w:hyperlink>
      <w:r>
        <w:t>.</w:t>
      </w:r>
    </w:p>
  </w:footnote>
  <w:footnote w:id="44">
    <w:p w14:paraId="6BFC2179" w14:textId="7ACFD283" w:rsidR="003F3BF4" w:rsidRDefault="003F3BF4" w:rsidP="00886A73">
      <w:pPr>
        <w:pStyle w:val="FootnoteText"/>
      </w:pPr>
      <w:r>
        <w:rPr>
          <w:rStyle w:val="FootnoteReference"/>
        </w:rPr>
        <w:footnoteRef/>
      </w:r>
      <w:r>
        <w:t xml:space="preserve"> </w:t>
      </w:r>
      <w:r w:rsidR="009E063C">
        <w:tab/>
      </w:r>
      <w:r>
        <w:t>NOAA</w:t>
      </w:r>
      <w:r w:rsidR="009E063C">
        <w:t>,</w:t>
      </w:r>
      <w:r>
        <w:t xml:space="preserve"> National Centers for Environmental Information (NCEI)</w:t>
      </w:r>
      <w:r w:rsidR="009E063C">
        <w:t xml:space="preserve">, </w:t>
      </w:r>
      <w:r w:rsidRPr="009E063C">
        <w:rPr>
          <w:i/>
          <w:iCs/>
        </w:rPr>
        <w:t>Georgia Summary</w:t>
      </w:r>
      <w:r w:rsidR="009E063C">
        <w:t>, u</w:t>
      </w:r>
      <w:r>
        <w:t>pdated January 9, 2024</w:t>
      </w:r>
      <w:r w:rsidR="009E063C">
        <w:t>, available at</w:t>
      </w:r>
      <w:r>
        <w:t xml:space="preserve"> </w:t>
      </w:r>
      <w:hyperlink r:id="rId20" w:history="1">
        <w:r w:rsidRPr="006438FD">
          <w:rPr>
            <w:rStyle w:val="Hyperlink"/>
          </w:rPr>
          <w:t>https://www.ncei.noaa.gov/access/billions/state-summary/GA</w:t>
        </w:r>
      </w:hyperlink>
      <w:r>
        <w:t>.</w:t>
      </w:r>
    </w:p>
  </w:footnote>
  <w:footnote w:id="45">
    <w:p w14:paraId="4D0DF537" w14:textId="7236096C" w:rsidR="008F6424" w:rsidRDefault="008F6424" w:rsidP="00886A73">
      <w:pPr>
        <w:pStyle w:val="FootnoteText"/>
      </w:pPr>
      <w:r>
        <w:rPr>
          <w:rStyle w:val="FootnoteReference"/>
        </w:rPr>
        <w:footnoteRef/>
      </w:r>
      <w:r>
        <w:t xml:space="preserve"> </w:t>
      </w:r>
      <w:r w:rsidR="00DD4116">
        <w:tab/>
      </w:r>
      <w:r>
        <w:t>Energy Ventures Analysis</w:t>
      </w:r>
      <w:r w:rsidR="00DD4116">
        <w:t xml:space="preserve">, </w:t>
      </w:r>
      <w:r w:rsidRPr="00C5673F">
        <w:rPr>
          <w:i/>
          <w:iCs/>
        </w:rPr>
        <w:t>Operation of the U.S. Power Generation Fleet During Winter Storm Elliott</w:t>
      </w:r>
      <w:r w:rsidR="00DD4116">
        <w:t xml:space="preserve">, at 17, </w:t>
      </w:r>
      <w:r>
        <w:t>February 202</w:t>
      </w:r>
      <w:r w:rsidR="00DD4116">
        <w:t xml:space="preserve">, available at </w:t>
      </w:r>
      <w:hyperlink r:id="rId21" w:history="1">
        <w:r w:rsidRPr="006438FD">
          <w:rPr>
            <w:rStyle w:val="Hyperlink"/>
          </w:rPr>
          <w:t>https://www.evainc.com/wp-content/uploads/2023/02/2023_02_23-EVA-Winter-Storm-Elliott-Report.pdf</w:t>
        </w:r>
      </w:hyperlink>
      <w:r w:rsidR="003F3BF4">
        <w:t>;</w:t>
      </w:r>
      <w:r w:rsidR="00C5673F">
        <w:t xml:space="preserve"> </w:t>
      </w:r>
      <w:r w:rsidR="00C5673F">
        <w:rPr>
          <w:i/>
          <w:iCs/>
        </w:rPr>
        <w:t>see also</w:t>
      </w:r>
      <w:r w:rsidR="00C5673F">
        <w:t xml:space="preserve">, Duke Energy, </w:t>
      </w:r>
      <w:r w:rsidR="00C5673F" w:rsidRPr="00C5673F">
        <w:rPr>
          <w:i/>
          <w:iCs/>
        </w:rPr>
        <w:t>Duke Energy updates North Carolina Utilities Commission on Winter Storm Elliott Emergency Outage Event</w:t>
      </w:r>
      <w:r w:rsidR="00C5673F">
        <w:t xml:space="preserve">, Jan. 3, 2023, available at </w:t>
      </w:r>
      <w:hyperlink r:id="rId22" w:history="1">
        <w:r w:rsidR="003F3BF4" w:rsidRPr="006438FD">
          <w:rPr>
            <w:rStyle w:val="Hyperlink"/>
          </w:rPr>
          <w:t>https://news.duke-energy.com/releases/duke-energy-updates-north-carolina-utilities-commission-on-winter-storm-elliott-emergency-outage-event</w:t>
        </w:r>
      </w:hyperlink>
      <w:r w:rsidR="00C5673F">
        <w:t xml:space="preserve">; Tennessee Valley Authority, </w:t>
      </w:r>
      <w:r w:rsidR="00C5673F" w:rsidRPr="00C5673F">
        <w:rPr>
          <w:i/>
          <w:iCs/>
        </w:rPr>
        <w:t>TVA Accepts Responsibility, Starts Full Revie</w:t>
      </w:r>
      <w:r w:rsidR="00C5673F">
        <w:rPr>
          <w:i/>
          <w:iCs/>
        </w:rPr>
        <w:t xml:space="preserve">w, </w:t>
      </w:r>
      <w:r w:rsidR="00C5673F">
        <w:t xml:space="preserve">December 28, 2022, available at </w:t>
      </w:r>
      <w:hyperlink r:id="rId23" w:history="1">
        <w:r w:rsidR="00C5673F" w:rsidRPr="001E5578">
          <w:rPr>
            <w:rStyle w:val="Hyperlink"/>
          </w:rPr>
          <w:t>https://www.tva.com/newsroom/press-releases/tva-accepts-responsibility-starts-full-review</w:t>
        </w:r>
      </w:hyperlink>
      <w:r w:rsidR="00C5673F">
        <w:t xml:space="preserve">; Louisville Public Media, </w:t>
      </w:r>
      <w:r w:rsidR="00C5673F" w:rsidRPr="00834893">
        <w:rPr>
          <w:i/>
          <w:iCs/>
        </w:rPr>
        <w:t>LG&amp;E/KU underestimated energy demand ahead of winter storm Elliott</w:t>
      </w:r>
      <w:r w:rsidR="00C5673F">
        <w:t xml:space="preserve">, Jan. 26, 2023, available at </w:t>
      </w:r>
      <w:hyperlink r:id="rId24" w:history="1">
        <w:r w:rsidR="00C5673F" w:rsidRPr="001E5578">
          <w:rPr>
            <w:rStyle w:val="Hyperlink"/>
          </w:rPr>
          <w:t>https://www.lpm.org/news/2023-01-26/lg-e-ku-underestimated-energy-demand-ahead-of-winter-storm-elliott</w:t>
        </w:r>
      </w:hyperlink>
      <w:r w:rsidR="003F3BF4">
        <w:rPr>
          <w:rStyle w:val="Hyperlink"/>
        </w:rPr>
        <w:t>.</w:t>
      </w:r>
    </w:p>
  </w:footnote>
  <w:footnote w:id="46">
    <w:p w14:paraId="6C4FF6B4" w14:textId="6D07E06A" w:rsidR="008F6424" w:rsidRDefault="008F6424" w:rsidP="00886A73">
      <w:pPr>
        <w:pStyle w:val="FootnoteText"/>
      </w:pPr>
      <w:r>
        <w:rPr>
          <w:rStyle w:val="FootnoteReference"/>
        </w:rPr>
        <w:footnoteRef/>
      </w:r>
      <w:r>
        <w:t xml:space="preserve"> </w:t>
      </w:r>
      <w:r w:rsidR="00C254F4">
        <w:tab/>
        <w:t xml:space="preserve">FERC-NERC Elliott Report at </w:t>
      </w:r>
      <w:r>
        <w:t xml:space="preserve">49. </w:t>
      </w:r>
    </w:p>
  </w:footnote>
  <w:footnote w:id="47">
    <w:p w14:paraId="52B85173" w14:textId="5C0B3968" w:rsidR="008F6424" w:rsidRDefault="008F6424" w:rsidP="00886A73">
      <w:pPr>
        <w:pStyle w:val="FootnoteText"/>
      </w:pPr>
      <w:r>
        <w:rPr>
          <w:rStyle w:val="FootnoteReference"/>
        </w:rPr>
        <w:footnoteRef/>
      </w:r>
      <w:r>
        <w:t xml:space="preserve"> </w:t>
      </w:r>
      <w:r w:rsidR="00C254F4">
        <w:tab/>
      </w:r>
      <w:r w:rsidR="00C254F4">
        <w:rPr>
          <w:i/>
          <w:iCs/>
        </w:rPr>
        <w:t xml:space="preserve">Id. </w:t>
      </w:r>
      <w:r w:rsidR="00C254F4">
        <w:t>at</w:t>
      </w:r>
      <w:r>
        <w:t xml:space="preserve"> 48. </w:t>
      </w:r>
    </w:p>
  </w:footnote>
  <w:footnote w:id="48">
    <w:p w14:paraId="04197E93" w14:textId="31045D12" w:rsidR="008F6424" w:rsidRDefault="008F6424" w:rsidP="00886A73">
      <w:pPr>
        <w:pStyle w:val="FootnoteText"/>
      </w:pPr>
      <w:r>
        <w:rPr>
          <w:rStyle w:val="FootnoteReference"/>
        </w:rPr>
        <w:footnoteRef/>
      </w:r>
      <w:r>
        <w:t xml:space="preserve"> </w:t>
      </w:r>
      <w:r w:rsidR="00C254F4">
        <w:tab/>
        <w:t xml:space="preserve">FERC-NERC Elliott Report at </w:t>
      </w:r>
      <w:r w:rsidRPr="005F4872">
        <w:t>64, 69, 72.</w:t>
      </w:r>
      <w:r>
        <w:t xml:space="preserve"> </w:t>
      </w:r>
    </w:p>
  </w:footnote>
  <w:footnote w:id="49">
    <w:p w14:paraId="6119800D" w14:textId="7061A45E" w:rsidR="008F6424" w:rsidRDefault="008F6424" w:rsidP="00886A73">
      <w:pPr>
        <w:pStyle w:val="FootnoteText"/>
      </w:pPr>
      <w:r>
        <w:rPr>
          <w:rStyle w:val="FootnoteReference"/>
        </w:rPr>
        <w:footnoteRef/>
      </w:r>
      <w:r>
        <w:t xml:space="preserve"> </w:t>
      </w:r>
      <w:r w:rsidR="00C254F4">
        <w:tab/>
      </w:r>
      <w:r>
        <w:t>PJM</w:t>
      </w:r>
      <w:r w:rsidR="00C254F4">
        <w:t xml:space="preserve">, </w:t>
      </w:r>
      <w:r w:rsidRPr="00C254F4">
        <w:rPr>
          <w:i/>
          <w:iCs/>
        </w:rPr>
        <w:t>Winter Storm Elliott. Event Analysis and Recommendation Report</w:t>
      </w:r>
      <w:r w:rsidR="00C254F4">
        <w:t>, at 19,</w:t>
      </w:r>
      <w:r>
        <w:t xml:space="preserve"> July 17, 2023</w:t>
      </w:r>
      <w:r w:rsidR="00C254F4">
        <w:t xml:space="preserve">, available at </w:t>
      </w:r>
      <w:hyperlink r:id="rId25" w:history="1">
        <w:r w:rsidRPr="00E775BA">
          <w:rPr>
            <w:rStyle w:val="Hyperlink"/>
          </w:rPr>
          <w:t>https://www.pjm.com/-/media/library/reports-notices/special-reports/2023/20230717-winter-storm-elliott-event-analysis-and-recommendation-report.ashx</w:t>
        </w:r>
      </w:hyperlink>
      <w:r>
        <w:t xml:space="preserve"> </w:t>
      </w:r>
    </w:p>
  </w:footnote>
  <w:footnote w:id="50">
    <w:p w14:paraId="2A526AD6" w14:textId="57007ECC" w:rsidR="008F6424" w:rsidRDefault="008F6424" w:rsidP="00886A73">
      <w:pPr>
        <w:pStyle w:val="FootnoteText"/>
      </w:pPr>
      <w:r>
        <w:rPr>
          <w:rStyle w:val="FootnoteReference"/>
        </w:rPr>
        <w:footnoteRef/>
      </w:r>
      <w:r>
        <w:t xml:space="preserve"> </w:t>
      </w:r>
      <w:r w:rsidR="0082613B">
        <w:tab/>
        <w:t xml:space="preserve">U.S. </w:t>
      </w:r>
      <w:r>
        <w:t>D</w:t>
      </w:r>
      <w:r w:rsidR="0082613B">
        <w:t xml:space="preserve">epartment </w:t>
      </w:r>
      <w:r>
        <w:t>O</w:t>
      </w:r>
      <w:r w:rsidR="0082613B">
        <w:t>f Energy,</w:t>
      </w:r>
      <w:r>
        <w:t xml:space="preserve"> CESER</w:t>
      </w:r>
      <w:r w:rsidR="0082613B">
        <w:t xml:space="preserve">, </w:t>
      </w:r>
      <w:r w:rsidRPr="0082613B">
        <w:rPr>
          <w:i/>
          <w:iCs/>
        </w:rPr>
        <w:t>Hurricane Michael Situation Reports - October 2018</w:t>
      </w:r>
      <w:r w:rsidR="0082613B">
        <w:rPr>
          <w:i/>
          <w:iCs/>
        </w:rPr>
        <w:t>,</w:t>
      </w:r>
      <w:r w:rsidRPr="0082613B">
        <w:rPr>
          <w:i/>
          <w:iCs/>
        </w:rPr>
        <w:t xml:space="preserve"> </w:t>
      </w:r>
      <w:r w:rsidRPr="0082613B">
        <w:rPr>
          <w:i/>
          <w:iCs/>
          <w:shd w:val="clear" w:color="auto" w:fill="FFFFFF"/>
        </w:rPr>
        <w:t>Michael DOE Event Summary Report #3 Morning October 11, 2018</w:t>
      </w:r>
      <w:r w:rsidR="0082613B">
        <w:rPr>
          <w:shd w:val="clear" w:color="auto" w:fill="FFFFFF"/>
        </w:rPr>
        <w:t>, available at</w:t>
      </w:r>
      <w:r w:rsidRPr="00A978CF">
        <w:rPr>
          <w:shd w:val="clear" w:color="auto" w:fill="FFFFFF"/>
        </w:rPr>
        <w:t xml:space="preserve"> </w:t>
      </w:r>
      <w:hyperlink r:id="rId26" w:history="1">
        <w:r w:rsidRPr="006438FD">
          <w:rPr>
            <w:rStyle w:val="Hyperlink"/>
          </w:rPr>
          <w:t>https://www.energy.gov/ceser/articles/hurricane-michael-situation-reports-october-2018</w:t>
        </w:r>
      </w:hyperlink>
      <w:r w:rsidR="00F61D50">
        <w:t>.</w:t>
      </w:r>
    </w:p>
  </w:footnote>
  <w:footnote w:id="51">
    <w:p w14:paraId="36D94DBD" w14:textId="31DB738A" w:rsidR="008F6424" w:rsidRPr="005F4872" w:rsidRDefault="008F6424" w:rsidP="00886A73">
      <w:pPr>
        <w:pStyle w:val="FootnoteText"/>
      </w:pPr>
      <w:r>
        <w:rPr>
          <w:rStyle w:val="FootnoteReference"/>
        </w:rPr>
        <w:footnoteRef/>
      </w:r>
      <w:r>
        <w:t xml:space="preserve"> </w:t>
      </w:r>
      <w:r w:rsidR="0082613B">
        <w:tab/>
      </w:r>
      <w:r w:rsidRPr="005F4872">
        <w:t>Georgia Power</w:t>
      </w:r>
      <w:r w:rsidR="0082613B">
        <w:t xml:space="preserve">, </w:t>
      </w:r>
      <w:r w:rsidRPr="0082613B">
        <w:rPr>
          <w:i/>
          <w:iCs/>
        </w:rPr>
        <w:t>Hurricane Michael Update</w:t>
      </w:r>
      <w:r w:rsidR="0082613B">
        <w:t>, available at</w:t>
      </w:r>
      <w:r w:rsidRPr="005F4872">
        <w:t xml:space="preserve"> </w:t>
      </w:r>
      <w:hyperlink r:id="rId27" w:history="1">
        <w:r w:rsidRPr="005F4872">
          <w:rPr>
            <w:rStyle w:val="Hyperlink"/>
          </w:rPr>
          <w:t>https://www.georgiapower.com/company/safety/outages-and-stormcenter/after-a-storm/hurricane-michael.html</w:t>
        </w:r>
      </w:hyperlink>
      <w:r w:rsidRPr="005F4872">
        <w:t xml:space="preserve"> </w:t>
      </w:r>
    </w:p>
  </w:footnote>
  <w:footnote w:id="52">
    <w:p w14:paraId="498815C4" w14:textId="621AC47F" w:rsidR="008F6424" w:rsidRDefault="008F6424" w:rsidP="00886A73">
      <w:pPr>
        <w:pStyle w:val="FootnoteText"/>
      </w:pPr>
      <w:r w:rsidRPr="005F4872">
        <w:rPr>
          <w:rStyle w:val="FootnoteReference"/>
        </w:rPr>
        <w:footnoteRef/>
      </w:r>
      <w:r w:rsidRPr="005F4872">
        <w:t xml:space="preserve"> </w:t>
      </w:r>
      <w:r w:rsidR="0082613B">
        <w:tab/>
      </w:r>
      <w:r w:rsidRPr="005F4872">
        <w:t>Swartz, K</w:t>
      </w:r>
      <w:r w:rsidR="0082613B">
        <w:t xml:space="preserve">, </w:t>
      </w:r>
      <w:r w:rsidRPr="0082613B">
        <w:rPr>
          <w:i/>
          <w:iCs/>
        </w:rPr>
        <w:t>Southern Co’s bill for Hurricane Michael may hit $550M</w:t>
      </w:r>
      <w:r w:rsidR="0082613B">
        <w:t xml:space="preserve">, </w:t>
      </w:r>
      <w:r w:rsidRPr="005F4872">
        <w:t>Energy Wire</w:t>
      </w:r>
      <w:r w:rsidR="0082613B">
        <w:t xml:space="preserve">, </w:t>
      </w:r>
      <w:r w:rsidRPr="005F4872">
        <w:t>November 8, 2018</w:t>
      </w:r>
      <w:r w:rsidR="0082613B">
        <w:t xml:space="preserve">, available at </w:t>
      </w:r>
      <w:hyperlink r:id="rId28" w:history="1">
        <w:r w:rsidR="0082613B" w:rsidRPr="001E5578">
          <w:rPr>
            <w:rStyle w:val="Hyperlink"/>
          </w:rPr>
          <w:t>https://subscriber.politicopro.com/article/eenews/2018/11/08/southern-cos-bill-for-hurricane-michael-may-hit-550m-036270</w:t>
        </w:r>
      </w:hyperlink>
      <w:r w:rsidR="0082613B">
        <w:t>.</w:t>
      </w:r>
    </w:p>
  </w:footnote>
  <w:footnote w:id="53">
    <w:p w14:paraId="085F374B" w14:textId="2152B7CB" w:rsidR="00936C91" w:rsidRDefault="00936C91" w:rsidP="00886A73">
      <w:pPr>
        <w:pStyle w:val="FootnoteText"/>
      </w:pPr>
      <w:r>
        <w:rPr>
          <w:rStyle w:val="FootnoteReference"/>
        </w:rPr>
        <w:footnoteRef/>
      </w:r>
      <w:r>
        <w:t xml:space="preserve"> </w:t>
      </w:r>
      <w:r w:rsidR="00482845">
        <w:tab/>
      </w:r>
      <w:r>
        <w:t>E</w:t>
      </w:r>
      <w:r w:rsidR="00482845">
        <w:t xml:space="preserve">nergy </w:t>
      </w:r>
      <w:r>
        <w:t>I</w:t>
      </w:r>
      <w:r w:rsidR="00482845">
        <w:t xml:space="preserve">nformation </w:t>
      </w:r>
      <w:r>
        <w:t>A</w:t>
      </w:r>
      <w:r w:rsidR="00482845">
        <w:t>dministration,</w:t>
      </w:r>
      <w:r>
        <w:t xml:space="preserve"> </w:t>
      </w:r>
      <w:r w:rsidRPr="00482845">
        <w:rPr>
          <w:i/>
          <w:iCs/>
        </w:rPr>
        <w:t>Hurricane Michael Electricity Status Report</w:t>
      </w:r>
      <w:r w:rsidR="00482845">
        <w:t>, at 3,</w:t>
      </w:r>
      <w:r>
        <w:t xml:space="preserve"> October 12, 2018</w:t>
      </w:r>
      <w:r w:rsidR="00482845">
        <w:t xml:space="preserve">, available at </w:t>
      </w:r>
      <w:hyperlink r:id="rId29" w:history="1">
        <w:r w:rsidRPr="00E775BA">
          <w:rPr>
            <w:rStyle w:val="Hyperlink"/>
          </w:rPr>
          <w:t>https://www.eia.gov/special/disruptions/hurricane/michael/pdf/update_10122018.pdf</w:t>
        </w:r>
      </w:hyperlink>
      <w:r w:rsidR="00482845">
        <w:t>.</w:t>
      </w:r>
    </w:p>
  </w:footnote>
  <w:footnote w:id="54">
    <w:p w14:paraId="1A26A156" w14:textId="2DAAC36C" w:rsidR="008F6424" w:rsidRDefault="008F6424" w:rsidP="00886A73">
      <w:pPr>
        <w:pStyle w:val="FootnoteText"/>
      </w:pPr>
      <w:r>
        <w:rPr>
          <w:rStyle w:val="FootnoteReference"/>
        </w:rPr>
        <w:footnoteRef/>
      </w:r>
      <w:r>
        <w:t xml:space="preserve"> </w:t>
      </w:r>
      <w:r w:rsidR="00482845">
        <w:tab/>
      </w:r>
      <w:r>
        <w:t>Grid Strategies</w:t>
      </w:r>
      <w:r w:rsidR="00482845">
        <w:t xml:space="preserve">, </w:t>
      </w:r>
      <w:r w:rsidRPr="00482845">
        <w:rPr>
          <w:i/>
          <w:iCs/>
        </w:rPr>
        <w:t>The Value of Transmission During Winter Storm Elliott</w:t>
      </w:r>
      <w:r w:rsidR="00482845">
        <w:t>, at 5, prepared for ACORE,</w:t>
      </w:r>
      <w:r>
        <w:t xml:space="preserve"> February 2023</w:t>
      </w:r>
      <w:r w:rsidR="00482845">
        <w:t>, available at</w:t>
      </w:r>
      <w:r>
        <w:t xml:space="preserve"> </w:t>
      </w:r>
      <w:hyperlink r:id="rId30" w:history="1">
        <w:r w:rsidRPr="006438FD">
          <w:rPr>
            <w:rStyle w:val="Hyperlink"/>
          </w:rPr>
          <w:t>https://acore.org/wp-content/uploads/2023/02/ACORE-The-Value-of-Transmission-During-Winter-Storm-Elliott.pdf</w:t>
        </w:r>
      </w:hyperlink>
      <w:r w:rsidR="00482845">
        <w:t>.</w:t>
      </w:r>
    </w:p>
  </w:footnote>
  <w:footnote w:id="55">
    <w:p w14:paraId="25504ACE" w14:textId="0392F6FB" w:rsidR="00711192" w:rsidRPr="00711192" w:rsidRDefault="00711192" w:rsidP="00886A73">
      <w:pPr>
        <w:pStyle w:val="FootnoteText"/>
      </w:pPr>
      <w:r>
        <w:rPr>
          <w:rStyle w:val="FootnoteReference"/>
        </w:rPr>
        <w:footnoteRef/>
      </w:r>
      <w:r>
        <w:t xml:space="preserve"> </w:t>
      </w:r>
      <w:r w:rsidR="00482845">
        <w:tab/>
      </w:r>
      <w:r>
        <w:rPr>
          <w:i/>
          <w:iCs/>
        </w:rPr>
        <w:t xml:space="preserve">Id. </w:t>
      </w:r>
      <w:r>
        <w:t>(finding that a one GW transmission line between the Electric Reliability Council of Texas (ERCOT) and TVA would have provided nearly $95 million in value, mostly to TVA customers. That adds to the nearly $1 billion in value that line, flowing in the other direction, would have provided Texans suffering through outages during Winter Storm Uri in February 2021.)</w:t>
      </w:r>
    </w:p>
  </w:footnote>
  <w:footnote w:id="56">
    <w:p w14:paraId="6FA0C0B5" w14:textId="15E34CB4" w:rsidR="008F6424" w:rsidRDefault="008F6424" w:rsidP="00886A73">
      <w:pPr>
        <w:pStyle w:val="FootnoteText"/>
      </w:pPr>
      <w:r>
        <w:rPr>
          <w:rStyle w:val="FootnoteReference"/>
        </w:rPr>
        <w:footnoteRef/>
      </w:r>
      <w:r>
        <w:t xml:space="preserve"> </w:t>
      </w:r>
      <w:r w:rsidR="00276728">
        <w:tab/>
      </w:r>
      <w:r>
        <w:t>Energy Systems Integration Group</w:t>
      </w:r>
      <w:r w:rsidR="00276728">
        <w:t>,</w:t>
      </w:r>
      <w:r>
        <w:t xml:space="preserve"> </w:t>
      </w:r>
      <w:r w:rsidRPr="00276728">
        <w:rPr>
          <w:i/>
          <w:iCs/>
        </w:rPr>
        <w:t>Multi-Value Transmission Planning for a Clean Energy Future</w:t>
      </w:r>
      <w:r w:rsidR="00276728">
        <w:t>,</w:t>
      </w:r>
      <w:r>
        <w:t xml:space="preserve"> </w:t>
      </w:r>
      <w:r w:rsidR="00276728">
        <w:t xml:space="preserve">at 55, </w:t>
      </w:r>
      <w:r>
        <w:t>June 2022</w:t>
      </w:r>
      <w:r w:rsidR="00276728">
        <w:t xml:space="preserve">, available at </w:t>
      </w:r>
      <w:hyperlink r:id="rId31" w:history="1">
        <w:r w:rsidRPr="006438FD">
          <w:rPr>
            <w:rStyle w:val="Hyperlink"/>
          </w:rPr>
          <w:t>https://www.esig.energy/wp-content/uploads/2022/07/ESIG-Multi-Value-Transmission-Planning-report-2022a.pdf</w:t>
        </w:r>
      </w:hyperlink>
      <w:r w:rsidR="00276728" w:rsidRPr="00276728">
        <w:rPr>
          <w:rStyle w:val="Hyperlink"/>
          <w:u w:val="none"/>
        </w:rPr>
        <w:t>.</w:t>
      </w:r>
    </w:p>
  </w:footnote>
  <w:footnote w:id="57">
    <w:p w14:paraId="050DCA28" w14:textId="3E6E8D77" w:rsidR="008F6424" w:rsidRPr="00276728" w:rsidRDefault="008F6424" w:rsidP="00886A73">
      <w:pPr>
        <w:pStyle w:val="FootnoteText"/>
        <w:rPr>
          <w:i/>
          <w:iCs/>
        </w:rPr>
      </w:pPr>
      <w:r>
        <w:rPr>
          <w:rStyle w:val="FootnoteReference"/>
        </w:rPr>
        <w:footnoteRef/>
      </w:r>
      <w:r>
        <w:t xml:space="preserve"> </w:t>
      </w:r>
      <w:r w:rsidR="00276728">
        <w:tab/>
      </w:r>
      <w:r w:rsidR="00276728">
        <w:rPr>
          <w:i/>
          <w:iCs/>
        </w:rPr>
        <w:t>Id.</w:t>
      </w:r>
    </w:p>
  </w:footnote>
  <w:footnote w:id="58">
    <w:p w14:paraId="5562035B" w14:textId="6C5A501C" w:rsidR="0049387D" w:rsidRDefault="0049387D" w:rsidP="00886A73">
      <w:pPr>
        <w:pStyle w:val="FootnoteText"/>
      </w:pPr>
      <w:r>
        <w:rPr>
          <w:rStyle w:val="FootnoteReference"/>
        </w:rPr>
        <w:footnoteRef/>
      </w:r>
      <w:r>
        <w:t xml:space="preserve"> </w:t>
      </w:r>
      <w:r w:rsidR="0006376D">
        <w:tab/>
      </w:r>
      <w:r>
        <w:t>Southern Company</w:t>
      </w:r>
      <w:r w:rsidR="0006376D">
        <w:t xml:space="preserve">, </w:t>
      </w:r>
      <w:r w:rsidRPr="0006376D">
        <w:rPr>
          <w:i/>
          <w:iCs/>
        </w:rPr>
        <w:t>Southern Company Emissions Reduction Progress and Reporting</w:t>
      </w:r>
      <w:r w:rsidR="0006376D">
        <w:t xml:space="preserve">, </w:t>
      </w:r>
      <w:r>
        <w:t>November 2023</w:t>
      </w:r>
      <w:r w:rsidR="0006376D">
        <w:t xml:space="preserve">, available at </w:t>
      </w:r>
      <w:hyperlink r:id="rId32" w:history="1">
        <w:r w:rsidR="0006376D" w:rsidRPr="001E5578">
          <w:rPr>
            <w:rStyle w:val="Hyperlink"/>
          </w:rPr>
          <w:t>https://www.southerncompany.com/content/dam/southerncompany/sustainability/pdfs/net-zero-transition/esg-emissions-reduction-reporting-fact-sheet.pdf</w:t>
        </w:r>
      </w:hyperlink>
      <w:r w:rsidR="0006376D">
        <w:t>.</w:t>
      </w:r>
    </w:p>
  </w:footnote>
  <w:footnote w:id="59">
    <w:p w14:paraId="64791375" w14:textId="540178E6" w:rsidR="00F73C85" w:rsidRDefault="00F73C85">
      <w:pPr>
        <w:pStyle w:val="FootnoteText"/>
      </w:pPr>
      <w:r>
        <w:rPr>
          <w:rStyle w:val="FootnoteReference"/>
        </w:rPr>
        <w:footnoteRef/>
      </w:r>
      <w:r>
        <w:t xml:space="preserve"> </w:t>
      </w:r>
      <w:r>
        <w:tab/>
        <w:t xml:space="preserve">Center for Climate and Energy Solutions (C2ES), </w:t>
      </w:r>
      <w:r w:rsidRPr="00F73C85">
        <w:rPr>
          <w:i/>
          <w:iCs/>
        </w:rPr>
        <w:t>U.S. State Climate Action Plans</w:t>
      </w:r>
      <w:r>
        <w:t xml:space="preserve">, available at </w:t>
      </w:r>
      <w:hyperlink r:id="rId33" w:history="1">
        <w:r w:rsidRPr="001E5578">
          <w:rPr>
            <w:rStyle w:val="Hyperlink"/>
          </w:rPr>
          <w:t>https://www.c2es.org/document/climate-action-plans/</w:t>
        </w:r>
      </w:hyperlink>
      <w:r>
        <w:t>, last accessed Feb. 15, 2024.</w:t>
      </w:r>
    </w:p>
  </w:footnote>
  <w:footnote w:id="60">
    <w:p w14:paraId="7015092D" w14:textId="25A26E13" w:rsidR="00B82297" w:rsidRDefault="00B82297" w:rsidP="00886A73">
      <w:pPr>
        <w:pStyle w:val="FootnoteText"/>
      </w:pPr>
      <w:r>
        <w:rPr>
          <w:rStyle w:val="FootnoteReference"/>
        </w:rPr>
        <w:footnoteRef/>
      </w:r>
      <w:r>
        <w:t xml:space="preserve"> </w:t>
      </w:r>
      <w:r w:rsidR="0006376D">
        <w:tab/>
      </w:r>
      <w:r>
        <w:t>EPA</w:t>
      </w:r>
      <w:r w:rsidR="0006376D">
        <w:t>,</w:t>
      </w:r>
      <w:r>
        <w:t xml:space="preserve"> </w:t>
      </w:r>
      <w:r w:rsidRPr="0006376D">
        <w:rPr>
          <w:i/>
          <w:iCs/>
        </w:rPr>
        <w:t>Climate Pollution Reduction Grants: Planning Grants Program</w:t>
      </w:r>
      <w:r w:rsidR="0006376D" w:rsidRPr="0006376D">
        <w:rPr>
          <w:i/>
          <w:iCs/>
        </w:rPr>
        <w:t xml:space="preserve">, </w:t>
      </w:r>
      <w:r w:rsidRPr="0006376D">
        <w:rPr>
          <w:i/>
          <w:iCs/>
        </w:rPr>
        <w:t>Status of Grant Awards for States</w:t>
      </w:r>
      <w:r w:rsidR="0006376D">
        <w:t xml:space="preserve">, available at </w:t>
      </w:r>
      <w:hyperlink r:id="rId34" w:history="1">
        <w:r w:rsidRPr="00E775BA">
          <w:rPr>
            <w:rStyle w:val="Hyperlink"/>
          </w:rPr>
          <w:t>https://www.epa.gov/system/files/documents/2023-09/cprg_planning_grant_award_status.pdf</w:t>
        </w:r>
      </w:hyperlink>
      <w:r w:rsidR="0006376D">
        <w:t>, last updated October 10, 2023.</w:t>
      </w:r>
    </w:p>
  </w:footnote>
  <w:footnote w:id="61">
    <w:p w14:paraId="1E29AFB7" w14:textId="75415ED7" w:rsidR="00B82297" w:rsidRDefault="00B82297" w:rsidP="00943730">
      <w:pPr>
        <w:pStyle w:val="FootnoteText"/>
      </w:pPr>
      <w:r>
        <w:rPr>
          <w:rStyle w:val="FootnoteReference"/>
        </w:rPr>
        <w:footnoteRef/>
      </w:r>
      <w:r>
        <w:t xml:space="preserve"> </w:t>
      </w:r>
      <w:r w:rsidR="00943730">
        <w:tab/>
      </w:r>
      <w:r>
        <w:t>Georgia Environmental Protection Division</w:t>
      </w:r>
      <w:r w:rsidR="00943730">
        <w:t xml:space="preserve">, </w:t>
      </w:r>
      <w:r w:rsidRPr="00943730">
        <w:rPr>
          <w:i/>
          <w:iCs/>
        </w:rPr>
        <w:t>Georgia Climate Pollution Reduction Grant</w:t>
      </w:r>
      <w:r w:rsidR="00943730">
        <w:t>, available at</w:t>
      </w:r>
      <w:r>
        <w:t xml:space="preserve"> </w:t>
      </w:r>
      <w:hyperlink r:id="rId35" w:history="1">
        <w:r w:rsidRPr="006438FD">
          <w:rPr>
            <w:rStyle w:val="Hyperlink"/>
          </w:rPr>
          <w:t>https://epd.georgia.gov/georgia-climate-pollution-reduction-grant</w:t>
        </w:r>
      </w:hyperlink>
      <w:r w:rsidR="00943730">
        <w:t>, last accessed Feb. 15, 2024.</w:t>
      </w:r>
    </w:p>
  </w:footnote>
  <w:footnote w:id="62">
    <w:p w14:paraId="4046D294" w14:textId="020C7A3C" w:rsidR="00B82297" w:rsidRPr="00943730" w:rsidRDefault="00B82297" w:rsidP="00886A73">
      <w:pPr>
        <w:pStyle w:val="FootnoteText"/>
        <w:rPr>
          <w:i/>
          <w:iCs/>
        </w:rPr>
      </w:pPr>
      <w:r>
        <w:rPr>
          <w:rStyle w:val="FootnoteReference"/>
        </w:rPr>
        <w:footnoteRef/>
      </w:r>
      <w:r>
        <w:t xml:space="preserve"> </w:t>
      </w:r>
      <w:r w:rsidR="00943730">
        <w:tab/>
      </w:r>
      <w:r w:rsidR="00943730">
        <w:rPr>
          <w:i/>
          <w:iCs/>
        </w:rPr>
        <w:t>Id</w:t>
      </w:r>
      <w:r w:rsidR="0006376D">
        <w:rPr>
          <w:i/>
          <w:iCs/>
        </w:rPr>
        <w:t>.</w:t>
      </w:r>
    </w:p>
  </w:footnote>
  <w:footnote w:id="63">
    <w:p w14:paraId="2B658695" w14:textId="37A783B9" w:rsidR="000774AF" w:rsidRDefault="000774AF">
      <w:pPr>
        <w:pStyle w:val="FootnoteText"/>
      </w:pPr>
      <w:r>
        <w:rPr>
          <w:rStyle w:val="FootnoteReference"/>
        </w:rPr>
        <w:footnoteRef/>
      </w:r>
      <w:r>
        <w:t xml:space="preserve"> </w:t>
      </w:r>
      <w:r>
        <w:tab/>
        <w:t xml:space="preserve">Drew </w:t>
      </w:r>
      <w:proofErr w:type="spellStart"/>
      <w:r>
        <w:t>Kann</w:t>
      </w:r>
      <w:proofErr w:type="spellEnd"/>
      <w:r>
        <w:t xml:space="preserve"> and Greg Bluestein, </w:t>
      </w:r>
      <w:r w:rsidRPr="000774AF">
        <w:rPr>
          <w:i/>
          <w:iCs/>
        </w:rPr>
        <w:t>Hyundai, LG to build $4.3B battery plant near Savannah</w:t>
      </w:r>
      <w:r>
        <w:t xml:space="preserve">, The Atlanta Journal-Constitution, May 25, 2023, available at </w:t>
      </w:r>
      <w:r w:rsidRPr="000774AF">
        <w:t>https://www.ajc.com/news/breaking-hyundai-lg-to-build-43-billion-ev-plant-near-savannah/6RTYCW7645DKFABA6PCQRZPAUY/</w:t>
      </w:r>
      <w:r>
        <w:t>.</w:t>
      </w:r>
    </w:p>
  </w:footnote>
  <w:footnote w:id="64">
    <w:p w14:paraId="32A2E22E" w14:textId="18DAD2C2" w:rsidR="0085664B" w:rsidRPr="0085664B" w:rsidRDefault="0085664B">
      <w:pPr>
        <w:pStyle w:val="FootnoteText"/>
        <w:rPr>
          <w:i/>
          <w:iCs/>
        </w:rPr>
      </w:pPr>
      <w:r>
        <w:rPr>
          <w:rStyle w:val="FootnoteReference"/>
        </w:rPr>
        <w:footnoteRef/>
      </w:r>
      <w:r>
        <w:t xml:space="preserve"> </w:t>
      </w:r>
      <w:r>
        <w:tab/>
      </w:r>
      <w:r>
        <w:rPr>
          <w:i/>
          <w:iCs/>
        </w:rPr>
        <w:t>Id.</w:t>
      </w:r>
    </w:p>
  </w:footnote>
  <w:footnote w:id="65">
    <w:p w14:paraId="61C1B0E2" w14:textId="6D68AE19" w:rsidR="0085664B" w:rsidRDefault="0085664B">
      <w:pPr>
        <w:pStyle w:val="FootnoteText"/>
      </w:pPr>
      <w:r>
        <w:rPr>
          <w:rStyle w:val="FootnoteReference"/>
        </w:rPr>
        <w:footnoteRef/>
      </w:r>
      <w:r>
        <w:t xml:space="preserve"> </w:t>
      </w:r>
      <w:r>
        <w:tab/>
        <w:t xml:space="preserve">Drew </w:t>
      </w:r>
      <w:proofErr w:type="spellStart"/>
      <w:r>
        <w:t>Kann</w:t>
      </w:r>
      <w:proofErr w:type="spellEnd"/>
      <w:r>
        <w:t xml:space="preserve"> and Greg Bluestein, </w:t>
      </w:r>
      <w:r w:rsidRPr="0085664B">
        <w:rPr>
          <w:i/>
          <w:iCs/>
        </w:rPr>
        <w:t>Solar manufacturer Qcells confirms historic Georgia expansion plans</w:t>
      </w:r>
      <w:r>
        <w:t xml:space="preserve">, The Atlanta Journal-Constitution, Jan. 11, 2023, available at </w:t>
      </w:r>
      <w:hyperlink r:id="rId36" w:history="1">
        <w:r w:rsidRPr="001E5578">
          <w:rPr>
            <w:rStyle w:val="Hyperlink"/>
          </w:rPr>
          <w:t>https://www.ajc.com/news/solar-manufacturer-qcells-confirms-25-billion-georgia-expansion/4UQP6CMU3JFOBKF74K3UI56CVQ/</w:t>
        </w:r>
      </w:hyperlink>
      <w:r>
        <w:t>.</w:t>
      </w:r>
    </w:p>
  </w:footnote>
  <w:footnote w:id="66">
    <w:p w14:paraId="01D5A566" w14:textId="575601E0" w:rsidR="00D07A9A" w:rsidRDefault="00D07A9A">
      <w:pPr>
        <w:pStyle w:val="FootnoteText"/>
      </w:pPr>
      <w:r>
        <w:rPr>
          <w:rStyle w:val="FootnoteReference"/>
        </w:rPr>
        <w:footnoteRef/>
      </w:r>
      <w:r>
        <w:t xml:space="preserve"> </w:t>
      </w:r>
      <w:r>
        <w:tab/>
        <w:t xml:space="preserve">Hyundai, </w:t>
      </w:r>
      <w:r w:rsidRPr="00D07A9A">
        <w:rPr>
          <w:i/>
          <w:iCs/>
        </w:rPr>
        <w:t>Road to Sustainability: 2023 Sustainability Report</w:t>
      </w:r>
      <w:r>
        <w:t xml:space="preserve">, </w:t>
      </w:r>
      <w:r w:rsidR="00886DAE">
        <w:t xml:space="preserve">at 25, </w:t>
      </w:r>
      <w:r>
        <w:t xml:space="preserve">available at </w:t>
      </w:r>
      <w:hyperlink r:id="rId37" w:history="1">
        <w:r w:rsidR="00886DAE" w:rsidRPr="001E5578">
          <w:rPr>
            <w:rStyle w:val="Hyperlink"/>
          </w:rPr>
          <w:t>https://www.hyundai.com/content/hyundai/ww/data/csr/data/0000000051/attach/english/hmc-2023-sustainability-report-en-v5.pdf</w:t>
        </w:r>
      </w:hyperlink>
      <w:r w:rsidR="00886DAE">
        <w:t>.</w:t>
      </w:r>
    </w:p>
  </w:footnote>
  <w:footnote w:id="67">
    <w:p w14:paraId="70FCE9A9" w14:textId="65E7E709" w:rsidR="00886DAE" w:rsidRDefault="00886DAE">
      <w:pPr>
        <w:pStyle w:val="FootnoteText"/>
      </w:pPr>
      <w:r>
        <w:rPr>
          <w:rStyle w:val="FootnoteReference"/>
        </w:rPr>
        <w:footnoteRef/>
      </w:r>
      <w:r>
        <w:t xml:space="preserve">  </w:t>
      </w:r>
      <w:r>
        <w:tab/>
      </w:r>
      <w:r w:rsidRPr="00886DAE">
        <w:t>LG Energy Solution</w:t>
      </w:r>
      <w:r>
        <w:t>,</w:t>
      </w:r>
      <w:r w:rsidRPr="00886DAE">
        <w:t xml:space="preserve"> </w:t>
      </w:r>
      <w:r w:rsidRPr="005E30DF">
        <w:rPr>
          <w:i/>
          <w:iCs/>
        </w:rPr>
        <w:t>2022 ESG Report</w:t>
      </w:r>
      <w:r>
        <w:t xml:space="preserve">, at 28, available at </w:t>
      </w:r>
      <w:hyperlink r:id="rId38" w:history="1">
        <w:r w:rsidRPr="001E5578">
          <w:rPr>
            <w:rStyle w:val="Hyperlink"/>
          </w:rPr>
          <w:t>https://www.lgensol.com/upload/file/sustainability/2022_LGES_ESG_Report_ENG_FF[0].pdf</w:t>
        </w:r>
      </w:hyperlink>
      <w:r>
        <w:t>.</w:t>
      </w:r>
    </w:p>
  </w:footnote>
  <w:footnote w:id="68">
    <w:p w14:paraId="0F2804D8" w14:textId="0185EFBF" w:rsidR="005E30DF" w:rsidRDefault="005E30DF">
      <w:pPr>
        <w:pStyle w:val="FootnoteText"/>
      </w:pPr>
      <w:r>
        <w:rPr>
          <w:rStyle w:val="FootnoteReference"/>
        </w:rPr>
        <w:footnoteRef/>
      </w:r>
      <w:r>
        <w:t xml:space="preserve"> </w:t>
      </w:r>
      <w:r>
        <w:tab/>
        <w:t xml:space="preserve">Rivian, </w:t>
      </w:r>
      <w:r w:rsidRPr="005E30DF">
        <w:rPr>
          <w:i/>
          <w:iCs/>
        </w:rPr>
        <w:t>2022 Impact Report</w:t>
      </w:r>
      <w:r>
        <w:t xml:space="preserve">, at 37, available at </w:t>
      </w:r>
      <w:r w:rsidRPr="005E30DF">
        <w:t>https://downloads.rivian.com/2md5qhoeajym/3CR7C1icQE7AFqByg853rg/bf92b6dc374cdd4ec1eb55183d94e06e/2022_Rivian_Impact_Report.pdf</w:t>
      </w:r>
      <w:r>
        <w:t>.</w:t>
      </w:r>
    </w:p>
  </w:footnote>
  <w:footnote w:id="69">
    <w:p w14:paraId="210951DF" w14:textId="28CF350F" w:rsidR="00337851" w:rsidRDefault="00337851">
      <w:pPr>
        <w:pStyle w:val="FootnoteText"/>
      </w:pPr>
      <w:r>
        <w:rPr>
          <w:rStyle w:val="FootnoteReference"/>
        </w:rPr>
        <w:footnoteRef/>
      </w:r>
      <w:r>
        <w:t xml:space="preserve"> </w:t>
      </w:r>
      <w:r>
        <w:tab/>
        <w:t xml:space="preserve">Hanwha Solutions, </w:t>
      </w:r>
      <w:r w:rsidRPr="00337851">
        <w:rPr>
          <w:i/>
          <w:iCs/>
        </w:rPr>
        <w:t>Sustainable Solutions for All, Sustainability Report 2023</w:t>
      </w:r>
      <w:r>
        <w:t xml:space="preserve">, at 49-51, available at </w:t>
      </w:r>
      <w:hyperlink r:id="rId39" w:history="1">
        <w:r w:rsidRPr="001E5578">
          <w:rPr>
            <w:rStyle w:val="Hyperlink"/>
          </w:rPr>
          <w:t>https://www.hanwhasolutions.com/static/en/data/Hanwha_Solutions_Sustainability_Report_2023.pdf</w:t>
        </w:r>
      </w:hyperlink>
      <w:r>
        <w:t>.</w:t>
      </w:r>
    </w:p>
  </w:footnote>
  <w:footnote w:id="70">
    <w:p w14:paraId="382B1773" w14:textId="3F57CBD4" w:rsidR="0049387D" w:rsidRDefault="0049387D" w:rsidP="00886A73">
      <w:pPr>
        <w:pStyle w:val="FootnoteText"/>
      </w:pPr>
      <w:r>
        <w:rPr>
          <w:rStyle w:val="FootnoteReference"/>
        </w:rPr>
        <w:footnoteRef/>
      </w:r>
      <w:r>
        <w:t xml:space="preserve"> </w:t>
      </w:r>
      <w:r w:rsidR="00602232">
        <w:tab/>
        <w:t xml:space="preserve">Southern Company, </w:t>
      </w:r>
      <w:r>
        <w:t>CDP 2019 Climate Change Disclosure</w:t>
      </w:r>
      <w:r w:rsidR="00602232">
        <w:t xml:space="preserve"> at</w:t>
      </w:r>
      <w:r>
        <w:t xml:space="preserve"> 52</w:t>
      </w:r>
      <w:r w:rsidR="00602232">
        <w:t xml:space="preserve">, available at </w:t>
      </w:r>
      <w:hyperlink r:id="rId40" w:history="1">
        <w:r w:rsidR="00602232" w:rsidRPr="001E5578">
          <w:rPr>
            <w:rStyle w:val="Hyperlink"/>
          </w:rPr>
          <w:t>https://www.southerncompany.com/content/dam/southern-company/pdf/corpresponsibility/CDP-Climate-Disclosure-2019.pdf</w:t>
        </w:r>
      </w:hyperlink>
      <w:r>
        <w:t xml:space="preserve">; </w:t>
      </w:r>
      <w:r w:rsidR="00602232">
        <w:t xml:space="preserve">Southern Company, </w:t>
      </w:r>
      <w:r>
        <w:t>CDP 2020 Climate Change Disclosure</w:t>
      </w:r>
      <w:r w:rsidR="00602232" w:rsidRPr="00602232">
        <w:t xml:space="preserve"> </w:t>
      </w:r>
      <w:r w:rsidR="00602232">
        <w:t xml:space="preserve">at </w:t>
      </w:r>
      <w:r>
        <w:t>34</w:t>
      </w:r>
      <w:r w:rsidR="00602232">
        <w:t xml:space="preserve">, available at </w:t>
      </w:r>
      <w:hyperlink r:id="rId41" w:history="1">
        <w:r w:rsidR="00602232" w:rsidRPr="001E5578">
          <w:rPr>
            <w:rStyle w:val="Hyperlink"/>
          </w:rPr>
          <w:t>https://www.southerncompany.com/content/dam/southerncompany/sustainability/pdfs/2020_CDPClimateChangeDisclosure.pdf</w:t>
        </w:r>
      </w:hyperlink>
      <w:r>
        <w:t xml:space="preserve">; </w:t>
      </w:r>
      <w:r w:rsidR="00602232">
        <w:t xml:space="preserve">Southern Company, </w:t>
      </w:r>
      <w:r>
        <w:t>CDP 2021 Climate Change Disclosure</w:t>
      </w:r>
      <w:r w:rsidR="00602232" w:rsidRPr="00602232">
        <w:t xml:space="preserve"> </w:t>
      </w:r>
      <w:r w:rsidR="00602232">
        <w:t xml:space="preserve">at </w:t>
      </w:r>
      <w:r>
        <w:t>75</w:t>
      </w:r>
      <w:r w:rsidR="00602232">
        <w:t xml:space="preserve">, available at </w:t>
      </w:r>
      <w:hyperlink r:id="rId42" w:history="1">
        <w:r w:rsidR="00602232" w:rsidRPr="001E5578">
          <w:rPr>
            <w:rStyle w:val="Hyperlink"/>
          </w:rPr>
          <w:t>https://www.southerncompany.com/content/dam/southerncompany/pdfs/about/governance/reports/CDP-Climate-Disclosure-2021.pdf</w:t>
        </w:r>
      </w:hyperlink>
      <w:r>
        <w:t xml:space="preserve">; </w:t>
      </w:r>
      <w:r w:rsidR="00602232">
        <w:t xml:space="preserve">Southern Company, </w:t>
      </w:r>
      <w:r>
        <w:t>CDP 2022 Climate Change Disclosure</w:t>
      </w:r>
      <w:r w:rsidR="00602232" w:rsidRPr="00602232">
        <w:t xml:space="preserve"> </w:t>
      </w:r>
      <w:r w:rsidR="00602232">
        <w:t xml:space="preserve">at </w:t>
      </w:r>
      <w:r>
        <w:t>107</w:t>
      </w:r>
      <w:r w:rsidR="00602232">
        <w:t xml:space="preserve">, available at </w:t>
      </w:r>
      <w:hyperlink r:id="rId43" w:history="1">
        <w:r w:rsidR="00602232" w:rsidRPr="001E5578">
          <w:rPr>
            <w:rStyle w:val="Hyperlink"/>
          </w:rPr>
          <w:t>https://www.southerncompany.com/content/dam/southerncompany/sustainability/pdfs/2022_cdpclimatechangedisclosure.pdf</w:t>
        </w:r>
      </w:hyperlink>
      <w:r>
        <w:t xml:space="preserve">; </w:t>
      </w:r>
      <w:r w:rsidR="00602232">
        <w:t xml:space="preserve">Southern Company, </w:t>
      </w:r>
      <w:r>
        <w:t>CDP 2023 Climate Change Disclosure</w:t>
      </w:r>
      <w:r w:rsidR="00602232" w:rsidRPr="00602232">
        <w:t xml:space="preserve"> </w:t>
      </w:r>
      <w:r w:rsidR="00602232">
        <w:t xml:space="preserve">at </w:t>
      </w:r>
      <w:r>
        <w:t>120</w:t>
      </w:r>
      <w:r w:rsidR="00602232">
        <w:t xml:space="preserve">, available at </w:t>
      </w:r>
      <w:hyperlink r:id="rId44" w:history="1">
        <w:r w:rsidR="005E664D" w:rsidRPr="001E5578">
          <w:rPr>
            <w:rStyle w:val="Hyperlink"/>
          </w:rPr>
          <w:t>https://www.southerncompany.com/content/dam/southerncompany/sustainability/pdfs/2023-cdp-climate-change-disclosure.pdf</w:t>
        </w:r>
      </w:hyperlink>
      <w:r>
        <w:t xml:space="preserve"> </w:t>
      </w:r>
    </w:p>
  </w:footnote>
  <w:footnote w:id="71">
    <w:p w14:paraId="682F7A6E" w14:textId="6269EBCB" w:rsidR="0049387D" w:rsidRDefault="0049387D" w:rsidP="00886A73">
      <w:pPr>
        <w:pStyle w:val="FootnoteText"/>
      </w:pPr>
      <w:r>
        <w:rPr>
          <w:rStyle w:val="FootnoteReference"/>
        </w:rPr>
        <w:footnoteRef/>
      </w:r>
      <w:r>
        <w:t xml:space="preserve"> </w:t>
      </w:r>
      <w:r w:rsidR="005E664D">
        <w:tab/>
        <w:t xml:space="preserve">Southern Company, </w:t>
      </w:r>
      <w:r>
        <w:t>CDP 2023 Climate Change Disclosure. Southern Company</w:t>
      </w:r>
      <w:r w:rsidR="005E664D">
        <w:t xml:space="preserve"> at</w:t>
      </w:r>
      <w:r>
        <w:t xml:space="preserve"> 120</w:t>
      </w:r>
      <w:r w:rsidR="005E664D">
        <w:t xml:space="preserve">, available at </w:t>
      </w:r>
      <w:hyperlink r:id="rId45" w:history="1">
        <w:r w:rsidR="005E664D" w:rsidRPr="001E5578">
          <w:rPr>
            <w:rStyle w:val="Hyperlink"/>
          </w:rPr>
          <w:t>https://www.southerncompany.com/content/dam/southerncompany/sustainability/pdfs/2023-cdp-climate-change-disclosure.pdf</w:t>
        </w:r>
      </w:hyperlink>
    </w:p>
  </w:footnote>
  <w:footnote w:id="72">
    <w:p w14:paraId="0078BE22" w14:textId="5F369FBD" w:rsidR="0049387D" w:rsidRDefault="0049387D" w:rsidP="00886A73">
      <w:pPr>
        <w:pStyle w:val="FootnoteText"/>
      </w:pPr>
      <w:r>
        <w:rPr>
          <w:rStyle w:val="FootnoteReference"/>
        </w:rPr>
        <w:footnoteRef/>
      </w:r>
      <w:r>
        <w:t xml:space="preserve"> </w:t>
      </w:r>
      <w:r w:rsidR="005E664D">
        <w:tab/>
      </w:r>
      <w:r>
        <w:t>Southern Alliance for Clean Energy</w:t>
      </w:r>
      <w:r w:rsidR="005E664D">
        <w:t xml:space="preserve">, </w:t>
      </w:r>
      <w:r w:rsidRPr="005E664D">
        <w:rPr>
          <w:i/>
          <w:iCs/>
        </w:rPr>
        <w:t>Tracking Decarbonization in the Southeast</w:t>
      </w:r>
      <w:r w:rsidR="005E664D" w:rsidRPr="005E664D">
        <w:rPr>
          <w:i/>
          <w:iCs/>
        </w:rPr>
        <w:t>:</w:t>
      </w:r>
      <w:r w:rsidRPr="005E664D">
        <w:rPr>
          <w:i/>
          <w:iCs/>
        </w:rPr>
        <w:t xml:space="preserve"> Fifth Edition</w:t>
      </w:r>
      <w:r w:rsidR="005E664D">
        <w:t xml:space="preserve">, at 6, </w:t>
      </w:r>
      <w:r>
        <w:t>2023</w:t>
      </w:r>
      <w:r w:rsidR="005E664D">
        <w:t xml:space="preserve">, available at </w:t>
      </w:r>
      <w:hyperlink r:id="rId46" w:history="1">
        <w:r w:rsidRPr="00E775BA">
          <w:rPr>
            <w:rStyle w:val="Hyperlink"/>
          </w:rPr>
          <w:t>https://www.cleanenergy.org/wp-content/uploads/Tracking-Decarbonization-in-the-Southeast-Fifth-Edition.pdf</w:t>
        </w:r>
      </w:hyperlink>
      <w:r w:rsidR="005E664D">
        <w:t xml:space="preserve"> (SACE Decarbonization Report).</w:t>
      </w:r>
    </w:p>
  </w:footnote>
  <w:footnote w:id="73">
    <w:p w14:paraId="1540D3C2" w14:textId="7561838C" w:rsidR="0049387D" w:rsidRDefault="0049387D" w:rsidP="00886A73">
      <w:pPr>
        <w:pStyle w:val="FootnoteText"/>
      </w:pPr>
      <w:r>
        <w:rPr>
          <w:rStyle w:val="FootnoteReference"/>
        </w:rPr>
        <w:footnoteRef/>
      </w:r>
      <w:r>
        <w:t xml:space="preserve"> </w:t>
      </w:r>
      <w:r w:rsidR="005E664D">
        <w:tab/>
      </w:r>
      <w:r>
        <w:t>Georgia Power Scope 1 emissions from 2018 to 2022 using CDP survey data.</w:t>
      </w:r>
    </w:p>
  </w:footnote>
  <w:footnote w:id="74">
    <w:p w14:paraId="2C27AD13" w14:textId="368C69D0" w:rsidR="0049387D" w:rsidRDefault="0049387D" w:rsidP="00886A73">
      <w:pPr>
        <w:pStyle w:val="FootnoteText"/>
      </w:pPr>
      <w:r>
        <w:rPr>
          <w:rStyle w:val="FootnoteReference"/>
        </w:rPr>
        <w:footnoteRef/>
      </w:r>
      <w:r>
        <w:t xml:space="preserve"> </w:t>
      </w:r>
      <w:r w:rsidR="005E664D">
        <w:tab/>
        <w:t>SACE Decarbonization Report at</w:t>
      </w:r>
      <w:r>
        <w:t xml:space="preserve"> 6. </w:t>
      </w:r>
    </w:p>
  </w:footnote>
  <w:footnote w:id="75">
    <w:p w14:paraId="160DAD7B" w14:textId="74731742" w:rsidR="0049387D" w:rsidRDefault="0049387D" w:rsidP="00886A73">
      <w:pPr>
        <w:pStyle w:val="FootnoteText"/>
      </w:pPr>
      <w:r>
        <w:rPr>
          <w:rStyle w:val="FootnoteReference"/>
        </w:rPr>
        <w:footnoteRef/>
      </w:r>
      <w:r>
        <w:t xml:space="preserve"> </w:t>
      </w:r>
      <w:r w:rsidR="005E664D">
        <w:tab/>
      </w:r>
      <w:r w:rsidR="005E664D">
        <w:rPr>
          <w:i/>
          <w:iCs/>
        </w:rPr>
        <w:t>Id.</w:t>
      </w:r>
      <w:r>
        <w:t xml:space="preserve"> </w:t>
      </w:r>
    </w:p>
  </w:footnote>
  <w:footnote w:id="76">
    <w:p w14:paraId="70A4A056" w14:textId="519C581B" w:rsidR="00323C6E" w:rsidRDefault="00323C6E">
      <w:pPr>
        <w:pStyle w:val="FootnoteText"/>
      </w:pPr>
      <w:r>
        <w:rPr>
          <w:rStyle w:val="FootnoteReference"/>
        </w:rPr>
        <w:footnoteRef/>
      </w:r>
      <w:r>
        <w:t xml:space="preserve"> </w:t>
      </w:r>
      <w:r>
        <w:tab/>
      </w:r>
      <w:r>
        <w:rPr>
          <w:szCs w:val="24"/>
        </w:rPr>
        <w:t xml:space="preserve">Response to Data Request No. </w:t>
      </w:r>
      <w:r w:rsidRPr="00323C6E">
        <w:rPr>
          <w:bCs/>
          <w:szCs w:val="24"/>
        </w:rPr>
        <w:t>STF-JKA-4-11</w:t>
      </w:r>
      <w:r w:rsidRPr="00323C6E">
        <w:rPr>
          <w:rStyle w:val="eop"/>
          <w:bCs/>
          <w:szCs w:val="24"/>
        </w:rPr>
        <w:t>(d).</w:t>
      </w:r>
    </w:p>
  </w:footnote>
  <w:footnote w:id="77">
    <w:p w14:paraId="2AFB0899" w14:textId="087F20CC" w:rsidR="00323C6E" w:rsidRPr="00323C6E" w:rsidRDefault="00323C6E">
      <w:pPr>
        <w:pStyle w:val="FootnoteText"/>
        <w:rPr>
          <w:i/>
          <w:iCs/>
        </w:rPr>
      </w:pPr>
      <w:r>
        <w:rPr>
          <w:rStyle w:val="FootnoteReference"/>
        </w:rPr>
        <w:footnoteRef/>
      </w:r>
      <w:r>
        <w:t xml:space="preserve"> </w:t>
      </w:r>
      <w:r>
        <w:tab/>
      </w:r>
      <w:r>
        <w:rPr>
          <w:i/>
          <w:iCs/>
        </w:rPr>
        <w:t>Id.</w:t>
      </w:r>
    </w:p>
  </w:footnote>
  <w:footnote w:id="78">
    <w:p w14:paraId="0F1E9574" w14:textId="77777777" w:rsidR="00CC615A" w:rsidRDefault="00CC615A" w:rsidP="00CC615A">
      <w:pPr>
        <w:pStyle w:val="FootnoteText"/>
      </w:pPr>
      <w:r>
        <w:rPr>
          <w:rStyle w:val="FootnoteReference"/>
        </w:rPr>
        <w:footnoteRef/>
      </w:r>
      <w:r>
        <w:t xml:space="preserve"> </w:t>
      </w:r>
      <w:r>
        <w:tab/>
        <w:t xml:space="preserve">Energy Information Administration, </w:t>
      </w:r>
      <w:r w:rsidRPr="00C639E9">
        <w:rPr>
          <w:i/>
          <w:iCs/>
        </w:rPr>
        <w:t>Emission by Plant and Region</w:t>
      </w:r>
      <w:r>
        <w:t xml:space="preserve">, “2022 </w:t>
      </w:r>
      <w:r w:rsidRPr="00C639E9">
        <w:t>Emissions by plant for CO2, SO2, and NOx</w:t>
      </w:r>
      <w:r>
        <w:t xml:space="preserve">,” available at </w:t>
      </w:r>
      <w:r w:rsidRPr="00C639E9">
        <w:t>https://www.eia.gov/electricity/data/emissions/</w:t>
      </w:r>
      <w:r>
        <w:t>.</w:t>
      </w:r>
    </w:p>
  </w:footnote>
  <w:footnote w:id="79">
    <w:p w14:paraId="6A000D72" w14:textId="3776E2A6" w:rsidR="00323C6E" w:rsidRDefault="00323C6E">
      <w:pPr>
        <w:pStyle w:val="FootnoteText"/>
      </w:pPr>
      <w:r>
        <w:rPr>
          <w:rStyle w:val="FootnoteReference"/>
        </w:rPr>
        <w:footnoteRef/>
      </w:r>
      <w:r>
        <w:t xml:space="preserve"> </w:t>
      </w:r>
      <w:r>
        <w:tab/>
      </w:r>
      <w:r w:rsidR="0012189A">
        <w:t>Updated IRP at 27.</w:t>
      </w:r>
    </w:p>
  </w:footnote>
  <w:footnote w:id="80">
    <w:p w14:paraId="1C5F2509" w14:textId="15F3F895" w:rsidR="00BD1A00" w:rsidRPr="00BD1A00" w:rsidRDefault="00BD1A00">
      <w:pPr>
        <w:pStyle w:val="FootnoteText"/>
      </w:pPr>
      <w:r>
        <w:rPr>
          <w:rStyle w:val="FootnoteReference"/>
        </w:rPr>
        <w:footnoteRef/>
      </w:r>
      <w:r>
        <w:t xml:space="preserve"> </w:t>
      </w:r>
      <w:r>
        <w:tab/>
      </w:r>
      <w:r>
        <w:rPr>
          <w:i/>
          <w:iCs/>
        </w:rPr>
        <w:t xml:space="preserve">See, e.g. </w:t>
      </w:r>
      <w:r>
        <w:t xml:space="preserve">U.S. Department of Energy, </w:t>
      </w:r>
      <w:r w:rsidRPr="00BD1A00">
        <w:rPr>
          <w:i/>
          <w:iCs/>
        </w:rPr>
        <w:t>Title 17 Clean Energy Financing – Energy Infrastructure Reinvestment</w:t>
      </w:r>
      <w:r>
        <w:t xml:space="preserve">, available at </w:t>
      </w:r>
      <w:hyperlink r:id="rId47" w:history="1">
        <w:r w:rsidRPr="001E5578">
          <w:rPr>
            <w:rStyle w:val="Hyperlink"/>
          </w:rPr>
          <w:t>https://www.energy.gov/lpo/energy-infrastructure-reinvestment</w:t>
        </w:r>
      </w:hyperlink>
      <w:r>
        <w:t>.</w:t>
      </w:r>
    </w:p>
  </w:footnote>
  <w:footnote w:id="81">
    <w:p w14:paraId="0B8D7A7E" w14:textId="5008671F" w:rsidR="00BD1A00" w:rsidRPr="00E97AFD" w:rsidRDefault="00BD1A00">
      <w:pPr>
        <w:pStyle w:val="FootnoteText"/>
      </w:pPr>
      <w:r>
        <w:rPr>
          <w:rStyle w:val="FootnoteReference"/>
        </w:rPr>
        <w:footnoteRef/>
      </w:r>
      <w:r>
        <w:t xml:space="preserve"> </w:t>
      </w:r>
      <w:r>
        <w:tab/>
      </w:r>
      <w:r>
        <w:rPr>
          <w:i/>
          <w:iCs/>
        </w:rPr>
        <w:t xml:space="preserve">See, e.g. </w:t>
      </w:r>
      <w:r>
        <w:t xml:space="preserve">U.S. Department of Energy, </w:t>
      </w:r>
      <w:r w:rsidRPr="00BD1A00">
        <w:rPr>
          <w:i/>
          <w:iCs/>
        </w:rPr>
        <w:t>Federal Financing Tools</w:t>
      </w:r>
      <w:r>
        <w:t xml:space="preserve">, available at </w:t>
      </w:r>
      <w:hyperlink r:id="rId48" w:history="1">
        <w:r w:rsidRPr="001E5578">
          <w:rPr>
            <w:rStyle w:val="Hyperlink"/>
          </w:rPr>
          <w:t>https://www.energy.gov/gdo/federal-financing-tools</w:t>
        </w:r>
      </w:hyperlink>
      <w:r w:rsidR="00E97AFD">
        <w:t xml:space="preserve">; </w:t>
      </w:r>
      <w:r w:rsidR="00E97AFD">
        <w:rPr>
          <w:i/>
          <w:iCs/>
        </w:rPr>
        <w:t xml:space="preserve">see also </w:t>
      </w:r>
      <w:r w:rsidR="00E97AFD">
        <w:t xml:space="preserve">Department of Energy, </w:t>
      </w:r>
      <w:r w:rsidR="00E97AFD" w:rsidRPr="00E97AFD">
        <w:rPr>
          <w:i/>
          <w:iCs/>
        </w:rPr>
        <w:t>Innovative Grid Deployment: Pathways to Commercial Liftoff</w:t>
      </w:r>
      <w:r w:rsidR="00E97AFD">
        <w:t xml:space="preserve">, Dec. 2023, available at </w:t>
      </w:r>
      <w:hyperlink r:id="rId49" w:history="1">
        <w:r w:rsidR="00E97AFD" w:rsidRPr="001E5578">
          <w:rPr>
            <w:rStyle w:val="Hyperlink"/>
          </w:rPr>
          <w:t>https://www.energy.gov/sites/default/files/2023-12/Grid%20Liftoff%20Webinar%20Final.pdf</w:t>
        </w:r>
      </w:hyperlink>
      <w:r w:rsidR="00E97AFD">
        <w:t>.</w:t>
      </w:r>
    </w:p>
  </w:footnote>
  <w:footnote w:id="82">
    <w:p w14:paraId="0DC6B442" w14:textId="56F6EF96" w:rsidR="00457739" w:rsidRDefault="00457739" w:rsidP="00886A73">
      <w:pPr>
        <w:pStyle w:val="FootnoteText"/>
      </w:pPr>
      <w:r>
        <w:rPr>
          <w:rStyle w:val="FootnoteReference"/>
        </w:rPr>
        <w:footnoteRef/>
      </w:r>
      <w:r>
        <w:t xml:space="preserve"> </w:t>
      </w:r>
      <w:r w:rsidR="00063515">
        <w:tab/>
      </w:r>
      <w:r w:rsidR="00063515" w:rsidRPr="008369E6">
        <w:rPr>
          <w:bCs/>
          <w:color w:val="000000"/>
        </w:rPr>
        <w:t>Docket No. 44160</w:t>
      </w:r>
      <w:r w:rsidR="00063515">
        <w:rPr>
          <w:bCs/>
          <w:color w:val="000000"/>
        </w:rPr>
        <w:t xml:space="preserve">, </w:t>
      </w:r>
      <w:r>
        <w:t xml:space="preserve">SACE and </w:t>
      </w:r>
      <w:proofErr w:type="spellStart"/>
      <w:r>
        <w:t>Southface</w:t>
      </w:r>
      <w:proofErr w:type="spellEnd"/>
      <w:r>
        <w:t xml:space="preserve"> Brief at 11-13.</w:t>
      </w:r>
    </w:p>
  </w:footnote>
  <w:footnote w:id="83">
    <w:p w14:paraId="385631A2" w14:textId="0444D654" w:rsidR="006079A4" w:rsidRDefault="006079A4" w:rsidP="00886A73">
      <w:pPr>
        <w:pStyle w:val="FootnoteText"/>
      </w:pPr>
      <w:r>
        <w:rPr>
          <w:rStyle w:val="FootnoteReference"/>
        </w:rPr>
        <w:footnoteRef/>
      </w:r>
      <w:r>
        <w:t xml:space="preserve"> </w:t>
      </w:r>
      <w:r w:rsidR="00063515">
        <w:tab/>
      </w:r>
      <w:r w:rsidR="00307C4A">
        <w:t xml:space="preserve">IRP Order at </w:t>
      </w:r>
      <w:r>
        <w:t>¶ 11</w:t>
      </w:r>
      <w:r w:rsidR="00307C4A">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A5D953" w14:textId="578DDDC9" w:rsidR="00B945C0" w:rsidRDefault="00B945C0" w:rsidP="00B945C0">
    <w:pPr>
      <w:pStyle w:val="Header"/>
      <w:ind w:left="0"/>
    </w:pPr>
  </w:p>
  <w:p w14:paraId="7882448E" w14:textId="77777777" w:rsidR="00861135" w:rsidRDefault="00861135" w:rsidP="00B945C0">
    <w:pPr>
      <w:pStyle w:val="Header"/>
      <w:ind w:left="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185FBF" w14:textId="77777777" w:rsidR="00B945C0" w:rsidRDefault="00B945C0" w:rsidP="00B945C0">
    <w:pPr>
      <w:shd w:val="clear" w:color="auto" w:fill="FFFFFF"/>
      <w:spacing w:after="0" w:line="240" w:lineRule="auto"/>
      <w:ind w:left="0"/>
      <w:rPr>
        <w:rFonts w:eastAsia="Times New Roman" w:cs="Times New Roman"/>
        <w:szCs w:val="24"/>
      </w:rPr>
    </w:pPr>
    <w:r>
      <w:rPr>
        <w:rFonts w:eastAsia="Times New Roman" w:cs="Times New Roman"/>
        <w:szCs w:val="24"/>
      </w:rPr>
      <w:t xml:space="preserve">Direct Testimony of Ronald J. </w:t>
    </w:r>
    <w:proofErr w:type="spellStart"/>
    <w:r>
      <w:rPr>
        <w:rFonts w:eastAsia="Times New Roman" w:cs="Times New Roman"/>
        <w:szCs w:val="24"/>
      </w:rPr>
      <w:t>Binz</w:t>
    </w:r>
    <w:proofErr w:type="spellEnd"/>
  </w:p>
  <w:p w14:paraId="371E0D9C" w14:textId="77777777" w:rsidR="00B945C0" w:rsidRDefault="00B945C0" w:rsidP="00B945C0">
    <w:pPr>
      <w:shd w:val="clear" w:color="auto" w:fill="FFFFFF"/>
      <w:spacing w:after="0" w:line="240" w:lineRule="auto"/>
      <w:ind w:left="0"/>
      <w:rPr>
        <w:rFonts w:eastAsia="Times New Roman" w:cs="Times New Roman"/>
        <w:szCs w:val="24"/>
      </w:rPr>
    </w:pPr>
    <w:r>
      <w:rPr>
        <w:rFonts w:eastAsia="Times New Roman" w:cs="Times New Roman"/>
        <w:szCs w:val="24"/>
      </w:rPr>
      <w:t xml:space="preserve">Southern Alliance for Clean Energy &amp; </w:t>
    </w:r>
    <w:proofErr w:type="spellStart"/>
    <w:r>
      <w:rPr>
        <w:rFonts w:eastAsia="Times New Roman" w:cs="Times New Roman"/>
        <w:szCs w:val="24"/>
      </w:rPr>
      <w:t>Southface</w:t>
    </w:r>
    <w:proofErr w:type="spellEnd"/>
    <w:r>
      <w:rPr>
        <w:rFonts w:eastAsia="Times New Roman" w:cs="Times New Roman"/>
        <w:szCs w:val="24"/>
      </w:rPr>
      <w:t xml:space="preserve"> Energy Institute, Inc.</w:t>
    </w:r>
  </w:p>
  <w:p w14:paraId="16FCF0D1" w14:textId="77777777" w:rsidR="00B945C0" w:rsidRDefault="00B945C0" w:rsidP="00B945C0">
    <w:pPr>
      <w:shd w:val="clear" w:color="auto" w:fill="FFFFFF"/>
      <w:spacing w:after="0" w:line="240" w:lineRule="auto"/>
      <w:ind w:left="0"/>
      <w:rPr>
        <w:rFonts w:eastAsia="Times New Roman" w:cs="Times New Roman"/>
        <w:szCs w:val="24"/>
      </w:rPr>
    </w:pPr>
    <w:r>
      <w:rPr>
        <w:rFonts w:eastAsia="Times New Roman" w:cs="Times New Roman"/>
        <w:szCs w:val="24"/>
      </w:rPr>
      <w:t>Georgia PSC, Docket No. 44160/44161</w:t>
    </w:r>
  </w:p>
  <w:p w14:paraId="6D127B7D" w14:textId="77777777" w:rsidR="00B945C0" w:rsidRDefault="00B945C0" w:rsidP="00B945C0">
    <w:pPr>
      <w:pStyle w:val="Header"/>
      <w:ind w:left="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7BB35" w14:textId="77777777" w:rsidR="008B5126" w:rsidRPr="008B5126" w:rsidRDefault="008B5126" w:rsidP="008B5126">
    <w:pPr>
      <w:pStyle w:val="Header"/>
      <w:ind w:left="0"/>
      <w:rPr>
        <w:color w:val="000000" w:themeColor="text1"/>
      </w:rPr>
    </w:pPr>
    <w:r w:rsidRPr="008B5126">
      <w:rPr>
        <w:color w:val="000000" w:themeColor="text1"/>
      </w:rPr>
      <w:t>Direct Testimony of Anjali G. Patel</w:t>
    </w:r>
  </w:p>
  <w:p w14:paraId="63B5D703" w14:textId="77777777" w:rsidR="008B5126" w:rsidRPr="008B5126" w:rsidRDefault="008B5126" w:rsidP="008B5126">
    <w:pPr>
      <w:pStyle w:val="Header"/>
      <w:ind w:left="0"/>
      <w:rPr>
        <w:color w:val="000000" w:themeColor="text1"/>
      </w:rPr>
    </w:pPr>
    <w:r w:rsidRPr="008B5126">
      <w:rPr>
        <w:color w:val="000000" w:themeColor="text1"/>
      </w:rPr>
      <w:t>Southern Alliance for Clean Energy</w:t>
    </w:r>
  </w:p>
  <w:p w14:paraId="43282D80" w14:textId="52068A8C" w:rsidR="008B5126" w:rsidRPr="008B5126" w:rsidRDefault="008B5126" w:rsidP="008B5126">
    <w:pPr>
      <w:pStyle w:val="Header"/>
      <w:ind w:left="0"/>
      <w:rPr>
        <w:color w:val="000000" w:themeColor="text1"/>
      </w:rPr>
    </w:pPr>
    <w:r w:rsidRPr="008B5126">
      <w:rPr>
        <w:color w:val="000000" w:themeColor="text1"/>
      </w:rPr>
      <w:t>Georgia PSC, Docket No. 55378</w:t>
    </w:r>
  </w:p>
  <w:p w14:paraId="091798F3" w14:textId="77777777" w:rsidR="0090692E" w:rsidRDefault="0090692E" w:rsidP="00B945C0">
    <w:pPr>
      <w:pStyle w:val="Header"/>
      <w:ind w:left="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DFC6E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4D0AEA0E"/>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260D6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EC92244E"/>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A948B480"/>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3948E108"/>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46BAAFD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BB80A23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23387BE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F20427A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9B577D"/>
    <w:multiLevelType w:val="hybridMultilevel"/>
    <w:tmpl w:val="C73A8BC2"/>
    <w:lvl w:ilvl="0" w:tplc="E7568766">
      <w:start w:val="1"/>
      <w:numFmt w:val="upperRoman"/>
      <w:lvlText w:val="%1."/>
      <w:lvlJc w:val="left"/>
      <w:pPr>
        <w:ind w:left="1080" w:hanging="72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2DD7B8D"/>
    <w:multiLevelType w:val="multilevel"/>
    <w:tmpl w:val="29EA6240"/>
    <w:styleLink w:val="CurrentList3"/>
    <w:lvl w:ilvl="0">
      <w:start w:val="1"/>
      <w:numFmt w:val="upperRoman"/>
      <w:lvlText w:val="%1."/>
      <w:lvlJc w:val="left"/>
      <w:pPr>
        <w:ind w:left="720" w:firstLine="0"/>
      </w:pPr>
      <w:rPr>
        <w:rFonts w:hint="default"/>
      </w:rPr>
    </w:lvl>
    <w:lvl w:ilvl="1">
      <w:start w:val="1"/>
      <w:numFmt w:val="upperLetter"/>
      <w:lvlText w:val="%2."/>
      <w:lvlJc w:val="left"/>
      <w:pPr>
        <w:ind w:left="1440" w:firstLine="0"/>
      </w:pPr>
      <w:rPr>
        <w:rFonts w:hint="default"/>
      </w:rPr>
    </w:lvl>
    <w:lvl w:ilvl="2">
      <w:start w:val="1"/>
      <w:numFmt w:val="decimal"/>
      <w:lvlText w:val="%3."/>
      <w:lvlJc w:val="left"/>
      <w:pPr>
        <w:ind w:left="2246" w:firstLine="0"/>
      </w:pPr>
      <w:rPr>
        <w:rFonts w:hint="default"/>
      </w:rPr>
    </w:lvl>
    <w:lvl w:ilvl="3">
      <w:start w:val="1"/>
      <w:numFmt w:val="lowerLetter"/>
      <w:lvlText w:val="%4)"/>
      <w:lvlJc w:val="left"/>
      <w:pPr>
        <w:ind w:left="2966" w:firstLine="0"/>
      </w:pPr>
      <w:rPr>
        <w:rFonts w:hint="default"/>
      </w:rPr>
    </w:lvl>
    <w:lvl w:ilvl="4">
      <w:start w:val="1"/>
      <w:numFmt w:val="decimal"/>
      <w:lvlText w:val="(%5)"/>
      <w:lvlJc w:val="left"/>
      <w:pPr>
        <w:ind w:left="3686" w:firstLine="0"/>
      </w:pPr>
      <w:rPr>
        <w:rFonts w:hint="default"/>
      </w:rPr>
    </w:lvl>
    <w:lvl w:ilvl="5">
      <w:start w:val="1"/>
      <w:numFmt w:val="lowerLetter"/>
      <w:lvlText w:val="(%6)"/>
      <w:lvlJc w:val="left"/>
      <w:pPr>
        <w:ind w:left="4406" w:firstLine="0"/>
      </w:pPr>
      <w:rPr>
        <w:rFonts w:hint="default"/>
      </w:rPr>
    </w:lvl>
    <w:lvl w:ilvl="6">
      <w:start w:val="1"/>
      <w:numFmt w:val="lowerRoman"/>
      <w:lvlText w:val="(%7)"/>
      <w:lvlJc w:val="left"/>
      <w:pPr>
        <w:ind w:left="5126" w:firstLine="0"/>
      </w:pPr>
      <w:rPr>
        <w:rFonts w:hint="default"/>
      </w:rPr>
    </w:lvl>
    <w:lvl w:ilvl="7">
      <w:start w:val="1"/>
      <w:numFmt w:val="lowerLetter"/>
      <w:lvlText w:val="(%8)"/>
      <w:lvlJc w:val="left"/>
      <w:pPr>
        <w:ind w:left="5846" w:firstLine="0"/>
      </w:pPr>
      <w:rPr>
        <w:rFonts w:hint="default"/>
      </w:rPr>
    </w:lvl>
    <w:lvl w:ilvl="8">
      <w:start w:val="1"/>
      <w:numFmt w:val="lowerRoman"/>
      <w:lvlText w:val="(%9)"/>
      <w:lvlJc w:val="left"/>
      <w:pPr>
        <w:ind w:left="6566" w:firstLine="0"/>
      </w:pPr>
      <w:rPr>
        <w:rFonts w:hint="default"/>
      </w:rPr>
    </w:lvl>
  </w:abstractNum>
  <w:abstractNum w:abstractNumId="12" w15:restartNumberingAfterBreak="0">
    <w:nsid w:val="08222EDF"/>
    <w:multiLevelType w:val="hybridMultilevel"/>
    <w:tmpl w:val="BDA046C4"/>
    <w:lvl w:ilvl="0" w:tplc="99CCCEBC">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9646342"/>
    <w:multiLevelType w:val="hybridMultilevel"/>
    <w:tmpl w:val="6720D300"/>
    <w:lvl w:ilvl="0" w:tplc="1DDCD718">
      <w:start w:val="1"/>
      <w:numFmt w:val="upp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DE71B84"/>
    <w:multiLevelType w:val="hybridMultilevel"/>
    <w:tmpl w:val="289A27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0232EE2"/>
    <w:multiLevelType w:val="hybridMultilevel"/>
    <w:tmpl w:val="17DCD8C2"/>
    <w:lvl w:ilvl="0" w:tplc="8FE4C586">
      <w:start w:val="2"/>
      <w:numFmt w:val="upperLetter"/>
      <w:lvlText w:val="%1&gt;"/>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10292807"/>
    <w:multiLevelType w:val="hybridMultilevel"/>
    <w:tmpl w:val="031248B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6F160F9"/>
    <w:multiLevelType w:val="hybridMultilevel"/>
    <w:tmpl w:val="06AAE5EA"/>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8" w15:restartNumberingAfterBreak="0">
    <w:nsid w:val="1707133E"/>
    <w:multiLevelType w:val="hybridMultilevel"/>
    <w:tmpl w:val="69EC0E24"/>
    <w:lvl w:ilvl="0" w:tplc="04090017">
      <w:start w:val="1"/>
      <w:numFmt w:val="lowerLetter"/>
      <w:lvlText w:val="%1)"/>
      <w:lvlJc w:val="left"/>
      <w:pPr>
        <w:ind w:left="720" w:hanging="360"/>
      </w:pPr>
    </w:lvl>
    <w:lvl w:ilvl="1" w:tplc="B1AE0548">
      <w:start w:val="1"/>
      <w:numFmt w:val="lowerLetter"/>
      <w:lvlText w:val="%2."/>
      <w:lvlJc w:val="left"/>
      <w:pPr>
        <w:ind w:left="1440" w:hanging="360"/>
      </w:pPr>
    </w:lvl>
    <w:lvl w:ilvl="2" w:tplc="F9BEA3D2">
      <w:start w:val="1"/>
      <w:numFmt w:val="lowerRoman"/>
      <w:lvlText w:val="%3."/>
      <w:lvlJc w:val="right"/>
      <w:pPr>
        <w:ind w:left="2160" w:hanging="180"/>
      </w:pPr>
    </w:lvl>
    <w:lvl w:ilvl="3" w:tplc="45DC833A">
      <w:start w:val="1"/>
      <w:numFmt w:val="decimal"/>
      <w:lvlText w:val="%4."/>
      <w:lvlJc w:val="left"/>
      <w:pPr>
        <w:ind w:left="2880" w:hanging="360"/>
      </w:pPr>
    </w:lvl>
    <w:lvl w:ilvl="4" w:tplc="F0581AD0">
      <w:start w:val="1"/>
      <w:numFmt w:val="lowerLetter"/>
      <w:lvlText w:val="%5."/>
      <w:lvlJc w:val="left"/>
      <w:pPr>
        <w:ind w:left="3600" w:hanging="360"/>
      </w:pPr>
    </w:lvl>
    <w:lvl w:ilvl="5" w:tplc="07EC3F80">
      <w:start w:val="1"/>
      <w:numFmt w:val="lowerRoman"/>
      <w:lvlText w:val="%6."/>
      <w:lvlJc w:val="right"/>
      <w:pPr>
        <w:ind w:left="4320" w:hanging="180"/>
      </w:pPr>
    </w:lvl>
    <w:lvl w:ilvl="6" w:tplc="A34C3392">
      <w:start w:val="1"/>
      <w:numFmt w:val="decimal"/>
      <w:lvlText w:val="%7."/>
      <w:lvlJc w:val="left"/>
      <w:pPr>
        <w:ind w:left="5040" w:hanging="360"/>
      </w:pPr>
    </w:lvl>
    <w:lvl w:ilvl="7" w:tplc="CE9CEB8E">
      <w:start w:val="1"/>
      <w:numFmt w:val="lowerLetter"/>
      <w:lvlText w:val="%8."/>
      <w:lvlJc w:val="left"/>
      <w:pPr>
        <w:ind w:left="5760" w:hanging="360"/>
      </w:pPr>
    </w:lvl>
    <w:lvl w:ilvl="8" w:tplc="5E0438CC">
      <w:start w:val="1"/>
      <w:numFmt w:val="lowerRoman"/>
      <w:lvlText w:val="%9."/>
      <w:lvlJc w:val="right"/>
      <w:pPr>
        <w:ind w:left="6480" w:hanging="180"/>
      </w:pPr>
    </w:lvl>
  </w:abstractNum>
  <w:abstractNum w:abstractNumId="19" w15:restartNumberingAfterBreak="0">
    <w:nsid w:val="18007AD9"/>
    <w:multiLevelType w:val="hybridMultilevel"/>
    <w:tmpl w:val="DFE883B2"/>
    <w:lvl w:ilvl="0" w:tplc="654CAFBA">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D57436D"/>
    <w:multiLevelType w:val="hybridMultilevel"/>
    <w:tmpl w:val="F5B47E82"/>
    <w:lvl w:ilvl="0" w:tplc="1036241E">
      <w:start w:val="2"/>
      <w:numFmt w:val="upperLetter"/>
      <w:lvlText w:val="%1&gt;"/>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15:restartNumberingAfterBreak="0">
    <w:nsid w:val="1DC25657"/>
    <w:multiLevelType w:val="hybridMultilevel"/>
    <w:tmpl w:val="03FAC976"/>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FB06CB7"/>
    <w:multiLevelType w:val="hybridMultilevel"/>
    <w:tmpl w:val="80D2712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26940E0"/>
    <w:multiLevelType w:val="hybridMultilevel"/>
    <w:tmpl w:val="3D6EFD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28D2AE1"/>
    <w:multiLevelType w:val="multilevel"/>
    <w:tmpl w:val="32F8AC6E"/>
    <w:lvl w:ilvl="0">
      <w:start w:val="1"/>
      <w:numFmt w:val="lowerLetter"/>
      <w:lvlText w:val="%1."/>
      <w:lvlJc w:val="left"/>
      <w:pPr>
        <w:ind w:left="1440" w:hanging="360"/>
      </w:pPr>
      <w:rPr>
        <w:rFonts w:hint="default"/>
      </w:rPr>
    </w:lvl>
    <w:lvl w:ilvl="1">
      <w:start w:val="1"/>
      <w:numFmt w:val="lowerLetter"/>
      <w:lvlText w:val="%2."/>
      <w:lvlJc w:val="left"/>
      <w:pPr>
        <w:ind w:left="2160" w:hanging="360"/>
      </w:pPr>
      <w:rPr>
        <w:rFonts w:hint="default"/>
      </w:rPr>
    </w:lvl>
    <w:lvl w:ilvl="2">
      <w:start w:val="1"/>
      <w:numFmt w:val="lowerRoman"/>
      <w:lvlText w:val="%3."/>
      <w:lvlJc w:val="right"/>
      <w:pPr>
        <w:ind w:left="2880" w:hanging="18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25" w15:restartNumberingAfterBreak="0">
    <w:nsid w:val="23D85AE7"/>
    <w:multiLevelType w:val="hybridMultilevel"/>
    <w:tmpl w:val="FBCEDBB6"/>
    <w:lvl w:ilvl="0" w:tplc="04090001">
      <w:start w:val="1"/>
      <w:numFmt w:val="bullet"/>
      <w:lvlText w:val=""/>
      <w:lvlJc w:val="left"/>
      <w:pPr>
        <w:ind w:left="720" w:hanging="360"/>
      </w:pPr>
      <w:rPr>
        <w:rFonts w:ascii="Symbol" w:hAnsi="Symbol" w:hint="default"/>
        <w:color w:val="auto"/>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246B5A8E"/>
    <w:multiLevelType w:val="multilevel"/>
    <w:tmpl w:val="A7C01588"/>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bullet"/>
      <w:lvlText w:val="▪"/>
      <w:lvlJc w:val="left"/>
      <w:pPr>
        <w:ind w:left="2520" w:hanging="360"/>
      </w:pPr>
      <w:rPr>
        <w:rFonts w:ascii="Noto Sans Symbols" w:eastAsia="Noto Sans Symbols" w:hAnsi="Noto Sans Symbols" w:cs="Noto Sans Symbols" w:hint="default"/>
      </w:rPr>
    </w:lvl>
    <w:lvl w:ilvl="3">
      <w:start w:val="1"/>
      <w:numFmt w:val="bullet"/>
      <w:lvlText w:val="●"/>
      <w:lvlJc w:val="left"/>
      <w:pPr>
        <w:ind w:left="3240" w:hanging="360"/>
      </w:pPr>
      <w:rPr>
        <w:rFonts w:ascii="Noto Sans Symbols" w:eastAsia="Noto Sans Symbols" w:hAnsi="Noto Sans Symbols" w:cs="Noto Sans Symbols" w:hint="default"/>
      </w:rPr>
    </w:lvl>
    <w:lvl w:ilvl="4">
      <w:start w:val="1"/>
      <w:numFmt w:val="bullet"/>
      <w:lvlText w:val="o"/>
      <w:lvlJc w:val="left"/>
      <w:pPr>
        <w:ind w:left="3960" w:hanging="360"/>
      </w:pPr>
      <w:rPr>
        <w:rFonts w:ascii="Courier New" w:eastAsia="Courier New" w:hAnsi="Courier New" w:cs="Courier New" w:hint="default"/>
      </w:rPr>
    </w:lvl>
    <w:lvl w:ilvl="5">
      <w:start w:val="1"/>
      <w:numFmt w:val="bullet"/>
      <w:lvlText w:val="▪"/>
      <w:lvlJc w:val="left"/>
      <w:pPr>
        <w:ind w:left="4680" w:hanging="360"/>
      </w:pPr>
      <w:rPr>
        <w:rFonts w:ascii="Noto Sans Symbols" w:eastAsia="Noto Sans Symbols" w:hAnsi="Noto Sans Symbols" w:cs="Noto Sans Symbols" w:hint="default"/>
      </w:rPr>
    </w:lvl>
    <w:lvl w:ilvl="6">
      <w:start w:val="1"/>
      <w:numFmt w:val="bullet"/>
      <w:lvlText w:val="●"/>
      <w:lvlJc w:val="left"/>
      <w:pPr>
        <w:ind w:left="5400" w:hanging="360"/>
      </w:pPr>
      <w:rPr>
        <w:rFonts w:ascii="Noto Sans Symbols" w:eastAsia="Noto Sans Symbols" w:hAnsi="Noto Sans Symbols" w:cs="Noto Sans Symbols" w:hint="default"/>
      </w:rPr>
    </w:lvl>
    <w:lvl w:ilvl="7">
      <w:start w:val="1"/>
      <w:numFmt w:val="bullet"/>
      <w:lvlText w:val="o"/>
      <w:lvlJc w:val="left"/>
      <w:pPr>
        <w:ind w:left="6120" w:hanging="360"/>
      </w:pPr>
      <w:rPr>
        <w:rFonts w:ascii="Courier New" w:eastAsia="Courier New" w:hAnsi="Courier New" w:cs="Courier New" w:hint="default"/>
      </w:rPr>
    </w:lvl>
    <w:lvl w:ilvl="8">
      <w:start w:val="1"/>
      <w:numFmt w:val="bullet"/>
      <w:lvlText w:val="▪"/>
      <w:lvlJc w:val="left"/>
      <w:pPr>
        <w:ind w:left="6840" w:hanging="360"/>
      </w:pPr>
      <w:rPr>
        <w:rFonts w:ascii="Noto Sans Symbols" w:eastAsia="Noto Sans Symbols" w:hAnsi="Noto Sans Symbols" w:cs="Noto Sans Symbols" w:hint="default"/>
      </w:rPr>
    </w:lvl>
  </w:abstractNum>
  <w:abstractNum w:abstractNumId="27" w15:restartNumberingAfterBreak="0">
    <w:nsid w:val="25FB446E"/>
    <w:multiLevelType w:val="hybridMultilevel"/>
    <w:tmpl w:val="6778DF1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75979"/>
    <w:multiLevelType w:val="hybridMultilevel"/>
    <w:tmpl w:val="948E8BF8"/>
    <w:lvl w:ilvl="0" w:tplc="C7B4E20C">
      <w:start w:val="2"/>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9" w15:restartNumberingAfterBreak="0">
    <w:nsid w:val="2DDC0BD3"/>
    <w:multiLevelType w:val="multilevel"/>
    <w:tmpl w:val="38CE8F1A"/>
    <w:lvl w:ilvl="0">
      <w:start w:val="1"/>
      <w:numFmt w:val="lowerLetter"/>
      <w:lvlText w:val="%1."/>
      <w:lvlJc w:val="left"/>
      <w:pPr>
        <w:ind w:left="1440" w:hanging="360"/>
      </w:pPr>
      <w:rPr>
        <w:rFonts w:hint="default"/>
      </w:rPr>
    </w:lvl>
    <w:lvl w:ilvl="1">
      <w:start w:val="1"/>
      <w:numFmt w:val="lowerLetter"/>
      <w:lvlText w:val="%2."/>
      <w:lvlJc w:val="left"/>
      <w:pPr>
        <w:ind w:left="2160" w:hanging="360"/>
      </w:pPr>
      <w:rPr>
        <w:rFonts w:hint="default"/>
      </w:rPr>
    </w:lvl>
    <w:lvl w:ilvl="2">
      <w:start w:val="1"/>
      <w:numFmt w:val="lowerRoman"/>
      <w:lvlText w:val="%3."/>
      <w:lvlJc w:val="right"/>
      <w:pPr>
        <w:ind w:left="2880" w:hanging="18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30" w15:restartNumberingAfterBreak="0">
    <w:nsid w:val="31B65267"/>
    <w:multiLevelType w:val="hybridMultilevel"/>
    <w:tmpl w:val="A5A64CF6"/>
    <w:lvl w:ilvl="0" w:tplc="D7440C5E">
      <w:start w:val="1"/>
      <w:numFmt w:val="lowerLetter"/>
      <w:lvlText w:val="%1."/>
      <w:lvlJc w:val="left"/>
      <w:pPr>
        <w:ind w:left="360" w:hanging="360"/>
      </w:pPr>
      <w:rPr>
        <w:color w:val="auto"/>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1" w15:restartNumberingAfterBreak="0">
    <w:nsid w:val="323E4375"/>
    <w:multiLevelType w:val="multilevel"/>
    <w:tmpl w:val="23ACDCC8"/>
    <w:lvl w:ilvl="0">
      <w:start w:val="1"/>
      <w:numFmt w:val="upperRoman"/>
      <w:pStyle w:val="Heading1"/>
      <w:lvlText w:val="%1."/>
      <w:lvlJc w:val="left"/>
      <w:pPr>
        <w:ind w:left="0" w:firstLine="0"/>
      </w:pPr>
      <w:rPr>
        <w:rFonts w:hint="default"/>
      </w:rPr>
    </w:lvl>
    <w:lvl w:ilvl="1">
      <w:start w:val="1"/>
      <w:numFmt w:val="upperLetter"/>
      <w:pStyle w:val="Heading2"/>
      <w:lvlText w:val="%2."/>
      <w:lvlJc w:val="left"/>
      <w:pPr>
        <w:ind w:left="720" w:firstLine="0"/>
      </w:pPr>
      <w:rPr>
        <w:rFonts w:hint="default"/>
      </w:rPr>
    </w:lvl>
    <w:lvl w:ilvl="2">
      <w:start w:val="1"/>
      <w:numFmt w:val="decimal"/>
      <w:pStyle w:val="Heading3"/>
      <w:lvlText w:val="%3."/>
      <w:lvlJc w:val="left"/>
      <w:pPr>
        <w:ind w:left="2246" w:firstLine="0"/>
      </w:pPr>
      <w:rPr>
        <w:rFonts w:hint="default"/>
      </w:rPr>
    </w:lvl>
    <w:lvl w:ilvl="3">
      <w:start w:val="1"/>
      <w:numFmt w:val="lowerLetter"/>
      <w:pStyle w:val="Heading4"/>
      <w:lvlText w:val="%4)"/>
      <w:lvlJc w:val="left"/>
      <w:pPr>
        <w:ind w:left="2966" w:firstLine="0"/>
      </w:pPr>
      <w:rPr>
        <w:rFonts w:hint="default"/>
      </w:rPr>
    </w:lvl>
    <w:lvl w:ilvl="4">
      <w:start w:val="1"/>
      <w:numFmt w:val="decimal"/>
      <w:pStyle w:val="Heading5"/>
      <w:lvlText w:val="(%5)"/>
      <w:lvlJc w:val="left"/>
      <w:pPr>
        <w:ind w:left="3686" w:firstLine="0"/>
      </w:pPr>
      <w:rPr>
        <w:rFonts w:hint="default"/>
      </w:rPr>
    </w:lvl>
    <w:lvl w:ilvl="5">
      <w:start w:val="1"/>
      <w:numFmt w:val="lowerLetter"/>
      <w:pStyle w:val="Heading6"/>
      <w:lvlText w:val="(%6)"/>
      <w:lvlJc w:val="left"/>
      <w:pPr>
        <w:ind w:left="4406" w:firstLine="0"/>
      </w:pPr>
      <w:rPr>
        <w:rFonts w:hint="default"/>
      </w:rPr>
    </w:lvl>
    <w:lvl w:ilvl="6">
      <w:start w:val="1"/>
      <w:numFmt w:val="lowerRoman"/>
      <w:pStyle w:val="Heading7"/>
      <w:lvlText w:val="(%7)"/>
      <w:lvlJc w:val="left"/>
      <w:pPr>
        <w:ind w:left="5126" w:firstLine="0"/>
      </w:pPr>
      <w:rPr>
        <w:rFonts w:hint="default"/>
      </w:rPr>
    </w:lvl>
    <w:lvl w:ilvl="7">
      <w:start w:val="1"/>
      <w:numFmt w:val="lowerLetter"/>
      <w:pStyle w:val="Heading8"/>
      <w:lvlText w:val="(%8)"/>
      <w:lvlJc w:val="left"/>
      <w:pPr>
        <w:ind w:left="5846" w:firstLine="0"/>
      </w:pPr>
      <w:rPr>
        <w:rFonts w:hint="default"/>
      </w:rPr>
    </w:lvl>
    <w:lvl w:ilvl="8">
      <w:start w:val="1"/>
      <w:numFmt w:val="lowerRoman"/>
      <w:pStyle w:val="Heading9"/>
      <w:lvlText w:val="(%9)"/>
      <w:lvlJc w:val="left"/>
      <w:pPr>
        <w:ind w:left="6566" w:firstLine="0"/>
      </w:pPr>
      <w:rPr>
        <w:rFonts w:hint="default"/>
      </w:rPr>
    </w:lvl>
  </w:abstractNum>
  <w:abstractNum w:abstractNumId="32" w15:restartNumberingAfterBreak="0">
    <w:nsid w:val="33976307"/>
    <w:multiLevelType w:val="hybridMultilevel"/>
    <w:tmpl w:val="DC449B20"/>
    <w:lvl w:ilvl="0" w:tplc="ECB6BE6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53C79BB"/>
    <w:multiLevelType w:val="hybridMultilevel"/>
    <w:tmpl w:val="1062C1C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385848EA"/>
    <w:multiLevelType w:val="hybridMultilevel"/>
    <w:tmpl w:val="1EE218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9EA00A9"/>
    <w:multiLevelType w:val="multilevel"/>
    <w:tmpl w:val="20C0B1A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6" w15:restartNumberingAfterBreak="0">
    <w:nsid w:val="3D081F3E"/>
    <w:multiLevelType w:val="multilevel"/>
    <w:tmpl w:val="A7C01588"/>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bullet"/>
      <w:lvlText w:val="▪"/>
      <w:lvlJc w:val="left"/>
      <w:pPr>
        <w:ind w:left="2520" w:hanging="360"/>
      </w:pPr>
      <w:rPr>
        <w:rFonts w:ascii="Noto Sans Symbols" w:eastAsia="Noto Sans Symbols" w:hAnsi="Noto Sans Symbols" w:cs="Noto Sans Symbols" w:hint="default"/>
      </w:rPr>
    </w:lvl>
    <w:lvl w:ilvl="3">
      <w:start w:val="1"/>
      <w:numFmt w:val="bullet"/>
      <w:lvlText w:val="●"/>
      <w:lvlJc w:val="left"/>
      <w:pPr>
        <w:ind w:left="3240" w:hanging="360"/>
      </w:pPr>
      <w:rPr>
        <w:rFonts w:ascii="Noto Sans Symbols" w:eastAsia="Noto Sans Symbols" w:hAnsi="Noto Sans Symbols" w:cs="Noto Sans Symbols" w:hint="default"/>
      </w:rPr>
    </w:lvl>
    <w:lvl w:ilvl="4">
      <w:start w:val="1"/>
      <w:numFmt w:val="bullet"/>
      <w:lvlText w:val="o"/>
      <w:lvlJc w:val="left"/>
      <w:pPr>
        <w:ind w:left="3960" w:hanging="360"/>
      </w:pPr>
      <w:rPr>
        <w:rFonts w:ascii="Courier New" w:eastAsia="Courier New" w:hAnsi="Courier New" w:cs="Courier New" w:hint="default"/>
      </w:rPr>
    </w:lvl>
    <w:lvl w:ilvl="5">
      <w:start w:val="1"/>
      <w:numFmt w:val="bullet"/>
      <w:lvlText w:val="▪"/>
      <w:lvlJc w:val="left"/>
      <w:pPr>
        <w:ind w:left="4680" w:hanging="360"/>
      </w:pPr>
      <w:rPr>
        <w:rFonts w:ascii="Noto Sans Symbols" w:eastAsia="Noto Sans Symbols" w:hAnsi="Noto Sans Symbols" w:cs="Noto Sans Symbols" w:hint="default"/>
      </w:rPr>
    </w:lvl>
    <w:lvl w:ilvl="6">
      <w:start w:val="1"/>
      <w:numFmt w:val="bullet"/>
      <w:lvlText w:val="●"/>
      <w:lvlJc w:val="left"/>
      <w:pPr>
        <w:ind w:left="5400" w:hanging="360"/>
      </w:pPr>
      <w:rPr>
        <w:rFonts w:ascii="Noto Sans Symbols" w:eastAsia="Noto Sans Symbols" w:hAnsi="Noto Sans Symbols" w:cs="Noto Sans Symbols" w:hint="default"/>
      </w:rPr>
    </w:lvl>
    <w:lvl w:ilvl="7">
      <w:start w:val="1"/>
      <w:numFmt w:val="bullet"/>
      <w:lvlText w:val="o"/>
      <w:lvlJc w:val="left"/>
      <w:pPr>
        <w:ind w:left="6120" w:hanging="360"/>
      </w:pPr>
      <w:rPr>
        <w:rFonts w:ascii="Courier New" w:eastAsia="Courier New" w:hAnsi="Courier New" w:cs="Courier New" w:hint="default"/>
      </w:rPr>
    </w:lvl>
    <w:lvl w:ilvl="8">
      <w:start w:val="1"/>
      <w:numFmt w:val="bullet"/>
      <w:lvlText w:val="▪"/>
      <w:lvlJc w:val="left"/>
      <w:pPr>
        <w:ind w:left="6840" w:hanging="360"/>
      </w:pPr>
      <w:rPr>
        <w:rFonts w:ascii="Noto Sans Symbols" w:eastAsia="Noto Sans Symbols" w:hAnsi="Noto Sans Symbols" w:cs="Noto Sans Symbols" w:hint="default"/>
      </w:rPr>
    </w:lvl>
  </w:abstractNum>
  <w:abstractNum w:abstractNumId="37" w15:restartNumberingAfterBreak="0">
    <w:nsid w:val="3EFA2C00"/>
    <w:multiLevelType w:val="hybridMultilevel"/>
    <w:tmpl w:val="36248FF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40425C0C"/>
    <w:multiLevelType w:val="hybridMultilevel"/>
    <w:tmpl w:val="7736E912"/>
    <w:lvl w:ilvl="0" w:tplc="FFFFFFFF">
      <w:start w:val="1"/>
      <w:numFmt w:val="upperLetter"/>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41EC4D51"/>
    <w:multiLevelType w:val="hybridMultilevel"/>
    <w:tmpl w:val="C4CE900E"/>
    <w:lvl w:ilvl="0" w:tplc="0A40A682">
      <w:start w:val="1"/>
      <w:numFmt w:val="lowerLetter"/>
      <w:lvlText w:val="%1."/>
      <w:lvlJc w:val="left"/>
      <w:pPr>
        <w:ind w:left="1080" w:hanging="360"/>
      </w:pPr>
      <w:rPr>
        <w:rFonts w:ascii="Times New Roman" w:eastAsia="Calibri" w:hAnsi="Times New Roman" w:cs="Calibri"/>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15:restartNumberingAfterBreak="0">
    <w:nsid w:val="42FE5579"/>
    <w:multiLevelType w:val="hybridMultilevel"/>
    <w:tmpl w:val="3DF8C474"/>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43957A4C"/>
    <w:multiLevelType w:val="multilevel"/>
    <w:tmpl w:val="47A29DFE"/>
    <w:styleLink w:val="CurrentList4"/>
    <w:lvl w:ilvl="0">
      <w:start w:val="1"/>
      <w:numFmt w:val="upperRoman"/>
      <w:lvlText w:val="%1."/>
      <w:lvlJc w:val="left"/>
      <w:pPr>
        <w:ind w:left="720" w:firstLine="0"/>
      </w:pPr>
      <w:rPr>
        <w:rFonts w:hint="default"/>
      </w:rPr>
    </w:lvl>
    <w:lvl w:ilvl="1">
      <w:start w:val="1"/>
      <w:numFmt w:val="upperLetter"/>
      <w:lvlText w:val="%2."/>
      <w:lvlJc w:val="left"/>
      <w:pPr>
        <w:ind w:left="720" w:firstLine="0"/>
      </w:pPr>
      <w:rPr>
        <w:rFonts w:hint="default"/>
      </w:rPr>
    </w:lvl>
    <w:lvl w:ilvl="2">
      <w:start w:val="1"/>
      <w:numFmt w:val="decimal"/>
      <w:lvlText w:val="%3."/>
      <w:lvlJc w:val="left"/>
      <w:pPr>
        <w:ind w:left="2246" w:firstLine="0"/>
      </w:pPr>
      <w:rPr>
        <w:rFonts w:hint="default"/>
      </w:rPr>
    </w:lvl>
    <w:lvl w:ilvl="3">
      <w:start w:val="1"/>
      <w:numFmt w:val="lowerLetter"/>
      <w:lvlText w:val="%4)"/>
      <w:lvlJc w:val="left"/>
      <w:pPr>
        <w:ind w:left="2966" w:firstLine="0"/>
      </w:pPr>
      <w:rPr>
        <w:rFonts w:hint="default"/>
      </w:rPr>
    </w:lvl>
    <w:lvl w:ilvl="4">
      <w:start w:val="1"/>
      <w:numFmt w:val="decimal"/>
      <w:lvlText w:val="(%5)"/>
      <w:lvlJc w:val="left"/>
      <w:pPr>
        <w:ind w:left="3686" w:firstLine="0"/>
      </w:pPr>
      <w:rPr>
        <w:rFonts w:hint="default"/>
      </w:rPr>
    </w:lvl>
    <w:lvl w:ilvl="5">
      <w:start w:val="1"/>
      <w:numFmt w:val="lowerLetter"/>
      <w:lvlText w:val="(%6)"/>
      <w:lvlJc w:val="left"/>
      <w:pPr>
        <w:ind w:left="4406" w:firstLine="0"/>
      </w:pPr>
      <w:rPr>
        <w:rFonts w:hint="default"/>
      </w:rPr>
    </w:lvl>
    <w:lvl w:ilvl="6">
      <w:start w:val="1"/>
      <w:numFmt w:val="lowerRoman"/>
      <w:lvlText w:val="(%7)"/>
      <w:lvlJc w:val="left"/>
      <w:pPr>
        <w:ind w:left="5126" w:firstLine="0"/>
      </w:pPr>
      <w:rPr>
        <w:rFonts w:hint="default"/>
      </w:rPr>
    </w:lvl>
    <w:lvl w:ilvl="7">
      <w:start w:val="1"/>
      <w:numFmt w:val="lowerLetter"/>
      <w:lvlText w:val="(%8)"/>
      <w:lvlJc w:val="left"/>
      <w:pPr>
        <w:ind w:left="5846" w:firstLine="0"/>
      </w:pPr>
      <w:rPr>
        <w:rFonts w:hint="default"/>
      </w:rPr>
    </w:lvl>
    <w:lvl w:ilvl="8">
      <w:start w:val="1"/>
      <w:numFmt w:val="lowerRoman"/>
      <w:lvlText w:val="(%9)"/>
      <w:lvlJc w:val="left"/>
      <w:pPr>
        <w:ind w:left="6566" w:firstLine="0"/>
      </w:pPr>
      <w:rPr>
        <w:rFonts w:hint="default"/>
      </w:rPr>
    </w:lvl>
  </w:abstractNum>
  <w:abstractNum w:abstractNumId="42" w15:restartNumberingAfterBreak="0">
    <w:nsid w:val="496D11D8"/>
    <w:multiLevelType w:val="hybridMultilevel"/>
    <w:tmpl w:val="D876E7F4"/>
    <w:lvl w:ilvl="0" w:tplc="E7868F5A">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49934BBD"/>
    <w:multiLevelType w:val="hybridMultilevel"/>
    <w:tmpl w:val="59CC503E"/>
    <w:lvl w:ilvl="0" w:tplc="43BAA5C0">
      <w:start w:val="1"/>
      <w:numFmt w:val="upp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4" w15:restartNumberingAfterBreak="0">
    <w:nsid w:val="4C2C71F1"/>
    <w:multiLevelType w:val="hybridMultilevel"/>
    <w:tmpl w:val="36F0E3C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C906359"/>
    <w:multiLevelType w:val="multilevel"/>
    <w:tmpl w:val="6FA4852C"/>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46" w15:restartNumberingAfterBreak="0">
    <w:nsid w:val="516302F1"/>
    <w:multiLevelType w:val="multilevel"/>
    <w:tmpl w:val="30102664"/>
    <w:lvl w:ilvl="0">
      <w:start w:val="1"/>
      <w:numFmt w:val="decimal"/>
      <w:lvlText w:val="%1."/>
      <w:lvlJc w:val="left"/>
      <w:pPr>
        <w:ind w:left="3960" w:hanging="360"/>
      </w:pPr>
    </w:lvl>
    <w:lvl w:ilvl="1">
      <w:start w:val="1"/>
      <w:numFmt w:val="lowerLetter"/>
      <w:lvlText w:val="%2."/>
      <w:lvlJc w:val="left"/>
      <w:pPr>
        <w:ind w:left="4320" w:hanging="360"/>
      </w:pPr>
    </w:lvl>
    <w:lvl w:ilvl="2">
      <w:start w:val="1"/>
      <w:numFmt w:val="lowerRoman"/>
      <w:lvlText w:val="%3."/>
      <w:lvlJc w:val="right"/>
      <w:pPr>
        <w:ind w:left="5040" w:hanging="180"/>
      </w:pPr>
    </w:lvl>
    <w:lvl w:ilvl="3">
      <w:start w:val="1"/>
      <w:numFmt w:val="decimal"/>
      <w:lvlText w:val="%4."/>
      <w:lvlJc w:val="left"/>
      <w:pPr>
        <w:ind w:left="5760" w:hanging="360"/>
      </w:pPr>
    </w:lvl>
    <w:lvl w:ilvl="4">
      <w:start w:val="1"/>
      <w:numFmt w:val="lowerLetter"/>
      <w:lvlText w:val="%5."/>
      <w:lvlJc w:val="left"/>
      <w:pPr>
        <w:ind w:left="6480" w:hanging="360"/>
      </w:pPr>
    </w:lvl>
    <w:lvl w:ilvl="5">
      <w:start w:val="1"/>
      <w:numFmt w:val="lowerRoman"/>
      <w:lvlText w:val="%6."/>
      <w:lvlJc w:val="right"/>
      <w:pPr>
        <w:ind w:left="7200" w:hanging="180"/>
      </w:pPr>
    </w:lvl>
    <w:lvl w:ilvl="6">
      <w:start w:val="1"/>
      <w:numFmt w:val="decimal"/>
      <w:lvlText w:val="%7."/>
      <w:lvlJc w:val="left"/>
      <w:pPr>
        <w:ind w:left="7920" w:hanging="360"/>
      </w:pPr>
    </w:lvl>
    <w:lvl w:ilvl="7">
      <w:start w:val="1"/>
      <w:numFmt w:val="lowerLetter"/>
      <w:lvlText w:val="%8."/>
      <w:lvlJc w:val="left"/>
      <w:pPr>
        <w:ind w:left="8640" w:hanging="360"/>
      </w:pPr>
    </w:lvl>
    <w:lvl w:ilvl="8">
      <w:start w:val="1"/>
      <w:numFmt w:val="lowerRoman"/>
      <w:lvlText w:val="%9."/>
      <w:lvlJc w:val="right"/>
      <w:pPr>
        <w:ind w:left="9360" w:hanging="180"/>
      </w:pPr>
    </w:lvl>
  </w:abstractNum>
  <w:abstractNum w:abstractNumId="47" w15:restartNumberingAfterBreak="0">
    <w:nsid w:val="51BC580E"/>
    <w:multiLevelType w:val="hybridMultilevel"/>
    <w:tmpl w:val="7F3234E4"/>
    <w:lvl w:ilvl="0" w:tplc="580E7B0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51DF2208"/>
    <w:multiLevelType w:val="multilevel"/>
    <w:tmpl w:val="0409001D"/>
    <w:styleLink w:val="CurrentList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9" w15:restartNumberingAfterBreak="0">
    <w:nsid w:val="51E33C9D"/>
    <w:multiLevelType w:val="hybridMultilevel"/>
    <w:tmpl w:val="360E13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5D63BF1"/>
    <w:multiLevelType w:val="multilevel"/>
    <w:tmpl w:val="2B48B5AA"/>
    <w:lvl w:ilvl="0">
      <w:start w:val="6"/>
      <w:numFmt w:val="lowerLetter"/>
      <w:lvlText w:val="%1."/>
      <w:lvlJc w:val="left"/>
      <w:pPr>
        <w:tabs>
          <w:tab w:val="num" w:pos="720"/>
        </w:tabs>
        <w:ind w:left="720" w:hanging="360"/>
      </w:pPr>
    </w:lvl>
    <w:lvl w:ilvl="1">
      <w:start w:val="1"/>
      <w:numFmt w:val="decimal"/>
      <w:lvlText w:val="%2."/>
      <w:lvlJc w:val="left"/>
      <w:pPr>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1" w15:restartNumberingAfterBreak="0">
    <w:nsid w:val="5C061B90"/>
    <w:multiLevelType w:val="hybridMultilevel"/>
    <w:tmpl w:val="157A5E3C"/>
    <w:lvl w:ilvl="0" w:tplc="FFFFFFFF">
      <w:start w:val="1"/>
      <w:numFmt w:val="lowerLetter"/>
      <w:lvlText w:val="%1."/>
      <w:lvlJc w:val="right"/>
      <w:pPr>
        <w:ind w:left="1710" w:hanging="360"/>
      </w:pPr>
      <w:rPr>
        <w:rFonts w:hint="default"/>
      </w:rPr>
    </w:lvl>
    <w:lvl w:ilvl="1" w:tplc="FFFFFFFF" w:tentative="1">
      <w:start w:val="1"/>
      <w:numFmt w:val="lowerLetter"/>
      <w:lvlText w:val="%2."/>
      <w:lvlJc w:val="left"/>
      <w:pPr>
        <w:ind w:left="2430" w:hanging="360"/>
      </w:pPr>
    </w:lvl>
    <w:lvl w:ilvl="2" w:tplc="FFFFFFFF" w:tentative="1">
      <w:start w:val="1"/>
      <w:numFmt w:val="lowerRoman"/>
      <w:lvlText w:val="%3."/>
      <w:lvlJc w:val="right"/>
      <w:pPr>
        <w:ind w:left="3150" w:hanging="180"/>
      </w:pPr>
    </w:lvl>
    <w:lvl w:ilvl="3" w:tplc="FFFFFFFF" w:tentative="1">
      <w:start w:val="1"/>
      <w:numFmt w:val="decimal"/>
      <w:lvlText w:val="%4."/>
      <w:lvlJc w:val="left"/>
      <w:pPr>
        <w:ind w:left="3870" w:hanging="360"/>
      </w:pPr>
    </w:lvl>
    <w:lvl w:ilvl="4" w:tplc="FFFFFFFF" w:tentative="1">
      <w:start w:val="1"/>
      <w:numFmt w:val="lowerLetter"/>
      <w:lvlText w:val="%5."/>
      <w:lvlJc w:val="left"/>
      <w:pPr>
        <w:ind w:left="4590" w:hanging="360"/>
      </w:pPr>
    </w:lvl>
    <w:lvl w:ilvl="5" w:tplc="FFFFFFFF" w:tentative="1">
      <w:start w:val="1"/>
      <w:numFmt w:val="lowerRoman"/>
      <w:lvlText w:val="%6."/>
      <w:lvlJc w:val="right"/>
      <w:pPr>
        <w:ind w:left="5310" w:hanging="180"/>
      </w:pPr>
    </w:lvl>
    <w:lvl w:ilvl="6" w:tplc="FFFFFFFF" w:tentative="1">
      <w:start w:val="1"/>
      <w:numFmt w:val="decimal"/>
      <w:lvlText w:val="%7."/>
      <w:lvlJc w:val="left"/>
      <w:pPr>
        <w:ind w:left="6030" w:hanging="360"/>
      </w:pPr>
    </w:lvl>
    <w:lvl w:ilvl="7" w:tplc="FFFFFFFF" w:tentative="1">
      <w:start w:val="1"/>
      <w:numFmt w:val="lowerLetter"/>
      <w:lvlText w:val="%8."/>
      <w:lvlJc w:val="left"/>
      <w:pPr>
        <w:ind w:left="6750" w:hanging="360"/>
      </w:pPr>
    </w:lvl>
    <w:lvl w:ilvl="8" w:tplc="FFFFFFFF" w:tentative="1">
      <w:start w:val="1"/>
      <w:numFmt w:val="lowerRoman"/>
      <w:lvlText w:val="%9."/>
      <w:lvlJc w:val="right"/>
      <w:pPr>
        <w:ind w:left="7470" w:hanging="180"/>
      </w:pPr>
    </w:lvl>
  </w:abstractNum>
  <w:abstractNum w:abstractNumId="52" w15:restartNumberingAfterBreak="0">
    <w:nsid w:val="5C805422"/>
    <w:multiLevelType w:val="hybridMultilevel"/>
    <w:tmpl w:val="4740D2BA"/>
    <w:lvl w:ilvl="0" w:tplc="EBB04B6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5DF8462D"/>
    <w:multiLevelType w:val="multilevel"/>
    <w:tmpl w:val="F3663CE8"/>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4" w15:restartNumberingAfterBreak="0">
    <w:nsid w:val="5F4348F0"/>
    <w:multiLevelType w:val="multilevel"/>
    <w:tmpl w:val="EE34E0B4"/>
    <w:styleLink w:val="CurrentList2"/>
    <w:lvl w:ilvl="0">
      <w:start w:val="1"/>
      <w:numFmt w:val="upperRoman"/>
      <w:lvlText w:val="%1."/>
      <w:lvlJc w:val="left"/>
      <w:pPr>
        <w:ind w:left="720" w:firstLine="0"/>
      </w:pPr>
      <w:rPr>
        <w:rFonts w:hint="default"/>
      </w:rPr>
    </w:lvl>
    <w:lvl w:ilvl="1">
      <w:start w:val="1"/>
      <w:numFmt w:val="upperLetter"/>
      <w:lvlText w:val="%2."/>
      <w:lvlJc w:val="left"/>
      <w:pPr>
        <w:ind w:left="1526" w:firstLine="0"/>
      </w:pPr>
      <w:rPr>
        <w:rFonts w:hint="default"/>
      </w:rPr>
    </w:lvl>
    <w:lvl w:ilvl="2">
      <w:start w:val="1"/>
      <w:numFmt w:val="decimal"/>
      <w:lvlText w:val="%3."/>
      <w:lvlJc w:val="left"/>
      <w:pPr>
        <w:ind w:left="2246" w:firstLine="0"/>
      </w:pPr>
      <w:rPr>
        <w:rFonts w:hint="default"/>
      </w:rPr>
    </w:lvl>
    <w:lvl w:ilvl="3">
      <w:start w:val="1"/>
      <w:numFmt w:val="lowerLetter"/>
      <w:lvlText w:val="%4)"/>
      <w:lvlJc w:val="left"/>
      <w:pPr>
        <w:ind w:left="2966" w:firstLine="0"/>
      </w:pPr>
      <w:rPr>
        <w:rFonts w:hint="default"/>
      </w:rPr>
    </w:lvl>
    <w:lvl w:ilvl="4">
      <w:start w:val="1"/>
      <w:numFmt w:val="decimal"/>
      <w:lvlText w:val="(%5)"/>
      <w:lvlJc w:val="left"/>
      <w:pPr>
        <w:ind w:left="3686" w:firstLine="0"/>
      </w:pPr>
      <w:rPr>
        <w:rFonts w:hint="default"/>
      </w:rPr>
    </w:lvl>
    <w:lvl w:ilvl="5">
      <w:start w:val="1"/>
      <w:numFmt w:val="lowerLetter"/>
      <w:lvlText w:val="(%6)"/>
      <w:lvlJc w:val="left"/>
      <w:pPr>
        <w:ind w:left="4406" w:firstLine="0"/>
      </w:pPr>
      <w:rPr>
        <w:rFonts w:hint="default"/>
      </w:rPr>
    </w:lvl>
    <w:lvl w:ilvl="6">
      <w:start w:val="1"/>
      <w:numFmt w:val="lowerRoman"/>
      <w:lvlText w:val="(%7)"/>
      <w:lvlJc w:val="left"/>
      <w:pPr>
        <w:ind w:left="5126" w:firstLine="0"/>
      </w:pPr>
      <w:rPr>
        <w:rFonts w:hint="default"/>
      </w:rPr>
    </w:lvl>
    <w:lvl w:ilvl="7">
      <w:start w:val="1"/>
      <w:numFmt w:val="lowerLetter"/>
      <w:lvlText w:val="(%8)"/>
      <w:lvlJc w:val="left"/>
      <w:pPr>
        <w:ind w:left="5846" w:firstLine="0"/>
      </w:pPr>
      <w:rPr>
        <w:rFonts w:hint="default"/>
      </w:rPr>
    </w:lvl>
    <w:lvl w:ilvl="8">
      <w:start w:val="1"/>
      <w:numFmt w:val="lowerRoman"/>
      <w:lvlText w:val="(%9)"/>
      <w:lvlJc w:val="left"/>
      <w:pPr>
        <w:ind w:left="6566" w:firstLine="0"/>
      </w:pPr>
      <w:rPr>
        <w:rFonts w:hint="default"/>
      </w:rPr>
    </w:lvl>
  </w:abstractNum>
  <w:abstractNum w:abstractNumId="55" w15:restartNumberingAfterBreak="0">
    <w:nsid w:val="60334DC2"/>
    <w:multiLevelType w:val="hybridMultilevel"/>
    <w:tmpl w:val="6462914A"/>
    <w:lvl w:ilvl="0" w:tplc="FFFFFFFF">
      <w:start w:val="1"/>
      <w:numFmt w:val="upperLetter"/>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62D84CF8"/>
    <w:multiLevelType w:val="hybridMultilevel"/>
    <w:tmpl w:val="187C9C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676A14A2"/>
    <w:multiLevelType w:val="hybridMultilevel"/>
    <w:tmpl w:val="EC448A64"/>
    <w:lvl w:ilvl="0" w:tplc="4E3CBF86">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6778281E"/>
    <w:multiLevelType w:val="hybridMultilevel"/>
    <w:tmpl w:val="9FA8648A"/>
    <w:lvl w:ilvl="0" w:tplc="3848A6E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69122779"/>
    <w:multiLevelType w:val="multilevel"/>
    <w:tmpl w:val="F858CF1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0" w15:restartNumberingAfterBreak="0">
    <w:nsid w:val="6E0A3D4E"/>
    <w:multiLevelType w:val="hybridMultilevel"/>
    <w:tmpl w:val="84D4304E"/>
    <w:lvl w:ilvl="0" w:tplc="0008A1A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6FF9011E"/>
    <w:multiLevelType w:val="hybridMultilevel"/>
    <w:tmpl w:val="280CBB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70037954"/>
    <w:multiLevelType w:val="hybridMultilevel"/>
    <w:tmpl w:val="7DAA8058"/>
    <w:lvl w:ilvl="0" w:tplc="FFFFFFFF">
      <w:start w:val="1"/>
      <w:numFmt w:val="upperLetter"/>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3" w15:restartNumberingAfterBreak="0">
    <w:nsid w:val="708B4330"/>
    <w:multiLevelType w:val="hybridMultilevel"/>
    <w:tmpl w:val="8500B5FE"/>
    <w:lvl w:ilvl="0" w:tplc="FFFFFFFF">
      <w:start w:val="1"/>
      <w:numFmt w:val="lowerLetter"/>
      <w:lvlText w:val="%1."/>
      <w:lvlJc w:val="left"/>
      <w:pPr>
        <w:ind w:left="360" w:hanging="360"/>
      </w:p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64" w15:restartNumberingAfterBreak="0">
    <w:nsid w:val="73973AE9"/>
    <w:multiLevelType w:val="hybridMultilevel"/>
    <w:tmpl w:val="977020F4"/>
    <w:lvl w:ilvl="0" w:tplc="04090019">
      <w:start w:val="1"/>
      <w:numFmt w:val="lowerLetter"/>
      <w:lvlText w:val="%1."/>
      <w:lvlJc w:val="left"/>
      <w:pPr>
        <w:ind w:left="2880" w:hanging="360"/>
      </w:p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65" w15:restartNumberingAfterBreak="0">
    <w:nsid w:val="73F54149"/>
    <w:multiLevelType w:val="hybridMultilevel"/>
    <w:tmpl w:val="17A8D264"/>
    <w:lvl w:ilvl="0" w:tplc="32C65CDE">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49F3D59"/>
    <w:multiLevelType w:val="hybridMultilevel"/>
    <w:tmpl w:val="E20C9D60"/>
    <w:lvl w:ilvl="0" w:tplc="FFFFFFFF">
      <w:start w:val="1"/>
      <w:numFmt w:val="upperLetter"/>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7" w15:restartNumberingAfterBreak="0">
    <w:nsid w:val="74A123CE"/>
    <w:multiLevelType w:val="hybridMultilevel"/>
    <w:tmpl w:val="EDA8E15A"/>
    <w:lvl w:ilvl="0" w:tplc="BD24ADE2">
      <w:start w:val="1"/>
      <w:numFmt w:val="upperLetter"/>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7A920FBB"/>
    <w:multiLevelType w:val="hybridMultilevel"/>
    <w:tmpl w:val="D8EA1A2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7BD60124"/>
    <w:multiLevelType w:val="multilevel"/>
    <w:tmpl w:val="E69ED14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0" w15:restartNumberingAfterBreak="0">
    <w:nsid w:val="7D2254A3"/>
    <w:multiLevelType w:val="hybridMultilevel"/>
    <w:tmpl w:val="5A8662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7F0823D5"/>
    <w:multiLevelType w:val="multilevel"/>
    <w:tmpl w:val="AEBCE936"/>
    <w:lvl w:ilvl="0">
      <w:start w:val="1"/>
      <w:numFmt w:val="decimal"/>
      <w:lvlText w:val="%1."/>
      <w:lvlJc w:val="left"/>
      <w:pPr>
        <w:ind w:left="1080" w:hanging="360"/>
      </w:pPr>
      <w:rPr>
        <w:rFonts w:hint="default"/>
      </w:rPr>
    </w:lvl>
    <w:lvl w:ilvl="1">
      <w:start w:val="1"/>
      <w:numFmt w:val="lowerLetter"/>
      <w:lvlText w:val="%2."/>
      <w:lvlJc w:val="left"/>
      <w:pPr>
        <w:ind w:left="4320" w:hanging="360"/>
      </w:pPr>
      <w:rPr>
        <w:rFonts w:hint="default"/>
      </w:rPr>
    </w:lvl>
    <w:lvl w:ilvl="2">
      <w:start w:val="1"/>
      <w:numFmt w:val="lowerRoman"/>
      <w:lvlText w:val="%3."/>
      <w:lvlJc w:val="right"/>
      <w:pPr>
        <w:ind w:left="5040" w:hanging="180"/>
      </w:pPr>
      <w:rPr>
        <w:rFonts w:hint="default"/>
      </w:rPr>
    </w:lvl>
    <w:lvl w:ilvl="3">
      <w:start w:val="1"/>
      <w:numFmt w:val="decimal"/>
      <w:lvlText w:val="%4."/>
      <w:lvlJc w:val="left"/>
      <w:pPr>
        <w:ind w:left="5760" w:hanging="360"/>
      </w:pPr>
      <w:rPr>
        <w:rFonts w:hint="default"/>
      </w:rPr>
    </w:lvl>
    <w:lvl w:ilvl="4">
      <w:start w:val="1"/>
      <w:numFmt w:val="lowerLetter"/>
      <w:lvlText w:val="%5."/>
      <w:lvlJc w:val="left"/>
      <w:pPr>
        <w:ind w:left="6480" w:hanging="360"/>
      </w:pPr>
      <w:rPr>
        <w:rFonts w:hint="default"/>
      </w:rPr>
    </w:lvl>
    <w:lvl w:ilvl="5">
      <w:start w:val="1"/>
      <w:numFmt w:val="lowerRoman"/>
      <w:lvlText w:val="%6."/>
      <w:lvlJc w:val="right"/>
      <w:pPr>
        <w:ind w:left="7200" w:hanging="180"/>
      </w:pPr>
      <w:rPr>
        <w:rFonts w:hint="default"/>
      </w:rPr>
    </w:lvl>
    <w:lvl w:ilvl="6">
      <w:start w:val="1"/>
      <w:numFmt w:val="decimal"/>
      <w:lvlText w:val="%7."/>
      <w:lvlJc w:val="left"/>
      <w:pPr>
        <w:ind w:left="7920" w:hanging="360"/>
      </w:pPr>
      <w:rPr>
        <w:rFonts w:hint="default"/>
      </w:rPr>
    </w:lvl>
    <w:lvl w:ilvl="7">
      <w:start w:val="1"/>
      <w:numFmt w:val="lowerLetter"/>
      <w:lvlText w:val="%8."/>
      <w:lvlJc w:val="left"/>
      <w:pPr>
        <w:ind w:left="8640" w:hanging="360"/>
      </w:pPr>
      <w:rPr>
        <w:rFonts w:hint="default"/>
      </w:rPr>
    </w:lvl>
    <w:lvl w:ilvl="8">
      <w:start w:val="1"/>
      <w:numFmt w:val="lowerRoman"/>
      <w:lvlText w:val="%9."/>
      <w:lvlJc w:val="right"/>
      <w:pPr>
        <w:ind w:left="9360" w:hanging="180"/>
      </w:pPr>
      <w:rPr>
        <w:rFonts w:hint="default"/>
      </w:rPr>
    </w:lvl>
  </w:abstractNum>
  <w:num w:numId="1" w16cid:durableId="188109317">
    <w:abstractNumId w:val="46"/>
  </w:num>
  <w:num w:numId="2" w16cid:durableId="1259753312">
    <w:abstractNumId w:val="36"/>
  </w:num>
  <w:num w:numId="3" w16cid:durableId="804932687">
    <w:abstractNumId w:val="69"/>
  </w:num>
  <w:num w:numId="4" w16cid:durableId="327682910">
    <w:abstractNumId w:val="59"/>
  </w:num>
  <w:num w:numId="5" w16cid:durableId="842815445">
    <w:abstractNumId w:val="45"/>
  </w:num>
  <w:num w:numId="6" w16cid:durableId="881478386">
    <w:abstractNumId w:val="9"/>
  </w:num>
  <w:num w:numId="7" w16cid:durableId="240723476">
    <w:abstractNumId w:val="7"/>
  </w:num>
  <w:num w:numId="8" w16cid:durableId="2133011592">
    <w:abstractNumId w:val="6"/>
  </w:num>
  <w:num w:numId="9" w16cid:durableId="1040087974">
    <w:abstractNumId w:val="5"/>
  </w:num>
  <w:num w:numId="10" w16cid:durableId="1979917185">
    <w:abstractNumId w:val="4"/>
  </w:num>
  <w:num w:numId="11" w16cid:durableId="1321882449">
    <w:abstractNumId w:val="8"/>
  </w:num>
  <w:num w:numId="12" w16cid:durableId="213856988">
    <w:abstractNumId w:val="3"/>
  </w:num>
  <w:num w:numId="13" w16cid:durableId="1925139450">
    <w:abstractNumId w:val="2"/>
  </w:num>
  <w:num w:numId="14" w16cid:durableId="1646735910">
    <w:abstractNumId w:val="1"/>
  </w:num>
  <w:num w:numId="15" w16cid:durableId="1236547190">
    <w:abstractNumId w:val="0"/>
  </w:num>
  <w:num w:numId="16" w16cid:durableId="1049259497">
    <w:abstractNumId w:val="12"/>
  </w:num>
  <w:num w:numId="17" w16cid:durableId="328604850">
    <w:abstractNumId w:val="43"/>
  </w:num>
  <w:num w:numId="18" w16cid:durableId="254822725">
    <w:abstractNumId w:val="65"/>
  </w:num>
  <w:num w:numId="19" w16cid:durableId="354382372">
    <w:abstractNumId w:val="58"/>
  </w:num>
  <w:num w:numId="20" w16cid:durableId="172694083">
    <w:abstractNumId w:val="19"/>
  </w:num>
  <w:num w:numId="21" w16cid:durableId="1126310236">
    <w:abstractNumId w:val="32"/>
  </w:num>
  <w:num w:numId="22" w16cid:durableId="1958174115">
    <w:abstractNumId w:val="52"/>
  </w:num>
  <w:num w:numId="23" w16cid:durableId="213783106">
    <w:abstractNumId w:val="57"/>
  </w:num>
  <w:num w:numId="24" w16cid:durableId="690105457">
    <w:abstractNumId w:val="47"/>
  </w:num>
  <w:num w:numId="25" w16cid:durableId="516699942">
    <w:abstractNumId w:val="42"/>
  </w:num>
  <w:num w:numId="26" w16cid:durableId="1595169095">
    <w:abstractNumId w:val="36"/>
    <w:lvlOverride w:ilvl="0">
      <w:lvl w:ilvl="0">
        <w:start w:val="1"/>
        <w:numFmt w:val="bullet"/>
        <w:lvlText w:val="●"/>
        <w:lvlJc w:val="left"/>
        <w:pPr>
          <w:ind w:left="720" w:firstLine="144"/>
        </w:pPr>
        <w:rPr>
          <w:rFonts w:ascii="Noto Sans Symbols" w:hAnsi="Noto Sans Symbols" w:hint="default"/>
        </w:rPr>
      </w:lvl>
    </w:lvlOverride>
    <w:lvlOverride w:ilvl="1">
      <w:lvl w:ilvl="1">
        <w:start w:val="1"/>
        <w:numFmt w:val="bullet"/>
        <w:lvlText w:val="o"/>
        <w:lvlJc w:val="left"/>
        <w:pPr>
          <w:ind w:left="1800" w:hanging="360"/>
        </w:pPr>
        <w:rPr>
          <w:rFonts w:ascii="Courier New" w:eastAsia="Courier New" w:hAnsi="Courier New" w:cs="Courier New" w:hint="default"/>
        </w:rPr>
      </w:lvl>
    </w:lvlOverride>
    <w:lvlOverride w:ilvl="2">
      <w:lvl w:ilvl="2">
        <w:start w:val="1"/>
        <w:numFmt w:val="bullet"/>
        <w:lvlText w:val="▪"/>
        <w:lvlJc w:val="left"/>
        <w:pPr>
          <w:ind w:left="2520" w:hanging="360"/>
        </w:pPr>
        <w:rPr>
          <w:rFonts w:ascii="Noto Sans Symbols" w:eastAsia="Noto Sans Symbols" w:hAnsi="Noto Sans Symbols" w:cs="Noto Sans Symbols" w:hint="default"/>
        </w:rPr>
      </w:lvl>
    </w:lvlOverride>
    <w:lvlOverride w:ilvl="3">
      <w:lvl w:ilvl="3">
        <w:start w:val="1"/>
        <w:numFmt w:val="bullet"/>
        <w:lvlText w:val="●"/>
        <w:lvlJc w:val="left"/>
        <w:pPr>
          <w:ind w:left="3240" w:hanging="360"/>
        </w:pPr>
        <w:rPr>
          <w:rFonts w:ascii="Noto Sans Symbols" w:eastAsia="Noto Sans Symbols" w:hAnsi="Noto Sans Symbols" w:cs="Noto Sans Symbols" w:hint="default"/>
        </w:rPr>
      </w:lvl>
    </w:lvlOverride>
    <w:lvlOverride w:ilvl="4">
      <w:lvl w:ilvl="4">
        <w:start w:val="1"/>
        <w:numFmt w:val="bullet"/>
        <w:lvlText w:val="o"/>
        <w:lvlJc w:val="left"/>
        <w:pPr>
          <w:ind w:left="3960" w:hanging="360"/>
        </w:pPr>
        <w:rPr>
          <w:rFonts w:ascii="Courier New" w:eastAsia="Courier New" w:hAnsi="Courier New" w:cs="Courier New" w:hint="default"/>
        </w:rPr>
      </w:lvl>
    </w:lvlOverride>
    <w:lvlOverride w:ilvl="5">
      <w:lvl w:ilvl="5">
        <w:start w:val="1"/>
        <w:numFmt w:val="bullet"/>
        <w:lvlText w:val="▪"/>
        <w:lvlJc w:val="left"/>
        <w:pPr>
          <w:ind w:left="4680" w:hanging="360"/>
        </w:pPr>
        <w:rPr>
          <w:rFonts w:ascii="Noto Sans Symbols" w:eastAsia="Noto Sans Symbols" w:hAnsi="Noto Sans Symbols" w:cs="Noto Sans Symbols" w:hint="default"/>
        </w:rPr>
      </w:lvl>
    </w:lvlOverride>
    <w:lvlOverride w:ilvl="6">
      <w:lvl w:ilvl="6">
        <w:start w:val="1"/>
        <w:numFmt w:val="bullet"/>
        <w:lvlText w:val="●"/>
        <w:lvlJc w:val="left"/>
        <w:pPr>
          <w:ind w:left="5400" w:hanging="360"/>
        </w:pPr>
        <w:rPr>
          <w:rFonts w:ascii="Noto Sans Symbols" w:eastAsia="Noto Sans Symbols" w:hAnsi="Noto Sans Symbols" w:cs="Noto Sans Symbols" w:hint="default"/>
        </w:rPr>
      </w:lvl>
    </w:lvlOverride>
    <w:lvlOverride w:ilvl="7">
      <w:lvl w:ilvl="7">
        <w:start w:val="1"/>
        <w:numFmt w:val="bullet"/>
        <w:lvlText w:val="o"/>
        <w:lvlJc w:val="left"/>
        <w:pPr>
          <w:ind w:left="6120" w:hanging="360"/>
        </w:pPr>
        <w:rPr>
          <w:rFonts w:ascii="Courier New" w:eastAsia="Courier New" w:hAnsi="Courier New" w:cs="Courier New" w:hint="default"/>
        </w:rPr>
      </w:lvl>
    </w:lvlOverride>
    <w:lvlOverride w:ilvl="8">
      <w:lvl w:ilvl="8">
        <w:start w:val="1"/>
        <w:numFmt w:val="bullet"/>
        <w:lvlText w:val="▪"/>
        <w:lvlJc w:val="left"/>
        <w:pPr>
          <w:ind w:left="6840" w:hanging="360"/>
        </w:pPr>
        <w:rPr>
          <w:rFonts w:ascii="Noto Sans Symbols" w:eastAsia="Noto Sans Symbols" w:hAnsi="Noto Sans Symbols" w:cs="Noto Sans Symbols" w:hint="default"/>
        </w:rPr>
      </w:lvl>
    </w:lvlOverride>
  </w:num>
  <w:num w:numId="27" w16cid:durableId="450517408">
    <w:abstractNumId w:val="36"/>
    <w:lvlOverride w:ilvl="0">
      <w:lvl w:ilvl="0">
        <w:start w:val="1"/>
        <w:numFmt w:val="lowerLetter"/>
        <w:lvlText w:val="%1."/>
        <w:lvlJc w:val="left"/>
        <w:pPr>
          <w:ind w:left="1440" w:hanging="360"/>
        </w:pPr>
      </w:lvl>
    </w:lvlOverride>
    <w:lvlOverride w:ilvl="1">
      <w:lvl w:ilvl="1">
        <w:start w:val="1"/>
        <w:numFmt w:val="lowerLetter"/>
        <w:lvlText w:val="%2."/>
        <w:lvlJc w:val="left"/>
        <w:pPr>
          <w:ind w:left="2160" w:hanging="360"/>
        </w:pPr>
      </w:lvl>
    </w:lvlOverride>
    <w:lvlOverride w:ilvl="2">
      <w:lvl w:ilvl="2" w:tentative="1">
        <w:start w:val="1"/>
        <w:numFmt w:val="lowerRoman"/>
        <w:lvlText w:val="%3."/>
        <w:lvlJc w:val="right"/>
        <w:pPr>
          <w:ind w:left="2880" w:hanging="180"/>
        </w:pPr>
      </w:lvl>
    </w:lvlOverride>
    <w:lvlOverride w:ilvl="3">
      <w:lvl w:ilvl="3" w:tentative="1">
        <w:start w:val="1"/>
        <w:numFmt w:val="decimal"/>
        <w:lvlText w:val="%4."/>
        <w:lvlJc w:val="left"/>
        <w:pPr>
          <w:ind w:left="3600" w:hanging="360"/>
        </w:pPr>
      </w:lvl>
    </w:lvlOverride>
    <w:lvlOverride w:ilvl="4">
      <w:lvl w:ilvl="4" w:tentative="1">
        <w:start w:val="1"/>
        <w:numFmt w:val="lowerLetter"/>
        <w:lvlText w:val="%5."/>
        <w:lvlJc w:val="left"/>
        <w:pPr>
          <w:ind w:left="4320" w:hanging="360"/>
        </w:pPr>
      </w:lvl>
    </w:lvlOverride>
    <w:lvlOverride w:ilvl="5">
      <w:lvl w:ilvl="5" w:tentative="1">
        <w:start w:val="1"/>
        <w:numFmt w:val="lowerRoman"/>
        <w:lvlText w:val="%6."/>
        <w:lvlJc w:val="right"/>
        <w:pPr>
          <w:ind w:left="5040" w:hanging="180"/>
        </w:pPr>
      </w:lvl>
    </w:lvlOverride>
    <w:lvlOverride w:ilvl="6">
      <w:lvl w:ilvl="6" w:tentative="1">
        <w:start w:val="1"/>
        <w:numFmt w:val="decimal"/>
        <w:lvlText w:val="%7."/>
        <w:lvlJc w:val="left"/>
        <w:pPr>
          <w:ind w:left="5760" w:hanging="360"/>
        </w:pPr>
      </w:lvl>
    </w:lvlOverride>
    <w:lvlOverride w:ilvl="7">
      <w:lvl w:ilvl="7" w:tentative="1">
        <w:start w:val="1"/>
        <w:numFmt w:val="lowerLetter"/>
        <w:lvlText w:val="%8."/>
        <w:lvlJc w:val="left"/>
        <w:pPr>
          <w:ind w:left="6480" w:hanging="360"/>
        </w:pPr>
      </w:lvl>
    </w:lvlOverride>
    <w:lvlOverride w:ilvl="8">
      <w:lvl w:ilvl="8" w:tentative="1">
        <w:start w:val="1"/>
        <w:numFmt w:val="lowerRoman"/>
        <w:lvlText w:val="%9."/>
        <w:lvlJc w:val="right"/>
        <w:pPr>
          <w:ind w:left="7200" w:hanging="180"/>
        </w:pPr>
      </w:lvl>
    </w:lvlOverride>
  </w:num>
  <w:num w:numId="28" w16cid:durableId="1319460007">
    <w:abstractNumId w:val="36"/>
    <w:lvlOverride w:ilvl="0">
      <w:lvl w:ilvl="0">
        <w:start w:val="1"/>
        <w:numFmt w:val="lowerLetter"/>
        <w:lvlText w:val="%1."/>
        <w:lvlJc w:val="left"/>
        <w:pPr>
          <w:ind w:left="1440" w:hanging="360"/>
        </w:pPr>
      </w:lvl>
    </w:lvlOverride>
    <w:lvlOverride w:ilvl="1">
      <w:lvl w:ilvl="1">
        <w:start w:val="1"/>
        <w:numFmt w:val="lowerLetter"/>
        <w:lvlText w:val="%2."/>
        <w:lvlJc w:val="left"/>
        <w:pPr>
          <w:ind w:left="2160" w:hanging="360"/>
        </w:pPr>
      </w:lvl>
    </w:lvlOverride>
    <w:lvlOverride w:ilvl="2">
      <w:lvl w:ilvl="2" w:tentative="1">
        <w:start w:val="1"/>
        <w:numFmt w:val="lowerRoman"/>
        <w:lvlText w:val="%3."/>
        <w:lvlJc w:val="right"/>
        <w:pPr>
          <w:ind w:left="2880" w:hanging="180"/>
        </w:pPr>
      </w:lvl>
    </w:lvlOverride>
    <w:lvlOverride w:ilvl="3">
      <w:lvl w:ilvl="3" w:tentative="1">
        <w:start w:val="1"/>
        <w:numFmt w:val="decimal"/>
        <w:lvlText w:val="%4."/>
        <w:lvlJc w:val="left"/>
        <w:pPr>
          <w:ind w:left="3600" w:hanging="360"/>
        </w:pPr>
      </w:lvl>
    </w:lvlOverride>
    <w:lvlOverride w:ilvl="4">
      <w:lvl w:ilvl="4" w:tentative="1">
        <w:start w:val="1"/>
        <w:numFmt w:val="lowerLetter"/>
        <w:lvlText w:val="%5."/>
        <w:lvlJc w:val="left"/>
        <w:pPr>
          <w:ind w:left="4320" w:hanging="360"/>
        </w:pPr>
      </w:lvl>
    </w:lvlOverride>
    <w:lvlOverride w:ilvl="5">
      <w:lvl w:ilvl="5" w:tentative="1">
        <w:start w:val="1"/>
        <w:numFmt w:val="lowerRoman"/>
        <w:lvlText w:val="%6."/>
        <w:lvlJc w:val="right"/>
        <w:pPr>
          <w:ind w:left="5040" w:hanging="180"/>
        </w:pPr>
      </w:lvl>
    </w:lvlOverride>
    <w:lvlOverride w:ilvl="6">
      <w:lvl w:ilvl="6" w:tentative="1">
        <w:start w:val="1"/>
        <w:numFmt w:val="decimal"/>
        <w:lvlText w:val="%7."/>
        <w:lvlJc w:val="left"/>
        <w:pPr>
          <w:ind w:left="5760" w:hanging="360"/>
        </w:pPr>
      </w:lvl>
    </w:lvlOverride>
    <w:lvlOverride w:ilvl="7">
      <w:lvl w:ilvl="7" w:tentative="1">
        <w:start w:val="1"/>
        <w:numFmt w:val="lowerLetter"/>
        <w:lvlText w:val="%8."/>
        <w:lvlJc w:val="left"/>
        <w:pPr>
          <w:ind w:left="6480" w:hanging="360"/>
        </w:pPr>
      </w:lvl>
    </w:lvlOverride>
    <w:lvlOverride w:ilvl="8">
      <w:lvl w:ilvl="8" w:tentative="1">
        <w:start w:val="1"/>
        <w:numFmt w:val="lowerRoman"/>
        <w:lvlText w:val="%9."/>
        <w:lvlJc w:val="right"/>
        <w:pPr>
          <w:ind w:left="7200" w:hanging="180"/>
        </w:pPr>
      </w:lvl>
    </w:lvlOverride>
  </w:num>
  <w:num w:numId="29" w16cid:durableId="20479090">
    <w:abstractNumId w:val="71"/>
  </w:num>
  <w:num w:numId="30" w16cid:durableId="961417690">
    <w:abstractNumId w:val="60"/>
  </w:num>
  <w:num w:numId="31" w16cid:durableId="1095907485">
    <w:abstractNumId w:val="26"/>
  </w:num>
  <w:num w:numId="32" w16cid:durableId="861405958">
    <w:abstractNumId w:val="24"/>
  </w:num>
  <w:num w:numId="33" w16cid:durableId="944536882">
    <w:abstractNumId w:val="29"/>
  </w:num>
  <w:num w:numId="34" w16cid:durableId="1751806692">
    <w:abstractNumId w:val="10"/>
  </w:num>
  <w:num w:numId="35" w16cid:durableId="696197592">
    <w:abstractNumId w:val="37"/>
  </w:num>
  <w:num w:numId="36" w16cid:durableId="273053129">
    <w:abstractNumId w:val="16"/>
  </w:num>
  <w:num w:numId="37" w16cid:durableId="548155299">
    <w:abstractNumId w:val="22"/>
  </w:num>
  <w:num w:numId="38" w16cid:durableId="2001427345">
    <w:abstractNumId w:val="67"/>
  </w:num>
  <w:num w:numId="39" w16cid:durableId="618950119">
    <w:abstractNumId w:val="13"/>
  </w:num>
  <w:num w:numId="40" w16cid:durableId="1318877772">
    <w:abstractNumId w:val="40"/>
  </w:num>
  <w:num w:numId="41" w16cid:durableId="696351301">
    <w:abstractNumId w:val="20"/>
  </w:num>
  <w:num w:numId="42" w16cid:durableId="849179557">
    <w:abstractNumId w:val="15"/>
  </w:num>
  <w:num w:numId="43" w16cid:durableId="1488590596">
    <w:abstractNumId w:val="18"/>
  </w:num>
  <w:num w:numId="44" w16cid:durableId="1615363970">
    <w:abstractNumId w:val="25"/>
  </w:num>
  <w:num w:numId="45" w16cid:durableId="57173987">
    <w:abstractNumId w:val="27"/>
  </w:num>
  <w:num w:numId="46" w16cid:durableId="404031897">
    <w:abstractNumId w:val="56"/>
  </w:num>
  <w:num w:numId="47" w16cid:durableId="953633963">
    <w:abstractNumId w:val="70"/>
  </w:num>
  <w:num w:numId="48" w16cid:durableId="2061635633">
    <w:abstractNumId w:val="35"/>
  </w:num>
  <w:num w:numId="49" w16cid:durableId="1747148275">
    <w:abstractNumId w:val="53"/>
  </w:num>
  <w:num w:numId="50" w16cid:durableId="1108308928">
    <w:abstractNumId w:val="68"/>
  </w:num>
  <w:num w:numId="51" w16cid:durableId="506209186">
    <w:abstractNumId w:val="51"/>
  </w:num>
  <w:num w:numId="52" w16cid:durableId="1143933729">
    <w:abstractNumId w:val="21"/>
  </w:num>
  <w:num w:numId="53" w16cid:durableId="2140800354">
    <w:abstractNumId w:val="30"/>
  </w:num>
  <w:num w:numId="54" w16cid:durableId="1470972254">
    <w:abstractNumId w:val="63"/>
  </w:num>
  <w:num w:numId="55" w16cid:durableId="759830987">
    <w:abstractNumId w:val="50"/>
  </w:num>
  <w:num w:numId="56" w16cid:durableId="1311594512">
    <w:abstractNumId w:val="44"/>
  </w:num>
  <w:num w:numId="57" w16cid:durableId="2125152781">
    <w:abstractNumId w:val="39"/>
  </w:num>
  <w:num w:numId="58" w16cid:durableId="929511670">
    <w:abstractNumId w:val="64"/>
  </w:num>
  <w:num w:numId="59" w16cid:durableId="643315220">
    <w:abstractNumId w:val="28"/>
  </w:num>
  <w:num w:numId="60" w16cid:durableId="820804461">
    <w:abstractNumId w:val="66"/>
  </w:num>
  <w:num w:numId="61" w16cid:durableId="1508640806">
    <w:abstractNumId w:val="62"/>
  </w:num>
  <w:num w:numId="62" w16cid:durableId="1225871699">
    <w:abstractNumId w:val="55"/>
  </w:num>
  <w:num w:numId="63" w16cid:durableId="410660146">
    <w:abstractNumId w:val="33"/>
  </w:num>
  <w:num w:numId="64" w16cid:durableId="63649427">
    <w:abstractNumId w:val="61"/>
  </w:num>
  <w:num w:numId="65" w16cid:durableId="1965378305">
    <w:abstractNumId w:val="38"/>
  </w:num>
  <w:num w:numId="66" w16cid:durableId="240412991">
    <w:abstractNumId w:val="48"/>
  </w:num>
  <w:num w:numId="67" w16cid:durableId="1861430796">
    <w:abstractNumId w:val="31"/>
  </w:num>
  <w:num w:numId="68" w16cid:durableId="1366520288">
    <w:abstractNumId w:val="54"/>
  </w:num>
  <w:num w:numId="69" w16cid:durableId="587738781">
    <w:abstractNumId w:val="11"/>
  </w:num>
  <w:num w:numId="70" w16cid:durableId="188302915">
    <w:abstractNumId w:val="41"/>
  </w:num>
  <w:num w:numId="71" w16cid:durableId="484783911">
    <w:abstractNumId w:val="17"/>
  </w:num>
  <w:num w:numId="72" w16cid:durableId="370149920">
    <w:abstractNumId w:val="14"/>
  </w:num>
  <w:num w:numId="73" w16cid:durableId="1382285966">
    <w:abstractNumId w:val="34"/>
  </w:num>
  <w:num w:numId="74" w16cid:durableId="1209992003">
    <w:abstractNumId w:val="49"/>
  </w:num>
  <w:num w:numId="75" w16cid:durableId="66513712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activeWritingStyle w:appName="MSWord" w:lang="en-US" w:vendorID="64" w:dllVersion="0" w:nlCheck="1" w:checkStyle="0"/>
  <w:activeWritingStyle w:appName="MSWord" w:lang="en-US" w:vendorID="64" w:dllVersion="4096" w:nlCheck="1" w:checkStyle="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60DA"/>
    <w:rsid w:val="00016035"/>
    <w:rsid w:val="00016A1E"/>
    <w:rsid w:val="000179E5"/>
    <w:rsid w:val="00020EDD"/>
    <w:rsid w:val="00021A0F"/>
    <w:rsid w:val="00023625"/>
    <w:rsid w:val="0003358C"/>
    <w:rsid w:val="00036DE2"/>
    <w:rsid w:val="000376BC"/>
    <w:rsid w:val="00041454"/>
    <w:rsid w:val="0004228C"/>
    <w:rsid w:val="00043DFB"/>
    <w:rsid w:val="00054DE9"/>
    <w:rsid w:val="00062645"/>
    <w:rsid w:val="00063515"/>
    <w:rsid w:val="0006376D"/>
    <w:rsid w:val="0006461E"/>
    <w:rsid w:val="000656E2"/>
    <w:rsid w:val="00066020"/>
    <w:rsid w:val="00067201"/>
    <w:rsid w:val="000677A5"/>
    <w:rsid w:val="00071C05"/>
    <w:rsid w:val="00073481"/>
    <w:rsid w:val="00074432"/>
    <w:rsid w:val="000774AF"/>
    <w:rsid w:val="0008096D"/>
    <w:rsid w:val="00082CCC"/>
    <w:rsid w:val="00085522"/>
    <w:rsid w:val="00086584"/>
    <w:rsid w:val="000903FE"/>
    <w:rsid w:val="000949AA"/>
    <w:rsid w:val="000A747F"/>
    <w:rsid w:val="000A7FA9"/>
    <w:rsid w:val="000B53E3"/>
    <w:rsid w:val="000C0A90"/>
    <w:rsid w:val="000C2838"/>
    <w:rsid w:val="000C6F89"/>
    <w:rsid w:val="000F207B"/>
    <w:rsid w:val="000F73A7"/>
    <w:rsid w:val="000F7FC7"/>
    <w:rsid w:val="001009D4"/>
    <w:rsid w:val="001014D9"/>
    <w:rsid w:val="00101959"/>
    <w:rsid w:val="0010707C"/>
    <w:rsid w:val="00111317"/>
    <w:rsid w:val="0011227B"/>
    <w:rsid w:val="001129B1"/>
    <w:rsid w:val="001133F0"/>
    <w:rsid w:val="001134EE"/>
    <w:rsid w:val="0011762A"/>
    <w:rsid w:val="00117FA1"/>
    <w:rsid w:val="0012189A"/>
    <w:rsid w:val="00123E76"/>
    <w:rsid w:val="001261AD"/>
    <w:rsid w:val="00126EF2"/>
    <w:rsid w:val="00130071"/>
    <w:rsid w:val="001310B1"/>
    <w:rsid w:val="00131328"/>
    <w:rsid w:val="00132A74"/>
    <w:rsid w:val="0013345C"/>
    <w:rsid w:val="00133A6E"/>
    <w:rsid w:val="001343C7"/>
    <w:rsid w:val="001352C4"/>
    <w:rsid w:val="00136E54"/>
    <w:rsid w:val="00137DBA"/>
    <w:rsid w:val="0015396D"/>
    <w:rsid w:val="001574B8"/>
    <w:rsid w:val="00160653"/>
    <w:rsid w:val="00166170"/>
    <w:rsid w:val="00166720"/>
    <w:rsid w:val="001671C0"/>
    <w:rsid w:val="00167A98"/>
    <w:rsid w:val="00180B78"/>
    <w:rsid w:val="001811E7"/>
    <w:rsid w:val="00181DDF"/>
    <w:rsid w:val="00183C46"/>
    <w:rsid w:val="00185411"/>
    <w:rsid w:val="00187705"/>
    <w:rsid w:val="00191821"/>
    <w:rsid w:val="00192755"/>
    <w:rsid w:val="0019486B"/>
    <w:rsid w:val="001A009B"/>
    <w:rsid w:val="001A48FF"/>
    <w:rsid w:val="001A4CBF"/>
    <w:rsid w:val="001A5CBA"/>
    <w:rsid w:val="001B14CF"/>
    <w:rsid w:val="001B16D2"/>
    <w:rsid w:val="001B1930"/>
    <w:rsid w:val="001B2F0D"/>
    <w:rsid w:val="001C34F3"/>
    <w:rsid w:val="001C3C4C"/>
    <w:rsid w:val="001C64F9"/>
    <w:rsid w:val="001D1FA3"/>
    <w:rsid w:val="001D43BC"/>
    <w:rsid w:val="001D4958"/>
    <w:rsid w:val="001D596C"/>
    <w:rsid w:val="001D6402"/>
    <w:rsid w:val="001E7352"/>
    <w:rsid w:val="001E741E"/>
    <w:rsid w:val="001F76C9"/>
    <w:rsid w:val="00201089"/>
    <w:rsid w:val="00202A20"/>
    <w:rsid w:val="00206F52"/>
    <w:rsid w:val="0020776F"/>
    <w:rsid w:val="00217D1E"/>
    <w:rsid w:val="00226EA9"/>
    <w:rsid w:val="002317CF"/>
    <w:rsid w:val="0024063E"/>
    <w:rsid w:val="00242E4C"/>
    <w:rsid w:val="00245A7E"/>
    <w:rsid w:val="00246F3C"/>
    <w:rsid w:val="002479E3"/>
    <w:rsid w:val="0025361C"/>
    <w:rsid w:val="00255756"/>
    <w:rsid w:val="002644EC"/>
    <w:rsid w:val="002722D1"/>
    <w:rsid w:val="00272321"/>
    <w:rsid w:val="002758CE"/>
    <w:rsid w:val="0027638A"/>
    <w:rsid w:val="00276728"/>
    <w:rsid w:val="00280A6B"/>
    <w:rsid w:val="0028478B"/>
    <w:rsid w:val="00290574"/>
    <w:rsid w:val="002A1DBD"/>
    <w:rsid w:val="002A3FC0"/>
    <w:rsid w:val="002A7595"/>
    <w:rsid w:val="002C61FE"/>
    <w:rsid w:val="002C623E"/>
    <w:rsid w:val="002C7561"/>
    <w:rsid w:val="002C7788"/>
    <w:rsid w:val="002D038A"/>
    <w:rsid w:val="002D052E"/>
    <w:rsid w:val="002D1717"/>
    <w:rsid w:val="002D47E7"/>
    <w:rsid w:val="002D51F6"/>
    <w:rsid w:val="002D5CBF"/>
    <w:rsid w:val="002E2A33"/>
    <w:rsid w:val="002E4DF5"/>
    <w:rsid w:val="002E70DB"/>
    <w:rsid w:val="002E79E0"/>
    <w:rsid w:val="002F1994"/>
    <w:rsid w:val="002F6E83"/>
    <w:rsid w:val="00307C4A"/>
    <w:rsid w:val="003130F0"/>
    <w:rsid w:val="00314772"/>
    <w:rsid w:val="00314C76"/>
    <w:rsid w:val="00316145"/>
    <w:rsid w:val="003165EE"/>
    <w:rsid w:val="00321291"/>
    <w:rsid w:val="003219F5"/>
    <w:rsid w:val="00321AF8"/>
    <w:rsid w:val="00323C6E"/>
    <w:rsid w:val="0033005C"/>
    <w:rsid w:val="00330CE9"/>
    <w:rsid w:val="00334DD6"/>
    <w:rsid w:val="00337851"/>
    <w:rsid w:val="00341DDD"/>
    <w:rsid w:val="00344238"/>
    <w:rsid w:val="00344C75"/>
    <w:rsid w:val="003501F1"/>
    <w:rsid w:val="00356CD0"/>
    <w:rsid w:val="00360434"/>
    <w:rsid w:val="0036171B"/>
    <w:rsid w:val="003627CA"/>
    <w:rsid w:val="00362FE1"/>
    <w:rsid w:val="003632AF"/>
    <w:rsid w:val="00364BF6"/>
    <w:rsid w:val="00365FEC"/>
    <w:rsid w:val="00367549"/>
    <w:rsid w:val="00371EA1"/>
    <w:rsid w:val="00375B24"/>
    <w:rsid w:val="00380C47"/>
    <w:rsid w:val="00384A74"/>
    <w:rsid w:val="00384AD3"/>
    <w:rsid w:val="00384D36"/>
    <w:rsid w:val="003875E5"/>
    <w:rsid w:val="00396C9A"/>
    <w:rsid w:val="003A0E6C"/>
    <w:rsid w:val="003A1574"/>
    <w:rsid w:val="003A223C"/>
    <w:rsid w:val="003A4863"/>
    <w:rsid w:val="003A4C00"/>
    <w:rsid w:val="003A6CDA"/>
    <w:rsid w:val="003B15C5"/>
    <w:rsid w:val="003B289A"/>
    <w:rsid w:val="003B3058"/>
    <w:rsid w:val="003B4289"/>
    <w:rsid w:val="003B64DA"/>
    <w:rsid w:val="003C303B"/>
    <w:rsid w:val="003C38D8"/>
    <w:rsid w:val="003C7D50"/>
    <w:rsid w:val="003D4E78"/>
    <w:rsid w:val="003D569E"/>
    <w:rsid w:val="003D6D91"/>
    <w:rsid w:val="003E03B3"/>
    <w:rsid w:val="003E1EBA"/>
    <w:rsid w:val="003E2BD7"/>
    <w:rsid w:val="003E42E4"/>
    <w:rsid w:val="003E5196"/>
    <w:rsid w:val="003E6256"/>
    <w:rsid w:val="003F3BF4"/>
    <w:rsid w:val="004012A1"/>
    <w:rsid w:val="0040435F"/>
    <w:rsid w:val="004056E4"/>
    <w:rsid w:val="004069A0"/>
    <w:rsid w:val="00407739"/>
    <w:rsid w:val="00407AD3"/>
    <w:rsid w:val="00421F4F"/>
    <w:rsid w:val="0042718A"/>
    <w:rsid w:val="00427F63"/>
    <w:rsid w:val="00430E86"/>
    <w:rsid w:val="004326EE"/>
    <w:rsid w:val="004331D9"/>
    <w:rsid w:val="0043702B"/>
    <w:rsid w:val="00442EAE"/>
    <w:rsid w:val="00444DB3"/>
    <w:rsid w:val="00447F55"/>
    <w:rsid w:val="00450B7E"/>
    <w:rsid w:val="00451F07"/>
    <w:rsid w:val="00452C0E"/>
    <w:rsid w:val="0045364F"/>
    <w:rsid w:val="004559E7"/>
    <w:rsid w:val="004570BD"/>
    <w:rsid w:val="00457739"/>
    <w:rsid w:val="0046291A"/>
    <w:rsid w:val="00462AFC"/>
    <w:rsid w:val="00462B0B"/>
    <w:rsid w:val="00465C35"/>
    <w:rsid w:val="00471459"/>
    <w:rsid w:val="00471D02"/>
    <w:rsid w:val="0047367C"/>
    <w:rsid w:val="00474458"/>
    <w:rsid w:val="0047615F"/>
    <w:rsid w:val="00481A48"/>
    <w:rsid w:val="00482845"/>
    <w:rsid w:val="0048409C"/>
    <w:rsid w:val="004853B2"/>
    <w:rsid w:val="00486634"/>
    <w:rsid w:val="00486B9D"/>
    <w:rsid w:val="00492FD0"/>
    <w:rsid w:val="0049387D"/>
    <w:rsid w:val="00494644"/>
    <w:rsid w:val="004A100D"/>
    <w:rsid w:val="004A5A0A"/>
    <w:rsid w:val="004A62FA"/>
    <w:rsid w:val="004B47F4"/>
    <w:rsid w:val="004C5175"/>
    <w:rsid w:val="004D1612"/>
    <w:rsid w:val="004D27EE"/>
    <w:rsid w:val="004D486C"/>
    <w:rsid w:val="004D58B6"/>
    <w:rsid w:val="004E0708"/>
    <w:rsid w:val="004E26EF"/>
    <w:rsid w:val="004E3F30"/>
    <w:rsid w:val="004E5024"/>
    <w:rsid w:val="004E5FF5"/>
    <w:rsid w:val="004E753E"/>
    <w:rsid w:val="004F2259"/>
    <w:rsid w:val="004F60DA"/>
    <w:rsid w:val="005001F6"/>
    <w:rsid w:val="005018DC"/>
    <w:rsid w:val="00503D98"/>
    <w:rsid w:val="00514905"/>
    <w:rsid w:val="00515D10"/>
    <w:rsid w:val="005247F9"/>
    <w:rsid w:val="005332CB"/>
    <w:rsid w:val="005378C1"/>
    <w:rsid w:val="005419D8"/>
    <w:rsid w:val="00543492"/>
    <w:rsid w:val="00553EBE"/>
    <w:rsid w:val="00553FBF"/>
    <w:rsid w:val="00557049"/>
    <w:rsid w:val="00566F37"/>
    <w:rsid w:val="00571DCA"/>
    <w:rsid w:val="0057274E"/>
    <w:rsid w:val="005754CA"/>
    <w:rsid w:val="005755C4"/>
    <w:rsid w:val="00580290"/>
    <w:rsid w:val="00585DCF"/>
    <w:rsid w:val="0058789C"/>
    <w:rsid w:val="00594225"/>
    <w:rsid w:val="0059483E"/>
    <w:rsid w:val="00597394"/>
    <w:rsid w:val="005A3577"/>
    <w:rsid w:val="005B236A"/>
    <w:rsid w:val="005B7F4F"/>
    <w:rsid w:val="005C052A"/>
    <w:rsid w:val="005C2873"/>
    <w:rsid w:val="005C73D1"/>
    <w:rsid w:val="005D09E1"/>
    <w:rsid w:val="005D14D1"/>
    <w:rsid w:val="005D383E"/>
    <w:rsid w:val="005D3DB9"/>
    <w:rsid w:val="005D5752"/>
    <w:rsid w:val="005D628B"/>
    <w:rsid w:val="005E30DF"/>
    <w:rsid w:val="005E47C1"/>
    <w:rsid w:val="005E6280"/>
    <w:rsid w:val="005E664D"/>
    <w:rsid w:val="005F08D9"/>
    <w:rsid w:val="005F71A3"/>
    <w:rsid w:val="00602232"/>
    <w:rsid w:val="006079A4"/>
    <w:rsid w:val="00611F42"/>
    <w:rsid w:val="006128F7"/>
    <w:rsid w:val="00613574"/>
    <w:rsid w:val="0061731F"/>
    <w:rsid w:val="00617520"/>
    <w:rsid w:val="00622830"/>
    <w:rsid w:val="00635765"/>
    <w:rsid w:val="00635D33"/>
    <w:rsid w:val="00640F3C"/>
    <w:rsid w:val="00646C37"/>
    <w:rsid w:val="00650EC0"/>
    <w:rsid w:val="00653F2D"/>
    <w:rsid w:val="00662753"/>
    <w:rsid w:val="00662F14"/>
    <w:rsid w:val="00666F39"/>
    <w:rsid w:val="006672BB"/>
    <w:rsid w:val="006703FC"/>
    <w:rsid w:val="0067464D"/>
    <w:rsid w:val="00674D89"/>
    <w:rsid w:val="00677011"/>
    <w:rsid w:val="00677CAF"/>
    <w:rsid w:val="0068214B"/>
    <w:rsid w:val="0068234A"/>
    <w:rsid w:val="00687877"/>
    <w:rsid w:val="00690A6D"/>
    <w:rsid w:val="00690E94"/>
    <w:rsid w:val="00691C5B"/>
    <w:rsid w:val="006A1C0D"/>
    <w:rsid w:val="006A2632"/>
    <w:rsid w:val="006A5BC5"/>
    <w:rsid w:val="006A6BBF"/>
    <w:rsid w:val="006B0980"/>
    <w:rsid w:val="006B2F54"/>
    <w:rsid w:val="006B3643"/>
    <w:rsid w:val="006B6D11"/>
    <w:rsid w:val="006C0737"/>
    <w:rsid w:val="006C0C74"/>
    <w:rsid w:val="006C4833"/>
    <w:rsid w:val="006C5814"/>
    <w:rsid w:val="006D3B60"/>
    <w:rsid w:val="006E0DEF"/>
    <w:rsid w:val="006F17A3"/>
    <w:rsid w:val="006F43EE"/>
    <w:rsid w:val="006F445E"/>
    <w:rsid w:val="006F6025"/>
    <w:rsid w:val="00702063"/>
    <w:rsid w:val="00704C0E"/>
    <w:rsid w:val="00705647"/>
    <w:rsid w:val="00707548"/>
    <w:rsid w:val="0070784F"/>
    <w:rsid w:val="00710D3B"/>
    <w:rsid w:val="00711192"/>
    <w:rsid w:val="00715D86"/>
    <w:rsid w:val="00717C75"/>
    <w:rsid w:val="00720B5F"/>
    <w:rsid w:val="00721AE5"/>
    <w:rsid w:val="007239EE"/>
    <w:rsid w:val="00723AE0"/>
    <w:rsid w:val="007318D9"/>
    <w:rsid w:val="00735F86"/>
    <w:rsid w:val="0073711B"/>
    <w:rsid w:val="00741A3C"/>
    <w:rsid w:val="0074364E"/>
    <w:rsid w:val="00744AFF"/>
    <w:rsid w:val="00746F1C"/>
    <w:rsid w:val="00747CDC"/>
    <w:rsid w:val="0075124B"/>
    <w:rsid w:val="00754D2C"/>
    <w:rsid w:val="0076021D"/>
    <w:rsid w:val="00760525"/>
    <w:rsid w:val="00763B78"/>
    <w:rsid w:val="00764BAE"/>
    <w:rsid w:val="00765754"/>
    <w:rsid w:val="00770640"/>
    <w:rsid w:val="007747D3"/>
    <w:rsid w:val="007774FC"/>
    <w:rsid w:val="007812AB"/>
    <w:rsid w:val="007876B3"/>
    <w:rsid w:val="00794BC9"/>
    <w:rsid w:val="007A0ED0"/>
    <w:rsid w:val="007A5A80"/>
    <w:rsid w:val="007B0ADF"/>
    <w:rsid w:val="007B6922"/>
    <w:rsid w:val="007C141F"/>
    <w:rsid w:val="007C27B1"/>
    <w:rsid w:val="007C6941"/>
    <w:rsid w:val="007D09DE"/>
    <w:rsid w:val="007D2D8E"/>
    <w:rsid w:val="007D70DE"/>
    <w:rsid w:val="007E42C3"/>
    <w:rsid w:val="007E5BBE"/>
    <w:rsid w:val="007E75D0"/>
    <w:rsid w:val="007F328D"/>
    <w:rsid w:val="0080154A"/>
    <w:rsid w:val="00805461"/>
    <w:rsid w:val="00805677"/>
    <w:rsid w:val="00812CB3"/>
    <w:rsid w:val="00815264"/>
    <w:rsid w:val="008228E1"/>
    <w:rsid w:val="00822E4A"/>
    <w:rsid w:val="00824671"/>
    <w:rsid w:val="00824975"/>
    <w:rsid w:val="0082577A"/>
    <w:rsid w:val="0082613B"/>
    <w:rsid w:val="00831491"/>
    <w:rsid w:val="00833A02"/>
    <w:rsid w:val="00834893"/>
    <w:rsid w:val="008369E6"/>
    <w:rsid w:val="00840551"/>
    <w:rsid w:val="0084447D"/>
    <w:rsid w:val="0085664B"/>
    <w:rsid w:val="00860B91"/>
    <w:rsid w:val="00861135"/>
    <w:rsid w:val="0086198B"/>
    <w:rsid w:val="008651B2"/>
    <w:rsid w:val="00866162"/>
    <w:rsid w:val="00870986"/>
    <w:rsid w:val="00872DBA"/>
    <w:rsid w:val="00876EB8"/>
    <w:rsid w:val="008860B0"/>
    <w:rsid w:val="00886A73"/>
    <w:rsid w:val="00886DAE"/>
    <w:rsid w:val="00892593"/>
    <w:rsid w:val="00896367"/>
    <w:rsid w:val="008A0037"/>
    <w:rsid w:val="008A06BB"/>
    <w:rsid w:val="008A2817"/>
    <w:rsid w:val="008A53C2"/>
    <w:rsid w:val="008A67CD"/>
    <w:rsid w:val="008B438B"/>
    <w:rsid w:val="008B4AC4"/>
    <w:rsid w:val="008B4D86"/>
    <w:rsid w:val="008B5126"/>
    <w:rsid w:val="008B7090"/>
    <w:rsid w:val="008B7932"/>
    <w:rsid w:val="008C2690"/>
    <w:rsid w:val="008C5E8A"/>
    <w:rsid w:val="008E141B"/>
    <w:rsid w:val="008E3847"/>
    <w:rsid w:val="008E3F32"/>
    <w:rsid w:val="008E5E5A"/>
    <w:rsid w:val="008E7D8D"/>
    <w:rsid w:val="008F027B"/>
    <w:rsid w:val="008F0AEF"/>
    <w:rsid w:val="008F1DA9"/>
    <w:rsid w:val="008F6246"/>
    <w:rsid w:val="008F6424"/>
    <w:rsid w:val="008F6A42"/>
    <w:rsid w:val="00901865"/>
    <w:rsid w:val="009022FA"/>
    <w:rsid w:val="00904CB5"/>
    <w:rsid w:val="00906070"/>
    <w:rsid w:val="0090692E"/>
    <w:rsid w:val="009101E7"/>
    <w:rsid w:val="00914049"/>
    <w:rsid w:val="009161F4"/>
    <w:rsid w:val="009208A0"/>
    <w:rsid w:val="00920F67"/>
    <w:rsid w:val="009217AF"/>
    <w:rsid w:val="0092285C"/>
    <w:rsid w:val="00922DE7"/>
    <w:rsid w:val="00924BEF"/>
    <w:rsid w:val="00925666"/>
    <w:rsid w:val="0092609F"/>
    <w:rsid w:val="0093321A"/>
    <w:rsid w:val="0093354E"/>
    <w:rsid w:val="00936C91"/>
    <w:rsid w:val="009371FD"/>
    <w:rsid w:val="00937FA0"/>
    <w:rsid w:val="00942333"/>
    <w:rsid w:val="00943730"/>
    <w:rsid w:val="009474B9"/>
    <w:rsid w:val="0096059D"/>
    <w:rsid w:val="009621BD"/>
    <w:rsid w:val="009634F5"/>
    <w:rsid w:val="009634F8"/>
    <w:rsid w:val="0096506F"/>
    <w:rsid w:val="00975C94"/>
    <w:rsid w:val="00980BE5"/>
    <w:rsid w:val="009818A0"/>
    <w:rsid w:val="00981D31"/>
    <w:rsid w:val="00981E1D"/>
    <w:rsid w:val="00992279"/>
    <w:rsid w:val="00994B8C"/>
    <w:rsid w:val="00997082"/>
    <w:rsid w:val="009A7BBD"/>
    <w:rsid w:val="009B1D48"/>
    <w:rsid w:val="009B53BD"/>
    <w:rsid w:val="009B5431"/>
    <w:rsid w:val="009C0234"/>
    <w:rsid w:val="009C0A27"/>
    <w:rsid w:val="009C113E"/>
    <w:rsid w:val="009C187A"/>
    <w:rsid w:val="009C6899"/>
    <w:rsid w:val="009D14F6"/>
    <w:rsid w:val="009D2AE3"/>
    <w:rsid w:val="009D647E"/>
    <w:rsid w:val="009D6F8B"/>
    <w:rsid w:val="009E063C"/>
    <w:rsid w:val="009E2C71"/>
    <w:rsid w:val="009E2C7D"/>
    <w:rsid w:val="009E38BD"/>
    <w:rsid w:val="009E5EBB"/>
    <w:rsid w:val="009F13FA"/>
    <w:rsid w:val="009F1794"/>
    <w:rsid w:val="009F1F12"/>
    <w:rsid w:val="009F23A8"/>
    <w:rsid w:val="009F60F5"/>
    <w:rsid w:val="009F72C7"/>
    <w:rsid w:val="00A01834"/>
    <w:rsid w:val="00A024E2"/>
    <w:rsid w:val="00A025E7"/>
    <w:rsid w:val="00A0328E"/>
    <w:rsid w:val="00A07A4A"/>
    <w:rsid w:val="00A14E4C"/>
    <w:rsid w:val="00A15949"/>
    <w:rsid w:val="00A30894"/>
    <w:rsid w:val="00A31E1E"/>
    <w:rsid w:val="00A36F1A"/>
    <w:rsid w:val="00A53192"/>
    <w:rsid w:val="00A576B5"/>
    <w:rsid w:val="00A57A52"/>
    <w:rsid w:val="00A60610"/>
    <w:rsid w:val="00A60ACD"/>
    <w:rsid w:val="00A6438A"/>
    <w:rsid w:val="00A653F1"/>
    <w:rsid w:val="00A66A6E"/>
    <w:rsid w:val="00A678BD"/>
    <w:rsid w:val="00A70826"/>
    <w:rsid w:val="00A70D68"/>
    <w:rsid w:val="00A73232"/>
    <w:rsid w:val="00A80858"/>
    <w:rsid w:val="00A83AC4"/>
    <w:rsid w:val="00A86C03"/>
    <w:rsid w:val="00A87529"/>
    <w:rsid w:val="00AA49B7"/>
    <w:rsid w:val="00AA683D"/>
    <w:rsid w:val="00AB1CA2"/>
    <w:rsid w:val="00AB65CE"/>
    <w:rsid w:val="00AC01E0"/>
    <w:rsid w:val="00AC114B"/>
    <w:rsid w:val="00AC4F0B"/>
    <w:rsid w:val="00AD2E63"/>
    <w:rsid w:val="00AD3C75"/>
    <w:rsid w:val="00AE061C"/>
    <w:rsid w:val="00AE201D"/>
    <w:rsid w:val="00AE3028"/>
    <w:rsid w:val="00AE4FD8"/>
    <w:rsid w:val="00AF1ACF"/>
    <w:rsid w:val="00AF6A51"/>
    <w:rsid w:val="00AF7A3E"/>
    <w:rsid w:val="00B00B99"/>
    <w:rsid w:val="00B00E6C"/>
    <w:rsid w:val="00B01264"/>
    <w:rsid w:val="00B01F10"/>
    <w:rsid w:val="00B05FD0"/>
    <w:rsid w:val="00B13F54"/>
    <w:rsid w:val="00B15267"/>
    <w:rsid w:val="00B24914"/>
    <w:rsid w:val="00B26E23"/>
    <w:rsid w:val="00B2767B"/>
    <w:rsid w:val="00B313C3"/>
    <w:rsid w:val="00B317EF"/>
    <w:rsid w:val="00B343B0"/>
    <w:rsid w:val="00B407EE"/>
    <w:rsid w:val="00B417A8"/>
    <w:rsid w:val="00B42D83"/>
    <w:rsid w:val="00B46EE6"/>
    <w:rsid w:val="00B47D13"/>
    <w:rsid w:val="00B5018B"/>
    <w:rsid w:val="00B517E9"/>
    <w:rsid w:val="00B51DE4"/>
    <w:rsid w:val="00B53A29"/>
    <w:rsid w:val="00B57782"/>
    <w:rsid w:val="00B62B06"/>
    <w:rsid w:val="00B63129"/>
    <w:rsid w:val="00B65916"/>
    <w:rsid w:val="00B66905"/>
    <w:rsid w:val="00B72095"/>
    <w:rsid w:val="00B7350A"/>
    <w:rsid w:val="00B82297"/>
    <w:rsid w:val="00B8520F"/>
    <w:rsid w:val="00B85ABB"/>
    <w:rsid w:val="00B9069D"/>
    <w:rsid w:val="00B934F7"/>
    <w:rsid w:val="00B945C0"/>
    <w:rsid w:val="00B95E96"/>
    <w:rsid w:val="00BA2998"/>
    <w:rsid w:val="00BA524C"/>
    <w:rsid w:val="00BA5783"/>
    <w:rsid w:val="00BB0372"/>
    <w:rsid w:val="00BB6E23"/>
    <w:rsid w:val="00BB6F46"/>
    <w:rsid w:val="00BC033C"/>
    <w:rsid w:val="00BC09FC"/>
    <w:rsid w:val="00BC39E9"/>
    <w:rsid w:val="00BC73C4"/>
    <w:rsid w:val="00BD0DC4"/>
    <w:rsid w:val="00BD1A00"/>
    <w:rsid w:val="00BD33D3"/>
    <w:rsid w:val="00BD523F"/>
    <w:rsid w:val="00BE1009"/>
    <w:rsid w:val="00BE79C0"/>
    <w:rsid w:val="00BF0C80"/>
    <w:rsid w:val="00BF1B84"/>
    <w:rsid w:val="00BF3AE0"/>
    <w:rsid w:val="00BF62D4"/>
    <w:rsid w:val="00BF7A25"/>
    <w:rsid w:val="00C03938"/>
    <w:rsid w:val="00C05001"/>
    <w:rsid w:val="00C07286"/>
    <w:rsid w:val="00C14D16"/>
    <w:rsid w:val="00C15FD6"/>
    <w:rsid w:val="00C16F6E"/>
    <w:rsid w:val="00C2168D"/>
    <w:rsid w:val="00C22559"/>
    <w:rsid w:val="00C2345A"/>
    <w:rsid w:val="00C254F4"/>
    <w:rsid w:val="00C407A0"/>
    <w:rsid w:val="00C4406C"/>
    <w:rsid w:val="00C4437F"/>
    <w:rsid w:val="00C5047F"/>
    <w:rsid w:val="00C53EA6"/>
    <w:rsid w:val="00C549A4"/>
    <w:rsid w:val="00C5500B"/>
    <w:rsid w:val="00C5673F"/>
    <w:rsid w:val="00C6210C"/>
    <w:rsid w:val="00C627CB"/>
    <w:rsid w:val="00C639E9"/>
    <w:rsid w:val="00C64EEC"/>
    <w:rsid w:val="00C663AF"/>
    <w:rsid w:val="00C66F03"/>
    <w:rsid w:val="00C73AB4"/>
    <w:rsid w:val="00C76880"/>
    <w:rsid w:val="00C774EB"/>
    <w:rsid w:val="00C77CAA"/>
    <w:rsid w:val="00C802D1"/>
    <w:rsid w:val="00C80BC4"/>
    <w:rsid w:val="00C81B47"/>
    <w:rsid w:val="00C81D64"/>
    <w:rsid w:val="00CA20F5"/>
    <w:rsid w:val="00CA7E58"/>
    <w:rsid w:val="00CB1641"/>
    <w:rsid w:val="00CB39C6"/>
    <w:rsid w:val="00CB4BF5"/>
    <w:rsid w:val="00CB7C8F"/>
    <w:rsid w:val="00CC18AC"/>
    <w:rsid w:val="00CC615A"/>
    <w:rsid w:val="00CC679C"/>
    <w:rsid w:val="00CC6B32"/>
    <w:rsid w:val="00CD0288"/>
    <w:rsid w:val="00CD0C18"/>
    <w:rsid w:val="00CD2441"/>
    <w:rsid w:val="00CD4479"/>
    <w:rsid w:val="00CD50C0"/>
    <w:rsid w:val="00CD67CD"/>
    <w:rsid w:val="00CD6C67"/>
    <w:rsid w:val="00CD6D2A"/>
    <w:rsid w:val="00CE19B6"/>
    <w:rsid w:val="00CE38FF"/>
    <w:rsid w:val="00CE7182"/>
    <w:rsid w:val="00CE7DED"/>
    <w:rsid w:val="00CF0FD6"/>
    <w:rsid w:val="00CF3806"/>
    <w:rsid w:val="00CF75E9"/>
    <w:rsid w:val="00D01BCA"/>
    <w:rsid w:val="00D02941"/>
    <w:rsid w:val="00D05E92"/>
    <w:rsid w:val="00D07A9A"/>
    <w:rsid w:val="00D07B1E"/>
    <w:rsid w:val="00D07E7A"/>
    <w:rsid w:val="00D10701"/>
    <w:rsid w:val="00D116CA"/>
    <w:rsid w:val="00D11A42"/>
    <w:rsid w:val="00D158E1"/>
    <w:rsid w:val="00D2771F"/>
    <w:rsid w:val="00D30C0A"/>
    <w:rsid w:val="00D31AC0"/>
    <w:rsid w:val="00D348A0"/>
    <w:rsid w:val="00D34A59"/>
    <w:rsid w:val="00D372CD"/>
    <w:rsid w:val="00D40BDB"/>
    <w:rsid w:val="00D464A0"/>
    <w:rsid w:val="00D47502"/>
    <w:rsid w:val="00D544B5"/>
    <w:rsid w:val="00D560F0"/>
    <w:rsid w:val="00D57C2C"/>
    <w:rsid w:val="00D63B57"/>
    <w:rsid w:val="00D65E4A"/>
    <w:rsid w:val="00D67516"/>
    <w:rsid w:val="00D705A5"/>
    <w:rsid w:val="00D72D76"/>
    <w:rsid w:val="00D74EC6"/>
    <w:rsid w:val="00D76812"/>
    <w:rsid w:val="00D775C1"/>
    <w:rsid w:val="00D77CD8"/>
    <w:rsid w:val="00D85CAB"/>
    <w:rsid w:val="00D8689B"/>
    <w:rsid w:val="00D906A9"/>
    <w:rsid w:val="00D92946"/>
    <w:rsid w:val="00DA01BB"/>
    <w:rsid w:val="00DA1501"/>
    <w:rsid w:val="00DA19F5"/>
    <w:rsid w:val="00DA1B13"/>
    <w:rsid w:val="00DA504C"/>
    <w:rsid w:val="00DA625A"/>
    <w:rsid w:val="00DC48AF"/>
    <w:rsid w:val="00DD05A7"/>
    <w:rsid w:val="00DD1D52"/>
    <w:rsid w:val="00DD35DE"/>
    <w:rsid w:val="00DD403B"/>
    <w:rsid w:val="00DD4116"/>
    <w:rsid w:val="00DD478C"/>
    <w:rsid w:val="00DD735A"/>
    <w:rsid w:val="00DE4935"/>
    <w:rsid w:val="00DE7E32"/>
    <w:rsid w:val="00DF15BE"/>
    <w:rsid w:val="00DF15FF"/>
    <w:rsid w:val="00E00E00"/>
    <w:rsid w:val="00E028D5"/>
    <w:rsid w:val="00E02FBA"/>
    <w:rsid w:val="00E1188F"/>
    <w:rsid w:val="00E177A6"/>
    <w:rsid w:val="00E2298C"/>
    <w:rsid w:val="00E242BF"/>
    <w:rsid w:val="00E26B49"/>
    <w:rsid w:val="00E30391"/>
    <w:rsid w:val="00E31E40"/>
    <w:rsid w:val="00E33F7C"/>
    <w:rsid w:val="00E35E7F"/>
    <w:rsid w:val="00E360EE"/>
    <w:rsid w:val="00E37806"/>
    <w:rsid w:val="00E40219"/>
    <w:rsid w:val="00E4150A"/>
    <w:rsid w:val="00E45293"/>
    <w:rsid w:val="00E50914"/>
    <w:rsid w:val="00E50E69"/>
    <w:rsid w:val="00E520D0"/>
    <w:rsid w:val="00E53CBF"/>
    <w:rsid w:val="00E5411F"/>
    <w:rsid w:val="00E54751"/>
    <w:rsid w:val="00E56028"/>
    <w:rsid w:val="00E569EB"/>
    <w:rsid w:val="00E6268E"/>
    <w:rsid w:val="00E638C7"/>
    <w:rsid w:val="00E70234"/>
    <w:rsid w:val="00E70C5D"/>
    <w:rsid w:val="00E71ECA"/>
    <w:rsid w:val="00E7480E"/>
    <w:rsid w:val="00E76883"/>
    <w:rsid w:val="00E76FA3"/>
    <w:rsid w:val="00E842A5"/>
    <w:rsid w:val="00E85FE9"/>
    <w:rsid w:val="00E91B68"/>
    <w:rsid w:val="00E91E89"/>
    <w:rsid w:val="00E947E0"/>
    <w:rsid w:val="00E94950"/>
    <w:rsid w:val="00E951D9"/>
    <w:rsid w:val="00E97AFD"/>
    <w:rsid w:val="00EA0C5F"/>
    <w:rsid w:val="00EA299F"/>
    <w:rsid w:val="00EA4402"/>
    <w:rsid w:val="00EB1072"/>
    <w:rsid w:val="00EB2317"/>
    <w:rsid w:val="00EB68C4"/>
    <w:rsid w:val="00EC1AD2"/>
    <w:rsid w:val="00EC3E95"/>
    <w:rsid w:val="00EC6A70"/>
    <w:rsid w:val="00ED3B53"/>
    <w:rsid w:val="00ED63A6"/>
    <w:rsid w:val="00EE4E0C"/>
    <w:rsid w:val="00EE64CF"/>
    <w:rsid w:val="00EF3DB6"/>
    <w:rsid w:val="00F000A0"/>
    <w:rsid w:val="00F12569"/>
    <w:rsid w:val="00F1545D"/>
    <w:rsid w:val="00F15885"/>
    <w:rsid w:val="00F20610"/>
    <w:rsid w:val="00F21585"/>
    <w:rsid w:val="00F2362B"/>
    <w:rsid w:val="00F4063F"/>
    <w:rsid w:val="00F42306"/>
    <w:rsid w:val="00F452E1"/>
    <w:rsid w:val="00F51FD1"/>
    <w:rsid w:val="00F52780"/>
    <w:rsid w:val="00F55126"/>
    <w:rsid w:val="00F56BDC"/>
    <w:rsid w:val="00F61589"/>
    <w:rsid w:val="00F61D50"/>
    <w:rsid w:val="00F626E4"/>
    <w:rsid w:val="00F6508F"/>
    <w:rsid w:val="00F65DBC"/>
    <w:rsid w:val="00F6668C"/>
    <w:rsid w:val="00F67D0D"/>
    <w:rsid w:val="00F73989"/>
    <w:rsid w:val="00F73C85"/>
    <w:rsid w:val="00F84374"/>
    <w:rsid w:val="00F869BB"/>
    <w:rsid w:val="00F876C2"/>
    <w:rsid w:val="00F9076F"/>
    <w:rsid w:val="00F91F0F"/>
    <w:rsid w:val="00F92011"/>
    <w:rsid w:val="00F96117"/>
    <w:rsid w:val="00FA2002"/>
    <w:rsid w:val="00FA4FF9"/>
    <w:rsid w:val="00FA5295"/>
    <w:rsid w:val="00FB0C2D"/>
    <w:rsid w:val="00FB22A8"/>
    <w:rsid w:val="00FB2F01"/>
    <w:rsid w:val="00FB4018"/>
    <w:rsid w:val="00FB40AF"/>
    <w:rsid w:val="00FC037F"/>
    <w:rsid w:val="00FC33E9"/>
    <w:rsid w:val="00FC3D39"/>
    <w:rsid w:val="00FC40D4"/>
    <w:rsid w:val="00FC4772"/>
    <w:rsid w:val="00FC50F1"/>
    <w:rsid w:val="00FC530E"/>
    <w:rsid w:val="00FC5385"/>
    <w:rsid w:val="00FD054C"/>
    <w:rsid w:val="00FD0BAA"/>
    <w:rsid w:val="00FD0D93"/>
    <w:rsid w:val="00FD0F1C"/>
    <w:rsid w:val="00FD363A"/>
    <w:rsid w:val="00FE016B"/>
    <w:rsid w:val="00FE1019"/>
    <w:rsid w:val="00FE15A7"/>
    <w:rsid w:val="00FE57C8"/>
    <w:rsid w:val="00FE5EEC"/>
    <w:rsid w:val="00FE6FA1"/>
    <w:rsid w:val="00FF0C75"/>
    <w:rsid w:val="00FF15CF"/>
    <w:rsid w:val="00FF25D8"/>
    <w:rsid w:val="00FF3E21"/>
    <w:rsid w:val="00FF43D8"/>
    <w:rsid w:val="00FF6BA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7A643A"/>
  <w15:docId w15:val="{D709B86F-EE24-4361-8E8A-70F2681902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56028"/>
    <w:pPr>
      <w:spacing w:after="360" w:line="480" w:lineRule="auto"/>
      <w:ind w:left="720"/>
    </w:pPr>
    <w:rPr>
      <w:rFonts w:ascii="Times New Roman" w:hAnsi="Times New Roman"/>
      <w:sz w:val="24"/>
    </w:rPr>
  </w:style>
  <w:style w:type="paragraph" w:styleId="Heading1">
    <w:name w:val="heading 1"/>
    <w:basedOn w:val="ListParagraph"/>
    <w:next w:val="Normal"/>
    <w:uiPriority w:val="9"/>
    <w:qFormat/>
    <w:rsid w:val="004F2259"/>
    <w:pPr>
      <w:numPr>
        <w:numId w:val="67"/>
      </w:numPr>
      <w:snapToGrid w:val="0"/>
      <w:spacing w:before="240" w:after="280" w:line="240" w:lineRule="auto"/>
      <w:contextualSpacing w:val="0"/>
      <w:jc w:val="both"/>
      <w:outlineLvl w:val="0"/>
    </w:pPr>
    <w:rPr>
      <w:rFonts w:eastAsia="Times New Roman" w:cs="Times New Roman"/>
      <w:b/>
      <w:iCs/>
      <w:color w:val="000000" w:themeColor="text1"/>
      <w:szCs w:val="24"/>
    </w:rPr>
  </w:style>
  <w:style w:type="paragraph" w:styleId="Heading2">
    <w:name w:val="heading 2"/>
    <w:basedOn w:val="Heading1"/>
    <w:next w:val="Normal"/>
    <w:uiPriority w:val="9"/>
    <w:unhideWhenUsed/>
    <w:qFormat/>
    <w:rsid w:val="003632AF"/>
    <w:pPr>
      <w:numPr>
        <w:ilvl w:val="1"/>
      </w:numPr>
      <w:tabs>
        <w:tab w:val="left" w:pos="1440"/>
      </w:tabs>
      <w:spacing w:after="360"/>
      <w:ind w:left="1440" w:hanging="720"/>
      <w:outlineLvl w:val="1"/>
    </w:pPr>
    <w:rPr>
      <w:i/>
    </w:rPr>
  </w:style>
  <w:style w:type="paragraph" w:styleId="Heading3">
    <w:name w:val="heading 3"/>
    <w:basedOn w:val="Normal"/>
    <w:next w:val="Normal"/>
    <w:uiPriority w:val="9"/>
    <w:semiHidden/>
    <w:unhideWhenUsed/>
    <w:qFormat/>
    <w:rsid w:val="008369E6"/>
    <w:pPr>
      <w:keepNext/>
      <w:keepLines/>
      <w:numPr>
        <w:ilvl w:val="2"/>
        <w:numId w:val="67"/>
      </w:numPr>
      <w:spacing w:before="280" w:after="80"/>
      <w:outlineLvl w:val="2"/>
    </w:pPr>
    <w:rPr>
      <w:b/>
      <w:sz w:val="28"/>
      <w:szCs w:val="28"/>
    </w:rPr>
  </w:style>
  <w:style w:type="paragraph" w:styleId="Heading4">
    <w:name w:val="heading 4"/>
    <w:basedOn w:val="Normal"/>
    <w:next w:val="Normal"/>
    <w:uiPriority w:val="9"/>
    <w:semiHidden/>
    <w:unhideWhenUsed/>
    <w:qFormat/>
    <w:rsid w:val="008369E6"/>
    <w:pPr>
      <w:keepNext/>
      <w:keepLines/>
      <w:numPr>
        <w:ilvl w:val="3"/>
        <w:numId w:val="67"/>
      </w:numPr>
      <w:spacing w:before="240" w:after="40"/>
      <w:outlineLvl w:val="3"/>
    </w:pPr>
    <w:rPr>
      <w:b/>
      <w:szCs w:val="24"/>
    </w:rPr>
  </w:style>
  <w:style w:type="paragraph" w:styleId="Heading5">
    <w:name w:val="heading 5"/>
    <w:basedOn w:val="Normal"/>
    <w:next w:val="Normal"/>
    <w:uiPriority w:val="9"/>
    <w:semiHidden/>
    <w:unhideWhenUsed/>
    <w:qFormat/>
    <w:rsid w:val="008369E6"/>
    <w:pPr>
      <w:keepNext/>
      <w:keepLines/>
      <w:numPr>
        <w:ilvl w:val="4"/>
        <w:numId w:val="67"/>
      </w:numPr>
      <w:spacing w:before="220" w:after="40"/>
      <w:outlineLvl w:val="4"/>
    </w:pPr>
    <w:rPr>
      <w:b/>
    </w:rPr>
  </w:style>
  <w:style w:type="paragraph" w:styleId="Heading6">
    <w:name w:val="heading 6"/>
    <w:basedOn w:val="Normal"/>
    <w:next w:val="Normal"/>
    <w:uiPriority w:val="9"/>
    <w:semiHidden/>
    <w:unhideWhenUsed/>
    <w:qFormat/>
    <w:rsid w:val="008369E6"/>
    <w:pPr>
      <w:keepNext/>
      <w:keepLines/>
      <w:numPr>
        <w:ilvl w:val="5"/>
        <w:numId w:val="67"/>
      </w:numPr>
      <w:spacing w:before="200" w:after="40"/>
      <w:outlineLvl w:val="5"/>
    </w:pPr>
    <w:rPr>
      <w:b/>
      <w:sz w:val="20"/>
      <w:szCs w:val="20"/>
    </w:rPr>
  </w:style>
  <w:style w:type="paragraph" w:styleId="Heading7">
    <w:name w:val="heading 7"/>
    <w:basedOn w:val="Normal"/>
    <w:next w:val="Normal"/>
    <w:link w:val="Heading7Char"/>
    <w:uiPriority w:val="9"/>
    <w:semiHidden/>
    <w:unhideWhenUsed/>
    <w:qFormat/>
    <w:rsid w:val="008369E6"/>
    <w:pPr>
      <w:keepNext/>
      <w:keepLines/>
      <w:numPr>
        <w:ilvl w:val="6"/>
        <w:numId w:val="67"/>
      </w:numPr>
      <w:spacing w:before="40" w:after="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8369E6"/>
    <w:pPr>
      <w:keepNext/>
      <w:keepLines/>
      <w:numPr>
        <w:ilvl w:val="7"/>
        <w:numId w:val="67"/>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8369E6"/>
    <w:pPr>
      <w:keepNext/>
      <w:keepLines/>
      <w:numPr>
        <w:ilvl w:val="8"/>
        <w:numId w:val="67"/>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semiHidden/>
    <w:unhideWhenUsed/>
    <w:rsid w:val="0003358C"/>
    <w:rPr>
      <w:b/>
      <w:bCs/>
    </w:rPr>
  </w:style>
  <w:style w:type="character" w:customStyle="1" w:styleId="CommentSubjectChar">
    <w:name w:val="Comment Subject Char"/>
    <w:basedOn w:val="CommentTextChar"/>
    <w:link w:val="CommentSubject"/>
    <w:uiPriority w:val="99"/>
    <w:semiHidden/>
    <w:rsid w:val="0003358C"/>
    <w:rPr>
      <w:b/>
      <w:bCs/>
      <w:sz w:val="20"/>
      <w:szCs w:val="20"/>
    </w:rPr>
  </w:style>
  <w:style w:type="paragraph" w:styleId="FootnoteText">
    <w:name w:val="footnote text"/>
    <w:basedOn w:val="Normal"/>
    <w:link w:val="FootnoteTextChar"/>
    <w:uiPriority w:val="99"/>
    <w:unhideWhenUsed/>
    <w:rsid w:val="00886A73"/>
    <w:pPr>
      <w:tabs>
        <w:tab w:val="left" w:pos="360"/>
      </w:tabs>
      <w:spacing w:after="120" w:line="240" w:lineRule="auto"/>
      <w:ind w:left="360" w:hanging="360"/>
    </w:pPr>
    <w:rPr>
      <w:sz w:val="20"/>
      <w:szCs w:val="20"/>
    </w:rPr>
  </w:style>
  <w:style w:type="character" w:customStyle="1" w:styleId="FootnoteTextChar">
    <w:name w:val="Footnote Text Char"/>
    <w:basedOn w:val="DefaultParagraphFont"/>
    <w:link w:val="FootnoteText"/>
    <w:uiPriority w:val="99"/>
    <w:rsid w:val="00886A73"/>
    <w:rPr>
      <w:rFonts w:ascii="Times New Roman" w:hAnsi="Times New Roman"/>
      <w:sz w:val="20"/>
      <w:szCs w:val="20"/>
    </w:rPr>
  </w:style>
  <w:style w:type="character" w:styleId="FootnoteReference">
    <w:name w:val="footnote reference"/>
    <w:basedOn w:val="DefaultParagraphFont"/>
    <w:uiPriority w:val="99"/>
    <w:semiHidden/>
    <w:unhideWhenUsed/>
    <w:rsid w:val="00613574"/>
    <w:rPr>
      <w:vertAlign w:val="superscript"/>
    </w:rPr>
  </w:style>
  <w:style w:type="paragraph" w:styleId="Caption">
    <w:name w:val="caption"/>
    <w:basedOn w:val="Normal"/>
    <w:next w:val="Normal"/>
    <w:uiPriority w:val="35"/>
    <w:unhideWhenUsed/>
    <w:qFormat/>
    <w:rsid w:val="004012A1"/>
    <w:pPr>
      <w:spacing w:after="200" w:line="240" w:lineRule="auto"/>
    </w:pPr>
    <w:rPr>
      <w:rFonts w:asciiTheme="minorHAnsi" w:eastAsiaTheme="minorHAnsi" w:hAnsiTheme="minorHAnsi" w:cstheme="minorBidi"/>
      <w:i/>
      <w:iCs/>
      <w:color w:val="1F497D" w:themeColor="text2"/>
      <w:sz w:val="18"/>
      <w:szCs w:val="18"/>
    </w:rPr>
  </w:style>
  <w:style w:type="paragraph" w:customStyle="1" w:styleId="Question">
    <w:name w:val="Question"/>
    <w:basedOn w:val="Normal"/>
    <w:link w:val="QuestionChar"/>
    <w:qFormat/>
    <w:rsid w:val="00167A98"/>
    <w:pPr>
      <w:keepNext/>
      <w:pBdr>
        <w:top w:val="nil"/>
        <w:left w:val="nil"/>
        <w:bottom w:val="nil"/>
        <w:right w:val="nil"/>
        <w:between w:val="nil"/>
      </w:pBdr>
      <w:spacing w:after="0"/>
      <w:ind w:hanging="720"/>
    </w:pPr>
    <w:rPr>
      <w:rFonts w:ascii="Times New Roman Bold" w:eastAsia="Times New Roman" w:hAnsi="Times New Roman Bold" w:cs="Times New Roman"/>
      <w:b/>
      <w:caps/>
      <w:color w:val="000000"/>
      <w:szCs w:val="24"/>
    </w:rPr>
  </w:style>
  <w:style w:type="paragraph" w:customStyle="1" w:styleId="Answer">
    <w:name w:val="Answer"/>
    <w:basedOn w:val="Normal"/>
    <w:qFormat/>
    <w:rsid w:val="008369E6"/>
    <w:pPr>
      <w:spacing w:before="120" w:after="240"/>
      <w:ind w:hanging="720"/>
    </w:pPr>
  </w:style>
  <w:style w:type="character" w:customStyle="1" w:styleId="QuestionChar">
    <w:name w:val="Question Char"/>
    <w:basedOn w:val="DefaultParagraphFont"/>
    <w:link w:val="Question"/>
    <w:rsid w:val="00167A98"/>
    <w:rPr>
      <w:rFonts w:ascii="Times New Roman Bold" w:eastAsia="Times New Roman" w:hAnsi="Times New Roman Bold" w:cs="Times New Roman"/>
      <w:b/>
      <w:caps/>
      <w:color w:val="000000"/>
      <w:sz w:val="24"/>
      <w:szCs w:val="24"/>
    </w:rPr>
  </w:style>
  <w:style w:type="character" w:styleId="Hyperlink">
    <w:name w:val="Hyperlink"/>
    <w:basedOn w:val="DefaultParagraphFont"/>
    <w:uiPriority w:val="99"/>
    <w:unhideWhenUsed/>
    <w:rsid w:val="00E53CBF"/>
    <w:rPr>
      <w:color w:val="0000FF" w:themeColor="hyperlink"/>
      <w:u w:val="single"/>
    </w:rPr>
  </w:style>
  <w:style w:type="character" w:styleId="UnresolvedMention">
    <w:name w:val="Unresolved Mention"/>
    <w:basedOn w:val="DefaultParagraphFont"/>
    <w:uiPriority w:val="99"/>
    <w:semiHidden/>
    <w:unhideWhenUsed/>
    <w:rsid w:val="00E53CBF"/>
    <w:rPr>
      <w:color w:val="605E5C"/>
      <w:shd w:val="clear" w:color="auto" w:fill="E1DFDD"/>
    </w:rPr>
  </w:style>
  <w:style w:type="character" w:styleId="FollowedHyperlink">
    <w:name w:val="FollowedHyperlink"/>
    <w:basedOn w:val="DefaultParagraphFont"/>
    <w:uiPriority w:val="99"/>
    <w:semiHidden/>
    <w:unhideWhenUsed/>
    <w:rsid w:val="00E53CBF"/>
    <w:rPr>
      <w:color w:val="800080" w:themeColor="followedHyperlink"/>
      <w:u w:val="single"/>
    </w:rPr>
  </w:style>
  <w:style w:type="paragraph" w:styleId="ListParagraph">
    <w:name w:val="List Paragraph"/>
    <w:basedOn w:val="Normal"/>
    <w:uiPriority w:val="34"/>
    <w:qFormat/>
    <w:rsid w:val="00167A98"/>
    <w:pPr>
      <w:contextualSpacing/>
    </w:pPr>
  </w:style>
  <w:style w:type="paragraph" w:styleId="Header">
    <w:name w:val="header"/>
    <w:basedOn w:val="Normal"/>
    <w:link w:val="HeaderChar"/>
    <w:unhideWhenUsed/>
    <w:rsid w:val="00B945C0"/>
    <w:pPr>
      <w:tabs>
        <w:tab w:val="center" w:pos="4680"/>
        <w:tab w:val="right" w:pos="9360"/>
      </w:tabs>
      <w:spacing w:after="0" w:line="240" w:lineRule="auto"/>
    </w:pPr>
  </w:style>
  <w:style w:type="character" w:customStyle="1" w:styleId="HeaderChar">
    <w:name w:val="Header Char"/>
    <w:basedOn w:val="DefaultParagraphFont"/>
    <w:link w:val="Header"/>
    <w:rsid w:val="00B945C0"/>
    <w:rPr>
      <w:rFonts w:ascii="Times New Roman" w:hAnsi="Times New Roman"/>
      <w:sz w:val="24"/>
    </w:rPr>
  </w:style>
  <w:style w:type="paragraph" w:styleId="Footer">
    <w:name w:val="footer"/>
    <w:basedOn w:val="Normal"/>
    <w:link w:val="FooterChar"/>
    <w:uiPriority w:val="99"/>
    <w:unhideWhenUsed/>
    <w:rsid w:val="00B945C0"/>
    <w:pPr>
      <w:tabs>
        <w:tab w:val="center" w:pos="4680"/>
        <w:tab w:val="right" w:pos="9360"/>
      </w:tabs>
      <w:spacing w:after="0" w:line="240" w:lineRule="auto"/>
    </w:pPr>
  </w:style>
  <w:style w:type="character" w:customStyle="1" w:styleId="FooterChar">
    <w:name w:val="Footer Char"/>
    <w:basedOn w:val="DefaultParagraphFont"/>
    <w:link w:val="Footer"/>
    <w:uiPriority w:val="99"/>
    <w:rsid w:val="00B945C0"/>
    <w:rPr>
      <w:rFonts w:ascii="Times New Roman" w:hAnsi="Times New Roman"/>
      <w:sz w:val="24"/>
    </w:rPr>
  </w:style>
  <w:style w:type="character" w:styleId="LineNumber">
    <w:name w:val="line number"/>
    <w:basedOn w:val="DefaultParagraphFont"/>
    <w:uiPriority w:val="99"/>
    <w:semiHidden/>
    <w:unhideWhenUsed/>
    <w:rsid w:val="00E56028"/>
    <w:rPr>
      <w:rFonts w:ascii="Times New Roman" w:hAnsi="Times New Roman"/>
      <w:sz w:val="24"/>
    </w:rPr>
  </w:style>
  <w:style w:type="table" w:styleId="TableGrid">
    <w:name w:val="Table Grid"/>
    <w:basedOn w:val="TableNormal"/>
    <w:uiPriority w:val="39"/>
    <w:rsid w:val="0090692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DefaultParagraphFont"/>
    <w:rsid w:val="00CF0FD6"/>
  </w:style>
  <w:style w:type="paragraph" w:customStyle="1" w:styleId="xxxmsonormal">
    <w:name w:val="x_xxmsonormal"/>
    <w:basedOn w:val="Normal"/>
    <w:rsid w:val="001310B1"/>
    <w:pPr>
      <w:spacing w:after="0" w:line="240" w:lineRule="auto"/>
      <w:ind w:left="0"/>
    </w:pPr>
    <w:rPr>
      <w:rFonts w:ascii="Calibri" w:hAnsi="Calibri"/>
      <w:sz w:val="22"/>
    </w:rPr>
  </w:style>
  <w:style w:type="character" w:customStyle="1" w:styleId="eop">
    <w:name w:val="eop"/>
    <w:basedOn w:val="DefaultParagraphFont"/>
    <w:rsid w:val="001310B1"/>
  </w:style>
  <w:style w:type="paragraph" w:customStyle="1" w:styleId="paragraph">
    <w:name w:val="paragraph"/>
    <w:basedOn w:val="Normal"/>
    <w:rsid w:val="00451F07"/>
    <w:pPr>
      <w:spacing w:before="100" w:beforeAutospacing="1" w:after="100" w:afterAutospacing="1" w:line="240" w:lineRule="auto"/>
      <w:ind w:left="0"/>
    </w:pPr>
    <w:rPr>
      <w:rFonts w:eastAsia="Times New Roman" w:cs="Times New Roman"/>
      <w:szCs w:val="24"/>
    </w:rPr>
  </w:style>
  <w:style w:type="paragraph" w:styleId="EndnoteText">
    <w:name w:val="endnote text"/>
    <w:basedOn w:val="Normal"/>
    <w:link w:val="EndnoteTextChar"/>
    <w:uiPriority w:val="99"/>
    <w:semiHidden/>
    <w:unhideWhenUsed/>
    <w:rsid w:val="00C774EB"/>
    <w:pPr>
      <w:spacing w:after="0" w:line="240" w:lineRule="auto"/>
    </w:pPr>
    <w:rPr>
      <w:sz w:val="20"/>
      <w:szCs w:val="20"/>
    </w:rPr>
  </w:style>
  <w:style w:type="character" w:customStyle="1" w:styleId="EndnoteTextChar">
    <w:name w:val="Endnote Text Char"/>
    <w:basedOn w:val="DefaultParagraphFont"/>
    <w:link w:val="EndnoteText"/>
    <w:uiPriority w:val="99"/>
    <w:semiHidden/>
    <w:rsid w:val="00C774EB"/>
    <w:rPr>
      <w:rFonts w:ascii="Times New Roman" w:hAnsi="Times New Roman"/>
      <w:sz w:val="20"/>
      <w:szCs w:val="20"/>
    </w:rPr>
  </w:style>
  <w:style w:type="character" w:styleId="EndnoteReference">
    <w:name w:val="endnote reference"/>
    <w:basedOn w:val="DefaultParagraphFont"/>
    <w:uiPriority w:val="99"/>
    <w:semiHidden/>
    <w:unhideWhenUsed/>
    <w:rsid w:val="00C774EB"/>
    <w:rPr>
      <w:vertAlign w:val="superscript"/>
    </w:rPr>
  </w:style>
  <w:style w:type="numbering" w:customStyle="1" w:styleId="CurrentList1">
    <w:name w:val="Current List1"/>
    <w:uiPriority w:val="99"/>
    <w:rsid w:val="008B5126"/>
    <w:pPr>
      <w:numPr>
        <w:numId w:val="66"/>
      </w:numPr>
    </w:pPr>
  </w:style>
  <w:style w:type="character" w:customStyle="1" w:styleId="Heading7Char">
    <w:name w:val="Heading 7 Char"/>
    <w:basedOn w:val="DefaultParagraphFont"/>
    <w:link w:val="Heading7"/>
    <w:uiPriority w:val="9"/>
    <w:semiHidden/>
    <w:rsid w:val="008B5126"/>
    <w:rPr>
      <w:rFonts w:asciiTheme="majorHAnsi" w:eastAsiaTheme="majorEastAsia" w:hAnsiTheme="majorHAnsi" w:cstheme="majorBidi"/>
      <w:i/>
      <w:iCs/>
      <w:color w:val="243F60" w:themeColor="accent1" w:themeShade="7F"/>
      <w:sz w:val="24"/>
    </w:rPr>
  </w:style>
  <w:style w:type="character" w:customStyle="1" w:styleId="Heading8Char">
    <w:name w:val="Heading 8 Char"/>
    <w:basedOn w:val="DefaultParagraphFont"/>
    <w:link w:val="Heading8"/>
    <w:uiPriority w:val="9"/>
    <w:semiHidden/>
    <w:rsid w:val="008B51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8B5126"/>
    <w:rPr>
      <w:rFonts w:asciiTheme="majorHAnsi" w:eastAsiaTheme="majorEastAsia" w:hAnsiTheme="majorHAnsi" w:cstheme="majorBidi"/>
      <w:i/>
      <w:iCs/>
      <w:color w:val="272727" w:themeColor="text1" w:themeTint="D8"/>
      <w:sz w:val="21"/>
      <w:szCs w:val="21"/>
    </w:rPr>
  </w:style>
  <w:style w:type="numbering" w:customStyle="1" w:styleId="CurrentList2">
    <w:name w:val="Current List2"/>
    <w:uiPriority w:val="99"/>
    <w:rsid w:val="008B5126"/>
    <w:pPr>
      <w:numPr>
        <w:numId w:val="68"/>
      </w:numPr>
    </w:pPr>
  </w:style>
  <w:style w:type="numbering" w:customStyle="1" w:styleId="CurrentList3">
    <w:name w:val="Current List3"/>
    <w:uiPriority w:val="99"/>
    <w:rsid w:val="008B5126"/>
    <w:pPr>
      <w:numPr>
        <w:numId w:val="69"/>
      </w:numPr>
    </w:pPr>
  </w:style>
  <w:style w:type="numbering" w:customStyle="1" w:styleId="CurrentList4">
    <w:name w:val="Current List4"/>
    <w:uiPriority w:val="99"/>
    <w:rsid w:val="008369E6"/>
    <w:pPr>
      <w:numPr>
        <w:numId w:val="70"/>
      </w:numPr>
    </w:pPr>
  </w:style>
  <w:style w:type="paragraph" w:customStyle="1" w:styleId="blockquote">
    <w:name w:val="block quote"/>
    <w:basedOn w:val="Answer"/>
    <w:qFormat/>
    <w:rsid w:val="00111317"/>
    <w:pPr>
      <w:spacing w:before="240" w:after="480" w:line="240" w:lineRule="auto"/>
      <w:ind w:left="2160" w:right="1440" w:firstLine="0"/>
      <w:contextualSpacing/>
      <w:jc w:val="both"/>
    </w:pPr>
  </w:style>
  <w:style w:type="paragraph" w:customStyle="1" w:styleId="FigureNumber">
    <w:name w:val="Figure Number"/>
    <w:basedOn w:val="Answer"/>
    <w:qFormat/>
    <w:rsid w:val="005D3DB9"/>
    <w:pPr>
      <w:keepNext/>
      <w:keepLines/>
      <w:spacing w:after="120" w:line="240" w:lineRule="auto"/>
      <w:ind w:firstLine="0"/>
    </w:pPr>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939832">
      <w:bodyDiv w:val="1"/>
      <w:marLeft w:val="0"/>
      <w:marRight w:val="0"/>
      <w:marTop w:val="0"/>
      <w:marBottom w:val="0"/>
      <w:divBdr>
        <w:top w:val="none" w:sz="0" w:space="0" w:color="auto"/>
        <w:left w:val="none" w:sz="0" w:space="0" w:color="auto"/>
        <w:bottom w:val="none" w:sz="0" w:space="0" w:color="auto"/>
        <w:right w:val="none" w:sz="0" w:space="0" w:color="auto"/>
      </w:divBdr>
      <w:divsChild>
        <w:div w:id="1501847035">
          <w:marLeft w:val="0"/>
          <w:marRight w:val="0"/>
          <w:marTop w:val="0"/>
          <w:marBottom w:val="0"/>
          <w:divBdr>
            <w:top w:val="none" w:sz="0" w:space="0" w:color="auto"/>
            <w:left w:val="none" w:sz="0" w:space="0" w:color="auto"/>
            <w:bottom w:val="none" w:sz="0" w:space="0" w:color="auto"/>
            <w:right w:val="none" w:sz="0" w:space="0" w:color="auto"/>
          </w:divBdr>
          <w:divsChild>
            <w:div w:id="1554193586">
              <w:marLeft w:val="0"/>
              <w:marRight w:val="0"/>
              <w:marTop w:val="0"/>
              <w:marBottom w:val="0"/>
              <w:divBdr>
                <w:top w:val="none" w:sz="0" w:space="0" w:color="auto"/>
                <w:left w:val="none" w:sz="0" w:space="0" w:color="auto"/>
                <w:bottom w:val="none" w:sz="0" w:space="0" w:color="auto"/>
                <w:right w:val="none" w:sz="0" w:space="0" w:color="auto"/>
              </w:divBdr>
              <w:divsChild>
                <w:div w:id="406074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57216">
      <w:bodyDiv w:val="1"/>
      <w:marLeft w:val="0"/>
      <w:marRight w:val="0"/>
      <w:marTop w:val="0"/>
      <w:marBottom w:val="0"/>
      <w:divBdr>
        <w:top w:val="none" w:sz="0" w:space="0" w:color="auto"/>
        <w:left w:val="none" w:sz="0" w:space="0" w:color="auto"/>
        <w:bottom w:val="none" w:sz="0" w:space="0" w:color="auto"/>
        <w:right w:val="none" w:sz="0" w:space="0" w:color="auto"/>
      </w:divBdr>
      <w:divsChild>
        <w:div w:id="584535456">
          <w:marLeft w:val="0"/>
          <w:marRight w:val="0"/>
          <w:marTop w:val="0"/>
          <w:marBottom w:val="0"/>
          <w:divBdr>
            <w:top w:val="none" w:sz="0" w:space="0" w:color="auto"/>
            <w:left w:val="none" w:sz="0" w:space="0" w:color="auto"/>
            <w:bottom w:val="none" w:sz="0" w:space="0" w:color="auto"/>
            <w:right w:val="none" w:sz="0" w:space="0" w:color="auto"/>
          </w:divBdr>
          <w:divsChild>
            <w:div w:id="1713991101">
              <w:marLeft w:val="0"/>
              <w:marRight w:val="0"/>
              <w:marTop w:val="0"/>
              <w:marBottom w:val="0"/>
              <w:divBdr>
                <w:top w:val="none" w:sz="0" w:space="0" w:color="auto"/>
                <w:left w:val="none" w:sz="0" w:space="0" w:color="auto"/>
                <w:bottom w:val="none" w:sz="0" w:space="0" w:color="auto"/>
                <w:right w:val="none" w:sz="0" w:space="0" w:color="auto"/>
              </w:divBdr>
              <w:divsChild>
                <w:div w:id="1116828863">
                  <w:marLeft w:val="0"/>
                  <w:marRight w:val="0"/>
                  <w:marTop w:val="0"/>
                  <w:marBottom w:val="0"/>
                  <w:divBdr>
                    <w:top w:val="none" w:sz="0" w:space="0" w:color="auto"/>
                    <w:left w:val="none" w:sz="0" w:space="0" w:color="auto"/>
                    <w:bottom w:val="none" w:sz="0" w:space="0" w:color="auto"/>
                    <w:right w:val="none" w:sz="0" w:space="0" w:color="auto"/>
                  </w:divBdr>
                  <w:divsChild>
                    <w:div w:id="1233737335">
                      <w:marLeft w:val="0"/>
                      <w:marRight w:val="0"/>
                      <w:marTop w:val="0"/>
                      <w:marBottom w:val="0"/>
                      <w:divBdr>
                        <w:top w:val="none" w:sz="0" w:space="0" w:color="auto"/>
                        <w:left w:val="none" w:sz="0" w:space="0" w:color="auto"/>
                        <w:bottom w:val="none" w:sz="0" w:space="0" w:color="auto"/>
                        <w:right w:val="none" w:sz="0" w:space="0" w:color="auto"/>
                      </w:divBdr>
                    </w:div>
                  </w:divsChild>
                </w:div>
                <w:div w:id="1322851139">
                  <w:marLeft w:val="0"/>
                  <w:marRight w:val="0"/>
                  <w:marTop w:val="0"/>
                  <w:marBottom w:val="0"/>
                  <w:divBdr>
                    <w:top w:val="none" w:sz="0" w:space="0" w:color="auto"/>
                    <w:left w:val="none" w:sz="0" w:space="0" w:color="auto"/>
                    <w:bottom w:val="none" w:sz="0" w:space="0" w:color="auto"/>
                    <w:right w:val="none" w:sz="0" w:space="0" w:color="auto"/>
                  </w:divBdr>
                  <w:divsChild>
                    <w:div w:id="1201431291">
                      <w:marLeft w:val="0"/>
                      <w:marRight w:val="0"/>
                      <w:marTop w:val="0"/>
                      <w:marBottom w:val="0"/>
                      <w:divBdr>
                        <w:top w:val="none" w:sz="0" w:space="0" w:color="auto"/>
                        <w:left w:val="none" w:sz="0" w:space="0" w:color="auto"/>
                        <w:bottom w:val="none" w:sz="0" w:space="0" w:color="auto"/>
                        <w:right w:val="none" w:sz="0" w:space="0" w:color="auto"/>
                      </w:divBdr>
                      <w:divsChild>
                        <w:div w:id="1811970156">
                          <w:marLeft w:val="0"/>
                          <w:marRight w:val="0"/>
                          <w:marTop w:val="0"/>
                          <w:marBottom w:val="0"/>
                          <w:divBdr>
                            <w:top w:val="none" w:sz="0" w:space="0" w:color="auto"/>
                            <w:left w:val="none" w:sz="0" w:space="0" w:color="auto"/>
                            <w:bottom w:val="none" w:sz="0" w:space="0" w:color="auto"/>
                            <w:right w:val="none" w:sz="0" w:space="0" w:color="auto"/>
                          </w:divBdr>
                        </w:div>
                        <w:div w:id="2103187693">
                          <w:marLeft w:val="0"/>
                          <w:marRight w:val="0"/>
                          <w:marTop w:val="0"/>
                          <w:marBottom w:val="0"/>
                          <w:divBdr>
                            <w:top w:val="none" w:sz="0" w:space="0" w:color="auto"/>
                            <w:left w:val="none" w:sz="0" w:space="0" w:color="auto"/>
                            <w:bottom w:val="none" w:sz="0" w:space="0" w:color="auto"/>
                            <w:right w:val="none" w:sz="0" w:space="0" w:color="auto"/>
                          </w:divBdr>
                        </w:div>
                      </w:divsChild>
                    </w:div>
                    <w:div w:id="1568151996">
                      <w:marLeft w:val="0"/>
                      <w:marRight w:val="0"/>
                      <w:marTop w:val="0"/>
                      <w:marBottom w:val="0"/>
                      <w:divBdr>
                        <w:top w:val="none" w:sz="0" w:space="0" w:color="auto"/>
                        <w:left w:val="none" w:sz="0" w:space="0" w:color="auto"/>
                        <w:bottom w:val="none" w:sz="0" w:space="0" w:color="auto"/>
                        <w:right w:val="none" w:sz="0" w:space="0" w:color="auto"/>
                      </w:divBdr>
                      <w:divsChild>
                        <w:div w:id="1766269249">
                          <w:marLeft w:val="0"/>
                          <w:marRight w:val="0"/>
                          <w:marTop w:val="0"/>
                          <w:marBottom w:val="0"/>
                          <w:divBdr>
                            <w:top w:val="none" w:sz="0" w:space="0" w:color="auto"/>
                            <w:left w:val="none" w:sz="0" w:space="0" w:color="auto"/>
                            <w:bottom w:val="none" w:sz="0" w:space="0" w:color="auto"/>
                            <w:right w:val="none" w:sz="0" w:space="0" w:color="auto"/>
                          </w:divBdr>
                        </w:div>
                      </w:divsChild>
                    </w:div>
                    <w:div w:id="112675292">
                      <w:marLeft w:val="0"/>
                      <w:marRight w:val="0"/>
                      <w:marTop w:val="0"/>
                      <w:marBottom w:val="0"/>
                      <w:divBdr>
                        <w:top w:val="none" w:sz="0" w:space="0" w:color="auto"/>
                        <w:left w:val="none" w:sz="0" w:space="0" w:color="auto"/>
                        <w:bottom w:val="none" w:sz="0" w:space="0" w:color="auto"/>
                        <w:right w:val="none" w:sz="0" w:space="0" w:color="auto"/>
                      </w:divBdr>
                      <w:divsChild>
                        <w:div w:id="392240377">
                          <w:marLeft w:val="0"/>
                          <w:marRight w:val="0"/>
                          <w:marTop w:val="0"/>
                          <w:marBottom w:val="0"/>
                          <w:divBdr>
                            <w:top w:val="none" w:sz="0" w:space="0" w:color="auto"/>
                            <w:left w:val="none" w:sz="0" w:space="0" w:color="auto"/>
                            <w:bottom w:val="none" w:sz="0" w:space="0" w:color="auto"/>
                            <w:right w:val="none" w:sz="0" w:space="0" w:color="auto"/>
                          </w:divBdr>
                        </w:div>
                      </w:divsChild>
                    </w:div>
                    <w:div w:id="1799109443">
                      <w:marLeft w:val="0"/>
                      <w:marRight w:val="0"/>
                      <w:marTop w:val="0"/>
                      <w:marBottom w:val="0"/>
                      <w:divBdr>
                        <w:top w:val="none" w:sz="0" w:space="0" w:color="auto"/>
                        <w:left w:val="none" w:sz="0" w:space="0" w:color="auto"/>
                        <w:bottom w:val="none" w:sz="0" w:space="0" w:color="auto"/>
                        <w:right w:val="none" w:sz="0" w:space="0" w:color="auto"/>
                      </w:divBdr>
                      <w:divsChild>
                        <w:div w:id="644893183">
                          <w:marLeft w:val="0"/>
                          <w:marRight w:val="0"/>
                          <w:marTop w:val="0"/>
                          <w:marBottom w:val="0"/>
                          <w:divBdr>
                            <w:top w:val="none" w:sz="0" w:space="0" w:color="auto"/>
                            <w:left w:val="none" w:sz="0" w:space="0" w:color="auto"/>
                            <w:bottom w:val="none" w:sz="0" w:space="0" w:color="auto"/>
                            <w:right w:val="none" w:sz="0" w:space="0" w:color="auto"/>
                          </w:divBdr>
                        </w:div>
                      </w:divsChild>
                    </w:div>
                    <w:div w:id="1167210592">
                      <w:marLeft w:val="0"/>
                      <w:marRight w:val="0"/>
                      <w:marTop w:val="0"/>
                      <w:marBottom w:val="0"/>
                      <w:divBdr>
                        <w:top w:val="none" w:sz="0" w:space="0" w:color="auto"/>
                        <w:left w:val="none" w:sz="0" w:space="0" w:color="auto"/>
                        <w:bottom w:val="none" w:sz="0" w:space="0" w:color="auto"/>
                        <w:right w:val="none" w:sz="0" w:space="0" w:color="auto"/>
                      </w:divBdr>
                      <w:divsChild>
                        <w:div w:id="322437328">
                          <w:marLeft w:val="0"/>
                          <w:marRight w:val="0"/>
                          <w:marTop w:val="0"/>
                          <w:marBottom w:val="0"/>
                          <w:divBdr>
                            <w:top w:val="none" w:sz="0" w:space="0" w:color="auto"/>
                            <w:left w:val="none" w:sz="0" w:space="0" w:color="auto"/>
                            <w:bottom w:val="none" w:sz="0" w:space="0" w:color="auto"/>
                            <w:right w:val="none" w:sz="0" w:space="0" w:color="auto"/>
                          </w:divBdr>
                        </w:div>
                      </w:divsChild>
                    </w:div>
                    <w:div w:id="1333529800">
                      <w:marLeft w:val="0"/>
                      <w:marRight w:val="0"/>
                      <w:marTop w:val="0"/>
                      <w:marBottom w:val="0"/>
                      <w:divBdr>
                        <w:top w:val="none" w:sz="0" w:space="0" w:color="auto"/>
                        <w:left w:val="none" w:sz="0" w:space="0" w:color="auto"/>
                        <w:bottom w:val="none" w:sz="0" w:space="0" w:color="auto"/>
                        <w:right w:val="none" w:sz="0" w:space="0" w:color="auto"/>
                      </w:divBdr>
                      <w:divsChild>
                        <w:div w:id="1445537023">
                          <w:marLeft w:val="0"/>
                          <w:marRight w:val="0"/>
                          <w:marTop w:val="0"/>
                          <w:marBottom w:val="0"/>
                          <w:divBdr>
                            <w:top w:val="none" w:sz="0" w:space="0" w:color="auto"/>
                            <w:left w:val="none" w:sz="0" w:space="0" w:color="auto"/>
                            <w:bottom w:val="none" w:sz="0" w:space="0" w:color="auto"/>
                            <w:right w:val="none" w:sz="0" w:space="0" w:color="auto"/>
                          </w:divBdr>
                        </w:div>
                      </w:divsChild>
                    </w:div>
                    <w:div w:id="2049986972">
                      <w:marLeft w:val="0"/>
                      <w:marRight w:val="0"/>
                      <w:marTop w:val="0"/>
                      <w:marBottom w:val="0"/>
                      <w:divBdr>
                        <w:top w:val="none" w:sz="0" w:space="0" w:color="auto"/>
                        <w:left w:val="none" w:sz="0" w:space="0" w:color="auto"/>
                        <w:bottom w:val="none" w:sz="0" w:space="0" w:color="auto"/>
                        <w:right w:val="none" w:sz="0" w:space="0" w:color="auto"/>
                      </w:divBdr>
                      <w:divsChild>
                        <w:div w:id="1339887810">
                          <w:marLeft w:val="0"/>
                          <w:marRight w:val="0"/>
                          <w:marTop w:val="0"/>
                          <w:marBottom w:val="0"/>
                          <w:divBdr>
                            <w:top w:val="none" w:sz="0" w:space="0" w:color="auto"/>
                            <w:left w:val="none" w:sz="0" w:space="0" w:color="auto"/>
                            <w:bottom w:val="none" w:sz="0" w:space="0" w:color="auto"/>
                            <w:right w:val="none" w:sz="0" w:space="0" w:color="auto"/>
                          </w:divBdr>
                        </w:div>
                      </w:divsChild>
                    </w:div>
                    <w:div w:id="1654989966">
                      <w:marLeft w:val="0"/>
                      <w:marRight w:val="0"/>
                      <w:marTop w:val="0"/>
                      <w:marBottom w:val="0"/>
                      <w:divBdr>
                        <w:top w:val="none" w:sz="0" w:space="0" w:color="auto"/>
                        <w:left w:val="none" w:sz="0" w:space="0" w:color="auto"/>
                        <w:bottom w:val="none" w:sz="0" w:space="0" w:color="auto"/>
                        <w:right w:val="none" w:sz="0" w:space="0" w:color="auto"/>
                      </w:divBdr>
                      <w:divsChild>
                        <w:div w:id="2023238675">
                          <w:marLeft w:val="0"/>
                          <w:marRight w:val="0"/>
                          <w:marTop w:val="0"/>
                          <w:marBottom w:val="0"/>
                          <w:divBdr>
                            <w:top w:val="none" w:sz="0" w:space="0" w:color="auto"/>
                            <w:left w:val="none" w:sz="0" w:space="0" w:color="auto"/>
                            <w:bottom w:val="none" w:sz="0" w:space="0" w:color="auto"/>
                            <w:right w:val="none" w:sz="0" w:space="0" w:color="auto"/>
                          </w:divBdr>
                        </w:div>
                      </w:divsChild>
                    </w:div>
                    <w:div w:id="2108382066">
                      <w:marLeft w:val="0"/>
                      <w:marRight w:val="0"/>
                      <w:marTop w:val="0"/>
                      <w:marBottom w:val="0"/>
                      <w:divBdr>
                        <w:top w:val="none" w:sz="0" w:space="0" w:color="auto"/>
                        <w:left w:val="none" w:sz="0" w:space="0" w:color="auto"/>
                        <w:bottom w:val="none" w:sz="0" w:space="0" w:color="auto"/>
                        <w:right w:val="none" w:sz="0" w:space="0" w:color="auto"/>
                      </w:divBdr>
                      <w:divsChild>
                        <w:div w:id="1616520084">
                          <w:marLeft w:val="0"/>
                          <w:marRight w:val="0"/>
                          <w:marTop w:val="0"/>
                          <w:marBottom w:val="0"/>
                          <w:divBdr>
                            <w:top w:val="none" w:sz="0" w:space="0" w:color="auto"/>
                            <w:left w:val="none" w:sz="0" w:space="0" w:color="auto"/>
                            <w:bottom w:val="none" w:sz="0" w:space="0" w:color="auto"/>
                            <w:right w:val="none" w:sz="0" w:space="0" w:color="auto"/>
                          </w:divBdr>
                        </w:div>
                      </w:divsChild>
                    </w:div>
                    <w:div w:id="18970724">
                      <w:marLeft w:val="0"/>
                      <w:marRight w:val="0"/>
                      <w:marTop w:val="0"/>
                      <w:marBottom w:val="0"/>
                      <w:divBdr>
                        <w:top w:val="none" w:sz="0" w:space="0" w:color="auto"/>
                        <w:left w:val="none" w:sz="0" w:space="0" w:color="auto"/>
                        <w:bottom w:val="none" w:sz="0" w:space="0" w:color="auto"/>
                        <w:right w:val="none" w:sz="0" w:space="0" w:color="auto"/>
                      </w:divBdr>
                      <w:divsChild>
                        <w:div w:id="1498113671">
                          <w:marLeft w:val="0"/>
                          <w:marRight w:val="0"/>
                          <w:marTop w:val="0"/>
                          <w:marBottom w:val="0"/>
                          <w:divBdr>
                            <w:top w:val="none" w:sz="0" w:space="0" w:color="auto"/>
                            <w:left w:val="none" w:sz="0" w:space="0" w:color="auto"/>
                            <w:bottom w:val="none" w:sz="0" w:space="0" w:color="auto"/>
                            <w:right w:val="none" w:sz="0" w:space="0" w:color="auto"/>
                          </w:divBdr>
                        </w:div>
                      </w:divsChild>
                    </w:div>
                    <w:div w:id="611210982">
                      <w:marLeft w:val="0"/>
                      <w:marRight w:val="0"/>
                      <w:marTop w:val="0"/>
                      <w:marBottom w:val="0"/>
                      <w:divBdr>
                        <w:top w:val="none" w:sz="0" w:space="0" w:color="auto"/>
                        <w:left w:val="none" w:sz="0" w:space="0" w:color="auto"/>
                        <w:bottom w:val="none" w:sz="0" w:space="0" w:color="auto"/>
                        <w:right w:val="none" w:sz="0" w:space="0" w:color="auto"/>
                      </w:divBdr>
                      <w:divsChild>
                        <w:div w:id="1048380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2726868">
      <w:bodyDiv w:val="1"/>
      <w:marLeft w:val="0"/>
      <w:marRight w:val="0"/>
      <w:marTop w:val="0"/>
      <w:marBottom w:val="0"/>
      <w:divBdr>
        <w:top w:val="none" w:sz="0" w:space="0" w:color="auto"/>
        <w:left w:val="none" w:sz="0" w:space="0" w:color="auto"/>
        <w:bottom w:val="none" w:sz="0" w:space="0" w:color="auto"/>
        <w:right w:val="none" w:sz="0" w:space="0" w:color="auto"/>
      </w:divBdr>
      <w:divsChild>
        <w:div w:id="1938707479">
          <w:marLeft w:val="0"/>
          <w:marRight w:val="0"/>
          <w:marTop w:val="0"/>
          <w:marBottom w:val="0"/>
          <w:divBdr>
            <w:top w:val="none" w:sz="0" w:space="0" w:color="auto"/>
            <w:left w:val="none" w:sz="0" w:space="0" w:color="auto"/>
            <w:bottom w:val="none" w:sz="0" w:space="0" w:color="auto"/>
            <w:right w:val="none" w:sz="0" w:space="0" w:color="auto"/>
          </w:divBdr>
          <w:divsChild>
            <w:div w:id="676806146">
              <w:marLeft w:val="0"/>
              <w:marRight w:val="0"/>
              <w:marTop w:val="0"/>
              <w:marBottom w:val="0"/>
              <w:divBdr>
                <w:top w:val="none" w:sz="0" w:space="0" w:color="auto"/>
                <w:left w:val="none" w:sz="0" w:space="0" w:color="auto"/>
                <w:bottom w:val="none" w:sz="0" w:space="0" w:color="auto"/>
                <w:right w:val="none" w:sz="0" w:space="0" w:color="auto"/>
              </w:divBdr>
              <w:divsChild>
                <w:div w:id="550776182">
                  <w:marLeft w:val="0"/>
                  <w:marRight w:val="0"/>
                  <w:marTop w:val="0"/>
                  <w:marBottom w:val="0"/>
                  <w:divBdr>
                    <w:top w:val="none" w:sz="0" w:space="0" w:color="auto"/>
                    <w:left w:val="none" w:sz="0" w:space="0" w:color="auto"/>
                    <w:bottom w:val="none" w:sz="0" w:space="0" w:color="auto"/>
                    <w:right w:val="none" w:sz="0" w:space="0" w:color="auto"/>
                  </w:divBdr>
                  <w:divsChild>
                    <w:div w:id="162278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387314">
      <w:bodyDiv w:val="1"/>
      <w:marLeft w:val="0"/>
      <w:marRight w:val="0"/>
      <w:marTop w:val="0"/>
      <w:marBottom w:val="0"/>
      <w:divBdr>
        <w:top w:val="none" w:sz="0" w:space="0" w:color="auto"/>
        <w:left w:val="none" w:sz="0" w:space="0" w:color="auto"/>
        <w:bottom w:val="none" w:sz="0" w:space="0" w:color="auto"/>
        <w:right w:val="none" w:sz="0" w:space="0" w:color="auto"/>
      </w:divBdr>
      <w:divsChild>
        <w:div w:id="53817841">
          <w:marLeft w:val="0"/>
          <w:marRight w:val="0"/>
          <w:marTop w:val="0"/>
          <w:marBottom w:val="0"/>
          <w:divBdr>
            <w:top w:val="none" w:sz="0" w:space="0" w:color="auto"/>
            <w:left w:val="none" w:sz="0" w:space="0" w:color="auto"/>
            <w:bottom w:val="none" w:sz="0" w:space="0" w:color="auto"/>
            <w:right w:val="none" w:sz="0" w:space="0" w:color="auto"/>
          </w:divBdr>
          <w:divsChild>
            <w:div w:id="88939788">
              <w:marLeft w:val="0"/>
              <w:marRight w:val="0"/>
              <w:marTop w:val="0"/>
              <w:marBottom w:val="0"/>
              <w:divBdr>
                <w:top w:val="none" w:sz="0" w:space="0" w:color="auto"/>
                <w:left w:val="none" w:sz="0" w:space="0" w:color="auto"/>
                <w:bottom w:val="none" w:sz="0" w:space="0" w:color="auto"/>
                <w:right w:val="none" w:sz="0" w:space="0" w:color="auto"/>
              </w:divBdr>
              <w:divsChild>
                <w:div w:id="600181471">
                  <w:marLeft w:val="0"/>
                  <w:marRight w:val="0"/>
                  <w:marTop w:val="0"/>
                  <w:marBottom w:val="0"/>
                  <w:divBdr>
                    <w:top w:val="none" w:sz="0" w:space="0" w:color="auto"/>
                    <w:left w:val="none" w:sz="0" w:space="0" w:color="auto"/>
                    <w:bottom w:val="none" w:sz="0" w:space="0" w:color="auto"/>
                    <w:right w:val="none" w:sz="0" w:space="0" w:color="auto"/>
                  </w:divBdr>
                </w:div>
              </w:divsChild>
            </w:div>
            <w:div w:id="718165715">
              <w:marLeft w:val="0"/>
              <w:marRight w:val="0"/>
              <w:marTop w:val="0"/>
              <w:marBottom w:val="0"/>
              <w:divBdr>
                <w:top w:val="none" w:sz="0" w:space="0" w:color="auto"/>
                <w:left w:val="none" w:sz="0" w:space="0" w:color="auto"/>
                <w:bottom w:val="none" w:sz="0" w:space="0" w:color="auto"/>
                <w:right w:val="none" w:sz="0" w:space="0" w:color="auto"/>
              </w:divBdr>
              <w:divsChild>
                <w:div w:id="1396473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3638733">
          <w:marLeft w:val="0"/>
          <w:marRight w:val="0"/>
          <w:marTop w:val="0"/>
          <w:marBottom w:val="0"/>
          <w:divBdr>
            <w:top w:val="none" w:sz="0" w:space="0" w:color="auto"/>
            <w:left w:val="none" w:sz="0" w:space="0" w:color="auto"/>
            <w:bottom w:val="none" w:sz="0" w:space="0" w:color="auto"/>
            <w:right w:val="none" w:sz="0" w:space="0" w:color="auto"/>
          </w:divBdr>
          <w:divsChild>
            <w:div w:id="1723674442">
              <w:marLeft w:val="0"/>
              <w:marRight w:val="0"/>
              <w:marTop w:val="0"/>
              <w:marBottom w:val="0"/>
              <w:divBdr>
                <w:top w:val="none" w:sz="0" w:space="0" w:color="auto"/>
                <w:left w:val="none" w:sz="0" w:space="0" w:color="auto"/>
                <w:bottom w:val="none" w:sz="0" w:space="0" w:color="auto"/>
                <w:right w:val="none" w:sz="0" w:space="0" w:color="auto"/>
              </w:divBdr>
              <w:divsChild>
                <w:div w:id="1659308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330000">
      <w:bodyDiv w:val="1"/>
      <w:marLeft w:val="0"/>
      <w:marRight w:val="0"/>
      <w:marTop w:val="0"/>
      <w:marBottom w:val="0"/>
      <w:divBdr>
        <w:top w:val="none" w:sz="0" w:space="0" w:color="auto"/>
        <w:left w:val="none" w:sz="0" w:space="0" w:color="auto"/>
        <w:bottom w:val="none" w:sz="0" w:space="0" w:color="auto"/>
        <w:right w:val="none" w:sz="0" w:space="0" w:color="auto"/>
      </w:divBdr>
      <w:divsChild>
        <w:div w:id="122426009">
          <w:marLeft w:val="0"/>
          <w:marRight w:val="0"/>
          <w:marTop w:val="0"/>
          <w:marBottom w:val="0"/>
          <w:divBdr>
            <w:top w:val="none" w:sz="0" w:space="0" w:color="auto"/>
            <w:left w:val="none" w:sz="0" w:space="0" w:color="auto"/>
            <w:bottom w:val="none" w:sz="0" w:space="0" w:color="auto"/>
            <w:right w:val="none" w:sz="0" w:space="0" w:color="auto"/>
          </w:divBdr>
          <w:divsChild>
            <w:div w:id="725687735">
              <w:marLeft w:val="0"/>
              <w:marRight w:val="0"/>
              <w:marTop w:val="0"/>
              <w:marBottom w:val="0"/>
              <w:divBdr>
                <w:top w:val="none" w:sz="0" w:space="0" w:color="auto"/>
                <w:left w:val="none" w:sz="0" w:space="0" w:color="auto"/>
                <w:bottom w:val="none" w:sz="0" w:space="0" w:color="auto"/>
                <w:right w:val="none" w:sz="0" w:space="0" w:color="auto"/>
              </w:divBdr>
              <w:divsChild>
                <w:div w:id="1953708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846791">
      <w:bodyDiv w:val="1"/>
      <w:marLeft w:val="0"/>
      <w:marRight w:val="0"/>
      <w:marTop w:val="0"/>
      <w:marBottom w:val="0"/>
      <w:divBdr>
        <w:top w:val="none" w:sz="0" w:space="0" w:color="auto"/>
        <w:left w:val="none" w:sz="0" w:space="0" w:color="auto"/>
        <w:bottom w:val="none" w:sz="0" w:space="0" w:color="auto"/>
        <w:right w:val="none" w:sz="0" w:space="0" w:color="auto"/>
      </w:divBdr>
    </w:div>
    <w:div w:id="233439589">
      <w:bodyDiv w:val="1"/>
      <w:marLeft w:val="0"/>
      <w:marRight w:val="0"/>
      <w:marTop w:val="0"/>
      <w:marBottom w:val="0"/>
      <w:divBdr>
        <w:top w:val="none" w:sz="0" w:space="0" w:color="auto"/>
        <w:left w:val="none" w:sz="0" w:space="0" w:color="auto"/>
        <w:bottom w:val="none" w:sz="0" w:space="0" w:color="auto"/>
        <w:right w:val="none" w:sz="0" w:space="0" w:color="auto"/>
      </w:divBdr>
    </w:div>
    <w:div w:id="259218223">
      <w:bodyDiv w:val="1"/>
      <w:marLeft w:val="0"/>
      <w:marRight w:val="0"/>
      <w:marTop w:val="0"/>
      <w:marBottom w:val="0"/>
      <w:divBdr>
        <w:top w:val="none" w:sz="0" w:space="0" w:color="auto"/>
        <w:left w:val="none" w:sz="0" w:space="0" w:color="auto"/>
        <w:bottom w:val="none" w:sz="0" w:space="0" w:color="auto"/>
        <w:right w:val="none" w:sz="0" w:space="0" w:color="auto"/>
      </w:divBdr>
      <w:divsChild>
        <w:div w:id="1480267691">
          <w:marLeft w:val="0"/>
          <w:marRight w:val="0"/>
          <w:marTop w:val="0"/>
          <w:marBottom w:val="0"/>
          <w:divBdr>
            <w:top w:val="none" w:sz="0" w:space="0" w:color="auto"/>
            <w:left w:val="none" w:sz="0" w:space="0" w:color="auto"/>
            <w:bottom w:val="none" w:sz="0" w:space="0" w:color="auto"/>
            <w:right w:val="none" w:sz="0" w:space="0" w:color="auto"/>
          </w:divBdr>
          <w:divsChild>
            <w:div w:id="1447582405">
              <w:marLeft w:val="0"/>
              <w:marRight w:val="0"/>
              <w:marTop w:val="0"/>
              <w:marBottom w:val="0"/>
              <w:divBdr>
                <w:top w:val="none" w:sz="0" w:space="0" w:color="auto"/>
                <w:left w:val="none" w:sz="0" w:space="0" w:color="auto"/>
                <w:bottom w:val="none" w:sz="0" w:space="0" w:color="auto"/>
                <w:right w:val="none" w:sz="0" w:space="0" w:color="auto"/>
              </w:divBdr>
              <w:divsChild>
                <w:div w:id="832986471">
                  <w:marLeft w:val="0"/>
                  <w:marRight w:val="0"/>
                  <w:marTop w:val="0"/>
                  <w:marBottom w:val="0"/>
                  <w:divBdr>
                    <w:top w:val="none" w:sz="0" w:space="0" w:color="auto"/>
                    <w:left w:val="none" w:sz="0" w:space="0" w:color="auto"/>
                    <w:bottom w:val="none" w:sz="0" w:space="0" w:color="auto"/>
                    <w:right w:val="none" w:sz="0" w:space="0" w:color="auto"/>
                  </w:divBdr>
                  <w:divsChild>
                    <w:div w:id="811020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0012282">
      <w:bodyDiv w:val="1"/>
      <w:marLeft w:val="0"/>
      <w:marRight w:val="0"/>
      <w:marTop w:val="0"/>
      <w:marBottom w:val="0"/>
      <w:divBdr>
        <w:top w:val="none" w:sz="0" w:space="0" w:color="auto"/>
        <w:left w:val="none" w:sz="0" w:space="0" w:color="auto"/>
        <w:bottom w:val="none" w:sz="0" w:space="0" w:color="auto"/>
        <w:right w:val="none" w:sz="0" w:space="0" w:color="auto"/>
      </w:divBdr>
    </w:div>
    <w:div w:id="275647275">
      <w:bodyDiv w:val="1"/>
      <w:marLeft w:val="0"/>
      <w:marRight w:val="0"/>
      <w:marTop w:val="0"/>
      <w:marBottom w:val="0"/>
      <w:divBdr>
        <w:top w:val="none" w:sz="0" w:space="0" w:color="auto"/>
        <w:left w:val="none" w:sz="0" w:space="0" w:color="auto"/>
        <w:bottom w:val="none" w:sz="0" w:space="0" w:color="auto"/>
        <w:right w:val="none" w:sz="0" w:space="0" w:color="auto"/>
      </w:divBdr>
    </w:div>
    <w:div w:id="277103563">
      <w:bodyDiv w:val="1"/>
      <w:marLeft w:val="0"/>
      <w:marRight w:val="0"/>
      <w:marTop w:val="0"/>
      <w:marBottom w:val="0"/>
      <w:divBdr>
        <w:top w:val="none" w:sz="0" w:space="0" w:color="auto"/>
        <w:left w:val="none" w:sz="0" w:space="0" w:color="auto"/>
        <w:bottom w:val="none" w:sz="0" w:space="0" w:color="auto"/>
        <w:right w:val="none" w:sz="0" w:space="0" w:color="auto"/>
      </w:divBdr>
    </w:div>
    <w:div w:id="334965420">
      <w:bodyDiv w:val="1"/>
      <w:marLeft w:val="0"/>
      <w:marRight w:val="0"/>
      <w:marTop w:val="0"/>
      <w:marBottom w:val="0"/>
      <w:divBdr>
        <w:top w:val="none" w:sz="0" w:space="0" w:color="auto"/>
        <w:left w:val="none" w:sz="0" w:space="0" w:color="auto"/>
        <w:bottom w:val="none" w:sz="0" w:space="0" w:color="auto"/>
        <w:right w:val="none" w:sz="0" w:space="0" w:color="auto"/>
      </w:divBdr>
    </w:div>
    <w:div w:id="369650887">
      <w:bodyDiv w:val="1"/>
      <w:marLeft w:val="0"/>
      <w:marRight w:val="0"/>
      <w:marTop w:val="0"/>
      <w:marBottom w:val="0"/>
      <w:divBdr>
        <w:top w:val="none" w:sz="0" w:space="0" w:color="auto"/>
        <w:left w:val="none" w:sz="0" w:space="0" w:color="auto"/>
        <w:bottom w:val="none" w:sz="0" w:space="0" w:color="auto"/>
        <w:right w:val="none" w:sz="0" w:space="0" w:color="auto"/>
      </w:divBdr>
    </w:div>
    <w:div w:id="393967558">
      <w:bodyDiv w:val="1"/>
      <w:marLeft w:val="0"/>
      <w:marRight w:val="0"/>
      <w:marTop w:val="0"/>
      <w:marBottom w:val="0"/>
      <w:divBdr>
        <w:top w:val="none" w:sz="0" w:space="0" w:color="auto"/>
        <w:left w:val="none" w:sz="0" w:space="0" w:color="auto"/>
        <w:bottom w:val="none" w:sz="0" w:space="0" w:color="auto"/>
        <w:right w:val="none" w:sz="0" w:space="0" w:color="auto"/>
      </w:divBdr>
      <w:divsChild>
        <w:div w:id="2022585355">
          <w:marLeft w:val="0"/>
          <w:marRight w:val="0"/>
          <w:marTop w:val="0"/>
          <w:marBottom w:val="0"/>
          <w:divBdr>
            <w:top w:val="none" w:sz="0" w:space="0" w:color="auto"/>
            <w:left w:val="none" w:sz="0" w:space="0" w:color="auto"/>
            <w:bottom w:val="none" w:sz="0" w:space="0" w:color="auto"/>
            <w:right w:val="none" w:sz="0" w:space="0" w:color="auto"/>
          </w:divBdr>
          <w:divsChild>
            <w:div w:id="238097702">
              <w:marLeft w:val="0"/>
              <w:marRight w:val="0"/>
              <w:marTop w:val="0"/>
              <w:marBottom w:val="0"/>
              <w:divBdr>
                <w:top w:val="none" w:sz="0" w:space="0" w:color="auto"/>
                <w:left w:val="none" w:sz="0" w:space="0" w:color="auto"/>
                <w:bottom w:val="none" w:sz="0" w:space="0" w:color="auto"/>
                <w:right w:val="none" w:sz="0" w:space="0" w:color="auto"/>
              </w:divBdr>
              <w:divsChild>
                <w:div w:id="1834447377">
                  <w:marLeft w:val="0"/>
                  <w:marRight w:val="0"/>
                  <w:marTop w:val="0"/>
                  <w:marBottom w:val="0"/>
                  <w:divBdr>
                    <w:top w:val="none" w:sz="0" w:space="0" w:color="auto"/>
                    <w:left w:val="none" w:sz="0" w:space="0" w:color="auto"/>
                    <w:bottom w:val="none" w:sz="0" w:space="0" w:color="auto"/>
                    <w:right w:val="none" w:sz="0" w:space="0" w:color="auto"/>
                  </w:divBdr>
                </w:div>
              </w:divsChild>
            </w:div>
            <w:div w:id="240677104">
              <w:marLeft w:val="0"/>
              <w:marRight w:val="0"/>
              <w:marTop w:val="0"/>
              <w:marBottom w:val="0"/>
              <w:divBdr>
                <w:top w:val="none" w:sz="0" w:space="0" w:color="auto"/>
                <w:left w:val="none" w:sz="0" w:space="0" w:color="auto"/>
                <w:bottom w:val="none" w:sz="0" w:space="0" w:color="auto"/>
                <w:right w:val="none" w:sz="0" w:space="0" w:color="auto"/>
              </w:divBdr>
              <w:divsChild>
                <w:div w:id="1783961305">
                  <w:marLeft w:val="0"/>
                  <w:marRight w:val="0"/>
                  <w:marTop w:val="0"/>
                  <w:marBottom w:val="0"/>
                  <w:divBdr>
                    <w:top w:val="none" w:sz="0" w:space="0" w:color="auto"/>
                    <w:left w:val="none" w:sz="0" w:space="0" w:color="auto"/>
                    <w:bottom w:val="none" w:sz="0" w:space="0" w:color="auto"/>
                    <w:right w:val="none" w:sz="0" w:space="0" w:color="auto"/>
                  </w:divBdr>
                </w:div>
              </w:divsChild>
            </w:div>
            <w:div w:id="1282954950">
              <w:marLeft w:val="0"/>
              <w:marRight w:val="0"/>
              <w:marTop w:val="0"/>
              <w:marBottom w:val="0"/>
              <w:divBdr>
                <w:top w:val="none" w:sz="0" w:space="0" w:color="auto"/>
                <w:left w:val="none" w:sz="0" w:space="0" w:color="auto"/>
                <w:bottom w:val="none" w:sz="0" w:space="0" w:color="auto"/>
                <w:right w:val="none" w:sz="0" w:space="0" w:color="auto"/>
              </w:divBdr>
              <w:divsChild>
                <w:div w:id="1453013585">
                  <w:marLeft w:val="0"/>
                  <w:marRight w:val="0"/>
                  <w:marTop w:val="0"/>
                  <w:marBottom w:val="0"/>
                  <w:divBdr>
                    <w:top w:val="none" w:sz="0" w:space="0" w:color="auto"/>
                    <w:left w:val="none" w:sz="0" w:space="0" w:color="auto"/>
                    <w:bottom w:val="none" w:sz="0" w:space="0" w:color="auto"/>
                    <w:right w:val="none" w:sz="0" w:space="0" w:color="auto"/>
                  </w:divBdr>
                </w:div>
              </w:divsChild>
            </w:div>
            <w:div w:id="1772582850">
              <w:marLeft w:val="0"/>
              <w:marRight w:val="0"/>
              <w:marTop w:val="0"/>
              <w:marBottom w:val="0"/>
              <w:divBdr>
                <w:top w:val="none" w:sz="0" w:space="0" w:color="auto"/>
                <w:left w:val="none" w:sz="0" w:space="0" w:color="auto"/>
                <w:bottom w:val="none" w:sz="0" w:space="0" w:color="auto"/>
                <w:right w:val="none" w:sz="0" w:space="0" w:color="auto"/>
              </w:divBdr>
              <w:divsChild>
                <w:div w:id="73011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0782231">
      <w:bodyDiv w:val="1"/>
      <w:marLeft w:val="0"/>
      <w:marRight w:val="0"/>
      <w:marTop w:val="0"/>
      <w:marBottom w:val="0"/>
      <w:divBdr>
        <w:top w:val="none" w:sz="0" w:space="0" w:color="auto"/>
        <w:left w:val="none" w:sz="0" w:space="0" w:color="auto"/>
        <w:bottom w:val="none" w:sz="0" w:space="0" w:color="auto"/>
        <w:right w:val="none" w:sz="0" w:space="0" w:color="auto"/>
      </w:divBdr>
      <w:divsChild>
        <w:div w:id="1493134211">
          <w:marLeft w:val="0"/>
          <w:marRight w:val="0"/>
          <w:marTop w:val="0"/>
          <w:marBottom w:val="0"/>
          <w:divBdr>
            <w:top w:val="none" w:sz="0" w:space="0" w:color="auto"/>
            <w:left w:val="none" w:sz="0" w:space="0" w:color="auto"/>
            <w:bottom w:val="none" w:sz="0" w:space="0" w:color="auto"/>
            <w:right w:val="none" w:sz="0" w:space="0" w:color="auto"/>
          </w:divBdr>
          <w:divsChild>
            <w:div w:id="396560190">
              <w:marLeft w:val="0"/>
              <w:marRight w:val="0"/>
              <w:marTop w:val="0"/>
              <w:marBottom w:val="0"/>
              <w:divBdr>
                <w:top w:val="none" w:sz="0" w:space="0" w:color="auto"/>
                <w:left w:val="none" w:sz="0" w:space="0" w:color="auto"/>
                <w:bottom w:val="none" w:sz="0" w:space="0" w:color="auto"/>
                <w:right w:val="none" w:sz="0" w:space="0" w:color="auto"/>
              </w:divBdr>
              <w:divsChild>
                <w:div w:id="1985307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0100513">
      <w:bodyDiv w:val="1"/>
      <w:marLeft w:val="0"/>
      <w:marRight w:val="0"/>
      <w:marTop w:val="0"/>
      <w:marBottom w:val="0"/>
      <w:divBdr>
        <w:top w:val="none" w:sz="0" w:space="0" w:color="auto"/>
        <w:left w:val="none" w:sz="0" w:space="0" w:color="auto"/>
        <w:bottom w:val="none" w:sz="0" w:space="0" w:color="auto"/>
        <w:right w:val="none" w:sz="0" w:space="0" w:color="auto"/>
      </w:divBdr>
    </w:div>
    <w:div w:id="556281754">
      <w:bodyDiv w:val="1"/>
      <w:marLeft w:val="0"/>
      <w:marRight w:val="0"/>
      <w:marTop w:val="0"/>
      <w:marBottom w:val="0"/>
      <w:divBdr>
        <w:top w:val="none" w:sz="0" w:space="0" w:color="auto"/>
        <w:left w:val="none" w:sz="0" w:space="0" w:color="auto"/>
        <w:bottom w:val="none" w:sz="0" w:space="0" w:color="auto"/>
        <w:right w:val="none" w:sz="0" w:space="0" w:color="auto"/>
      </w:divBdr>
      <w:divsChild>
        <w:div w:id="1104955821">
          <w:marLeft w:val="0"/>
          <w:marRight w:val="0"/>
          <w:marTop w:val="0"/>
          <w:marBottom w:val="0"/>
          <w:divBdr>
            <w:top w:val="none" w:sz="0" w:space="0" w:color="auto"/>
            <w:left w:val="none" w:sz="0" w:space="0" w:color="auto"/>
            <w:bottom w:val="none" w:sz="0" w:space="0" w:color="auto"/>
            <w:right w:val="none" w:sz="0" w:space="0" w:color="auto"/>
          </w:divBdr>
          <w:divsChild>
            <w:div w:id="784539555">
              <w:marLeft w:val="0"/>
              <w:marRight w:val="0"/>
              <w:marTop w:val="0"/>
              <w:marBottom w:val="0"/>
              <w:divBdr>
                <w:top w:val="none" w:sz="0" w:space="0" w:color="auto"/>
                <w:left w:val="none" w:sz="0" w:space="0" w:color="auto"/>
                <w:bottom w:val="none" w:sz="0" w:space="0" w:color="auto"/>
                <w:right w:val="none" w:sz="0" w:space="0" w:color="auto"/>
              </w:divBdr>
              <w:divsChild>
                <w:div w:id="839197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3147810">
      <w:bodyDiv w:val="1"/>
      <w:marLeft w:val="0"/>
      <w:marRight w:val="0"/>
      <w:marTop w:val="0"/>
      <w:marBottom w:val="0"/>
      <w:divBdr>
        <w:top w:val="none" w:sz="0" w:space="0" w:color="auto"/>
        <w:left w:val="none" w:sz="0" w:space="0" w:color="auto"/>
        <w:bottom w:val="none" w:sz="0" w:space="0" w:color="auto"/>
        <w:right w:val="none" w:sz="0" w:space="0" w:color="auto"/>
      </w:divBdr>
      <w:divsChild>
        <w:div w:id="1730422604">
          <w:marLeft w:val="0"/>
          <w:marRight w:val="0"/>
          <w:marTop w:val="0"/>
          <w:marBottom w:val="0"/>
          <w:divBdr>
            <w:top w:val="none" w:sz="0" w:space="0" w:color="auto"/>
            <w:left w:val="none" w:sz="0" w:space="0" w:color="auto"/>
            <w:bottom w:val="none" w:sz="0" w:space="0" w:color="auto"/>
            <w:right w:val="none" w:sz="0" w:space="0" w:color="auto"/>
          </w:divBdr>
          <w:divsChild>
            <w:div w:id="1621185071">
              <w:marLeft w:val="0"/>
              <w:marRight w:val="0"/>
              <w:marTop w:val="0"/>
              <w:marBottom w:val="0"/>
              <w:divBdr>
                <w:top w:val="none" w:sz="0" w:space="0" w:color="auto"/>
                <w:left w:val="none" w:sz="0" w:space="0" w:color="auto"/>
                <w:bottom w:val="none" w:sz="0" w:space="0" w:color="auto"/>
                <w:right w:val="none" w:sz="0" w:space="0" w:color="auto"/>
              </w:divBdr>
              <w:divsChild>
                <w:div w:id="185653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6370437">
      <w:bodyDiv w:val="1"/>
      <w:marLeft w:val="0"/>
      <w:marRight w:val="0"/>
      <w:marTop w:val="0"/>
      <w:marBottom w:val="0"/>
      <w:divBdr>
        <w:top w:val="none" w:sz="0" w:space="0" w:color="auto"/>
        <w:left w:val="none" w:sz="0" w:space="0" w:color="auto"/>
        <w:bottom w:val="none" w:sz="0" w:space="0" w:color="auto"/>
        <w:right w:val="none" w:sz="0" w:space="0" w:color="auto"/>
      </w:divBdr>
      <w:divsChild>
        <w:div w:id="1378814394">
          <w:marLeft w:val="0"/>
          <w:marRight w:val="0"/>
          <w:marTop w:val="0"/>
          <w:marBottom w:val="0"/>
          <w:divBdr>
            <w:top w:val="none" w:sz="0" w:space="0" w:color="auto"/>
            <w:left w:val="none" w:sz="0" w:space="0" w:color="auto"/>
            <w:bottom w:val="none" w:sz="0" w:space="0" w:color="auto"/>
            <w:right w:val="none" w:sz="0" w:space="0" w:color="auto"/>
          </w:divBdr>
          <w:divsChild>
            <w:div w:id="146631353">
              <w:marLeft w:val="0"/>
              <w:marRight w:val="0"/>
              <w:marTop w:val="0"/>
              <w:marBottom w:val="0"/>
              <w:divBdr>
                <w:top w:val="none" w:sz="0" w:space="0" w:color="auto"/>
                <w:left w:val="none" w:sz="0" w:space="0" w:color="auto"/>
                <w:bottom w:val="none" w:sz="0" w:space="0" w:color="auto"/>
                <w:right w:val="none" w:sz="0" w:space="0" w:color="auto"/>
              </w:divBdr>
              <w:divsChild>
                <w:div w:id="567962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9382274">
      <w:bodyDiv w:val="1"/>
      <w:marLeft w:val="0"/>
      <w:marRight w:val="0"/>
      <w:marTop w:val="0"/>
      <w:marBottom w:val="0"/>
      <w:divBdr>
        <w:top w:val="none" w:sz="0" w:space="0" w:color="auto"/>
        <w:left w:val="none" w:sz="0" w:space="0" w:color="auto"/>
        <w:bottom w:val="none" w:sz="0" w:space="0" w:color="auto"/>
        <w:right w:val="none" w:sz="0" w:space="0" w:color="auto"/>
      </w:divBdr>
      <w:divsChild>
        <w:div w:id="1347250865">
          <w:marLeft w:val="0"/>
          <w:marRight w:val="0"/>
          <w:marTop w:val="0"/>
          <w:marBottom w:val="0"/>
          <w:divBdr>
            <w:top w:val="none" w:sz="0" w:space="0" w:color="auto"/>
            <w:left w:val="none" w:sz="0" w:space="0" w:color="auto"/>
            <w:bottom w:val="none" w:sz="0" w:space="0" w:color="auto"/>
            <w:right w:val="none" w:sz="0" w:space="0" w:color="auto"/>
          </w:divBdr>
          <w:divsChild>
            <w:div w:id="1489637379">
              <w:marLeft w:val="0"/>
              <w:marRight w:val="0"/>
              <w:marTop w:val="0"/>
              <w:marBottom w:val="0"/>
              <w:divBdr>
                <w:top w:val="none" w:sz="0" w:space="0" w:color="auto"/>
                <w:left w:val="none" w:sz="0" w:space="0" w:color="auto"/>
                <w:bottom w:val="none" w:sz="0" w:space="0" w:color="auto"/>
                <w:right w:val="none" w:sz="0" w:space="0" w:color="auto"/>
              </w:divBdr>
              <w:divsChild>
                <w:div w:id="703871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1891227">
      <w:bodyDiv w:val="1"/>
      <w:marLeft w:val="0"/>
      <w:marRight w:val="0"/>
      <w:marTop w:val="0"/>
      <w:marBottom w:val="0"/>
      <w:divBdr>
        <w:top w:val="none" w:sz="0" w:space="0" w:color="auto"/>
        <w:left w:val="none" w:sz="0" w:space="0" w:color="auto"/>
        <w:bottom w:val="none" w:sz="0" w:space="0" w:color="auto"/>
        <w:right w:val="none" w:sz="0" w:space="0" w:color="auto"/>
      </w:divBdr>
      <w:divsChild>
        <w:div w:id="226040618">
          <w:marLeft w:val="0"/>
          <w:marRight w:val="0"/>
          <w:marTop w:val="0"/>
          <w:marBottom w:val="0"/>
          <w:divBdr>
            <w:top w:val="none" w:sz="0" w:space="0" w:color="auto"/>
            <w:left w:val="none" w:sz="0" w:space="0" w:color="auto"/>
            <w:bottom w:val="none" w:sz="0" w:space="0" w:color="auto"/>
            <w:right w:val="none" w:sz="0" w:space="0" w:color="auto"/>
          </w:divBdr>
          <w:divsChild>
            <w:div w:id="58525276">
              <w:marLeft w:val="0"/>
              <w:marRight w:val="0"/>
              <w:marTop w:val="0"/>
              <w:marBottom w:val="0"/>
              <w:divBdr>
                <w:top w:val="none" w:sz="0" w:space="0" w:color="auto"/>
                <w:left w:val="none" w:sz="0" w:space="0" w:color="auto"/>
                <w:bottom w:val="none" w:sz="0" w:space="0" w:color="auto"/>
                <w:right w:val="none" w:sz="0" w:space="0" w:color="auto"/>
              </w:divBdr>
              <w:divsChild>
                <w:div w:id="1988046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1774145">
      <w:bodyDiv w:val="1"/>
      <w:marLeft w:val="0"/>
      <w:marRight w:val="0"/>
      <w:marTop w:val="0"/>
      <w:marBottom w:val="0"/>
      <w:divBdr>
        <w:top w:val="none" w:sz="0" w:space="0" w:color="auto"/>
        <w:left w:val="none" w:sz="0" w:space="0" w:color="auto"/>
        <w:bottom w:val="none" w:sz="0" w:space="0" w:color="auto"/>
        <w:right w:val="none" w:sz="0" w:space="0" w:color="auto"/>
      </w:divBdr>
      <w:divsChild>
        <w:div w:id="1271935848">
          <w:marLeft w:val="0"/>
          <w:marRight w:val="0"/>
          <w:marTop w:val="0"/>
          <w:marBottom w:val="0"/>
          <w:divBdr>
            <w:top w:val="none" w:sz="0" w:space="0" w:color="auto"/>
            <w:left w:val="none" w:sz="0" w:space="0" w:color="auto"/>
            <w:bottom w:val="none" w:sz="0" w:space="0" w:color="auto"/>
            <w:right w:val="none" w:sz="0" w:space="0" w:color="auto"/>
          </w:divBdr>
          <w:divsChild>
            <w:div w:id="1746755452">
              <w:marLeft w:val="0"/>
              <w:marRight w:val="0"/>
              <w:marTop w:val="0"/>
              <w:marBottom w:val="0"/>
              <w:divBdr>
                <w:top w:val="none" w:sz="0" w:space="0" w:color="auto"/>
                <w:left w:val="none" w:sz="0" w:space="0" w:color="auto"/>
                <w:bottom w:val="none" w:sz="0" w:space="0" w:color="auto"/>
                <w:right w:val="none" w:sz="0" w:space="0" w:color="auto"/>
              </w:divBdr>
              <w:divsChild>
                <w:div w:id="1271595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2808015">
      <w:bodyDiv w:val="1"/>
      <w:marLeft w:val="0"/>
      <w:marRight w:val="0"/>
      <w:marTop w:val="0"/>
      <w:marBottom w:val="0"/>
      <w:divBdr>
        <w:top w:val="none" w:sz="0" w:space="0" w:color="auto"/>
        <w:left w:val="none" w:sz="0" w:space="0" w:color="auto"/>
        <w:bottom w:val="none" w:sz="0" w:space="0" w:color="auto"/>
        <w:right w:val="none" w:sz="0" w:space="0" w:color="auto"/>
      </w:divBdr>
    </w:div>
    <w:div w:id="1071997683">
      <w:bodyDiv w:val="1"/>
      <w:marLeft w:val="0"/>
      <w:marRight w:val="0"/>
      <w:marTop w:val="0"/>
      <w:marBottom w:val="0"/>
      <w:divBdr>
        <w:top w:val="none" w:sz="0" w:space="0" w:color="auto"/>
        <w:left w:val="none" w:sz="0" w:space="0" w:color="auto"/>
        <w:bottom w:val="none" w:sz="0" w:space="0" w:color="auto"/>
        <w:right w:val="none" w:sz="0" w:space="0" w:color="auto"/>
      </w:divBdr>
    </w:div>
    <w:div w:id="1232689522">
      <w:bodyDiv w:val="1"/>
      <w:marLeft w:val="0"/>
      <w:marRight w:val="0"/>
      <w:marTop w:val="0"/>
      <w:marBottom w:val="0"/>
      <w:divBdr>
        <w:top w:val="none" w:sz="0" w:space="0" w:color="auto"/>
        <w:left w:val="none" w:sz="0" w:space="0" w:color="auto"/>
        <w:bottom w:val="none" w:sz="0" w:space="0" w:color="auto"/>
        <w:right w:val="none" w:sz="0" w:space="0" w:color="auto"/>
      </w:divBdr>
      <w:divsChild>
        <w:div w:id="226114493">
          <w:marLeft w:val="0"/>
          <w:marRight w:val="0"/>
          <w:marTop w:val="0"/>
          <w:marBottom w:val="0"/>
          <w:divBdr>
            <w:top w:val="none" w:sz="0" w:space="0" w:color="auto"/>
            <w:left w:val="none" w:sz="0" w:space="0" w:color="auto"/>
            <w:bottom w:val="none" w:sz="0" w:space="0" w:color="auto"/>
            <w:right w:val="none" w:sz="0" w:space="0" w:color="auto"/>
          </w:divBdr>
          <w:divsChild>
            <w:div w:id="1860502742">
              <w:marLeft w:val="0"/>
              <w:marRight w:val="0"/>
              <w:marTop w:val="0"/>
              <w:marBottom w:val="0"/>
              <w:divBdr>
                <w:top w:val="none" w:sz="0" w:space="0" w:color="auto"/>
                <w:left w:val="none" w:sz="0" w:space="0" w:color="auto"/>
                <w:bottom w:val="none" w:sz="0" w:space="0" w:color="auto"/>
                <w:right w:val="none" w:sz="0" w:space="0" w:color="auto"/>
              </w:divBdr>
              <w:divsChild>
                <w:div w:id="103504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2132027">
      <w:bodyDiv w:val="1"/>
      <w:marLeft w:val="0"/>
      <w:marRight w:val="0"/>
      <w:marTop w:val="0"/>
      <w:marBottom w:val="0"/>
      <w:divBdr>
        <w:top w:val="none" w:sz="0" w:space="0" w:color="auto"/>
        <w:left w:val="none" w:sz="0" w:space="0" w:color="auto"/>
        <w:bottom w:val="none" w:sz="0" w:space="0" w:color="auto"/>
        <w:right w:val="none" w:sz="0" w:space="0" w:color="auto"/>
      </w:divBdr>
    </w:div>
    <w:div w:id="1245535100">
      <w:bodyDiv w:val="1"/>
      <w:marLeft w:val="0"/>
      <w:marRight w:val="0"/>
      <w:marTop w:val="0"/>
      <w:marBottom w:val="0"/>
      <w:divBdr>
        <w:top w:val="none" w:sz="0" w:space="0" w:color="auto"/>
        <w:left w:val="none" w:sz="0" w:space="0" w:color="auto"/>
        <w:bottom w:val="none" w:sz="0" w:space="0" w:color="auto"/>
        <w:right w:val="none" w:sz="0" w:space="0" w:color="auto"/>
      </w:divBdr>
      <w:divsChild>
        <w:div w:id="233855604">
          <w:marLeft w:val="0"/>
          <w:marRight w:val="0"/>
          <w:marTop w:val="0"/>
          <w:marBottom w:val="0"/>
          <w:divBdr>
            <w:top w:val="none" w:sz="0" w:space="0" w:color="auto"/>
            <w:left w:val="none" w:sz="0" w:space="0" w:color="auto"/>
            <w:bottom w:val="none" w:sz="0" w:space="0" w:color="auto"/>
            <w:right w:val="none" w:sz="0" w:space="0" w:color="auto"/>
          </w:divBdr>
          <w:divsChild>
            <w:div w:id="900869814">
              <w:marLeft w:val="0"/>
              <w:marRight w:val="0"/>
              <w:marTop w:val="0"/>
              <w:marBottom w:val="0"/>
              <w:divBdr>
                <w:top w:val="none" w:sz="0" w:space="0" w:color="auto"/>
                <w:left w:val="none" w:sz="0" w:space="0" w:color="auto"/>
                <w:bottom w:val="none" w:sz="0" w:space="0" w:color="auto"/>
                <w:right w:val="none" w:sz="0" w:space="0" w:color="auto"/>
              </w:divBdr>
              <w:divsChild>
                <w:div w:id="1245650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9318624">
      <w:bodyDiv w:val="1"/>
      <w:marLeft w:val="0"/>
      <w:marRight w:val="0"/>
      <w:marTop w:val="0"/>
      <w:marBottom w:val="0"/>
      <w:divBdr>
        <w:top w:val="none" w:sz="0" w:space="0" w:color="auto"/>
        <w:left w:val="none" w:sz="0" w:space="0" w:color="auto"/>
        <w:bottom w:val="none" w:sz="0" w:space="0" w:color="auto"/>
        <w:right w:val="none" w:sz="0" w:space="0" w:color="auto"/>
      </w:divBdr>
      <w:divsChild>
        <w:div w:id="711417404">
          <w:marLeft w:val="0"/>
          <w:marRight w:val="0"/>
          <w:marTop w:val="0"/>
          <w:marBottom w:val="0"/>
          <w:divBdr>
            <w:top w:val="none" w:sz="0" w:space="0" w:color="auto"/>
            <w:left w:val="none" w:sz="0" w:space="0" w:color="auto"/>
            <w:bottom w:val="none" w:sz="0" w:space="0" w:color="auto"/>
            <w:right w:val="none" w:sz="0" w:space="0" w:color="auto"/>
          </w:divBdr>
          <w:divsChild>
            <w:div w:id="2121681139">
              <w:marLeft w:val="0"/>
              <w:marRight w:val="0"/>
              <w:marTop w:val="0"/>
              <w:marBottom w:val="0"/>
              <w:divBdr>
                <w:top w:val="none" w:sz="0" w:space="0" w:color="auto"/>
                <w:left w:val="none" w:sz="0" w:space="0" w:color="auto"/>
                <w:bottom w:val="none" w:sz="0" w:space="0" w:color="auto"/>
                <w:right w:val="none" w:sz="0" w:space="0" w:color="auto"/>
              </w:divBdr>
              <w:divsChild>
                <w:div w:id="932005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5294446">
      <w:bodyDiv w:val="1"/>
      <w:marLeft w:val="0"/>
      <w:marRight w:val="0"/>
      <w:marTop w:val="0"/>
      <w:marBottom w:val="0"/>
      <w:divBdr>
        <w:top w:val="none" w:sz="0" w:space="0" w:color="auto"/>
        <w:left w:val="none" w:sz="0" w:space="0" w:color="auto"/>
        <w:bottom w:val="none" w:sz="0" w:space="0" w:color="auto"/>
        <w:right w:val="none" w:sz="0" w:space="0" w:color="auto"/>
      </w:divBdr>
    </w:div>
    <w:div w:id="1591427743">
      <w:bodyDiv w:val="1"/>
      <w:marLeft w:val="0"/>
      <w:marRight w:val="0"/>
      <w:marTop w:val="0"/>
      <w:marBottom w:val="0"/>
      <w:divBdr>
        <w:top w:val="none" w:sz="0" w:space="0" w:color="auto"/>
        <w:left w:val="none" w:sz="0" w:space="0" w:color="auto"/>
        <w:bottom w:val="none" w:sz="0" w:space="0" w:color="auto"/>
        <w:right w:val="none" w:sz="0" w:space="0" w:color="auto"/>
      </w:divBdr>
      <w:divsChild>
        <w:div w:id="806045663">
          <w:marLeft w:val="0"/>
          <w:marRight w:val="0"/>
          <w:marTop w:val="0"/>
          <w:marBottom w:val="0"/>
          <w:divBdr>
            <w:top w:val="none" w:sz="0" w:space="0" w:color="auto"/>
            <w:left w:val="none" w:sz="0" w:space="0" w:color="auto"/>
            <w:bottom w:val="none" w:sz="0" w:space="0" w:color="auto"/>
            <w:right w:val="none" w:sz="0" w:space="0" w:color="auto"/>
          </w:divBdr>
          <w:divsChild>
            <w:div w:id="1750955524">
              <w:marLeft w:val="0"/>
              <w:marRight w:val="0"/>
              <w:marTop w:val="0"/>
              <w:marBottom w:val="0"/>
              <w:divBdr>
                <w:top w:val="none" w:sz="0" w:space="0" w:color="auto"/>
                <w:left w:val="none" w:sz="0" w:space="0" w:color="auto"/>
                <w:bottom w:val="none" w:sz="0" w:space="0" w:color="auto"/>
                <w:right w:val="none" w:sz="0" w:space="0" w:color="auto"/>
              </w:divBdr>
              <w:divsChild>
                <w:div w:id="1913082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6834385">
      <w:bodyDiv w:val="1"/>
      <w:marLeft w:val="0"/>
      <w:marRight w:val="0"/>
      <w:marTop w:val="0"/>
      <w:marBottom w:val="0"/>
      <w:divBdr>
        <w:top w:val="none" w:sz="0" w:space="0" w:color="auto"/>
        <w:left w:val="none" w:sz="0" w:space="0" w:color="auto"/>
        <w:bottom w:val="none" w:sz="0" w:space="0" w:color="auto"/>
        <w:right w:val="none" w:sz="0" w:space="0" w:color="auto"/>
      </w:divBdr>
      <w:divsChild>
        <w:div w:id="590089896">
          <w:marLeft w:val="0"/>
          <w:marRight w:val="0"/>
          <w:marTop w:val="0"/>
          <w:marBottom w:val="0"/>
          <w:divBdr>
            <w:top w:val="none" w:sz="0" w:space="0" w:color="auto"/>
            <w:left w:val="none" w:sz="0" w:space="0" w:color="auto"/>
            <w:bottom w:val="none" w:sz="0" w:space="0" w:color="auto"/>
            <w:right w:val="none" w:sz="0" w:space="0" w:color="auto"/>
          </w:divBdr>
          <w:divsChild>
            <w:div w:id="814953260">
              <w:marLeft w:val="0"/>
              <w:marRight w:val="0"/>
              <w:marTop w:val="0"/>
              <w:marBottom w:val="0"/>
              <w:divBdr>
                <w:top w:val="none" w:sz="0" w:space="0" w:color="auto"/>
                <w:left w:val="none" w:sz="0" w:space="0" w:color="auto"/>
                <w:bottom w:val="none" w:sz="0" w:space="0" w:color="auto"/>
                <w:right w:val="none" w:sz="0" w:space="0" w:color="auto"/>
              </w:divBdr>
              <w:divsChild>
                <w:div w:id="741874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799078">
      <w:bodyDiv w:val="1"/>
      <w:marLeft w:val="0"/>
      <w:marRight w:val="0"/>
      <w:marTop w:val="0"/>
      <w:marBottom w:val="0"/>
      <w:divBdr>
        <w:top w:val="none" w:sz="0" w:space="0" w:color="auto"/>
        <w:left w:val="none" w:sz="0" w:space="0" w:color="auto"/>
        <w:bottom w:val="none" w:sz="0" w:space="0" w:color="auto"/>
        <w:right w:val="none" w:sz="0" w:space="0" w:color="auto"/>
      </w:divBdr>
      <w:divsChild>
        <w:div w:id="67770566">
          <w:marLeft w:val="0"/>
          <w:marRight w:val="0"/>
          <w:marTop w:val="0"/>
          <w:marBottom w:val="0"/>
          <w:divBdr>
            <w:top w:val="none" w:sz="0" w:space="0" w:color="auto"/>
            <w:left w:val="none" w:sz="0" w:space="0" w:color="auto"/>
            <w:bottom w:val="none" w:sz="0" w:space="0" w:color="auto"/>
            <w:right w:val="none" w:sz="0" w:space="0" w:color="auto"/>
          </w:divBdr>
          <w:divsChild>
            <w:div w:id="1679498152">
              <w:marLeft w:val="0"/>
              <w:marRight w:val="0"/>
              <w:marTop w:val="0"/>
              <w:marBottom w:val="0"/>
              <w:divBdr>
                <w:top w:val="none" w:sz="0" w:space="0" w:color="auto"/>
                <w:left w:val="none" w:sz="0" w:space="0" w:color="auto"/>
                <w:bottom w:val="none" w:sz="0" w:space="0" w:color="auto"/>
                <w:right w:val="none" w:sz="0" w:space="0" w:color="auto"/>
              </w:divBdr>
              <w:divsChild>
                <w:div w:id="947587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5711221">
      <w:bodyDiv w:val="1"/>
      <w:marLeft w:val="0"/>
      <w:marRight w:val="0"/>
      <w:marTop w:val="0"/>
      <w:marBottom w:val="0"/>
      <w:divBdr>
        <w:top w:val="none" w:sz="0" w:space="0" w:color="auto"/>
        <w:left w:val="none" w:sz="0" w:space="0" w:color="auto"/>
        <w:bottom w:val="none" w:sz="0" w:space="0" w:color="auto"/>
        <w:right w:val="none" w:sz="0" w:space="0" w:color="auto"/>
      </w:divBdr>
      <w:divsChild>
        <w:div w:id="1841583897">
          <w:marLeft w:val="0"/>
          <w:marRight w:val="0"/>
          <w:marTop w:val="0"/>
          <w:marBottom w:val="0"/>
          <w:divBdr>
            <w:top w:val="none" w:sz="0" w:space="0" w:color="auto"/>
            <w:left w:val="none" w:sz="0" w:space="0" w:color="auto"/>
            <w:bottom w:val="none" w:sz="0" w:space="0" w:color="auto"/>
            <w:right w:val="none" w:sz="0" w:space="0" w:color="auto"/>
          </w:divBdr>
          <w:divsChild>
            <w:div w:id="1951281948">
              <w:marLeft w:val="0"/>
              <w:marRight w:val="0"/>
              <w:marTop w:val="0"/>
              <w:marBottom w:val="0"/>
              <w:divBdr>
                <w:top w:val="none" w:sz="0" w:space="0" w:color="auto"/>
                <w:left w:val="none" w:sz="0" w:space="0" w:color="auto"/>
                <w:bottom w:val="none" w:sz="0" w:space="0" w:color="auto"/>
                <w:right w:val="none" w:sz="0" w:space="0" w:color="auto"/>
              </w:divBdr>
              <w:divsChild>
                <w:div w:id="1749956575">
                  <w:marLeft w:val="0"/>
                  <w:marRight w:val="0"/>
                  <w:marTop w:val="0"/>
                  <w:marBottom w:val="0"/>
                  <w:divBdr>
                    <w:top w:val="none" w:sz="0" w:space="0" w:color="auto"/>
                    <w:left w:val="none" w:sz="0" w:space="0" w:color="auto"/>
                    <w:bottom w:val="none" w:sz="0" w:space="0" w:color="auto"/>
                    <w:right w:val="none" w:sz="0" w:space="0" w:color="auto"/>
                  </w:divBdr>
                </w:div>
              </w:divsChild>
            </w:div>
            <w:div w:id="297952629">
              <w:marLeft w:val="0"/>
              <w:marRight w:val="0"/>
              <w:marTop w:val="0"/>
              <w:marBottom w:val="0"/>
              <w:divBdr>
                <w:top w:val="none" w:sz="0" w:space="0" w:color="auto"/>
                <w:left w:val="none" w:sz="0" w:space="0" w:color="auto"/>
                <w:bottom w:val="none" w:sz="0" w:space="0" w:color="auto"/>
                <w:right w:val="none" w:sz="0" w:space="0" w:color="auto"/>
              </w:divBdr>
              <w:divsChild>
                <w:div w:id="1520268656">
                  <w:marLeft w:val="0"/>
                  <w:marRight w:val="0"/>
                  <w:marTop w:val="0"/>
                  <w:marBottom w:val="0"/>
                  <w:divBdr>
                    <w:top w:val="none" w:sz="0" w:space="0" w:color="auto"/>
                    <w:left w:val="none" w:sz="0" w:space="0" w:color="auto"/>
                    <w:bottom w:val="none" w:sz="0" w:space="0" w:color="auto"/>
                    <w:right w:val="none" w:sz="0" w:space="0" w:color="auto"/>
                  </w:divBdr>
                </w:div>
                <w:div w:id="2098019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0299477">
      <w:bodyDiv w:val="1"/>
      <w:marLeft w:val="0"/>
      <w:marRight w:val="0"/>
      <w:marTop w:val="0"/>
      <w:marBottom w:val="0"/>
      <w:divBdr>
        <w:top w:val="none" w:sz="0" w:space="0" w:color="auto"/>
        <w:left w:val="none" w:sz="0" w:space="0" w:color="auto"/>
        <w:bottom w:val="none" w:sz="0" w:space="0" w:color="auto"/>
        <w:right w:val="none" w:sz="0" w:space="0" w:color="auto"/>
      </w:divBdr>
      <w:divsChild>
        <w:div w:id="1681005376">
          <w:marLeft w:val="0"/>
          <w:marRight w:val="0"/>
          <w:marTop w:val="0"/>
          <w:marBottom w:val="0"/>
          <w:divBdr>
            <w:top w:val="none" w:sz="0" w:space="0" w:color="auto"/>
            <w:left w:val="none" w:sz="0" w:space="0" w:color="auto"/>
            <w:bottom w:val="none" w:sz="0" w:space="0" w:color="auto"/>
            <w:right w:val="none" w:sz="0" w:space="0" w:color="auto"/>
          </w:divBdr>
          <w:divsChild>
            <w:div w:id="1415126267">
              <w:marLeft w:val="0"/>
              <w:marRight w:val="0"/>
              <w:marTop w:val="0"/>
              <w:marBottom w:val="0"/>
              <w:divBdr>
                <w:top w:val="none" w:sz="0" w:space="0" w:color="auto"/>
                <w:left w:val="none" w:sz="0" w:space="0" w:color="auto"/>
                <w:bottom w:val="none" w:sz="0" w:space="0" w:color="auto"/>
                <w:right w:val="none" w:sz="0" w:space="0" w:color="auto"/>
              </w:divBdr>
              <w:divsChild>
                <w:div w:id="927926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1104922">
      <w:bodyDiv w:val="1"/>
      <w:marLeft w:val="0"/>
      <w:marRight w:val="0"/>
      <w:marTop w:val="0"/>
      <w:marBottom w:val="0"/>
      <w:divBdr>
        <w:top w:val="none" w:sz="0" w:space="0" w:color="auto"/>
        <w:left w:val="none" w:sz="0" w:space="0" w:color="auto"/>
        <w:bottom w:val="none" w:sz="0" w:space="0" w:color="auto"/>
        <w:right w:val="none" w:sz="0" w:space="0" w:color="auto"/>
      </w:divBdr>
    </w:div>
    <w:div w:id="2069185237">
      <w:bodyDiv w:val="1"/>
      <w:marLeft w:val="0"/>
      <w:marRight w:val="0"/>
      <w:marTop w:val="0"/>
      <w:marBottom w:val="0"/>
      <w:divBdr>
        <w:top w:val="none" w:sz="0" w:space="0" w:color="auto"/>
        <w:left w:val="none" w:sz="0" w:space="0" w:color="auto"/>
        <w:bottom w:val="none" w:sz="0" w:space="0" w:color="auto"/>
        <w:right w:val="none" w:sz="0" w:space="0" w:color="auto"/>
      </w:divBdr>
      <w:divsChild>
        <w:div w:id="1106001077">
          <w:marLeft w:val="0"/>
          <w:marRight w:val="0"/>
          <w:marTop w:val="0"/>
          <w:marBottom w:val="0"/>
          <w:divBdr>
            <w:top w:val="none" w:sz="0" w:space="0" w:color="auto"/>
            <w:left w:val="none" w:sz="0" w:space="0" w:color="auto"/>
            <w:bottom w:val="none" w:sz="0" w:space="0" w:color="auto"/>
            <w:right w:val="none" w:sz="0" w:space="0" w:color="auto"/>
          </w:divBdr>
          <w:divsChild>
            <w:div w:id="1877111464">
              <w:marLeft w:val="0"/>
              <w:marRight w:val="0"/>
              <w:marTop w:val="0"/>
              <w:marBottom w:val="0"/>
              <w:divBdr>
                <w:top w:val="none" w:sz="0" w:space="0" w:color="auto"/>
                <w:left w:val="none" w:sz="0" w:space="0" w:color="auto"/>
                <w:bottom w:val="none" w:sz="0" w:space="0" w:color="auto"/>
                <w:right w:val="none" w:sz="0" w:space="0" w:color="auto"/>
              </w:divBdr>
              <w:divsChild>
                <w:div w:id="1245802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8239142">
      <w:bodyDiv w:val="1"/>
      <w:marLeft w:val="0"/>
      <w:marRight w:val="0"/>
      <w:marTop w:val="0"/>
      <w:marBottom w:val="0"/>
      <w:divBdr>
        <w:top w:val="none" w:sz="0" w:space="0" w:color="auto"/>
        <w:left w:val="none" w:sz="0" w:space="0" w:color="auto"/>
        <w:bottom w:val="none" w:sz="0" w:space="0" w:color="auto"/>
        <w:right w:val="none" w:sz="0" w:space="0" w:color="auto"/>
      </w:divBdr>
    </w:div>
    <w:div w:id="2095861402">
      <w:bodyDiv w:val="1"/>
      <w:marLeft w:val="0"/>
      <w:marRight w:val="0"/>
      <w:marTop w:val="0"/>
      <w:marBottom w:val="0"/>
      <w:divBdr>
        <w:top w:val="none" w:sz="0" w:space="0" w:color="auto"/>
        <w:left w:val="none" w:sz="0" w:space="0" w:color="auto"/>
        <w:bottom w:val="none" w:sz="0" w:space="0" w:color="auto"/>
        <w:right w:val="none" w:sz="0" w:space="0" w:color="auto"/>
      </w:divBdr>
      <w:divsChild>
        <w:div w:id="687370955">
          <w:marLeft w:val="0"/>
          <w:marRight w:val="0"/>
          <w:marTop w:val="0"/>
          <w:marBottom w:val="0"/>
          <w:divBdr>
            <w:top w:val="none" w:sz="0" w:space="0" w:color="auto"/>
            <w:left w:val="none" w:sz="0" w:space="0" w:color="auto"/>
            <w:bottom w:val="none" w:sz="0" w:space="0" w:color="auto"/>
            <w:right w:val="none" w:sz="0" w:space="0" w:color="auto"/>
          </w:divBdr>
          <w:divsChild>
            <w:div w:id="1633124342">
              <w:marLeft w:val="0"/>
              <w:marRight w:val="0"/>
              <w:marTop w:val="0"/>
              <w:marBottom w:val="0"/>
              <w:divBdr>
                <w:top w:val="none" w:sz="0" w:space="0" w:color="auto"/>
                <w:left w:val="none" w:sz="0" w:space="0" w:color="auto"/>
                <w:bottom w:val="none" w:sz="0" w:space="0" w:color="auto"/>
                <w:right w:val="none" w:sz="0" w:space="0" w:color="auto"/>
              </w:divBdr>
              <w:divsChild>
                <w:div w:id="321355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713129">
      <w:bodyDiv w:val="1"/>
      <w:marLeft w:val="0"/>
      <w:marRight w:val="0"/>
      <w:marTop w:val="0"/>
      <w:marBottom w:val="0"/>
      <w:divBdr>
        <w:top w:val="none" w:sz="0" w:space="0" w:color="auto"/>
        <w:left w:val="none" w:sz="0" w:space="0" w:color="auto"/>
        <w:bottom w:val="none" w:sz="0" w:space="0" w:color="auto"/>
        <w:right w:val="none" w:sz="0" w:space="0" w:color="auto"/>
      </w:divBdr>
      <w:divsChild>
        <w:div w:id="355230066">
          <w:marLeft w:val="0"/>
          <w:marRight w:val="0"/>
          <w:marTop w:val="0"/>
          <w:marBottom w:val="0"/>
          <w:divBdr>
            <w:top w:val="none" w:sz="0" w:space="0" w:color="auto"/>
            <w:left w:val="none" w:sz="0" w:space="0" w:color="auto"/>
            <w:bottom w:val="none" w:sz="0" w:space="0" w:color="auto"/>
            <w:right w:val="none" w:sz="0" w:space="0" w:color="auto"/>
          </w:divBdr>
          <w:divsChild>
            <w:div w:id="1644001539">
              <w:marLeft w:val="0"/>
              <w:marRight w:val="0"/>
              <w:marTop w:val="0"/>
              <w:marBottom w:val="0"/>
              <w:divBdr>
                <w:top w:val="none" w:sz="0" w:space="0" w:color="auto"/>
                <w:left w:val="none" w:sz="0" w:space="0" w:color="auto"/>
                <w:bottom w:val="none" w:sz="0" w:space="0" w:color="auto"/>
                <w:right w:val="none" w:sz="0" w:space="0" w:color="auto"/>
              </w:divBdr>
              <w:divsChild>
                <w:div w:id="1753966962">
                  <w:marLeft w:val="0"/>
                  <w:marRight w:val="0"/>
                  <w:marTop w:val="0"/>
                  <w:marBottom w:val="0"/>
                  <w:divBdr>
                    <w:top w:val="none" w:sz="0" w:space="0" w:color="auto"/>
                    <w:left w:val="none" w:sz="0" w:space="0" w:color="auto"/>
                    <w:bottom w:val="none" w:sz="0" w:space="0" w:color="auto"/>
                    <w:right w:val="none" w:sz="0" w:space="0" w:color="auto"/>
                  </w:divBdr>
                  <w:divsChild>
                    <w:div w:id="556625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1.emf"/><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2.emf"/><Relationship Id="rId10" Type="http://schemas.openxmlformats.org/officeDocument/2006/relationships/header" Target="header2.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jpeg"/><Relationship Id="rId22" Type="http://schemas.openxmlformats.org/officeDocument/2006/relationships/image" Target="media/image11.png"/></Relationships>
</file>

<file path=word/_rels/footnotes.xml.rels><?xml version="1.0" encoding="UTF-8" standalone="yes"?>
<Relationships xmlns="http://schemas.openxmlformats.org/package/2006/relationships"><Relationship Id="rId13" Type="http://schemas.openxmlformats.org/officeDocument/2006/relationships/hyperlink" Target="https://www.energy.gov/ceser/hurricane-ida-situation-reports" TargetMode="External"/><Relationship Id="rId18" Type="http://schemas.openxmlformats.org/officeDocument/2006/relationships/hyperlink" Target="https://www.energy.gov/ceser/downloads/hurricane-michael-situation-reports-october-2018" TargetMode="External"/><Relationship Id="rId26" Type="http://schemas.openxmlformats.org/officeDocument/2006/relationships/hyperlink" Target="https://www.energy.gov/ceser/articles/hurricane-michael-situation-reports-october-2018" TargetMode="External"/><Relationship Id="rId39" Type="http://schemas.openxmlformats.org/officeDocument/2006/relationships/hyperlink" Target="https://www.hanwhasolutions.com/static/en/data/Hanwha_Solutions_Sustainability_Report_2023.pdf" TargetMode="External"/><Relationship Id="rId21" Type="http://schemas.openxmlformats.org/officeDocument/2006/relationships/hyperlink" Target="https://www.evainc.com/wp-content/uploads/2023/02/2023_02_23-EVA-Winter-Storm-Elliott-Report.pdf" TargetMode="External"/><Relationship Id="rId34" Type="http://schemas.openxmlformats.org/officeDocument/2006/relationships/hyperlink" Target="https://www.epa.gov/system/files/documents/2023-09/cprg_planning_grant_award_status.pdf" TargetMode="External"/><Relationship Id="rId42" Type="http://schemas.openxmlformats.org/officeDocument/2006/relationships/hyperlink" Target="https://www.southerncompany.com/content/dam/southerncompany/pdfs/about/governance/reports/CDP-Climate-Disclosure-2021.pdf" TargetMode="External"/><Relationship Id="rId47" Type="http://schemas.openxmlformats.org/officeDocument/2006/relationships/hyperlink" Target="https://www.energy.gov/lpo/energy-infrastructure-reinvestment" TargetMode="External"/><Relationship Id="rId7" Type="http://schemas.openxmlformats.org/officeDocument/2006/relationships/hyperlink" Target="https://resilience.climate.gov/datasets/d4090758322c4d32a4cd002ffaa0aa12_0/about" TargetMode="External"/><Relationship Id="rId2" Type="http://schemas.openxmlformats.org/officeDocument/2006/relationships/hyperlink" Target="https://acore.org/wp-content/uploads/2022/03/Advanced_Conductors_to_Accelerate_Grid_Decarbonization.pdf" TargetMode="External"/><Relationship Id="rId16" Type="http://schemas.openxmlformats.org/officeDocument/2006/relationships/hyperlink" Target="https://www.ferc.gov/media/february-2021-cold-weather-outages-texas-and-south-central-united-states-ferc-nerc-and" TargetMode="External"/><Relationship Id="rId29" Type="http://schemas.openxmlformats.org/officeDocument/2006/relationships/hyperlink" Target="https://www.eia.gov/special/disruptions/hurricane/michael/pdf/update_10122018.pdf" TargetMode="External"/><Relationship Id="rId11" Type="http://schemas.openxmlformats.org/officeDocument/2006/relationships/hyperlink" Target="https://www.ipcc.ch/report/ar6/wg1/" TargetMode="External"/><Relationship Id="rId24" Type="http://schemas.openxmlformats.org/officeDocument/2006/relationships/hyperlink" Target="https://www.lpm.org/news/2023-01-26/lg-e-ku-underestimated-energy-demand-ahead-of-winter-storm-elliott" TargetMode="External"/><Relationship Id="rId32" Type="http://schemas.openxmlformats.org/officeDocument/2006/relationships/hyperlink" Target="https://www.southerncompany.com/content/dam/southerncompany/sustainability/pdfs/net-zero-transition/esg-emissions-reduction-reporting-fact-sheet.pdf" TargetMode="External"/><Relationship Id="rId37" Type="http://schemas.openxmlformats.org/officeDocument/2006/relationships/hyperlink" Target="https://www.hyundai.com/content/hyundai/ww/data/csr/data/0000000051/attach/english/hmc-2023-sustainability-report-en-v5.pdf" TargetMode="External"/><Relationship Id="rId40" Type="http://schemas.openxmlformats.org/officeDocument/2006/relationships/hyperlink" Target="https://www.southerncompany.com/content/dam/southern-company/pdf/corpresponsibility/CDP-Climate-Disclosure-2019.pdf" TargetMode="External"/><Relationship Id="rId45" Type="http://schemas.openxmlformats.org/officeDocument/2006/relationships/hyperlink" Target="https://www.southerncompany.com/content/dam/southerncompany/sustainability/pdfs/2023-cdp-climate-change-disclosure.pdf" TargetMode="External"/><Relationship Id="rId5" Type="http://schemas.openxmlformats.org/officeDocument/2006/relationships/hyperlink" Target="https://www.energy.gov/sites/default/files/2023-12/43451_DOE_GDO_Needs_Study_Fact_Sheets_Southeast_Florida_v6_RELEASE_508_Compliant.pdf" TargetMode="External"/><Relationship Id="rId15" Type="http://schemas.openxmlformats.org/officeDocument/2006/relationships/hyperlink" Target="https://www.tdem.texas.gov/disasters/winter-storm-uri" TargetMode="External"/><Relationship Id="rId23" Type="http://schemas.openxmlformats.org/officeDocument/2006/relationships/hyperlink" Target="https://www.tva.com/newsroom/press-releases/tva-accepts-responsibility-starts-full-review" TargetMode="External"/><Relationship Id="rId28" Type="http://schemas.openxmlformats.org/officeDocument/2006/relationships/hyperlink" Target="https://subscriber.politicopro.com/article/eenews/2018/11/08/southern-cos-bill-for-hurricane-michael-may-hit-550m-036270" TargetMode="External"/><Relationship Id="rId36" Type="http://schemas.openxmlformats.org/officeDocument/2006/relationships/hyperlink" Target="https://www.ajc.com/news/solar-manufacturer-qcells-confirms-25-billion-georgia-expansion/4UQP6CMU3JFOBKF74K3UI56CVQ/" TargetMode="External"/><Relationship Id="rId49" Type="http://schemas.openxmlformats.org/officeDocument/2006/relationships/hyperlink" Target="https://www.energy.gov/sites/default/files/2023-12/Grid%20Liftoff%20Webinar%20Final.pdf" TargetMode="External"/><Relationship Id="rId10" Type="http://schemas.openxmlformats.org/officeDocument/2006/relationships/hyperlink" Target="https://www.ferc.gov/sites/default/files/2023-11/24_Winter-Storm_Elliot_1107_1300.pdf" TargetMode="External"/><Relationship Id="rId19" Type="http://schemas.openxmlformats.org/officeDocument/2006/relationships/hyperlink" Target="https://www.ncei.noaa.gov/access/billions/" TargetMode="External"/><Relationship Id="rId31" Type="http://schemas.openxmlformats.org/officeDocument/2006/relationships/hyperlink" Target="https://www.esig.energy/wp-content/uploads/2022/07/ESIG-Multi-Value-Transmission-Planning-report-2022a.pdf" TargetMode="External"/><Relationship Id="rId44" Type="http://schemas.openxmlformats.org/officeDocument/2006/relationships/hyperlink" Target="https://www.southerncompany.com/content/dam/southerncompany/sustainability/pdfs/2023-cdp-climate-change-disclosure.pdf" TargetMode="External"/><Relationship Id="rId4" Type="http://schemas.openxmlformats.org/officeDocument/2006/relationships/hyperlink" Target="https://www.energy.gov/sites/default/files/2023-12/National%20Transmission%20Needs%20Study%20-%20Final_2023.12.1.pdf" TargetMode="External"/><Relationship Id="rId9" Type="http://schemas.openxmlformats.org/officeDocument/2006/relationships/hyperlink" Target="https://www.michigan.gov/mpsc/commission/workgroups/2016-energy-legislation/integrated-resource-plan-filing-requirements-schedule" TargetMode="External"/><Relationship Id="rId14" Type="http://schemas.openxmlformats.org/officeDocument/2006/relationships/hyperlink" Target="https://www.energy.gov/ceser/hurricane-ida-situation-reports" TargetMode="External"/><Relationship Id="rId22" Type="http://schemas.openxmlformats.org/officeDocument/2006/relationships/hyperlink" Target="https://news.duke-energy.com/releases/duke-energy-updates-north-carolina-utilities-commission-on-winter-storm-elliott-emergency-outage-event" TargetMode="External"/><Relationship Id="rId27" Type="http://schemas.openxmlformats.org/officeDocument/2006/relationships/hyperlink" Target="https://www.georgiapower.com/company/safety/outages-and-stormcenter/after-a-storm/hurricane-michael.html" TargetMode="External"/><Relationship Id="rId30" Type="http://schemas.openxmlformats.org/officeDocument/2006/relationships/hyperlink" Target="https://acore.org/wp-content/uploads/2023/02/ACORE-The-Value-of-Transmission-During-Winter-Storm-Elliott.pdf" TargetMode="External"/><Relationship Id="rId35" Type="http://schemas.openxmlformats.org/officeDocument/2006/relationships/hyperlink" Target="https://epd.georgia.gov/georgia-climate-pollution-reduction-grant" TargetMode="External"/><Relationship Id="rId43" Type="http://schemas.openxmlformats.org/officeDocument/2006/relationships/hyperlink" Target="https://www.southerncompany.com/content/dam/southerncompany/sustainability/pdfs/2022_cdpclimatechangedisclosure.pdf" TargetMode="External"/><Relationship Id="rId48" Type="http://schemas.openxmlformats.org/officeDocument/2006/relationships/hyperlink" Target="https://www.energy.gov/gdo/federal-financing-tools" TargetMode="External"/><Relationship Id="rId8" Type="http://schemas.openxmlformats.org/officeDocument/2006/relationships/hyperlink" Target="https://www.cleanenergy.org/news-and-resources/sace-signed-comments-to-ferc-on-transmission-notice-of-proposed-rulemaking-nopr/" TargetMode="External"/><Relationship Id="rId3" Type="http://schemas.openxmlformats.org/officeDocument/2006/relationships/hyperlink" Target="https://www.energy.gov/sites/default/files/2023-12/Grid%20Liftoff%20Webinar%20Final.pdf" TargetMode="External"/><Relationship Id="rId12" Type="http://schemas.openxmlformats.org/officeDocument/2006/relationships/hyperlink" Target="https://www.eia.gov/todayinenergy/detail.php?id=49556" TargetMode="External"/><Relationship Id="rId17" Type="http://schemas.openxmlformats.org/officeDocument/2006/relationships/hyperlink" Target="https://www.eia.gov/todayinenergy/detail.php?id=37332" TargetMode="External"/><Relationship Id="rId25" Type="http://schemas.openxmlformats.org/officeDocument/2006/relationships/hyperlink" Target="https://www.pjm.com/-/media/library/reports-notices/special-reports/2023/20230717-winter-storm-elliott-event-analysis-and-recommendation-report.ashx" TargetMode="External"/><Relationship Id="rId33" Type="http://schemas.openxmlformats.org/officeDocument/2006/relationships/hyperlink" Target="https://www.c2es.org/document/climate-action-plans/" TargetMode="External"/><Relationship Id="rId38" Type="http://schemas.openxmlformats.org/officeDocument/2006/relationships/hyperlink" Target="https://www.lgensol.com/upload/file/sustainability/2022_LGES_ESG_Report_ENG_FF%5b0%5d.pdf" TargetMode="External"/><Relationship Id="rId46" Type="http://schemas.openxmlformats.org/officeDocument/2006/relationships/hyperlink" Target="https://www.cleanenergy.org/wp-content/uploads/Tracking-Decarbonization-in-the-Southeast-Fifth-Edition.pdf" TargetMode="External"/><Relationship Id="rId20" Type="http://schemas.openxmlformats.org/officeDocument/2006/relationships/hyperlink" Target="https://www.ncei.noaa.gov/access/billions/state-summary/GA" TargetMode="External"/><Relationship Id="rId41" Type="http://schemas.openxmlformats.org/officeDocument/2006/relationships/hyperlink" Target="https://www.southerncompany.com/content/dam/southerncompany/sustainability/pdfs/2020_CDPClimateChangeDisclosure.pdf" TargetMode="External"/><Relationship Id="rId1" Type="http://schemas.openxmlformats.org/officeDocument/2006/relationships/hyperlink" Target="https://docs.idahopower.com/pdfs/AboutUs/PlanningForFuture/irp/2023/2023-irp-final.pdf" TargetMode="External"/><Relationship Id="rId6" Type="http://schemas.openxmlformats.org/officeDocument/2006/relationships/hyperlink" Target="https://www.georgiapower.com/company/energy-industry/energy-sources/solar-energy/georgia-s-solar-energy.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BEA34B-F86C-4310-943B-6880B7927B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49</Pages>
  <Words>8330</Words>
  <Characters>47487</Characters>
  <Application>Microsoft Office Word</Application>
  <DocSecurity>0</DocSecurity>
  <Lines>395</Lines>
  <Paragraphs>111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55706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Ronald Binz</dc:creator>
  <cp:keywords/>
  <dc:description/>
  <cp:lastModifiedBy>Bryan Jacob</cp:lastModifiedBy>
  <cp:revision>3</cp:revision>
  <cp:lastPrinted>2024-02-15T17:52:00Z</cp:lastPrinted>
  <dcterms:created xsi:type="dcterms:W3CDTF">2024-02-15T17:52:00Z</dcterms:created>
  <dcterms:modified xsi:type="dcterms:W3CDTF">2024-02-15T17:54:00Z</dcterms:modified>
</cp:coreProperties>
</file>