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183EDAE7" w14:textId="77777777" w:rsidR="000B2605" w:rsidRDefault="000B2605" w:rsidP="000B2605"/>
    <w:p w14:paraId="3E608B90" w14:textId="77777777" w:rsidR="000B2605" w:rsidRDefault="000B2605" w:rsidP="000B2605">
      <w:pPr>
        <w:pStyle w:val="DefinitionList"/>
        <w:ind w:left="0"/>
      </w:pPr>
    </w:p>
    <w:p w14:paraId="18D6DD45" w14:textId="77777777" w:rsidR="000B2605" w:rsidRDefault="000B2605" w:rsidP="000B2605">
      <w:pPr>
        <w:pStyle w:val="DefinitionList"/>
      </w:pPr>
    </w:p>
    <w:p w14:paraId="05F35E43" w14:textId="77777777" w:rsidR="000B2605" w:rsidRDefault="000B2605" w:rsidP="000B2605">
      <w:pPr>
        <w:pStyle w:val="DefinitionList"/>
        <w:ind w:left="2880" w:hanging="2880"/>
        <w:contextualSpacing/>
        <w:rPr>
          <w:b/>
          <w:bCs/>
          <w:szCs w:val="24"/>
        </w:rPr>
      </w:pPr>
      <w:r>
        <w:rPr>
          <w:b/>
          <w:bCs/>
          <w:szCs w:val="24"/>
        </w:rPr>
        <w:t xml:space="preserve">DOCKET NO. 41559: </w:t>
      </w:r>
      <w:r>
        <w:rPr>
          <w:b/>
          <w:bCs/>
          <w:szCs w:val="24"/>
        </w:rPr>
        <w:tab/>
      </w:r>
      <w:r>
        <w:rPr>
          <w:b/>
        </w:rPr>
        <w:t>IN RE: ATLANTA GAS LIGHT COMPANY'S ECON-1 TARIFF</w:t>
      </w:r>
    </w:p>
    <w:p w14:paraId="6473DAAC" w14:textId="77777777" w:rsidR="000B2605" w:rsidRDefault="000B2605" w:rsidP="000B2605"/>
    <w:p w14:paraId="4B98EA60" w14:textId="77777777" w:rsidR="000B2605" w:rsidRDefault="000B2605" w:rsidP="000B2605">
      <w:pPr>
        <w:widowControl w:val="0"/>
        <w:snapToGrid w:val="0"/>
        <w:ind w:left="2880" w:hanging="2880"/>
        <w:contextualSpacing/>
        <w:rPr>
          <w:b/>
        </w:rPr>
      </w:pPr>
      <w:r>
        <w:rPr>
          <w:b/>
          <w:bCs/>
        </w:rPr>
        <w:t>DOCKET NO. 43510</w:t>
      </w:r>
      <w:r>
        <w:rPr>
          <w:b/>
          <w:bCs/>
        </w:rPr>
        <w:tab/>
        <w:t>ATLANTA GAS LIGHT COMPANY’S UNIVERSAL SERVICE FUND ANNUAL FACILITIES EXPANSION PLAN FILING</w:t>
      </w:r>
    </w:p>
    <w:p w14:paraId="44644250" w14:textId="77777777" w:rsidR="000B2605" w:rsidRDefault="000B2605" w:rsidP="000B2605">
      <w:pPr>
        <w:jc w:val="center"/>
        <w:rPr>
          <w:b/>
        </w:rPr>
      </w:pPr>
    </w:p>
    <w:p w14:paraId="5550BDF2" w14:textId="77777777" w:rsidR="000B2605" w:rsidRDefault="000B2605" w:rsidP="000B2605">
      <w:pPr>
        <w:jc w:val="center"/>
        <w:rPr>
          <w:b/>
        </w:rPr>
      </w:pPr>
    </w:p>
    <w:p w14:paraId="1593C050" w14:textId="77777777" w:rsidR="000B2605" w:rsidRDefault="000B2605" w:rsidP="000B2605">
      <w:pPr>
        <w:jc w:val="center"/>
        <w:rPr>
          <w:b/>
        </w:rPr>
      </w:pPr>
    </w:p>
    <w:p w14:paraId="604576E8" w14:textId="77777777" w:rsidR="000B2605" w:rsidRDefault="000B2605" w:rsidP="000B2605">
      <w:pPr>
        <w:jc w:val="center"/>
      </w:pPr>
      <w:r>
        <w:rPr>
          <w:b/>
          <w:bCs/>
        </w:rPr>
        <w:t xml:space="preserve">FINAL ORDER APPROVING JOINT MOTION OF STAFF AND ATLANTA GAS LIGHT COMPANY TO AMEND THE COMMISSION’S DECEMBER 27, 2024 ORDER </w:t>
      </w:r>
    </w:p>
    <w:p w14:paraId="63EF84CF" w14:textId="77777777" w:rsidR="000B2605" w:rsidRDefault="000B2605" w:rsidP="000B2605">
      <w:pPr>
        <w:rPr>
          <w:rFonts w:ascii="Arial" w:hAnsi="Arial" w:cs="Arial"/>
        </w:rPr>
      </w:pPr>
    </w:p>
    <w:p w14:paraId="76C6F3EE" w14:textId="77777777" w:rsidR="000B2605" w:rsidRDefault="000B2605" w:rsidP="000B2605">
      <w:pPr>
        <w:pStyle w:val="xmsonormal"/>
        <w:jc w:val="both"/>
        <w:rPr>
          <w:rFonts w:ascii="Times New Roman" w:hAnsi="Times New Roman" w:cs="Times New Roman"/>
          <w:sz w:val="24"/>
          <w:szCs w:val="24"/>
        </w:rPr>
      </w:pPr>
    </w:p>
    <w:p w14:paraId="4988DF88" w14:textId="77777777" w:rsidR="000B2605" w:rsidRDefault="000B2605" w:rsidP="000B2605">
      <w:pPr>
        <w:pStyle w:val="xmsonormal"/>
        <w:numPr>
          <w:ilvl w:val="0"/>
          <w:numId w:val="2"/>
        </w:numPr>
        <w:contextualSpacing/>
        <w:jc w:val="center"/>
        <w:rPr>
          <w:rFonts w:ascii="Times New Roman" w:hAnsi="Times New Roman" w:cs="Times New Roman"/>
          <w:b/>
          <w:sz w:val="24"/>
          <w:szCs w:val="24"/>
        </w:rPr>
      </w:pPr>
      <w:r>
        <w:rPr>
          <w:rFonts w:ascii="Times New Roman" w:hAnsi="Times New Roman" w:cs="Times New Roman"/>
          <w:b/>
          <w:sz w:val="24"/>
          <w:szCs w:val="24"/>
        </w:rPr>
        <w:t>Background</w:t>
      </w:r>
    </w:p>
    <w:p w14:paraId="22F437CE" w14:textId="77777777" w:rsidR="000B2605" w:rsidRDefault="000B2605" w:rsidP="000B2605">
      <w:pPr>
        <w:pStyle w:val="xmsonormal"/>
        <w:jc w:val="both"/>
        <w:rPr>
          <w:rFonts w:ascii="Times New Roman" w:hAnsi="Times New Roman" w:cs="Times New Roman"/>
          <w:sz w:val="24"/>
          <w:szCs w:val="24"/>
        </w:rPr>
      </w:pPr>
    </w:p>
    <w:p w14:paraId="0E0D93AF" w14:textId="77777777" w:rsidR="000B2605" w:rsidRDefault="000B2605" w:rsidP="000B2605">
      <w:pPr>
        <w:pStyle w:val="xmsonormal"/>
        <w:ind w:firstLine="720"/>
        <w:jc w:val="both"/>
        <w:rPr>
          <w:rFonts w:ascii="Times New Roman" w:hAnsi="Times New Roman" w:cs="Times New Roman"/>
          <w:sz w:val="24"/>
          <w:szCs w:val="24"/>
        </w:rPr>
      </w:pPr>
      <w:r>
        <w:rPr>
          <w:rFonts w:ascii="Times New Roman" w:hAnsi="Times New Roman" w:cs="Times New Roman"/>
          <w:sz w:val="24"/>
          <w:szCs w:val="24"/>
        </w:rPr>
        <w:t>On December 27, 2023, the Commission approved Atlanta Gas Light Company’s (“</w:t>
      </w:r>
      <w:r>
        <w:rPr>
          <w:rFonts w:ascii="Times New Roman" w:hAnsi="Times New Roman" w:cs="Times New Roman"/>
          <w:bCs/>
          <w:sz w:val="24"/>
          <w:szCs w:val="24"/>
        </w:rPr>
        <w:t>AGL”) Universal Service Fund (“USF”) 2024 Plan.</w:t>
      </w:r>
      <w:r>
        <w:rPr>
          <w:rFonts w:ascii="Times New Roman" w:hAnsi="Times New Roman" w:cs="Times New Roman"/>
          <w:sz w:val="24"/>
          <w:szCs w:val="24"/>
        </w:rPr>
        <w:t xml:space="preserve"> Section VIII (g), Commission Decision, on Page 20, and Section IX, Ordering Paragraphs, on page 21, stated the following:</w:t>
      </w:r>
    </w:p>
    <w:p w14:paraId="39E75CBE" w14:textId="77777777" w:rsidR="000B2605" w:rsidRDefault="000B2605" w:rsidP="000B2605">
      <w:pPr>
        <w:pStyle w:val="xmsonormal"/>
        <w:jc w:val="both"/>
        <w:rPr>
          <w:rFonts w:ascii="Times New Roman" w:hAnsi="Times New Roman" w:cs="Times New Roman"/>
          <w:sz w:val="24"/>
          <w:szCs w:val="24"/>
        </w:rPr>
      </w:pPr>
    </w:p>
    <w:p w14:paraId="7BDDB964" w14:textId="77777777" w:rsidR="000B2605" w:rsidRDefault="000B2605" w:rsidP="000B2605">
      <w:pPr>
        <w:pStyle w:val="ListParagraph"/>
        <w:ind w:right="720"/>
        <w:jc w:val="both"/>
        <w:rPr>
          <w:bCs/>
          <w:sz w:val="24"/>
          <w:szCs w:val="24"/>
        </w:rPr>
      </w:pPr>
      <w:r>
        <w:rPr>
          <w:bCs/>
          <w:snapToGrid w:val="0"/>
          <w:sz w:val="24"/>
          <w:szCs w:val="24"/>
        </w:rPr>
        <w:t>Commission denies AGL’s language in its October 2</w:t>
      </w:r>
      <w:r>
        <w:rPr>
          <w:bCs/>
          <w:snapToGrid w:val="0"/>
          <w:sz w:val="24"/>
          <w:szCs w:val="24"/>
          <w:vertAlign w:val="superscript"/>
        </w:rPr>
        <w:t>nd</w:t>
      </w:r>
      <w:r>
        <w:rPr>
          <w:bCs/>
          <w:snapToGrid w:val="0"/>
          <w:sz w:val="24"/>
          <w:szCs w:val="24"/>
        </w:rPr>
        <w:t xml:space="preserve"> petition third paragraph sentences 4 and 5 and the October 6</w:t>
      </w:r>
      <w:r>
        <w:rPr>
          <w:bCs/>
          <w:snapToGrid w:val="0"/>
          <w:sz w:val="24"/>
          <w:szCs w:val="24"/>
          <w:vertAlign w:val="superscript"/>
        </w:rPr>
        <w:t>th</w:t>
      </w:r>
      <w:r>
        <w:rPr>
          <w:bCs/>
          <w:snapToGrid w:val="0"/>
          <w:sz w:val="24"/>
          <w:szCs w:val="24"/>
        </w:rPr>
        <w:t xml:space="preserve"> petition third paragraph and third sentence and approved Staff’s language from the Commission Rule 515-7-5-.07(1)</w:t>
      </w:r>
      <w:r>
        <w:rPr>
          <w:bCs/>
          <w:sz w:val="24"/>
          <w:szCs w:val="24"/>
        </w:rPr>
        <w:t>, which states:</w:t>
      </w:r>
    </w:p>
    <w:p w14:paraId="041E1F67" w14:textId="77777777" w:rsidR="000B2605" w:rsidRDefault="000B2605" w:rsidP="000B2605">
      <w:pPr>
        <w:ind w:right="720"/>
        <w:contextualSpacing/>
        <w:jc w:val="both"/>
      </w:pPr>
    </w:p>
    <w:p w14:paraId="12A75F74" w14:textId="77777777" w:rsidR="000B2605" w:rsidRDefault="000B2605" w:rsidP="000B2605">
      <w:pPr>
        <w:ind w:left="1440" w:right="720"/>
        <w:contextualSpacing/>
        <w:jc w:val="both"/>
      </w:pPr>
      <w:r>
        <w:t>The disbursements to the EDC for completed projects will be for actual costs that are below the EDC's 5% budget cap for that Annual Plan year. The disbursements for completed projects will be limited to unencumbered funds in the USF. For any amounts that exceed the 5% budget cap or the unencumbered USF funds, those amounts will go into the EDC's rate base for ratemaking purposes.</w:t>
      </w:r>
    </w:p>
    <w:p w14:paraId="3A059EFC" w14:textId="77777777" w:rsidR="000B2605" w:rsidRDefault="000B2605" w:rsidP="000B2605">
      <w:pPr>
        <w:pStyle w:val="xmsonormal"/>
        <w:numPr>
          <w:ilvl w:val="0"/>
          <w:numId w:val="2"/>
        </w:num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Joint Motion of Staff and Atlanta Gas Light Company (“AGL”)</w:t>
      </w:r>
    </w:p>
    <w:p w14:paraId="04B10C15" w14:textId="77777777" w:rsidR="000B2605" w:rsidRDefault="000B2605" w:rsidP="000B2605">
      <w:pPr>
        <w:pStyle w:val="xmsonormal"/>
        <w:ind w:left="360"/>
        <w:contextualSpacing/>
        <w:rPr>
          <w:rFonts w:ascii="Times New Roman" w:hAnsi="Times New Roman" w:cs="Times New Roman"/>
          <w:sz w:val="24"/>
          <w:szCs w:val="24"/>
        </w:rPr>
      </w:pPr>
    </w:p>
    <w:p w14:paraId="17292FA3" w14:textId="77777777" w:rsidR="000B2605" w:rsidRDefault="000B2605" w:rsidP="000B2605">
      <w:pPr>
        <w:pStyle w:val="xmsonormal"/>
        <w:ind w:firstLine="720"/>
        <w:jc w:val="both"/>
        <w:rPr>
          <w:rFonts w:ascii="Times New Roman" w:hAnsi="Times New Roman" w:cs="Times New Roman"/>
          <w:sz w:val="24"/>
          <w:szCs w:val="24"/>
        </w:rPr>
      </w:pPr>
      <w:r>
        <w:rPr>
          <w:rFonts w:ascii="Times New Roman" w:hAnsi="Times New Roman" w:cs="Times New Roman"/>
          <w:sz w:val="24"/>
          <w:szCs w:val="24"/>
        </w:rPr>
        <w:t>After the Commission decision on this matter, the Georgia Public Service Commission (“Staff”) and AGL held discussions and collaborated on language that would better clarify the issues involved and reach a resolution. As a result of these discussions, the Staff and AGL agreed on the following new language to replace the language in Section VIII(g) and the Ordering paragraphs:</w:t>
      </w:r>
    </w:p>
    <w:p w14:paraId="221547EC" w14:textId="77777777" w:rsidR="000B2605" w:rsidRDefault="000B2605" w:rsidP="000B2605">
      <w:pPr>
        <w:pStyle w:val="xmsonormal"/>
        <w:ind w:left="360"/>
        <w:contextualSpacing/>
        <w:rPr>
          <w:rFonts w:ascii="Times New Roman" w:hAnsi="Times New Roman" w:cs="Times New Roman"/>
          <w:sz w:val="24"/>
          <w:szCs w:val="24"/>
        </w:rPr>
      </w:pPr>
    </w:p>
    <w:p w14:paraId="2574FC0E" w14:textId="77777777" w:rsidR="000B2605" w:rsidRDefault="000B2605" w:rsidP="000B2605">
      <w:pPr>
        <w:pStyle w:val="xmsonormal"/>
        <w:ind w:firstLine="720"/>
        <w:jc w:val="both"/>
        <w:rPr>
          <w:rFonts w:ascii="Times New Roman" w:hAnsi="Times New Roman" w:cs="Times New Roman"/>
          <w:sz w:val="24"/>
          <w:szCs w:val="24"/>
        </w:rPr>
      </w:pPr>
      <w:r>
        <w:rPr>
          <w:rFonts w:ascii="Times New Roman" w:hAnsi="Times New Roman" w:cs="Times New Roman"/>
          <w:sz w:val="24"/>
          <w:szCs w:val="24"/>
        </w:rPr>
        <w:t xml:space="preserve">Staff and AGL proposed replacing the current language with the following new language: </w:t>
      </w:r>
    </w:p>
    <w:p w14:paraId="13F67E54" w14:textId="77777777" w:rsidR="000B2605" w:rsidRDefault="000B2605" w:rsidP="000B2605"/>
    <w:p w14:paraId="72591CCD" w14:textId="77777777" w:rsidR="000B2605" w:rsidRDefault="000B2605" w:rsidP="000B2605">
      <w:pPr>
        <w:pStyle w:val="xmsonormal"/>
        <w:ind w:left="1440" w:right="720"/>
        <w:contextualSpacing/>
        <w:jc w:val="both"/>
        <w:rPr>
          <w:rFonts w:ascii="Times New Roman" w:hAnsi="Times New Roman" w:cs="Times New Roman"/>
          <w:sz w:val="24"/>
          <w:szCs w:val="24"/>
        </w:rPr>
      </w:pPr>
      <w:r>
        <w:rPr>
          <w:rFonts w:ascii="Times New Roman" w:hAnsi="Times New Roman" w:cs="Times New Roman"/>
          <w:sz w:val="24"/>
          <w:szCs w:val="24"/>
        </w:rPr>
        <w:t xml:space="preserve">Beginning with the 2024 and subsequent USF years until the Commission determines otherwise, USF capital expenditure recovery will adhere to Commission Rule 515-7-5-.07 and the accounting treatment set forth in this paragraph.  AGL will present project estimates for the Commission to use when determining and encumbering available USF dollars for the applicable fiscal year.  In accordance with Commission Rule 515-7-5-.07, AGL may recover from the USF all actual project costs expended in the aggregate at the end of the fiscal year, provided (1) total disbursements from the fund for that fiscal year will not exceed the $25 million statutory cap or 5 percent of the Company’s applicable capital budget, (2) there are unencumbered funds available in the USF, and (3) such costs are not otherwise deemed unreasonable or imprudent. If AGL uses its capital to fund actual costs that exceed available USF funds, such incremental capital investments shall be included in the GRAM model for base rate recovery but shall be tracked separately from, and shall not be considered a part of, any capital budget approved for the applicable Georgia Ratemaking Adjustment Mechanism (“GRAM”) process, and shall not be subject to any revenue requirement limitation agreed to for the year in which the costs were incurred. Such incremental capital investments and the associated revenue requirement shall be recovered through the GRAM processes or other normal ratemaking process without requiring an amendment to the Company’s Integrated Capacity and Delivery Plan and without the creation or use of a regulatory asset.  </w:t>
      </w:r>
    </w:p>
    <w:p w14:paraId="5FB2DED4" w14:textId="77777777" w:rsidR="000B2605" w:rsidRDefault="000B2605" w:rsidP="000B2605"/>
    <w:p w14:paraId="6C1B5CAE" w14:textId="77777777" w:rsidR="000B2605" w:rsidRDefault="000B2605" w:rsidP="000B2605">
      <w:pPr>
        <w:jc w:val="both"/>
      </w:pPr>
      <w:r>
        <w:tab/>
        <w:t xml:space="preserve">On January 10, 2024, the Joint Motion of Staff and AGL was filed requesting the new language to replace the language in the December 27, 2023 Final Order. </w:t>
      </w:r>
    </w:p>
    <w:p w14:paraId="70BF6E1A" w14:textId="77777777" w:rsidR="000B2605" w:rsidRDefault="000B2605" w:rsidP="000B2605">
      <w:pPr>
        <w:jc w:val="both"/>
      </w:pPr>
    </w:p>
    <w:p w14:paraId="7AEFD50D" w14:textId="77777777" w:rsidR="000B2605" w:rsidRDefault="000B2605" w:rsidP="000B2605">
      <w:pPr>
        <w:jc w:val="both"/>
      </w:pPr>
    </w:p>
    <w:p w14:paraId="5DCD4C6E" w14:textId="77777777" w:rsidR="000B2605" w:rsidRDefault="000B2605" w:rsidP="000B2605">
      <w:pPr>
        <w:pStyle w:val="ListParagraph"/>
        <w:numPr>
          <w:ilvl w:val="0"/>
          <w:numId w:val="2"/>
        </w:numPr>
        <w:jc w:val="center"/>
        <w:rPr>
          <w:b/>
          <w:sz w:val="24"/>
          <w:szCs w:val="24"/>
        </w:rPr>
      </w:pPr>
      <w:r>
        <w:rPr>
          <w:b/>
          <w:sz w:val="24"/>
          <w:szCs w:val="24"/>
        </w:rPr>
        <w:t>Commission Decision</w:t>
      </w:r>
    </w:p>
    <w:p w14:paraId="27FA09C7" w14:textId="77777777" w:rsidR="000B2605" w:rsidRDefault="000B2605" w:rsidP="000B2605">
      <w:pPr>
        <w:ind w:left="360"/>
        <w:jc w:val="both"/>
        <w:rPr>
          <w:b/>
        </w:rPr>
      </w:pPr>
    </w:p>
    <w:p w14:paraId="3E55EDC3" w14:textId="77777777" w:rsidR="000B2605" w:rsidRDefault="000B2605" w:rsidP="000B2605">
      <w:pPr>
        <w:ind w:firstLine="720"/>
        <w:jc w:val="both"/>
      </w:pPr>
      <w:r>
        <w:t xml:space="preserve">During the January 16, 2024 Administrative Session, the Commission approved the new language as a replacement of the language in the December 27, 2024 Final Order in Section VIII(g) and the Ordering paragraphs. </w:t>
      </w:r>
    </w:p>
    <w:p w14:paraId="018F1CD9" w14:textId="77777777" w:rsidR="000B2605" w:rsidRDefault="000B2605" w:rsidP="000B2605">
      <w:pPr>
        <w:ind w:firstLine="720"/>
        <w:jc w:val="both"/>
      </w:pPr>
    </w:p>
    <w:p w14:paraId="6A525D7D" w14:textId="77777777" w:rsidR="000B2605" w:rsidRDefault="000B2605" w:rsidP="000B2605">
      <w:pPr>
        <w:ind w:firstLine="720"/>
        <w:jc w:val="both"/>
      </w:pPr>
    </w:p>
    <w:p w14:paraId="74D96823" w14:textId="77777777" w:rsidR="000B2605" w:rsidRDefault="000B2605" w:rsidP="000B2605">
      <w:pPr>
        <w:jc w:val="both"/>
      </w:pPr>
    </w:p>
    <w:p w14:paraId="537D0950" w14:textId="77777777" w:rsidR="000B2605" w:rsidRDefault="000B2605" w:rsidP="000B2605">
      <w:pPr>
        <w:jc w:val="center"/>
      </w:pPr>
      <w:r>
        <w:lastRenderedPageBreak/>
        <w:t>*   *   *   *   *</w:t>
      </w:r>
    </w:p>
    <w:p w14:paraId="7EDB32FA" w14:textId="77777777" w:rsidR="000B2605" w:rsidRDefault="000B2605" w:rsidP="000B2605">
      <w:pPr>
        <w:ind w:firstLine="720"/>
        <w:jc w:val="both"/>
      </w:pPr>
    </w:p>
    <w:p w14:paraId="3A3F96C2" w14:textId="77777777" w:rsidR="000B2605" w:rsidRDefault="000B2605" w:rsidP="000B2605">
      <w:pPr>
        <w:pStyle w:val="ListParagraph"/>
        <w:numPr>
          <w:ilvl w:val="0"/>
          <w:numId w:val="2"/>
        </w:numPr>
        <w:jc w:val="center"/>
        <w:rPr>
          <w:b/>
          <w:sz w:val="24"/>
          <w:szCs w:val="24"/>
        </w:rPr>
      </w:pPr>
      <w:r>
        <w:rPr>
          <w:b/>
          <w:sz w:val="24"/>
          <w:szCs w:val="24"/>
        </w:rPr>
        <w:t>Ordering Paragraphs</w:t>
      </w:r>
    </w:p>
    <w:p w14:paraId="348766B8" w14:textId="77777777" w:rsidR="000B2605" w:rsidRDefault="000B2605" w:rsidP="000B2605">
      <w:pPr>
        <w:pStyle w:val="DefinitionTerm"/>
        <w:jc w:val="both"/>
      </w:pPr>
    </w:p>
    <w:p w14:paraId="497C7D4E" w14:textId="77777777" w:rsidR="000B2605" w:rsidRDefault="000B2605" w:rsidP="000B2605">
      <w:pPr>
        <w:ind w:firstLine="720"/>
        <w:contextualSpacing/>
        <w:jc w:val="both"/>
      </w:pPr>
      <w:r>
        <w:rPr>
          <w:b/>
        </w:rPr>
        <w:t xml:space="preserve">WHEREFORE IT IS </w:t>
      </w:r>
      <w:proofErr w:type="gramStart"/>
      <w:r>
        <w:rPr>
          <w:b/>
        </w:rPr>
        <w:t>ORDERED</w:t>
      </w:r>
      <w:r>
        <w:t>,</w:t>
      </w:r>
      <w:proofErr w:type="gramEnd"/>
      <w:r>
        <w:t xml:space="preserve"> that the Commission approves the Joint Motion of Staff and AGL.</w:t>
      </w:r>
    </w:p>
    <w:p w14:paraId="47DFF8B8" w14:textId="77777777" w:rsidR="000B2605" w:rsidRDefault="000B2605" w:rsidP="000B2605">
      <w:pPr>
        <w:ind w:firstLine="720"/>
        <w:jc w:val="both"/>
        <w:rPr>
          <w:b/>
        </w:rPr>
      </w:pPr>
    </w:p>
    <w:p w14:paraId="76558D72" w14:textId="77777777" w:rsidR="000B2605" w:rsidRDefault="000B2605" w:rsidP="000B2605">
      <w:pPr>
        <w:ind w:firstLine="720"/>
        <w:jc w:val="both"/>
      </w:pPr>
      <w:r>
        <w:rPr>
          <w:b/>
        </w:rPr>
        <w:t>ORDERED FURTHER</w:t>
      </w:r>
      <w:r>
        <w:t>, that the</w:t>
      </w:r>
      <w:r>
        <w:rPr>
          <w:b/>
        </w:rPr>
        <w:t xml:space="preserve"> </w:t>
      </w:r>
      <w:r>
        <w:t xml:space="preserve">Commission approves the new language as contained in the foregoing Section II of this Order as a replacement for the language in the December 27, 2024 Final Order in Section VIII(g) and the Ordering paragraphs. </w:t>
      </w:r>
    </w:p>
    <w:p w14:paraId="4B20501D" w14:textId="77777777" w:rsidR="000B2605" w:rsidRDefault="000B2605" w:rsidP="000B2605">
      <w:pPr>
        <w:ind w:firstLine="720"/>
        <w:jc w:val="both"/>
      </w:pPr>
    </w:p>
    <w:p w14:paraId="31AE528F" w14:textId="77777777" w:rsidR="000B2605" w:rsidRDefault="000B2605" w:rsidP="000B2605">
      <w:pPr>
        <w:jc w:val="both"/>
        <w:rPr>
          <w:b/>
        </w:rPr>
      </w:pPr>
    </w:p>
    <w:p w14:paraId="07A2129E" w14:textId="77777777" w:rsidR="000B2605" w:rsidRDefault="000B2605" w:rsidP="000B2605">
      <w:pPr>
        <w:ind w:firstLine="720"/>
        <w:jc w:val="both"/>
      </w:pPr>
      <w:r>
        <w:rPr>
          <w:b/>
        </w:rPr>
        <w:t xml:space="preserve">ORDERED FURTHER, </w:t>
      </w:r>
      <w:r>
        <w:t>that all findings, conclusions, statements, and directives made by the Commission and contained in the foregoing sections of this Order are hereby adopted as findings of fact, conclusions of law, statements of regulatory policy, and orders of this Commission.</w:t>
      </w:r>
    </w:p>
    <w:p w14:paraId="6FB0E2A1" w14:textId="77777777" w:rsidR="000B2605" w:rsidRDefault="000B2605" w:rsidP="000B2605">
      <w:pPr>
        <w:ind w:firstLine="720"/>
        <w:jc w:val="both"/>
      </w:pPr>
    </w:p>
    <w:p w14:paraId="6FF33345" w14:textId="77777777" w:rsidR="000B2605" w:rsidRDefault="000B2605" w:rsidP="000B2605">
      <w:pPr>
        <w:ind w:firstLine="720"/>
        <w:jc w:val="both"/>
      </w:pPr>
      <w:r>
        <w:rPr>
          <w:b/>
        </w:rPr>
        <w:t>ORDERED FURTHER,</w:t>
      </w:r>
      <w:r>
        <w:t xml:space="preserve"> that a motion for reconsideration, rehearing, or oral argument or any other motion shall not stay the effective date of this Order, unless otherwise ordered by the Commission.</w:t>
      </w:r>
    </w:p>
    <w:p w14:paraId="6002D6C6" w14:textId="77777777" w:rsidR="000B2605" w:rsidRDefault="000B2605" w:rsidP="000B2605">
      <w:pPr>
        <w:ind w:firstLine="720"/>
        <w:jc w:val="both"/>
      </w:pPr>
    </w:p>
    <w:p w14:paraId="67F65BBE" w14:textId="77777777" w:rsidR="000B2605" w:rsidRDefault="000B2605" w:rsidP="000B2605">
      <w:pPr>
        <w:pStyle w:val="DefinitionList"/>
        <w:ind w:left="0" w:firstLine="720"/>
        <w:contextualSpacing/>
        <w:jc w:val="both"/>
        <w:rPr>
          <w:b/>
          <w:bCs/>
          <w:szCs w:val="24"/>
        </w:rPr>
      </w:pPr>
      <w:r>
        <w:rPr>
          <w:b/>
          <w:bCs/>
          <w:szCs w:val="24"/>
        </w:rPr>
        <w:t>ORDERED FURTHER</w:t>
      </w:r>
      <w:r>
        <w:rPr>
          <w:bCs/>
          <w:szCs w:val="24"/>
        </w:rPr>
        <w:t>,</w:t>
      </w:r>
      <w:r>
        <w:rPr>
          <w:b/>
          <w:bCs/>
          <w:szCs w:val="24"/>
        </w:rPr>
        <w:t xml:space="preserve"> </w:t>
      </w:r>
      <w:r>
        <w:rPr>
          <w:bCs/>
          <w:szCs w:val="24"/>
        </w:rPr>
        <w:t xml:space="preserve">that jurisdiction over this matter is expressly retained for the purpose of entering such further Order or Orders as the Commission may deem just and proper. </w:t>
      </w:r>
    </w:p>
    <w:p w14:paraId="712A84DA" w14:textId="77777777" w:rsidR="000B2605" w:rsidRDefault="000B2605" w:rsidP="000B2605">
      <w:pPr>
        <w:pStyle w:val="DefinitionTerm"/>
        <w:jc w:val="both"/>
        <w:rPr>
          <w:b/>
          <w:bCs/>
          <w:szCs w:val="24"/>
        </w:rPr>
      </w:pPr>
    </w:p>
    <w:p w14:paraId="07379091" w14:textId="77777777" w:rsidR="000B2605" w:rsidRDefault="000B2605" w:rsidP="000B2605">
      <w:pPr>
        <w:pStyle w:val="DefinitionTerm"/>
      </w:pPr>
    </w:p>
    <w:p w14:paraId="79B1B768" w14:textId="77777777" w:rsidR="000B2605" w:rsidRDefault="000B2605" w:rsidP="000B2605">
      <w:pPr>
        <w:pStyle w:val="DefinitionList"/>
        <w:ind w:left="0" w:firstLine="720"/>
        <w:contextualSpacing/>
        <w:jc w:val="both"/>
        <w:rPr>
          <w:bCs/>
          <w:szCs w:val="24"/>
        </w:rPr>
      </w:pPr>
      <w:r>
        <w:rPr>
          <w:bCs/>
          <w:szCs w:val="24"/>
        </w:rPr>
        <w:t>The above by action of the Commission in Administrative Session on the</w:t>
      </w:r>
      <w:r>
        <w:rPr>
          <w:bCs/>
          <w:szCs w:val="24"/>
          <w:vertAlign w:val="superscript"/>
        </w:rPr>
        <w:t xml:space="preserve"> </w:t>
      </w:r>
      <w:r>
        <w:rPr>
          <w:bCs/>
          <w:szCs w:val="24"/>
        </w:rPr>
        <w:t>16</w:t>
      </w:r>
      <w:r>
        <w:rPr>
          <w:bCs/>
          <w:szCs w:val="24"/>
          <w:vertAlign w:val="superscript"/>
        </w:rPr>
        <w:t>th</w:t>
      </w:r>
      <w:r>
        <w:rPr>
          <w:bCs/>
          <w:szCs w:val="24"/>
        </w:rPr>
        <w:t xml:space="preserve"> day of January 2024.</w:t>
      </w:r>
    </w:p>
    <w:p w14:paraId="31D5FB7B" w14:textId="77777777" w:rsidR="000B2605" w:rsidRDefault="000B2605" w:rsidP="000B2605">
      <w:pPr>
        <w:pStyle w:val="DefinitionList"/>
        <w:jc w:val="both"/>
        <w:rPr>
          <w:szCs w:val="24"/>
        </w:rPr>
      </w:pPr>
    </w:p>
    <w:p w14:paraId="791D6A55" w14:textId="77777777" w:rsidR="000B2605" w:rsidRDefault="000B2605" w:rsidP="000B2605">
      <w:pPr>
        <w:pStyle w:val="DefinitionTerm"/>
        <w:jc w:val="both"/>
        <w:rPr>
          <w:szCs w:val="24"/>
        </w:rPr>
      </w:pPr>
    </w:p>
    <w:p w14:paraId="7885381C" w14:textId="77777777" w:rsidR="000B2605" w:rsidRDefault="000B2605" w:rsidP="000B2605">
      <w:pPr>
        <w:pStyle w:val="DefinitionTerm"/>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29C6867B" w14:textId="77777777" w:rsidR="000B2605" w:rsidRDefault="000B2605" w:rsidP="000B2605">
      <w:pPr>
        <w:pStyle w:val="DefinitionList"/>
        <w:ind w:left="0"/>
        <w:jc w:val="both"/>
        <w:rPr>
          <w:bCs/>
          <w:szCs w:val="24"/>
        </w:rPr>
      </w:pPr>
      <w:r>
        <w:rPr>
          <w:bCs/>
          <w:szCs w:val="24"/>
        </w:rPr>
        <w:t>Sallie Tanner</w:t>
      </w:r>
      <w:r>
        <w:rPr>
          <w:bCs/>
          <w:szCs w:val="24"/>
        </w:rPr>
        <w:tab/>
      </w:r>
      <w:r>
        <w:rPr>
          <w:bCs/>
          <w:szCs w:val="24"/>
        </w:rPr>
        <w:tab/>
      </w:r>
      <w:r>
        <w:rPr>
          <w:bCs/>
          <w:szCs w:val="24"/>
        </w:rPr>
        <w:tab/>
      </w:r>
      <w:r>
        <w:rPr>
          <w:bCs/>
          <w:szCs w:val="24"/>
        </w:rPr>
        <w:tab/>
      </w:r>
      <w:r>
        <w:rPr>
          <w:bCs/>
          <w:szCs w:val="24"/>
        </w:rPr>
        <w:tab/>
      </w:r>
      <w:r>
        <w:rPr>
          <w:bCs/>
          <w:szCs w:val="24"/>
        </w:rPr>
        <w:tab/>
      </w:r>
      <w:r>
        <w:rPr>
          <w:bCs/>
          <w:szCs w:val="24"/>
        </w:rPr>
        <w:tab/>
        <w:t>Jason Shaw</w:t>
      </w:r>
    </w:p>
    <w:p w14:paraId="4021DD59" w14:textId="77777777" w:rsidR="000B2605" w:rsidRDefault="000B2605" w:rsidP="000B2605">
      <w:pPr>
        <w:pStyle w:val="DefinitionTerm"/>
        <w:jc w:val="both"/>
        <w:rPr>
          <w:bCs/>
          <w:szCs w:val="24"/>
        </w:rPr>
      </w:pPr>
      <w:r>
        <w:rPr>
          <w:bCs/>
          <w:szCs w:val="24"/>
        </w:rPr>
        <w:t>Executive Secretary</w:t>
      </w:r>
      <w:r>
        <w:rPr>
          <w:bCs/>
          <w:szCs w:val="24"/>
        </w:rPr>
        <w:tab/>
      </w:r>
      <w:r>
        <w:rPr>
          <w:bCs/>
          <w:szCs w:val="24"/>
        </w:rPr>
        <w:tab/>
      </w:r>
      <w:r>
        <w:rPr>
          <w:bCs/>
          <w:szCs w:val="24"/>
        </w:rPr>
        <w:tab/>
      </w:r>
      <w:r>
        <w:rPr>
          <w:bCs/>
          <w:szCs w:val="24"/>
        </w:rPr>
        <w:tab/>
      </w:r>
      <w:r>
        <w:rPr>
          <w:bCs/>
          <w:szCs w:val="24"/>
        </w:rPr>
        <w:tab/>
      </w:r>
      <w:r>
        <w:rPr>
          <w:bCs/>
          <w:szCs w:val="24"/>
        </w:rPr>
        <w:tab/>
        <w:t>Chairman</w:t>
      </w:r>
    </w:p>
    <w:p w14:paraId="6E356FCD" w14:textId="77777777" w:rsidR="000B2605" w:rsidRDefault="000B2605" w:rsidP="000B2605">
      <w:pPr>
        <w:pStyle w:val="DefinitionList"/>
        <w:jc w:val="both"/>
      </w:pPr>
    </w:p>
    <w:p w14:paraId="130F0ED3" w14:textId="77777777" w:rsidR="000B2605" w:rsidRDefault="000B2605" w:rsidP="000B2605">
      <w:pPr>
        <w:pStyle w:val="DefinitionTerm"/>
        <w:jc w:val="both"/>
        <w:rPr>
          <w:szCs w:val="24"/>
          <w:u w:val="single"/>
        </w:rPr>
      </w:pPr>
    </w:p>
    <w:p w14:paraId="43B8782A" w14:textId="77777777" w:rsidR="000B2605" w:rsidRDefault="000B2605" w:rsidP="000B2605">
      <w:pPr>
        <w:pStyle w:val="DefinitionTerm"/>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16E6AFFD" w14:textId="77777777" w:rsidR="000B2605" w:rsidRDefault="000B2605" w:rsidP="000B2605">
      <w:pPr>
        <w:pStyle w:val="DefinitionList"/>
        <w:ind w:left="0"/>
        <w:jc w:val="both"/>
        <w:rPr>
          <w:bCs/>
        </w:rPr>
      </w:pPr>
      <w:r>
        <w:rPr>
          <w:bCs/>
        </w:rPr>
        <w:t>Date</w:t>
      </w:r>
      <w:r>
        <w:tab/>
      </w:r>
      <w:r>
        <w:tab/>
      </w:r>
      <w:r>
        <w:tab/>
      </w:r>
      <w:r>
        <w:tab/>
      </w:r>
      <w:r>
        <w:tab/>
      </w:r>
      <w:r>
        <w:tab/>
      </w:r>
      <w:r>
        <w:tab/>
      </w:r>
      <w:r>
        <w:tab/>
      </w:r>
      <w:proofErr w:type="spellStart"/>
      <w:r>
        <w:rPr>
          <w:bCs/>
        </w:rPr>
        <w:t>Date</w:t>
      </w:r>
      <w:proofErr w:type="spellEnd"/>
    </w:p>
    <w:p w14:paraId="2AFA3063" w14:textId="77777777" w:rsidR="000B2605" w:rsidRDefault="000B2605" w:rsidP="000B2605"/>
    <w:p w14:paraId="5B1F17A3" w14:textId="77777777" w:rsidR="000B2605" w:rsidRDefault="000B2605" w:rsidP="000B2605"/>
    <w:p w14:paraId="52DAA19A" w14:textId="77777777" w:rsidR="000B2605" w:rsidRDefault="000B2605" w:rsidP="000B2605">
      <w:pPr>
        <w:ind w:firstLine="720"/>
        <w:jc w:val="both"/>
      </w:pPr>
    </w:p>
    <w:p w14:paraId="28768589" w14:textId="77777777" w:rsidR="000B2605" w:rsidRDefault="000B2605" w:rsidP="000B2605">
      <w:pPr>
        <w:ind w:firstLine="720"/>
      </w:pPr>
    </w:p>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39660166" w14:textId="77777777" w:rsidR="009E6D0D" w:rsidRPr="009E6D0D" w:rsidRDefault="009E6D0D" w:rsidP="009E6D0D"/>
    <w:sectPr w:rsidR="009E6D0D" w:rsidRPr="009E6D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3263" w14:textId="77777777" w:rsidR="007A7EB7" w:rsidRDefault="007A7EB7" w:rsidP="007A7EB7">
      <w:r>
        <w:separator/>
      </w:r>
    </w:p>
  </w:endnote>
  <w:endnote w:type="continuationSeparator" w:id="0">
    <w:p w14:paraId="3F1088D1" w14:textId="77777777" w:rsidR="007A7EB7" w:rsidRDefault="007A7EB7" w:rsidP="007A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3B8" w14:textId="77777777" w:rsidR="007A7EB7" w:rsidRPr="007A7EB7" w:rsidRDefault="007A7EB7">
    <w:pPr>
      <w:pStyle w:val="Footer"/>
      <w:jc w:val="center"/>
      <w:rPr>
        <w:sz w:val="18"/>
        <w:szCs w:val="18"/>
      </w:rPr>
    </w:pPr>
    <w:r w:rsidRPr="007A7EB7">
      <w:rPr>
        <w:sz w:val="18"/>
        <w:szCs w:val="18"/>
      </w:rPr>
      <w:t>DN 43510 – DN 41559  Final Order on Joint Motion</w:t>
    </w:r>
  </w:p>
  <w:p w14:paraId="1F7D8183" w14:textId="686E941B" w:rsidR="007A7EB7" w:rsidRPr="007A7EB7" w:rsidRDefault="007A7EB7">
    <w:pPr>
      <w:pStyle w:val="Footer"/>
      <w:jc w:val="center"/>
      <w:rPr>
        <w:sz w:val="18"/>
        <w:szCs w:val="18"/>
      </w:rPr>
    </w:pPr>
    <w:r w:rsidRPr="007A7EB7">
      <w:rPr>
        <w:sz w:val="18"/>
        <w:szCs w:val="18"/>
      </w:rPr>
      <w:t xml:space="preserve">Page </w:t>
    </w:r>
    <w:r w:rsidRPr="007A7EB7">
      <w:rPr>
        <w:sz w:val="18"/>
        <w:szCs w:val="18"/>
      </w:rPr>
      <w:fldChar w:fldCharType="begin"/>
    </w:r>
    <w:r w:rsidRPr="007A7EB7">
      <w:rPr>
        <w:sz w:val="18"/>
        <w:szCs w:val="18"/>
      </w:rPr>
      <w:instrText xml:space="preserve"> PAGE  \* Arabic  \* MERGEFORMAT </w:instrText>
    </w:r>
    <w:r w:rsidRPr="007A7EB7">
      <w:rPr>
        <w:sz w:val="18"/>
        <w:szCs w:val="18"/>
      </w:rPr>
      <w:fldChar w:fldCharType="separate"/>
    </w:r>
    <w:r w:rsidRPr="007A7EB7">
      <w:rPr>
        <w:noProof/>
        <w:sz w:val="18"/>
        <w:szCs w:val="18"/>
      </w:rPr>
      <w:t>2</w:t>
    </w:r>
    <w:r w:rsidRPr="007A7EB7">
      <w:rPr>
        <w:sz w:val="18"/>
        <w:szCs w:val="18"/>
      </w:rPr>
      <w:fldChar w:fldCharType="end"/>
    </w:r>
    <w:r w:rsidRPr="007A7EB7">
      <w:rPr>
        <w:sz w:val="18"/>
        <w:szCs w:val="18"/>
      </w:rPr>
      <w:t xml:space="preserve"> of </w:t>
    </w:r>
    <w:r w:rsidRPr="007A7EB7">
      <w:rPr>
        <w:sz w:val="18"/>
        <w:szCs w:val="18"/>
      </w:rPr>
      <w:fldChar w:fldCharType="begin"/>
    </w:r>
    <w:r w:rsidRPr="007A7EB7">
      <w:rPr>
        <w:sz w:val="18"/>
        <w:szCs w:val="18"/>
      </w:rPr>
      <w:instrText xml:space="preserve"> NUMPAGES  \* Arabic  \* MERGEFORMAT </w:instrText>
    </w:r>
    <w:r w:rsidRPr="007A7EB7">
      <w:rPr>
        <w:sz w:val="18"/>
        <w:szCs w:val="18"/>
      </w:rPr>
      <w:fldChar w:fldCharType="separate"/>
    </w:r>
    <w:r w:rsidRPr="007A7EB7">
      <w:rPr>
        <w:noProof/>
        <w:sz w:val="18"/>
        <w:szCs w:val="18"/>
      </w:rPr>
      <w:t>2</w:t>
    </w:r>
    <w:r w:rsidRPr="007A7EB7">
      <w:rPr>
        <w:sz w:val="18"/>
        <w:szCs w:val="18"/>
      </w:rPr>
      <w:fldChar w:fldCharType="end"/>
    </w:r>
  </w:p>
  <w:p w14:paraId="4322DA9B" w14:textId="77777777" w:rsidR="007A7EB7" w:rsidRDefault="007A7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88F0" w14:textId="77777777" w:rsidR="007A7EB7" w:rsidRDefault="007A7EB7" w:rsidP="007A7EB7">
      <w:r>
        <w:separator/>
      </w:r>
    </w:p>
  </w:footnote>
  <w:footnote w:type="continuationSeparator" w:id="0">
    <w:p w14:paraId="1F84ADAE" w14:textId="77777777" w:rsidR="007A7EB7" w:rsidRDefault="007A7EB7" w:rsidP="007A7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B74C9B"/>
    <w:multiLevelType w:val="hybridMultilevel"/>
    <w:tmpl w:val="6BC863FA"/>
    <w:lvl w:ilvl="0" w:tplc="66AE947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88377376">
    <w:abstractNumId w:val="0"/>
  </w:num>
  <w:num w:numId="2" w16cid:durableId="58479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0B2605"/>
    <w:rsid w:val="0010753E"/>
    <w:rsid w:val="001078BC"/>
    <w:rsid w:val="0011770D"/>
    <w:rsid w:val="00170268"/>
    <w:rsid w:val="001704C0"/>
    <w:rsid w:val="001C4F42"/>
    <w:rsid w:val="001D0747"/>
    <w:rsid w:val="001F00F3"/>
    <w:rsid w:val="00237B30"/>
    <w:rsid w:val="00291C03"/>
    <w:rsid w:val="002A3D95"/>
    <w:rsid w:val="002A61FE"/>
    <w:rsid w:val="002B5184"/>
    <w:rsid w:val="002C6DD1"/>
    <w:rsid w:val="003A0D04"/>
    <w:rsid w:val="003B1182"/>
    <w:rsid w:val="003F2763"/>
    <w:rsid w:val="00467B71"/>
    <w:rsid w:val="00476AA2"/>
    <w:rsid w:val="0048564B"/>
    <w:rsid w:val="00494A05"/>
    <w:rsid w:val="004C622C"/>
    <w:rsid w:val="004D75CE"/>
    <w:rsid w:val="004D7BC6"/>
    <w:rsid w:val="00521687"/>
    <w:rsid w:val="00521FEE"/>
    <w:rsid w:val="005529E4"/>
    <w:rsid w:val="005F2927"/>
    <w:rsid w:val="005F7054"/>
    <w:rsid w:val="00611A1D"/>
    <w:rsid w:val="006465C2"/>
    <w:rsid w:val="00670AF6"/>
    <w:rsid w:val="00673564"/>
    <w:rsid w:val="006862E4"/>
    <w:rsid w:val="006952CD"/>
    <w:rsid w:val="006A4919"/>
    <w:rsid w:val="006A5FC2"/>
    <w:rsid w:val="006D6992"/>
    <w:rsid w:val="006E65D8"/>
    <w:rsid w:val="00761035"/>
    <w:rsid w:val="007A7EB7"/>
    <w:rsid w:val="007C40EE"/>
    <w:rsid w:val="007D1A4F"/>
    <w:rsid w:val="00810B63"/>
    <w:rsid w:val="0083075D"/>
    <w:rsid w:val="00886BED"/>
    <w:rsid w:val="00897E9B"/>
    <w:rsid w:val="008F38EF"/>
    <w:rsid w:val="00945A5F"/>
    <w:rsid w:val="009572C5"/>
    <w:rsid w:val="00994AB6"/>
    <w:rsid w:val="009A4D99"/>
    <w:rsid w:val="009A6D98"/>
    <w:rsid w:val="009E6D0D"/>
    <w:rsid w:val="00A958CB"/>
    <w:rsid w:val="00AF7496"/>
    <w:rsid w:val="00B11BEB"/>
    <w:rsid w:val="00BA2A06"/>
    <w:rsid w:val="00BC27C0"/>
    <w:rsid w:val="00BD2F2B"/>
    <w:rsid w:val="00C36999"/>
    <w:rsid w:val="00DC7E18"/>
    <w:rsid w:val="00DE40A2"/>
    <w:rsid w:val="00E112AD"/>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ListParagraph">
    <w:name w:val="List Paragraph"/>
    <w:basedOn w:val="Normal"/>
    <w:uiPriority w:val="34"/>
    <w:qFormat/>
    <w:rsid w:val="000B2605"/>
    <w:pPr>
      <w:ind w:left="720"/>
      <w:contextualSpacing/>
    </w:pPr>
    <w:rPr>
      <w:sz w:val="20"/>
      <w:szCs w:val="20"/>
    </w:rPr>
  </w:style>
  <w:style w:type="paragraph" w:customStyle="1" w:styleId="xmsonormal">
    <w:name w:val="x_msonormal"/>
    <w:basedOn w:val="Normal"/>
    <w:rsid w:val="000B2605"/>
    <w:rPr>
      <w:rFonts w:ascii="Calibri" w:eastAsiaTheme="minorHAnsi" w:hAnsi="Calibri" w:cs="Calibri"/>
      <w:sz w:val="22"/>
      <w:szCs w:val="22"/>
    </w:rPr>
  </w:style>
  <w:style w:type="paragraph" w:customStyle="1" w:styleId="DefinitionList">
    <w:name w:val="Definition List"/>
    <w:basedOn w:val="Normal"/>
    <w:next w:val="Normal"/>
    <w:rsid w:val="000B2605"/>
    <w:pPr>
      <w:widowControl w:val="0"/>
      <w:snapToGrid w:val="0"/>
      <w:ind w:left="360"/>
    </w:pPr>
    <w:rPr>
      <w:szCs w:val="20"/>
    </w:rPr>
  </w:style>
  <w:style w:type="paragraph" w:customStyle="1" w:styleId="DefinitionTerm">
    <w:name w:val="Definition Term"/>
    <w:basedOn w:val="Normal"/>
    <w:next w:val="DefinitionList"/>
    <w:rsid w:val="000B2605"/>
    <w:pPr>
      <w:widowControl w:val="0"/>
      <w:snapToGrid w:val="0"/>
    </w:pPr>
    <w:rPr>
      <w:szCs w:val="20"/>
    </w:rPr>
  </w:style>
  <w:style w:type="paragraph" w:styleId="Header">
    <w:name w:val="header"/>
    <w:basedOn w:val="Normal"/>
    <w:link w:val="HeaderChar"/>
    <w:uiPriority w:val="99"/>
    <w:unhideWhenUsed/>
    <w:rsid w:val="007A7EB7"/>
    <w:pPr>
      <w:tabs>
        <w:tab w:val="center" w:pos="4680"/>
        <w:tab w:val="right" w:pos="9360"/>
      </w:tabs>
    </w:pPr>
  </w:style>
  <w:style w:type="character" w:customStyle="1" w:styleId="HeaderChar">
    <w:name w:val="Header Char"/>
    <w:basedOn w:val="DefaultParagraphFont"/>
    <w:link w:val="Header"/>
    <w:uiPriority w:val="99"/>
    <w:rsid w:val="007A7E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7EB7"/>
    <w:pPr>
      <w:tabs>
        <w:tab w:val="center" w:pos="4680"/>
        <w:tab w:val="right" w:pos="9360"/>
      </w:tabs>
    </w:pPr>
  </w:style>
  <w:style w:type="character" w:customStyle="1" w:styleId="FooterChar">
    <w:name w:val="Footer Char"/>
    <w:basedOn w:val="DefaultParagraphFont"/>
    <w:link w:val="Footer"/>
    <w:uiPriority w:val="99"/>
    <w:rsid w:val="007A7E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Diana Cain</cp:lastModifiedBy>
  <cp:revision>2</cp:revision>
  <cp:lastPrinted>2023-07-19T17:45:00Z</cp:lastPrinted>
  <dcterms:created xsi:type="dcterms:W3CDTF">2024-01-19T17:09:00Z</dcterms:created>
  <dcterms:modified xsi:type="dcterms:W3CDTF">2024-01-19T17:09:00Z</dcterms:modified>
</cp:coreProperties>
</file>