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5" w:type="dxa"/>
        <w:jc w:val="center"/>
        <w:tblLayout w:type="fixed"/>
        <w:tblCellMar>
          <w:left w:w="84" w:type="dxa"/>
          <w:right w:w="84" w:type="dxa"/>
        </w:tblCellMar>
        <w:tblLook w:val="04A0" w:firstRow="1" w:lastRow="0" w:firstColumn="1" w:lastColumn="0" w:noHBand="0" w:noVBand="1"/>
      </w:tblPr>
      <w:tblGrid>
        <w:gridCol w:w="4357"/>
        <w:gridCol w:w="2970"/>
        <w:gridCol w:w="3728"/>
      </w:tblGrid>
      <w:tr w:rsidR="003F2763" w:rsidRPr="00611A1D" w14:paraId="53BD6692" w14:textId="77777777" w:rsidTr="008065F6">
        <w:trPr>
          <w:trHeight w:val="1681"/>
          <w:jc w:val="center"/>
        </w:trPr>
        <w:tc>
          <w:tcPr>
            <w:tcW w:w="4358" w:type="dxa"/>
            <w:hideMark/>
          </w:tcPr>
          <w:p w14:paraId="7C825C5E" w14:textId="77777777" w:rsidR="003F2763" w:rsidRPr="00611A1D" w:rsidRDefault="003F2763" w:rsidP="008065F6">
            <w:pPr>
              <w:spacing w:line="276" w:lineRule="auto"/>
              <w:rPr>
                <w:rStyle w:val="Strong"/>
                <w:sz w:val="20"/>
                <w:szCs w:val="20"/>
              </w:rPr>
            </w:pPr>
            <w:r w:rsidRPr="00611A1D">
              <w:rPr>
                <w:b/>
                <w:sz w:val="20"/>
                <w:szCs w:val="20"/>
              </w:rPr>
              <w:fldChar w:fldCharType="begin"/>
            </w:r>
            <w:r w:rsidRPr="00611A1D">
              <w:rPr>
                <w:b/>
                <w:sz w:val="20"/>
                <w:szCs w:val="20"/>
              </w:rPr>
              <w:instrText>PRIVATE</w:instrText>
            </w:r>
            <w:r w:rsidRPr="00611A1D">
              <w:rPr>
                <w:b/>
                <w:sz w:val="20"/>
                <w:szCs w:val="20"/>
              </w:rPr>
              <w:fldChar w:fldCharType="end"/>
            </w:r>
            <w:r w:rsidRPr="00611A1D">
              <w:rPr>
                <w:rStyle w:val="Strong"/>
                <w:sz w:val="20"/>
                <w:szCs w:val="20"/>
              </w:rPr>
              <w:t>COMMISSIONERS:</w:t>
            </w:r>
          </w:p>
          <w:p w14:paraId="301E7132" w14:textId="77777777" w:rsidR="00BA2A06" w:rsidRPr="00611A1D" w:rsidRDefault="00BA2A06" w:rsidP="008065F6">
            <w:pPr>
              <w:spacing w:line="276" w:lineRule="auto"/>
              <w:rPr>
                <w:rStyle w:val="Strong"/>
                <w:sz w:val="20"/>
                <w:szCs w:val="20"/>
              </w:rPr>
            </w:pPr>
          </w:p>
          <w:p w14:paraId="1AE94623" w14:textId="108492D5" w:rsidR="00E92FA4" w:rsidRPr="00611A1D" w:rsidRDefault="003A0D04" w:rsidP="008065F6">
            <w:pPr>
              <w:spacing w:line="276" w:lineRule="auto"/>
              <w:rPr>
                <w:rStyle w:val="Strong"/>
                <w:sz w:val="20"/>
                <w:szCs w:val="20"/>
              </w:rPr>
            </w:pPr>
            <w:r>
              <w:rPr>
                <w:rStyle w:val="Strong"/>
                <w:sz w:val="20"/>
                <w:szCs w:val="20"/>
              </w:rPr>
              <w:t>JASON SHAW</w:t>
            </w:r>
            <w:r w:rsidR="00994AB6" w:rsidRPr="00611A1D">
              <w:rPr>
                <w:rStyle w:val="Strong"/>
                <w:sz w:val="20"/>
                <w:szCs w:val="20"/>
              </w:rPr>
              <w:t xml:space="preserve">, Chairman </w:t>
            </w:r>
          </w:p>
          <w:p w14:paraId="02345E52" w14:textId="77777777" w:rsidR="001D0747" w:rsidRPr="00611A1D" w:rsidRDefault="00E92FA4" w:rsidP="0006325A">
            <w:pPr>
              <w:tabs>
                <w:tab w:val="right" w:pos="4189"/>
              </w:tabs>
              <w:spacing w:line="276" w:lineRule="auto"/>
              <w:rPr>
                <w:rStyle w:val="Strong"/>
                <w:sz w:val="20"/>
                <w:szCs w:val="20"/>
              </w:rPr>
            </w:pPr>
            <w:r w:rsidRPr="00611A1D">
              <w:rPr>
                <w:rStyle w:val="Strong"/>
                <w:sz w:val="20"/>
                <w:szCs w:val="20"/>
              </w:rPr>
              <w:t>TIM G. ECHOLS, Vice-Chairman</w:t>
            </w:r>
            <w:r w:rsidR="0006325A">
              <w:rPr>
                <w:rStyle w:val="Strong"/>
                <w:sz w:val="20"/>
                <w:szCs w:val="20"/>
              </w:rPr>
              <w:tab/>
              <w:t xml:space="preserve">   </w:t>
            </w:r>
          </w:p>
          <w:p w14:paraId="2E132CB5" w14:textId="77777777" w:rsidR="006862E4" w:rsidRPr="00611A1D" w:rsidRDefault="001D0747" w:rsidP="008065F6">
            <w:pPr>
              <w:spacing w:line="276" w:lineRule="auto"/>
              <w:rPr>
                <w:rStyle w:val="Strong"/>
                <w:sz w:val="20"/>
                <w:szCs w:val="20"/>
              </w:rPr>
            </w:pPr>
            <w:r w:rsidRPr="00611A1D">
              <w:rPr>
                <w:rStyle w:val="Strong"/>
                <w:sz w:val="20"/>
                <w:szCs w:val="20"/>
              </w:rPr>
              <w:t>FITZ JOHNSON</w:t>
            </w:r>
            <w:r w:rsidR="00994AB6" w:rsidRPr="00611A1D">
              <w:rPr>
                <w:rStyle w:val="Strong"/>
                <w:sz w:val="20"/>
                <w:szCs w:val="20"/>
              </w:rPr>
              <w:t xml:space="preserve"> </w:t>
            </w:r>
          </w:p>
          <w:p w14:paraId="30A6E915" w14:textId="1515A1A7" w:rsidR="003F2763" w:rsidRDefault="003F2763" w:rsidP="006862E4">
            <w:pPr>
              <w:spacing w:line="276" w:lineRule="auto"/>
            </w:pPr>
            <w:r w:rsidRPr="00611A1D">
              <w:rPr>
                <w:rStyle w:val="Strong"/>
                <w:sz w:val="20"/>
                <w:szCs w:val="20"/>
              </w:rPr>
              <w:t>LAU</w:t>
            </w:r>
            <w:r w:rsidR="00994AB6" w:rsidRPr="00611A1D">
              <w:rPr>
                <w:rStyle w:val="Strong"/>
                <w:sz w:val="20"/>
                <w:szCs w:val="20"/>
              </w:rPr>
              <w:t>REN “BUBBA” McDONALD</w:t>
            </w:r>
            <w:r w:rsidRPr="00611A1D">
              <w:rPr>
                <w:rStyle w:val="Strong"/>
                <w:sz w:val="20"/>
                <w:szCs w:val="20"/>
              </w:rPr>
              <w:t xml:space="preserve">                                  </w:t>
            </w:r>
            <w:r w:rsidRPr="00611A1D">
              <w:rPr>
                <w:b/>
                <w:sz w:val="20"/>
                <w:szCs w:val="20"/>
              </w:rPr>
              <w:br/>
            </w:r>
            <w:r w:rsidR="003A0D04">
              <w:rPr>
                <w:rStyle w:val="Strong"/>
                <w:sz w:val="20"/>
                <w:szCs w:val="20"/>
              </w:rPr>
              <w:t>TRICIA PRIDEMORE</w:t>
            </w:r>
            <w:r>
              <w:rPr>
                <w:rStyle w:val="Strong"/>
                <w:rFonts w:ascii="Arial Black" w:hAnsi="Arial Black"/>
                <w:sz w:val="16"/>
                <w:szCs w:val="16"/>
              </w:rPr>
              <w:t xml:space="preserve">                          </w:t>
            </w:r>
            <w:r>
              <w:rPr>
                <w:rFonts w:ascii="Arial Black" w:hAnsi="Arial Black"/>
                <w:b/>
                <w:sz w:val="16"/>
                <w:szCs w:val="16"/>
              </w:rPr>
              <w:br/>
            </w:r>
          </w:p>
        </w:tc>
        <w:tc>
          <w:tcPr>
            <w:tcW w:w="2970" w:type="dxa"/>
            <w:hideMark/>
          </w:tcPr>
          <w:p w14:paraId="0E48A67F" w14:textId="77777777" w:rsidR="003F2763" w:rsidRDefault="008F38EF" w:rsidP="001C4F42">
            <w:pPr>
              <w:tabs>
                <w:tab w:val="left" w:pos="1410"/>
              </w:tabs>
              <w:spacing w:line="276" w:lineRule="auto"/>
            </w:pPr>
            <w:r>
              <w:t xml:space="preserve"> </w:t>
            </w:r>
            <w:r w:rsidR="0006325A">
              <w:t xml:space="preserve">   </w:t>
            </w:r>
            <w:r w:rsidR="001F00F3" w:rsidRPr="00A958CB">
              <w:rPr>
                <w:noProof/>
              </w:rPr>
              <w:drawing>
                <wp:inline distT="0" distB="0" distL="0" distR="0" wp14:anchorId="6258780E" wp14:editId="7702A765">
                  <wp:extent cx="1226190" cy="11798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SC_seal_GOLD-single_color.png"/>
                          <pic:cNvPicPr/>
                        </pic:nvPicPr>
                        <pic:blipFill>
                          <a:blip r:embed="rId7" cstate="print">
                            <a:biLevel thresh="75000"/>
                            <a:extLst>
                              <a:ext uri="{BEBA8EAE-BF5A-486C-A8C5-ECC9F3942E4B}">
                                <a14:imgProps xmlns:a14="http://schemas.microsoft.com/office/drawing/2010/main">
                                  <a14:imgLayer r:embed="rId8">
                                    <a14:imgEffect>
                                      <a14:artisticCement/>
                                    </a14:imgEffect>
                                    <a14:imgEffect>
                                      <a14:colorTemperature colorTemp="59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65843" cy="1217984"/>
                          </a:xfrm>
                          <a:prstGeom prst="rect">
                            <a:avLst/>
                          </a:prstGeom>
                        </pic:spPr>
                      </pic:pic>
                    </a:graphicData>
                  </a:graphic>
                </wp:inline>
              </w:drawing>
            </w:r>
          </w:p>
        </w:tc>
        <w:tc>
          <w:tcPr>
            <w:tcW w:w="3728" w:type="dxa"/>
            <w:hideMark/>
          </w:tcPr>
          <w:p w14:paraId="1427FDC7" w14:textId="77777777" w:rsidR="00BA2A06" w:rsidRPr="00611A1D" w:rsidRDefault="00BA2A06" w:rsidP="00611A1D">
            <w:pPr>
              <w:spacing w:line="276" w:lineRule="auto"/>
              <w:rPr>
                <w:b/>
                <w:sz w:val="20"/>
                <w:szCs w:val="20"/>
              </w:rPr>
            </w:pPr>
          </w:p>
          <w:p w14:paraId="5D3F7224" w14:textId="77777777" w:rsidR="003F2763" w:rsidRPr="00611A1D" w:rsidRDefault="00467B71" w:rsidP="008065F6">
            <w:pPr>
              <w:spacing w:line="276" w:lineRule="auto"/>
              <w:jc w:val="right"/>
              <w:rPr>
                <w:b/>
                <w:sz w:val="20"/>
                <w:szCs w:val="20"/>
              </w:rPr>
            </w:pPr>
            <w:r w:rsidRPr="00611A1D">
              <w:rPr>
                <w:b/>
                <w:sz w:val="20"/>
                <w:szCs w:val="20"/>
              </w:rPr>
              <w:t>REECE McALISTER</w:t>
            </w:r>
            <w:r w:rsidR="003F2763" w:rsidRPr="00611A1D">
              <w:rPr>
                <w:b/>
                <w:sz w:val="20"/>
                <w:szCs w:val="20"/>
              </w:rPr>
              <w:t> </w:t>
            </w:r>
          </w:p>
          <w:p w14:paraId="660AA76B" w14:textId="77777777" w:rsidR="005529E4" w:rsidRPr="00611A1D" w:rsidRDefault="00467B71" w:rsidP="008065F6">
            <w:pPr>
              <w:spacing w:line="276" w:lineRule="auto"/>
              <w:jc w:val="right"/>
              <w:rPr>
                <w:b/>
                <w:sz w:val="20"/>
                <w:szCs w:val="20"/>
              </w:rPr>
            </w:pPr>
            <w:r w:rsidRPr="00611A1D">
              <w:rPr>
                <w:b/>
                <w:sz w:val="20"/>
                <w:szCs w:val="20"/>
              </w:rPr>
              <w:t>EXECUTIVE DIRECTOR</w:t>
            </w:r>
          </w:p>
          <w:p w14:paraId="41C593A1" w14:textId="77777777" w:rsidR="003F2763" w:rsidRPr="00611A1D" w:rsidRDefault="003F2763" w:rsidP="00467B71">
            <w:pPr>
              <w:spacing w:line="276" w:lineRule="auto"/>
              <w:jc w:val="right"/>
              <w:rPr>
                <w:sz w:val="20"/>
                <w:szCs w:val="20"/>
              </w:rPr>
            </w:pPr>
            <w:r w:rsidRPr="00611A1D">
              <w:rPr>
                <w:b/>
                <w:sz w:val="20"/>
                <w:szCs w:val="20"/>
              </w:rPr>
              <w:t xml:space="preserve"> </w:t>
            </w:r>
            <w:r w:rsidRPr="00611A1D">
              <w:rPr>
                <w:b/>
                <w:sz w:val="20"/>
                <w:szCs w:val="20"/>
              </w:rPr>
              <w:br/>
            </w:r>
            <w:r w:rsidR="00467B71" w:rsidRPr="00611A1D">
              <w:rPr>
                <w:b/>
                <w:sz w:val="20"/>
                <w:szCs w:val="20"/>
              </w:rPr>
              <w:t>SALLIE TANNER</w:t>
            </w:r>
            <w:r w:rsidRPr="00611A1D">
              <w:rPr>
                <w:b/>
                <w:sz w:val="20"/>
                <w:szCs w:val="20"/>
              </w:rPr>
              <w:br/>
              <w:t>EXECUTIVE SECRETARY</w:t>
            </w:r>
          </w:p>
        </w:tc>
      </w:tr>
      <w:tr w:rsidR="003F2763" w14:paraId="4F4DF02C" w14:textId="77777777" w:rsidTr="008065F6">
        <w:trPr>
          <w:trHeight w:val="772"/>
          <w:jc w:val="center"/>
        </w:trPr>
        <w:tc>
          <w:tcPr>
            <w:tcW w:w="11056" w:type="dxa"/>
            <w:gridSpan w:val="3"/>
            <w:hideMark/>
          </w:tcPr>
          <w:p w14:paraId="2414DC23" w14:textId="77777777" w:rsidR="003F2763" w:rsidRDefault="00897E9B" w:rsidP="0048564B">
            <w:pPr>
              <w:pStyle w:val="Heading1"/>
              <w:tabs>
                <w:tab w:val="left" w:pos="1410"/>
                <w:tab w:val="left" w:pos="5772"/>
              </w:tabs>
              <w:spacing w:line="276" w:lineRule="auto"/>
              <w:rPr>
                <w:rFonts w:ascii="Old English Text MT" w:hAnsi="Old English Text MT"/>
                <w:sz w:val="42"/>
              </w:rPr>
            </w:pPr>
            <w:r>
              <w:rPr>
                <w:rFonts w:ascii="Old English Text MT" w:hAnsi="Old English Text MT"/>
                <w:sz w:val="42"/>
              </w:rPr>
              <w:t xml:space="preserve">       </w:t>
            </w:r>
            <w:r w:rsidR="003F2763">
              <w:rPr>
                <w:rFonts w:ascii="Old English Text MT" w:hAnsi="Old English Text MT"/>
                <w:sz w:val="42"/>
              </w:rPr>
              <w:t>Georgia Public Service Commission</w:t>
            </w:r>
          </w:p>
        </w:tc>
      </w:tr>
      <w:tr w:rsidR="003F2763" w14:paraId="112B004E" w14:textId="77777777" w:rsidTr="008065F6">
        <w:trPr>
          <w:jc w:val="center"/>
        </w:trPr>
        <w:tc>
          <w:tcPr>
            <w:tcW w:w="4358" w:type="dxa"/>
            <w:hideMark/>
          </w:tcPr>
          <w:p w14:paraId="7C03B06E" w14:textId="77777777" w:rsidR="003F2763" w:rsidRDefault="003F2763" w:rsidP="008065F6">
            <w:pPr>
              <w:spacing w:line="276" w:lineRule="auto"/>
              <w:rPr>
                <w:rFonts w:cs="Arial"/>
                <w:b/>
                <w:bCs/>
                <w:sz w:val="17"/>
                <w:szCs w:val="17"/>
              </w:rPr>
            </w:pPr>
            <w:r>
              <w:rPr>
                <w:rFonts w:cs="Arial"/>
                <w:b/>
                <w:bCs/>
                <w:sz w:val="17"/>
                <w:szCs w:val="17"/>
              </w:rPr>
              <w:t>(404) 656-4501</w:t>
            </w:r>
          </w:p>
          <w:p w14:paraId="3494741B" w14:textId="77777777" w:rsidR="003F2763" w:rsidRDefault="003F2763" w:rsidP="008065F6">
            <w:pPr>
              <w:spacing w:line="276" w:lineRule="auto"/>
              <w:rPr>
                <w:rFonts w:cs="Arial"/>
                <w:b/>
                <w:bCs/>
              </w:rPr>
            </w:pPr>
            <w:r>
              <w:rPr>
                <w:rFonts w:cs="Arial"/>
                <w:b/>
                <w:bCs/>
                <w:sz w:val="17"/>
                <w:szCs w:val="17"/>
              </w:rPr>
              <w:t>(800) 282-5813</w:t>
            </w:r>
          </w:p>
        </w:tc>
        <w:tc>
          <w:tcPr>
            <w:tcW w:w="2970" w:type="dxa"/>
            <w:hideMark/>
          </w:tcPr>
          <w:p w14:paraId="3E370B4C" w14:textId="77777777" w:rsidR="003F2763" w:rsidRDefault="003F2763" w:rsidP="0048564B">
            <w:pPr>
              <w:tabs>
                <w:tab w:val="left" w:pos="1410"/>
              </w:tabs>
              <w:spacing w:line="276" w:lineRule="auto"/>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728" w:type="dxa"/>
            <w:hideMark/>
          </w:tcPr>
          <w:p w14:paraId="60B93421" w14:textId="77777777" w:rsidR="0011770D" w:rsidRDefault="0011770D" w:rsidP="0011770D">
            <w:pPr>
              <w:spacing w:line="276" w:lineRule="auto"/>
              <w:jc w:val="right"/>
              <w:rPr>
                <w:rFonts w:cs="Arial"/>
                <w:b/>
                <w:bCs/>
                <w:sz w:val="17"/>
                <w:szCs w:val="17"/>
              </w:rPr>
            </w:pPr>
            <w:r>
              <w:rPr>
                <w:rFonts w:cs="Arial"/>
                <w:b/>
                <w:bCs/>
                <w:sz w:val="17"/>
                <w:szCs w:val="17"/>
              </w:rPr>
              <w:t xml:space="preserve">FAX: </w:t>
            </w:r>
            <w:r w:rsidR="003F2763">
              <w:rPr>
                <w:rFonts w:cs="Arial"/>
                <w:b/>
                <w:bCs/>
                <w:sz w:val="17"/>
                <w:szCs w:val="17"/>
              </w:rPr>
              <w:t xml:space="preserve">(404) 656-2341                   </w:t>
            </w:r>
          </w:p>
          <w:p w14:paraId="3C11C7CE" w14:textId="77777777" w:rsidR="003F2763" w:rsidRDefault="003F2763" w:rsidP="0011770D">
            <w:pPr>
              <w:spacing w:line="276" w:lineRule="auto"/>
              <w:jc w:val="right"/>
              <w:rPr>
                <w:rFonts w:cs="Arial"/>
                <w:b/>
                <w:bCs/>
              </w:rPr>
            </w:pPr>
            <w:r>
              <w:rPr>
                <w:rFonts w:cs="Arial"/>
                <w:b/>
                <w:bCs/>
                <w:sz w:val="17"/>
                <w:szCs w:val="17"/>
              </w:rPr>
              <w:t>psc.ga.</w:t>
            </w:r>
            <w:r w:rsidR="0011770D">
              <w:rPr>
                <w:rFonts w:cs="Arial"/>
                <w:b/>
                <w:bCs/>
                <w:sz w:val="17"/>
                <w:szCs w:val="17"/>
              </w:rPr>
              <w:t>gov</w:t>
            </w:r>
          </w:p>
        </w:tc>
      </w:tr>
      <w:tr w:rsidR="0011770D" w14:paraId="4CC70E55" w14:textId="77777777" w:rsidTr="008065F6">
        <w:trPr>
          <w:jc w:val="center"/>
        </w:trPr>
        <w:tc>
          <w:tcPr>
            <w:tcW w:w="4358" w:type="dxa"/>
          </w:tcPr>
          <w:p w14:paraId="39B77B57" w14:textId="77777777" w:rsidR="0011770D" w:rsidRDefault="0011770D" w:rsidP="008065F6">
            <w:pPr>
              <w:spacing w:line="276" w:lineRule="auto"/>
              <w:rPr>
                <w:rFonts w:cs="Arial"/>
                <w:b/>
                <w:bCs/>
                <w:sz w:val="17"/>
                <w:szCs w:val="17"/>
              </w:rPr>
            </w:pPr>
          </w:p>
        </w:tc>
        <w:tc>
          <w:tcPr>
            <w:tcW w:w="2970" w:type="dxa"/>
          </w:tcPr>
          <w:p w14:paraId="4F038BA0" w14:textId="77777777" w:rsidR="0011770D" w:rsidRDefault="0011770D" w:rsidP="0048564B">
            <w:pPr>
              <w:tabs>
                <w:tab w:val="left" w:pos="1410"/>
              </w:tabs>
              <w:spacing w:line="276" w:lineRule="auto"/>
              <w:jc w:val="center"/>
              <w:rPr>
                <w:rFonts w:cs="Arial"/>
                <w:b/>
                <w:sz w:val="17"/>
                <w:szCs w:val="17"/>
              </w:rPr>
            </w:pPr>
          </w:p>
        </w:tc>
        <w:tc>
          <w:tcPr>
            <w:tcW w:w="3728" w:type="dxa"/>
          </w:tcPr>
          <w:p w14:paraId="56105CDB" w14:textId="77777777" w:rsidR="0011770D" w:rsidRDefault="0011770D" w:rsidP="0011770D">
            <w:pPr>
              <w:spacing w:line="276" w:lineRule="auto"/>
              <w:jc w:val="right"/>
              <w:rPr>
                <w:rFonts w:cs="Arial"/>
                <w:b/>
                <w:bCs/>
                <w:sz w:val="17"/>
                <w:szCs w:val="17"/>
              </w:rPr>
            </w:pPr>
          </w:p>
        </w:tc>
      </w:tr>
    </w:tbl>
    <w:p w14:paraId="0B7DA561" w14:textId="77777777" w:rsidR="003F2763" w:rsidRDefault="003F2763" w:rsidP="003F2763">
      <w:pPr>
        <w:rPr>
          <w:color w:val="FF0000"/>
        </w:rPr>
      </w:pPr>
    </w:p>
    <w:p w14:paraId="6E3E2D30" w14:textId="77777777" w:rsidR="003F2763" w:rsidRDefault="003F2763" w:rsidP="003F2763">
      <w:pPr>
        <w:pStyle w:val="Heading1"/>
      </w:pPr>
    </w:p>
    <w:p w14:paraId="014A73DF" w14:textId="77777777" w:rsidR="00C443F5" w:rsidRPr="00C443F5" w:rsidRDefault="00C443F5" w:rsidP="00C443F5">
      <w:pPr>
        <w:widowControl w:val="0"/>
        <w:ind w:left="2880" w:hanging="2880"/>
        <w:contextualSpacing/>
        <w:rPr>
          <w:b/>
          <w:bCs/>
          <w:snapToGrid w:val="0"/>
        </w:rPr>
      </w:pPr>
      <w:r w:rsidRPr="00C443F5">
        <w:rPr>
          <w:b/>
          <w:bCs/>
          <w:snapToGrid w:val="0"/>
        </w:rPr>
        <w:t xml:space="preserve">DOCKET NO. 41559: </w:t>
      </w:r>
      <w:r w:rsidRPr="00C443F5">
        <w:rPr>
          <w:b/>
          <w:bCs/>
          <w:snapToGrid w:val="0"/>
        </w:rPr>
        <w:tab/>
      </w:r>
      <w:r w:rsidRPr="00C443F5">
        <w:rPr>
          <w:b/>
          <w:snapToGrid w:val="0"/>
          <w:szCs w:val="20"/>
        </w:rPr>
        <w:t>IN RE: ATLANTA GAS LIGHT COMPANY'S ECON-1 TARIFF</w:t>
      </w:r>
    </w:p>
    <w:p w14:paraId="204BE14B" w14:textId="77777777" w:rsidR="00C443F5" w:rsidRPr="00C443F5" w:rsidRDefault="00C443F5" w:rsidP="00C443F5">
      <w:pPr>
        <w:spacing w:after="200"/>
        <w:contextualSpacing/>
        <w:rPr>
          <w:snapToGrid w:val="0"/>
        </w:rPr>
      </w:pPr>
    </w:p>
    <w:p w14:paraId="1A0EC554" w14:textId="77777777" w:rsidR="00C443F5" w:rsidRPr="00C443F5" w:rsidRDefault="00C443F5" w:rsidP="00C443F5">
      <w:pPr>
        <w:widowControl w:val="0"/>
        <w:snapToGrid w:val="0"/>
        <w:ind w:left="2880" w:hanging="2880"/>
        <w:contextualSpacing/>
        <w:rPr>
          <w:b/>
        </w:rPr>
      </w:pPr>
      <w:r w:rsidRPr="00C443F5">
        <w:rPr>
          <w:b/>
          <w:bCs/>
        </w:rPr>
        <w:t>DOCKET NO. 43510</w:t>
      </w:r>
      <w:r w:rsidRPr="00C443F5">
        <w:rPr>
          <w:b/>
          <w:bCs/>
        </w:rPr>
        <w:tab/>
        <w:t>ATLANTA GAS LIGHT COMPANY’S UNIVERSAL SERVICE FUND ANNUAL FACILITIES EXPANSION PLAN FILING</w:t>
      </w:r>
    </w:p>
    <w:p w14:paraId="43B4E6A5" w14:textId="77777777" w:rsidR="00C443F5" w:rsidRPr="00C443F5" w:rsidRDefault="00C443F5" w:rsidP="00C443F5">
      <w:pPr>
        <w:spacing w:after="200"/>
        <w:contextualSpacing/>
        <w:jc w:val="center"/>
        <w:rPr>
          <w:b/>
          <w:snapToGrid w:val="0"/>
        </w:rPr>
      </w:pPr>
    </w:p>
    <w:p w14:paraId="0E010FD7" w14:textId="77777777" w:rsidR="00C443F5" w:rsidRPr="00C443F5" w:rsidRDefault="00C443F5" w:rsidP="00C443F5">
      <w:pPr>
        <w:spacing w:after="200"/>
        <w:contextualSpacing/>
        <w:jc w:val="center"/>
        <w:rPr>
          <w:b/>
          <w:snapToGrid w:val="0"/>
        </w:rPr>
      </w:pPr>
    </w:p>
    <w:p w14:paraId="59C95643" w14:textId="77777777" w:rsidR="00C443F5" w:rsidRPr="00C443F5" w:rsidRDefault="00C443F5" w:rsidP="00C443F5">
      <w:pPr>
        <w:spacing w:after="200"/>
        <w:contextualSpacing/>
        <w:jc w:val="center"/>
        <w:rPr>
          <w:b/>
          <w:snapToGrid w:val="0"/>
        </w:rPr>
      </w:pPr>
      <w:r w:rsidRPr="00C443F5">
        <w:rPr>
          <w:b/>
          <w:bCs/>
          <w:snapToGrid w:val="0"/>
        </w:rPr>
        <w:t>FINAL ORDER APPROVING ATLANTA GAS LIGHT COMPANY’S 2024 UNIVERSAL SERVICE FUND FACILITIES EXPANSION PLAN</w:t>
      </w:r>
    </w:p>
    <w:p w14:paraId="1BFF3A29" w14:textId="77777777" w:rsidR="00C443F5" w:rsidRPr="00C443F5" w:rsidRDefault="00C443F5" w:rsidP="00C443F5">
      <w:pPr>
        <w:spacing w:after="200"/>
        <w:contextualSpacing/>
        <w:jc w:val="center"/>
        <w:rPr>
          <w:b/>
          <w:snapToGrid w:val="0"/>
        </w:rPr>
      </w:pPr>
    </w:p>
    <w:p w14:paraId="2966E700" w14:textId="77777777" w:rsidR="00C443F5" w:rsidRPr="00C443F5" w:rsidRDefault="00C443F5" w:rsidP="00C443F5">
      <w:pPr>
        <w:numPr>
          <w:ilvl w:val="0"/>
          <w:numId w:val="2"/>
        </w:numPr>
        <w:spacing w:after="200"/>
        <w:contextualSpacing/>
        <w:jc w:val="center"/>
        <w:rPr>
          <w:b/>
        </w:rPr>
      </w:pPr>
      <w:bookmarkStart w:id="0" w:name="_Hlk29978879"/>
      <w:r w:rsidRPr="00C443F5">
        <w:rPr>
          <w:b/>
        </w:rPr>
        <w:t>Background</w:t>
      </w:r>
    </w:p>
    <w:p w14:paraId="6BB8B600" w14:textId="77777777" w:rsidR="00C443F5" w:rsidRPr="00C443F5" w:rsidRDefault="00C443F5" w:rsidP="00C443F5">
      <w:pPr>
        <w:widowControl w:val="0"/>
        <w:spacing w:after="200"/>
        <w:contextualSpacing/>
        <w:rPr>
          <w:snapToGrid w:val="0"/>
          <w:szCs w:val="20"/>
        </w:rPr>
      </w:pPr>
    </w:p>
    <w:p w14:paraId="282B1763" w14:textId="77777777" w:rsidR="00C443F5" w:rsidRPr="00C443F5" w:rsidRDefault="00C443F5" w:rsidP="00C443F5">
      <w:pPr>
        <w:widowControl w:val="0"/>
        <w:spacing w:after="200"/>
        <w:ind w:firstLine="720"/>
        <w:contextualSpacing/>
      </w:pPr>
      <w:r w:rsidRPr="00C443F5">
        <w:t>Commission Rule 515-7-5-.02 states that, consistent with O.C.G.A. §</w:t>
      </w:r>
      <w:hyperlink r:id="rId9" w:tgtFrame="_newtab" w:history="1">
        <w:r w:rsidRPr="00C443F5">
          <w:rPr>
            <w:u w:val="single"/>
          </w:rPr>
          <w:t>46-4-161</w:t>
        </w:r>
      </w:hyperlink>
      <w:r w:rsidRPr="00C443F5">
        <w:t>, the Commission is authorized to create and establish regulations to administer a universal service fund for each gas company that elects to become subject to the provisions of Article 5 of Chapter 4 of Title 46 of the Official Code of Georgia Annotated, and which satisfies the requirements of O.C.G.A. §</w:t>
      </w:r>
      <w:hyperlink r:id="rId10" w:tgtFrame="_newtab" w:history="1">
        <w:r w:rsidRPr="00C443F5">
          <w:rPr>
            <w:u w:val="single"/>
          </w:rPr>
          <w:t>46-4-154</w:t>
        </w:r>
      </w:hyperlink>
      <w:r w:rsidRPr="00C443F5">
        <w:t xml:space="preserve">. With respect to each such gas company, which is also termed an "electing distribution company" under the Natural Gas Competition and Deregulation Act, the Commission is charged with </w:t>
      </w:r>
      <w:proofErr w:type="gramStart"/>
      <w:r w:rsidRPr="00C443F5">
        <w:t>making a determination</w:t>
      </w:r>
      <w:proofErr w:type="gramEnd"/>
      <w:r w:rsidRPr="00C443F5">
        <w:t xml:space="preserve"> prior to the commencement of the electing distribution company's fiscal year as to the amount of funding that is appropriate for that year.</w:t>
      </w:r>
      <w:r w:rsidRPr="00C443F5">
        <w:rPr>
          <w:snapToGrid w:val="0"/>
          <w:szCs w:val="20"/>
        </w:rPr>
        <w:t xml:space="preserve"> Commission Rule 515-7-5-.03 states that, </w:t>
      </w:r>
      <w:r w:rsidRPr="00C443F5">
        <w:t>a universal service fund shall be created for each electing distribution company for the purposes set forth in O.C.G.A. §</w:t>
      </w:r>
      <w:hyperlink r:id="rId11" w:anchor="46-4-161(a)" w:tgtFrame="_newtab" w:history="1">
        <w:r w:rsidRPr="00C443F5">
          <w:rPr>
            <w:u w:val="single"/>
          </w:rPr>
          <w:t>46-4-161(a)</w:t>
        </w:r>
      </w:hyperlink>
      <w:r w:rsidRPr="00C443F5">
        <w:t xml:space="preserve">. These purposes include assuring that gas is available for sale by marketers to firm retail customers within a territory certificated to each such marketer; enabling the electing distribution company to extend and expand its facilities and service in the public interest; assisting low-income residential consumers in times of emergency as determined by the Commission; and consumers of the regulated provider of natural gas in accordance with Code Section </w:t>
      </w:r>
      <w:hyperlink r:id="rId12" w:tgtFrame="_newtab" w:history="1">
        <w:r w:rsidRPr="00C443F5">
          <w:rPr>
            <w:u w:val="single"/>
          </w:rPr>
          <w:t>46-4-166</w:t>
        </w:r>
      </w:hyperlink>
      <w:r w:rsidRPr="00C443F5">
        <w:t>. Commission Rule 515-7-5-.07 outlines procedures related to applications for disbursement from the Universal Service Fund for an electing distribution company.</w:t>
      </w:r>
    </w:p>
    <w:p w14:paraId="182CEE55" w14:textId="77777777" w:rsidR="00C443F5" w:rsidRPr="00C443F5" w:rsidRDefault="00C443F5" w:rsidP="00C443F5">
      <w:pPr>
        <w:widowControl w:val="0"/>
        <w:spacing w:after="200"/>
        <w:contextualSpacing/>
      </w:pPr>
    </w:p>
    <w:p w14:paraId="0EC003A8" w14:textId="77777777" w:rsidR="00C443F5" w:rsidRPr="00C443F5" w:rsidRDefault="00C443F5" w:rsidP="00C443F5">
      <w:pPr>
        <w:widowControl w:val="0"/>
        <w:spacing w:after="200"/>
        <w:ind w:firstLine="720"/>
        <w:contextualSpacing/>
      </w:pPr>
    </w:p>
    <w:p w14:paraId="7758F029" w14:textId="77777777" w:rsidR="00C443F5" w:rsidRPr="00C443F5" w:rsidRDefault="00C443F5" w:rsidP="00C443F5">
      <w:pPr>
        <w:widowControl w:val="0"/>
        <w:numPr>
          <w:ilvl w:val="0"/>
          <w:numId w:val="2"/>
        </w:numPr>
        <w:spacing w:after="200"/>
        <w:contextualSpacing/>
        <w:jc w:val="center"/>
        <w:rPr>
          <w:b/>
        </w:rPr>
      </w:pPr>
      <w:r w:rsidRPr="00C443F5">
        <w:rPr>
          <w:b/>
        </w:rPr>
        <w:lastRenderedPageBreak/>
        <w:t xml:space="preserve">Chatham County Project – </w:t>
      </w:r>
      <w:proofErr w:type="spellStart"/>
      <w:r w:rsidRPr="00C443F5">
        <w:rPr>
          <w:b/>
        </w:rPr>
        <w:t>Igneo</w:t>
      </w:r>
      <w:proofErr w:type="spellEnd"/>
    </w:p>
    <w:p w14:paraId="2A025493" w14:textId="77777777" w:rsidR="00C443F5" w:rsidRPr="00C443F5" w:rsidRDefault="00C443F5" w:rsidP="00C443F5">
      <w:pPr>
        <w:widowControl w:val="0"/>
        <w:spacing w:after="200"/>
        <w:contextualSpacing/>
        <w:rPr>
          <w:b/>
          <w:snapToGrid w:val="0"/>
        </w:rPr>
      </w:pPr>
    </w:p>
    <w:p w14:paraId="367352A9" w14:textId="77777777" w:rsidR="00C443F5" w:rsidRPr="00C443F5" w:rsidRDefault="00C443F5" w:rsidP="00C443F5">
      <w:pPr>
        <w:spacing w:after="200"/>
        <w:ind w:firstLine="720"/>
        <w:contextualSpacing/>
        <w:jc w:val="both"/>
        <w:rPr>
          <w:snapToGrid w:val="0"/>
        </w:rPr>
      </w:pPr>
      <w:r w:rsidRPr="00C443F5">
        <w:rPr>
          <w:snapToGrid w:val="0"/>
        </w:rPr>
        <w:t xml:space="preserve">At the conclusion of the USF 2023 Plan, the Commission issued an Order on December 13, 2022 approving the Chatham County Project for </w:t>
      </w:r>
      <w:proofErr w:type="spellStart"/>
      <w:r w:rsidRPr="00C443F5">
        <w:rPr>
          <w:snapToGrid w:val="0"/>
        </w:rPr>
        <w:t>Igneo</w:t>
      </w:r>
      <w:proofErr w:type="spellEnd"/>
      <w:r w:rsidRPr="00C443F5">
        <w:rPr>
          <w:snapToGrid w:val="0"/>
        </w:rPr>
        <w:t xml:space="preserve"> (“</w:t>
      </w:r>
      <w:proofErr w:type="spellStart"/>
      <w:r w:rsidRPr="00C443F5">
        <w:rPr>
          <w:snapToGrid w:val="0"/>
        </w:rPr>
        <w:t>Igneo</w:t>
      </w:r>
      <w:proofErr w:type="spellEnd"/>
      <w:r w:rsidRPr="00C443F5">
        <w:rPr>
          <w:snapToGrid w:val="0"/>
        </w:rPr>
        <w:t xml:space="preserve"> Project”) and the Alamo Segment 3 Project of the 2023 Plan. Under the Commission’s Order, the recovery of the estimated $28,126,896 for the </w:t>
      </w:r>
      <w:proofErr w:type="spellStart"/>
      <w:r w:rsidRPr="00C443F5">
        <w:rPr>
          <w:snapToGrid w:val="0"/>
        </w:rPr>
        <w:t>Igneo</w:t>
      </w:r>
      <w:proofErr w:type="spellEnd"/>
      <w:r w:rsidRPr="00C443F5">
        <w:rPr>
          <w:snapToGrid w:val="0"/>
        </w:rPr>
        <w:t xml:space="preserve"> Project was to be recovered as provided in </w:t>
      </w:r>
      <w:r w:rsidRPr="00C443F5">
        <w:rPr>
          <w:b/>
          <w:snapToGrid w:val="0"/>
        </w:rPr>
        <w:t>Table-1</w:t>
      </w:r>
      <w:r w:rsidRPr="00C443F5">
        <w:rPr>
          <w:snapToGrid w:val="0"/>
        </w:rPr>
        <w:t xml:space="preserve"> below.</w:t>
      </w:r>
    </w:p>
    <w:p w14:paraId="0136ED46" w14:textId="77777777" w:rsidR="00C443F5" w:rsidRPr="00C443F5" w:rsidRDefault="00C443F5" w:rsidP="00C443F5">
      <w:pPr>
        <w:widowControl w:val="0"/>
        <w:spacing w:after="200"/>
        <w:rPr>
          <w:b/>
          <w:snapToGrid w:val="0"/>
        </w:rPr>
      </w:pPr>
    </w:p>
    <w:p w14:paraId="33393BAC" w14:textId="77777777" w:rsidR="00C443F5" w:rsidRPr="00C443F5" w:rsidRDefault="00C443F5" w:rsidP="00C443F5">
      <w:pPr>
        <w:spacing w:line="216" w:lineRule="auto"/>
        <w:contextualSpacing/>
        <w:rPr>
          <w:rFonts w:eastAsiaTheme="minorEastAsia"/>
          <w:b/>
          <w:color w:val="000000" w:themeColor="text1"/>
          <w:kern w:val="24"/>
        </w:rPr>
      </w:pPr>
      <w:r w:rsidRPr="00C443F5">
        <w:rPr>
          <w:rFonts w:eastAsiaTheme="minorEastAsia"/>
          <w:b/>
          <w:color w:val="000000" w:themeColor="text1"/>
          <w:kern w:val="24"/>
        </w:rPr>
        <w:t>Table-1: Chatham County Project (</w:t>
      </w:r>
      <w:proofErr w:type="spellStart"/>
      <w:r w:rsidRPr="00C443F5">
        <w:rPr>
          <w:rFonts w:eastAsiaTheme="minorEastAsia"/>
          <w:b/>
          <w:color w:val="000000" w:themeColor="text1"/>
          <w:kern w:val="24"/>
        </w:rPr>
        <w:t>Igneo</w:t>
      </w:r>
      <w:proofErr w:type="spellEnd"/>
      <w:r w:rsidRPr="00C443F5">
        <w:rPr>
          <w:rFonts w:eastAsiaTheme="minorEastAsia"/>
          <w:b/>
          <w:color w:val="000000" w:themeColor="text1"/>
          <w:kern w:val="24"/>
        </w:rPr>
        <w:t>) Funding Analysis</w:t>
      </w:r>
    </w:p>
    <w:tbl>
      <w:tblPr>
        <w:tblW w:w="6400" w:type="dxa"/>
        <w:tblInd w:w="-5" w:type="dxa"/>
        <w:tblLook w:val="04A0" w:firstRow="1" w:lastRow="0" w:firstColumn="1" w:lastColumn="0" w:noHBand="0" w:noVBand="1"/>
      </w:tblPr>
      <w:tblGrid>
        <w:gridCol w:w="4140"/>
        <w:gridCol w:w="2260"/>
      </w:tblGrid>
      <w:tr w:rsidR="00C443F5" w:rsidRPr="00C443F5" w14:paraId="7156A2CA" w14:textId="77777777" w:rsidTr="00397B51">
        <w:trPr>
          <w:trHeight w:val="300"/>
        </w:trPr>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2F387"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Engineering Estimate</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14:paraId="2D35504F"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$26,832,573</w:t>
            </w:r>
          </w:p>
        </w:tc>
      </w:tr>
      <w:tr w:rsidR="00C443F5" w:rsidRPr="00C443F5" w14:paraId="5FB34DAB" w14:textId="77777777" w:rsidTr="00397B51">
        <w:trPr>
          <w:trHeight w:val="17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3B01326" w14:textId="77777777" w:rsidR="00C443F5" w:rsidRPr="00C443F5" w:rsidRDefault="00C443F5" w:rsidP="00C443F5">
            <w:pPr>
              <w:rPr>
                <w:rFonts w:ascii="Arial" w:hAnsi="Arial" w:cs="Arial"/>
                <w:color w:val="000000"/>
                <w:sz w:val="16"/>
                <w:szCs w:val="16"/>
              </w:rPr>
            </w:pPr>
          </w:p>
        </w:tc>
        <w:tc>
          <w:tcPr>
            <w:tcW w:w="2260" w:type="dxa"/>
            <w:tcBorders>
              <w:top w:val="nil"/>
              <w:left w:val="nil"/>
              <w:bottom w:val="single" w:sz="4" w:space="0" w:color="auto"/>
              <w:right w:val="single" w:sz="4" w:space="0" w:color="auto"/>
            </w:tcBorders>
            <w:shd w:val="clear" w:color="auto" w:fill="auto"/>
            <w:noWrap/>
            <w:vAlign w:val="bottom"/>
            <w:hideMark/>
          </w:tcPr>
          <w:p w14:paraId="34DB64B5" w14:textId="77777777" w:rsidR="00C443F5" w:rsidRPr="00C443F5" w:rsidRDefault="00C443F5" w:rsidP="00C443F5">
            <w:pPr>
              <w:rPr>
                <w:rFonts w:ascii="Arial" w:hAnsi="Arial" w:cs="Arial"/>
                <w:color w:val="000000"/>
                <w:sz w:val="16"/>
                <w:szCs w:val="16"/>
              </w:rPr>
            </w:pPr>
          </w:p>
        </w:tc>
      </w:tr>
      <w:tr w:rsidR="00C443F5" w:rsidRPr="00C443F5" w14:paraId="60E0CFEB" w14:textId="77777777" w:rsidTr="00397B51">
        <w:trPr>
          <w:trHeight w:val="285"/>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7CB771C2"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USF Funded Engineering Estimate - 30%</w:t>
            </w:r>
          </w:p>
        </w:tc>
        <w:tc>
          <w:tcPr>
            <w:tcW w:w="2260" w:type="dxa"/>
            <w:tcBorders>
              <w:top w:val="nil"/>
              <w:left w:val="nil"/>
              <w:bottom w:val="single" w:sz="4" w:space="0" w:color="auto"/>
              <w:right w:val="single" w:sz="4" w:space="0" w:color="auto"/>
            </w:tcBorders>
            <w:shd w:val="clear" w:color="auto" w:fill="auto"/>
            <w:noWrap/>
            <w:vAlign w:val="bottom"/>
            <w:hideMark/>
          </w:tcPr>
          <w:p w14:paraId="24941B1C"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$8,049,772</w:t>
            </w:r>
          </w:p>
        </w:tc>
      </w:tr>
      <w:tr w:rsidR="00C443F5" w:rsidRPr="00C443F5" w14:paraId="25067CA7" w14:textId="77777777" w:rsidTr="00397B51">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2B9566E7"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Income Tax Ratio - 0.15495</w:t>
            </w:r>
          </w:p>
        </w:tc>
        <w:tc>
          <w:tcPr>
            <w:tcW w:w="2260" w:type="dxa"/>
            <w:tcBorders>
              <w:top w:val="nil"/>
              <w:left w:val="nil"/>
              <w:bottom w:val="single" w:sz="4" w:space="0" w:color="auto"/>
              <w:right w:val="single" w:sz="4" w:space="0" w:color="auto"/>
            </w:tcBorders>
            <w:shd w:val="clear" w:color="auto" w:fill="auto"/>
            <w:noWrap/>
            <w:vAlign w:val="bottom"/>
            <w:hideMark/>
          </w:tcPr>
          <w:p w14:paraId="1D99816A"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$1,247,312</w:t>
            </w:r>
          </w:p>
        </w:tc>
      </w:tr>
      <w:tr w:rsidR="00C443F5" w:rsidRPr="00C443F5" w14:paraId="584AC4AD" w14:textId="77777777" w:rsidTr="00397B51">
        <w:trPr>
          <w:trHeight w:val="285"/>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4E8CE8A"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Finance Cost Ratio - 0.00584</w:t>
            </w:r>
          </w:p>
        </w:tc>
        <w:tc>
          <w:tcPr>
            <w:tcW w:w="2260" w:type="dxa"/>
            <w:tcBorders>
              <w:top w:val="nil"/>
              <w:left w:val="nil"/>
              <w:bottom w:val="single" w:sz="4" w:space="0" w:color="auto"/>
              <w:right w:val="single" w:sz="4" w:space="0" w:color="auto"/>
            </w:tcBorders>
            <w:shd w:val="clear" w:color="auto" w:fill="auto"/>
            <w:noWrap/>
            <w:vAlign w:val="bottom"/>
            <w:hideMark/>
          </w:tcPr>
          <w:p w14:paraId="72483CA0"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$47,011</w:t>
            </w:r>
          </w:p>
        </w:tc>
      </w:tr>
      <w:tr w:rsidR="00C443F5" w:rsidRPr="00C443F5" w14:paraId="078840AD" w14:textId="77777777" w:rsidTr="00397B51">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768191C"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Total USF Portion with Taxes &amp; Finance</w:t>
            </w:r>
          </w:p>
        </w:tc>
        <w:tc>
          <w:tcPr>
            <w:tcW w:w="2260" w:type="dxa"/>
            <w:tcBorders>
              <w:top w:val="nil"/>
              <w:left w:val="nil"/>
              <w:bottom w:val="single" w:sz="4" w:space="0" w:color="auto"/>
              <w:right w:val="single" w:sz="4" w:space="0" w:color="auto"/>
            </w:tcBorders>
            <w:shd w:val="clear" w:color="auto" w:fill="auto"/>
            <w:noWrap/>
            <w:vAlign w:val="bottom"/>
            <w:hideMark/>
          </w:tcPr>
          <w:p w14:paraId="7F980F19"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$9,344,095</w:t>
            </w:r>
          </w:p>
        </w:tc>
      </w:tr>
      <w:tr w:rsidR="00C443F5" w:rsidRPr="00C443F5" w14:paraId="28CCCFD9" w14:textId="77777777" w:rsidTr="00397B51">
        <w:trPr>
          <w:trHeight w:val="143"/>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125D370" w14:textId="77777777" w:rsidR="00C443F5" w:rsidRPr="00C443F5" w:rsidRDefault="00C443F5" w:rsidP="00C443F5">
            <w:pPr>
              <w:rPr>
                <w:rFonts w:ascii="Arial" w:hAnsi="Arial" w:cs="Arial"/>
                <w:color w:val="000000"/>
                <w:sz w:val="16"/>
                <w:szCs w:val="16"/>
              </w:rPr>
            </w:pPr>
          </w:p>
        </w:tc>
        <w:tc>
          <w:tcPr>
            <w:tcW w:w="2260" w:type="dxa"/>
            <w:tcBorders>
              <w:top w:val="nil"/>
              <w:left w:val="nil"/>
              <w:bottom w:val="single" w:sz="4" w:space="0" w:color="auto"/>
              <w:right w:val="single" w:sz="4" w:space="0" w:color="auto"/>
            </w:tcBorders>
            <w:shd w:val="clear" w:color="auto" w:fill="auto"/>
            <w:noWrap/>
            <w:vAlign w:val="bottom"/>
            <w:hideMark/>
          </w:tcPr>
          <w:p w14:paraId="732D3811" w14:textId="77777777" w:rsidR="00C443F5" w:rsidRPr="00C443F5" w:rsidRDefault="00C443F5" w:rsidP="00C443F5">
            <w:pPr>
              <w:rPr>
                <w:rFonts w:ascii="Arial" w:hAnsi="Arial" w:cs="Arial"/>
                <w:color w:val="000000"/>
                <w:sz w:val="16"/>
                <w:szCs w:val="16"/>
              </w:rPr>
            </w:pPr>
          </w:p>
        </w:tc>
      </w:tr>
      <w:tr w:rsidR="00C443F5" w:rsidRPr="00C443F5" w14:paraId="63250BD3" w14:textId="77777777" w:rsidTr="00397B51">
        <w:trPr>
          <w:trHeight w:val="285"/>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44E926B"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ECON-1 Funded Engineering Estimate 70%</w:t>
            </w:r>
          </w:p>
        </w:tc>
        <w:tc>
          <w:tcPr>
            <w:tcW w:w="2260" w:type="dxa"/>
            <w:tcBorders>
              <w:top w:val="nil"/>
              <w:left w:val="nil"/>
              <w:bottom w:val="single" w:sz="4" w:space="0" w:color="auto"/>
              <w:right w:val="single" w:sz="4" w:space="0" w:color="auto"/>
            </w:tcBorders>
            <w:shd w:val="clear" w:color="auto" w:fill="auto"/>
            <w:noWrap/>
            <w:vAlign w:val="bottom"/>
            <w:hideMark/>
          </w:tcPr>
          <w:p w14:paraId="655403DC"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$18,782,801</w:t>
            </w:r>
          </w:p>
        </w:tc>
      </w:tr>
      <w:tr w:rsidR="00C443F5" w:rsidRPr="00C443F5" w14:paraId="1FF9BE4E" w14:textId="77777777" w:rsidTr="00397B51">
        <w:trPr>
          <w:trHeight w:val="285"/>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1F4395FD"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2022 ECON-1 Remaining Funding Available</w:t>
            </w:r>
          </w:p>
        </w:tc>
        <w:tc>
          <w:tcPr>
            <w:tcW w:w="2260" w:type="dxa"/>
            <w:tcBorders>
              <w:top w:val="nil"/>
              <w:left w:val="nil"/>
              <w:bottom w:val="single" w:sz="4" w:space="0" w:color="auto"/>
              <w:right w:val="single" w:sz="4" w:space="0" w:color="auto"/>
            </w:tcBorders>
            <w:shd w:val="clear" w:color="auto" w:fill="auto"/>
            <w:noWrap/>
            <w:vAlign w:val="bottom"/>
            <w:hideMark/>
          </w:tcPr>
          <w:p w14:paraId="7EDDD9CE"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$6,533,000</w:t>
            </w:r>
          </w:p>
        </w:tc>
      </w:tr>
      <w:tr w:rsidR="00C443F5" w:rsidRPr="00C443F5" w14:paraId="2ACA7B93" w14:textId="77777777" w:rsidTr="00397B51">
        <w:trPr>
          <w:trHeight w:val="285"/>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4B068396"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2023 ECON-1 Funding Amount</w:t>
            </w:r>
          </w:p>
        </w:tc>
        <w:tc>
          <w:tcPr>
            <w:tcW w:w="2260" w:type="dxa"/>
            <w:tcBorders>
              <w:top w:val="nil"/>
              <w:left w:val="nil"/>
              <w:bottom w:val="single" w:sz="4" w:space="0" w:color="auto"/>
              <w:right w:val="single" w:sz="4" w:space="0" w:color="auto"/>
            </w:tcBorders>
            <w:shd w:val="clear" w:color="auto" w:fill="auto"/>
            <w:noWrap/>
            <w:vAlign w:val="bottom"/>
            <w:hideMark/>
          </w:tcPr>
          <w:p w14:paraId="53F2F5BF"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$12,249,801</w:t>
            </w:r>
          </w:p>
        </w:tc>
      </w:tr>
      <w:tr w:rsidR="00C443F5" w:rsidRPr="00C443F5" w14:paraId="0CCA9263" w14:textId="77777777" w:rsidTr="00397B51">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34F3926A"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Total ECON-1 Portion</w:t>
            </w:r>
          </w:p>
        </w:tc>
        <w:tc>
          <w:tcPr>
            <w:tcW w:w="2260" w:type="dxa"/>
            <w:tcBorders>
              <w:top w:val="nil"/>
              <w:left w:val="nil"/>
              <w:bottom w:val="single" w:sz="4" w:space="0" w:color="auto"/>
              <w:right w:val="single" w:sz="4" w:space="0" w:color="auto"/>
            </w:tcBorders>
            <w:shd w:val="clear" w:color="auto" w:fill="auto"/>
            <w:noWrap/>
            <w:vAlign w:val="bottom"/>
            <w:hideMark/>
          </w:tcPr>
          <w:p w14:paraId="7F44C871"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$18,782,801</w:t>
            </w:r>
          </w:p>
        </w:tc>
      </w:tr>
      <w:tr w:rsidR="00C443F5" w:rsidRPr="00C443F5" w14:paraId="190C6E79" w14:textId="77777777" w:rsidTr="00397B51">
        <w:trPr>
          <w:trHeight w:val="98"/>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525E92D7" w14:textId="77777777" w:rsidR="00C443F5" w:rsidRPr="00C443F5" w:rsidRDefault="00C443F5" w:rsidP="00C443F5">
            <w:pPr>
              <w:rPr>
                <w:rFonts w:ascii="Arial" w:hAnsi="Arial" w:cs="Arial"/>
                <w:color w:val="000000"/>
                <w:sz w:val="16"/>
                <w:szCs w:val="16"/>
              </w:rPr>
            </w:pPr>
          </w:p>
        </w:tc>
        <w:tc>
          <w:tcPr>
            <w:tcW w:w="2260" w:type="dxa"/>
            <w:tcBorders>
              <w:top w:val="nil"/>
              <w:left w:val="nil"/>
              <w:bottom w:val="single" w:sz="4" w:space="0" w:color="auto"/>
              <w:right w:val="single" w:sz="4" w:space="0" w:color="auto"/>
            </w:tcBorders>
            <w:shd w:val="clear" w:color="auto" w:fill="auto"/>
            <w:noWrap/>
            <w:vAlign w:val="bottom"/>
            <w:hideMark/>
          </w:tcPr>
          <w:p w14:paraId="113428C3" w14:textId="77777777" w:rsidR="00C443F5" w:rsidRPr="00C443F5" w:rsidRDefault="00C443F5" w:rsidP="00C443F5">
            <w:pPr>
              <w:rPr>
                <w:rFonts w:ascii="Arial" w:hAnsi="Arial" w:cs="Arial"/>
                <w:color w:val="000000"/>
                <w:sz w:val="16"/>
                <w:szCs w:val="16"/>
              </w:rPr>
            </w:pPr>
          </w:p>
        </w:tc>
      </w:tr>
      <w:tr w:rsidR="00C443F5" w:rsidRPr="00C443F5" w14:paraId="37CD595E" w14:textId="77777777" w:rsidTr="00397B51">
        <w:trPr>
          <w:trHeight w:val="300"/>
        </w:trPr>
        <w:tc>
          <w:tcPr>
            <w:tcW w:w="4140" w:type="dxa"/>
            <w:tcBorders>
              <w:top w:val="nil"/>
              <w:left w:val="single" w:sz="4" w:space="0" w:color="auto"/>
              <w:bottom w:val="single" w:sz="4" w:space="0" w:color="auto"/>
              <w:right w:val="single" w:sz="4" w:space="0" w:color="auto"/>
            </w:tcBorders>
            <w:shd w:val="clear" w:color="auto" w:fill="auto"/>
            <w:noWrap/>
            <w:vAlign w:val="bottom"/>
            <w:hideMark/>
          </w:tcPr>
          <w:p w14:paraId="0CF6E330"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Chatham County Project Total Funding</w:t>
            </w:r>
          </w:p>
        </w:tc>
        <w:tc>
          <w:tcPr>
            <w:tcW w:w="2260" w:type="dxa"/>
            <w:tcBorders>
              <w:top w:val="nil"/>
              <w:left w:val="nil"/>
              <w:bottom w:val="single" w:sz="4" w:space="0" w:color="auto"/>
              <w:right w:val="single" w:sz="4" w:space="0" w:color="auto"/>
            </w:tcBorders>
            <w:shd w:val="clear" w:color="auto" w:fill="auto"/>
            <w:noWrap/>
            <w:vAlign w:val="bottom"/>
            <w:hideMark/>
          </w:tcPr>
          <w:p w14:paraId="767669FF"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$28,126,896</w:t>
            </w:r>
          </w:p>
        </w:tc>
      </w:tr>
    </w:tbl>
    <w:p w14:paraId="5BEA3D32" w14:textId="77777777" w:rsidR="00C443F5" w:rsidRPr="00C443F5" w:rsidRDefault="00C443F5" w:rsidP="00C443F5">
      <w:pPr>
        <w:widowControl w:val="0"/>
        <w:spacing w:after="200"/>
        <w:rPr>
          <w:b/>
          <w:snapToGrid w:val="0"/>
        </w:rPr>
      </w:pPr>
    </w:p>
    <w:p w14:paraId="443A7D08" w14:textId="77777777" w:rsidR="00C443F5" w:rsidRPr="00C443F5" w:rsidRDefault="00C443F5" w:rsidP="00C443F5">
      <w:pPr>
        <w:widowControl w:val="0"/>
        <w:spacing w:after="200"/>
        <w:contextualSpacing/>
        <w:rPr>
          <w:snapToGrid w:val="0"/>
        </w:rPr>
      </w:pPr>
      <w:r w:rsidRPr="00C443F5">
        <w:rPr>
          <w:b/>
          <w:snapToGrid w:val="0"/>
        </w:rPr>
        <w:tab/>
      </w:r>
      <w:r w:rsidRPr="00C443F5">
        <w:rPr>
          <w:snapToGrid w:val="0"/>
        </w:rPr>
        <w:t xml:space="preserve">On May 16, 2023, AGL filed a petition, that in part, requested a withdrawal of the </w:t>
      </w:r>
      <w:proofErr w:type="spellStart"/>
      <w:r w:rsidRPr="00C443F5">
        <w:rPr>
          <w:snapToGrid w:val="0"/>
        </w:rPr>
        <w:t>Igneo</w:t>
      </w:r>
      <w:proofErr w:type="spellEnd"/>
      <w:r w:rsidRPr="00C443F5">
        <w:rPr>
          <w:snapToGrid w:val="0"/>
        </w:rPr>
        <w:t xml:space="preserve"> Project. The petition stated that on April 26, 2023, </w:t>
      </w:r>
      <w:proofErr w:type="spellStart"/>
      <w:r w:rsidRPr="00C443F5">
        <w:rPr>
          <w:snapToGrid w:val="0"/>
        </w:rPr>
        <w:t>Igneo</w:t>
      </w:r>
      <w:proofErr w:type="spellEnd"/>
      <w:r w:rsidRPr="00C443F5">
        <w:rPr>
          <w:snapToGrid w:val="0"/>
        </w:rPr>
        <w:t xml:space="preserve"> informed AGL that it would be suspending the project indefinitely. On September 19, 2023, AGL filed an amendment to its USF 2023 Plan. As part of that amendment, AGL had the following footnote. </w:t>
      </w:r>
    </w:p>
    <w:p w14:paraId="12DB7BE4" w14:textId="77777777" w:rsidR="00C443F5" w:rsidRPr="00C443F5" w:rsidRDefault="00C443F5" w:rsidP="00C443F5">
      <w:pPr>
        <w:widowControl w:val="0"/>
        <w:spacing w:after="200"/>
        <w:contextualSpacing/>
        <w:rPr>
          <w:snapToGrid w:val="0"/>
        </w:rPr>
      </w:pPr>
    </w:p>
    <w:p w14:paraId="092CA775" w14:textId="77777777" w:rsidR="00C443F5" w:rsidRPr="00C443F5" w:rsidRDefault="00C443F5" w:rsidP="00C443F5">
      <w:pPr>
        <w:widowControl w:val="0"/>
        <w:spacing w:after="200"/>
        <w:contextualSpacing/>
        <w:rPr>
          <w:snapToGrid w:val="0"/>
        </w:rPr>
      </w:pPr>
    </w:p>
    <w:p w14:paraId="1120EDE0" w14:textId="77777777" w:rsidR="00C443F5" w:rsidRPr="00C443F5" w:rsidRDefault="00C443F5" w:rsidP="00C443F5">
      <w:pPr>
        <w:widowControl w:val="0"/>
        <w:spacing w:after="200"/>
        <w:ind w:left="720"/>
        <w:contextualSpacing/>
        <w:rPr>
          <w:snapToGrid w:val="0"/>
          <w:sz w:val="20"/>
          <w:szCs w:val="20"/>
        </w:rPr>
      </w:pPr>
      <w:r w:rsidRPr="00C443F5">
        <w:rPr>
          <w:snapToGrid w:val="0"/>
          <w:sz w:val="20"/>
          <w:szCs w:val="20"/>
          <w:vertAlign w:val="superscript"/>
        </w:rPr>
        <w:t>3</w:t>
      </w:r>
      <w:r w:rsidRPr="00C443F5">
        <w:rPr>
          <w:snapToGrid w:val="0"/>
          <w:sz w:val="20"/>
          <w:szCs w:val="20"/>
        </w:rPr>
        <w:t xml:space="preserve">On May 16, 2023, AGL filed a petition to withdraw </w:t>
      </w:r>
      <w:proofErr w:type="spellStart"/>
      <w:r w:rsidRPr="00C443F5">
        <w:rPr>
          <w:snapToGrid w:val="0"/>
          <w:sz w:val="20"/>
          <w:szCs w:val="20"/>
        </w:rPr>
        <w:t>Igneo</w:t>
      </w:r>
      <w:proofErr w:type="spellEnd"/>
      <w:r w:rsidRPr="00C443F5">
        <w:rPr>
          <w:snapToGrid w:val="0"/>
          <w:sz w:val="20"/>
          <w:szCs w:val="20"/>
        </w:rPr>
        <w:t xml:space="preserve"> (Georgia) LLC as the customer for the Chatham County Project and replace it with PHA and </w:t>
      </w:r>
      <w:proofErr w:type="spellStart"/>
      <w:r w:rsidRPr="00C443F5">
        <w:rPr>
          <w:snapToGrid w:val="0"/>
          <w:sz w:val="20"/>
          <w:szCs w:val="20"/>
        </w:rPr>
        <w:t>Seoyon</w:t>
      </w:r>
      <w:proofErr w:type="spellEnd"/>
      <w:r w:rsidRPr="00C443F5">
        <w:rPr>
          <w:snapToGrid w:val="0"/>
          <w:sz w:val="20"/>
          <w:szCs w:val="20"/>
        </w:rPr>
        <w:t xml:space="preserve"> E-Hwa as new customers and reaffirm that the Chatham County Project may continue as otherwise approved. This petition is still pending per AGL’s request. AGL will file an update on or before October 1, 2023.</w:t>
      </w:r>
    </w:p>
    <w:p w14:paraId="375270F5" w14:textId="77777777" w:rsidR="00C443F5" w:rsidRPr="00C443F5" w:rsidRDefault="00C443F5" w:rsidP="00C443F5">
      <w:pPr>
        <w:widowControl w:val="0"/>
        <w:spacing w:after="200"/>
        <w:ind w:firstLine="720"/>
        <w:contextualSpacing/>
        <w:rPr>
          <w:snapToGrid w:val="0"/>
        </w:rPr>
      </w:pPr>
    </w:p>
    <w:p w14:paraId="70C444E3" w14:textId="77777777" w:rsidR="00C443F5" w:rsidRPr="00C443F5" w:rsidRDefault="00C443F5" w:rsidP="00C443F5">
      <w:pPr>
        <w:widowControl w:val="0"/>
        <w:spacing w:after="200"/>
        <w:ind w:firstLine="720"/>
        <w:contextualSpacing/>
        <w:rPr>
          <w:snapToGrid w:val="0"/>
        </w:rPr>
      </w:pPr>
    </w:p>
    <w:p w14:paraId="3493A928" w14:textId="77777777" w:rsidR="00C443F5" w:rsidRPr="00C443F5" w:rsidRDefault="00C443F5" w:rsidP="00C443F5">
      <w:pPr>
        <w:widowControl w:val="0"/>
        <w:spacing w:after="200"/>
        <w:ind w:firstLine="720"/>
        <w:contextualSpacing/>
        <w:rPr>
          <w:snapToGrid w:val="0"/>
        </w:rPr>
      </w:pPr>
      <w:r w:rsidRPr="00C443F5">
        <w:rPr>
          <w:snapToGrid w:val="0"/>
        </w:rPr>
        <w:t>On September 1, 2023, AGL didn’t file it’s USF 2024 Plan, but it filed a “Notice of Filing” to inform the Commission it would file its full USF 2024 Plan on October 1</w:t>
      </w:r>
      <w:r w:rsidRPr="00C443F5">
        <w:rPr>
          <w:snapToGrid w:val="0"/>
          <w:vertAlign w:val="superscript"/>
        </w:rPr>
        <w:t>st</w:t>
      </w:r>
      <w:r w:rsidRPr="00C443F5">
        <w:rPr>
          <w:snapToGrid w:val="0"/>
        </w:rPr>
        <w:t xml:space="preserve">. In that notice, AGL didn’t provide an update related to the </w:t>
      </w:r>
      <w:proofErr w:type="spellStart"/>
      <w:r w:rsidRPr="00C443F5">
        <w:rPr>
          <w:snapToGrid w:val="0"/>
        </w:rPr>
        <w:t>Igneo</w:t>
      </w:r>
      <w:proofErr w:type="spellEnd"/>
      <w:r w:rsidRPr="00C443F5">
        <w:rPr>
          <w:snapToGrid w:val="0"/>
        </w:rPr>
        <w:t xml:space="preserve"> Project. In the October 1</w:t>
      </w:r>
      <w:r w:rsidRPr="00C443F5">
        <w:rPr>
          <w:snapToGrid w:val="0"/>
          <w:vertAlign w:val="superscript"/>
        </w:rPr>
        <w:t>st</w:t>
      </w:r>
      <w:r w:rsidRPr="00C443F5">
        <w:rPr>
          <w:snapToGrid w:val="0"/>
        </w:rPr>
        <w:t xml:space="preserve"> USF 2024 Plan filing, there was no mention of the </w:t>
      </w:r>
      <w:proofErr w:type="spellStart"/>
      <w:r w:rsidRPr="00C443F5">
        <w:rPr>
          <w:snapToGrid w:val="0"/>
        </w:rPr>
        <w:t>Igeno</w:t>
      </w:r>
      <w:proofErr w:type="spellEnd"/>
      <w:r w:rsidRPr="00C443F5">
        <w:rPr>
          <w:snapToGrid w:val="0"/>
        </w:rPr>
        <w:t xml:space="preserve"> Project.</w:t>
      </w:r>
    </w:p>
    <w:p w14:paraId="1FCD4491" w14:textId="77777777" w:rsidR="00C443F5" w:rsidRPr="00C443F5" w:rsidRDefault="00C443F5" w:rsidP="00C443F5">
      <w:pPr>
        <w:widowControl w:val="0"/>
        <w:spacing w:after="200"/>
        <w:ind w:firstLine="720"/>
        <w:contextualSpacing/>
        <w:rPr>
          <w:snapToGrid w:val="0"/>
        </w:rPr>
      </w:pPr>
    </w:p>
    <w:p w14:paraId="20CC2AC5" w14:textId="77777777" w:rsidR="00C443F5" w:rsidRPr="00C443F5" w:rsidRDefault="00C443F5" w:rsidP="00C443F5">
      <w:pPr>
        <w:widowControl w:val="0"/>
        <w:spacing w:after="200"/>
        <w:ind w:firstLine="720"/>
        <w:contextualSpacing/>
        <w:rPr>
          <w:snapToGrid w:val="0"/>
        </w:rPr>
      </w:pPr>
      <w:r w:rsidRPr="00C443F5">
        <w:rPr>
          <w:snapToGrid w:val="0"/>
        </w:rPr>
        <w:t xml:space="preserve">Though the Commission Staff has unencumbered the USF and ECON-1 funding related to </w:t>
      </w:r>
      <w:proofErr w:type="spellStart"/>
      <w:r w:rsidRPr="00C443F5">
        <w:rPr>
          <w:snapToGrid w:val="0"/>
        </w:rPr>
        <w:t>Igneo</w:t>
      </w:r>
      <w:proofErr w:type="spellEnd"/>
      <w:r w:rsidRPr="00C443F5">
        <w:rPr>
          <w:snapToGrid w:val="0"/>
        </w:rPr>
        <w:t>, the Staff requests that the Commission formally approve AGL’s May 16</w:t>
      </w:r>
      <w:r w:rsidRPr="00C443F5">
        <w:rPr>
          <w:snapToGrid w:val="0"/>
          <w:vertAlign w:val="superscript"/>
        </w:rPr>
        <w:t>th</w:t>
      </w:r>
      <w:r w:rsidRPr="00C443F5">
        <w:rPr>
          <w:snapToGrid w:val="0"/>
        </w:rPr>
        <w:t xml:space="preserve"> request to withdraw the </w:t>
      </w:r>
      <w:proofErr w:type="spellStart"/>
      <w:r w:rsidRPr="00C443F5">
        <w:rPr>
          <w:snapToGrid w:val="0"/>
        </w:rPr>
        <w:t>Igneo</w:t>
      </w:r>
      <w:proofErr w:type="spellEnd"/>
      <w:r w:rsidRPr="00C443F5">
        <w:rPr>
          <w:snapToGrid w:val="0"/>
        </w:rPr>
        <w:t xml:space="preserve"> Project in Docket No. 43510 and Docket No. 41559. </w:t>
      </w:r>
    </w:p>
    <w:p w14:paraId="539194F7" w14:textId="77777777" w:rsidR="00C443F5" w:rsidRPr="00C443F5" w:rsidRDefault="00C443F5" w:rsidP="00C443F5">
      <w:pPr>
        <w:widowControl w:val="0"/>
        <w:spacing w:after="200"/>
        <w:rPr>
          <w:b/>
          <w:snapToGrid w:val="0"/>
        </w:rPr>
      </w:pPr>
    </w:p>
    <w:p w14:paraId="130CB9ED" w14:textId="77777777" w:rsidR="00C443F5" w:rsidRPr="00C443F5" w:rsidRDefault="00C443F5" w:rsidP="00C443F5">
      <w:pPr>
        <w:widowControl w:val="0"/>
        <w:spacing w:after="200"/>
        <w:rPr>
          <w:b/>
          <w:snapToGrid w:val="0"/>
        </w:rPr>
      </w:pPr>
    </w:p>
    <w:p w14:paraId="6A4565AE" w14:textId="77777777" w:rsidR="00C443F5" w:rsidRPr="00C443F5" w:rsidRDefault="00C443F5" w:rsidP="00C443F5">
      <w:pPr>
        <w:widowControl w:val="0"/>
        <w:numPr>
          <w:ilvl w:val="0"/>
          <w:numId w:val="2"/>
        </w:numPr>
        <w:spacing w:after="200"/>
        <w:contextualSpacing/>
        <w:jc w:val="center"/>
        <w:rPr>
          <w:b/>
        </w:rPr>
      </w:pPr>
      <w:r w:rsidRPr="00C443F5">
        <w:rPr>
          <w:b/>
        </w:rPr>
        <w:t xml:space="preserve">Atlanta Gas Light Company Petition to Amend 2023 Universal Service Fund </w:t>
      </w:r>
      <w:r w:rsidRPr="00C443F5">
        <w:rPr>
          <w:b/>
        </w:rPr>
        <w:lastRenderedPageBreak/>
        <w:t xml:space="preserve">Facilities Expansion Plan </w:t>
      </w:r>
      <w:proofErr w:type="gramStart"/>
      <w:r w:rsidRPr="00C443F5">
        <w:rPr>
          <w:b/>
        </w:rPr>
        <w:t>A</w:t>
      </w:r>
      <w:proofErr w:type="gramEnd"/>
      <w:r w:rsidRPr="00C443F5">
        <w:rPr>
          <w:b/>
        </w:rPr>
        <w:t xml:space="preserve"> Project In Jackson County</w:t>
      </w:r>
    </w:p>
    <w:p w14:paraId="035AA0FA" w14:textId="77777777" w:rsidR="00C443F5" w:rsidRPr="00C443F5" w:rsidRDefault="00C443F5" w:rsidP="00C443F5">
      <w:pPr>
        <w:widowControl w:val="0"/>
        <w:spacing w:after="200"/>
        <w:contextualSpacing/>
      </w:pPr>
    </w:p>
    <w:p w14:paraId="46DE455A" w14:textId="77777777" w:rsidR="00C443F5" w:rsidRPr="00C443F5" w:rsidRDefault="00C443F5" w:rsidP="00C443F5">
      <w:pPr>
        <w:widowControl w:val="0"/>
        <w:spacing w:after="200"/>
        <w:ind w:firstLine="720"/>
        <w:rPr>
          <w:snapToGrid w:val="0"/>
        </w:rPr>
      </w:pPr>
      <w:r w:rsidRPr="00C443F5">
        <w:t xml:space="preserve">On September 19, 2023, AGL filed the </w:t>
      </w:r>
      <w:r w:rsidRPr="00C443F5">
        <w:rPr>
          <w:snapToGrid w:val="0"/>
        </w:rPr>
        <w:t xml:space="preserve">Atlanta Gas Light Company Petition to Amend the 2023 Universal Service Fund Facilities Expansion Plan </w:t>
      </w:r>
      <w:proofErr w:type="gramStart"/>
      <w:r w:rsidRPr="00C443F5">
        <w:rPr>
          <w:snapToGrid w:val="0"/>
        </w:rPr>
        <w:t>A</w:t>
      </w:r>
      <w:proofErr w:type="gramEnd"/>
      <w:r w:rsidRPr="00C443F5">
        <w:rPr>
          <w:snapToGrid w:val="0"/>
        </w:rPr>
        <w:t xml:space="preserve"> Project In Jackson County (“Amended 2023 Plan”). As part of MFR-1, it stated the following:</w:t>
      </w:r>
    </w:p>
    <w:p w14:paraId="58175FD1" w14:textId="77777777" w:rsidR="00C443F5" w:rsidRPr="00C443F5" w:rsidRDefault="00C443F5" w:rsidP="00C443F5">
      <w:pPr>
        <w:ind w:left="1440" w:hanging="720"/>
        <w:jc w:val="both"/>
        <w:rPr>
          <w:b/>
          <w:sz w:val="20"/>
          <w:szCs w:val="20"/>
          <w:u w:val="single"/>
        </w:rPr>
      </w:pPr>
      <w:r w:rsidRPr="00C443F5">
        <w:rPr>
          <w:b/>
          <w:sz w:val="20"/>
          <w:szCs w:val="20"/>
          <w:u w:val="single"/>
        </w:rPr>
        <w:t>Jackson County Project</w:t>
      </w:r>
    </w:p>
    <w:p w14:paraId="13C3B1C4" w14:textId="77777777" w:rsidR="00C443F5" w:rsidRPr="00C443F5" w:rsidRDefault="00C443F5" w:rsidP="00C443F5">
      <w:pPr>
        <w:ind w:left="720"/>
        <w:jc w:val="both"/>
        <w:rPr>
          <w:bCs/>
          <w:sz w:val="20"/>
          <w:szCs w:val="20"/>
        </w:rPr>
      </w:pPr>
      <w:r w:rsidRPr="00C443F5">
        <w:rPr>
          <w:bCs/>
          <w:sz w:val="20"/>
          <w:szCs w:val="20"/>
        </w:rPr>
        <w:t>This project proposes to serve a new elementary school in Jackson County.  Jackson County BOE plans to open Heroes Elementary School in August 2024 at the beginning of the 2024-2025 school year.</w:t>
      </w:r>
    </w:p>
    <w:p w14:paraId="558761B3" w14:textId="77777777" w:rsidR="00C443F5" w:rsidRPr="00C443F5" w:rsidRDefault="00C443F5" w:rsidP="00C443F5">
      <w:pPr>
        <w:jc w:val="both"/>
        <w:rPr>
          <w:bCs/>
          <w:sz w:val="20"/>
          <w:szCs w:val="20"/>
        </w:rPr>
      </w:pPr>
    </w:p>
    <w:p w14:paraId="45BC0464" w14:textId="77777777" w:rsidR="00C443F5" w:rsidRPr="00C443F5" w:rsidRDefault="00C443F5" w:rsidP="00C443F5">
      <w:pPr>
        <w:ind w:left="720"/>
        <w:jc w:val="both"/>
        <w:rPr>
          <w:bCs/>
          <w:sz w:val="20"/>
          <w:szCs w:val="20"/>
        </w:rPr>
      </w:pPr>
      <w:r w:rsidRPr="00C443F5">
        <w:rPr>
          <w:bCs/>
          <w:sz w:val="20"/>
          <w:szCs w:val="20"/>
        </w:rPr>
        <w:t>AGL proposes to tie-into existing 4” plastic main on Skelton Road (MAOP 60 psi) and install approximately 2,050 feet of 4” plastic main (MAOP 60 psi) along New Skelton Road and an approximate 250 foot of 2” plastic service to serve the facility.</w:t>
      </w:r>
    </w:p>
    <w:p w14:paraId="59014D8A" w14:textId="77777777" w:rsidR="00C443F5" w:rsidRPr="00C443F5" w:rsidRDefault="00C443F5" w:rsidP="00C443F5">
      <w:pPr>
        <w:jc w:val="both"/>
        <w:rPr>
          <w:bCs/>
          <w:sz w:val="20"/>
          <w:szCs w:val="20"/>
        </w:rPr>
      </w:pPr>
    </w:p>
    <w:p w14:paraId="22087F7A" w14:textId="77777777" w:rsidR="00C443F5" w:rsidRPr="00C443F5" w:rsidRDefault="00C443F5" w:rsidP="00C443F5">
      <w:pPr>
        <w:ind w:left="720"/>
        <w:jc w:val="both"/>
        <w:rPr>
          <w:bCs/>
          <w:sz w:val="20"/>
          <w:szCs w:val="20"/>
        </w:rPr>
      </w:pPr>
      <w:r w:rsidRPr="00C443F5">
        <w:rPr>
          <w:bCs/>
          <w:sz w:val="20"/>
          <w:szCs w:val="20"/>
        </w:rPr>
        <w:t xml:space="preserve">Per the typical Rule 8 process, AGL created a BCA for this project that generated a Total Allowable Investment to the customer of $52,522.00.  This resulting contribution in aid of construction based on the estimated cost to serve (see </w:t>
      </w:r>
      <w:r w:rsidRPr="00C443F5">
        <w:rPr>
          <w:bCs/>
          <w:i/>
          <w:iCs/>
          <w:sz w:val="20"/>
          <w:szCs w:val="20"/>
        </w:rPr>
        <w:t>MFR-6: Cost to Serve</w:t>
      </w:r>
      <w:r w:rsidRPr="00C443F5">
        <w:rPr>
          <w:bCs/>
          <w:sz w:val="20"/>
          <w:szCs w:val="20"/>
        </w:rPr>
        <w:t>) is $77,478.00</w:t>
      </w:r>
    </w:p>
    <w:p w14:paraId="3B0F24B7" w14:textId="77777777" w:rsidR="00C443F5" w:rsidRPr="00C443F5" w:rsidRDefault="00C443F5" w:rsidP="00C443F5">
      <w:pPr>
        <w:jc w:val="both"/>
        <w:rPr>
          <w:bCs/>
          <w:sz w:val="20"/>
          <w:szCs w:val="20"/>
        </w:rPr>
      </w:pPr>
    </w:p>
    <w:p w14:paraId="4F005F90" w14:textId="77777777" w:rsidR="00C443F5" w:rsidRPr="00C443F5" w:rsidRDefault="00C443F5" w:rsidP="00C443F5">
      <w:pPr>
        <w:widowControl w:val="0"/>
        <w:spacing w:after="200"/>
        <w:contextualSpacing/>
        <w:rPr>
          <w:b/>
        </w:rPr>
      </w:pPr>
    </w:p>
    <w:p w14:paraId="5C5F0468" w14:textId="77777777" w:rsidR="00C443F5" w:rsidRPr="00C443F5" w:rsidRDefault="00C443F5" w:rsidP="00C443F5">
      <w:pPr>
        <w:widowControl w:val="0"/>
        <w:spacing w:after="200"/>
        <w:contextualSpacing/>
      </w:pPr>
      <w:r w:rsidRPr="00C443F5">
        <w:t xml:space="preserve">As seen in </w:t>
      </w:r>
      <w:r w:rsidRPr="00C443F5">
        <w:rPr>
          <w:b/>
        </w:rPr>
        <w:t>Table-2</w:t>
      </w:r>
      <w:r w:rsidRPr="00C443F5">
        <w:t xml:space="preserve"> below, </w:t>
      </w:r>
      <w:proofErr w:type="gramStart"/>
      <w:r w:rsidRPr="00C443F5">
        <w:t>the Jackson</w:t>
      </w:r>
      <w:proofErr w:type="gramEnd"/>
      <w:r w:rsidRPr="00C443F5">
        <w:t xml:space="preserve"> County has a Cost to Serve totaling </w:t>
      </w:r>
      <w:r w:rsidRPr="00C443F5">
        <w:rPr>
          <w:b/>
        </w:rPr>
        <w:t xml:space="preserve">$150,663.50 </w:t>
      </w:r>
      <w:r w:rsidRPr="00C443F5">
        <w:t xml:space="preserve">with income tax and finance cost gross ups. </w:t>
      </w:r>
    </w:p>
    <w:p w14:paraId="4438F59A" w14:textId="77777777" w:rsidR="00C443F5" w:rsidRPr="00C443F5" w:rsidRDefault="00C443F5" w:rsidP="00C443F5">
      <w:pPr>
        <w:widowControl w:val="0"/>
        <w:spacing w:after="200"/>
        <w:contextualSpacing/>
        <w:rPr>
          <w:b/>
        </w:rPr>
      </w:pPr>
    </w:p>
    <w:p w14:paraId="5832FD65" w14:textId="77777777" w:rsidR="00C443F5" w:rsidRPr="00C443F5" w:rsidRDefault="00C443F5" w:rsidP="00C443F5">
      <w:pPr>
        <w:widowControl w:val="0"/>
        <w:spacing w:after="200"/>
        <w:contextualSpacing/>
        <w:rPr>
          <w:b/>
          <w:u w:val="single"/>
        </w:rPr>
      </w:pPr>
      <w:r w:rsidRPr="00C443F5">
        <w:rPr>
          <w:b/>
          <w:u w:val="single"/>
        </w:rPr>
        <w:t>Table-2: Jackson County Project Cost to Serv</w:t>
      </w:r>
    </w:p>
    <w:tbl>
      <w:tblPr>
        <w:tblW w:w="9450" w:type="dxa"/>
        <w:tblInd w:w="-5" w:type="dxa"/>
        <w:tblLook w:val="04A0" w:firstRow="1" w:lastRow="0" w:firstColumn="1" w:lastColumn="0" w:noHBand="0" w:noVBand="1"/>
      </w:tblPr>
      <w:tblGrid>
        <w:gridCol w:w="2080"/>
        <w:gridCol w:w="1780"/>
        <w:gridCol w:w="1720"/>
        <w:gridCol w:w="1800"/>
        <w:gridCol w:w="2070"/>
      </w:tblGrid>
      <w:tr w:rsidR="00C443F5" w:rsidRPr="00C443F5" w14:paraId="260B07FF" w14:textId="77777777" w:rsidTr="00397B51">
        <w:trPr>
          <w:trHeight w:val="450"/>
        </w:trPr>
        <w:tc>
          <w:tcPr>
            <w:tcW w:w="20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72FED79" w14:textId="77777777" w:rsidR="00C443F5" w:rsidRPr="00C443F5" w:rsidRDefault="00C443F5" w:rsidP="00C443F5">
            <w:pPr>
              <w:jc w:val="center"/>
              <w:rPr>
                <w:rFonts w:ascii="Arial" w:hAnsi="Arial" w:cs="Arial"/>
                <w:b/>
                <w:bCs/>
                <w:sz w:val="16"/>
                <w:szCs w:val="16"/>
              </w:rPr>
            </w:pPr>
            <w:r w:rsidRPr="00C443F5">
              <w:rPr>
                <w:rFonts w:ascii="Arial" w:hAnsi="Arial" w:cs="Arial"/>
                <w:b/>
                <w:bCs/>
                <w:sz w:val="16"/>
                <w:szCs w:val="16"/>
              </w:rPr>
              <w:t>Footage Size/Type</w:t>
            </w:r>
          </w:p>
        </w:tc>
        <w:tc>
          <w:tcPr>
            <w:tcW w:w="1780" w:type="dxa"/>
            <w:tcBorders>
              <w:top w:val="single" w:sz="4" w:space="0" w:color="auto"/>
              <w:left w:val="nil"/>
              <w:bottom w:val="single" w:sz="4" w:space="0" w:color="auto"/>
              <w:right w:val="single" w:sz="4" w:space="0" w:color="auto"/>
            </w:tcBorders>
            <w:shd w:val="clear" w:color="000000" w:fill="F2F2F2"/>
            <w:vAlign w:val="center"/>
            <w:hideMark/>
          </w:tcPr>
          <w:p w14:paraId="44B6165F" w14:textId="77777777" w:rsidR="00C443F5" w:rsidRPr="00C443F5" w:rsidRDefault="00C443F5" w:rsidP="00C443F5">
            <w:pPr>
              <w:jc w:val="center"/>
              <w:rPr>
                <w:rFonts w:ascii="Arial" w:hAnsi="Arial" w:cs="Arial"/>
                <w:b/>
                <w:bCs/>
                <w:sz w:val="16"/>
                <w:szCs w:val="16"/>
              </w:rPr>
            </w:pPr>
            <w:r w:rsidRPr="00C443F5">
              <w:rPr>
                <w:rFonts w:ascii="Arial" w:hAnsi="Arial" w:cs="Arial"/>
                <w:b/>
                <w:bCs/>
                <w:sz w:val="16"/>
                <w:szCs w:val="16"/>
              </w:rPr>
              <w:t>Estimated Engineering Costs</w:t>
            </w:r>
          </w:p>
        </w:tc>
        <w:tc>
          <w:tcPr>
            <w:tcW w:w="1720" w:type="dxa"/>
            <w:tcBorders>
              <w:top w:val="single" w:sz="4" w:space="0" w:color="auto"/>
              <w:left w:val="nil"/>
              <w:bottom w:val="single" w:sz="4" w:space="0" w:color="auto"/>
              <w:right w:val="single" w:sz="4" w:space="0" w:color="auto"/>
            </w:tcBorders>
            <w:shd w:val="clear" w:color="000000" w:fill="F2F2F2"/>
            <w:vAlign w:val="center"/>
            <w:hideMark/>
          </w:tcPr>
          <w:p w14:paraId="18850511" w14:textId="77777777" w:rsidR="00C443F5" w:rsidRPr="00C443F5" w:rsidRDefault="00C443F5" w:rsidP="00C443F5">
            <w:pPr>
              <w:jc w:val="center"/>
              <w:rPr>
                <w:rFonts w:ascii="Arial" w:hAnsi="Arial" w:cs="Arial"/>
                <w:b/>
                <w:bCs/>
                <w:sz w:val="16"/>
                <w:szCs w:val="16"/>
              </w:rPr>
            </w:pPr>
            <w:r w:rsidRPr="00C443F5">
              <w:rPr>
                <w:rFonts w:ascii="Arial" w:hAnsi="Arial" w:cs="Arial"/>
                <w:b/>
                <w:bCs/>
                <w:sz w:val="16"/>
                <w:szCs w:val="16"/>
              </w:rPr>
              <w:t>Income Tax Gross-Up</w:t>
            </w:r>
          </w:p>
        </w:tc>
        <w:tc>
          <w:tcPr>
            <w:tcW w:w="1800" w:type="dxa"/>
            <w:tcBorders>
              <w:top w:val="single" w:sz="4" w:space="0" w:color="auto"/>
              <w:left w:val="nil"/>
              <w:bottom w:val="single" w:sz="4" w:space="0" w:color="auto"/>
              <w:right w:val="single" w:sz="4" w:space="0" w:color="auto"/>
            </w:tcBorders>
            <w:shd w:val="clear" w:color="000000" w:fill="F2F2F2"/>
            <w:vAlign w:val="center"/>
            <w:hideMark/>
          </w:tcPr>
          <w:p w14:paraId="42202CC0" w14:textId="77777777" w:rsidR="00C443F5" w:rsidRPr="00C443F5" w:rsidRDefault="00C443F5" w:rsidP="00C443F5">
            <w:pPr>
              <w:jc w:val="center"/>
              <w:rPr>
                <w:rFonts w:ascii="Arial" w:hAnsi="Arial" w:cs="Arial"/>
                <w:b/>
                <w:bCs/>
                <w:sz w:val="16"/>
                <w:szCs w:val="16"/>
              </w:rPr>
            </w:pPr>
            <w:r w:rsidRPr="00C443F5">
              <w:rPr>
                <w:rFonts w:ascii="Arial" w:hAnsi="Arial" w:cs="Arial"/>
                <w:b/>
                <w:bCs/>
                <w:sz w:val="16"/>
                <w:szCs w:val="16"/>
              </w:rPr>
              <w:t>Financing Cost Gross-Up</w:t>
            </w:r>
          </w:p>
        </w:tc>
        <w:tc>
          <w:tcPr>
            <w:tcW w:w="2070" w:type="dxa"/>
            <w:tcBorders>
              <w:top w:val="single" w:sz="4" w:space="0" w:color="auto"/>
              <w:left w:val="nil"/>
              <w:bottom w:val="single" w:sz="4" w:space="0" w:color="auto"/>
              <w:right w:val="single" w:sz="4" w:space="0" w:color="auto"/>
            </w:tcBorders>
            <w:shd w:val="clear" w:color="000000" w:fill="F2F2F2"/>
            <w:vAlign w:val="center"/>
            <w:hideMark/>
          </w:tcPr>
          <w:p w14:paraId="676197D7" w14:textId="77777777" w:rsidR="00C443F5" w:rsidRPr="00C443F5" w:rsidRDefault="00C443F5" w:rsidP="00C443F5">
            <w:pPr>
              <w:jc w:val="center"/>
              <w:rPr>
                <w:rFonts w:ascii="Arial" w:hAnsi="Arial" w:cs="Arial"/>
                <w:b/>
                <w:bCs/>
                <w:sz w:val="16"/>
                <w:szCs w:val="16"/>
              </w:rPr>
            </w:pPr>
            <w:r w:rsidRPr="00C443F5">
              <w:rPr>
                <w:rFonts w:ascii="Arial" w:hAnsi="Arial" w:cs="Arial"/>
                <w:b/>
                <w:bCs/>
                <w:sz w:val="16"/>
                <w:szCs w:val="16"/>
              </w:rPr>
              <w:t>Cost to Serve</w:t>
            </w:r>
          </w:p>
        </w:tc>
      </w:tr>
      <w:tr w:rsidR="00C443F5" w:rsidRPr="00C443F5" w14:paraId="4565C3A3" w14:textId="77777777" w:rsidTr="00397B51">
        <w:trPr>
          <w:trHeight w:val="225"/>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103E82E7" w14:textId="77777777" w:rsidR="00C443F5" w:rsidRPr="00C443F5" w:rsidRDefault="00C443F5" w:rsidP="00C443F5">
            <w:pPr>
              <w:rPr>
                <w:rFonts w:ascii="Arial" w:hAnsi="Arial" w:cs="Arial"/>
                <w:sz w:val="16"/>
                <w:szCs w:val="16"/>
              </w:rPr>
            </w:pPr>
            <w:r w:rsidRPr="00C443F5">
              <w:rPr>
                <w:rFonts w:ascii="Arial" w:hAnsi="Arial" w:cs="Arial"/>
                <w:sz w:val="16"/>
                <w:szCs w:val="16"/>
              </w:rPr>
              <w:t>2,050' x 4" plastic</w:t>
            </w:r>
          </w:p>
        </w:tc>
        <w:tc>
          <w:tcPr>
            <w:tcW w:w="1780" w:type="dxa"/>
            <w:tcBorders>
              <w:top w:val="nil"/>
              <w:left w:val="nil"/>
              <w:bottom w:val="single" w:sz="4" w:space="0" w:color="auto"/>
              <w:right w:val="single" w:sz="4" w:space="0" w:color="auto"/>
            </w:tcBorders>
            <w:shd w:val="clear" w:color="auto" w:fill="auto"/>
            <w:vAlign w:val="center"/>
            <w:hideMark/>
          </w:tcPr>
          <w:p w14:paraId="49309369" w14:textId="77777777" w:rsidR="00C443F5" w:rsidRPr="00C443F5" w:rsidRDefault="00C443F5" w:rsidP="00C443F5">
            <w:pPr>
              <w:jc w:val="right"/>
              <w:rPr>
                <w:rFonts w:ascii="Arial" w:hAnsi="Arial" w:cs="Arial"/>
                <w:sz w:val="16"/>
                <w:szCs w:val="16"/>
              </w:rPr>
            </w:pPr>
            <w:r w:rsidRPr="00C443F5">
              <w:rPr>
                <w:rFonts w:ascii="Arial" w:hAnsi="Arial" w:cs="Arial"/>
                <w:sz w:val="16"/>
                <w:szCs w:val="16"/>
              </w:rPr>
              <w:t>$130,000.00</w:t>
            </w:r>
          </w:p>
        </w:tc>
        <w:tc>
          <w:tcPr>
            <w:tcW w:w="1720" w:type="dxa"/>
            <w:tcBorders>
              <w:top w:val="nil"/>
              <w:left w:val="nil"/>
              <w:bottom w:val="single" w:sz="4" w:space="0" w:color="auto"/>
              <w:right w:val="single" w:sz="4" w:space="0" w:color="auto"/>
            </w:tcBorders>
            <w:shd w:val="clear" w:color="auto" w:fill="auto"/>
            <w:noWrap/>
            <w:vAlign w:val="center"/>
            <w:hideMark/>
          </w:tcPr>
          <w:p w14:paraId="67940586" w14:textId="77777777" w:rsidR="00C443F5" w:rsidRPr="00C443F5" w:rsidRDefault="00C443F5" w:rsidP="00C443F5">
            <w:pPr>
              <w:jc w:val="right"/>
              <w:rPr>
                <w:rFonts w:ascii="Arial" w:hAnsi="Arial" w:cs="Arial"/>
                <w:sz w:val="16"/>
                <w:szCs w:val="16"/>
              </w:rPr>
            </w:pPr>
            <w:r w:rsidRPr="00C443F5">
              <w:rPr>
                <w:rFonts w:ascii="Arial" w:hAnsi="Arial" w:cs="Arial"/>
                <w:sz w:val="16"/>
                <w:szCs w:val="16"/>
              </w:rPr>
              <w:t>$19,917.30</w:t>
            </w:r>
          </w:p>
        </w:tc>
        <w:tc>
          <w:tcPr>
            <w:tcW w:w="1800" w:type="dxa"/>
            <w:tcBorders>
              <w:top w:val="nil"/>
              <w:left w:val="nil"/>
              <w:bottom w:val="single" w:sz="4" w:space="0" w:color="auto"/>
              <w:right w:val="single" w:sz="4" w:space="0" w:color="auto"/>
            </w:tcBorders>
            <w:shd w:val="clear" w:color="auto" w:fill="auto"/>
            <w:noWrap/>
            <w:vAlign w:val="center"/>
            <w:hideMark/>
          </w:tcPr>
          <w:p w14:paraId="34A4D27A" w14:textId="77777777" w:rsidR="00C443F5" w:rsidRPr="00C443F5" w:rsidRDefault="00C443F5" w:rsidP="00C443F5">
            <w:pPr>
              <w:jc w:val="right"/>
              <w:rPr>
                <w:rFonts w:ascii="Arial" w:hAnsi="Arial" w:cs="Arial"/>
                <w:sz w:val="16"/>
                <w:szCs w:val="16"/>
              </w:rPr>
            </w:pPr>
            <w:r w:rsidRPr="00C443F5">
              <w:rPr>
                <w:rFonts w:ascii="Arial" w:hAnsi="Arial" w:cs="Arial"/>
                <w:sz w:val="16"/>
                <w:szCs w:val="16"/>
              </w:rPr>
              <w:t>$746.20</w:t>
            </w:r>
          </w:p>
        </w:tc>
        <w:tc>
          <w:tcPr>
            <w:tcW w:w="2070" w:type="dxa"/>
            <w:tcBorders>
              <w:top w:val="nil"/>
              <w:left w:val="nil"/>
              <w:bottom w:val="single" w:sz="4" w:space="0" w:color="auto"/>
              <w:right w:val="single" w:sz="4" w:space="0" w:color="auto"/>
            </w:tcBorders>
            <w:shd w:val="clear" w:color="auto" w:fill="auto"/>
            <w:noWrap/>
            <w:vAlign w:val="center"/>
            <w:hideMark/>
          </w:tcPr>
          <w:p w14:paraId="322B6245" w14:textId="77777777" w:rsidR="00C443F5" w:rsidRPr="00C443F5" w:rsidRDefault="00C443F5" w:rsidP="00C443F5">
            <w:pPr>
              <w:jc w:val="right"/>
              <w:rPr>
                <w:rFonts w:ascii="Arial" w:hAnsi="Arial" w:cs="Arial"/>
                <w:sz w:val="16"/>
                <w:szCs w:val="16"/>
              </w:rPr>
            </w:pPr>
            <w:r w:rsidRPr="00C443F5">
              <w:rPr>
                <w:rFonts w:ascii="Arial" w:hAnsi="Arial" w:cs="Arial"/>
                <w:sz w:val="16"/>
                <w:szCs w:val="16"/>
              </w:rPr>
              <w:t>$150,663.50</w:t>
            </w:r>
          </w:p>
        </w:tc>
      </w:tr>
      <w:tr w:rsidR="00C443F5" w:rsidRPr="00C443F5" w14:paraId="4F4B89EB" w14:textId="77777777" w:rsidTr="00397B51">
        <w:trPr>
          <w:trHeight w:val="225"/>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C0F247F"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Total:</w:t>
            </w:r>
          </w:p>
        </w:tc>
        <w:tc>
          <w:tcPr>
            <w:tcW w:w="1780" w:type="dxa"/>
            <w:tcBorders>
              <w:top w:val="nil"/>
              <w:left w:val="nil"/>
              <w:bottom w:val="single" w:sz="4" w:space="0" w:color="auto"/>
              <w:right w:val="single" w:sz="4" w:space="0" w:color="auto"/>
            </w:tcBorders>
            <w:shd w:val="clear" w:color="auto" w:fill="auto"/>
            <w:noWrap/>
            <w:vAlign w:val="center"/>
            <w:hideMark/>
          </w:tcPr>
          <w:p w14:paraId="1BF805A3"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$130,000.00</w:t>
            </w:r>
          </w:p>
        </w:tc>
        <w:tc>
          <w:tcPr>
            <w:tcW w:w="1720" w:type="dxa"/>
            <w:tcBorders>
              <w:top w:val="nil"/>
              <w:left w:val="nil"/>
              <w:bottom w:val="single" w:sz="4" w:space="0" w:color="auto"/>
              <w:right w:val="single" w:sz="4" w:space="0" w:color="auto"/>
            </w:tcBorders>
            <w:shd w:val="clear" w:color="auto" w:fill="auto"/>
            <w:noWrap/>
            <w:vAlign w:val="center"/>
            <w:hideMark/>
          </w:tcPr>
          <w:p w14:paraId="14FD0E77"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$19,917.30</w:t>
            </w:r>
          </w:p>
        </w:tc>
        <w:tc>
          <w:tcPr>
            <w:tcW w:w="1800" w:type="dxa"/>
            <w:tcBorders>
              <w:top w:val="nil"/>
              <w:left w:val="nil"/>
              <w:bottom w:val="single" w:sz="4" w:space="0" w:color="auto"/>
              <w:right w:val="single" w:sz="4" w:space="0" w:color="auto"/>
            </w:tcBorders>
            <w:shd w:val="clear" w:color="auto" w:fill="auto"/>
            <w:noWrap/>
            <w:vAlign w:val="center"/>
            <w:hideMark/>
          </w:tcPr>
          <w:p w14:paraId="4B20B350"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$746.20</w:t>
            </w:r>
          </w:p>
        </w:tc>
        <w:tc>
          <w:tcPr>
            <w:tcW w:w="2070" w:type="dxa"/>
            <w:tcBorders>
              <w:top w:val="nil"/>
              <w:left w:val="nil"/>
              <w:bottom w:val="single" w:sz="4" w:space="0" w:color="auto"/>
              <w:right w:val="single" w:sz="4" w:space="0" w:color="auto"/>
            </w:tcBorders>
            <w:shd w:val="clear" w:color="auto" w:fill="auto"/>
            <w:noWrap/>
            <w:vAlign w:val="center"/>
            <w:hideMark/>
          </w:tcPr>
          <w:p w14:paraId="408BD3DD"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$150,663.50</w:t>
            </w:r>
          </w:p>
        </w:tc>
      </w:tr>
    </w:tbl>
    <w:p w14:paraId="1FF6E4E6" w14:textId="77777777" w:rsidR="00C443F5" w:rsidRPr="00C443F5" w:rsidRDefault="00C443F5" w:rsidP="00C443F5">
      <w:pPr>
        <w:widowControl w:val="0"/>
        <w:spacing w:after="200"/>
        <w:contextualSpacing/>
      </w:pPr>
    </w:p>
    <w:p w14:paraId="5DB80DF1" w14:textId="77777777" w:rsidR="00C443F5" w:rsidRPr="00C443F5" w:rsidRDefault="00C443F5" w:rsidP="00C443F5">
      <w:pPr>
        <w:widowControl w:val="0"/>
        <w:spacing w:after="200"/>
        <w:contextualSpacing/>
      </w:pPr>
      <w:r w:rsidRPr="00C443F5">
        <w:tab/>
        <w:t>On October 19, 2023, the Staff issued its 14</w:t>
      </w:r>
      <w:r w:rsidRPr="00C443F5">
        <w:rPr>
          <w:vertAlign w:val="superscript"/>
        </w:rPr>
        <w:t>th</w:t>
      </w:r>
      <w:r w:rsidRPr="00C443F5">
        <w:t xml:space="preserve"> Set of Data Requests, and as part of this data request, the Staff asked for additional information related to this project. On November 3, 2023, AGL filed responses. The Staff had no additional concerns and found the filing to be whole and complete. The Staff will consider this project as part of the USF 2024 Plan filing. </w:t>
      </w:r>
    </w:p>
    <w:p w14:paraId="78FBADD7" w14:textId="77777777" w:rsidR="00C443F5" w:rsidRPr="00C443F5" w:rsidRDefault="00C443F5" w:rsidP="00C443F5">
      <w:pPr>
        <w:widowControl w:val="0"/>
        <w:spacing w:after="200"/>
        <w:contextualSpacing/>
      </w:pPr>
    </w:p>
    <w:p w14:paraId="6A490265" w14:textId="77777777" w:rsidR="00C443F5" w:rsidRPr="00C443F5" w:rsidRDefault="00C443F5" w:rsidP="00C443F5">
      <w:pPr>
        <w:widowControl w:val="0"/>
        <w:spacing w:after="200"/>
        <w:contextualSpacing/>
      </w:pPr>
    </w:p>
    <w:p w14:paraId="0DEDCF1C" w14:textId="77777777" w:rsidR="00C443F5" w:rsidRPr="00C443F5" w:rsidRDefault="00C443F5" w:rsidP="00C443F5">
      <w:pPr>
        <w:widowControl w:val="0"/>
        <w:numPr>
          <w:ilvl w:val="0"/>
          <w:numId w:val="2"/>
        </w:numPr>
        <w:spacing w:before="100" w:after="220"/>
        <w:contextualSpacing/>
        <w:jc w:val="center"/>
        <w:rPr>
          <w:b/>
        </w:rPr>
      </w:pPr>
      <w:r w:rsidRPr="00C443F5">
        <w:rPr>
          <w:b/>
        </w:rPr>
        <w:t>Atlanta Gas Light Company's Year 2024</w:t>
      </w:r>
    </w:p>
    <w:p w14:paraId="772F26A8" w14:textId="77777777" w:rsidR="00C443F5" w:rsidRPr="00C443F5" w:rsidRDefault="00C443F5" w:rsidP="00C443F5">
      <w:pPr>
        <w:widowControl w:val="0"/>
        <w:spacing w:before="100" w:after="220"/>
        <w:ind w:left="1080"/>
        <w:contextualSpacing/>
        <w:jc w:val="center"/>
        <w:rPr>
          <w:b/>
        </w:rPr>
      </w:pPr>
      <w:r w:rsidRPr="00C443F5">
        <w:rPr>
          <w:b/>
        </w:rPr>
        <w:t>Universal Service Fund Facilities Expansion Plan</w:t>
      </w:r>
    </w:p>
    <w:p w14:paraId="66EAF1CA" w14:textId="77777777" w:rsidR="00C443F5" w:rsidRPr="00C443F5" w:rsidRDefault="00C443F5" w:rsidP="00C443F5">
      <w:pPr>
        <w:spacing w:after="200"/>
        <w:ind w:firstLine="720"/>
        <w:contextualSpacing/>
        <w:jc w:val="both"/>
        <w:rPr>
          <w:snapToGrid w:val="0"/>
        </w:rPr>
      </w:pPr>
    </w:p>
    <w:p w14:paraId="5E4ACED6" w14:textId="77777777" w:rsidR="00C443F5" w:rsidRPr="00C443F5" w:rsidRDefault="00C443F5" w:rsidP="00C443F5">
      <w:pPr>
        <w:spacing w:after="200"/>
        <w:ind w:firstLine="720"/>
        <w:contextualSpacing/>
        <w:jc w:val="both"/>
        <w:rPr>
          <w:snapToGrid w:val="0"/>
        </w:rPr>
      </w:pPr>
      <w:r w:rsidRPr="00C443F5">
        <w:rPr>
          <w:snapToGrid w:val="0"/>
        </w:rPr>
        <w:t xml:space="preserve">On September 1, 2023, Atlanta Gas Light Company (“AGL”) filed a Notice of Filing 2024 Universal Service Fund (“USF”) Facilities Expansion Plan (“USF 2024 Plan”). AGL stated it would file Minimum Filing Requirements on or before October 1, 2023.  Through discussions with AGL, the primary reason for the delay was completing engineering estimates for the proposed projects. The Company considered moving the stakeholder process to earlier in the year to allow it enough time to process the engineering estimates </w:t>
      </w:r>
      <w:proofErr w:type="gramStart"/>
      <w:r w:rsidRPr="00C443F5">
        <w:rPr>
          <w:snapToGrid w:val="0"/>
        </w:rPr>
        <w:t>in order to</w:t>
      </w:r>
      <w:proofErr w:type="gramEnd"/>
      <w:r w:rsidRPr="00C443F5">
        <w:rPr>
          <w:snapToGrid w:val="0"/>
        </w:rPr>
        <w:t xml:space="preserve"> comply with a September 1</w:t>
      </w:r>
      <w:r w:rsidRPr="00C443F5">
        <w:rPr>
          <w:snapToGrid w:val="0"/>
          <w:vertAlign w:val="superscript"/>
        </w:rPr>
        <w:t>st</w:t>
      </w:r>
      <w:r w:rsidRPr="00C443F5">
        <w:rPr>
          <w:snapToGrid w:val="0"/>
        </w:rPr>
        <w:t xml:space="preserve"> filing date. The Staff suggested that AGL file a waiver to Commission Rules to allow the company time to ensure that the new </w:t>
      </w:r>
      <w:proofErr w:type="gramStart"/>
      <w:r w:rsidRPr="00C443F5">
        <w:rPr>
          <w:snapToGrid w:val="0"/>
        </w:rPr>
        <w:t>time period</w:t>
      </w:r>
      <w:proofErr w:type="gramEnd"/>
      <w:r w:rsidRPr="00C443F5">
        <w:rPr>
          <w:snapToGrid w:val="0"/>
        </w:rPr>
        <w:t xml:space="preserve"> requested will be sufficient.</w:t>
      </w:r>
    </w:p>
    <w:p w14:paraId="76EDDCA1" w14:textId="77777777" w:rsidR="00C443F5" w:rsidRPr="00C443F5" w:rsidRDefault="00C443F5" w:rsidP="00C443F5">
      <w:pPr>
        <w:spacing w:after="200"/>
        <w:contextualSpacing/>
        <w:rPr>
          <w:snapToGrid w:val="0"/>
        </w:rPr>
      </w:pPr>
    </w:p>
    <w:p w14:paraId="1E35F41E" w14:textId="77777777" w:rsidR="00C443F5" w:rsidRPr="00C443F5" w:rsidRDefault="00C443F5" w:rsidP="00C443F5">
      <w:pPr>
        <w:spacing w:after="200"/>
        <w:ind w:firstLine="720"/>
        <w:contextualSpacing/>
        <w:rPr>
          <w:snapToGrid w:val="0"/>
        </w:rPr>
      </w:pPr>
      <w:r w:rsidRPr="00C443F5">
        <w:rPr>
          <w:snapToGrid w:val="0"/>
        </w:rPr>
        <w:t>On October 2, 2023 AGL filed its Year 2024 Universal Service Fund Facilities Expansion Plan (“USF 2024 Plan”). AGL filed the Seven (7) required minimum filing requirements (“MFR”). The MFR’s included the following:</w:t>
      </w:r>
    </w:p>
    <w:p w14:paraId="16E2DE78" w14:textId="77777777" w:rsidR="00C443F5" w:rsidRPr="00C443F5" w:rsidRDefault="00C443F5" w:rsidP="00C443F5">
      <w:pPr>
        <w:spacing w:after="200"/>
        <w:contextualSpacing/>
        <w:rPr>
          <w:snapToGrid w:val="0"/>
        </w:rPr>
      </w:pPr>
    </w:p>
    <w:p w14:paraId="187D6495" w14:textId="77777777" w:rsidR="00C443F5" w:rsidRPr="00C443F5" w:rsidRDefault="00C443F5" w:rsidP="00C443F5">
      <w:pPr>
        <w:spacing w:after="200"/>
        <w:contextualSpacing/>
        <w:rPr>
          <w:snapToGrid w:val="0"/>
        </w:rPr>
      </w:pPr>
      <w:r w:rsidRPr="00C443F5">
        <w:rPr>
          <w:snapToGrid w:val="0"/>
        </w:rPr>
        <w:t>MFR-1: Written description of each project.</w:t>
      </w:r>
    </w:p>
    <w:p w14:paraId="1D886A71" w14:textId="77777777" w:rsidR="00C443F5" w:rsidRPr="00C443F5" w:rsidRDefault="00C443F5" w:rsidP="00C443F5">
      <w:pPr>
        <w:spacing w:after="200"/>
        <w:contextualSpacing/>
        <w:rPr>
          <w:snapToGrid w:val="0"/>
        </w:rPr>
      </w:pPr>
      <w:r w:rsidRPr="00C443F5">
        <w:rPr>
          <w:snapToGrid w:val="0"/>
        </w:rPr>
        <w:t>MFR-2: AGL capital budget.</w:t>
      </w:r>
    </w:p>
    <w:p w14:paraId="15684160" w14:textId="77777777" w:rsidR="00C443F5" w:rsidRPr="00C443F5" w:rsidRDefault="00C443F5" w:rsidP="00C443F5">
      <w:pPr>
        <w:spacing w:after="200"/>
        <w:contextualSpacing/>
        <w:rPr>
          <w:snapToGrid w:val="0"/>
        </w:rPr>
      </w:pPr>
      <w:r w:rsidRPr="00C443F5">
        <w:rPr>
          <w:snapToGrid w:val="0"/>
        </w:rPr>
        <w:t>MFR-3: Stakeholder process.</w:t>
      </w:r>
    </w:p>
    <w:p w14:paraId="5BA0CEEC" w14:textId="77777777" w:rsidR="00C443F5" w:rsidRPr="00C443F5" w:rsidRDefault="00C443F5" w:rsidP="00C443F5">
      <w:pPr>
        <w:spacing w:after="200"/>
        <w:contextualSpacing/>
        <w:rPr>
          <w:snapToGrid w:val="0"/>
        </w:rPr>
      </w:pPr>
      <w:r w:rsidRPr="00C443F5">
        <w:rPr>
          <w:snapToGrid w:val="0"/>
        </w:rPr>
        <w:t>MFR-4: Maps of each project.</w:t>
      </w:r>
    </w:p>
    <w:p w14:paraId="432F25C6" w14:textId="77777777" w:rsidR="00C443F5" w:rsidRPr="00C443F5" w:rsidRDefault="00C443F5" w:rsidP="00C443F5">
      <w:pPr>
        <w:spacing w:after="200"/>
        <w:contextualSpacing/>
        <w:rPr>
          <w:snapToGrid w:val="0"/>
        </w:rPr>
      </w:pPr>
      <w:r w:rsidRPr="00C443F5">
        <w:rPr>
          <w:snapToGrid w:val="0"/>
        </w:rPr>
        <w:t>MFR-5: Basic economic development data.</w:t>
      </w:r>
    </w:p>
    <w:p w14:paraId="02C9084E" w14:textId="77777777" w:rsidR="00C443F5" w:rsidRPr="00C443F5" w:rsidRDefault="00C443F5" w:rsidP="00C443F5">
      <w:pPr>
        <w:spacing w:after="200"/>
        <w:contextualSpacing/>
        <w:rPr>
          <w:snapToGrid w:val="0"/>
        </w:rPr>
      </w:pPr>
      <w:r w:rsidRPr="00C443F5">
        <w:rPr>
          <w:snapToGrid w:val="0"/>
        </w:rPr>
        <w:t>MFR-6: Project Financial Analysis</w:t>
      </w:r>
    </w:p>
    <w:p w14:paraId="755056F9" w14:textId="77777777" w:rsidR="00C443F5" w:rsidRPr="00C443F5" w:rsidRDefault="00C443F5" w:rsidP="00C443F5">
      <w:pPr>
        <w:spacing w:after="200"/>
        <w:contextualSpacing/>
        <w:rPr>
          <w:snapToGrid w:val="0"/>
        </w:rPr>
      </w:pPr>
      <w:r w:rsidRPr="00C443F5">
        <w:rPr>
          <w:snapToGrid w:val="0"/>
        </w:rPr>
        <w:t>MFR-7: Project Technical Analysis</w:t>
      </w:r>
    </w:p>
    <w:p w14:paraId="262588F8" w14:textId="77777777" w:rsidR="00C443F5" w:rsidRPr="00C443F5" w:rsidRDefault="00C443F5" w:rsidP="00C443F5">
      <w:pPr>
        <w:spacing w:after="200"/>
        <w:contextualSpacing/>
        <w:rPr>
          <w:snapToGrid w:val="0"/>
        </w:rPr>
      </w:pPr>
    </w:p>
    <w:p w14:paraId="09045BE7" w14:textId="77777777" w:rsidR="00C443F5" w:rsidRPr="00C443F5" w:rsidRDefault="00C443F5" w:rsidP="00C443F5">
      <w:pPr>
        <w:spacing w:after="200"/>
        <w:contextualSpacing/>
        <w:rPr>
          <w:snapToGrid w:val="0"/>
        </w:rPr>
      </w:pPr>
    </w:p>
    <w:p w14:paraId="07465D2D" w14:textId="77777777" w:rsidR="00C443F5" w:rsidRPr="00C443F5" w:rsidRDefault="00C443F5" w:rsidP="00C443F5">
      <w:pPr>
        <w:numPr>
          <w:ilvl w:val="0"/>
          <w:numId w:val="3"/>
        </w:numPr>
        <w:spacing w:after="200"/>
        <w:contextualSpacing/>
        <w:rPr>
          <w:b/>
        </w:rPr>
      </w:pPr>
      <w:r w:rsidRPr="00C443F5">
        <w:rPr>
          <w:b/>
        </w:rPr>
        <w:t>AGL Petition Language</w:t>
      </w:r>
    </w:p>
    <w:p w14:paraId="317139ED" w14:textId="77777777" w:rsidR="00C443F5" w:rsidRPr="00C443F5" w:rsidRDefault="00C443F5" w:rsidP="00C443F5">
      <w:pPr>
        <w:spacing w:after="200"/>
        <w:ind w:firstLine="720"/>
        <w:contextualSpacing/>
        <w:rPr>
          <w:snapToGrid w:val="0"/>
        </w:rPr>
      </w:pPr>
    </w:p>
    <w:p w14:paraId="5FC803E0" w14:textId="77777777" w:rsidR="00C443F5" w:rsidRPr="00C443F5" w:rsidRDefault="00C443F5" w:rsidP="00C443F5">
      <w:pPr>
        <w:spacing w:after="200"/>
        <w:ind w:firstLine="720"/>
        <w:contextualSpacing/>
        <w:rPr>
          <w:snapToGrid w:val="0"/>
        </w:rPr>
      </w:pPr>
      <w:r w:rsidRPr="00C443F5">
        <w:rPr>
          <w:snapToGrid w:val="0"/>
        </w:rPr>
        <w:t xml:space="preserve">On October 2, 2023, when AGL filed its original USF 2024 Plan, the petition contained the following language. </w:t>
      </w:r>
    </w:p>
    <w:p w14:paraId="17498CDB" w14:textId="77777777" w:rsidR="00C443F5" w:rsidRPr="00C443F5" w:rsidRDefault="00C443F5" w:rsidP="00C443F5">
      <w:pPr>
        <w:spacing w:after="200"/>
        <w:contextualSpacing/>
        <w:rPr>
          <w:snapToGrid w:val="0"/>
          <w:sz w:val="20"/>
          <w:szCs w:val="20"/>
        </w:rPr>
      </w:pPr>
    </w:p>
    <w:p w14:paraId="7BAD7749" w14:textId="77777777" w:rsidR="00C443F5" w:rsidRPr="00C443F5" w:rsidRDefault="00C443F5" w:rsidP="00C443F5">
      <w:pPr>
        <w:spacing w:after="200"/>
        <w:ind w:left="720"/>
        <w:contextualSpacing/>
        <w:rPr>
          <w:snapToGrid w:val="0"/>
          <w:sz w:val="20"/>
          <w:szCs w:val="20"/>
        </w:rPr>
      </w:pPr>
      <w:r w:rsidRPr="00C443F5">
        <w:rPr>
          <w:snapToGrid w:val="0"/>
          <w:sz w:val="20"/>
          <w:szCs w:val="20"/>
        </w:rPr>
        <w:t xml:space="preserve">Beginning with the 2024 USF plan year, AGL will formalize its customary practice of a contingency within the project estimates.  The Commission would use these estimates, which will include a 20% contingency, when determining and encumbering available USF dollars for that upcoming fiscal year. Notwithstanding the project estimates and consistent with the USF statute, AGL would recover from the USF all actual project costs expended in the aggregate at the end of the fiscal year, provided there are unencumbered funds available in the USF and such costs are not deemed imprudent.  If the actual costs in the aggregate for all the completed projects for a given fiscal year exceed the available funds, the Company would utilize its capital budget, provided doing so would not be subject to any rate cap agreed to in the Georgia Rate Adjustment Mechanism (“GRAM”) process. Any revenue requirements that cannot be recovered in the year in which the costs were incurred because such costs exceed both that year’s available USF funds and available capital budget will be recovered in the subsequent USF or capital budget fiscal </w:t>
      </w:r>
      <w:proofErr w:type="gramStart"/>
      <w:r w:rsidRPr="00C443F5">
        <w:rPr>
          <w:snapToGrid w:val="0"/>
          <w:sz w:val="20"/>
          <w:szCs w:val="20"/>
        </w:rPr>
        <w:t>year, and</w:t>
      </w:r>
      <w:proofErr w:type="gramEnd"/>
      <w:r w:rsidRPr="00C443F5">
        <w:rPr>
          <w:snapToGrid w:val="0"/>
          <w:sz w:val="20"/>
          <w:szCs w:val="20"/>
        </w:rPr>
        <w:t xml:space="preserve"> may be treated as a regulatory asset account by AGL.</w:t>
      </w:r>
    </w:p>
    <w:p w14:paraId="48C62188" w14:textId="77777777" w:rsidR="00C443F5" w:rsidRPr="00C443F5" w:rsidRDefault="00C443F5" w:rsidP="00C443F5">
      <w:pPr>
        <w:spacing w:after="200"/>
        <w:contextualSpacing/>
        <w:rPr>
          <w:snapToGrid w:val="0"/>
        </w:rPr>
      </w:pPr>
    </w:p>
    <w:p w14:paraId="74013B8A" w14:textId="77777777" w:rsidR="00C443F5" w:rsidRPr="00C443F5" w:rsidRDefault="00C443F5" w:rsidP="00C443F5">
      <w:pPr>
        <w:spacing w:after="200"/>
        <w:contextualSpacing/>
        <w:rPr>
          <w:snapToGrid w:val="0"/>
        </w:rPr>
      </w:pPr>
      <w:r w:rsidRPr="00C443F5">
        <w:rPr>
          <w:snapToGrid w:val="0"/>
        </w:rPr>
        <w:tab/>
        <w:t>On October 6</w:t>
      </w:r>
      <w:r w:rsidRPr="00C443F5">
        <w:rPr>
          <w:snapToGrid w:val="0"/>
          <w:vertAlign w:val="superscript"/>
        </w:rPr>
        <w:t>th</w:t>
      </w:r>
      <w:r w:rsidRPr="00C443F5">
        <w:rPr>
          <w:snapToGrid w:val="0"/>
        </w:rPr>
        <w:t>, AGL filed a First Amended 2024 Plan filing to include revised petition language. On November 16</w:t>
      </w:r>
      <w:r w:rsidRPr="00C443F5">
        <w:rPr>
          <w:snapToGrid w:val="0"/>
          <w:vertAlign w:val="superscript"/>
        </w:rPr>
        <w:t>th</w:t>
      </w:r>
      <w:r w:rsidRPr="00C443F5">
        <w:rPr>
          <w:snapToGrid w:val="0"/>
        </w:rPr>
        <w:t>, AGL filed a Second Amended 2024 Plan filing to update project estimates. On November 21</w:t>
      </w:r>
      <w:r w:rsidRPr="00C443F5">
        <w:rPr>
          <w:snapToGrid w:val="0"/>
          <w:vertAlign w:val="superscript"/>
        </w:rPr>
        <w:t>st</w:t>
      </w:r>
      <w:r w:rsidRPr="00C443F5">
        <w:rPr>
          <w:snapToGrid w:val="0"/>
        </w:rPr>
        <w:t xml:space="preserve">, AGL filed a Third Amended 2024 Plan to update additional project estimates. </w:t>
      </w:r>
    </w:p>
    <w:p w14:paraId="6E5614DE" w14:textId="77777777" w:rsidR="00C443F5" w:rsidRPr="00C443F5" w:rsidRDefault="00C443F5" w:rsidP="00C443F5">
      <w:pPr>
        <w:spacing w:after="200"/>
        <w:contextualSpacing/>
        <w:rPr>
          <w:snapToGrid w:val="0"/>
        </w:rPr>
      </w:pPr>
    </w:p>
    <w:p w14:paraId="776B6CAD" w14:textId="77777777" w:rsidR="00C443F5" w:rsidRPr="00C443F5" w:rsidRDefault="00C443F5" w:rsidP="00C443F5">
      <w:pPr>
        <w:spacing w:after="200"/>
        <w:contextualSpacing/>
        <w:rPr>
          <w:snapToGrid w:val="0"/>
        </w:rPr>
      </w:pPr>
    </w:p>
    <w:p w14:paraId="6F351591" w14:textId="77777777" w:rsidR="00C443F5" w:rsidRPr="00C443F5" w:rsidRDefault="00C443F5" w:rsidP="00C443F5">
      <w:pPr>
        <w:numPr>
          <w:ilvl w:val="0"/>
          <w:numId w:val="3"/>
        </w:numPr>
        <w:spacing w:after="200"/>
        <w:contextualSpacing/>
        <w:rPr>
          <w:b/>
        </w:rPr>
      </w:pPr>
      <w:r w:rsidRPr="00C443F5">
        <w:rPr>
          <w:b/>
        </w:rPr>
        <w:t xml:space="preserve">MFR-1 Proposed Projects </w:t>
      </w:r>
    </w:p>
    <w:p w14:paraId="62894B18" w14:textId="77777777" w:rsidR="00C443F5" w:rsidRPr="00C443F5" w:rsidRDefault="00C443F5" w:rsidP="00C443F5">
      <w:pPr>
        <w:ind w:left="1440" w:hanging="1440"/>
        <w:contextualSpacing/>
        <w:jc w:val="both"/>
        <w:rPr>
          <w:b/>
          <w:u w:val="single"/>
        </w:rPr>
      </w:pPr>
    </w:p>
    <w:p w14:paraId="4812B574" w14:textId="77777777" w:rsidR="00C443F5" w:rsidRPr="00C443F5" w:rsidRDefault="00C443F5" w:rsidP="00C443F5">
      <w:pPr>
        <w:ind w:firstLine="720"/>
        <w:contextualSpacing/>
        <w:jc w:val="both"/>
      </w:pPr>
      <w:r w:rsidRPr="00C443F5">
        <w:t xml:space="preserve">As part of the USF 2024 Plan, AGL provided five potential projects for consideration. In MFR-1, the project details were discussed. Below is a synopsis of each project. It should be noted that the three residential projects were included in the 2023 </w:t>
      </w:r>
      <w:proofErr w:type="gramStart"/>
      <w:r w:rsidRPr="00C443F5">
        <w:t>GRAM, but</w:t>
      </w:r>
      <w:proofErr w:type="gramEnd"/>
      <w:r w:rsidRPr="00C443F5">
        <w:t xml:space="preserve"> weren’t approved to move forward.   </w:t>
      </w:r>
    </w:p>
    <w:p w14:paraId="10C805E6" w14:textId="77777777" w:rsidR="00C443F5" w:rsidRPr="00C443F5" w:rsidRDefault="00C443F5" w:rsidP="00C443F5">
      <w:pPr>
        <w:ind w:left="1440" w:hanging="1440"/>
        <w:contextualSpacing/>
        <w:jc w:val="both"/>
        <w:rPr>
          <w:b/>
          <w:u w:val="single"/>
        </w:rPr>
      </w:pPr>
    </w:p>
    <w:p w14:paraId="64970B77" w14:textId="77777777" w:rsidR="00C443F5" w:rsidRPr="00C443F5" w:rsidRDefault="00C443F5" w:rsidP="00C443F5">
      <w:pPr>
        <w:ind w:left="1440" w:hanging="1440"/>
        <w:contextualSpacing/>
        <w:jc w:val="both"/>
        <w:rPr>
          <w:b/>
          <w:u w:val="single"/>
        </w:rPr>
      </w:pPr>
      <w:r w:rsidRPr="00C443F5">
        <w:rPr>
          <w:b/>
          <w:u w:val="single"/>
        </w:rPr>
        <w:t>Glynn County Project #1 - Residential</w:t>
      </w:r>
    </w:p>
    <w:p w14:paraId="119FB5F1" w14:textId="77777777" w:rsidR="00C443F5" w:rsidRPr="00C443F5" w:rsidRDefault="00C443F5" w:rsidP="00C443F5">
      <w:pPr>
        <w:contextualSpacing/>
        <w:jc w:val="both"/>
        <w:rPr>
          <w:bCs/>
        </w:rPr>
      </w:pPr>
      <w:r w:rsidRPr="00C443F5">
        <w:rPr>
          <w:bCs/>
        </w:rPr>
        <w:t>This project proposes to serve residential homes in Glynn County. There are 280 new homes that request natural gas service or conversion to natural gas in this residential neighborhood. AGL proposes to upsize 4,100 feet of existing 4” steel with 6” steel (MAOP 300 psi, operating pressure 60 psi) along Frederica Road, upsize 350 feet of 2” plastic with 4” plastic (MAOP 60 psi) at the intersection of Frederica Road and N Harrington Road, and install 6,000 feet of 4” plastic (MAOP 60 psi) along West Point Parkway to serve these homes. AGL is currently certificated to serve this area. The project was part of the USF 2023 Plan filing, but it wasn’t considered.</w:t>
      </w:r>
    </w:p>
    <w:p w14:paraId="37138CA2" w14:textId="77777777" w:rsidR="00C443F5" w:rsidRPr="00C443F5" w:rsidRDefault="00C443F5" w:rsidP="00C443F5">
      <w:pPr>
        <w:contextualSpacing/>
        <w:jc w:val="both"/>
        <w:rPr>
          <w:b/>
          <w:bCs/>
        </w:rPr>
      </w:pPr>
    </w:p>
    <w:p w14:paraId="0406F188" w14:textId="77777777" w:rsidR="00C443F5" w:rsidRPr="00C443F5" w:rsidRDefault="00C443F5" w:rsidP="00C443F5">
      <w:pPr>
        <w:contextualSpacing/>
        <w:jc w:val="both"/>
        <w:rPr>
          <w:b/>
          <w:bCs/>
          <w:u w:val="single"/>
        </w:rPr>
      </w:pPr>
      <w:r w:rsidRPr="00C443F5">
        <w:rPr>
          <w:b/>
          <w:bCs/>
          <w:u w:val="single"/>
        </w:rPr>
        <w:t>Glynn County Project #2 - Residential</w:t>
      </w:r>
    </w:p>
    <w:p w14:paraId="196C973F" w14:textId="77777777" w:rsidR="00C443F5" w:rsidRPr="00C443F5" w:rsidRDefault="00C443F5" w:rsidP="00C443F5">
      <w:pPr>
        <w:contextualSpacing/>
        <w:jc w:val="both"/>
      </w:pPr>
      <w:r w:rsidRPr="00C443F5">
        <w:t xml:space="preserve">This project proposes to serve residential homes in Glynn County.  There are 80 homes requesting conversion to natural gas in this residential neighborhood.  This corridor has commercial growth potential. </w:t>
      </w:r>
      <w:r w:rsidRPr="00C443F5">
        <w:rPr>
          <w:bCs/>
        </w:rPr>
        <w:t xml:space="preserve">AGL proposes to tie-into existing 4” plastic on Hampton Point Drive and install approximately 8,400 feet of 4” plastic (MAOP 60 psi) along Hampton Point Drive and Butler Lake Drive to reach these homes.  AGL is currently certificated to serve this area. This project was part of the USF 2023 Plan, but it wasn’t considered. </w:t>
      </w:r>
    </w:p>
    <w:p w14:paraId="75F2FF22" w14:textId="77777777" w:rsidR="00C443F5" w:rsidRPr="00C443F5" w:rsidRDefault="00C443F5" w:rsidP="00C443F5">
      <w:pPr>
        <w:contextualSpacing/>
        <w:jc w:val="both"/>
        <w:rPr>
          <w:b/>
          <w:bCs/>
        </w:rPr>
      </w:pPr>
    </w:p>
    <w:p w14:paraId="0632C4D9" w14:textId="77777777" w:rsidR="00C443F5" w:rsidRPr="00C443F5" w:rsidRDefault="00C443F5" w:rsidP="00C443F5">
      <w:pPr>
        <w:contextualSpacing/>
        <w:jc w:val="both"/>
        <w:rPr>
          <w:b/>
          <w:bCs/>
          <w:u w:val="single"/>
        </w:rPr>
      </w:pPr>
      <w:r w:rsidRPr="00C443F5">
        <w:rPr>
          <w:b/>
          <w:bCs/>
          <w:u w:val="single"/>
        </w:rPr>
        <w:t>Cherokee County Project - Residential</w:t>
      </w:r>
    </w:p>
    <w:p w14:paraId="64B6784B" w14:textId="77777777" w:rsidR="00C443F5" w:rsidRPr="00C443F5" w:rsidRDefault="00C443F5" w:rsidP="00C443F5">
      <w:pPr>
        <w:contextualSpacing/>
        <w:jc w:val="both"/>
        <w:rPr>
          <w:bCs/>
        </w:rPr>
      </w:pPr>
      <w:r w:rsidRPr="00C443F5">
        <w:rPr>
          <w:bCs/>
        </w:rPr>
        <w:t>This project proposes to serve residential homes in Cherokee County. There are 12 new homes that request natural gas service in this residential neighborhood.</w:t>
      </w:r>
    </w:p>
    <w:p w14:paraId="4731CFAE" w14:textId="77777777" w:rsidR="00C443F5" w:rsidRPr="00C443F5" w:rsidRDefault="00C443F5" w:rsidP="00C443F5">
      <w:pPr>
        <w:contextualSpacing/>
        <w:jc w:val="both"/>
        <w:rPr>
          <w:bCs/>
        </w:rPr>
      </w:pPr>
    </w:p>
    <w:p w14:paraId="5CF91868" w14:textId="77777777" w:rsidR="00C443F5" w:rsidRPr="00C443F5" w:rsidRDefault="00C443F5" w:rsidP="00C443F5">
      <w:pPr>
        <w:contextualSpacing/>
        <w:jc w:val="both"/>
        <w:rPr>
          <w:bCs/>
        </w:rPr>
      </w:pPr>
      <w:r w:rsidRPr="00C443F5">
        <w:rPr>
          <w:bCs/>
        </w:rPr>
        <w:t xml:space="preserve">AGL proposes to tie-into existing 4” plastic on Holly Street and install approximately 1,600 feet of 4” plastic (MAOP 60 psi) and approximately 1,000 feet of 2” plastic (MAOP 60 psi) along Holly Street and Oak Hill Circle to serve these homes. </w:t>
      </w:r>
    </w:p>
    <w:p w14:paraId="5B2A3196" w14:textId="77777777" w:rsidR="00C443F5" w:rsidRPr="00C443F5" w:rsidRDefault="00C443F5" w:rsidP="00C443F5">
      <w:pPr>
        <w:contextualSpacing/>
        <w:jc w:val="both"/>
        <w:rPr>
          <w:b/>
          <w:bCs/>
          <w:u w:val="single"/>
        </w:rPr>
      </w:pPr>
    </w:p>
    <w:p w14:paraId="7CBD1F3B" w14:textId="77777777" w:rsidR="00C443F5" w:rsidRPr="00C443F5" w:rsidRDefault="00C443F5" w:rsidP="00C443F5">
      <w:pPr>
        <w:contextualSpacing/>
        <w:jc w:val="both"/>
        <w:rPr>
          <w:b/>
          <w:bCs/>
          <w:u w:val="single"/>
        </w:rPr>
      </w:pPr>
      <w:r w:rsidRPr="00C443F5">
        <w:rPr>
          <w:b/>
          <w:bCs/>
          <w:u w:val="single"/>
        </w:rPr>
        <w:t>McIntosh County Project - Commercial</w:t>
      </w:r>
    </w:p>
    <w:p w14:paraId="7E640F2B" w14:textId="77777777" w:rsidR="00C443F5" w:rsidRPr="00C443F5" w:rsidRDefault="00C443F5" w:rsidP="00C443F5">
      <w:pPr>
        <w:contextualSpacing/>
        <w:jc w:val="both"/>
      </w:pPr>
      <w:r w:rsidRPr="00C443F5">
        <w:t xml:space="preserve">This project proposes to serve the Tidewaters Industrial Park and two additional commercial businesses in McIntosh County.  The McIntosh/Darien Industrial Development Authority has received commitments from two </w:t>
      </w:r>
      <w:proofErr w:type="gramStart"/>
      <w:r w:rsidRPr="00C443F5">
        <w:t>companies</w:t>
      </w:r>
      <w:proofErr w:type="gramEnd"/>
      <w:r w:rsidRPr="00C443F5">
        <w:t xml:space="preserve"> a logistics company, and a seafood distribution company, to locate within the Tidewaters Industrial Park.  In addition, McIntosh/Darien has received additional commitments from a food manufacturer and a large travel center to locate in Darien.  The entities can be served via a single pipeline project.  These companies plan to invest </w:t>
      </w:r>
      <w:proofErr w:type="gramStart"/>
      <w:r w:rsidRPr="00C443F5">
        <w:t>in excess of</w:t>
      </w:r>
      <w:proofErr w:type="gramEnd"/>
      <w:r w:rsidRPr="00C443F5">
        <w:t xml:space="preserve"> $245 million in facilities and create in excess of 600 jobs in the local area. To serve these entities, AGL proposes to tie-into existing 4” steel located at the intersection of US 17 and Fort King George Drive in Darien and install approximately 37,000 feet of 6” steel pipe (MAOP 300 psi) along US 17, SR 251, and Briar Dam Road to reach the travel center, food manufacturer, and </w:t>
      </w:r>
      <w:proofErr w:type="gramStart"/>
      <w:r w:rsidRPr="00C443F5">
        <w:t>Tidewaters park</w:t>
      </w:r>
      <w:proofErr w:type="gramEnd"/>
      <w:r w:rsidRPr="00C443F5">
        <w:t>.</w:t>
      </w:r>
    </w:p>
    <w:p w14:paraId="5FA6E4D2" w14:textId="77777777" w:rsidR="00C443F5" w:rsidRPr="00C443F5" w:rsidRDefault="00C443F5" w:rsidP="00C443F5">
      <w:pPr>
        <w:contextualSpacing/>
        <w:jc w:val="both"/>
      </w:pPr>
    </w:p>
    <w:p w14:paraId="20A54467" w14:textId="77777777" w:rsidR="00C443F5" w:rsidRPr="00C443F5" w:rsidRDefault="00C443F5" w:rsidP="00C443F5">
      <w:pPr>
        <w:contextualSpacing/>
        <w:jc w:val="both"/>
        <w:rPr>
          <w:b/>
          <w:bCs/>
          <w:u w:val="single"/>
        </w:rPr>
      </w:pPr>
      <w:r w:rsidRPr="00C443F5">
        <w:rPr>
          <w:b/>
          <w:bCs/>
          <w:u w:val="single"/>
        </w:rPr>
        <w:t>Athens-Clarke County Project - Commercial</w:t>
      </w:r>
    </w:p>
    <w:p w14:paraId="7F3DDD69" w14:textId="77777777" w:rsidR="00C443F5" w:rsidRPr="00C443F5" w:rsidRDefault="00C443F5" w:rsidP="00C443F5">
      <w:pPr>
        <w:contextualSpacing/>
        <w:jc w:val="both"/>
        <w:rPr>
          <w:bCs/>
        </w:rPr>
      </w:pPr>
      <w:r w:rsidRPr="00C443F5">
        <w:rPr>
          <w:bCs/>
        </w:rPr>
        <w:t xml:space="preserve">This project proposes to serve Meissner Corporation, a leading manufacturer of advanced microfiltration and single-use systems </w:t>
      </w:r>
      <w:proofErr w:type="gramStart"/>
      <w:r w:rsidRPr="00C443F5">
        <w:rPr>
          <w:bCs/>
        </w:rPr>
        <w:t>for the production of</w:t>
      </w:r>
      <w:proofErr w:type="gramEnd"/>
      <w:r w:rsidRPr="00C443F5">
        <w:rPr>
          <w:bCs/>
        </w:rPr>
        <w:t xml:space="preserve"> pharmaceutical drugs, biologics, and cell and gene therapies.  The company plans to invest nearly $250 million in the new facility, which will create at least 1,700 jobs </w:t>
      </w:r>
      <w:proofErr w:type="gramStart"/>
      <w:r w:rsidRPr="00C443F5">
        <w:rPr>
          <w:bCs/>
        </w:rPr>
        <w:t>for</w:t>
      </w:r>
      <w:proofErr w:type="gramEnd"/>
      <w:r w:rsidRPr="00C443F5">
        <w:rPr>
          <w:bCs/>
        </w:rPr>
        <w:t xml:space="preserve"> the area.</w:t>
      </w:r>
    </w:p>
    <w:p w14:paraId="0363F59E" w14:textId="77777777" w:rsidR="00C443F5" w:rsidRPr="00C443F5" w:rsidRDefault="00C443F5" w:rsidP="00C443F5">
      <w:pPr>
        <w:contextualSpacing/>
        <w:jc w:val="both"/>
        <w:rPr>
          <w:bCs/>
        </w:rPr>
      </w:pPr>
    </w:p>
    <w:p w14:paraId="2CD2543D" w14:textId="77777777" w:rsidR="00C443F5" w:rsidRPr="00C443F5" w:rsidRDefault="00C443F5" w:rsidP="00C443F5">
      <w:pPr>
        <w:contextualSpacing/>
        <w:jc w:val="both"/>
        <w:rPr>
          <w:bCs/>
        </w:rPr>
      </w:pPr>
      <w:r w:rsidRPr="00C443F5">
        <w:rPr>
          <w:bCs/>
        </w:rPr>
        <w:t xml:space="preserve">AGL proposes to </w:t>
      </w:r>
      <w:proofErr w:type="gramStart"/>
      <w:r w:rsidRPr="00C443F5">
        <w:rPr>
          <w:bCs/>
        </w:rPr>
        <w:t>tie-into</w:t>
      </w:r>
      <w:proofErr w:type="gramEnd"/>
      <w:r w:rsidRPr="00C443F5">
        <w:rPr>
          <w:bCs/>
        </w:rPr>
        <w:t xml:space="preserve"> existing 4” plastic at the intersection of Moore’s Grove Road and Old Elberton Road and install approximately 5,685 feet of 4” plastic along Moore’s Grove Road and Old Elberton Road to serve the facility.  There is a short section of 4” steel proposed at the end of the project that is contained within the railroad right-of-way.</w:t>
      </w:r>
    </w:p>
    <w:p w14:paraId="1BF67796" w14:textId="77777777" w:rsidR="00C443F5" w:rsidRPr="00C443F5" w:rsidRDefault="00C443F5" w:rsidP="00C443F5">
      <w:pPr>
        <w:contextualSpacing/>
        <w:jc w:val="both"/>
        <w:rPr>
          <w:bCs/>
        </w:rPr>
      </w:pPr>
    </w:p>
    <w:p w14:paraId="59567DA6" w14:textId="77777777" w:rsidR="00C443F5" w:rsidRPr="00C443F5" w:rsidRDefault="00C443F5" w:rsidP="00C443F5">
      <w:pPr>
        <w:contextualSpacing/>
        <w:jc w:val="both"/>
        <w:rPr>
          <w:bCs/>
        </w:rPr>
      </w:pPr>
    </w:p>
    <w:p w14:paraId="661F2012" w14:textId="77777777" w:rsidR="00C443F5" w:rsidRPr="00C443F5" w:rsidRDefault="00C443F5" w:rsidP="00C443F5">
      <w:pPr>
        <w:numPr>
          <w:ilvl w:val="0"/>
          <w:numId w:val="3"/>
        </w:numPr>
        <w:spacing w:after="200"/>
        <w:contextualSpacing/>
        <w:rPr>
          <w:b/>
        </w:rPr>
      </w:pPr>
      <w:r w:rsidRPr="00C443F5">
        <w:rPr>
          <w:b/>
        </w:rPr>
        <w:t xml:space="preserve">MFR-2 Capital Budgets </w:t>
      </w:r>
    </w:p>
    <w:p w14:paraId="531E396A" w14:textId="77777777" w:rsidR="00C443F5" w:rsidRPr="00C443F5" w:rsidRDefault="00C443F5" w:rsidP="00C443F5">
      <w:pPr>
        <w:spacing w:after="200"/>
        <w:contextualSpacing/>
        <w:rPr>
          <w:snapToGrid w:val="0"/>
        </w:rPr>
      </w:pPr>
    </w:p>
    <w:p w14:paraId="498D8068" w14:textId="77777777" w:rsidR="00C443F5" w:rsidRPr="00C443F5" w:rsidRDefault="00C443F5" w:rsidP="00C443F5">
      <w:pPr>
        <w:spacing w:after="200"/>
        <w:ind w:firstLine="720"/>
        <w:contextualSpacing/>
        <w:rPr>
          <w:snapToGrid w:val="0"/>
        </w:rPr>
      </w:pPr>
      <w:r w:rsidRPr="00C443F5">
        <w:rPr>
          <w:snapToGrid w:val="0"/>
        </w:rPr>
        <w:lastRenderedPageBreak/>
        <w:t xml:space="preserve">As provided in </w:t>
      </w:r>
      <w:r w:rsidRPr="00C443F5">
        <w:rPr>
          <w:b/>
          <w:snapToGrid w:val="0"/>
        </w:rPr>
        <w:t>Table-3</w:t>
      </w:r>
      <w:r w:rsidRPr="00C443F5">
        <w:rPr>
          <w:snapToGrid w:val="0"/>
        </w:rPr>
        <w:t xml:space="preserve"> below, AGL listed its three major capital budgets for 2024 that totaled </w:t>
      </w:r>
      <w:r w:rsidRPr="00C443F5">
        <w:rPr>
          <w:b/>
          <w:snapToGrid w:val="0"/>
        </w:rPr>
        <w:t>$605.6 million</w:t>
      </w:r>
      <w:r w:rsidRPr="00C443F5">
        <w:rPr>
          <w:snapToGrid w:val="0"/>
        </w:rPr>
        <w:t xml:space="preserve">. With the budget cap of 5%, the USF dollars are limited to </w:t>
      </w:r>
      <w:r w:rsidRPr="00C443F5">
        <w:rPr>
          <w:b/>
          <w:snapToGrid w:val="0"/>
        </w:rPr>
        <w:t>$30.2 million</w:t>
      </w:r>
      <w:r w:rsidRPr="00C443F5">
        <w:rPr>
          <w:snapToGrid w:val="0"/>
        </w:rPr>
        <w:t xml:space="preserve"> for AGL’s FY 2024. The budget details were filed under trade secret protection. </w:t>
      </w:r>
    </w:p>
    <w:p w14:paraId="5483FB02" w14:textId="77777777" w:rsidR="00C443F5" w:rsidRPr="00C443F5" w:rsidRDefault="00C443F5" w:rsidP="00C443F5">
      <w:pPr>
        <w:spacing w:after="200"/>
        <w:contextualSpacing/>
        <w:rPr>
          <w:snapToGrid w:val="0"/>
        </w:rPr>
      </w:pPr>
    </w:p>
    <w:p w14:paraId="664164C6" w14:textId="77777777" w:rsidR="00C443F5" w:rsidRPr="00C443F5" w:rsidRDefault="00C443F5" w:rsidP="00C443F5">
      <w:pPr>
        <w:spacing w:after="200"/>
        <w:contextualSpacing/>
        <w:rPr>
          <w:b/>
          <w:snapToGrid w:val="0"/>
        </w:rPr>
      </w:pPr>
      <w:r w:rsidRPr="00C443F5">
        <w:rPr>
          <w:b/>
          <w:snapToGrid w:val="0"/>
        </w:rPr>
        <w:t>Table-3</w:t>
      </w:r>
    </w:p>
    <w:tbl>
      <w:tblPr>
        <w:tblW w:w="4590" w:type="dxa"/>
        <w:tblLook w:val="04A0" w:firstRow="1" w:lastRow="0" w:firstColumn="1" w:lastColumn="0" w:noHBand="0" w:noVBand="1"/>
      </w:tblPr>
      <w:tblGrid>
        <w:gridCol w:w="2430"/>
        <w:gridCol w:w="2160"/>
      </w:tblGrid>
      <w:tr w:rsidR="00C443F5" w:rsidRPr="00C443F5" w14:paraId="5053C898" w14:textId="77777777" w:rsidTr="00397B51">
        <w:trPr>
          <w:trHeight w:val="525"/>
        </w:trPr>
        <w:tc>
          <w:tcPr>
            <w:tcW w:w="2430" w:type="dxa"/>
            <w:tcBorders>
              <w:top w:val="nil"/>
              <w:left w:val="nil"/>
              <w:bottom w:val="nil"/>
              <w:right w:val="nil"/>
            </w:tcBorders>
            <w:shd w:val="clear" w:color="auto" w:fill="auto"/>
            <w:vAlign w:val="bottom"/>
            <w:hideMark/>
          </w:tcPr>
          <w:p w14:paraId="75C3F317" w14:textId="77777777" w:rsidR="00C443F5" w:rsidRPr="00C443F5" w:rsidRDefault="00C443F5" w:rsidP="00C443F5">
            <w:pPr>
              <w:jc w:val="center"/>
              <w:rPr>
                <w:rFonts w:ascii="Arial" w:hAnsi="Arial" w:cs="Arial"/>
                <w:b/>
                <w:bCs/>
                <w:color w:val="000000"/>
                <w:sz w:val="20"/>
                <w:szCs w:val="20"/>
              </w:rPr>
            </w:pPr>
            <w:r w:rsidRPr="00C443F5">
              <w:rPr>
                <w:rFonts w:ascii="Arial" w:hAnsi="Arial" w:cs="Arial"/>
                <w:b/>
                <w:bCs/>
                <w:color w:val="000000"/>
                <w:sz w:val="20"/>
                <w:szCs w:val="20"/>
              </w:rPr>
              <w:t>2024 Capital Budgets</w:t>
            </w:r>
          </w:p>
        </w:tc>
        <w:tc>
          <w:tcPr>
            <w:tcW w:w="2160" w:type="dxa"/>
            <w:tcBorders>
              <w:top w:val="nil"/>
              <w:left w:val="nil"/>
              <w:bottom w:val="nil"/>
              <w:right w:val="nil"/>
            </w:tcBorders>
            <w:shd w:val="clear" w:color="auto" w:fill="auto"/>
            <w:vAlign w:val="bottom"/>
            <w:hideMark/>
          </w:tcPr>
          <w:p w14:paraId="7951C086" w14:textId="77777777" w:rsidR="00C443F5" w:rsidRPr="00C443F5" w:rsidRDefault="00C443F5" w:rsidP="00C443F5">
            <w:pPr>
              <w:jc w:val="center"/>
              <w:rPr>
                <w:rFonts w:ascii="Arial" w:hAnsi="Arial" w:cs="Arial"/>
                <w:b/>
                <w:bCs/>
                <w:color w:val="000000"/>
                <w:sz w:val="20"/>
                <w:szCs w:val="20"/>
              </w:rPr>
            </w:pPr>
            <w:r w:rsidRPr="00C443F5">
              <w:rPr>
                <w:rFonts w:ascii="Arial" w:hAnsi="Arial" w:cs="Arial"/>
                <w:b/>
                <w:bCs/>
                <w:color w:val="000000"/>
                <w:sz w:val="20"/>
                <w:szCs w:val="20"/>
              </w:rPr>
              <w:t>$</w:t>
            </w:r>
          </w:p>
        </w:tc>
      </w:tr>
      <w:tr w:rsidR="00C443F5" w:rsidRPr="00C443F5" w14:paraId="45C9FCA7" w14:textId="77777777" w:rsidTr="00397B51">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43490F" w14:textId="77777777" w:rsidR="00C443F5" w:rsidRPr="00C443F5" w:rsidRDefault="00C443F5" w:rsidP="00C443F5">
            <w:pPr>
              <w:rPr>
                <w:color w:val="000000"/>
                <w:sz w:val="20"/>
                <w:szCs w:val="20"/>
              </w:rPr>
            </w:pPr>
            <w:r w:rsidRPr="00C443F5">
              <w:rPr>
                <w:color w:val="000000"/>
                <w:sz w:val="20"/>
                <w:szCs w:val="20"/>
              </w:rPr>
              <w:t>GRAM</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14:paraId="6556961E" w14:textId="77777777" w:rsidR="00C443F5" w:rsidRPr="00C443F5" w:rsidRDefault="00C443F5" w:rsidP="00C443F5">
            <w:pPr>
              <w:jc w:val="right"/>
              <w:rPr>
                <w:color w:val="000000"/>
                <w:sz w:val="20"/>
                <w:szCs w:val="20"/>
              </w:rPr>
            </w:pPr>
            <w:r w:rsidRPr="00C443F5">
              <w:rPr>
                <w:color w:val="000000"/>
                <w:sz w:val="20"/>
                <w:szCs w:val="20"/>
              </w:rPr>
              <w:t>$433,097,433</w:t>
            </w:r>
          </w:p>
        </w:tc>
      </w:tr>
      <w:tr w:rsidR="00C443F5" w:rsidRPr="00C443F5" w14:paraId="417F9BF7" w14:textId="77777777" w:rsidTr="00397B51">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70EE60E4" w14:textId="77777777" w:rsidR="00C443F5" w:rsidRPr="00C443F5" w:rsidRDefault="00C443F5" w:rsidP="00C443F5">
            <w:pPr>
              <w:rPr>
                <w:color w:val="000000"/>
                <w:sz w:val="20"/>
                <w:szCs w:val="20"/>
              </w:rPr>
            </w:pPr>
            <w:r w:rsidRPr="00C443F5">
              <w:rPr>
                <w:color w:val="000000"/>
                <w:sz w:val="20"/>
                <w:szCs w:val="20"/>
              </w:rPr>
              <w:t>SRR</w:t>
            </w:r>
          </w:p>
        </w:tc>
        <w:tc>
          <w:tcPr>
            <w:tcW w:w="2160" w:type="dxa"/>
            <w:tcBorders>
              <w:top w:val="nil"/>
              <w:left w:val="nil"/>
              <w:bottom w:val="single" w:sz="4" w:space="0" w:color="auto"/>
              <w:right w:val="single" w:sz="4" w:space="0" w:color="auto"/>
            </w:tcBorders>
            <w:shd w:val="clear" w:color="auto" w:fill="auto"/>
            <w:vAlign w:val="bottom"/>
            <w:hideMark/>
          </w:tcPr>
          <w:p w14:paraId="0407FCF3" w14:textId="77777777" w:rsidR="00C443F5" w:rsidRPr="00C443F5" w:rsidRDefault="00C443F5" w:rsidP="00C443F5">
            <w:pPr>
              <w:jc w:val="right"/>
              <w:rPr>
                <w:color w:val="000000"/>
                <w:sz w:val="20"/>
                <w:szCs w:val="20"/>
              </w:rPr>
            </w:pPr>
            <w:r w:rsidRPr="00C443F5">
              <w:rPr>
                <w:color w:val="000000"/>
                <w:sz w:val="20"/>
                <w:szCs w:val="20"/>
              </w:rPr>
              <w:t>$107,332,320</w:t>
            </w:r>
          </w:p>
        </w:tc>
      </w:tr>
      <w:tr w:rsidR="00C443F5" w:rsidRPr="00C443F5" w14:paraId="7183AF0F" w14:textId="77777777" w:rsidTr="00397B51">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578F3A94" w14:textId="77777777" w:rsidR="00C443F5" w:rsidRPr="00C443F5" w:rsidRDefault="00C443F5" w:rsidP="00C443F5">
            <w:pPr>
              <w:rPr>
                <w:color w:val="000000"/>
                <w:sz w:val="20"/>
                <w:szCs w:val="20"/>
              </w:rPr>
            </w:pPr>
            <w:r w:rsidRPr="00C443F5">
              <w:rPr>
                <w:color w:val="000000"/>
                <w:sz w:val="20"/>
                <w:szCs w:val="20"/>
              </w:rPr>
              <w:t>Cherokee LNG</w:t>
            </w:r>
          </w:p>
        </w:tc>
        <w:tc>
          <w:tcPr>
            <w:tcW w:w="2160" w:type="dxa"/>
            <w:tcBorders>
              <w:top w:val="nil"/>
              <w:left w:val="nil"/>
              <w:bottom w:val="single" w:sz="4" w:space="0" w:color="auto"/>
              <w:right w:val="single" w:sz="4" w:space="0" w:color="auto"/>
            </w:tcBorders>
            <w:shd w:val="clear" w:color="auto" w:fill="auto"/>
            <w:vAlign w:val="bottom"/>
            <w:hideMark/>
          </w:tcPr>
          <w:p w14:paraId="2CC73687" w14:textId="77777777" w:rsidR="00C443F5" w:rsidRPr="00C443F5" w:rsidRDefault="00C443F5" w:rsidP="00C443F5">
            <w:pPr>
              <w:jc w:val="right"/>
              <w:rPr>
                <w:color w:val="000000"/>
                <w:sz w:val="20"/>
                <w:szCs w:val="20"/>
              </w:rPr>
            </w:pPr>
            <w:r w:rsidRPr="00C443F5">
              <w:rPr>
                <w:color w:val="000000"/>
                <w:sz w:val="20"/>
                <w:szCs w:val="20"/>
              </w:rPr>
              <w:t>$65,202,721</w:t>
            </w:r>
          </w:p>
        </w:tc>
      </w:tr>
      <w:tr w:rsidR="00C443F5" w:rsidRPr="00C443F5" w14:paraId="51952F8B" w14:textId="77777777" w:rsidTr="00397B51">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63DFC05E" w14:textId="77777777" w:rsidR="00C443F5" w:rsidRPr="00C443F5" w:rsidRDefault="00C443F5" w:rsidP="00C443F5">
            <w:pPr>
              <w:rPr>
                <w:b/>
                <w:bCs/>
                <w:color w:val="000000"/>
                <w:sz w:val="20"/>
                <w:szCs w:val="20"/>
              </w:rPr>
            </w:pPr>
            <w:r w:rsidRPr="00C443F5">
              <w:rPr>
                <w:b/>
                <w:bCs/>
                <w:color w:val="000000"/>
                <w:sz w:val="20"/>
                <w:szCs w:val="20"/>
              </w:rPr>
              <w:t>Total</w:t>
            </w:r>
          </w:p>
        </w:tc>
        <w:tc>
          <w:tcPr>
            <w:tcW w:w="2160" w:type="dxa"/>
            <w:tcBorders>
              <w:top w:val="nil"/>
              <w:left w:val="nil"/>
              <w:bottom w:val="single" w:sz="4" w:space="0" w:color="auto"/>
              <w:right w:val="single" w:sz="4" w:space="0" w:color="auto"/>
            </w:tcBorders>
            <w:shd w:val="clear" w:color="auto" w:fill="auto"/>
            <w:vAlign w:val="bottom"/>
            <w:hideMark/>
          </w:tcPr>
          <w:p w14:paraId="19E3C1F9" w14:textId="77777777" w:rsidR="00C443F5" w:rsidRPr="00C443F5" w:rsidRDefault="00C443F5" w:rsidP="00C443F5">
            <w:pPr>
              <w:jc w:val="right"/>
              <w:rPr>
                <w:b/>
                <w:bCs/>
                <w:color w:val="000000"/>
                <w:sz w:val="20"/>
                <w:szCs w:val="20"/>
              </w:rPr>
            </w:pPr>
            <w:r w:rsidRPr="00C443F5">
              <w:rPr>
                <w:b/>
                <w:bCs/>
                <w:color w:val="000000"/>
                <w:sz w:val="20"/>
                <w:szCs w:val="20"/>
              </w:rPr>
              <w:t>$605,632,474</w:t>
            </w:r>
          </w:p>
        </w:tc>
      </w:tr>
      <w:tr w:rsidR="00C443F5" w:rsidRPr="00C443F5" w14:paraId="4BEFAFCF" w14:textId="77777777" w:rsidTr="00397B51">
        <w:trPr>
          <w:trHeight w:val="143"/>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634DC947" w14:textId="77777777" w:rsidR="00C443F5" w:rsidRPr="00C443F5" w:rsidRDefault="00C443F5" w:rsidP="00C443F5">
            <w:pPr>
              <w:rPr>
                <w:color w:val="000000"/>
                <w:sz w:val="20"/>
                <w:szCs w:val="20"/>
              </w:rPr>
            </w:pPr>
            <w:r w:rsidRPr="00C443F5">
              <w:rPr>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3A2F8435" w14:textId="77777777" w:rsidR="00C443F5" w:rsidRPr="00C443F5" w:rsidRDefault="00C443F5" w:rsidP="00C443F5">
            <w:pPr>
              <w:rPr>
                <w:color w:val="000000"/>
                <w:sz w:val="20"/>
                <w:szCs w:val="20"/>
              </w:rPr>
            </w:pPr>
          </w:p>
        </w:tc>
      </w:tr>
      <w:tr w:rsidR="00C443F5" w:rsidRPr="00C443F5" w14:paraId="1F1ECDB5" w14:textId="77777777" w:rsidTr="00397B51">
        <w:trPr>
          <w:trHeight w:val="260"/>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453867C6" w14:textId="77777777" w:rsidR="00C443F5" w:rsidRPr="00C443F5" w:rsidRDefault="00C443F5" w:rsidP="00C443F5">
            <w:pPr>
              <w:rPr>
                <w:b/>
                <w:bCs/>
                <w:color w:val="000000"/>
                <w:sz w:val="20"/>
                <w:szCs w:val="20"/>
              </w:rPr>
            </w:pPr>
            <w:r w:rsidRPr="00C443F5">
              <w:rPr>
                <w:b/>
                <w:bCs/>
                <w:color w:val="000000"/>
                <w:sz w:val="20"/>
                <w:szCs w:val="20"/>
              </w:rPr>
              <w:t>USF Capital Budget Cap</w:t>
            </w:r>
          </w:p>
        </w:tc>
        <w:tc>
          <w:tcPr>
            <w:tcW w:w="2160" w:type="dxa"/>
            <w:tcBorders>
              <w:top w:val="nil"/>
              <w:left w:val="nil"/>
              <w:bottom w:val="single" w:sz="4" w:space="0" w:color="auto"/>
              <w:right w:val="single" w:sz="4" w:space="0" w:color="auto"/>
            </w:tcBorders>
            <w:shd w:val="clear" w:color="auto" w:fill="auto"/>
            <w:noWrap/>
            <w:vAlign w:val="bottom"/>
            <w:hideMark/>
          </w:tcPr>
          <w:p w14:paraId="1FF1ED06" w14:textId="77777777" w:rsidR="00C443F5" w:rsidRPr="00C443F5" w:rsidRDefault="00C443F5" w:rsidP="00C443F5">
            <w:pPr>
              <w:jc w:val="right"/>
              <w:rPr>
                <w:color w:val="000000"/>
                <w:sz w:val="20"/>
                <w:szCs w:val="20"/>
              </w:rPr>
            </w:pPr>
            <w:r w:rsidRPr="00C443F5">
              <w:rPr>
                <w:color w:val="000000"/>
                <w:sz w:val="20"/>
                <w:szCs w:val="20"/>
              </w:rPr>
              <w:t>5.00%</w:t>
            </w:r>
          </w:p>
        </w:tc>
      </w:tr>
      <w:tr w:rsidR="00C443F5" w:rsidRPr="00C443F5" w14:paraId="346F123B" w14:textId="77777777" w:rsidTr="00397B51">
        <w:trPr>
          <w:trHeight w:val="98"/>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7BC65A03" w14:textId="77777777" w:rsidR="00C443F5" w:rsidRPr="00C443F5" w:rsidRDefault="00C443F5" w:rsidP="00C443F5">
            <w:pPr>
              <w:rPr>
                <w:color w:val="000000"/>
                <w:sz w:val="20"/>
                <w:szCs w:val="20"/>
              </w:rPr>
            </w:pPr>
            <w:r w:rsidRPr="00C443F5">
              <w:rPr>
                <w:color w:val="000000"/>
                <w:sz w:val="20"/>
                <w:szCs w:val="20"/>
              </w:rPr>
              <w:t> </w:t>
            </w:r>
          </w:p>
        </w:tc>
        <w:tc>
          <w:tcPr>
            <w:tcW w:w="2160" w:type="dxa"/>
            <w:tcBorders>
              <w:top w:val="nil"/>
              <w:left w:val="nil"/>
              <w:bottom w:val="single" w:sz="4" w:space="0" w:color="auto"/>
              <w:right w:val="single" w:sz="4" w:space="0" w:color="auto"/>
            </w:tcBorders>
            <w:shd w:val="clear" w:color="auto" w:fill="auto"/>
            <w:noWrap/>
            <w:vAlign w:val="bottom"/>
            <w:hideMark/>
          </w:tcPr>
          <w:p w14:paraId="03782D50" w14:textId="77777777" w:rsidR="00C443F5" w:rsidRPr="00C443F5" w:rsidRDefault="00C443F5" w:rsidP="00C443F5">
            <w:pPr>
              <w:rPr>
                <w:color w:val="000000"/>
                <w:sz w:val="20"/>
                <w:szCs w:val="20"/>
              </w:rPr>
            </w:pPr>
          </w:p>
        </w:tc>
      </w:tr>
      <w:tr w:rsidR="00C443F5" w:rsidRPr="00C443F5" w14:paraId="6F1E92D0" w14:textId="77777777" w:rsidTr="00397B51">
        <w:trPr>
          <w:trHeight w:val="395"/>
        </w:trPr>
        <w:tc>
          <w:tcPr>
            <w:tcW w:w="2430" w:type="dxa"/>
            <w:tcBorders>
              <w:top w:val="nil"/>
              <w:left w:val="single" w:sz="4" w:space="0" w:color="auto"/>
              <w:bottom w:val="single" w:sz="4" w:space="0" w:color="auto"/>
              <w:right w:val="single" w:sz="4" w:space="0" w:color="auto"/>
            </w:tcBorders>
            <w:shd w:val="clear" w:color="auto" w:fill="auto"/>
            <w:vAlign w:val="bottom"/>
            <w:hideMark/>
          </w:tcPr>
          <w:p w14:paraId="241B35CE" w14:textId="77777777" w:rsidR="00C443F5" w:rsidRPr="00C443F5" w:rsidRDefault="00C443F5" w:rsidP="00C443F5">
            <w:pPr>
              <w:rPr>
                <w:b/>
                <w:bCs/>
                <w:color w:val="000000"/>
                <w:sz w:val="20"/>
                <w:szCs w:val="20"/>
              </w:rPr>
            </w:pPr>
            <w:r w:rsidRPr="00C443F5">
              <w:rPr>
                <w:b/>
                <w:bCs/>
                <w:color w:val="000000"/>
                <w:sz w:val="20"/>
                <w:szCs w:val="20"/>
              </w:rPr>
              <w:t>USF Limit for 2024</w:t>
            </w:r>
          </w:p>
        </w:tc>
        <w:tc>
          <w:tcPr>
            <w:tcW w:w="2160" w:type="dxa"/>
            <w:tcBorders>
              <w:top w:val="nil"/>
              <w:left w:val="nil"/>
              <w:bottom w:val="single" w:sz="4" w:space="0" w:color="auto"/>
              <w:right w:val="single" w:sz="4" w:space="0" w:color="auto"/>
            </w:tcBorders>
            <w:shd w:val="clear" w:color="auto" w:fill="auto"/>
            <w:noWrap/>
            <w:vAlign w:val="bottom"/>
            <w:hideMark/>
          </w:tcPr>
          <w:p w14:paraId="42EBE78B" w14:textId="77777777" w:rsidR="00C443F5" w:rsidRPr="00C443F5" w:rsidRDefault="00C443F5" w:rsidP="00C443F5">
            <w:pPr>
              <w:jc w:val="right"/>
              <w:rPr>
                <w:b/>
                <w:bCs/>
                <w:color w:val="000000"/>
                <w:sz w:val="20"/>
                <w:szCs w:val="20"/>
              </w:rPr>
            </w:pPr>
            <w:r w:rsidRPr="00C443F5">
              <w:rPr>
                <w:b/>
                <w:bCs/>
                <w:color w:val="000000"/>
                <w:sz w:val="20"/>
                <w:szCs w:val="20"/>
              </w:rPr>
              <w:t>$30,281,624</w:t>
            </w:r>
          </w:p>
        </w:tc>
      </w:tr>
    </w:tbl>
    <w:p w14:paraId="02F3352B" w14:textId="77777777" w:rsidR="00C443F5" w:rsidRPr="00C443F5" w:rsidRDefault="00C443F5" w:rsidP="00C443F5">
      <w:pPr>
        <w:spacing w:after="200"/>
        <w:contextualSpacing/>
        <w:rPr>
          <w:snapToGrid w:val="0"/>
        </w:rPr>
      </w:pPr>
    </w:p>
    <w:p w14:paraId="474B72FC" w14:textId="77777777" w:rsidR="00C443F5" w:rsidRPr="00C443F5" w:rsidRDefault="00C443F5" w:rsidP="00C443F5">
      <w:pPr>
        <w:numPr>
          <w:ilvl w:val="0"/>
          <w:numId w:val="3"/>
        </w:numPr>
        <w:spacing w:after="200"/>
        <w:contextualSpacing/>
        <w:rPr>
          <w:b/>
        </w:rPr>
      </w:pPr>
      <w:r w:rsidRPr="00C443F5">
        <w:rPr>
          <w:b/>
        </w:rPr>
        <w:t xml:space="preserve">MFR-3 Stakeholder Process </w:t>
      </w:r>
    </w:p>
    <w:p w14:paraId="34870883" w14:textId="77777777" w:rsidR="00C443F5" w:rsidRPr="00C443F5" w:rsidRDefault="00C443F5" w:rsidP="00C443F5">
      <w:pPr>
        <w:spacing w:after="200"/>
        <w:contextualSpacing/>
        <w:rPr>
          <w:snapToGrid w:val="0"/>
        </w:rPr>
      </w:pPr>
    </w:p>
    <w:p w14:paraId="3B5E67B3" w14:textId="77777777" w:rsidR="00C443F5" w:rsidRPr="00C443F5" w:rsidRDefault="00C443F5" w:rsidP="00C443F5">
      <w:pPr>
        <w:spacing w:after="200"/>
        <w:ind w:firstLine="720"/>
        <w:contextualSpacing/>
        <w:rPr>
          <w:snapToGrid w:val="0"/>
        </w:rPr>
      </w:pPr>
      <w:r w:rsidRPr="00C443F5">
        <w:rPr>
          <w:snapToGrid w:val="0"/>
        </w:rPr>
        <w:t xml:space="preserve">As provided in MFR-3, AGL filed the responses to its stakeholder process related to the USF 2024 Plan. There were thirty (30) respondents. This was filed under trade secret protection. </w:t>
      </w:r>
    </w:p>
    <w:p w14:paraId="2FBD1D43" w14:textId="77777777" w:rsidR="00C443F5" w:rsidRPr="00C443F5" w:rsidRDefault="00C443F5" w:rsidP="00C443F5">
      <w:pPr>
        <w:spacing w:after="200"/>
        <w:contextualSpacing/>
        <w:rPr>
          <w:snapToGrid w:val="0"/>
        </w:rPr>
      </w:pPr>
    </w:p>
    <w:p w14:paraId="05186803" w14:textId="77777777" w:rsidR="00C443F5" w:rsidRPr="00C443F5" w:rsidRDefault="00C443F5" w:rsidP="00C443F5">
      <w:pPr>
        <w:numPr>
          <w:ilvl w:val="0"/>
          <w:numId w:val="3"/>
        </w:numPr>
        <w:spacing w:after="200"/>
        <w:contextualSpacing/>
        <w:rPr>
          <w:b/>
        </w:rPr>
      </w:pPr>
      <w:r w:rsidRPr="00C443F5">
        <w:rPr>
          <w:b/>
        </w:rPr>
        <w:t>MFR-4 Maps</w:t>
      </w:r>
    </w:p>
    <w:p w14:paraId="145AF84F" w14:textId="77777777" w:rsidR="00C443F5" w:rsidRPr="00C443F5" w:rsidRDefault="00C443F5" w:rsidP="00C443F5">
      <w:pPr>
        <w:spacing w:after="200"/>
        <w:contextualSpacing/>
        <w:rPr>
          <w:snapToGrid w:val="0"/>
        </w:rPr>
      </w:pPr>
    </w:p>
    <w:p w14:paraId="00F4B18A" w14:textId="77777777" w:rsidR="00C443F5" w:rsidRPr="00C443F5" w:rsidRDefault="00C443F5" w:rsidP="00C443F5">
      <w:pPr>
        <w:spacing w:after="200"/>
        <w:ind w:left="720"/>
        <w:contextualSpacing/>
        <w:rPr>
          <w:snapToGrid w:val="0"/>
        </w:rPr>
      </w:pPr>
      <w:r w:rsidRPr="00C443F5">
        <w:rPr>
          <w:snapToGrid w:val="0"/>
        </w:rPr>
        <w:t xml:space="preserve">AGL filed detailed maps related to the five (5) proposed projects. </w:t>
      </w:r>
    </w:p>
    <w:p w14:paraId="464BAF82" w14:textId="77777777" w:rsidR="00C443F5" w:rsidRPr="00C443F5" w:rsidRDefault="00C443F5" w:rsidP="00C443F5">
      <w:pPr>
        <w:spacing w:after="200"/>
        <w:contextualSpacing/>
        <w:rPr>
          <w:b/>
          <w:snapToGrid w:val="0"/>
        </w:rPr>
      </w:pPr>
    </w:p>
    <w:p w14:paraId="6098E6CB" w14:textId="77777777" w:rsidR="00C443F5" w:rsidRPr="00C443F5" w:rsidRDefault="00C443F5" w:rsidP="00C443F5">
      <w:pPr>
        <w:numPr>
          <w:ilvl w:val="0"/>
          <w:numId w:val="3"/>
        </w:numPr>
        <w:spacing w:after="200"/>
        <w:contextualSpacing/>
        <w:rPr>
          <w:b/>
        </w:rPr>
      </w:pPr>
      <w:r w:rsidRPr="00C443F5">
        <w:rPr>
          <w:b/>
        </w:rPr>
        <w:t xml:space="preserve">MFR-5 Basic Economic Development Data </w:t>
      </w:r>
    </w:p>
    <w:p w14:paraId="64DAD382" w14:textId="77777777" w:rsidR="00C443F5" w:rsidRPr="00C443F5" w:rsidRDefault="00C443F5" w:rsidP="00C443F5">
      <w:pPr>
        <w:spacing w:after="200"/>
        <w:contextualSpacing/>
        <w:rPr>
          <w:snapToGrid w:val="0"/>
        </w:rPr>
      </w:pPr>
    </w:p>
    <w:p w14:paraId="39F1134B" w14:textId="77777777" w:rsidR="00C443F5" w:rsidRPr="00C443F5" w:rsidRDefault="00C443F5" w:rsidP="00C443F5">
      <w:pPr>
        <w:spacing w:after="200"/>
        <w:ind w:firstLine="720"/>
        <w:contextualSpacing/>
        <w:rPr>
          <w:snapToGrid w:val="0"/>
        </w:rPr>
      </w:pPr>
      <w:r w:rsidRPr="00C443F5">
        <w:rPr>
          <w:snapToGrid w:val="0"/>
        </w:rPr>
        <w:t xml:space="preserve">Related to the five (5) proposed projects, AGL provided basic economic development data available at the time of the filing. This included the company name, investment, jobs created, annual payroll, known growth, and any other information. The details are provided in </w:t>
      </w:r>
      <w:r w:rsidRPr="00C443F5">
        <w:rPr>
          <w:b/>
          <w:snapToGrid w:val="0"/>
        </w:rPr>
        <w:t>Tables 4 – 8</w:t>
      </w:r>
      <w:r w:rsidRPr="00C443F5">
        <w:rPr>
          <w:snapToGrid w:val="0"/>
        </w:rPr>
        <w:t xml:space="preserve"> below. </w:t>
      </w:r>
    </w:p>
    <w:p w14:paraId="707E01C1" w14:textId="77777777" w:rsidR="00C443F5" w:rsidRPr="00C443F5" w:rsidRDefault="00C443F5" w:rsidP="00C443F5">
      <w:pPr>
        <w:spacing w:after="200"/>
        <w:ind w:firstLine="720"/>
        <w:contextualSpacing/>
        <w:rPr>
          <w:snapToGrid w:val="0"/>
        </w:rPr>
      </w:pPr>
    </w:p>
    <w:p w14:paraId="2D163D54" w14:textId="77777777" w:rsidR="00C443F5" w:rsidRPr="00C443F5" w:rsidRDefault="00C443F5" w:rsidP="00C443F5">
      <w:pPr>
        <w:contextualSpacing/>
        <w:jc w:val="both"/>
        <w:rPr>
          <w:b/>
        </w:rPr>
      </w:pPr>
      <w:r w:rsidRPr="00C443F5">
        <w:rPr>
          <w:b/>
        </w:rPr>
        <w:t>Table-4: Glynn County Project #1 – Plantation at West Point</w:t>
      </w:r>
    </w:p>
    <w:tbl>
      <w:tblPr>
        <w:tblStyle w:val="TableGrid"/>
        <w:tblW w:w="0" w:type="auto"/>
        <w:tblLook w:val="04A0" w:firstRow="1" w:lastRow="0" w:firstColumn="1" w:lastColumn="0" w:noHBand="0" w:noVBand="1"/>
      </w:tblPr>
      <w:tblGrid>
        <w:gridCol w:w="2875"/>
        <w:gridCol w:w="3510"/>
      </w:tblGrid>
      <w:tr w:rsidR="00C443F5" w:rsidRPr="00C443F5" w14:paraId="393B3BA2" w14:textId="77777777" w:rsidTr="00397B51">
        <w:tc>
          <w:tcPr>
            <w:tcW w:w="2875" w:type="dxa"/>
          </w:tcPr>
          <w:p w14:paraId="493B8EDD"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Name of Company(s)</w:t>
            </w:r>
          </w:p>
        </w:tc>
        <w:tc>
          <w:tcPr>
            <w:tcW w:w="3510" w:type="dxa"/>
          </w:tcPr>
          <w:p w14:paraId="0CE49BD7" w14:textId="77777777" w:rsidR="00C443F5" w:rsidRPr="00C443F5" w:rsidRDefault="00C443F5" w:rsidP="00C443F5">
            <w:pPr>
              <w:jc w:val="both"/>
              <w:rPr>
                <w:rFonts w:eastAsiaTheme="minorHAnsi"/>
                <w:b/>
                <w:snapToGrid w:val="0"/>
                <w:sz w:val="20"/>
                <w:szCs w:val="20"/>
              </w:rPr>
            </w:pPr>
            <w:r w:rsidRPr="00C443F5">
              <w:rPr>
                <w:rFonts w:eastAsiaTheme="minorHAnsi"/>
                <w:b/>
                <w:snapToGrid w:val="0"/>
                <w:sz w:val="20"/>
                <w:szCs w:val="20"/>
              </w:rPr>
              <w:t>David Harvey - AGL</w:t>
            </w:r>
          </w:p>
        </w:tc>
      </w:tr>
      <w:tr w:rsidR="00C443F5" w:rsidRPr="00C443F5" w14:paraId="2D152B5A" w14:textId="77777777" w:rsidTr="00397B51">
        <w:tc>
          <w:tcPr>
            <w:tcW w:w="2875" w:type="dxa"/>
          </w:tcPr>
          <w:p w14:paraId="306B75FE" w14:textId="77777777" w:rsidR="00C443F5" w:rsidRPr="00C443F5" w:rsidRDefault="00C443F5" w:rsidP="00C443F5">
            <w:pPr>
              <w:rPr>
                <w:rFonts w:eastAsiaTheme="minorHAnsi"/>
                <w:snapToGrid w:val="0"/>
                <w:sz w:val="20"/>
                <w:szCs w:val="20"/>
              </w:rPr>
            </w:pPr>
            <w:r w:rsidRPr="00C443F5">
              <w:rPr>
                <w:rFonts w:eastAsiaTheme="minorHAnsi"/>
                <w:snapToGrid w:val="0"/>
                <w:sz w:val="20"/>
                <w:szCs w:val="20"/>
              </w:rPr>
              <w:t>Capital investment by Company(s)</w:t>
            </w:r>
          </w:p>
        </w:tc>
        <w:tc>
          <w:tcPr>
            <w:tcW w:w="3510" w:type="dxa"/>
          </w:tcPr>
          <w:p w14:paraId="259A5755" w14:textId="77777777" w:rsidR="00C443F5" w:rsidRPr="00C443F5" w:rsidRDefault="00C443F5" w:rsidP="00C443F5">
            <w:pPr>
              <w:rPr>
                <w:rFonts w:eastAsiaTheme="minorHAnsi"/>
                <w:snapToGrid w:val="0"/>
                <w:sz w:val="20"/>
                <w:szCs w:val="20"/>
              </w:rPr>
            </w:pPr>
            <w:r w:rsidRPr="00C443F5">
              <w:rPr>
                <w:rFonts w:eastAsiaTheme="minorHAnsi"/>
                <w:snapToGrid w:val="0"/>
                <w:sz w:val="20"/>
                <w:szCs w:val="20"/>
              </w:rPr>
              <w:t>Avg. cost per home $300k totaling approximately $84 million.</w:t>
            </w:r>
          </w:p>
        </w:tc>
      </w:tr>
      <w:tr w:rsidR="00C443F5" w:rsidRPr="00C443F5" w14:paraId="48C052F5" w14:textId="77777777" w:rsidTr="00397B51">
        <w:tc>
          <w:tcPr>
            <w:tcW w:w="2875" w:type="dxa"/>
          </w:tcPr>
          <w:p w14:paraId="202CDC83" w14:textId="77777777" w:rsidR="00C443F5" w:rsidRPr="00C443F5" w:rsidRDefault="00C443F5" w:rsidP="00C443F5">
            <w:pPr>
              <w:rPr>
                <w:rFonts w:eastAsiaTheme="minorHAnsi"/>
                <w:snapToGrid w:val="0"/>
                <w:sz w:val="20"/>
                <w:szCs w:val="20"/>
              </w:rPr>
            </w:pPr>
            <w:r w:rsidRPr="00C443F5">
              <w:rPr>
                <w:rFonts w:eastAsiaTheme="minorHAnsi"/>
                <w:snapToGrid w:val="0"/>
                <w:sz w:val="20"/>
                <w:szCs w:val="20"/>
              </w:rPr>
              <w:t>Jobs created</w:t>
            </w:r>
          </w:p>
        </w:tc>
        <w:tc>
          <w:tcPr>
            <w:tcW w:w="3510" w:type="dxa"/>
          </w:tcPr>
          <w:p w14:paraId="741445A2" w14:textId="77777777" w:rsidR="00C443F5" w:rsidRPr="00C443F5" w:rsidRDefault="00C443F5" w:rsidP="00C443F5">
            <w:pPr>
              <w:rPr>
                <w:rFonts w:eastAsiaTheme="minorHAnsi"/>
                <w:snapToGrid w:val="0"/>
                <w:color w:val="000000" w:themeColor="text1"/>
                <w:sz w:val="20"/>
                <w:szCs w:val="20"/>
              </w:rPr>
            </w:pPr>
            <w:r w:rsidRPr="00C443F5">
              <w:rPr>
                <w:rFonts w:eastAsiaTheme="minorHAnsi"/>
                <w:snapToGrid w:val="0"/>
                <w:color w:val="000000" w:themeColor="text1"/>
                <w:sz w:val="20"/>
                <w:szCs w:val="20"/>
              </w:rPr>
              <w:t>N/A</w:t>
            </w:r>
          </w:p>
        </w:tc>
      </w:tr>
      <w:tr w:rsidR="00C443F5" w:rsidRPr="00C443F5" w14:paraId="5044FFFA" w14:textId="77777777" w:rsidTr="00397B51">
        <w:tc>
          <w:tcPr>
            <w:tcW w:w="2875" w:type="dxa"/>
          </w:tcPr>
          <w:p w14:paraId="153B6BA1" w14:textId="77777777" w:rsidR="00C443F5" w:rsidRPr="00C443F5" w:rsidRDefault="00C443F5" w:rsidP="00C443F5">
            <w:pPr>
              <w:rPr>
                <w:rFonts w:eastAsiaTheme="minorHAnsi"/>
                <w:snapToGrid w:val="0"/>
                <w:sz w:val="20"/>
                <w:szCs w:val="20"/>
              </w:rPr>
            </w:pPr>
            <w:r w:rsidRPr="00C443F5">
              <w:rPr>
                <w:rFonts w:eastAsiaTheme="minorHAnsi"/>
                <w:snapToGrid w:val="0"/>
                <w:sz w:val="20"/>
                <w:szCs w:val="20"/>
              </w:rPr>
              <w:t>Annual payroll</w:t>
            </w:r>
          </w:p>
        </w:tc>
        <w:tc>
          <w:tcPr>
            <w:tcW w:w="3510" w:type="dxa"/>
          </w:tcPr>
          <w:p w14:paraId="239CC52C" w14:textId="77777777" w:rsidR="00C443F5" w:rsidRPr="00C443F5" w:rsidRDefault="00C443F5" w:rsidP="00C443F5">
            <w:pPr>
              <w:rPr>
                <w:rFonts w:eastAsiaTheme="minorHAnsi"/>
                <w:snapToGrid w:val="0"/>
                <w:color w:val="000000" w:themeColor="text1"/>
                <w:sz w:val="20"/>
                <w:szCs w:val="20"/>
              </w:rPr>
            </w:pPr>
            <w:r w:rsidRPr="00C443F5">
              <w:rPr>
                <w:rFonts w:eastAsiaTheme="minorHAnsi"/>
                <w:snapToGrid w:val="0"/>
                <w:color w:val="000000" w:themeColor="text1"/>
                <w:sz w:val="20"/>
                <w:szCs w:val="20"/>
              </w:rPr>
              <w:t>N/A</w:t>
            </w:r>
          </w:p>
        </w:tc>
      </w:tr>
      <w:tr w:rsidR="00C443F5" w:rsidRPr="00C443F5" w14:paraId="0C503A06" w14:textId="77777777" w:rsidTr="00397B51">
        <w:tc>
          <w:tcPr>
            <w:tcW w:w="2875" w:type="dxa"/>
          </w:tcPr>
          <w:p w14:paraId="021CEF3E"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Known residential or commercial growth</w:t>
            </w:r>
          </w:p>
        </w:tc>
        <w:tc>
          <w:tcPr>
            <w:tcW w:w="3510" w:type="dxa"/>
          </w:tcPr>
          <w:p w14:paraId="2B12D3B3" w14:textId="77777777" w:rsidR="00C443F5" w:rsidRPr="00C443F5" w:rsidRDefault="00C443F5" w:rsidP="00C443F5">
            <w:pPr>
              <w:jc w:val="both"/>
              <w:rPr>
                <w:rFonts w:eastAsiaTheme="minorHAnsi"/>
                <w:snapToGrid w:val="0"/>
                <w:color w:val="000000" w:themeColor="text1"/>
                <w:sz w:val="20"/>
                <w:szCs w:val="20"/>
              </w:rPr>
            </w:pPr>
            <w:r w:rsidRPr="00C443F5">
              <w:rPr>
                <w:rFonts w:eastAsiaTheme="minorHAnsi"/>
                <w:snapToGrid w:val="0"/>
                <w:color w:val="000000" w:themeColor="text1"/>
                <w:sz w:val="20"/>
                <w:szCs w:val="20"/>
              </w:rPr>
              <w:t>280 residential homes planned for this development.</w:t>
            </w:r>
          </w:p>
        </w:tc>
      </w:tr>
      <w:tr w:rsidR="00C443F5" w:rsidRPr="00C443F5" w14:paraId="29D7357E" w14:textId="77777777" w:rsidTr="00397B51">
        <w:tc>
          <w:tcPr>
            <w:tcW w:w="2875" w:type="dxa"/>
          </w:tcPr>
          <w:p w14:paraId="7CCEA0F0"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Other information</w:t>
            </w:r>
          </w:p>
        </w:tc>
        <w:tc>
          <w:tcPr>
            <w:tcW w:w="3510" w:type="dxa"/>
          </w:tcPr>
          <w:p w14:paraId="1E011033"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See MFR-1.</w:t>
            </w:r>
          </w:p>
        </w:tc>
      </w:tr>
    </w:tbl>
    <w:p w14:paraId="402BE8C2" w14:textId="77777777" w:rsidR="00C443F5" w:rsidRPr="00C443F5" w:rsidRDefault="00C443F5" w:rsidP="00C443F5">
      <w:pPr>
        <w:jc w:val="both"/>
        <w:rPr>
          <w:sz w:val="20"/>
          <w:szCs w:val="20"/>
        </w:rPr>
      </w:pPr>
    </w:p>
    <w:p w14:paraId="6F8D26FA" w14:textId="77777777" w:rsidR="00C443F5" w:rsidRPr="00C443F5" w:rsidRDefault="00C443F5" w:rsidP="00C443F5">
      <w:pPr>
        <w:jc w:val="both"/>
        <w:rPr>
          <w:sz w:val="20"/>
          <w:szCs w:val="20"/>
        </w:rPr>
      </w:pPr>
    </w:p>
    <w:p w14:paraId="151D301F" w14:textId="77777777" w:rsidR="00C443F5" w:rsidRPr="00C443F5" w:rsidRDefault="00C443F5" w:rsidP="00C443F5">
      <w:pPr>
        <w:jc w:val="both"/>
        <w:rPr>
          <w:sz w:val="20"/>
          <w:szCs w:val="20"/>
        </w:rPr>
      </w:pPr>
    </w:p>
    <w:p w14:paraId="1BCBCCF0" w14:textId="77777777" w:rsidR="00C443F5" w:rsidRPr="00C443F5" w:rsidRDefault="00C443F5" w:rsidP="00C443F5">
      <w:pPr>
        <w:jc w:val="both"/>
        <w:rPr>
          <w:sz w:val="20"/>
          <w:szCs w:val="20"/>
        </w:rPr>
      </w:pPr>
    </w:p>
    <w:p w14:paraId="7481C516" w14:textId="77777777" w:rsidR="00C443F5" w:rsidRPr="00C443F5" w:rsidRDefault="00C443F5" w:rsidP="00C443F5">
      <w:pPr>
        <w:jc w:val="both"/>
        <w:rPr>
          <w:b/>
          <w:bCs/>
        </w:rPr>
      </w:pPr>
      <w:r w:rsidRPr="00C443F5">
        <w:rPr>
          <w:b/>
          <w:bCs/>
        </w:rPr>
        <w:t>Table-5: Glynn County Project #2 – Hampton Point, Butler Lake Drive</w:t>
      </w:r>
    </w:p>
    <w:tbl>
      <w:tblPr>
        <w:tblStyle w:val="TableGrid"/>
        <w:tblW w:w="0" w:type="auto"/>
        <w:tblLook w:val="04A0" w:firstRow="1" w:lastRow="0" w:firstColumn="1" w:lastColumn="0" w:noHBand="0" w:noVBand="1"/>
      </w:tblPr>
      <w:tblGrid>
        <w:gridCol w:w="2875"/>
        <w:gridCol w:w="3510"/>
      </w:tblGrid>
      <w:tr w:rsidR="00C443F5" w:rsidRPr="00C443F5" w14:paraId="70C93888" w14:textId="77777777" w:rsidTr="00397B51">
        <w:tc>
          <w:tcPr>
            <w:tcW w:w="2875" w:type="dxa"/>
          </w:tcPr>
          <w:p w14:paraId="3172DC26"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Name of Company(s)</w:t>
            </w:r>
          </w:p>
        </w:tc>
        <w:tc>
          <w:tcPr>
            <w:tcW w:w="3510" w:type="dxa"/>
          </w:tcPr>
          <w:p w14:paraId="1E745AB9" w14:textId="77777777" w:rsidR="00C443F5" w:rsidRPr="00C443F5" w:rsidRDefault="00C443F5" w:rsidP="00C443F5">
            <w:pPr>
              <w:jc w:val="both"/>
              <w:rPr>
                <w:rFonts w:eastAsiaTheme="minorHAnsi"/>
                <w:b/>
                <w:snapToGrid w:val="0"/>
                <w:sz w:val="20"/>
                <w:szCs w:val="20"/>
              </w:rPr>
            </w:pPr>
            <w:r w:rsidRPr="00C443F5">
              <w:rPr>
                <w:rFonts w:eastAsiaTheme="minorHAnsi"/>
                <w:b/>
                <w:snapToGrid w:val="0"/>
                <w:sz w:val="20"/>
                <w:szCs w:val="20"/>
              </w:rPr>
              <w:t>David Harvey – AGL</w:t>
            </w:r>
          </w:p>
        </w:tc>
      </w:tr>
      <w:tr w:rsidR="00C443F5" w:rsidRPr="00C443F5" w14:paraId="1A2B82EC" w14:textId="77777777" w:rsidTr="00397B51">
        <w:tc>
          <w:tcPr>
            <w:tcW w:w="2875" w:type="dxa"/>
          </w:tcPr>
          <w:p w14:paraId="728AA4A0"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lastRenderedPageBreak/>
              <w:t>Capital investment by Company(s)</w:t>
            </w:r>
          </w:p>
        </w:tc>
        <w:tc>
          <w:tcPr>
            <w:tcW w:w="3510" w:type="dxa"/>
          </w:tcPr>
          <w:p w14:paraId="4BDA8BA1"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N/A</w:t>
            </w:r>
          </w:p>
        </w:tc>
      </w:tr>
      <w:tr w:rsidR="00C443F5" w:rsidRPr="00C443F5" w14:paraId="66345431" w14:textId="77777777" w:rsidTr="00397B51">
        <w:tc>
          <w:tcPr>
            <w:tcW w:w="2875" w:type="dxa"/>
          </w:tcPr>
          <w:p w14:paraId="124A4CA3"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Jobs created</w:t>
            </w:r>
          </w:p>
        </w:tc>
        <w:tc>
          <w:tcPr>
            <w:tcW w:w="3510" w:type="dxa"/>
          </w:tcPr>
          <w:p w14:paraId="476AC5D5"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N/A</w:t>
            </w:r>
          </w:p>
        </w:tc>
      </w:tr>
      <w:tr w:rsidR="00C443F5" w:rsidRPr="00C443F5" w14:paraId="0FAA3539" w14:textId="77777777" w:rsidTr="00397B51">
        <w:tc>
          <w:tcPr>
            <w:tcW w:w="2875" w:type="dxa"/>
          </w:tcPr>
          <w:p w14:paraId="008ED783"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Annual payroll</w:t>
            </w:r>
          </w:p>
        </w:tc>
        <w:tc>
          <w:tcPr>
            <w:tcW w:w="3510" w:type="dxa"/>
          </w:tcPr>
          <w:p w14:paraId="02EE6BCC"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N/A</w:t>
            </w:r>
          </w:p>
        </w:tc>
      </w:tr>
      <w:tr w:rsidR="00C443F5" w:rsidRPr="00C443F5" w14:paraId="38AAB577" w14:textId="77777777" w:rsidTr="00397B51">
        <w:tc>
          <w:tcPr>
            <w:tcW w:w="2875" w:type="dxa"/>
          </w:tcPr>
          <w:p w14:paraId="0FC88EF5"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Known residential or commercial growth</w:t>
            </w:r>
          </w:p>
        </w:tc>
        <w:tc>
          <w:tcPr>
            <w:tcW w:w="3510" w:type="dxa"/>
          </w:tcPr>
          <w:p w14:paraId="1C20FD86"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80 existing homes at this location desiring conversion to natural gas.  Potential for commercial development in proximity.</w:t>
            </w:r>
          </w:p>
        </w:tc>
      </w:tr>
      <w:tr w:rsidR="00C443F5" w:rsidRPr="00C443F5" w14:paraId="2D84851B" w14:textId="77777777" w:rsidTr="00397B51">
        <w:tc>
          <w:tcPr>
            <w:tcW w:w="2875" w:type="dxa"/>
          </w:tcPr>
          <w:p w14:paraId="080065C5"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Other information</w:t>
            </w:r>
          </w:p>
        </w:tc>
        <w:tc>
          <w:tcPr>
            <w:tcW w:w="3510" w:type="dxa"/>
          </w:tcPr>
          <w:p w14:paraId="124CF5F5"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See MFR-1.</w:t>
            </w:r>
          </w:p>
        </w:tc>
      </w:tr>
    </w:tbl>
    <w:p w14:paraId="4FF33320" w14:textId="77777777" w:rsidR="00C443F5" w:rsidRPr="00C443F5" w:rsidRDefault="00C443F5" w:rsidP="00C443F5">
      <w:pPr>
        <w:jc w:val="both"/>
        <w:rPr>
          <w:b/>
          <w:bCs/>
          <w:sz w:val="20"/>
          <w:szCs w:val="20"/>
        </w:rPr>
      </w:pPr>
    </w:p>
    <w:p w14:paraId="3FFD360E" w14:textId="77777777" w:rsidR="00C443F5" w:rsidRPr="00C443F5" w:rsidRDefault="00C443F5" w:rsidP="00C443F5">
      <w:pPr>
        <w:jc w:val="both"/>
        <w:rPr>
          <w:b/>
          <w:bCs/>
        </w:rPr>
      </w:pPr>
      <w:r w:rsidRPr="00C443F5">
        <w:rPr>
          <w:b/>
          <w:bCs/>
        </w:rPr>
        <w:t>Table-6: McIntosh County Project</w:t>
      </w:r>
    </w:p>
    <w:tbl>
      <w:tblPr>
        <w:tblStyle w:val="TableGrid"/>
        <w:tblW w:w="0" w:type="auto"/>
        <w:tblLook w:val="04A0" w:firstRow="1" w:lastRow="0" w:firstColumn="1" w:lastColumn="0" w:noHBand="0" w:noVBand="1"/>
      </w:tblPr>
      <w:tblGrid>
        <w:gridCol w:w="2875"/>
        <w:gridCol w:w="3510"/>
      </w:tblGrid>
      <w:tr w:rsidR="00C443F5" w:rsidRPr="00C443F5" w14:paraId="41192BF4" w14:textId="77777777" w:rsidTr="00397B51">
        <w:tc>
          <w:tcPr>
            <w:tcW w:w="2875" w:type="dxa"/>
          </w:tcPr>
          <w:p w14:paraId="700F9259"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Name of Company(s)</w:t>
            </w:r>
          </w:p>
        </w:tc>
        <w:tc>
          <w:tcPr>
            <w:tcW w:w="3510" w:type="dxa"/>
          </w:tcPr>
          <w:p w14:paraId="206E4351" w14:textId="77777777" w:rsidR="00C443F5" w:rsidRPr="00C443F5" w:rsidRDefault="00C443F5" w:rsidP="00C443F5">
            <w:pPr>
              <w:rPr>
                <w:rFonts w:eastAsiaTheme="minorHAnsi"/>
                <w:b/>
                <w:snapToGrid w:val="0"/>
                <w:sz w:val="20"/>
                <w:szCs w:val="20"/>
              </w:rPr>
            </w:pPr>
            <w:r w:rsidRPr="00C443F5">
              <w:rPr>
                <w:rFonts w:eastAsiaTheme="minorHAnsi"/>
                <w:b/>
                <w:snapToGrid w:val="0"/>
                <w:sz w:val="20"/>
                <w:szCs w:val="20"/>
              </w:rPr>
              <w:t xml:space="preserve">McIntosh/Darien Development Authority: Jones Petroleum, Ye's Food Processing, </w:t>
            </w:r>
            <w:proofErr w:type="spellStart"/>
            <w:r w:rsidRPr="00C443F5">
              <w:rPr>
                <w:rFonts w:eastAsiaTheme="minorHAnsi"/>
                <w:b/>
                <w:snapToGrid w:val="0"/>
                <w:sz w:val="20"/>
                <w:szCs w:val="20"/>
              </w:rPr>
              <w:t>Condyne</w:t>
            </w:r>
            <w:proofErr w:type="spellEnd"/>
            <w:r w:rsidRPr="00C443F5">
              <w:rPr>
                <w:rFonts w:eastAsiaTheme="minorHAnsi"/>
                <w:b/>
                <w:snapToGrid w:val="0"/>
                <w:sz w:val="20"/>
                <w:szCs w:val="20"/>
              </w:rPr>
              <w:t xml:space="preserve"> Capital/Boca, JB Harris Transport, Conor Commercial, Jones Petroleum</w:t>
            </w:r>
          </w:p>
        </w:tc>
      </w:tr>
      <w:tr w:rsidR="00C443F5" w:rsidRPr="00C443F5" w14:paraId="1B2C73EB" w14:textId="77777777" w:rsidTr="00397B51">
        <w:tc>
          <w:tcPr>
            <w:tcW w:w="2875" w:type="dxa"/>
          </w:tcPr>
          <w:p w14:paraId="7DB80BF3"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Capital investment by Company(s)</w:t>
            </w:r>
          </w:p>
        </w:tc>
        <w:tc>
          <w:tcPr>
            <w:tcW w:w="3510" w:type="dxa"/>
          </w:tcPr>
          <w:p w14:paraId="18AF6117" w14:textId="77777777" w:rsidR="00C443F5" w:rsidRPr="00C443F5" w:rsidRDefault="00C443F5" w:rsidP="00C443F5">
            <w:pPr>
              <w:jc w:val="both"/>
              <w:rPr>
                <w:rFonts w:eastAsiaTheme="minorHAnsi"/>
                <w:snapToGrid w:val="0"/>
                <w:sz w:val="20"/>
                <w:szCs w:val="20"/>
                <w:highlight w:val="yellow"/>
              </w:rPr>
            </w:pPr>
            <w:r w:rsidRPr="00C443F5">
              <w:rPr>
                <w:rFonts w:eastAsiaTheme="minorHAnsi"/>
                <w:snapToGrid w:val="0"/>
                <w:sz w:val="20"/>
                <w:szCs w:val="20"/>
              </w:rPr>
              <w:t>$245 million*</w:t>
            </w:r>
          </w:p>
        </w:tc>
      </w:tr>
      <w:tr w:rsidR="00C443F5" w:rsidRPr="00C443F5" w14:paraId="6CC7FFFD" w14:textId="77777777" w:rsidTr="00397B51">
        <w:tc>
          <w:tcPr>
            <w:tcW w:w="2875" w:type="dxa"/>
          </w:tcPr>
          <w:p w14:paraId="1367B991"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Jobs created</w:t>
            </w:r>
          </w:p>
        </w:tc>
        <w:tc>
          <w:tcPr>
            <w:tcW w:w="3510" w:type="dxa"/>
          </w:tcPr>
          <w:p w14:paraId="0D46B630" w14:textId="77777777" w:rsidR="00C443F5" w:rsidRPr="00C443F5" w:rsidRDefault="00C443F5" w:rsidP="00C443F5">
            <w:pPr>
              <w:jc w:val="both"/>
              <w:rPr>
                <w:rFonts w:eastAsiaTheme="minorHAnsi"/>
                <w:snapToGrid w:val="0"/>
                <w:sz w:val="20"/>
                <w:szCs w:val="20"/>
                <w:highlight w:val="yellow"/>
              </w:rPr>
            </w:pPr>
            <w:r w:rsidRPr="00C443F5">
              <w:rPr>
                <w:rFonts w:eastAsiaTheme="minorHAnsi"/>
                <w:snapToGrid w:val="0"/>
                <w:sz w:val="20"/>
                <w:szCs w:val="20"/>
              </w:rPr>
              <w:t>Approximately 600*</w:t>
            </w:r>
          </w:p>
        </w:tc>
      </w:tr>
      <w:tr w:rsidR="00C443F5" w:rsidRPr="00C443F5" w14:paraId="169CC223" w14:textId="77777777" w:rsidTr="00397B51">
        <w:tc>
          <w:tcPr>
            <w:tcW w:w="2875" w:type="dxa"/>
          </w:tcPr>
          <w:p w14:paraId="4FB481B9"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Annual payroll</w:t>
            </w:r>
          </w:p>
        </w:tc>
        <w:tc>
          <w:tcPr>
            <w:tcW w:w="3510" w:type="dxa"/>
          </w:tcPr>
          <w:p w14:paraId="5AE176F0"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Unknown</w:t>
            </w:r>
          </w:p>
        </w:tc>
      </w:tr>
      <w:tr w:rsidR="00C443F5" w:rsidRPr="00C443F5" w14:paraId="0FC30272" w14:textId="77777777" w:rsidTr="00397B51">
        <w:tc>
          <w:tcPr>
            <w:tcW w:w="2875" w:type="dxa"/>
          </w:tcPr>
          <w:p w14:paraId="16D0703D"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Known residential or commercial growth</w:t>
            </w:r>
          </w:p>
        </w:tc>
        <w:tc>
          <w:tcPr>
            <w:tcW w:w="3510" w:type="dxa"/>
          </w:tcPr>
          <w:p w14:paraId="556E9E7D"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This project proposes to serve four customers: two inside the Tidewaters Industrial Park and two outside of the park.  See MFR-1.</w:t>
            </w:r>
          </w:p>
        </w:tc>
      </w:tr>
      <w:tr w:rsidR="00C443F5" w:rsidRPr="00C443F5" w14:paraId="4BA43751" w14:textId="77777777" w:rsidTr="00397B51">
        <w:tc>
          <w:tcPr>
            <w:tcW w:w="2875" w:type="dxa"/>
          </w:tcPr>
          <w:p w14:paraId="47418B82"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Other information</w:t>
            </w:r>
          </w:p>
        </w:tc>
        <w:tc>
          <w:tcPr>
            <w:tcW w:w="3510" w:type="dxa"/>
          </w:tcPr>
          <w:p w14:paraId="3891C7A1"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See MFR-1.</w:t>
            </w:r>
          </w:p>
        </w:tc>
      </w:tr>
    </w:tbl>
    <w:p w14:paraId="75EAF15E" w14:textId="77777777" w:rsidR="00C443F5" w:rsidRPr="00C443F5" w:rsidRDefault="00C443F5" w:rsidP="00C443F5">
      <w:pPr>
        <w:jc w:val="both"/>
        <w:rPr>
          <w:b/>
          <w:bCs/>
          <w:sz w:val="20"/>
          <w:szCs w:val="20"/>
        </w:rPr>
      </w:pPr>
    </w:p>
    <w:p w14:paraId="513AA646" w14:textId="77777777" w:rsidR="00C443F5" w:rsidRPr="00C443F5" w:rsidRDefault="00C443F5" w:rsidP="00C443F5">
      <w:pPr>
        <w:jc w:val="both"/>
        <w:rPr>
          <w:b/>
          <w:bCs/>
        </w:rPr>
      </w:pPr>
      <w:r w:rsidRPr="00C443F5">
        <w:rPr>
          <w:b/>
          <w:bCs/>
        </w:rPr>
        <w:t>Table-7: Cherokee County Project</w:t>
      </w:r>
    </w:p>
    <w:tbl>
      <w:tblPr>
        <w:tblStyle w:val="TableGrid"/>
        <w:tblW w:w="0" w:type="auto"/>
        <w:tblLook w:val="04A0" w:firstRow="1" w:lastRow="0" w:firstColumn="1" w:lastColumn="0" w:noHBand="0" w:noVBand="1"/>
      </w:tblPr>
      <w:tblGrid>
        <w:gridCol w:w="2875"/>
        <w:gridCol w:w="3510"/>
      </w:tblGrid>
      <w:tr w:rsidR="00C443F5" w:rsidRPr="00C443F5" w14:paraId="744BC80B" w14:textId="77777777" w:rsidTr="00397B51">
        <w:tc>
          <w:tcPr>
            <w:tcW w:w="2875" w:type="dxa"/>
          </w:tcPr>
          <w:p w14:paraId="5209A079"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Name of Company(s)</w:t>
            </w:r>
          </w:p>
        </w:tc>
        <w:tc>
          <w:tcPr>
            <w:tcW w:w="3510" w:type="dxa"/>
          </w:tcPr>
          <w:p w14:paraId="565E2204" w14:textId="77777777" w:rsidR="00C443F5" w:rsidRPr="00C443F5" w:rsidRDefault="00C443F5" w:rsidP="00C443F5">
            <w:pPr>
              <w:jc w:val="both"/>
              <w:rPr>
                <w:rFonts w:eastAsiaTheme="minorHAnsi"/>
                <w:b/>
                <w:snapToGrid w:val="0"/>
                <w:sz w:val="20"/>
                <w:szCs w:val="20"/>
              </w:rPr>
            </w:pPr>
            <w:r w:rsidRPr="00C443F5">
              <w:rPr>
                <w:rFonts w:eastAsiaTheme="minorHAnsi"/>
                <w:b/>
                <w:snapToGrid w:val="0"/>
                <w:sz w:val="20"/>
                <w:szCs w:val="20"/>
              </w:rPr>
              <w:t>Holly Street Extension/Holly Ridge S/D</w:t>
            </w:r>
          </w:p>
        </w:tc>
      </w:tr>
      <w:tr w:rsidR="00C443F5" w:rsidRPr="00C443F5" w14:paraId="25FDE7E0" w14:textId="77777777" w:rsidTr="00397B51">
        <w:tc>
          <w:tcPr>
            <w:tcW w:w="2875" w:type="dxa"/>
          </w:tcPr>
          <w:p w14:paraId="1A4650F9"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Capital investment by Company(s)</w:t>
            </w:r>
          </w:p>
        </w:tc>
        <w:tc>
          <w:tcPr>
            <w:tcW w:w="3510" w:type="dxa"/>
          </w:tcPr>
          <w:p w14:paraId="169D276B" w14:textId="77777777" w:rsidR="00C443F5" w:rsidRPr="00C443F5" w:rsidRDefault="00C443F5" w:rsidP="00C443F5">
            <w:pPr>
              <w:jc w:val="both"/>
              <w:rPr>
                <w:rFonts w:eastAsiaTheme="minorHAnsi"/>
                <w:snapToGrid w:val="0"/>
                <w:sz w:val="20"/>
                <w:szCs w:val="20"/>
                <w:highlight w:val="yellow"/>
              </w:rPr>
            </w:pPr>
            <w:r w:rsidRPr="00C443F5">
              <w:rPr>
                <w:rFonts w:eastAsiaTheme="minorHAnsi"/>
                <w:snapToGrid w:val="0"/>
                <w:sz w:val="20"/>
                <w:szCs w:val="20"/>
              </w:rPr>
              <w:t>N/A</w:t>
            </w:r>
          </w:p>
        </w:tc>
      </w:tr>
      <w:tr w:rsidR="00C443F5" w:rsidRPr="00C443F5" w14:paraId="625179C2" w14:textId="77777777" w:rsidTr="00397B51">
        <w:tc>
          <w:tcPr>
            <w:tcW w:w="2875" w:type="dxa"/>
          </w:tcPr>
          <w:p w14:paraId="18B5321A"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Jobs created</w:t>
            </w:r>
          </w:p>
        </w:tc>
        <w:tc>
          <w:tcPr>
            <w:tcW w:w="3510" w:type="dxa"/>
          </w:tcPr>
          <w:p w14:paraId="7A4FCBFC"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N/A</w:t>
            </w:r>
          </w:p>
        </w:tc>
      </w:tr>
      <w:tr w:rsidR="00C443F5" w:rsidRPr="00C443F5" w14:paraId="16AB9AE9" w14:textId="77777777" w:rsidTr="00397B51">
        <w:tc>
          <w:tcPr>
            <w:tcW w:w="2875" w:type="dxa"/>
          </w:tcPr>
          <w:p w14:paraId="6AB8E103"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Annual payroll</w:t>
            </w:r>
          </w:p>
        </w:tc>
        <w:tc>
          <w:tcPr>
            <w:tcW w:w="3510" w:type="dxa"/>
          </w:tcPr>
          <w:p w14:paraId="519D329D"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N/A</w:t>
            </w:r>
          </w:p>
        </w:tc>
      </w:tr>
      <w:tr w:rsidR="00C443F5" w:rsidRPr="00C443F5" w14:paraId="0470FD5F" w14:textId="77777777" w:rsidTr="00397B51">
        <w:tc>
          <w:tcPr>
            <w:tcW w:w="2875" w:type="dxa"/>
          </w:tcPr>
          <w:p w14:paraId="5062A95F"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Known residential or commercial growth</w:t>
            </w:r>
          </w:p>
        </w:tc>
        <w:tc>
          <w:tcPr>
            <w:tcW w:w="3510" w:type="dxa"/>
          </w:tcPr>
          <w:p w14:paraId="74087B59"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12 existing homes at this location desiring conversion to natural gas.</w:t>
            </w:r>
          </w:p>
        </w:tc>
      </w:tr>
      <w:tr w:rsidR="00C443F5" w:rsidRPr="00C443F5" w14:paraId="29AF0D1B" w14:textId="77777777" w:rsidTr="00397B51">
        <w:tc>
          <w:tcPr>
            <w:tcW w:w="2875" w:type="dxa"/>
          </w:tcPr>
          <w:p w14:paraId="7DB4D8AF"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Other information</w:t>
            </w:r>
          </w:p>
        </w:tc>
        <w:tc>
          <w:tcPr>
            <w:tcW w:w="3510" w:type="dxa"/>
          </w:tcPr>
          <w:p w14:paraId="1DE9B41A"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See MFR-1.</w:t>
            </w:r>
          </w:p>
        </w:tc>
      </w:tr>
    </w:tbl>
    <w:p w14:paraId="3B969F79" w14:textId="77777777" w:rsidR="00C443F5" w:rsidRPr="00C443F5" w:rsidRDefault="00C443F5" w:rsidP="00C443F5">
      <w:pPr>
        <w:jc w:val="both"/>
        <w:rPr>
          <w:b/>
          <w:bCs/>
        </w:rPr>
      </w:pPr>
    </w:p>
    <w:p w14:paraId="1C70B68E" w14:textId="77777777" w:rsidR="00C443F5" w:rsidRPr="00C443F5" w:rsidRDefault="00C443F5" w:rsidP="00C443F5">
      <w:pPr>
        <w:jc w:val="both"/>
      </w:pPr>
      <w:r w:rsidRPr="00C443F5">
        <w:rPr>
          <w:b/>
          <w:bCs/>
        </w:rPr>
        <w:t>Table-8: Athens-Clarke County Project</w:t>
      </w:r>
    </w:p>
    <w:tbl>
      <w:tblPr>
        <w:tblStyle w:val="TableGrid"/>
        <w:tblW w:w="0" w:type="auto"/>
        <w:tblLook w:val="04A0" w:firstRow="1" w:lastRow="0" w:firstColumn="1" w:lastColumn="0" w:noHBand="0" w:noVBand="1"/>
      </w:tblPr>
      <w:tblGrid>
        <w:gridCol w:w="2785"/>
        <w:gridCol w:w="3600"/>
      </w:tblGrid>
      <w:tr w:rsidR="00C443F5" w:rsidRPr="00C443F5" w14:paraId="60C9DF47" w14:textId="77777777" w:rsidTr="00397B51">
        <w:tc>
          <w:tcPr>
            <w:tcW w:w="2785" w:type="dxa"/>
          </w:tcPr>
          <w:p w14:paraId="2B183802"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Name of Company(s)</w:t>
            </w:r>
          </w:p>
        </w:tc>
        <w:tc>
          <w:tcPr>
            <w:tcW w:w="3600" w:type="dxa"/>
          </w:tcPr>
          <w:p w14:paraId="5B297712" w14:textId="77777777" w:rsidR="00C443F5" w:rsidRPr="00C443F5" w:rsidRDefault="00C443F5" w:rsidP="00C443F5">
            <w:pPr>
              <w:jc w:val="both"/>
              <w:rPr>
                <w:rFonts w:eastAsiaTheme="minorHAnsi"/>
                <w:b/>
                <w:snapToGrid w:val="0"/>
                <w:sz w:val="20"/>
                <w:szCs w:val="20"/>
              </w:rPr>
            </w:pPr>
            <w:r w:rsidRPr="00C443F5">
              <w:rPr>
                <w:rFonts w:eastAsiaTheme="minorHAnsi"/>
                <w:b/>
                <w:snapToGrid w:val="0"/>
                <w:sz w:val="20"/>
                <w:szCs w:val="20"/>
              </w:rPr>
              <w:t>Athens-Clarke – Meissner Corporation</w:t>
            </w:r>
          </w:p>
        </w:tc>
      </w:tr>
      <w:tr w:rsidR="00C443F5" w:rsidRPr="00C443F5" w14:paraId="5AECD92D" w14:textId="77777777" w:rsidTr="00397B51">
        <w:tc>
          <w:tcPr>
            <w:tcW w:w="2785" w:type="dxa"/>
          </w:tcPr>
          <w:p w14:paraId="3B879CA8"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Capital investment by Company(s)</w:t>
            </w:r>
          </w:p>
        </w:tc>
        <w:tc>
          <w:tcPr>
            <w:tcW w:w="3600" w:type="dxa"/>
          </w:tcPr>
          <w:p w14:paraId="5C91A827"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Approximately $250 million</w:t>
            </w:r>
          </w:p>
        </w:tc>
      </w:tr>
      <w:tr w:rsidR="00C443F5" w:rsidRPr="00C443F5" w14:paraId="51C6C1FD" w14:textId="77777777" w:rsidTr="00397B51">
        <w:tc>
          <w:tcPr>
            <w:tcW w:w="2785" w:type="dxa"/>
          </w:tcPr>
          <w:p w14:paraId="4B547A99"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Jobs created</w:t>
            </w:r>
          </w:p>
        </w:tc>
        <w:tc>
          <w:tcPr>
            <w:tcW w:w="3600" w:type="dxa"/>
          </w:tcPr>
          <w:p w14:paraId="02F024F7"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1,700+</w:t>
            </w:r>
          </w:p>
        </w:tc>
      </w:tr>
      <w:tr w:rsidR="00C443F5" w:rsidRPr="00C443F5" w14:paraId="24478AFE" w14:textId="77777777" w:rsidTr="00397B51">
        <w:tc>
          <w:tcPr>
            <w:tcW w:w="2785" w:type="dxa"/>
          </w:tcPr>
          <w:p w14:paraId="510CF1D6"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Annual payroll</w:t>
            </w:r>
          </w:p>
        </w:tc>
        <w:tc>
          <w:tcPr>
            <w:tcW w:w="3600" w:type="dxa"/>
          </w:tcPr>
          <w:p w14:paraId="78A670EF"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Unknown</w:t>
            </w:r>
          </w:p>
        </w:tc>
      </w:tr>
      <w:tr w:rsidR="00C443F5" w:rsidRPr="00C443F5" w14:paraId="4BCAE3B4" w14:textId="77777777" w:rsidTr="00397B51">
        <w:tc>
          <w:tcPr>
            <w:tcW w:w="2785" w:type="dxa"/>
          </w:tcPr>
          <w:p w14:paraId="67AC0A03"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Known residential or commercial growth</w:t>
            </w:r>
          </w:p>
        </w:tc>
        <w:tc>
          <w:tcPr>
            <w:tcW w:w="3600" w:type="dxa"/>
          </w:tcPr>
          <w:p w14:paraId="4E0909D4" w14:textId="77777777" w:rsidR="00C443F5" w:rsidRPr="00C443F5" w:rsidRDefault="00C443F5" w:rsidP="00C443F5">
            <w:pPr>
              <w:rPr>
                <w:rFonts w:eastAsiaTheme="minorHAnsi"/>
                <w:snapToGrid w:val="0"/>
                <w:sz w:val="20"/>
                <w:szCs w:val="20"/>
              </w:rPr>
            </w:pPr>
            <w:r w:rsidRPr="00C443F5">
              <w:rPr>
                <w:rFonts w:eastAsiaTheme="minorHAnsi"/>
                <w:snapToGrid w:val="0"/>
                <w:sz w:val="20"/>
                <w:szCs w:val="20"/>
              </w:rPr>
              <w:t>Large microfiltration and therapeutic manufacturer likely to bring residential and commercial growth due to the number of employment opportunities.</w:t>
            </w:r>
          </w:p>
        </w:tc>
      </w:tr>
      <w:tr w:rsidR="00C443F5" w:rsidRPr="00C443F5" w14:paraId="5E0F2678" w14:textId="77777777" w:rsidTr="00397B51">
        <w:tc>
          <w:tcPr>
            <w:tcW w:w="2785" w:type="dxa"/>
          </w:tcPr>
          <w:p w14:paraId="418E5A7D"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Other information</w:t>
            </w:r>
          </w:p>
        </w:tc>
        <w:tc>
          <w:tcPr>
            <w:tcW w:w="3600" w:type="dxa"/>
          </w:tcPr>
          <w:p w14:paraId="0D324F0C" w14:textId="77777777" w:rsidR="00C443F5" w:rsidRPr="00C443F5" w:rsidRDefault="00C443F5" w:rsidP="00C443F5">
            <w:pPr>
              <w:jc w:val="both"/>
              <w:rPr>
                <w:rFonts w:eastAsiaTheme="minorHAnsi"/>
                <w:snapToGrid w:val="0"/>
                <w:sz w:val="20"/>
                <w:szCs w:val="20"/>
              </w:rPr>
            </w:pPr>
            <w:r w:rsidRPr="00C443F5">
              <w:rPr>
                <w:rFonts w:eastAsiaTheme="minorHAnsi"/>
                <w:snapToGrid w:val="0"/>
                <w:sz w:val="20"/>
                <w:szCs w:val="20"/>
              </w:rPr>
              <w:t>See MFR-1.</w:t>
            </w:r>
          </w:p>
        </w:tc>
      </w:tr>
    </w:tbl>
    <w:p w14:paraId="0643C2C2" w14:textId="77777777" w:rsidR="00C443F5" w:rsidRPr="00C443F5" w:rsidRDefault="00C443F5" w:rsidP="00C443F5">
      <w:pPr>
        <w:spacing w:after="200"/>
        <w:contextualSpacing/>
        <w:rPr>
          <w:snapToGrid w:val="0"/>
        </w:rPr>
      </w:pPr>
    </w:p>
    <w:p w14:paraId="709334EF" w14:textId="77777777" w:rsidR="00C443F5" w:rsidRPr="00C443F5" w:rsidRDefault="00C443F5" w:rsidP="00C443F5">
      <w:pPr>
        <w:spacing w:after="200"/>
        <w:contextualSpacing/>
        <w:rPr>
          <w:snapToGrid w:val="0"/>
        </w:rPr>
      </w:pPr>
    </w:p>
    <w:p w14:paraId="5A62B852" w14:textId="77777777" w:rsidR="00C443F5" w:rsidRPr="00C443F5" w:rsidRDefault="00C443F5" w:rsidP="00C443F5">
      <w:pPr>
        <w:numPr>
          <w:ilvl w:val="0"/>
          <w:numId w:val="3"/>
        </w:numPr>
        <w:spacing w:after="200"/>
        <w:contextualSpacing/>
        <w:rPr>
          <w:b/>
        </w:rPr>
      </w:pPr>
      <w:r w:rsidRPr="00C443F5">
        <w:rPr>
          <w:b/>
        </w:rPr>
        <w:t xml:space="preserve">MFR-6 Financial Technical Analysis </w:t>
      </w:r>
    </w:p>
    <w:p w14:paraId="1846199A" w14:textId="77777777" w:rsidR="00C443F5" w:rsidRPr="00C443F5" w:rsidRDefault="00C443F5" w:rsidP="00C443F5">
      <w:pPr>
        <w:spacing w:after="200"/>
        <w:contextualSpacing/>
        <w:rPr>
          <w:snapToGrid w:val="0"/>
        </w:rPr>
      </w:pPr>
    </w:p>
    <w:p w14:paraId="5450ED6E" w14:textId="77777777" w:rsidR="00C443F5" w:rsidRPr="00C443F5" w:rsidRDefault="00C443F5" w:rsidP="00C443F5">
      <w:pPr>
        <w:spacing w:after="200"/>
        <w:ind w:firstLine="720"/>
        <w:contextualSpacing/>
        <w:rPr>
          <w:snapToGrid w:val="0"/>
        </w:rPr>
      </w:pPr>
      <w:r w:rsidRPr="00C443F5">
        <w:rPr>
          <w:snapToGrid w:val="0"/>
        </w:rPr>
        <w:lastRenderedPageBreak/>
        <w:t xml:space="preserve">In MFR-6, AGL provided the Cost to Serve, as provided in </w:t>
      </w:r>
      <w:r w:rsidRPr="00C443F5">
        <w:rPr>
          <w:b/>
          <w:snapToGrid w:val="0"/>
        </w:rPr>
        <w:t>Table-9</w:t>
      </w:r>
      <w:r w:rsidRPr="00C443F5">
        <w:rPr>
          <w:snapToGrid w:val="0"/>
        </w:rPr>
        <w:t xml:space="preserve"> below. The table provides the engineering estimates for each proposed project with the income tax and finance additions. The Cost </w:t>
      </w:r>
      <w:proofErr w:type="gramStart"/>
      <w:r w:rsidRPr="00C443F5">
        <w:rPr>
          <w:snapToGrid w:val="0"/>
        </w:rPr>
        <w:t>to</w:t>
      </w:r>
      <w:proofErr w:type="gramEnd"/>
      <w:r w:rsidRPr="00C443F5">
        <w:rPr>
          <w:snapToGrid w:val="0"/>
        </w:rPr>
        <w:t xml:space="preserve"> Service is the total of the engineering estimates, income tax gross up and the finance gross up. </w:t>
      </w:r>
    </w:p>
    <w:p w14:paraId="3FB16F8D" w14:textId="77777777" w:rsidR="00C443F5" w:rsidRPr="00C443F5" w:rsidRDefault="00C443F5" w:rsidP="00C443F5">
      <w:pPr>
        <w:spacing w:after="200"/>
        <w:contextualSpacing/>
        <w:rPr>
          <w:snapToGrid w:val="0"/>
        </w:rPr>
      </w:pPr>
    </w:p>
    <w:p w14:paraId="15113EDB" w14:textId="77777777" w:rsidR="00C443F5" w:rsidRPr="00C443F5" w:rsidRDefault="00C443F5" w:rsidP="00C443F5">
      <w:pPr>
        <w:spacing w:after="200"/>
        <w:contextualSpacing/>
        <w:rPr>
          <w:b/>
          <w:snapToGrid w:val="0"/>
        </w:rPr>
      </w:pPr>
      <w:r w:rsidRPr="00C443F5">
        <w:rPr>
          <w:b/>
          <w:snapToGrid w:val="0"/>
        </w:rPr>
        <w:t>Table-9: Cost to Serve</w:t>
      </w:r>
    </w:p>
    <w:tbl>
      <w:tblPr>
        <w:tblW w:w="9342" w:type="dxa"/>
        <w:tblInd w:w="-5" w:type="dxa"/>
        <w:tblLook w:val="04A0" w:firstRow="1" w:lastRow="0" w:firstColumn="1" w:lastColumn="0" w:noHBand="0" w:noVBand="1"/>
      </w:tblPr>
      <w:tblGrid>
        <w:gridCol w:w="766"/>
        <w:gridCol w:w="1078"/>
        <w:gridCol w:w="1230"/>
        <w:gridCol w:w="1491"/>
        <w:gridCol w:w="1310"/>
        <w:gridCol w:w="1129"/>
        <w:gridCol w:w="1149"/>
        <w:gridCol w:w="1189"/>
      </w:tblGrid>
      <w:tr w:rsidR="00C443F5" w:rsidRPr="00C443F5" w14:paraId="4552ADED" w14:textId="77777777" w:rsidTr="00397B51">
        <w:trPr>
          <w:trHeight w:val="704"/>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507BD"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Line</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4326AFA2"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Type</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3E2CA8C0"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Project</w:t>
            </w:r>
          </w:p>
        </w:tc>
        <w:tc>
          <w:tcPr>
            <w:tcW w:w="1491" w:type="dxa"/>
            <w:tcBorders>
              <w:top w:val="single" w:sz="4" w:space="0" w:color="auto"/>
              <w:left w:val="nil"/>
              <w:bottom w:val="single" w:sz="4" w:space="0" w:color="auto"/>
              <w:right w:val="single" w:sz="4" w:space="0" w:color="auto"/>
            </w:tcBorders>
            <w:shd w:val="clear" w:color="auto" w:fill="auto"/>
            <w:vAlign w:val="center"/>
            <w:hideMark/>
          </w:tcPr>
          <w:p w14:paraId="5252B1DA"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Footage Size/Type</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14:paraId="497DEBCF"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Estimated Engineering Costs</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ECC4873"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Income Tax Gross-Up</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7E046553"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Financing Cost Gross-Up</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09B0239B"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Cost to Serve</w:t>
            </w:r>
          </w:p>
        </w:tc>
      </w:tr>
      <w:tr w:rsidR="00C443F5" w:rsidRPr="00C443F5" w14:paraId="1C7294D3" w14:textId="77777777" w:rsidTr="00397B51">
        <w:trPr>
          <w:trHeight w:val="312"/>
        </w:trPr>
        <w:tc>
          <w:tcPr>
            <w:tcW w:w="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E734EB"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1</w:t>
            </w:r>
          </w:p>
        </w:tc>
        <w:tc>
          <w:tcPr>
            <w:tcW w:w="1078" w:type="dxa"/>
            <w:vMerge w:val="restart"/>
            <w:tcBorders>
              <w:top w:val="nil"/>
              <w:left w:val="single" w:sz="4" w:space="0" w:color="auto"/>
              <w:bottom w:val="single" w:sz="4" w:space="0" w:color="000000"/>
              <w:right w:val="single" w:sz="4" w:space="0" w:color="auto"/>
            </w:tcBorders>
            <w:shd w:val="clear" w:color="auto" w:fill="auto"/>
            <w:vAlign w:val="center"/>
            <w:hideMark/>
          </w:tcPr>
          <w:p w14:paraId="33E5CA5A"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Residential</w:t>
            </w:r>
          </w:p>
        </w:tc>
        <w:tc>
          <w:tcPr>
            <w:tcW w:w="1230" w:type="dxa"/>
            <w:vMerge w:val="restart"/>
            <w:tcBorders>
              <w:top w:val="nil"/>
              <w:left w:val="single" w:sz="4" w:space="0" w:color="auto"/>
              <w:bottom w:val="single" w:sz="4" w:space="0" w:color="000000"/>
              <w:right w:val="single" w:sz="4" w:space="0" w:color="auto"/>
            </w:tcBorders>
            <w:shd w:val="clear" w:color="auto" w:fill="auto"/>
            <w:vAlign w:val="center"/>
            <w:hideMark/>
          </w:tcPr>
          <w:p w14:paraId="1190B444"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Glynn #1</w:t>
            </w:r>
          </w:p>
        </w:tc>
        <w:tc>
          <w:tcPr>
            <w:tcW w:w="1491" w:type="dxa"/>
            <w:tcBorders>
              <w:top w:val="nil"/>
              <w:left w:val="nil"/>
              <w:bottom w:val="single" w:sz="4" w:space="0" w:color="auto"/>
              <w:right w:val="single" w:sz="4" w:space="0" w:color="auto"/>
            </w:tcBorders>
            <w:shd w:val="clear" w:color="auto" w:fill="auto"/>
            <w:vAlign w:val="center"/>
            <w:hideMark/>
          </w:tcPr>
          <w:p w14:paraId="776058CF"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6,350' x 4" plastic</w:t>
            </w:r>
          </w:p>
        </w:tc>
        <w:tc>
          <w:tcPr>
            <w:tcW w:w="1310" w:type="dxa"/>
            <w:vMerge w:val="restart"/>
            <w:tcBorders>
              <w:top w:val="nil"/>
              <w:left w:val="single" w:sz="4" w:space="0" w:color="auto"/>
              <w:bottom w:val="single" w:sz="4" w:space="0" w:color="000000"/>
              <w:right w:val="single" w:sz="4" w:space="0" w:color="auto"/>
            </w:tcBorders>
            <w:shd w:val="clear" w:color="auto" w:fill="auto"/>
            <w:vAlign w:val="center"/>
            <w:hideMark/>
          </w:tcPr>
          <w:p w14:paraId="463C01AC"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 xml:space="preserve">$2,524,983 </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1902B9"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 xml:space="preserve">$386,853 </w:t>
            </w:r>
          </w:p>
        </w:tc>
        <w:tc>
          <w:tcPr>
            <w:tcW w:w="114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8A2183"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 xml:space="preserve">$14,493 </w:t>
            </w:r>
          </w:p>
        </w:tc>
        <w:tc>
          <w:tcPr>
            <w:tcW w:w="11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34822A"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 xml:space="preserve">$2,926,329 </w:t>
            </w:r>
          </w:p>
        </w:tc>
      </w:tr>
      <w:tr w:rsidR="00C443F5" w:rsidRPr="00C443F5" w14:paraId="5908ACEE" w14:textId="77777777" w:rsidTr="00397B51">
        <w:trPr>
          <w:trHeight w:val="312"/>
        </w:trPr>
        <w:tc>
          <w:tcPr>
            <w:tcW w:w="766" w:type="dxa"/>
            <w:vMerge/>
            <w:tcBorders>
              <w:top w:val="nil"/>
              <w:left w:val="single" w:sz="4" w:space="0" w:color="auto"/>
              <w:bottom w:val="single" w:sz="4" w:space="0" w:color="000000"/>
              <w:right w:val="single" w:sz="4" w:space="0" w:color="auto"/>
            </w:tcBorders>
            <w:vAlign w:val="center"/>
            <w:hideMark/>
          </w:tcPr>
          <w:p w14:paraId="72C41706" w14:textId="77777777" w:rsidR="00C443F5" w:rsidRPr="00C443F5" w:rsidRDefault="00C443F5" w:rsidP="00C443F5">
            <w:pPr>
              <w:rPr>
                <w:rFonts w:ascii="Arial" w:hAnsi="Arial" w:cs="Arial"/>
                <w:color w:val="000000"/>
                <w:sz w:val="16"/>
                <w:szCs w:val="16"/>
              </w:rPr>
            </w:pPr>
          </w:p>
        </w:tc>
        <w:tc>
          <w:tcPr>
            <w:tcW w:w="1078" w:type="dxa"/>
            <w:vMerge/>
            <w:tcBorders>
              <w:top w:val="nil"/>
              <w:left w:val="single" w:sz="4" w:space="0" w:color="auto"/>
              <w:bottom w:val="single" w:sz="4" w:space="0" w:color="000000"/>
              <w:right w:val="single" w:sz="4" w:space="0" w:color="auto"/>
            </w:tcBorders>
            <w:vAlign w:val="center"/>
            <w:hideMark/>
          </w:tcPr>
          <w:p w14:paraId="67B4401B" w14:textId="77777777" w:rsidR="00C443F5" w:rsidRPr="00C443F5" w:rsidRDefault="00C443F5" w:rsidP="00C443F5">
            <w:pPr>
              <w:rPr>
                <w:rFonts w:ascii="Arial" w:hAnsi="Arial" w:cs="Arial"/>
                <w:color w:val="00000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14:paraId="090C40A0" w14:textId="77777777" w:rsidR="00C443F5" w:rsidRPr="00C443F5" w:rsidRDefault="00C443F5" w:rsidP="00C443F5">
            <w:pPr>
              <w:rPr>
                <w:rFonts w:ascii="Arial" w:hAnsi="Arial" w:cs="Arial"/>
                <w:color w:val="000000"/>
                <w:sz w:val="16"/>
                <w:szCs w:val="16"/>
              </w:rPr>
            </w:pPr>
          </w:p>
        </w:tc>
        <w:tc>
          <w:tcPr>
            <w:tcW w:w="1491" w:type="dxa"/>
            <w:tcBorders>
              <w:top w:val="nil"/>
              <w:left w:val="nil"/>
              <w:bottom w:val="single" w:sz="4" w:space="0" w:color="auto"/>
              <w:right w:val="single" w:sz="4" w:space="0" w:color="auto"/>
            </w:tcBorders>
            <w:shd w:val="clear" w:color="auto" w:fill="auto"/>
            <w:vAlign w:val="center"/>
            <w:hideMark/>
          </w:tcPr>
          <w:p w14:paraId="3617F46C"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4,100' x 6" steel</w:t>
            </w:r>
          </w:p>
        </w:tc>
        <w:tc>
          <w:tcPr>
            <w:tcW w:w="1310" w:type="dxa"/>
            <w:vMerge/>
            <w:tcBorders>
              <w:top w:val="nil"/>
              <w:left w:val="single" w:sz="4" w:space="0" w:color="auto"/>
              <w:bottom w:val="single" w:sz="4" w:space="0" w:color="000000"/>
              <w:right w:val="single" w:sz="4" w:space="0" w:color="auto"/>
            </w:tcBorders>
            <w:vAlign w:val="center"/>
            <w:hideMark/>
          </w:tcPr>
          <w:p w14:paraId="500892D9" w14:textId="77777777" w:rsidR="00C443F5" w:rsidRPr="00C443F5" w:rsidRDefault="00C443F5" w:rsidP="00C443F5">
            <w:pPr>
              <w:rPr>
                <w:rFonts w:ascii="Arial" w:hAnsi="Arial" w:cs="Arial"/>
                <w:color w:val="000000"/>
                <w:sz w:val="16"/>
                <w:szCs w:val="16"/>
              </w:rPr>
            </w:pPr>
          </w:p>
        </w:tc>
        <w:tc>
          <w:tcPr>
            <w:tcW w:w="1129" w:type="dxa"/>
            <w:vMerge/>
            <w:tcBorders>
              <w:top w:val="nil"/>
              <w:left w:val="single" w:sz="4" w:space="0" w:color="auto"/>
              <w:bottom w:val="single" w:sz="4" w:space="0" w:color="000000"/>
              <w:right w:val="single" w:sz="4" w:space="0" w:color="auto"/>
            </w:tcBorders>
            <w:vAlign w:val="center"/>
            <w:hideMark/>
          </w:tcPr>
          <w:p w14:paraId="73F670D6" w14:textId="77777777" w:rsidR="00C443F5" w:rsidRPr="00C443F5" w:rsidRDefault="00C443F5" w:rsidP="00C443F5">
            <w:pPr>
              <w:rPr>
                <w:rFonts w:ascii="Arial" w:hAnsi="Arial" w:cs="Arial"/>
                <w:color w:val="000000"/>
                <w:sz w:val="16"/>
                <w:szCs w:val="16"/>
              </w:rPr>
            </w:pPr>
          </w:p>
        </w:tc>
        <w:tc>
          <w:tcPr>
            <w:tcW w:w="1149" w:type="dxa"/>
            <w:vMerge/>
            <w:tcBorders>
              <w:top w:val="nil"/>
              <w:left w:val="single" w:sz="4" w:space="0" w:color="auto"/>
              <w:bottom w:val="single" w:sz="4" w:space="0" w:color="000000"/>
              <w:right w:val="single" w:sz="4" w:space="0" w:color="auto"/>
            </w:tcBorders>
            <w:vAlign w:val="center"/>
            <w:hideMark/>
          </w:tcPr>
          <w:p w14:paraId="5053B20F" w14:textId="77777777" w:rsidR="00C443F5" w:rsidRPr="00C443F5" w:rsidRDefault="00C443F5" w:rsidP="00C443F5">
            <w:pPr>
              <w:rPr>
                <w:rFonts w:ascii="Arial" w:hAnsi="Arial" w:cs="Arial"/>
                <w:color w:val="000000"/>
                <w:sz w:val="16"/>
                <w:szCs w:val="16"/>
              </w:rPr>
            </w:pPr>
          </w:p>
        </w:tc>
        <w:tc>
          <w:tcPr>
            <w:tcW w:w="1189" w:type="dxa"/>
            <w:vMerge/>
            <w:tcBorders>
              <w:top w:val="nil"/>
              <w:left w:val="single" w:sz="4" w:space="0" w:color="auto"/>
              <w:bottom w:val="single" w:sz="4" w:space="0" w:color="000000"/>
              <w:right w:val="single" w:sz="4" w:space="0" w:color="auto"/>
            </w:tcBorders>
            <w:vAlign w:val="center"/>
            <w:hideMark/>
          </w:tcPr>
          <w:p w14:paraId="35E2CE14" w14:textId="77777777" w:rsidR="00C443F5" w:rsidRPr="00C443F5" w:rsidRDefault="00C443F5" w:rsidP="00C443F5">
            <w:pPr>
              <w:rPr>
                <w:rFonts w:ascii="Arial" w:hAnsi="Arial" w:cs="Arial"/>
                <w:color w:val="000000"/>
                <w:sz w:val="16"/>
                <w:szCs w:val="16"/>
              </w:rPr>
            </w:pPr>
          </w:p>
        </w:tc>
      </w:tr>
      <w:tr w:rsidR="00C443F5" w:rsidRPr="00C443F5" w14:paraId="1CD992F2" w14:textId="77777777" w:rsidTr="00397B51">
        <w:trPr>
          <w:trHeight w:val="312"/>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CDF143B"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2</w:t>
            </w:r>
          </w:p>
        </w:tc>
        <w:tc>
          <w:tcPr>
            <w:tcW w:w="1078" w:type="dxa"/>
            <w:tcBorders>
              <w:top w:val="nil"/>
              <w:left w:val="nil"/>
              <w:bottom w:val="single" w:sz="4" w:space="0" w:color="auto"/>
              <w:right w:val="single" w:sz="4" w:space="0" w:color="auto"/>
            </w:tcBorders>
            <w:shd w:val="clear" w:color="auto" w:fill="auto"/>
            <w:vAlign w:val="center"/>
            <w:hideMark/>
          </w:tcPr>
          <w:p w14:paraId="5517F93E"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Residential</w:t>
            </w:r>
          </w:p>
        </w:tc>
        <w:tc>
          <w:tcPr>
            <w:tcW w:w="1230" w:type="dxa"/>
            <w:tcBorders>
              <w:top w:val="nil"/>
              <w:left w:val="nil"/>
              <w:bottom w:val="single" w:sz="4" w:space="0" w:color="auto"/>
              <w:right w:val="single" w:sz="4" w:space="0" w:color="auto"/>
            </w:tcBorders>
            <w:shd w:val="clear" w:color="auto" w:fill="auto"/>
            <w:vAlign w:val="center"/>
            <w:hideMark/>
          </w:tcPr>
          <w:p w14:paraId="13C1A940"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Glynn #2</w:t>
            </w:r>
          </w:p>
        </w:tc>
        <w:tc>
          <w:tcPr>
            <w:tcW w:w="1491" w:type="dxa"/>
            <w:tcBorders>
              <w:top w:val="nil"/>
              <w:left w:val="nil"/>
              <w:bottom w:val="single" w:sz="4" w:space="0" w:color="auto"/>
              <w:right w:val="single" w:sz="4" w:space="0" w:color="auto"/>
            </w:tcBorders>
            <w:shd w:val="clear" w:color="auto" w:fill="auto"/>
            <w:vAlign w:val="center"/>
            <w:hideMark/>
          </w:tcPr>
          <w:p w14:paraId="0786BB0B"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8,400' x 4" plastic</w:t>
            </w:r>
          </w:p>
        </w:tc>
        <w:tc>
          <w:tcPr>
            <w:tcW w:w="1310" w:type="dxa"/>
            <w:tcBorders>
              <w:top w:val="nil"/>
              <w:left w:val="nil"/>
              <w:bottom w:val="single" w:sz="4" w:space="0" w:color="auto"/>
              <w:right w:val="single" w:sz="4" w:space="0" w:color="auto"/>
            </w:tcBorders>
            <w:shd w:val="clear" w:color="auto" w:fill="auto"/>
            <w:vAlign w:val="center"/>
            <w:hideMark/>
          </w:tcPr>
          <w:p w14:paraId="56C250B6"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 xml:space="preserve">$1,305,761 </w:t>
            </w:r>
          </w:p>
        </w:tc>
        <w:tc>
          <w:tcPr>
            <w:tcW w:w="1129" w:type="dxa"/>
            <w:tcBorders>
              <w:top w:val="nil"/>
              <w:left w:val="nil"/>
              <w:bottom w:val="single" w:sz="4" w:space="0" w:color="auto"/>
              <w:right w:val="single" w:sz="4" w:space="0" w:color="auto"/>
            </w:tcBorders>
            <w:shd w:val="clear" w:color="auto" w:fill="auto"/>
            <w:noWrap/>
            <w:vAlign w:val="center"/>
            <w:hideMark/>
          </w:tcPr>
          <w:p w14:paraId="779F4D66"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 xml:space="preserve">$200,056 </w:t>
            </w:r>
          </w:p>
        </w:tc>
        <w:tc>
          <w:tcPr>
            <w:tcW w:w="1149" w:type="dxa"/>
            <w:tcBorders>
              <w:top w:val="nil"/>
              <w:left w:val="nil"/>
              <w:bottom w:val="single" w:sz="4" w:space="0" w:color="auto"/>
              <w:right w:val="single" w:sz="4" w:space="0" w:color="auto"/>
            </w:tcBorders>
            <w:shd w:val="clear" w:color="auto" w:fill="auto"/>
            <w:noWrap/>
            <w:vAlign w:val="center"/>
            <w:hideMark/>
          </w:tcPr>
          <w:p w14:paraId="356948DA"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 xml:space="preserve">$7,495 </w:t>
            </w:r>
          </w:p>
        </w:tc>
        <w:tc>
          <w:tcPr>
            <w:tcW w:w="1189" w:type="dxa"/>
            <w:tcBorders>
              <w:top w:val="nil"/>
              <w:left w:val="nil"/>
              <w:bottom w:val="single" w:sz="4" w:space="0" w:color="auto"/>
              <w:right w:val="single" w:sz="4" w:space="0" w:color="auto"/>
            </w:tcBorders>
            <w:shd w:val="clear" w:color="auto" w:fill="auto"/>
            <w:noWrap/>
            <w:vAlign w:val="center"/>
            <w:hideMark/>
          </w:tcPr>
          <w:p w14:paraId="231CA458"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 xml:space="preserve">$1,513,311 </w:t>
            </w:r>
          </w:p>
        </w:tc>
      </w:tr>
      <w:tr w:rsidR="00C443F5" w:rsidRPr="00C443F5" w14:paraId="2D1FBCCC" w14:textId="77777777" w:rsidTr="00397B51">
        <w:trPr>
          <w:trHeight w:val="469"/>
        </w:trPr>
        <w:tc>
          <w:tcPr>
            <w:tcW w:w="76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E7129F"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3</w:t>
            </w:r>
          </w:p>
        </w:tc>
        <w:tc>
          <w:tcPr>
            <w:tcW w:w="1078" w:type="dxa"/>
            <w:vMerge w:val="restart"/>
            <w:tcBorders>
              <w:top w:val="nil"/>
              <w:left w:val="single" w:sz="4" w:space="0" w:color="auto"/>
              <w:bottom w:val="single" w:sz="4" w:space="0" w:color="auto"/>
              <w:right w:val="single" w:sz="4" w:space="0" w:color="auto"/>
            </w:tcBorders>
            <w:shd w:val="clear" w:color="auto" w:fill="auto"/>
            <w:vAlign w:val="center"/>
            <w:hideMark/>
          </w:tcPr>
          <w:p w14:paraId="78C24D40"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Residential</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511A9B3E"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Cherokee</w:t>
            </w:r>
          </w:p>
        </w:tc>
        <w:tc>
          <w:tcPr>
            <w:tcW w:w="1491" w:type="dxa"/>
            <w:tcBorders>
              <w:top w:val="nil"/>
              <w:left w:val="nil"/>
              <w:bottom w:val="single" w:sz="4" w:space="0" w:color="auto"/>
              <w:right w:val="single" w:sz="4" w:space="0" w:color="auto"/>
            </w:tcBorders>
            <w:shd w:val="clear" w:color="auto" w:fill="auto"/>
            <w:vAlign w:val="center"/>
            <w:hideMark/>
          </w:tcPr>
          <w:p w14:paraId="04C27145"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1,600' x 4" plastic</w:t>
            </w:r>
          </w:p>
        </w:tc>
        <w:tc>
          <w:tcPr>
            <w:tcW w:w="1310" w:type="dxa"/>
            <w:vMerge w:val="restart"/>
            <w:tcBorders>
              <w:top w:val="nil"/>
              <w:left w:val="single" w:sz="4" w:space="0" w:color="auto"/>
              <w:bottom w:val="single" w:sz="4" w:space="0" w:color="auto"/>
              <w:right w:val="single" w:sz="4" w:space="0" w:color="auto"/>
            </w:tcBorders>
            <w:shd w:val="clear" w:color="auto" w:fill="auto"/>
            <w:vAlign w:val="center"/>
            <w:hideMark/>
          </w:tcPr>
          <w:p w14:paraId="32800C14"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 xml:space="preserve">$453,074 </w:t>
            </w:r>
          </w:p>
        </w:tc>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5C34F4"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 xml:space="preserve">$69,415 </w:t>
            </w:r>
          </w:p>
        </w:tc>
        <w:tc>
          <w:tcPr>
            <w:tcW w:w="114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685EBD"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 xml:space="preserve">$2,601 </w:t>
            </w:r>
          </w:p>
        </w:tc>
        <w:tc>
          <w:tcPr>
            <w:tcW w:w="11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075A4A"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 xml:space="preserve">$525,090 </w:t>
            </w:r>
          </w:p>
        </w:tc>
      </w:tr>
      <w:tr w:rsidR="00C443F5" w:rsidRPr="00C443F5" w14:paraId="77AB9673" w14:textId="77777777" w:rsidTr="00397B51">
        <w:trPr>
          <w:trHeight w:val="469"/>
        </w:trPr>
        <w:tc>
          <w:tcPr>
            <w:tcW w:w="766" w:type="dxa"/>
            <w:vMerge/>
            <w:tcBorders>
              <w:top w:val="nil"/>
              <w:left w:val="single" w:sz="4" w:space="0" w:color="auto"/>
              <w:bottom w:val="single" w:sz="4" w:space="0" w:color="000000"/>
              <w:right w:val="single" w:sz="4" w:space="0" w:color="auto"/>
            </w:tcBorders>
            <w:vAlign w:val="center"/>
            <w:hideMark/>
          </w:tcPr>
          <w:p w14:paraId="359AB7E0" w14:textId="77777777" w:rsidR="00C443F5" w:rsidRPr="00C443F5" w:rsidRDefault="00C443F5" w:rsidP="00C443F5">
            <w:pPr>
              <w:rPr>
                <w:rFonts w:ascii="Arial" w:hAnsi="Arial" w:cs="Arial"/>
                <w:color w:val="000000"/>
                <w:sz w:val="16"/>
                <w:szCs w:val="16"/>
              </w:rPr>
            </w:pPr>
          </w:p>
        </w:tc>
        <w:tc>
          <w:tcPr>
            <w:tcW w:w="1078" w:type="dxa"/>
            <w:vMerge/>
            <w:tcBorders>
              <w:top w:val="nil"/>
              <w:left w:val="single" w:sz="4" w:space="0" w:color="auto"/>
              <w:bottom w:val="single" w:sz="4" w:space="0" w:color="auto"/>
              <w:right w:val="single" w:sz="4" w:space="0" w:color="auto"/>
            </w:tcBorders>
            <w:vAlign w:val="center"/>
            <w:hideMark/>
          </w:tcPr>
          <w:p w14:paraId="0B8CD715" w14:textId="77777777" w:rsidR="00C443F5" w:rsidRPr="00C443F5" w:rsidRDefault="00C443F5" w:rsidP="00C443F5">
            <w:pPr>
              <w:rPr>
                <w:rFonts w:ascii="Arial" w:hAnsi="Arial" w:cs="Arial"/>
                <w:color w:val="000000"/>
                <w:sz w:val="16"/>
                <w:szCs w:val="16"/>
              </w:rPr>
            </w:pPr>
          </w:p>
        </w:tc>
        <w:tc>
          <w:tcPr>
            <w:tcW w:w="1230" w:type="dxa"/>
            <w:vMerge/>
            <w:tcBorders>
              <w:top w:val="nil"/>
              <w:left w:val="single" w:sz="4" w:space="0" w:color="auto"/>
              <w:bottom w:val="single" w:sz="4" w:space="0" w:color="auto"/>
              <w:right w:val="single" w:sz="4" w:space="0" w:color="auto"/>
            </w:tcBorders>
            <w:vAlign w:val="center"/>
            <w:hideMark/>
          </w:tcPr>
          <w:p w14:paraId="3523F7C7" w14:textId="77777777" w:rsidR="00C443F5" w:rsidRPr="00C443F5" w:rsidRDefault="00C443F5" w:rsidP="00C443F5">
            <w:pPr>
              <w:rPr>
                <w:rFonts w:ascii="Arial" w:hAnsi="Arial" w:cs="Arial"/>
                <w:color w:val="000000"/>
                <w:sz w:val="16"/>
                <w:szCs w:val="16"/>
              </w:rPr>
            </w:pPr>
          </w:p>
        </w:tc>
        <w:tc>
          <w:tcPr>
            <w:tcW w:w="1491" w:type="dxa"/>
            <w:tcBorders>
              <w:top w:val="nil"/>
              <w:left w:val="nil"/>
              <w:bottom w:val="single" w:sz="4" w:space="0" w:color="auto"/>
              <w:right w:val="single" w:sz="4" w:space="0" w:color="auto"/>
            </w:tcBorders>
            <w:shd w:val="clear" w:color="auto" w:fill="auto"/>
            <w:vAlign w:val="center"/>
            <w:hideMark/>
          </w:tcPr>
          <w:p w14:paraId="3FE55B25"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1,000' x 2" plastic</w:t>
            </w:r>
          </w:p>
        </w:tc>
        <w:tc>
          <w:tcPr>
            <w:tcW w:w="1310" w:type="dxa"/>
            <w:vMerge/>
            <w:tcBorders>
              <w:top w:val="nil"/>
              <w:left w:val="single" w:sz="4" w:space="0" w:color="auto"/>
              <w:bottom w:val="single" w:sz="4" w:space="0" w:color="auto"/>
              <w:right w:val="single" w:sz="4" w:space="0" w:color="auto"/>
            </w:tcBorders>
            <w:vAlign w:val="center"/>
            <w:hideMark/>
          </w:tcPr>
          <w:p w14:paraId="5CE669B7" w14:textId="77777777" w:rsidR="00C443F5" w:rsidRPr="00C443F5" w:rsidRDefault="00C443F5" w:rsidP="00C443F5">
            <w:pPr>
              <w:rPr>
                <w:rFonts w:ascii="Arial" w:hAnsi="Arial" w:cs="Arial"/>
                <w:color w:val="000000"/>
                <w:sz w:val="16"/>
                <w:szCs w:val="16"/>
              </w:rPr>
            </w:pPr>
          </w:p>
        </w:tc>
        <w:tc>
          <w:tcPr>
            <w:tcW w:w="1129" w:type="dxa"/>
            <w:vMerge/>
            <w:tcBorders>
              <w:top w:val="nil"/>
              <w:left w:val="single" w:sz="4" w:space="0" w:color="auto"/>
              <w:bottom w:val="single" w:sz="4" w:space="0" w:color="auto"/>
              <w:right w:val="single" w:sz="4" w:space="0" w:color="auto"/>
            </w:tcBorders>
            <w:vAlign w:val="center"/>
            <w:hideMark/>
          </w:tcPr>
          <w:p w14:paraId="0E727211" w14:textId="77777777" w:rsidR="00C443F5" w:rsidRPr="00C443F5" w:rsidRDefault="00C443F5" w:rsidP="00C443F5">
            <w:pPr>
              <w:rPr>
                <w:rFonts w:ascii="Arial" w:hAnsi="Arial" w:cs="Arial"/>
                <w:color w:val="000000"/>
                <w:sz w:val="16"/>
                <w:szCs w:val="16"/>
              </w:rPr>
            </w:pPr>
          </w:p>
        </w:tc>
        <w:tc>
          <w:tcPr>
            <w:tcW w:w="1149" w:type="dxa"/>
            <w:vMerge/>
            <w:tcBorders>
              <w:top w:val="nil"/>
              <w:left w:val="single" w:sz="4" w:space="0" w:color="auto"/>
              <w:bottom w:val="single" w:sz="4" w:space="0" w:color="auto"/>
              <w:right w:val="single" w:sz="4" w:space="0" w:color="auto"/>
            </w:tcBorders>
            <w:vAlign w:val="center"/>
            <w:hideMark/>
          </w:tcPr>
          <w:p w14:paraId="578EAED2" w14:textId="77777777" w:rsidR="00C443F5" w:rsidRPr="00C443F5" w:rsidRDefault="00C443F5" w:rsidP="00C443F5">
            <w:pPr>
              <w:rPr>
                <w:rFonts w:ascii="Arial" w:hAnsi="Arial" w:cs="Arial"/>
                <w:color w:val="000000"/>
                <w:sz w:val="16"/>
                <w:szCs w:val="16"/>
              </w:rPr>
            </w:pPr>
          </w:p>
        </w:tc>
        <w:tc>
          <w:tcPr>
            <w:tcW w:w="1189" w:type="dxa"/>
            <w:vMerge/>
            <w:tcBorders>
              <w:top w:val="nil"/>
              <w:left w:val="single" w:sz="4" w:space="0" w:color="auto"/>
              <w:bottom w:val="single" w:sz="4" w:space="0" w:color="auto"/>
              <w:right w:val="single" w:sz="4" w:space="0" w:color="auto"/>
            </w:tcBorders>
            <w:vAlign w:val="center"/>
            <w:hideMark/>
          </w:tcPr>
          <w:p w14:paraId="17D5946B" w14:textId="77777777" w:rsidR="00C443F5" w:rsidRPr="00C443F5" w:rsidRDefault="00C443F5" w:rsidP="00C443F5">
            <w:pPr>
              <w:rPr>
                <w:rFonts w:ascii="Arial" w:hAnsi="Arial" w:cs="Arial"/>
                <w:color w:val="000000"/>
                <w:sz w:val="16"/>
                <w:szCs w:val="16"/>
              </w:rPr>
            </w:pPr>
          </w:p>
        </w:tc>
      </w:tr>
      <w:tr w:rsidR="00C443F5" w:rsidRPr="00C443F5" w14:paraId="2FE94CE0" w14:textId="77777777" w:rsidTr="00397B51">
        <w:trPr>
          <w:trHeight w:val="312"/>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CB7A1DB"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4</w:t>
            </w:r>
          </w:p>
        </w:tc>
        <w:tc>
          <w:tcPr>
            <w:tcW w:w="1078" w:type="dxa"/>
            <w:tcBorders>
              <w:top w:val="nil"/>
              <w:left w:val="nil"/>
              <w:bottom w:val="single" w:sz="4" w:space="0" w:color="auto"/>
              <w:right w:val="single" w:sz="4" w:space="0" w:color="auto"/>
            </w:tcBorders>
            <w:shd w:val="clear" w:color="auto" w:fill="auto"/>
            <w:vAlign w:val="center"/>
            <w:hideMark/>
          </w:tcPr>
          <w:p w14:paraId="7BC90D92"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Commercial</w:t>
            </w:r>
          </w:p>
        </w:tc>
        <w:tc>
          <w:tcPr>
            <w:tcW w:w="1230" w:type="dxa"/>
            <w:tcBorders>
              <w:top w:val="nil"/>
              <w:left w:val="nil"/>
              <w:bottom w:val="single" w:sz="4" w:space="0" w:color="auto"/>
              <w:right w:val="single" w:sz="4" w:space="0" w:color="auto"/>
            </w:tcBorders>
            <w:shd w:val="clear" w:color="auto" w:fill="auto"/>
            <w:vAlign w:val="center"/>
            <w:hideMark/>
          </w:tcPr>
          <w:p w14:paraId="6B1A9106"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Athens/Clarke</w:t>
            </w:r>
          </w:p>
        </w:tc>
        <w:tc>
          <w:tcPr>
            <w:tcW w:w="1491" w:type="dxa"/>
            <w:tcBorders>
              <w:top w:val="nil"/>
              <w:left w:val="nil"/>
              <w:bottom w:val="single" w:sz="4" w:space="0" w:color="auto"/>
              <w:right w:val="single" w:sz="4" w:space="0" w:color="auto"/>
            </w:tcBorders>
            <w:shd w:val="clear" w:color="auto" w:fill="auto"/>
            <w:vAlign w:val="center"/>
            <w:hideMark/>
          </w:tcPr>
          <w:p w14:paraId="753A7E19"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2,050' x 4" plastic</w:t>
            </w:r>
          </w:p>
        </w:tc>
        <w:tc>
          <w:tcPr>
            <w:tcW w:w="1310" w:type="dxa"/>
            <w:tcBorders>
              <w:top w:val="nil"/>
              <w:left w:val="nil"/>
              <w:bottom w:val="single" w:sz="4" w:space="0" w:color="auto"/>
              <w:right w:val="single" w:sz="4" w:space="0" w:color="auto"/>
            </w:tcBorders>
            <w:shd w:val="clear" w:color="auto" w:fill="auto"/>
            <w:vAlign w:val="center"/>
            <w:hideMark/>
          </w:tcPr>
          <w:p w14:paraId="60048D13"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$1,140,000 </w:t>
            </w:r>
          </w:p>
        </w:tc>
        <w:tc>
          <w:tcPr>
            <w:tcW w:w="1129" w:type="dxa"/>
            <w:tcBorders>
              <w:top w:val="nil"/>
              <w:left w:val="nil"/>
              <w:bottom w:val="single" w:sz="4" w:space="0" w:color="auto"/>
              <w:right w:val="single" w:sz="4" w:space="0" w:color="auto"/>
            </w:tcBorders>
            <w:shd w:val="clear" w:color="auto" w:fill="auto"/>
            <w:noWrap/>
            <w:vAlign w:val="center"/>
            <w:hideMark/>
          </w:tcPr>
          <w:p w14:paraId="29A505D1"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$174,659 </w:t>
            </w:r>
          </w:p>
        </w:tc>
        <w:tc>
          <w:tcPr>
            <w:tcW w:w="1149" w:type="dxa"/>
            <w:tcBorders>
              <w:top w:val="nil"/>
              <w:left w:val="nil"/>
              <w:bottom w:val="single" w:sz="4" w:space="0" w:color="auto"/>
              <w:right w:val="single" w:sz="4" w:space="0" w:color="auto"/>
            </w:tcBorders>
            <w:shd w:val="clear" w:color="auto" w:fill="auto"/>
            <w:noWrap/>
            <w:vAlign w:val="center"/>
            <w:hideMark/>
          </w:tcPr>
          <w:p w14:paraId="3ADCFCB1"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$6,544 </w:t>
            </w:r>
          </w:p>
        </w:tc>
        <w:tc>
          <w:tcPr>
            <w:tcW w:w="1189" w:type="dxa"/>
            <w:tcBorders>
              <w:top w:val="nil"/>
              <w:left w:val="nil"/>
              <w:bottom w:val="single" w:sz="4" w:space="0" w:color="auto"/>
              <w:right w:val="single" w:sz="4" w:space="0" w:color="auto"/>
            </w:tcBorders>
            <w:shd w:val="clear" w:color="auto" w:fill="auto"/>
            <w:noWrap/>
            <w:vAlign w:val="center"/>
            <w:hideMark/>
          </w:tcPr>
          <w:p w14:paraId="4AD6DD01"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$1,321,203 </w:t>
            </w:r>
          </w:p>
        </w:tc>
      </w:tr>
      <w:tr w:rsidR="00C443F5" w:rsidRPr="00C443F5" w14:paraId="661F80D7" w14:textId="77777777" w:rsidTr="00397B51">
        <w:trPr>
          <w:trHeight w:val="312"/>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436FB3A"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5</w:t>
            </w:r>
          </w:p>
        </w:tc>
        <w:tc>
          <w:tcPr>
            <w:tcW w:w="1078" w:type="dxa"/>
            <w:tcBorders>
              <w:top w:val="nil"/>
              <w:left w:val="nil"/>
              <w:bottom w:val="single" w:sz="4" w:space="0" w:color="auto"/>
              <w:right w:val="single" w:sz="4" w:space="0" w:color="auto"/>
            </w:tcBorders>
            <w:shd w:val="clear" w:color="auto" w:fill="auto"/>
            <w:vAlign w:val="center"/>
            <w:hideMark/>
          </w:tcPr>
          <w:p w14:paraId="6C50AF58"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Commercial</w:t>
            </w:r>
          </w:p>
        </w:tc>
        <w:tc>
          <w:tcPr>
            <w:tcW w:w="1230" w:type="dxa"/>
            <w:tcBorders>
              <w:top w:val="nil"/>
              <w:left w:val="nil"/>
              <w:bottom w:val="single" w:sz="4" w:space="0" w:color="auto"/>
              <w:right w:val="single" w:sz="4" w:space="0" w:color="auto"/>
            </w:tcBorders>
            <w:shd w:val="clear" w:color="auto" w:fill="auto"/>
            <w:vAlign w:val="center"/>
            <w:hideMark/>
          </w:tcPr>
          <w:p w14:paraId="6E63A38C"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McIntosh</w:t>
            </w:r>
          </w:p>
        </w:tc>
        <w:tc>
          <w:tcPr>
            <w:tcW w:w="1491" w:type="dxa"/>
            <w:tcBorders>
              <w:top w:val="nil"/>
              <w:left w:val="nil"/>
              <w:bottom w:val="single" w:sz="4" w:space="0" w:color="auto"/>
              <w:right w:val="single" w:sz="4" w:space="0" w:color="auto"/>
            </w:tcBorders>
            <w:shd w:val="clear" w:color="auto" w:fill="auto"/>
            <w:vAlign w:val="center"/>
            <w:hideMark/>
          </w:tcPr>
          <w:p w14:paraId="7F86374E"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37,000' x 6" steel</w:t>
            </w:r>
          </w:p>
        </w:tc>
        <w:tc>
          <w:tcPr>
            <w:tcW w:w="1310" w:type="dxa"/>
            <w:tcBorders>
              <w:top w:val="nil"/>
              <w:left w:val="nil"/>
              <w:bottom w:val="single" w:sz="4" w:space="0" w:color="auto"/>
              <w:right w:val="single" w:sz="4" w:space="0" w:color="auto"/>
            </w:tcBorders>
            <w:shd w:val="clear" w:color="auto" w:fill="auto"/>
            <w:vAlign w:val="center"/>
            <w:hideMark/>
          </w:tcPr>
          <w:p w14:paraId="5B049881"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$16,961,886 </w:t>
            </w:r>
          </w:p>
        </w:tc>
        <w:tc>
          <w:tcPr>
            <w:tcW w:w="1129" w:type="dxa"/>
            <w:tcBorders>
              <w:top w:val="nil"/>
              <w:left w:val="nil"/>
              <w:bottom w:val="single" w:sz="4" w:space="0" w:color="auto"/>
              <w:right w:val="single" w:sz="4" w:space="0" w:color="auto"/>
            </w:tcBorders>
            <w:shd w:val="clear" w:color="auto" w:fill="auto"/>
            <w:noWrap/>
            <w:vAlign w:val="center"/>
            <w:hideMark/>
          </w:tcPr>
          <w:p w14:paraId="5A5B7FBA"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$2,598,730 </w:t>
            </w:r>
          </w:p>
        </w:tc>
        <w:tc>
          <w:tcPr>
            <w:tcW w:w="1149" w:type="dxa"/>
            <w:tcBorders>
              <w:top w:val="nil"/>
              <w:left w:val="nil"/>
              <w:bottom w:val="single" w:sz="4" w:space="0" w:color="auto"/>
              <w:right w:val="single" w:sz="4" w:space="0" w:color="auto"/>
            </w:tcBorders>
            <w:shd w:val="clear" w:color="auto" w:fill="auto"/>
            <w:noWrap/>
            <w:vAlign w:val="center"/>
            <w:hideMark/>
          </w:tcPr>
          <w:p w14:paraId="033FEDDF"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$97,361 </w:t>
            </w:r>
          </w:p>
        </w:tc>
        <w:tc>
          <w:tcPr>
            <w:tcW w:w="1189" w:type="dxa"/>
            <w:tcBorders>
              <w:top w:val="nil"/>
              <w:left w:val="nil"/>
              <w:bottom w:val="single" w:sz="4" w:space="0" w:color="auto"/>
              <w:right w:val="single" w:sz="4" w:space="0" w:color="auto"/>
            </w:tcBorders>
            <w:shd w:val="clear" w:color="auto" w:fill="auto"/>
            <w:noWrap/>
            <w:vAlign w:val="center"/>
            <w:hideMark/>
          </w:tcPr>
          <w:p w14:paraId="46953BAF"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$19,657,977 </w:t>
            </w:r>
          </w:p>
        </w:tc>
      </w:tr>
      <w:tr w:rsidR="00C443F5" w:rsidRPr="00C443F5" w14:paraId="0B5DC063" w14:textId="77777777" w:rsidTr="00397B51">
        <w:trPr>
          <w:trHeight w:val="312"/>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19EA7E6"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c>
          <w:tcPr>
            <w:tcW w:w="1078" w:type="dxa"/>
            <w:tcBorders>
              <w:top w:val="nil"/>
              <w:left w:val="nil"/>
              <w:bottom w:val="single" w:sz="4" w:space="0" w:color="auto"/>
              <w:right w:val="single" w:sz="4" w:space="0" w:color="auto"/>
            </w:tcBorders>
            <w:shd w:val="clear" w:color="auto" w:fill="auto"/>
            <w:noWrap/>
            <w:vAlign w:val="center"/>
            <w:hideMark/>
          </w:tcPr>
          <w:p w14:paraId="1E9BFCB2"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 </w:t>
            </w:r>
          </w:p>
        </w:tc>
        <w:tc>
          <w:tcPr>
            <w:tcW w:w="1230" w:type="dxa"/>
            <w:tcBorders>
              <w:top w:val="nil"/>
              <w:left w:val="nil"/>
              <w:bottom w:val="single" w:sz="4" w:space="0" w:color="auto"/>
              <w:right w:val="single" w:sz="4" w:space="0" w:color="auto"/>
            </w:tcBorders>
            <w:shd w:val="clear" w:color="auto" w:fill="auto"/>
            <w:noWrap/>
            <w:vAlign w:val="center"/>
            <w:hideMark/>
          </w:tcPr>
          <w:p w14:paraId="6139FFD8"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noWrap/>
            <w:vAlign w:val="center"/>
            <w:hideMark/>
          </w:tcPr>
          <w:p w14:paraId="0918F0BE"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Total:</w:t>
            </w:r>
          </w:p>
        </w:tc>
        <w:tc>
          <w:tcPr>
            <w:tcW w:w="1310" w:type="dxa"/>
            <w:tcBorders>
              <w:top w:val="nil"/>
              <w:left w:val="nil"/>
              <w:bottom w:val="single" w:sz="4" w:space="0" w:color="auto"/>
              <w:right w:val="single" w:sz="4" w:space="0" w:color="auto"/>
            </w:tcBorders>
            <w:shd w:val="clear" w:color="auto" w:fill="auto"/>
            <w:noWrap/>
            <w:vAlign w:val="center"/>
            <w:hideMark/>
          </w:tcPr>
          <w:p w14:paraId="1CD85263"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$22,385,702 </w:t>
            </w:r>
          </w:p>
        </w:tc>
        <w:tc>
          <w:tcPr>
            <w:tcW w:w="1129" w:type="dxa"/>
            <w:tcBorders>
              <w:top w:val="nil"/>
              <w:left w:val="nil"/>
              <w:bottom w:val="single" w:sz="4" w:space="0" w:color="auto"/>
              <w:right w:val="single" w:sz="4" w:space="0" w:color="auto"/>
            </w:tcBorders>
            <w:shd w:val="clear" w:color="auto" w:fill="auto"/>
            <w:noWrap/>
            <w:vAlign w:val="center"/>
            <w:hideMark/>
          </w:tcPr>
          <w:p w14:paraId="31DD5DA2"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$3,429,713 </w:t>
            </w:r>
          </w:p>
        </w:tc>
        <w:tc>
          <w:tcPr>
            <w:tcW w:w="1149" w:type="dxa"/>
            <w:tcBorders>
              <w:top w:val="nil"/>
              <w:left w:val="nil"/>
              <w:bottom w:val="single" w:sz="4" w:space="0" w:color="auto"/>
              <w:right w:val="single" w:sz="4" w:space="0" w:color="auto"/>
            </w:tcBorders>
            <w:shd w:val="clear" w:color="auto" w:fill="auto"/>
            <w:noWrap/>
            <w:vAlign w:val="center"/>
            <w:hideMark/>
          </w:tcPr>
          <w:p w14:paraId="145DD623"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$128,494 </w:t>
            </w:r>
          </w:p>
        </w:tc>
        <w:tc>
          <w:tcPr>
            <w:tcW w:w="1189" w:type="dxa"/>
            <w:tcBorders>
              <w:top w:val="nil"/>
              <w:left w:val="nil"/>
              <w:bottom w:val="single" w:sz="4" w:space="0" w:color="auto"/>
              <w:right w:val="single" w:sz="4" w:space="0" w:color="auto"/>
            </w:tcBorders>
            <w:shd w:val="clear" w:color="auto" w:fill="auto"/>
            <w:noWrap/>
            <w:vAlign w:val="center"/>
            <w:hideMark/>
          </w:tcPr>
          <w:p w14:paraId="6EECBEB9"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$25,943,910 </w:t>
            </w:r>
          </w:p>
        </w:tc>
      </w:tr>
    </w:tbl>
    <w:p w14:paraId="26AA4F23" w14:textId="77777777" w:rsidR="00C443F5" w:rsidRPr="00C443F5" w:rsidRDefault="00C443F5" w:rsidP="00C443F5">
      <w:pPr>
        <w:spacing w:after="200"/>
        <w:contextualSpacing/>
        <w:rPr>
          <w:b/>
          <w:snapToGrid w:val="0"/>
        </w:rPr>
      </w:pPr>
    </w:p>
    <w:p w14:paraId="6EAABBE4" w14:textId="77777777" w:rsidR="00C443F5" w:rsidRPr="00C443F5" w:rsidRDefault="00C443F5" w:rsidP="00C443F5">
      <w:pPr>
        <w:spacing w:after="200"/>
        <w:contextualSpacing/>
        <w:rPr>
          <w:b/>
          <w:snapToGrid w:val="0"/>
        </w:rPr>
      </w:pPr>
    </w:p>
    <w:p w14:paraId="26F7134A" w14:textId="77777777" w:rsidR="00C443F5" w:rsidRPr="00C443F5" w:rsidRDefault="00C443F5" w:rsidP="00C443F5">
      <w:pPr>
        <w:numPr>
          <w:ilvl w:val="0"/>
          <w:numId w:val="3"/>
        </w:numPr>
        <w:spacing w:after="200"/>
        <w:contextualSpacing/>
        <w:rPr>
          <w:b/>
        </w:rPr>
      </w:pPr>
      <w:r w:rsidRPr="00C443F5">
        <w:rPr>
          <w:b/>
        </w:rPr>
        <w:t>MFR-7 Project Technical Analysis</w:t>
      </w:r>
    </w:p>
    <w:p w14:paraId="6FABC24A" w14:textId="77777777" w:rsidR="00C443F5" w:rsidRPr="00C443F5" w:rsidRDefault="00C443F5" w:rsidP="00C443F5">
      <w:pPr>
        <w:spacing w:after="200"/>
        <w:contextualSpacing/>
        <w:rPr>
          <w:b/>
          <w:snapToGrid w:val="0"/>
        </w:rPr>
      </w:pPr>
    </w:p>
    <w:p w14:paraId="2B498ADE" w14:textId="77777777" w:rsidR="00C443F5" w:rsidRPr="00C443F5" w:rsidRDefault="00C443F5" w:rsidP="00C443F5">
      <w:pPr>
        <w:spacing w:after="200"/>
        <w:ind w:firstLine="720"/>
        <w:contextualSpacing/>
        <w:rPr>
          <w:snapToGrid w:val="0"/>
        </w:rPr>
      </w:pPr>
      <w:r w:rsidRPr="00C443F5">
        <w:rPr>
          <w:snapToGrid w:val="0"/>
        </w:rPr>
        <w:t xml:space="preserve">In MFR-7, AGL provided technical details about each project that include gas load, PSI, pipe length details, wall thickness, and other details. </w:t>
      </w:r>
    </w:p>
    <w:p w14:paraId="3F613566" w14:textId="77777777" w:rsidR="00C443F5" w:rsidRPr="00C443F5" w:rsidRDefault="00C443F5" w:rsidP="00C443F5">
      <w:pPr>
        <w:contextualSpacing/>
        <w:jc w:val="both"/>
        <w:rPr>
          <w:b/>
          <w:bCs/>
        </w:rPr>
      </w:pPr>
    </w:p>
    <w:p w14:paraId="0F4A603A" w14:textId="77777777" w:rsidR="00C443F5" w:rsidRPr="00C443F5" w:rsidRDefault="00C443F5" w:rsidP="00C443F5">
      <w:pPr>
        <w:contextualSpacing/>
        <w:jc w:val="both"/>
        <w:rPr>
          <w:b/>
          <w:bCs/>
        </w:rPr>
      </w:pPr>
    </w:p>
    <w:p w14:paraId="335A4034" w14:textId="77777777" w:rsidR="00C443F5" w:rsidRPr="00C443F5" w:rsidRDefault="00C443F5" w:rsidP="00C443F5">
      <w:pPr>
        <w:numPr>
          <w:ilvl w:val="0"/>
          <w:numId w:val="2"/>
        </w:numPr>
        <w:spacing w:after="200"/>
        <w:contextualSpacing/>
        <w:jc w:val="center"/>
        <w:rPr>
          <w:b/>
          <w:bCs/>
        </w:rPr>
      </w:pPr>
      <w:r w:rsidRPr="00C443F5">
        <w:rPr>
          <w:b/>
          <w:bCs/>
        </w:rPr>
        <w:t>Staff Analysis</w:t>
      </w:r>
    </w:p>
    <w:p w14:paraId="285DC809" w14:textId="77777777" w:rsidR="00C443F5" w:rsidRPr="00C443F5" w:rsidRDefault="00C443F5" w:rsidP="00C443F5">
      <w:pPr>
        <w:contextualSpacing/>
        <w:jc w:val="both"/>
        <w:rPr>
          <w:b/>
          <w:bCs/>
        </w:rPr>
      </w:pPr>
    </w:p>
    <w:p w14:paraId="30CFBD23" w14:textId="77777777" w:rsidR="00C443F5" w:rsidRPr="00C443F5" w:rsidRDefault="00C443F5" w:rsidP="00C443F5">
      <w:pPr>
        <w:ind w:firstLine="720"/>
        <w:contextualSpacing/>
        <w:jc w:val="both"/>
        <w:rPr>
          <w:bCs/>
        </w:rPr>
      </w:pPr>
      <w:r w:rsidRPr="00C443F5">
        <w:rPr>
          <w:bCs/>
        </w:rPr>
        <w:t>The Staff reviewed the filing to ensure that all MFR details were provided, and  that they were whole and complete. On October 19</w:t>
      </w:r>
      <w:r w:rsidRPr="00C443F5">
        <w:rPr>
          <w:bCs/>
          <w:vertAlign w:val="superscript"/>
        </w:rPr>
        <w:t>th</w:t>
      </w:r>
      <w:r w:rsidRPr="00C443F5">
        <w:rPr>
          <w:bCs/>
        </w:rPr>
        <w:t>, the Staff issued its 14</w:t>
      </w:r>
      <w:r w:rsidRPr="00C443F5">
        <w:rPr>
          <w:bCs/>
          <w:vertAlign w:val="superscript"/>
        </w:rPr>
        <w:t>th</w:t>
      </w:r>
      <w:r w:rsidRPr="00C443F5">
        <w:rPr>
          <w:bCs/>
        </w:rPr>
        <w:t xml:space="preserve"> Set of Data Requests to obtain additional information on each project. This included tariff Rule 7 assessments on the residential projects, tariff Rule 8 assessments on commercial projects, and tariff ECON-1 assessments on all the projects. The purpose of the assessments was to obtain a better </w:t>
      </w:r>
      <w:proofErr w:type="gramStart"/>
      <w:r w:rsidRPr="00C443F5">
        <w:rPr>
          <w:bCs/>
        </w:rPr>
        <w:t>understanding</w:t>
      </w:r>
      <w:proofErr w:type="gramEnd"/>
      <w:r w:rsidRPr="00C443F5">
        <w:rPr>
          <w:bCs/>
        </w:rPr>
        <w:t xml:space="preserve"> the other possible sources of funding for the projects. The Staff analysis included the following items:</w:t>
      </w:r>
    </w:p>
    <w:p w14:paraId="2C97C693" w14:textId="77777777" w:rsidR="00C443F5" w:rsidRPr="00C443F5" w:rsidRDefault="00C443F5" w:rsidP="00C443F5">
      <w:pPr>
        <w:ind w:firstLine="720"/>
        <w:contextualSpacing/>
        <w:jc w:val="both"/>
        <w:rPr>
          <w:bCs/>
        </w:rPr>
      </w:pPr>
    </w:p>
    <w:p w14:paraId="55A9CD98" w14:textId="77777777" w:rsidR="00C443F5" w:rsidRPr="00C443F5" w:rsidRDefault="00C443F5" w:rsidP="00C443F5">
      <w:pPr>
        <w:numPr>
          <w:ilvl w:val="0"/>
          <w:numId w:val="4"/>
        </w:numPr>
        <w:spacing w:after="200"/>
        <w:contextualSpacing/>
        <w:jc w:val="both"/>
        <w:rPr>
          <w:b/>
          <w:bCs/>
        </w:rPr>
      </w:pPr>
      <w:r w:rsidRPr="00C443F5">
        <w:rPr>
          <w:b/>
          <w:bCs/>
        </w:rPr>
        <w:t xml:space="preserve">Petition Language </w:t>
      </w:r>
    </w:p>
    <w:p w14:paraId="6E41120A" w14:textId="77777777" w:rsidR="00C443F5" w:rsidRPr="00C443F5" w:rsidRDefault="00C443F5" w:rsidP="00C443F5">
      <w:pPr>
        <w:contextualSpacing/>
        <w:jc w:val="both"/>
        <w:rPr>
          <w:b/>
          <w:bCs/>
        </w:rPr>
      </w:pPr>
    </w:p>
    <w:p w14:paraId="515DF0F5" w14:textId="77777777" w:rsidR="00C443F5" w:rsidRPr="00C443F5" w:rsidRDefault="00C443F5" w:rsidP="00C443F5">
      <w:pPr>
        <w:spacing w:after="200"/>
        <w:ind w:firstLine="720"/>
        <w:rPr>
          <w:snapToGrid w:val="0"/>
        </w:rPr>
      </w:pPr>
      <w:r w:rsidRPr="00C443F5">
        <w:rPr>
          <w:snapToGrid w:val="0"/>
        </w:rPr>
        <w:t xml:space="preserve">When a USF project cost cannot be fully recovered by the USF because the EDC’s 5% budget cap has been exceeded, the USF unencumbered funds have been exceeded, or the $25 million cap has been exceeded, this creates an unrecovered balance that automatically  will go to AGL’s GRAM rate base for recovery, per Commission Rule 515-7-5-.07(1). As part of the original October 2, 2023 filing, AGL included language that would have several impacts regarding USF project costs that exceeded its 5% capital budget cap or exceeded unencumber USF funds. </w:t>
      </w:r>
    </w:p>
    <w:p w14:paraId="1BF1D36D" w14:textId="77777777" w:rsidR="00C443F5" w:rsidRPr="00C443F5" w:rsidRDefault="00C443F5" w:rsidP="00C443F5">
      <w:pPr>
        <w:spacing w:after="200"/>
        <w:ind w:firstLine="720"/>
        <w:rPr>
          <w:snapToGrid w:val="0"/>
        </w:rPr>
      </w:pPr>
      <w:r w:rsidRPr="00C443F5">
        <w:rPr>
          <w:snapToGrid w:val="0"/>
        </w:rPr>
        <w:lastRenderedPageBreak/>
        <w:t>On October 2, 2023, AGL filed its 2024 USF Plan filing. AGL requested to have a Shortfall added as additional budget dollars to the GRAM capital budget and treated as a regulatory asset. The Staff opposed this language because a Shortfall can’t be determined until a USF project is completed and considered Plant in Service. The Plant is then part of rate base recovery in a GRAM filing. On October 4</w:t>
      </w:r>
      <w:r w:rsidRPr="00C443F5">
        <w:rPr>
          <w:snapToGrid w:val="0"/>
          <w:vertAlign w:val="superscript"/>
        </w:rPr>
        <w:t>th</w:t>
      </w:r>
      <w:r w:rsidRPr="00C443F5">
        <w:rPr>
          <w:snapToGrid w:val="0"/>
        </w:rPr>
        <w:t>, the Staff and AGL had a meeting on this issue, and on the same day, the Staff offered language based on Commission Rule 515-7-5-.07(1) to address the recovery of USF project costs that have a Shortfall. In the past, there has never been an issue with AGL receiving recovery in the GRAM rate base related to a Shortfall. On October 6</w:t>
      </w:r>
      <w:r w:rsidRPr="00C443F5">
        <w:rPr>
          <w:snapToGrid w:val="0"/>
          <w:vertAlign w:val="superscript"/>
        </w:rPr>
        <w:t>th</w:t>
      </w:r>
      <w:r w:rsidRPr="00C443F5">
        <w:rPr>
          <w:snapToGrid w:val="0"/>
        </w:rPr>
        <w:t xml:space="preserve">, AGL had an Amended 2024 GRAM petition that removed the regulatory asset </w:t>
      </w:r>
      <w:proofErr w:type="gramStart"/>
      <w:r w:rsidRPr="00C443F5">
        <w:rPr>
          <w:snapToGrid w:val="0"/>
        </w:rPr>
        <w:t>language, but</w:t>
      </w:r>
      <w:proofErr w:type="gramEnd"/>
      <w:r w:rsidRPr="00C443F5">
        <w:rPr>
          <w:snapToGrid w:val="0"/>
        </w:rPr>
        <w:t xml:space="preserve">  had language that stated if AGL used its capital budget to fund actual costs, the Company proposed that such capital investments be treated as incremental to any capital budget. This unrecovered balance  would be added to any associated revenue requirement and be recovered through the GRAM processes. Further, AGL proposed that it wouldn’t need an amendment to the Company’s Integrated Capacity and Delivery Plan to add these dollar amounts to its capital budget. AGL rejected the Staff’s language and included its own insertion related to an unrecovered balance, but it did include Staff’s language about including an additional workpaper as part of WP 2-1 group of workpapers in the annual GRAM filing that will breakout any unrecovered USF costs as Plant Additions.</w:t>
      </w:r>
    </w:p>
    <w:p w14:paraId="2748D012" w14:textId="77777777" w:rsidR="00C443F5" w:rsidRPr="00C443F5" w:rsidRDefault="00C443F5" w:rsidP="00C443F5">
      <w:pPr>
        <w:spacing w:after="200"/>
        <w:ind w:firstLine="720"/>
        <w:contextualSpacing/>
        <w:rPr>
          <w:snapToGrid w:val="0"/>
        </w:rPr>
      </w:pPr>
      <w:r w:rsidRPr="00C443F5">
        <w:rPr>
          <w:bCs/>
          <w:snapToGrid w:val="0"/>
        </w:rPr>
        <w:t>During the December 19, 2023 Administrative Session, the Staff recommended the Commission deny AGL’s language in its October 2</w:t>
      </w:r>
      <w:r w:rsidRPr="00C443F5">
        <w:rPr>
          <w:bCs/>
          <w:snapToGrid w:val="0"/>
          <w:vertAlign w:val="superscript"/>
        </w:rPr>
        <w:t>nd</w:t>
      </w:r>
      <w:r w:rsidRPr="00C443F5">
        <w:rPr>
          <w:bCs/>
          <w:snapToGrid w:val="0"/>
        </w:rPr>
        <w:t xml:space="preserve"> petition third paragraph sentences 4 and 5  and the October 6</w:t>
      </w:r>
      <w:r w:rsidRPr="00C443F5">
        <w:rPr>
          <w:bCs/>
          <w:snapToGrid w:val="0"/>
          <w:vertAlign w:val="superscript"/>
        </w:rPr>
        <w:t>th</w:t>
      </w:r>
      <w:r w:rsidRPr="00C443F5">
        <w:rPr>
          <w:bCs/>
          <w:snapToGrid w:val="0"/>
        </w:rPr>
        <w:t xml:space="preserve"> petition third paragraph and third sentence and approve Staff’s language from the Commission Rule 515-7-5-.07(1).</w:t>
      </w:r>
    </w:p>
    <w:p w14:paraId="2F63035A" w14:textId="77777777" w:rsidR="00C443F5" w:rsidRPr="00C443F5" w:rsidRDefault="00C443F5" w:rsidP="00C443F5">
      <w:pPr>
        <w:contextualSpacing/>
        <w:jc w:val="both"/>
        <w:rPr>
          <w:b/>
          <w:bCs/>
        </w:rPr>
      </w:pPr>
    </w:p>
    <w:p w14:paraId="0484721C" w14:textId="77777777" w:rsidR="00C443F5" w:rsidRPr="00C443F5" w:rsidRDefault="00C443F5" w:rsidP="00C443F5">
      <w:pPr>
        <w:contextualSpacing/>
        <w:jc w:val="both"/>
        <w:rPr>
          <w:b/>
          <w:bCs/>
        </w:rPr>
      </w:pPr>
    </w:p>
    <w:p w14:paraId="681A4A8D" w14:textId="77777777" w:rsidR="00C443F5" w:rsidRPr="00C443F5" w:rsidRDefault="00C443F5" w:rsidP="00C443F5">
      <w:pPr>
        <w:numPr>
          <w:ilvl w:val="0"/>
          <w:numId w:val="4"/>
        </w:numPr>
        <w:spacing w:after="200"/>
        <w:contextualSpacing/>
        <w:jc w:val="both"/>
        <w:rPr>
          <w:b/>
          <w:bCs/>
        </w:rPr>
      </w:pPr>
      <w:r w:rsidRPr="00C443F5">
        <w:rPr>
          <w:b/>
          <w:bCs/>
        </w:rPr>
        <w:t xml:space="preserve">Residential Projects Cost &amp; Recovery </w:t>
      </w:r>
    </w:p>
    <w:p w14:paraId="53AAEDC5" w14:textId="77777777" w:rsidR="00C443F5" w:rsidRPr="00C443F5" w:rsidRDefault="00C443F5" w:rsidP="00C443F5">
      <w:pPr>
        <w:ind w:firstLine="720"/>
        <w:contextualSpacing/>
        <w:jc w:val="both"/>
        <w:rPr>
          <w:bCs/>
        </w:rPr>
      </w:pPr>
    </w:p>
    <w:p w14:paraId="5F7083A5" w14:textId="77777777" w:rsidR="00C443F5" w:rsidRPr="00C443F5" w:rsidRDefault="00C443F5" w:rsidP="00C443F5">
      <w:pPr>
        <w:ind w:firstLine="720"/>
        <w:contextualSpacing/>
        <w:jc w:val="both"/>
        <w:rPr>
          <w:bCs/>
        </w:rPr>
      </w:pPr>
      <w:r w:rsidRPr="00C443F5">
        <w:rPr>
          <w:bCs/>
        </w:rPr>
        <w:t xml:space="preserve">The three proposed residential projects, as detailed in MFR-1, were filed as part of the USF 2023 Plan filing. The projects didn’t move forward because they were highly uneconomical compared to other proposed projects. AGL filed the same three projects as part of the USF 2024 Plan filing. As part of </w:t>
      </w:r>
      <w:proofErr w:type="gramStart"/>
      <w:r w:rsidRPr="00C443F5">
        <w:rPr>
          <w:bCs/>
        </w:rPr>
        <w:t>Staff’s</w:t>
      </w:r>
      <w:proofErr w:type="gramEnd"/>
      <w:r w:rsidRPr="00C443F5">
        <w:rPr>
          <w:bCs/>
        </w:rPr>
        <w:t xml:space="preserve"> 14</w:t>
      </w:r>
      <w:r w:rsidRPr="00C443F5">
        <w:rPr>
          <w:bCs/>
          <w:vertAlign w:val="superscript"/>
        </w:rPr>
        <w:t>th</w:t>
      </w:r>
      <w:r w:rsidRPr="00C443F5">
        <w:rPr>
          <w:bCs/>
        </w:rPr>
        <w:t xml:space="preserve"> Set of Data Requests, the Staff asked for a tariff Rule-7 assessment as well as an ECON-1 assessment. In STF-14-1, the response for the Glynn County Project #1 was provided. In STF-14-2, the Glynn County Project #2 was provided. In STF-14-3, the Cherokee County Project assessment was provided. The proposed projects didn’t qualify under ECON-1. The Staff and AGL had numerous discussions related to the Rule-7 assessments. </w:t>
      </w:r>
    </w:p>
    <w:p w14:paraId="7A772C0D" w14:textId="77777777" w:rsidR="00C443F5" w:rsidRPr="00C443F5" w:rsidRDefault="00C443F5" w:rsidP="00C443F5">
      <w:pPr>
        <w:ind w:firstLine="720"/>
        <w:contextualSpacing/>
        <w:jc w:val="both"/>
        <w:rPr>
          <w:bCs/>
        </w:rPr>
      </w:pPr>
    </w:p>
    <w:p w14:paraId="48E1EA21" w14:textId="77777777" w:rsidR="00C443F5" w:rsidRPr="00C443F5" w:rsidRDefault="00C443F5" w:rsidP="00C443F5">
      <w:pPr>
        <w:ind w:firstLine="720"/>
        <w:contextualSpacing/>
        <w:jc w:val="both"/>
        <w:rPr>
          <w:b/>
          <w:bCs/>
        </w:rPr>
      </w:pPr>
      <w:r w:rsidRPr="00C443F5">
        <w:rPr>
          <w:bCs/>
        </w:rPr>
        <w:t xml:space="preserve">For the calculation of estimated revenues, it is (Customer Charge x Number of Meters) + (DDDC Charge x DDDC Factor). For the estimated costs, this is based on Filed Costs, or Unit Costs, multiplied by the length of pipe. Filed Costs are System Wide Averages that AGL files with the Commission. The Allowable Investment was calculated using </w:t>
      </w:r>
      <w:proofErr w:type="gramStart"/>
      <w:r w:rsidRPr="00C443F5">
        <w:rPr>
          <w:bCs/>
        </w:rPr>
        <w:t>the Investment</w:t>
      </w:r>
      <w:proofErr w:type="gramEnd"/>
      <w:r w:rsidRPr="00C443F5">
        <w:rPr>
          <w:bCs/>
        </w:rPr>
        <w:t xml:space="preserve"> Factor 9.52338994 multiplied by the estimated revenues, and this included an allowance for the first 125 feet on main. The estimated cost was subtracted by the allowable investment. For each residential project, there was a Contribution </w:t>
      </w:r>
      <w:proofErr w:type="gramStart"/>
      <w:r w:rsidRPr="00C443F5">
        <w:rPr>
          <w:bCs/>
        </w:rPr>
        <w:t>In</w:t>
      </w:r>
      <w:proofErr w:type="gramEnd"/>
      <w:r w:rsidRPr="00C443F5">
        <w:rPr>
          <w:bCs/>
        </w:rPr>
        <w:t xml:space="preserve"> Aid of Construction (“CIAC”), or the dollar amount the customer would have to pay for the project to move forward. The CIAC was grossed up for income taxes using a ratio of 0.15321, and it was grossed up for finance costs using a ratio of 0.00574. The CIAC was added to the income tax and finance cost gross up dollar amounts. The USF could pay the CIAC if approved by the Commission. The Rule-7 Assessment is in </w:t>
      </w:r>
      <w:r w:rsidRPr="00C443F5">
        <w:rPr>
          <w:b/>
          <w:bCs/>
        </w:rPr>
        <w:t>Table-10</w:t>
      </w:r>
      <w:r w:rsidRPr="00C443F5">
        <w:rPr>
          <w:bCs/>
        </w:rPr>
        <w:t xml:space="preserve"> below.</w:t>
      </w:r>
    </w:p>
    <w:p w14:paraId="1DDFD420" w14:textId="77777777" w:rsidR="00C443F5" w:rsidRPr="00C443F5" w:rsidRDefault="00C443F5" w:rsidP="00C443F5">
      <w:pPr>
        <w:contextualSpacing/>
        <w:jc w:val="both"/>
        <w:rPr>
          <w:b/>
          <w:bCs/>
        </w:rPr>
      </w:pPr>
      <w:r w:rsidRPr="00C443F5">
        <w:rPr>
          <w:b/>
          <w:bCs/>
        </w:rPr>
        <w:lastRenderedPageBreak/>
        <w:t xml:space="preserve">Table-10: Residential Projects Rule-7 </w:t>
      </w:r>
    </w:p>
    <w:tbl>
      <w:tblPr>
        <w:tblW w:w="7470" w:type="dxa"/>
        <w:tblLook w:val="04A0" w:firstRow="1" w:lastRow="0" w:firstColumn="1" w:lastColumn="0" w:noHBand="0" w:noVBand="1"/>
      </w:tblPr>
      <w:tblGrid>
        <w:gridCol w:w="2340"/>
        <w:gridCol w:w="1710"/>
        <w:gridCol w:w="1710"/>
        <w:gridCol w:w="1710"/>
      </w:tblGrid>
      <w:tr w:rsidR="00C443F5" w:rsidRPr="00C443F5" w14:paraId="5C5B267C" w14:textId="77777777" w:rsidTr="00397B51">
        <w:trPr>
          <w:trHeight w:val="675"/>
        </w:trPr>
        <w:tc>
          <w:tcPr>
            <w:tcW w:w="2340" w:type="dxa"/>
            <w:tcBorders>
              <w:top w:val="nil"/>
              <w:left w:val="nil"/>
              <w:bottom w:val="nil"/>
              <w:right w:val="nil"/>
            </w:tcBorders>
            <w:shd w:val="clear" w:color="auto" w:fill="auto"/>
            <w:vAlign w:val="bottom"/>
            <w:hideMark/>
          </w:tcPr>
          <w:p w14:paraId="2ED984D3"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Residential Projects</w:t>
            </w:r>
          </w:p>
        </w:tc>
        <w:tc>
          <w:tcPr>
            <w:tcW w:w="1710" w:type="dxa"/>
            <w:tcBorders>
              <w:top w:val="nil"/>
              <w:left w:val="nil"/>
              <w:bottom w:val="nil"/>
              <w:right w:val="nil"/>
            </w:tcBorders>
            <w:shd w:val="clear" w:color="auto" w:fill="auto"/>
            <w:vAlign w:val="bottom"/>
            <w:hideMark/>
          </w:tcPr>
          <w:p w14:paraId="69C96B24"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Glynn County Project #1</w:t>
            </w:r>
          </w:p>
        </w:tc>
        <w:tc>
          <w:tcPr>
            <w:tcW w:w="1710" w:type="dxa"/>
            <w:tcBorders>
              <w:top w:val="nil"/>
              <w:left w:val="nil"/>
              <w:bottom w:val="nil"/>
              <w:right w:val="nil"/>
            </w:tcBorders>
            <w:shd w:val="clear" w:color="auto" w:fill="auto"/>
            <w:vAlign w:val="bottom"/>
            <w:hideMark/>
          </w:tcPr>
          <w:p w14:paraId="6F2031C5"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Glynn County Project #2</w:t>
            </w:r>
          </w:p>
        </w:tc>
        <w:tc>
          <w:tcPr>
            <w:tcW w:w="1710" w:type="dxa"/>
            <w:tcBorders>
              <w:top w:val="nil"/>
              <w:left w:val="nil"/>
              <w:bottom w:val="nil"/>
              <w:right w:val="nil"/>
            </w:tcBorders>
            <w:shd w:val="clear" w:color="auto" w:fill="auto"/>
            <w:vAlign w:val="bottom"/>
            <w:hideMark/>
          </w:tcPr>
          <w:p w14:paraId="41224FC6"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Cherokee County Project</w:t>
            </w:r>
          </w:p>
        </w:tc>
      </w:tr>
      <w:tr w:rsidR="00C443F5" w:rsidRPr="00C443F5" w14:paraId="74EE6A36" w14:textId="77777777" w:rsidTr="00397B51">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04ECC"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Estimated Revenues</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4B3BA33A"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$11,642.02 </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49F1CDF9"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$14,553.52 </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5C77A47E"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$3,671.52 </w:t>
            </w:r>
          </w:p>
        </w:tc>
      </w:tr>
      <w:tr w:rsidR="00C443F5" w:rsidRPr="00C443F5" w14:paraId="718D571A" w14:textId="77777777" w:rsidTr="00397B51">
        <w:trPr>
          <w:trHeight w:val="225"/>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796D7DCB"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Estimated Cost</w:t>
            </w:r>
          </w:p>
        </w:tc>
        <w:tc>
          <w:tcPr>
            <w:tcW w:w="1710" w:type="dxa"/>
            <w:tcBorders>
              <w:top w:val="nil"/>
              <w:left w:val="nil"/>
              <w:bottom w:val="single" w:sz="4" w:space="0" w:color="auto"/>
              <w:right w:val="single" w:sz="4" w:space="0" w:color="auto"/>
            </w:tcBorders>
            <w:shd w:val="clear" w:color="auto" w:fill="auto"/>
            <w:vAlign w:val="bottom"/>
            <w:hideMark/>
          </w:tcPr>
          <w:p w14:paraId="787FCF67"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$644,379.50 </w:t>
            </w:r>
          </w:p>
        </w:tc>
        <w:tc>
          <w:tcPr>
            <w:tcW w:w="1710" w:type="dxa"/>
            <w:tcBorders>
              <w:top w:val="nil"/>
              <w:left w:val="nil"/>
              <w:bottom w:val="single" w:sz="4" w:space="0" w:color="auto"/>
              <w:right w:val="single" w:sz="4" w:space="0" w:color="auto"/>
            </w:tcBorders>
            <w:shd w:val="clear" w:color="auto" w:fill="auto"/>
            <w:vAlign w:val="bottom"/>
            <w:hideMark/>
          </w:tcPr>
          <w:p w14:paraId="5A448998"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$400,452.00 </w:t>
            </w:r>
          </w:p>
        </w:tc>
        <w:tc>
          <w:tcPr>
            <w:tcW w:w="1710" w:type="dxa"/>
            <w:tcBorders>
              <w:top w:val="nil"/>
              <w:left w:val="nil"/>
              <w:bottom w:val="single" w:sz="4" w:space="0" w:color="auto"/>
              <w:right w:val="single" w:sz="4" w:space="0" w:color="auto"/>
            </w:tcBorders>
            <w:shd w:val="clear" w:color="auto" w:fill="auto"/>
            <w:vAlign w:val="bottom"/>
            <w:hideMark/>
          </w:tcPr>
          <w:p w14:paraId="125F6AB5"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$108,796.50 </w:t>
            </w:r>
          </w:p>
        </w:tc>
      </w:tr>
      <w:tr w:rsidR="00C443F5" w:rsidRPr="00C443F5" w14:paraId="462E097D" w14:textId="77777777" w:rsidTr="00397B51">
        <w:trPr>
          <w:trHeight w:val="225"/>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565366DF"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Allowable Investment</w:t>
            </w:r>
          </w:p>
        </w:tc>
        <w:tc>
          <w:tcPr>
            <w:tcW w:w="1710" w:type="dxa"/>
            <w:tcBorders>
              <w:top w:val="nil"/>
              <w:left w:val="nil"/>
              <w:bottom w:val="single" w:sz="4" w:space="0" w:color="auto"/>
              <w:right w:val="single" w:sz="4" w:space="0" w:color="auto"/>
            </w:tcBorders>
            <w:shd w:val="clear" w:color="auto" w:fill="auto"/>
            <w:vAlign w:val="bottom"/>
            <w:hideMark/>
          </w:tcPr>
          <w:p w14:paraId="589E5E8A"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$239,629.50 </w:t>
            </w:r>
          </w:p>
        </w:tc>
        <w:tc>
          <w:tcPr>
            <w:tcW w:w="1710" w:type="dxa"/>
            <w:tcBorders>
              <w:top w:val="nil"/>
              <w:left w:val="nil"/>
              <w:bottom w:val="single" w:sz="4" w:space="0" w:color="auto"/>
              <w:right w:val="single" w:sz="4" w:space="0" w:color="auto"/>
            </w:tcBorders>
            <w:shd w:val="clear" w:color="auto" w:fill="auto"/>
            <w:vAlign w:val="bottom"/>
            <w:hideMark/>
          </w:tcPr>
          <w:p w14:paraId="4E9DB2B1"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$247,361.56 </w:t>
            </w:r>
          </w:p>
        </w:tc>
        <w:tc>
          <w:tcPr>
            <w:tcW w:w="1710" w:type="dxa"/>
            <w:tcBorders>
              <w:top w:val="nil"/>
              <w:left w:val="nil"/>
              <w:bottom w:val="single" w:sz="4" w:space="0" w:color="auto"/>
              <w:right w:val="single" w:sz="4" w:space="0" w:color="auto"/>
            </w:tcBorders>
            <w:shd w:val="clear" w:color="auto" w:fill="auto"/>
            <w:vAlign w:val="bottom"/>
            <w:hideMark/>
          </w:tcPr>
          <w:p w14:paraId="12DD12FC"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$69,158.98 </w:t>
            </w:r>
          </w:p>
        </w:tc>
      </w:tr>
      <w:tr w:rsidR="00C443F5" w:rsidRPr="00C443F5" w14:paraId="287A8BA4" w14:textId="77777777" w:rsidTr="00397B51">
        <w:trPr>
          <w:trHeight w:val="225"/>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6F2EE63C"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Contribution from Customer</w:t>
            </w:r>
          </w:p>
        </w:tc>
        <w:tc>
          <w:tcPr>
            <w:tcW w:w="1710" w:type="dxa"/>
            <w:tcBorders>
              <w:top w:val="nil"/>
              <w:left w:val="nil"/>
              <w:bottom w:val="single" w:sz="4" w:space="0" w:color="auto"/>
              <w:right w:val="single" w:sz="4" w:space="0" w:color="auto"/>
            </w:tcBorders>
            <w:shd w:val="clear" w:color="auto" w:fill="auto"/>
            <w:vAlign w:val="bottom"/>
            <w:hideMark/>
          </w:tcPr>
          <w:p w14:paraId="7543863A"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$0.00 </w:t>
            </w:r>
          </w:p>
        </w:tc>
        <w:tc>
          <w:tcPr>
            <w:tcW w:w="1710" w:type="dxa"/>
            <w:tcBorders>
              <w:top w:val="nil"/>
              <w:left w:val="nil"/>
              <w:bottom w:val="single" w:sz="4" w:space="0" w:color="auto"/>
              <w:right w:val="single" w:sz="4" w:space="0" w:color="auto"/>
            </w:tcBorders>
            <w:shd w:val="clear" w:color="auto" w:fill="auto"/>
            <w:vAlign w:val="bottom"/>
            <w:hideMark/>
          </w:tcPr>
          <w:p w14:paraId="3A8157C8"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$0.00 </w:t>
            </w:r>
          </w:p>
        </w:tc>
        <w:tc>
          <w:tcPr>
            <w:tcW w:w="1710" w:type="dxa"/>
            <w:tcBorders>
              <w:top w:val="nil"/>
              <w:left w:val="nil"/>
              <w:bottom w:val="single" w:sz="4" w:space="0" w:color="auto"/>
              <w:right w:val="single" w:sz="4" w:space="0" w:color="auto"/>
            </w:tcBorders>
            <w:shd w:val="clear" w:color="auto" w:fill="auto"/>
            <w:vAlign w:val="bottom"/>
            <w:hideMark/>
          </w:tcPr>
          <w:p w14:paraId="0F115F1D"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$1,504.96 </w:t>
            </w:r>
          </w:p>
        </w:tc>
      </w:tr>
      <w:tr w:rsidR="00C443F5" w:rsidRPr="00C443F5" w14:paraId="17139309" w14:textId="77777777" w:rsidTr="00397B51">
        <w:trPr>
          <w:trHeight w:val="70"/>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004BDD96"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c>
          <w:tcPr>
            <w:tcW w:w="1710" w:type="dxa"/>
            <w:tcBorders>
              <w:top w:val="nil"/>
              <w:left w:val="nil"/>
              <w:bottom w:val="single" w:sz="4" w:space="0" w:color="auto"/>
              <w:right w:val="single" w:sz="4" w:space="0" w:color="auto"/>
            </w:tcBorders>
            <w:shd w:val="clear" w:color="auto" w:fill="auto"/>
            <w:vAlign w:val="bottom"/>
            <w:hideMark/>
          </w:tcPr>
          <w:p w14:paraId="79807025"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c>
          <w:tcPr>
            <w:tcW w:w="1710" w:type="dxa"/>
            <w:tcBorders>
              <w:top w:val="nil"/>
              <w:left w:val="nil"/>
              <w:bottom w:val="single" w:sz="4" w:space="0" w:color="auto"/>
              <w:right w:val="single" w:sz="4" w:space="0" w:color="auto"/>
            </w:tcBorders>
            <w:shd w:val="clear" w:color="auto" w:fill="auto"/>
            <w:vAlign w:val="bottom"/>
            <w:hideMark/>
          </w:tcPr>
          <w:p w14:paraId="4F5B4589"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c>
          <w:tcPr>
            <w:tcW w:w="1710" w:type="dxa"/>
            <w:tcBorders>
              <w:top w:val="nil"/>
              <w:left w:val="nil"/>
              <w:bottom w:val="single" w:sz="4" w:space="0" w:color="auto"/>
              <w:right w:val="single" w:sz="4" w:space="0" w:color="auto"/>
            </w:tcBorders>
            <w:shd w:val="clear" w:color="auto" w:fill="auto"/>
            <w:vAlign w:val="bottom"/>
            <w:hideMark/>
          </w:tcPr>
          <w:p w14:paraId="7B877800"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r>
      <w:tr w:rsidR="00C443F5" w:rsidRPr="00C443F5" w14:paraId="4F4FB357" w14:textId="77777777" w:rsidTr="00397B51">
        <w:trPr>
          <w:trHeight w:val="450"/>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64FC7DA2"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Excel Allowable or (Shortfall)</w:t>
            </w:r>
          </w:p>
        </w:tc>
        <w:tc>
          <w:tcPr>
            <w:tcW w:w="1710" w:type="dxa"/>
            <w:tcBorders>
              <w:top w:val="nil"/>
              <w:left w:val="nil"/>
              <w:bottom w:val="single" w:sz="4" w:space="0" w:color="auto"/>
              <w:right w:val="single" w:sz="4" w:space="0" w:color="auto"/>
            </w:tcBorders>
            <w:shd w:val="clear" w:color="auto" w:fill="auto"/>
            <w:vAlign w:val="bottom"/>
            <w:hideMark/>
          </w:tcPr>
          <w:p w14:paraId="456CA6FD"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FF0000"/>
                <w:sz w:val="16"/>
                <w:szCs w:val="16"/>
              </w:rPr>
              <w:t>($404,750.00)</w:t>
            </w:r>
          </w:p>
        </w:tc>
        <w:tc>
          <w:tcPr>
            <w:tcW w:w="1710" w:type="dxa"/>
            <w:tcBorders>
              <w:top w:val="nil"/>
              <w:left w:val="nil"/>
              <w:bottom w:val="single" w:sz="4" w:space="0" w:color="auto"/>
              <w:right w:val="single" w:sz="4" w:space="0" w:color="auto"/>
            </w:tcBorders>
            <w:shd w:val="clear" w:color="auto" w:fill="auto"/>
            <w:vAlign w:val="bottom"/>
            <w:hideMark/>
          </w:tcPr>
          <w:p w14:paraId="744F0A67"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FF0000"/>
                <w:sz w:val="16"/>
                <w:szCs w:val="16"/>
              </w:rPr>
              <w:t>($153,090.44)</w:t>
            </w:r>
          </w:p>
        </w:tc>
        <w:tc>
          <w:tcPr>
            <w:tcW w:w="1710" w:type="dxa"/>
            <w:tcBorders>
              <w:top w:val="nil"/>
              <w:left w:val="nil"/>
              <w:bottom w:val="single" w:sz="4" w:space="0" w:color="auto"/>
              <w:right w:val="single" w:sz="4" w:space="0" w:color="auto"/>
            </w:tcBorders>
            <w:shd w:val="clear" w:color="auto" w:fill="auto"/>
            <w:vAlign w:val="bottom"/>
            <w:hideMark/>
          </w:tcPr>
          <w:p w14:paraId="174F1119"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FF0000"/>
                <w:sz w:val="16"/>
                <w:szCs w:val="16"/>
              </w:rPr>
              <w:t>($38,132.56)</w:t>
            </w:r>
          </w:p>
        </w:tc>
      </w:tr>
      <w:tr w:rsidR="00C443F5" w:rsidRPr="00C443F5" w14:paraId="2EE6AFB1" w14:textId="77777777" w:rsidTr="00397B51">
        <w:trPr>
          <w:trHeight w:val="70"/>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3F9FE07B"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c>
          <w:tcPr>
            <w:tcW w:w="1710" w:type="dxa"/>
            <w:tcBorders>
              <w:top w:val="nil"/>
              <w:left w:val="nil"/>
              <w:bottom w:val="single" w:sz="4" w:space="0" w:color="auto"/>
              <w:right w:val="single" w:sz="4" w:space="0" w:color="auto"/>
            </w:tcBorders>
            <w:shd w:val="clear" w:color="auto" w:fill="auto"/>
            <w:vAlign w:val="bottom"/>
            <w:hideMark/>
          </w:tcPr>
          <w:p w14:paraId="73739A49"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c>
          <w:tcPr>
            <w:tcW w:w="1710" w:type="dxa"/>
            <w:tcBorders>
              <w:top w:val="nil"/>
              <w:left w:val="nil"/>
              <w:bottom w:val="single" w:sz="4" w:space="0" w:color="auto"/>
              <w:right w:val="single" w:sz="4" w:space="0" w:color="auto"/>
            </w:tcBorders>
            <w:shd w:val="clear" w:color="auto" w:fill="auto"/>
            <w:vAlign w:val="bottom"/>
            <w:hideMark/>
          </w:tcPr>
          <w:p w14:paraId="34F2C6ED"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c>
          <w:tcPr>
            <w:tcW w:w="1710" w:type="dxa"/>
            <w:tcBorders>
              <w:top w:val="nil"/>
              <w:left w:val="nil"/>
              <w:bottom w:val="single" w:sz="4" w:space="0" w:color="auto"/>
              <w:right w:val="single" w:sz="4" w:space="0" w:color="auto"/>
            </w:tcBorders>
            <w:shd w:val="clear" w:color="auto" w:fill="auto"/>
            <w:vAlign w:val="bottom"/>
            <w:hideMark/>
          </w:tcPr>
          <w:p w14:paraId="60C634DB"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r>
      <w:tr w:rsidR="00C443F5" w:rsidRPr="00C443F5" w14:paraId="5B9C431C" w14:textId="77777777" w:rsidTr="00397B51">
        <w:trPr>
          <w:trHeight w:val="225"/>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62EEF5FC"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Income Tax Gross Up</w:t>
            </w:r>
          </w:p>
        </w:tc>
        <w:tc>
          <w:tcPr>
            <w:tcW w:w="1710" w:type="dxa"/>
            <w:tcBorders>
              <w:top w:val="nil"/>
              <w:left w:val="nil"/>
              <w:bottom w:val="single" w:sz="4" w:space="0" w:color="auto"/>
              <w:right w:val="single" w:sz="4" w:space="0" w:color="auto"/>
            </w:tcBorders>
            <w:shd w:val="clear" w:color="auto" w:fill="auto"/>
            <w:vAlign w:val="bottom"/>
            <w:hideMark/>
          </w:tcPr>
          <w:p w14:paraId="045FB8D7"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$62,011.75 </w:t>
            </w:r>
          </w:p>
        </w:tc>
        <w:tc>
          <w:tcPr>
            <w:tcW w:w="1710" w:type="dxa"/>
            <w:tcBorders>
              <w:top w:val="nil"/>
              <w:left w:val="nil"/>
              <w:bottom w:val="single" w:sz="4" w:space="0" w:color="auto"/>
              <w:right w:val="single" w:sz="4" w:space="0" w:color="auto"/>
            </w:tcBorders>
            <w:shd w:val="clear" w:color="auto" w:fill="auto"/>
            <w:vAlign w:val="bottom"/>
            <w:hideMark/>
          </w:tcPr>
          <w:p w14:paraId="6742BFFC"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$23,454.99 </w:t>
            </w:r>
          </w:p>
        </w:tc>
        <w:tc>
          <w:tcPr>
            <w:tcW w:w="1710" w:type="dxa"/>
            <w:tcBorders>
              <w:top w:val="nil"/>
              <w:left w:val="nil"/>
              <w:bottom w:val="single" w:sz="4" w:space="0" w:color="auto"/>
              <w:right w:val="single" w:sz="4" w:space="0" w:color="auto"/>
            </w:tcBorders>
            <w:shd w:val="clear" w:color="auto" w:fill="auto"/>
            <w:vAlign w:val="bottom"/>
            <w:hideMark/>
          </w:tcPr>
          <w:p w14:paraId="06CC0303"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$5,842.29 </w:t>
            </w:r>
          </w:p>
        </w:tc>
      </w:tr>
      <w:tr w:rsidR="00C443F5" w:rsidRPr="00C443F5" w14:paraId="0154C753" w14:textId="77777777" w:rsidTr="00397B51">
        <w:trPr>
          <w:trHeight w:val="225"/>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14C76BC8"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Finance Cost Gross Up</w:t>
            </w:r>
          </w:p>
        </w:tc>
        <w:tc>
          <w:tcPr>
            <w:tcW w:w="1710" w:type="dxa"/>
            <w:tcBorders>
              <w:top w:val="nil"/>
              <w:left w:val="nil"/>
              <w:bottom w:val="single" w:sz="4" w:space="0" w:color="auto"/>
              <w:right w:val="single" w:sz="4" w:space="0" w:color="auto"/>
            </w:tcBorders>
            <w:shd w:val="clear" w:color="auto" w:fill="auto"/>
            <w:vAlign w:val="bottom"/>
            <w:hideMark/>
          </w:tcPr>
          <w:p w14:paraId="417E8CA1"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$2,323.27 </w:t>
            </w:r>
          </w:p>
        </w:tc>
        <w:tc>
          <w:tcPr>
            <w:tcW w:w="1710" w:type="dxa"/>
            <w:tcBorders>
              <w:top w:val="nil"/>
              <w:left w:val="nil"/>
              <w:bottom w:val="single" w:sz="4" w:space="0" w:color="auto"/>
              <w:right w:val="single" w:sz="4" w:space="0" w:color="auto"/>
            </w:tcBorders>
            <w:shd w:val="clear" w:color="auto" w:fill="auto"/>
            <w:vAlign w:val="bottom"/>
            <w:hideMark/>
          </w:tcPr>
          <w:p w14:paraId="2EE5E670"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$878.74 </w:t>
            </w:r>
          </w:p>
        </w:tc>
        <w:tc>
          <w:tcPr>
            <w:tcW w:w="1710" w:type="dxa"/>
            <w:tcBorders>
              <w:top w:val="nil"/>
              <w:left w:val="nil"/>
              <w:bottom w:val="single" w:sz="4" w:space="0" w:color="auto"/>
              <w:right w:val="single" w:sz="4" w:space="0" w:color="auto"/>
            </w:tcBorders>
            <w:shd w:val="clear" w:color="auto" w:fill="auto"/>
            <w:vAlign w:val="bottom"/>
            <w:hideMark/>
          </w:tcPr>
          <w:p w14:paraId="44C62A62"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$218.88 </w:t>
            </w:r>
          </w:p>
        </w:tc>
      </w:tr>
      <w:tr w:rsidR="00C443F5" w:rsidRPr="00C443F5" w14:paraId="6752D6EA" w14:textId="77777777" w:rsidTr="00397B51">
        <w:trPr>
          <w:trHeight w:val="70"/>
        </w:trPr>
        <w:tc>
          <w:tcPr>
            <w:tcW w:w="2340" w:type="dxa"/>
            <w:tcBorders>
              <w:top w:val="nil"/>
              <w:left w:val="single" w:sz="4" w:space="0" w:color="auto"/>
              <w:bottom w:val="single" w:sz="4" w:space="0" w:color="auto"/>
              <w:right w:val="single" w:sz="4" w:space="0" w:color="auto"/>
            </w:tcBorders>
            <w:shd w:val="clear" w:color="auto" w:fill="auto"/>
            <w:vAlign w:val="bottom"/>
            <w:hideMark/>
          </w:tcPr>
          <w:p w14:paraId="2C6F66D6"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USF Requested Amount After Gross Up</w:t>
            </w:r>
          </w:p>
        </w:tc>
        <w:tc>
          <w:tcPr>
            <w:tcW w:w="1710" w:type="dxa"/>
            <w:tcBorders>
              <w:top w:val="nil"/>
              <w:left w:val="nil"/>
              <w:bottom w:val="single" w:sz="4" w:space="0" w:color="auto"/>
              <w:right w:val="single" w:sz="4" w:space="0" w:color="auto"/>
            </w:tcBorders>
            <w:shd w:val="clear" w:color="auto" w:fill="auto"/>
            <w:vAlign w:val="bottom"/>
            <w:hideMark/>
          </w:tcPr>
          <w:p w14:paraId="48C8F59C"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$469,085.01 </w:t>
            </w:r>
          </w:p>
        </w:tc>
        <w:tc>
          <w:tcPr>
            <w:tcW w:w="1710" w:type="dxa"/>
            <w:tcBorders>
              <w:top w:val="nil"/>
              <w:left w:val="nil"/>
              <w:bottom w:val="single" w:sz="4" w:space="0" w:color="auto"/>
              <w:right w:val="single" w:sz="4" w:space="0" w:color="auto"/>
            </w:tcBorders>
            <w:shd w:val="clear" w:color="auto" w:fill="auto"/>
            <w:vAlign w:val="bottom"/>
            <w:hideMark/>
          </w:tcPr>
          <w:p w14:paraId="60834D28"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$177,423.73 </w:t>
            </w:r>
          </w:p>
        </w:tc>
        <w:tc>
          <w:tcPr>
            <w:tcW w:w="1710" w:type="dxa"/>
            <w:tcBorders>
              <w:top w:val="nil"/>
              <w:left w:val="nil"/>
              <w:bottom w:val="single" w:sz="4" w:space="0" w:color="auto"/>
              <w:right w:val="single" w:sz="4" w:space="0" w:color="auto"/>
            </w:tcBorders>
            <w:shd w:val="clear" w:color="auto" w:fill="auto"/>
            <w:vAlign w:val="bottom"/>
            <w:hideMark/>
          </w:tcPr>
          <w:p w14:paraId="2833D3D8"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$44,193.73 </w:t>
            </w:r>
          </w:p>
        </w:tc>
      </w:tr>
    </w:tbl>
    <w:p w14:paraId="700BB9DA" w14:textId="77777777" w:rsidR="00C443F5" w:rsidRPr="00C443F5" w:rsidRDefault="00C443F5" w:rsidP="00C443F5">
      <w:pPr>
        <w:contextualSpacing/>
        <w:jc w:val="both"/>
        <w:rPr>
          <w:b/>
          <w:bCs/>
        </w:rPr>
      </w:pPr>
      <w:r w:rsidRPr="00C443F5">
        <w:rPr>
          <w:b/>
          <w:bCs/>
        </w:rPr>
        <w:tab/>
      </w:r>
    </w:p>
    <w:p w14:paraId="0CE5E126" w14:textId="77777777" w:rsidR="00C443F5" w:rsidRPr="00C443F5" w:rsidRDefault="00C443F5" w:rsidP="00C443F5">
      <w:pPr>
        <w:ind w:firstLine="720"/>
        <w:contextualSpacing/>
        <w:jc w:val="both"/>
        <w:rPr>
          <w:bCs/>
        </w:rPr>
      </w:pPr>
    </w:p>
    <w:p w14:paraId="69FB3982" w14:textId="77777777" w:rsidR="00C443F5" w:rsidRPr="00C443F5" w:rsidRDefault="00C443F5" w:rsidP="00C443F5">
      <w:pPr>
        <w:ind w:firstLine="720"/>
        <w:contextualSpacing/>
        <w:jc w:val="both"/>
        <w:rPr>
          <w:bCs/>
        </w:rPr>
      </w:pPr>
      <w:r w:rsidRPr="00C443F5">
        <w:rPr>
          <w:bCs/>
        </w:rPr>
        <w:t xml:space="preserve">When comparing USF recovery in MFR-6, using engineering estimates, to the Rule-7 assessment, using System Wide Averages, the comparison can be seen in </w:t>
      </w:r>
      <w:r w:rsidRPr="00C443F5">
        <w:rPr>
          <w:b/>
          <w:bCs/>
        </w:rPr>
        <w:t>Table-11</w:t>
      </w:r>
      <w:r w:rsidRPr="00C443F5">
        <w:rPr>
          <w:bCs/>
        </w:rPr>
        <w:t xml:space="preserve"> below. The total for the engineering estimates was </w:t>
      </w:r>
      <w:r w:rsidRPr="00C443F5">
        <w:rPr>
          <w:b/>
          <w:bCs/>
        </w:rPr>
        <w:t>$4.9 million,</w:t>
      </w:r>
      <w:r w:rsidRPr="00C443F5">
        <w:rPr>
          <w:bCs/>
        </w:rPr>
        <w:t xml:space="preserve"> and for the System Wide Averages, it was $690,702.</w:t>
      </w:r>
    </w:p>
    <w:p w14:paraId="65DA0DBC" w14:textId="77777777" w:rsidR="00C443F5" w:rsidRPr="00C443F5" w:rsidRDefault="00C443F5" w:rsidP="00C443F5">
      <w:pPr>
        <w:ind w:firstLine="720"/>
        <w:contextualSpacing/>
        <w:jc w:val="both"/>
        <w:rPr>
          <w:bCs/>
        </w:rPr>
      </w:pPr>
    </w:p>
    <w:p w14:paraId="794DD982" w14:textId="77777777" w:rsidR="00C443F5" w:rsidRPr="00C443F5" w:rsidRDefault="00C443F5" w:rsidP="00C443F5">
      <w:pPr>
        <w:contextualSpacing/>
        <w:jc w:val="both"/>
        <w:rPr>
          <w:b/>
          <w:bCs/>
        </w:rPr>
      </w:pPr>
      <w:r w:rsidRPr="00C443F5">
        <w:rPr>
          <w:b/>
          <w:bCs/>
        </w:rPr>
        <w:t xml:space="preserve">Table-11: Residential Recovery Comparison – </w:t>
      </w:r>
    </w:p>
    <w:tbl>
      <w:tblPr>
        <w:tblW w:w="7560" w:type="dxa"/>
        <w:tblLook w:val="04A0" w:firstRow="1" w:lastRow="0" w:firstColumn="1" w:lastColumn="0" w:noHBand="0" w:noVBand="1"/>
      </w:tblPr>
      <w:tblGrid>
        <w:gridCol w:w="2340"/>
        <w:gridCol w:w="1710"/>
        <w:gridCol w:w="1710"/>
        <w:gridCol w:w="1800"/>
      </w:tblGrid>
      <w:tr w:rsidR="00C443F5" w:rsidRPr="00C443F5" w14:paraId="22B23BE2" w14:textId="77777777" w:rsidTr="00397B51">
        <w:trPr>
          <w:trHeight w:val="705"/>
        </w:trPr>
        <w:tc>
          <w:tcPr>
            <w:tcW w:w="2340" w:type="dxa"/>
            <w:tcBorders>
              <w:top w:val="nil"/>
              <w:left w:val="nil"/>
              <w:bottom w:val="nil"/>
              <w:right w:val="nil"/>
            </w:tcBorders>
            <w:shd w:val="clear" w:color="auto" w:fill="auto"/>
            <w:noWrap/>
            <w:vAlign w:val="center"/>
            <w:hideMark/>
          </w:tcPr>
          <w:p w14:paraId="3A9E45DD"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Residential Projects</w:t>
            </w:r>
          </w:p>
        </w:tc>
        <w:tc>
          <w:tcPr>
            <w:tcW w:w="1710" w:type="dxa"/>
            <w:tcBorders>
              <w:top w:val="nil"/>
              <w:left w:val="nil"/>
              <w:bottom w:val="nil"/>
              <w:right w:val="nil"/>
            </w:tcBorders>
            <w:shd w:val="clear" w:color="auto" w:fill="auto"/>
            <w:vAlign w:val="center"/>
            <w:hideMark/>
          </w:tcPr>
          <w:p w14:paraId="64EB1004"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Engineering Estimates</w:t>
            </w:r>
            <w:r w:rsidRPr="00C443F5">
              <w:rPr>
                <w:rFonts w:ascii="Arial" w:hAnsi="Arial" w:cs="Arial"/>
                <w:b/>
                <w:bCs/>
                <w:color w:val="000000"/>
                <w:sz w:val="16"/>
                <w:szCs w:val="16"/>
              </w:rPr>
              <w:br/>
              <w:t>MFR-6</w:t>
            </w:r>
          </w:p>
        </w:tc>
        <w:tc>
          <w:tcPr>
            <w:tcW w:w="1710" w:type="dxa"/>
            <w:tcBorders>
              <w:top w:val="nil"/>
              <w:left w:val="nil"/>
              <w:bottom w:val="nil"/>
              <w:right w:val="nil"/>
            </w:tcBorders>
            <w:shd w:val="clear" w:color="auto" w:fill="auto"/>
            <w:vAlign w:val="center"/>
            <w:hideMark/>
          </w:tcPr>
          <w:p w14:paraId="28D25667"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Tariff Rule-7 Filed Costs</w:t>
            </w:r>
            <w:r w:rsidRPr="00C443F5">
              <w:rPr>
                <w:rFonts w:ascii="Arial" w:hAnsi="Arial" w:cs="Arial"/>
                <w:b/>
                <w:bCs/>
                <w:color w:val="000000"/>
                <w:sz w:val="16"/>
                <w:szCs w:val="16"/>
              </w:rPr>
              <w:br/>
              <w:t>Staff's 14th Set</w:t>
            </w:r>
          </w:p>
        </w:tc>
        <w:tc>
          <w:tcPr>
            <w:tcW w:w="1800" w:type="dxa"/>
            <w:tcBorders>
              <w:top w:val="nil"/>
              <w:left w:val="nil"/>
              <w:bottom w:val="nil"/>
              <w:right w:val="nil"/>
            </w:tcBorders>
            <w:shd w:val="clear" w:color="auto" w:fill="auto"/>
            <w:noWrap/>
            <w:vAlign w:val="bottom"/>
            <w:hideMark/>
          </w:tcPr>
          <w:p w14:paraId="284964F1"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Variance</w:t>
            </w:r>
          </w:p>
        </w:tc>
      </w:tr>
      <w:tr w:rsidR="00C443F5" w:rsidRPr="00C443F5" w14:paraId="031116F4" w14:textId="77777777" w:rsidTr="00397B51">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007C6"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Glynn County Project #1</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E26F306"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$2,926,329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7745FA94"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$469,085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2AAF1F5"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$2,457,244 </w:t>
            </w:r>
          </w:p>
        </w:tc>
      </w:tr>
      <w:tr w:rsidR="00C443F5" w:rsidRPr="00C443F5" w14:paraId="20A02704" w14:textId="77777777" w:rsidTr="00397B51">
        <w:trPr>
          <w:trHeight w:val="25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41AA450A"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Glynn County Project #2</w:t>
            </w:r>
          </w:p>
        </w:tc>
        <w:tc>
          <w:tcPr>
            <w:tcW w:w="1710" w:type="dxa"/>
            <w:tcBorders>
              <w:top w:val="nil"/>
              <w:left w:val="nil"/>
              <w:bottom w:val="single" w:sz="4" w:space="0" w:color="auto"/>
              <w:right w:val="single" w:sz="4" w:space="0" w:color="auto"/>
            </w:tcBorders>
            <w:shd w:val="clear" w:color="auto" w:fill="auto"/>
            <w:noWrap/>
            <w:vAlign w:val="center"/>
            <w:hideMark/>
          </w:tcPr>
          <w:p w14:paraId="3C276588"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$1,513,311 </w:t>
            </w:r>
          </w:p>
        </w:tc>
        <w:tc>
          <w:tcPr>
            <w:tcW w:w="1710" w:type="dxa"/>
            <w:tcBorders>
              <w:top w:val="nil"/>
              <w:left w:val="nil"/>
              <w:bottom w:val="single" w:sz="4" w:space="0" w:color="auto"/>
              <w:right w:val="single" w:sz="4" w:space="0" w:color="auto"/>
            </w:tcBorders>
            <w:shd w:val="clear" w:color="auto" w:fill="auto"/>
            <w:noWrap/>
            <w:vAlign w:val="center"/>
            <w:hideMark/>
          </w:tcPr>
          <w:p w14:paraId="4E6ED52B"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$177,424 </w:t>
            </w:r>
          </w:p>
        </w:tc>
        <w:tc>
          <w:tcPr>
            <w:tcW w:w="1800" w:type="dxa"/>
            <w:tcBorders>
              <w:top w:val="nil"/>
              <w:left w:val="nil"/>
              <w:bottom w:val="single" w:sz="4" w:space="0" w:color="auto"/>
              <w:right w:val="single" w:sz="4" w:space="0" w:color="auto"/>
            </w:tcBorders>
            <w:shd w:val="clear" w:color="auto" w:fill="auto"/>
            <w:noWrap/>
            <w:vAlign w:val="bottom"/>
            <w:hideMark/>
          </w:tcPr>
          <w:p w14:paraId="0CF4A665"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$1,335,887 </w:t>
            </w:r>
          </w:p>
        </w:tc>
      </w:tr>
      <w:tr w:rsidR="00C443F5" w:rsidRPr="00C443F5" w14:paraId="6B94F341" w14:textId="77777777" w:rsidTr="00397B51">
        <w:trPr>
          <w:trHeight w:val="25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3B059261"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Cherokee County Project</w:t>
            </w:r>
          </w:p>
        </w:tc>
        <w:tc>
          <w:tcPr>
            <w:tcW w:w="1710" w:type="dxa"/>
            <w:tcBorders>
              <w:top w:val="nil"/>
              <w:left w:val="nil"/>
              <w:bottom w:val="single" w:sz="4" w:space="0" w:color="auto"/>
              <w:right w:val="single" w:sz="4" w:space="0" w:color="auto"/>
            </w:tcBorders>
            <w:shd w:val="clear" w:color="auto" w:fill="auto"/>
            <w:noWrap/>
            <w:vAlign w:val="center"/>
            <w:hideMark/>
          </w:tcPr>
          <w:p w14:paraId="5FCD697B"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$525,090 </w:t>
            </w:r>
          </w:p>
        </w:tc>
        <w:tc>
          <w:tcPr>
            <w:tcW w:w="1710" w:type="dxa"/>
            <w:tcBorders>
              <w:top w:val="nil"/>
              <w:left w:val="nil"/>
              <w:bottom w:val="single" w:sz="4" w:space="0" w:color="auto"/>
              <w:right w:val="single" w:sz="4" w:space="0" w:color="auto"/>
            </w:tcBorders>
            <w:shd w:val="clear" w:color="auto" w:fill="auto"/>
            <w:noWrap/>
            <w:vAlign w:val="center"/>
            <w:hideMark/>
          </w:tcPr>
          <w:p w14:paraId="66547025"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$44,194 </w:t>
            </w:r>
          </w:p>
        </w:tc>
        <w:tc>
          <w:tcPr>
            <w:tcW w:w="1800" w:type="dxa"/>
            <w:tcBorders>
              <w:top w:val="nil"/>
              <w:left w:val="nil"/>
              <w:bottom w:val="single" w:sz="4" w:space="0" w:color="auto"/>
              <w:right w:val="single" w:sz="4" w:space="0" w:color="auto"/>
            </w:tcBorders>
            <w:shd w:val="clear" w:color="auto" w:fill="auto"/>
            <w:noWrap/>
            <w:vAlign w:val="bottom"/>
            <w:hideMark/>
          </w:tcPr>
          <w:p w14:paraId="505F1AD3"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$480,896 </w:t>
            </w:r>
          </w:p>
        </w:tc>
      </w:tr>
      <w:tr w:rsidR="00C443F5" w:rsidRPr="00C443F5" w14:paraId="4C1A77FC" w14:textId="77777777" w:rsidTr="00397B51">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C450650"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Totals</w:t>
            </w:r>
          </w:p>
        </w:tc>
        <w:tc>
          <w:tcPr>
            <w:tcW w:w="1710" w:type="dxa"/>
            <w:tcBorders>
              <w:top w:val="nil"/>
              <w:left w:val="nil"/>
              <w:bottom w:val="single" w:sz="4" w:space="0" w:color="auto"/>
              <w:right w:val="single" w:sz="4" w:space="0" w:color="auto"/>
            </w:tcBorders>
            <w:shd w:val="clear" w:color="auto" w:fill="auto"/>
            <w:noWrap/>
            <w:vAlign w:val="bottom"/>
            <w:hideMark/>
          </w:tcPr>
          <w:p w14:paraId="0F101517"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$4,964,730 </w:t>
            </w:r>
          </w:p>
        </w:tc>
        <w:tc>
          <w:tcPr>
            <w:tcW w:w="1710" w:type="dxa"/>
            <w:tcBorders>
              <w:top w:val="nil"/>
              <w:left w:val="nil"/>
              <w:bottom w:val="single" w:sz="4" w:space="0" w:color="auto"/>
              <w:right w:val="single" w:sz="4" w:space="0" w:color="auto"/>
            </w:tcBorders>
            <w:shd w:val="clear" w:color="auto" w:fill="auto"/>
            <w:noWrap/>
            <w:vAlign w:val="bottom"/>
            <w:hideMark/>
          </w:tcPr>
          <w:p w14:paraId="7705C7A7"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$690,702 </w:t>
            </w:r>
          </w:p>
        </w:tc>
        <w:tc>
          <w:tcPr>
            <w:tcW w:w="1800" w:type="dxa"/>
            <w:tcBorders>
              <w:top w:val="nil"/>
              <w:left w:val="nil"/>
              <w:bottom w:val="single" w:sz="4" w:space="0" w:color="auto"/>
              <w:right w:val="single" w:sz="4" w:space="0" w:color="auto"/>
            </w:tcBorders>
            <w:shd w:val="clear" w:color="auto" w:fill="auto"/>
            <w:noWrap/>
            <w:vAlign w:val="bottom"/>
            <w:hideMark/>
          </w:tcPr>
          <w:p w14:paraId="33C949A1"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$4,274,028 </w:t>
            </w:r>
          </w:p>
        </w:tc>
      </w:tr>
    </w:tbl>
    <w:p w14:paraId="2E79D7DD" w14:textId="77777777" w:rsidR="00C443F5" w:rsidRPr="00C443F5" w:rsidRDefault="00C443F5" w:rsidP="00C443F5">
      <w:pPr>
        <w:contextualSpacing/>
        <w:jc w:val="both"/>
        <w:rPr>
          <w:b/>
          <w:bCs/>
        </w:rPr>
      </w:pPr>
    </w:p>
    <w:p w14:paraId="135B008C" w14:textId="77777777" w:rsidR="00C443F5" w:rsidRPr="00C443F5" w:rsidRDefault="00C443F5" w:rsidP="00C443F5">
      <w:pPr>
        <w:ind w:firstLine="720"/>
        <w:contextualSpacing/>
        <w:jc w:val="both"/>
        <w:rPr>
          <w:b/>
          <w:bCs/>
        </w:rPr>
      </w:pPr>
      <w:r w:rsidRPr="00C443F5">
        <w:rPr>
          <w:bCs/>
        </w:rPr>
        <w:t>The Commission has the option of either approving the use of MFR-6 engineering estimates with gross ups, or the Rule-7 USF System Wide Average estimated costs with gross ups.</w:t>
      </w:r>
    </w:p>
    <w:p w14:paraId="2530A45F" w14:textId="77777777" w:rsidR="00C443F5" w:rsidRPr="00C443F5" w:rsidRDefault="00C443F5" w:rsidP="00C443F5">
      <w:pPr>
        <w:contextualSpacing/>
        <w:jc w:val="both"/>
        <w:rPr>
          <w:b/>
          <w:bCs/>
        </w:rPr>
      </w:pPr>
    </w:p>
    <w:p w14:paraId="561E9C1D" w14:textId="77777777" w:rsidR="00C443F5" w:rsidRPr="00C443F5" w:rsidRDefault="00C443F5" w:rsidP="00C443F5">
      <w:pPr>
        <w:contextualSpacing/>
        <w:jc w:val="both"/>
        <w:rPr>
          <w:b/>
          <w:bCs/>
        </w:rPr>
      </w:pPr>
    </w:p>
    <w:p w14:paraId="6F57E8F0" w14:textId="77777777" w:rsidR="00C443F5" w:rsidRPr="00C443F5" w:rsidRDefault="00C443F5" w:rsidP="00C443F5">
      <w:pPr>
        <w:numPr>
          <w:ilvl w:val="0"/>
          <w:numId w:val="4"/>
        </w:numPr>
        <w:spacing w:after="200"/>
        <w:contextualSpacing/>
        <w:jc w:val="both"/>
        <w:rPr>
          <w:b/>
          <w:bCs/>
        </w:rPr>
      </w:pPr>
      <w:r w:rsidRPr="00C443F5">
        <w:rPr>
          <w:b/>
          <w:bCs/>
        </w:rPr>
        <w:t>Commercial Projects Cost &amp; Recovery</w:t>
      </w:r>
    </w:p>
    <w:p w14:paraId="1A902851" w14:textId="77777777" w:rsidR="00C443F5" w:rsidRPr="00C443F5" w:rsidRDefault="00C443F5" w:rsidP="00C443F5">
      <w:pPr>
        <w:contextualSpacing/>
        <w:jc w:val="both"/>
        <w:rPr>
          <w:b/>
          <w:bCs/>
        </w:rPr>
      </w:pPr>
    </w:p>
    <w:p w14:paraId="276758E9" w14:textId="77777777" w:rsidR="00C443F5" w:rsidRPr="00C443F5" w:rsidRDefault="00C443F5" w:rsidP="00C443F5">
      <w:pPr>
        <w:ind w:firstLine="720"/>
        <w:contextualSpacing/>
        <w:jc w:val="both"/>
        <w:rPr>
          <w:bCs/>
        </w:rPr>
      </w:pPr>
      <w:proofErr w:type="gramStart"/>
      <w:r w:rsidRPr="00C443F5">
        <w:rPr>
          <w:bCs/>
        </w:rPr>
        <w:t>Similar to</w:t>
      </w:r>
      <w:proofErr w:type="gramEnd"/>
      <w:r w:rsidRPr="00C443F5">
        <w:rPr>
          <w:bCs/>
        </w:rPr>
        <w:t xml:space="preserve"> the residential projects, the Staff reviewed the two commercial projects in the same method, but there were a few additional steps. </w:t>
      </w:r>
    </w:p>
    <w:p w14:paraId="42CA9FF0" w14:textId="77777777" w:rsidR="00C443F5" w:rsidRPr="00C443F5" w:rsidRDefault="00C443F5" w:rsidP="00C443F5">
      <w:pPr>
        <w:ind w:firstLine="720"/>
        <w:contextualSpacing/>
        <w:jc w:val="both"/>
        <w:rPr>
          <w:bCs/>
        </w:rPr>
      </w:pPr>
    </w:p>
    <w:p w14:paraId="726683FD" w14:textId="77777777" w:rsidR="00C443F5" w:rsidRPr="00C443F5" w:rsidRDefault="00C443F5" w:rsidP="00C443F5">
      <w:pPr>
        <w:ind w:firstLine="720"/>
        <w:contextualSpacing/>
        <w:jc w:val="both"/>
        <w:rPr>
          <w:bCs/>
        </w:rPr>
      </w:pPr>
      <w:r w:rsidRPr="00C443F5">
        <w:rPr>
          <w:bCs/>
        </w:rPr>
        <w:t xml:space="preserve">As provided in </w:t>
      </w:r>
      <w:r w:rsidRPr="00C443F5">
        <w:rPr>
          <w:b/>
          <w:bCs/>
        </w:rPr>
        <w:t>Table-12</w:t>
      </w:r>
      <w:r w:rsidRPr="00C443F5">
        <w:rPr>
          <w:bCs/>
        </w:rPr>
        <w:t xml:space="preserve"> below, the Staff reviewed the McIntosh County Project. AGL has provided a Rule-8 assessment in response to STF-14-4 using its engineering estimate for this project as found in MFR-6, </w:t>
      </w:r>
      <w:r w:rsidRPr="00C443F5">
        <w:rPr>
          <w:b/>
          <w:bCs/>
        </w:rPr>
        <w:t>$16.9 million</w:t>
      </w:r>
      <w:r w:rsidRPr="00C443F5">
        <w:rPr>
          <w:bCs/>
        </w:rPr>
        <w:t xml:space="preserve">. The allowable investment couldn’t cover the estimated costs causing a shortfall totaling </w:t>
      </w:r>
      <w:r w:rsidRPr="00C443F5">
        <w:rPr>
          <w:b/>
          <w:bCs/>
        </w:rPr>
        <w:t>$16.6 million</w:t>
      </w:r>
      <w:r w:rsidRPr="00C443F5">
        <w:rPr>
          <w:bCs/>
        </w:rPr>
        <w:t xml:space="preserve">. When grossed up for income taxes and finance costs, this increased to </w:t>
      </w:r>
      <w:r w:rsidRPr="00C443F5">
        <w:rPr>
          <w:b/>
          <w:bCs/>
        </w:rPr>
        <w:t>$19.2 million</w:t>
      </w:r>
      <w:r w:rsidRPr="00C443F5">
        <w:rPr>
          <w:bCs/>
        </w:rPr>
        <w:t xml:space="preserve">. The Staff took the extra step at reviewing this project using System Wide Averages, and the estimated cost was </w:t>
      </w:r>
      <w:r w:rsidRPr="00C443F5">
        <w:rPr>
          <w:b/>
          <w:bCs/>
        </w:rPr>
        <w:t>$2.1 million</w:t>
      </w:r>
      <w:r w:rsidRPr="00C443F5">
        <w:rPr>
          <w:bCs/>
        </w:rPr>
        <w:t xml:space="preserve"> with a shortfall of </w:t>
      </w:r>
      <w:r w:rsidRPr="00C443F5">
        <w:rPr>
          <w:b/>
          <w:bCs/>
        </w:rPr>
        <w:t>$1.7 million</w:t>
      </w:r>
      <w:r w:rsidRPr="00C443F5">
        <w:rPr>
          <w:bCs/>
        </w:rPr>
        <w:t xml:space="preserve">. When this was grossed up for income taxes and finance costs, the USF Requested Amount would be </w:t>
      </w:r>
      <w:r w:rsidRPr="00C443F5">
        <w:rPr>
          <w:b/>
          <w:bCs/>
        </w:rPr>
        <w:t>$2 million</w:t>
      </w:r>
      <w:r w:rsidRPr="00C443F5">
        <w:rPr>
          <w:bCs/>
        </w:rPr>
        <w:t xml:space="preserve">. </w:t>
      </w:r>
    </w:p>
    <w:p w14:paraId="61E27DE4" w14:textId="77777777" w:rsidR="00C443F5" w:rsidRPr="00C443F5" w:rsidRDefault="00C443F5" w:rsidP="00C443F5">
      <w:pPr>
        <w:contextualSpacing/>
        <w:jc w:val="both"/>
        <w:rPr>
          <w:b/>
          <w:bCs/>
        </w:rPr>
      </w:pPr>
      <w:r w:rsidRPr="00C443F5">
        <w:rPr>
          <w:b/>
          <w:bCs/>
        </w:rPr>
        <w:t xml:space="preserve">Table-12: McIntosh County Project Rule 8 Assessments </w:t>
      </w:r>
    </w:p>
    <w:tbl>
      <w:tblPr>
        <w:tblW w:w="7290" w:type="dxa"/>
        <w:tblInd w:w="-5" w:type="dxa"/>
        <w:tblLook w:val="04A0" w:firstRow="1" w:lastRow="0" w:firstColumn="1" w:lastColumn="0" w:noHBand="0" w:noVBand="1"/>
      </w:tblPr>
      <w:tblGrid>
        <w:gridCol w:w="3330"/>
        <w:gridCol w:w="2070"/>
        <w:gridCol w:w="1890"/>
      </w:tblGrid>
      <w:tr w:rsidR="00C443F5" w:rsidRPr="00C443F5" w14:paraId="794E3581" w14:textId="77777777" w:rsidTr="00397B51">
        <w:trPr>
          <w:trHeight w:val="593"/>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46CC5"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lastRenderedPageBreak/>
              <w:t>Residential Projects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9CD8C58"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McIntosh County Project</w:t>
            </w:r>
            <w:r w:rsidRPr="00C443F5">
              <w:rPr>
                <w:rFonts w:ascii="Arial" w:hAnsi="Arial" w:cs="Arial"/>
                <w:b/>
                <w:bCs/>
                <w:color w:val="000000"/>
                <w:sz w:val="16"/>
                <w:szCs w:val="16"/>
              </w:rPr>
              <w:br/>
              <w:t>MFR-6 Engineering Estimates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6D8DF072"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McIntosh County Project</w:t>
            </w:r>
            <w:r w:rsidRPr="00C443F5">
              <w:rPr>
                <w:rFonts w:ascii="Arial" w:hAnsi="Arial" w:cs="Arial"/>
                <w:b/>
                <w:bCs/>
                <w:color w:val="000000"/>
                <w:sz w:val="16"/>
                <w:szCs w:val="16"/>
              </w:rPr>
              <w:br/>
              <w:t>Rule-7 System Wide Averages</w:t>
            </w:r>
          </w:p>
        </w:tc>
      </w:tr>
      <w:tr w:rsidR="00C443F5" w:rsidRPr="00C443F5" w14:paraId="572F403F" w14:textId="77777777" w:rsidTr="00397B51">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8678BE0"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Estimated Revenues</w:t>
            </w:r>
          </w:p>
        </w:tc>
        <w:tc>
          <w:tcPr>
            <w:tcW w:w="2070" w:type="dxa"/>
            <w:tcBorders>
              <w:top w:val="nil"/>
              <w:left w:val="nil"/>
              <w:bottom w:val="single" w:sz="4" w:space="0" w:color="auto"/>
              <w:right w:val="single" w:sz="4" w:space="0" w:color="auto"/>
            </w:tcBorders>
            <w:shd w:val="clear" w:color="auto" w:fill="auto"/>
            <w:vAlign w:val="center"/>
            <w:hideMark/>
          </w:tcPr>
          <w:p w14:paraId="476DED83"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$32,920.20 </w:t>
            </w:r>
          </w:p>
        </w:tc>
        <w:tc>
          <w:tcPr>
            <w:tcW w:w="1890" w:type="dxa"/>
            <w:tcBorders>
              <w:top w:val="nil"/>
              <w:left w:val="nil"/>
              <w:bottom w:val="single" w:sz="4" w:space="0" w:color="auto"/>
              <w:right w:val="single" w:sz="4" w:space="0" w:color="auto"/>
            </w:tcBorders>
            <w:shd w:val="clear" w:color="auto" w:fill="auto"/>
            <w:vAlign w:val="center"/>
            <w:hideMark/>
          </w:tcPr>
          <w:p w14:paraId="5F3D8BF6"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$32,920.20 </w:t>
            </w:r>
          </w:p>
        </w:tc>
      </w:tr>
      <w:tr w:rsidR="00C443F5" w:rsidRPr="00C443F5" w14:paraId="1DFF9E6A" w14:textId="77777777" w:rsidTr="00397B51">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AC08F99"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Estimated Cost</w:t>
            </w:r>
          </w:p>
        </w:tc>
        <w:tc>
          <w:tcPr>
            <w:tcW w:w="2070" w:type="dxa"/>
            <w:tcBorders>
              <w:top w:val="nil"/>
              <w:left w:val="nil"/>
              <w:bottom w:val="single" w:sz="4" w:space="0" w:color="auto"/>
              <w:right w:val="single" w:sz="4" w:space="0" w:color="auto"/>
            </w:tcBorders>
            <w:shd w:val="clear" w:color="auto" w:fill="auto"/>
            <w:vAlign w:val="center"/>
            <w:hideMark/>
          </w:tcPr>
          <w:p w14:paraId="5851AAD6"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$16,961,885.55 </w:t>
            </w:r>
          </w:p>
        </w:tc>
        <w:tc>
          <w:tcPr>
            <w:tcW w:w="1890" w:type="dxa"/>
            <w:tcBorders>
              <w:top w:val="nil"/>
              <w:left w:val="nil"/>
              <w:bottom w:val="single" w:sz="4" w:space="0" w:color="auto"/>
              <w:right w:val="single" w:sz="4" w:space="0" w:color="auto"/>
            </w:tcBorders>
            <w:shd w:val="clear" w:color="auto" w:fill="auto"/>
            <w:noWrap/>
            <w:vAlign w:val="bottom"/>
            <w:hideMark/>
          </w:tcPr>
          <w:p w14:paraId="5013ADCE"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$2,117,140.00 </w:t>
            </w:r>
          </w:p>
        </w:tc>
      </w:tr>
      <w:tr w:rsidR="00C443F5" w:rsidRPr="00C443F5" w14:paraId="1C88BC8A" w14:textId="77777777" w:rsidTr="00397B51">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26D1588"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Allowable Investment</w:t>
            </w:r>
          </w:p>
        </w:tc>
        <w:tc>
          <w:tcPr>
            <w:tcW w:w="2070" w:type="dxa"/>
            <w:tcBorders>
              <w:top w:val="nil"/>
              <w:left w:val="nil"/>
              <w:bottom w:val="single" w:sz="4" w:space="0" w:color="auto"/>
              <w:right w:val="single" w:sz="4" w:space="0" w:color="auto"/>
            </w:tcBorders>
            <w:shd w:val="clear" w:color="auto" w:fill="auto"/>
            <w:vAlign w:val="center"/>
            <w:hideMark/>
          </w:tcPr>
          <w:p w14:paraId="5DDFF81E"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$320,664.40 </w:t>
            </w:r>
          </w:p>
        </w:tc>
        <w:tc>
          <w:tcPr>
            <w:tcW w:w="1890" w:type="dxa"/>
            <w:tcBorders>
              <w:top w:val="nil"/>
              <w:left w:val="nil"/>
              <w:bottom w:val="single" w:sz="4" w:space="0" w:color="auto"/>
              <w:right w:val="single" w:sz="4" w:space="0" w:color="auto"/>
            </w:tcBorders>
            <w:shd w:val="clear" w:color="auto" w:fill="auto"/>
            <w:vAlign w:val="center"/>
            <w:hideMark/>
          </w:tcPr>
          <w:p w14:paraId="743E7E85"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$320,664.40 </w:t>
            </w:r>
          </w:p>
        </w:tc>
      </w:tr>
      <w:tr w:rsidR="00C443F5" w:rsidRPr="00C443F5" w14:paraId="0383D72C" w14:textId="77777777" w:rsidTr="00397B51">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4B5B64D"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Contribution from Customer</w:t>
            </w:r>
          </w:p>
        </w:tc>
        <w:tc>
          <w:tcPr>
            <w:tcW w:w="2070" w:type="dxa"/>
            <w:tcBorders>
              <w:top w:val="nil"/>
              <w:left w:val="nil"/>
              <w:bottom w:val="single" w:sz="4" w:space="0" w:color="auto"/>
              <w:right w:val="single" w:sz="4" w:space="0" w:color="auto"/>
            </w:tcBorders>
            <w:shd w:val="clear" w:color="auto" w:fill="auto"/>
            <w:vAlign w:val="center"/>
            <w:hideMark/>
          </w:tcPr>
          <w:p w14:paraId="0A1F7C58"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$0.00 </w:t>
            </w:r>
          </w:p>
        </w:tc>
        <w:tc>
          <w:tcPr>
            <w:tcW w:w="1890" w:type="dxa"/>
            <w:tcBorders>
              <w:top w:val="nil"/>
              <w:left w:val="nil"/>
              <w:bottom w:val="single" w:sz="4" w:space="0" w:color="auto"/>
              <w:right w:val="single" w:sz="4" w:space="0" w:color="auto"/>
            </w:tcBorders>
            <w:shd w:val="clear" w:color="auto" w:fill="auto"/>
            <w:noWrap/>
            <w:vAlign w:val="bottom"/>
            <w:hideMark/>
          </w:tcPr>
          <w:p w14:paraId="74F203AC"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$0.00 </w:t>
            </w:r>
          </w:p>
        </w:tc>
      </w:tr>
      <w:tr w:rsidR="00C443F5" w:rsidRPr="00C443F5" w14:paraId="5A8AAA06" w14:textId="77777777" w:rsidTr="00397B51">
        <w:trPr>
          <w:trHeight w:val="7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3E265DC"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4F6A8F93"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14:paraId="4612CE8C"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r>
      <w:tr w:rsidR="00C443F5" w:rsidRPr="00C443F5" w14:paraId="12701D84" w14:textId="77777777" w:rsidTr="00397B51">
        <w:trPr>
          <w:trHeight w:val="242"/>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14A987DE"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Excel Allowable or (Shortfall)</w:t>
            </w:r>
          </w:p>
        </w:tc>
        <w:tc>
          <w:tcPr>
            <w:tcW w:w="2070" w:type="dxa"/>
            <w:tcBorders>
              <w:top w:val="nil"/>
              <w:left w:val="nil"/>
              <w:bottom w:val="single" w:sz="4" w:space="0" w:color="auto"/>
              <w:right w:val="single" w:sz="4" w:space="0" w:color="auto"/>
            </w:tcBorders>
            <w:shd w:val="clear" w:color="auto" w:fill="auto"/>
            <w:vAlign w:val="center"/>
            <w:hideMark/>
          </w:tcPr>
          <w:p w14:paraId="46CE0167" w14:textId="77777777" w:rsidR="00C443F5" w:rsidRPr="00C443F5" w:rsidRDefault="00C443F5" w:rsidP="00C443F5">
            <w:pPr>
              <w:jc w:val="right"/>
              <w:rPr>
                <w:rFonts w:ascii="Arial" w:hAnsi="Arial" w:cs="Arial"/>
                <w:sz w:val="16"/>
                <w:szCs w:val="16"/>
              </w:rPr>
            </w:pPr>
            <w:r w:rsidRPr="00C443F5">
              <w:rPr>
                <w:rFonts w:ascii="Arial" w:hAnsi="Arial" w:cs="Arial"/>
                <w:sz w:val="16"/>
                <w:szCs w:val="16"/>
              </w:rPr>
              <w:t xml:space="preserve">$16,641,221.15 </w:t>
            </w:r>
          </w:p>
        </w:tc>
        <w:tc>
          <w:tcPr>
            <w:tcW w:w="1890" w:type="dxa"/>
            <w:tcBorders>
              <w:top w:val="nil"/>
              <w:left w:val="nil"/>
              <w:bottom w:val="single" w:sz="4" w:space="0" w:color="auto"/>
              <w:right w:val="single" w:sz="4" w:space="0" w:color="auto"/>
            </w:tcBorders>
            <w:shd w:val="clear" w:color="auto" w:fill="auto"/>
            <w:vAlign w:val="center"/>
            <w:hideMark/>
          </w:tcPr>
          <w:p w14:paraId="68189745" w14:textId="77777777" w:rsidR="00C443F5" w:rsidRPr="00C443F5" w:rsidRDefault="00C443F5" w:rsidP="00C443F5">
            <w:pPr>
              <w:jc w:val="right"/>
              <w:rPr>
                <w:rFonts w:ascii="Arial" w:hAnsi="Arial" w:cs="Arial"/>
                <w:sz w:val="16"/>
                <w:szCs w:val="16"/>
              </w:rPr>
            </w:pPr>
            <w:r w:rsidRPr="00C443F5">
              <w:rPr>
                <w:rFonts w:ascii="Arial" w:hAnsi="Arial" w:cs="Arial"/>
                <w:sz w:val="16"/>
                <w:szCs w:val="16"/>
              </w:rPr>
              <w:t xml:space="preserve">$1,796,475.60 </w:t>
            </w:r>
          </w:p>
        </w:tc>
      </w:tr>
      <w:tr w:rsidR="00C443F5" w:rsidRPr="00C443F5" w14:paraId="093E12D2" w14:textId="77777777" w:rsidTr="00397B51">
        <w:trPr>
          <w:trHeight w:val="18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229168F"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c>
          <w:tcPr>
            <w:tcW w:w="2070" w:type="dxa"/>
            <w:tcBorders>
              <w:top w:val="nil"/>
              <w:left w:val="nil"/>
              <w:bottom w:val="single" w:sz="4" w:space="0" w:color="auto"/>
              <w:right w:val="single" w:sz="4" w:space="0" w:color="auto"/>
            </w:tcBorders>
            <w:shd w:val="clear" w:color="auto" w:fill="auto"/>
            <w:vAlign w:val="center"/>
            <w:hideMark/>
          </w:tcPr>
          <w:p w14:paraId="2D536256"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14:paraId="72F056C7"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r>
      <w:tr w:rsidR="00C443F5" w:rsidRPr="00C443F5" w14:paraId="3015943A" w14:textId="77777777" w:rsidTr="00397B51">
        <w:trPr>
          <w:trHeight w:val="332"/>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2D64C5F3"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Income Tax Gross Up</w:t>
            </w:r>
          </w:p>
        </w:tc>
        <w:tc>
          <w:tcPr>
            <w:tcW w:w="2070" w:type="dxa"/>
            <w:tcBorders>
              <w:top w:val="nil"/>
              <w:left w:val="nil"/>
              <w:bottom w:val="single" w:sz="4" w:space="0" w:color="auto"/>
              <w:right w:val="single" w:sz="4" w:space="0" w:color="auto"/>
            </w:tcBorders>
            <w:shd w:val="clear" w:color="auto" w:fill="auto"/>
            <w:vAlign w:val="center"/>
            <w:hideMark/>
          </w:tcPr>
          <w:p w14:paraId="0E0AD5F2"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$2,549,601.49 </w:t>
            </w:r>
          </w:p>
        </w:tc>
        <w:tc>
          <w:tcPr>
            <w:tcW w:w="1890" w:type="dxa"/>
            <w:tcBorders>
              <w:top w:val="nil"/>
              <w:left w:val="nil"/>
              <w:bottom w:val="single" w:sz="4" w:space="0" w:color="auto"/>
              <w:right w:val="single" w:sz="4" w:space="0" w:color="auto"/>
            </w:tcBorders>
            <w:shd w:val="clear" w:color="auto" w:fill="auto"/>
            <w:vAlign w:val="center"/>
            <w:hideMark/>
          </w:tcPr>
          <w:p w14:paraId="50BE5026"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$275,238.03 </w:t>
            </w:r>
          </w:p>
        </w:tc>
      </w:tr>
      <w:tr w:rsidR="00C443F5" w:rsidRPr="00C443F5" w14:paraId="428479E0" w14:textId="77777777" w:rsidTr="00397B51">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46E4476B"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Finance Cost Gross Up</w:t>
            </w:r>
          </w:p>
        </w:tc>
        <w:tc>
          <w:tcPr>
            <w:tcW w:w="2070" w:type="dxa"/>
            <w:tcBorders>
              <w:top w:val="nil"/>
              <w:left w:val="nil"/>
              <w:bottom w:val="single" w:sz="4" w:space="0" w:color="auto"/>
              <w:right w:val="single" w:sz="4" w:space="0" w:color="auto"/>
            </w:tcBorders>
            <w:shd w:val="clear" w:color="auto" w:fill="auto"/>
            <w:vAlign w:val="center"/>
            <w:hideMark/>
          </w:tcPr>
          <w:p w14:paraId="3E949F40"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$95,520.61 </w:t>
            </w:r>
          </w:p>
        </w:tc>
        <w:tc>
          <w:tcPr>
            <w:tcW w:w="1890" w:type="dxa"/>
            <w:tcBorders>
              <w:top w:val="nil"/>
              <w:left w:val="nil"/>
              <w:bottom w:val="single" w:sz="4" w:space="0" w:color="auto"/>
              <w:right w:val="single" w:sz="4" w:space="0" w:color="auto"/>
            </w:tcBorders>
            <w:shd w:val="clear" w:color="auto" w:fill="auto"/>
            <w:vAlign w:val="center"/>
            <w:hideMark/>
          </w:tcPr>
          <w:p w14:paraId="66AE29BF"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$10,311.77 </w:t>
            </w:r>
          </w:p>
        </w:tc>
      </w:tr>
      <w:tr w:rsidR="00C443F5" w:rsidRPr="00C443F5" w14:paraId="126AC0F4" w14:textId="77777777" w:rsidTr="00397B51">
        <w:trPr>
          <w:trHeight w:val="260"/>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6F445905"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USF Requested Amount After Gross Up</w:t>
            </w:r>
          </w:p>
        </w:tc>
        <w:tc>
          <w:tcPr>
            <w:tcW w:w="2070" w:type="dxa"/>
            <w:tcBorders>
              <w:top w:val="nil"/>
              <w:left w:val="nil"/>
              <w:bottom w:val="single" w:sz="4" w:space="0" w:color="auto"/>
              <w:right w:val="single" w:sz="4" w:space="0" w:color="auto"/>
            </w:tcBorders>
            <w:shd w:val="clear" w:color="auto" w:fill="auto"/>
            <w:vAlign w:val="center"/>
            <w:hideMark/>
          </w:tcPr>
          <w:p w14:paraId="2C17FC12"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$19,286,343.25 </w:t>
            </w:r>
          </w:p>
        </w:tc>
        <w:tc>
          <w:tcPr>
            <w:tcW w:w="1890" w:type="dxa"/>
            <w:tcBorders>
              <w:top w:val="nil"/>
              <w:left w:val="nil"/>
              <w:bottom w:val="single" w:sz="4" w:space="0" w:color="auto"/>
              <w:right w:val="single" w:sz="4" w:space="0" w:color="auto"/>
            </w:tcBorders>
            <w:shd w:val="clear" w:color="auto" w:fill="auto"/>
            <w:vAlign w:val="center"/>
            <w:hideMark/>
          </w:tcPr>
          <w:p w14:paraId="2F2DFDB4"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$2,082,025.40 </w:t>
            </w:r>
          </w:p>
        </w:tc>
      </w:tr>
    </w:tbl>
    <w:p w14:paraId="24790CF6" w14:textId="77777777" w:rsidR="00C443F5" w:rsidRPr="00C443F5" w:rsidRDefault="00C443F5" w:rsidP="00C443F5">
      <w:pPr>
        <w:contextualSpacing/>
        <w:jc w:val="both"/>
        <w:rPr>
          <w:bCs/>
        </w:rPr>
      </w:pPr>
    </w:p>
    <w:p w14:paraId="52F2F54F" w14:textId="77777777" w:rsidR="00C443F5" w:rsidRPr="00C443F5" w:rsidRDefault="00C443F5" w:rsidP="00C443F5">
      <w:pPr>
        <w:contextualSpacing/>
        <w:jc w:val="both"/>
        <w:rPr>
          <w:bCs/>
        </w:rPr>
      </w:pPr>
    </w:p>
    <w:p w14:paraId="4DB9BD87" w14:textId="77777777" w:rsidR="00C443F5" w:rsidRPr="00C443F5" w:rsidRDefault="00C443F5" w:rsidP="00C443F5">
      <w:pPr>
        <w:ind w:firstLine="720"/>
        <w:contextualSpacing/>
        <w:jc w:val="both"/>
        <w:rPr>
          <w:bCs/>
        </w:rPr>
      </w:pPr>
      <w:r w:rsidRPr="00C443F5">
        <w:rPr>
          <w:bCs/>
        </w:rPr>
        <w:t xml:space="preserve">As part of the STF-14-4 ECON-1 assessment, the McIntosh County Project </w:t>
      </w:r>
      <w:proofErr w:type="gramStart"/>
      <w:r w:rsidRPr="00C443F5">
        <w:rPr>
          <w:bCs/>
        </w:rPr>
        <w:t>fully</w:t>
      </w:r>
      <w:proofErr w:type="gramEnd"/>
      <w:r w:rsidRPr="00C443F5">
        <w:rPr>
          <w:bCs/>
        </w:rPr>
        <w:t xml:space="preserve"> qualified as an ECON-1 project, as seen in </w:t>
      </w:r>
      <w:r w:rsidRPr="00C443F5">
        <w:rPr>
          <w:b/>
          <w:bCs/>
        </w:rPr>
        <w:t>Table-13</w:t>
      </w:r>
      <w:r w:rsidRPr="00C443F5">
        <w:rPr>
          <w:bCs/>
        </w:rPr>
        <w:t xml:space="preserve"> below. It meets </w:t>
      </w:r>
      <w:proofErr w:type="gramStart"/>
      <w:r w:rsidRPr="00C443F5">
        <w:rPr>
          <w:bCs/>
        </w:rPr>
        <w:t>all of</w:t>
      </w:r>
      <w:proofErr w:type="gramEnd"/>
      <w:r w:rsidRPr="00C443F5">
        <w:rPr>
          <w:bCs/>
        </w:rPr>
        <w:t xml:space="preserve"> the ECON-1 MFR’s. The minimum capital investment required by the potential customer is </w:t>
      </w:r>
      <w:r w:rsidRPr="00C443F5">
        <w:rPr>
          <w:b/>
          <w:bCs/>
        </w:rPr>
        <w:t>$1 million</w:t>
      </w:r>
      <w:r w:rsidRPr="00C443F5">
        <w:rPr>
          <w:bCs/>
        </w:rPr>
        <w:t xml:space="preserve">, and the ECON-1 MFR’s show that there is </w:t>
      </w:r>
      <w:r w:rsidRPr="00C443F5">
        <w:rPr>
          <w:b/>
          <w:bCs/>
        </w:rPr>
        <w:t>$211 million</w:t>
      </w:r>
      <w:r w:rsidRPr="00C443F5">
        <w:rPr>
          <w:bCs/>
        </w:rPr>
        <w:t xml:space="preserve"> in planned investments. The minimum number of new jobs to be created is 10, and the MFR shows 600 jobs will be created. The minimum tax base dollar amount is </w:t>
      </w:r>
      <w:r w:rsidRPr="00C443F5">
        <w:rPr>
          <w:b/>
          <w:bCs/>
        </w:rPr>
        <w:t>$20,000</w:t>
      </w:r>
      <w:r w:rsidRPr="00C443F5">
        <w:rPr>
          <w:bCs/>
        </w:rPr>
        <w:t xml:space="preserve"> per year, and the MFR’s indicated that the annual estimated tax base will be </w:t>
      </w:r>
      <w:r w:rsidRPr="00C443F5">
        <w:rPr>
          <w:b/>
          <w:bCs/>
        </w:rPr>
        <w:t>$188</w:t>
      </w:r>
      <w:r w:rsidRPr="00C443F5">
        <w:rPr>
          <w:bCs/>
        </w:rPr>
        <w:t xml:space="preserve"> </w:t>
      </w:r>
      <w:r w:rsidRPr="00C443F5">
        <w:rPr>
          <w:b/>
          <w:bCs/>
        </w:rPr>
        <w:t>million</w:t>
      </w:r>
      <w:r w:rsidRPr="00C443F5">
        <w:rPr>
          <w:bCs/>
        </w:rPr>
        <w:t xml:space="preserve">. The minimum amount of 10 dekatherms is required, and the MFR’s showed that there will be an estimated annual 220,000 dekatherms per year. </w:t>
      </w:r>
    </w:p>
    <w:p w14:paraId="69A8B81C" w14:textId="77777777" w:rsidR="00C443F5" w:rsidRPr="00C443F5" w:rsidRDefault="00C443F5" w:rsidP="00C443F5">
      <w:pPr>
        <w:ind w:firstLine="720"/>
        <w:contextualSpacing/>
        <w:jc w:val="both"/>
        <w:rPr>
          <w:bCs/>
        </w:rPr>
      </w:pPr>
    </w:p>
    <w:p w14:paraId="08AC02BC" w14:textId="77777777" w:rsidR="00C443F5" w:rsidRPr="00C443F5" w:rsidRDefault="00C443F5" w:rsidP="00C443F5">
      <w:pPr>
        <w:ind w:firstLine="720"/>
        <w:contextualSpacing/>
        <w:jc w:val="both"/>
        <w:rPr>
          <w:bCs/>
        </w:rPr>
      </w:pPr>
      <w:r w:rsidRPr="00C443F5">
        <w:rPr>
          <w:bCs/>
        </w:rPr>
        <w:t xml:space="preserve">The Commission has the option of using the ECON-1 surcharge as the recovery mechanism for the McIntosh County Project. The maximum amount approved for recovery through the ECON-1 tariff is </w:t>
      </w:r>
      <w:r w:rsidRPr="00C443F5">
        <w:rPr>
          <w:b/>
          <w:bCs/>
        </w:rPr>
        <w:t>$25 million</w:t>
      </w:r>
      <w:r w:rsidRPr="00C443F5">
        <w:rPr>
          <w:bCs/>
        </w:rPr>
        <w:t xml:space="preserve"> a year that resets on January 1</w:t>
      </w:r>
      <w:r w:rsidRPr="00C443F5">
        <w:rPr>
          <w:bCs/>
          <w:vertAlign w:val="superscript"/>
        </w:rPr>
        <w:t>st</w:t>
      </w:r>
      <w:r w:rsidRPr="00C443F5">
        <w:rPr>
          <w:bCs/>
        </w:rPr>
        <w:t xml:space="preserve"> of each year. There is </w:t>
      </w:r>
      <w:r w:rsidRPr="00C443F5">
        <w:rPr>
          <w:b/>
          <w:bCs/>
        </w:rPr>
        <w:t>$25 million</w:t>
      </w:r>
      <w:r w:rsidRPr="00C443F5">
        <w:rPr>
          <w:bCs/>
        </w:rPr>
        <w:t xml:space="preserve"> available for 2024.</w:t>
      </w:r>
    </w:p>
    <w:p w14:paraId="49F1A3BD" w14:textId="77777777" w:rsidR="00C443F5" w:rsidRPr="00C443F5" w:rsidRDefault="00C443F5" w:rsidP="00C443F5">
      <w:pPr>
        <w:contextualSpacing/>
        <w:jc w:val="both"/>
        <w:rPr>
          <w:bCs/>
        </w:rPr>
      </w:pPr>
    </w:p>
    <w:p w14:paraId="56236166" w14:textId="77777777" w:rsidR="00C443F5" w:rsidRPr="00C443F5" w:rsidRDefault="00C443F5" w:rsidP="00C443F5">
      <w:pPr>
        <w:contextualSpacing/>
        <w:jc w:val="both"/>
        <w:rPr>
          <w:b/>
          <w:bCs/>
        </w:rPr>
      </w:pPr>
      <w:r w:rsidRPr="00C443F5">
        <w:rPr>
          <w:b/>
          <w:bCs/>
        </w:rPr>
        <w:t>Table-13: McIntosh County Project ECON-1 Assessment</w:t>
      </w:r>
    </w:p>
    <w:tbl>
      <w:tblPr>
        <w:tblW w:w="8730" w:type="dxa"/>
        <w:tblInd w:w="-5" w:type="dxa"/>
        <w:tblLook w:val="04A0" w:firstRow="1" w:lastRow="0" w:firstColumn="1" w:lastColumn="0" w:noHBand="0" w:noVBand="1"/>
      </w:tblPr>
      <w:tblGrid>
        <w:gridCol w:w="2360"/>
        <w:gridCol w:w="2920"/>
        <w:gridCol w:w="3450"/>
      </w:tblGrid>
      <w:tr w:rsidR="00C443F5" w:rsidRPr="00C443F5" w14:paraId="26A97BDE" w14:textId="77777777" w:rsidTr="00397B51">
        <w:trPr>
          <w:trHeight w:val="710"/>
        </w:trPr>
        <w:tc>
          <w:tcPr>
            <w:tcW w:w="2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5C7ACB" w14:textId="77777777" w:rsidR="00C443F5" w:rsidRPr="00C443F5" w:rsidRDefault="00C443F5" w:rsidP="00C443F5">
            <w:pPr>
              <w:spacing w:after="200"/>
              <w:rPr>
                <w:rFonts w:ascii="Arial" w:hAnsi="Arial" w:cs="Arial"/>
                <w:b/>
                <w:bCs/>
                <w:color w:val="000000"/>
                <w:sz w:val="16"/>
                <w:szCs w:val="16"/>
              </w:rPr>
            </w:pPr>
            <w:r w:rsidRPr="00C443F5">
              <w:rPr>
                <w:rFonts w:ascii="Arial" w:hAnsi="Arial" w:cs="Arial"/>
                <w:b/>
                <w:bCs/>
                <w:color w:val="000000"/>
                <w:sz w:val="16"/>
                <w:szCs w:val="16"/>
              </w:rPr>
              <w:t xml:space="preserve">ECON-1 Project </w:t>
            </w:r>
            <w:r w:rsidRPr="00C443F5">
              <w:rPr>
                <w:rFonts w:ascii="Arial" w:hAnsi="Arial" w:cs="Arial"/>
                <w:b/>
                <w:bCs/>
                <w:color w:val="000000"/>
                <w:sz w:val="16"/>
                <w:szCs w:val="16"/>
                <w:u w:val="single"/>
              </w:rPr>
              <w:t xml:space="preserve">Minimum </w:t>
            </w:r>
            <w:r w:rsidRPr="00C443F5">
              <w:rPr>
                <w:rFonts w:ascii="Arial" w:hAnsi="Arial" w:cs="Arial"/>
                <w:b/>
                <w:bCs/>
                <w:color w:val="000000"/>
                <w:sz w:val="16"/>
                <w:szCs w:val="16"/>
              </w:rPr>
              <w:t xml:space="preserve">Economic Development </w:t>
            </w:r>
            <w:r w:rsidRPr="00C443F5">
              <w:rPr>
                <w:rFonts w:ascii="Arial" w:hAnsi="Arial" w:cs="Arial"/>
                <w:b/>
                <w:bCs/>
                <w:color w:val="000000"/>
                <w:sz w:val="16"/>
                <w:szCs w:val="16"/>
                <w:u w:val="single"/>
              </w:rPr>
              <w:t>Benefit</w:t>
            </w:r>
            <w:r w:rsidRPr="00C443F5">
              <w:rPr>
                <w:rFonts w:ascii="Arial" w:hAnsi="Arial" w:cs="Arial"/>
                <w:b/>
                <w:bCs/>
                <w:color w:val="000000"/>
                <w:sz w:val="16"/>
                <w:szCs w:val="16"/>
              </w:rPr>
              <w:t xml:space="preserve"> </w:t>
            </w:r>
            <w:r w:rsidRPr="00C443F5">
              <w:rPr>
                <w:rFonts w:ascii="Arial" w:hAnsi="Arial" w:cs="Arial"/>
                <w:b/>
                <w:bCs/>
                <w:color w:val="000000"/>
                <w:sz w:val="16"/>
                <w:szCs w:val="16"/>
                <w:u w:val="single"/>
              </w:rPr>
              <w:t>Requirements</w:t>
            </w:r>
            <w:r w:rsidRPr="00C443F5">
              <w:rPr>
                <w:rFonts w:ascii="Arial" w:hAnsi="Arial" w:cs="Arial"/>
                <w:b/>
                <w:bCs/>
                <w:color w:val="000000"/>
                <w:sz w:val="16"/>
                <w:szCs w:val="16"/>
              </w:rPr>
              <w:t xml:space="preserve"> (“MBR”)</w:t>
            </w:r>
          </w:p>
        </w:tc>
        <w:tc>
          <w:tcPr>
            <w:tcW w:w="2920" w:type="dxa"/>
            <w:tcBorders>
              <w:top w:val="single" w:sz="4" w:space="0" w:color="auto"/>
              <w:left w:val="nil"/>
              <w:bottom w:val="single" w:sz="4" w:space="0" w:color="auto"/>
              <w:right w:val="single" w:sz="4" w:space="0" w:color="auto"/>
            </w:tcBorders>
            <w:shd w:val="clear" w:color="auto" w:fill="auto"/>
            <w:vAlign w:val="bottom"/>
            <w:hideMark/>
          </w:tcPr>
          <w:p w14:paraId="44DF976F"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Customer or Project ID</w:t>
            </w:r>
          </w:p>
        </w:tc>
        <w:tc>
          <w:tcPr>
            <w:tcW w:w="3450" w:type="dxa"/>
            <w:tcBorders>
              <w:top w:val="single" w:sz="4" w:space="0" w:color="auto"/>
              <w:left w:val="nil"/>
              <w:bottom w:val="single" w:sz="4" w:space="0" w:color="auto"/>
              <w:right w:val="single" w:sz="4" w:space="0" w:color="auto"/>
            </w:tcBorders>
            <w:shd w:val="clear" w:color="auto" w:fill="auto"/>
            <w:noWrap/>
            <w:vAlign w:val="bottom"/>
            <w:hideMark/>
          </w:tcPr>
          <w:p w14:paraId="50C1676C" w14:textId="77777777" w:rsidR="00C443F5" w:rsidRPr="00C443F5" w:rsidRDefault="00C443F5" w:rsidP="00C443F5">
            <w:pPr>
              <w:jc w:val="center"/>
              <w:rPr>
                <w:rFonts w:ascii="Arial" w:hAnsi="Arial" w:cs="Arial"/>
                <w:b/>
                <w:bCs/>
                <w:sz w:val="16"/>
                <w:szCs w:val="16"/>
              </w:rPr>
            </w:pPr>
            <w:r w:rsidRPr="00C443F5">
              <w:rPr>
                <w:rFonts w:ascii="Arial" w:hAnsi="Arial" w:cs="Arial"/>
                <w:b/>
                <w:bCs/>
                <w:sz w:val="16"/>
                <w:szCs w:val="16"/>
              </w:rPr>
              <w:t>Tidewaters Industrial Park</w:t>
            </w:r>
          </w:p>
        </w:tc>
      </w:tr>
      <w:tr w:rsidR="00C443F5" w:rsidRPr="00C443F5" w14:paraId="63973595" w14:textId="77777777" w:rsidTr="00397B51">
        <w:trPr>
          <w:trHeight w:val="22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4F01C120"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2920" w:type="dxa"/>
            <w:tcBorders>
              <w:top w:val="nil"/>
              <w:left w:val="nil"/>
              <w:bottom w:val="single" w:sz="4" w:space="0" w:color="auto"/>
              <w:right w:val="single" w:sz="4" w:space="0" w:color="auto"/>
            </w:tcBorders>
            <w:shd w:val="clear" w:color="auto" w:fill="auto"/>
            <w:vAlign w:val="bottom"/>
            <w:hideMark/>
          </w:tcPr>
          <w:p w14:paraId="115ABB6D"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Location</w:t>
            </w:r>
          </w:p>
        </w:tc>
        <w:tc>
          <w:tcPr>
            <w:tcW w:w="3450" w:type="dxa"/>
            <w:tcBorders>
              <w:top w:val="nil"/>
              <w:left w:val="nil"/>
              <w:bottom w:val="single" w:sz="4" w:space="0" w:color="auto"/>
              <w:right w:val="single" w:sz="4" w:space="0" w:color="auto"/>
            </w:tcBorders>
            <w:shd w:val="clear" w:color="auto" w:fill="auto"/>
            <w:noWrap/>
            <w:vAlign w:val="bottom"/>
            <w:hideMark/>
          </w:tcPr>
          <w:p w14:paraId="60D4ED0F" w14:textId="77777777" w:rsidR="00C443F5" w:rsidRPr="00C443F5" w:rsidRDefault="00C443F5" w:rsidP="00C443F5">
            <w:pPr>
              <w:jc w:val="center"/>
              <w:rPr>
                <w:rFonts w:ascii="Arial" w:hAnsi="Arial" w:cs="Arial"/>
                <w:b/>
                <w:bCs/>
                <w:sz w:val="16"/>
                <w:szCs w:val="16"/>
              </w:rPr>
            </w:pPr>
            <w:r w:rsidRPr="00C443F5">
              <w:rPr>
                <w:rFonts w:ascii="Arial" w:hAnsi="Arial" w:cs="Arial"/>
                <w:b/>
                <w:bCs/>
                <w:sz w:val="16"/>
                <w:szCs w:val="16"/>
              </w:rPr>
              <w:t>McIntosh County</w:t>
            </w:r>
          </w:p>
        </w:tc>
      </w:tr>
      <w:tr w:rsidR="00C443F5" w:rsidRPr="00C443F5" w14:paraId="45E52759" w14:textId="77777777" w:rsidTr="00397B51">
        <w:trPr>
          <w:trHeight w:val="48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3AEF8CDD"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2920" w:type="dxa"/>
            <w:tcBorders>
              <w:top w:val="nil"/>
              <w:left w:val="nil"/>
              <w:bottom w:val="single" w:sz="4" w:space="0" w:color="auto"/>
              <w:right w:val="single" w:sz="4" w:space="0" w:color="auto"/>
            </w:tcBorders>
            <w:shd w:val="clear" w:color="auto" w:fill="auto"/>
            <w:vAlign w:val="bottom"/>
            <w:hideMark/>
          </w:tcPr>
          <w:p w14:paraId="12FBDE2B"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AGL Certificated to Serve Location?</w:t>
            </w:r>
          </w:p>
        </w:tc>
        <w:tc>
          <w:tcPr>
            <w:tcW w:w="3450" w:type="dxa"/>
            <w:tcBorders>
              <w:top w:val="nil"/>
              <w:left w:val="nil"/>
              <w:bottom w:val="single" w:sz="4" w:space="0" w:color="auto"/>
              <w:right w:val="single" w:sz="4" w:space="0" w:color="auto"/>
            </w:tcBorders>
            <w:shd w:val="clear" w:color="auto" w:fill="auto"/>
            <w:vAlign w:val="bottom"/>
            <w:hideMark/>
          </w:tcPr>
          <w:p w14:paraId="6386CFF7"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Yes</w:t>
            </w:r>
          </w:p>
        </w:tc>
      </w:tr>
      <w:tr w:rsidR="00C443F5" w:rsidRPr="00C443F5" w14:paraId="44416B25" w14:textId="77777777" w:rsidTr="00397B51">
        <w:trPr>
          <w:trHeight w:val="22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3235B66"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2920" w:type="dxa"/>
            <w:tcBorders>
              <w:top w:val="nil"/>
              <w:left w:val="nil"/>
              <w:bottom w:val="single" w:sz="4" w:space="0" w:color="auto"/>
              <w:right w:val="single" w:sz="4" w:space="0" w:color="auto"/>
            </w:tcBorders>
            <w:shd w:val="clear" w:color="auto" w:fill="auto"/>
            <w:vAlign w:val="bottom"/>
            <w:hideMark/>
          </w:tcPr>
          <w:p w14:paraId="7E761844"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Availability</w:t>
            </w:r>
          </w:p>
        </w:tc>
        <w:tc>
          <w:tcPr>
            <w:tcW w:w="3450" w:type="dxa"/>
            <w:tcBorders>
              <w:top w:val="nil"/>
              <w:left w:val="nil"/>
              <w:bottom w:val="single" w:sz="4" w:space="0" w:color="auto"/>
              <w:right w:val="single" w:sz="4" w:space="0" w:color="auto"/>
            </w:tcBorders>
            <w:shd w:val="clear" w:color="auto" w:fill="auto"/>
            <w:noWrap/>
            <w:vAlign w:val="bottom"/>
            <w:hideMark/>
          </w:tcPr>
          <w:p w14:paraId="138DDC19"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New Business</w:t>
            </w:r>
          </w:p>
        </w:tc>
      </w:tr>
      <w:tr w:rsidR="00C443F5" w:rsidRPr="00C443F5" w14:paraId="01AB6070" w14:textId="77777777" w:rsidTr="00397B51">
        <w:trPr>
          <w:trHeight w:val="377"/>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CB84FE6"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2920" w:type="dxa"/>
            <w:tcBorders>
              <w:top w:val="nil"/>
              <w:left w:val="nil"/>
              <w:bottom w:val="single" w:sz="4" w:space="0" w:color="auto"/>
              <w:right w:val="single" w:sz="4" w:space="0" w:color="auto"/>
            </w:tcBorders>
            <w:shd w:val="clear" w:color="auto" w:fill="auto"/>
            <w:vAlign w:val="bottom"/>
            <w:hideMark/>
          </w:tcPr>
          <w:p w14:paraId="65DDDBC8"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Anticipated Rate Schedule</w:t>
            </w:r>
          </w:p>
        </w:tc>
        <w:tc>
          <w:tcPr>
            <w:tcW w:w="3450" w:type="dxa"/>
            <w:tcBorders>
              <w:top w:val="nil"/>
              <w:left w:val="nil"/>
              <w:bottom w:val="single" w:sz="4" w:space="0" w:color="auto"/>
              <w:right w:val="single" w:sz="4" w:space="0" w:color="auto"/>
            </w:tcBorders>
            <w:shd w:val="clear" w:color="auto" w:fill="auto"/>
            <w:noWrap/>
            <w:vAlign w:val="bottom"/>
            <w:hideMark/>
          </w:tcPr>
          <w:p w14:paraId="0B456E76"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G-11</w:t>
            </w:r>
          </w:p>
        </w:tc>
      </w:tr>
      <w:tr w:rsidR="00C443F5" w:rsidRPr="00C443F5" w14:paraId="34102AB1" w14:textId="77777777" w:rsidTr="00397B51">
        <w:trPr>
          <w:trHeight w:val="45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69F6BAD"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2920" w:type="dxa"/>
            <w:tcBorders>
              <w:top w:val="nil"/>
              <w:left w:val="nil"/>
              <w:bottom w:val="single" w:sz="4" w:space="0" w:color="auto"/>
              <w:right w:val="single" w:sz="4" w:space="0" w:color="auto"/>
            </w:tcBorders>
            <w:shd w:val="clear" w:color="auto" w:fill="auto"/>
            <w:vAlign w:val="bottom"/>
            <w:hideMark/>
          </w:tcPr>
          <w:p w14:paraId="4CF28E29"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Organization Requesting Service</w:t>
            </w:r>
          </w:p>
        </w:tc>
        <w:tc>
          <w:tcPr>
            <w:tcW w:w="3450" w:type="dxa"/>
            <w:tcBorders>
              <w:top w:val="nil"/>
              <w:left w:val="nil"/>
              <w:bottom w:val="single" w:sz="4" w:space="0" w:color="auto"/>
              <w:right w:val="single" w:sz="4" w:space="0" w:color="auto"/>
            </w:tcBorders>
            <w:shd w:val="clear" w:color="auto" w:fill="auto"/>
            <w:vAlign w:val="bottom"/>
            <w:hideMark/>
          </w:tcPr>
          <w:p w14:paraId="1044A239" w14:textId="77777777" w:rsidR="00C443F5" w:rsidRPr="00C443F5" w:rsidRDefault="00C443F5" w:rsidP="00C443F5">
            <w:pPr>
              <w:jc w:val="center"/>
              <w:rPr>
                <w:rFonts w:ascii="Arial" w:hAnsi="Arial" w:cs="Arial"/>
                <w:b/>
                <w:bCs/>
                <w:sz w:val="16"/>
                <w:szCs w:val="16"/>
              </w:rPr>
            </w:pPr>
            <w:r w:rsidRPr="00C443F5">
              <w:rPr>
                <w:rFonts w:ascii="Arial" w:hAnsi="Arial" w:cs="Arial"/>
                <w:b/>
                <w:bCs/>
                <w:sz w:val="16"/>
                <w:szCs w:val="16"/>
              </w:rPr>
              <w:t>McIntosh County Industrial Development Authority</w:t>
            </w:r>
          </w:p>
        </w:tc>
      </w:tr>
      <w:tr w:rsidR="00C443F5" w:rsidRPr="00C443F5" w14:paraId="05C2C24A" w14:textId="77777777" w:rsidTr="00397B51">
        <w:trPr>
          <w:trHeight w:val="647"/>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6B4294CD"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2920" w:type="dxa"/>
            <w:tcBorders>
              <w:top w:val="nil"/>
              <w:left w:val="nil"/>
              <w:bottom w:val="single" w:sz="4" w:space="0" w:color="auto"/>
              <w:right w:val="single" w:sz="4" w:space="0" w:color="auto"/>
            </w:tcBorders>
            <w:shd w:val="clear" w:color="auto" w:fill="auto"/>
            <w:vAlign w:val="bottom"/>
            <w:hideMark/>
          </w:tcPr>
          <w:p w14:paraId="745367C4"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Customer Name</w:t>
            </w:r>
          </w:p>
        </w:tc>
        <w:tc>
          <w:tcPr>
            <w:tcW w:w="3450" w:type="dxa"/>
            <w:tcBorders>
              <w:top w:val="nil"/>
              <w:left w:val="nil"/>
              <w:bottom w:val="single" w:sz="4" w:space="0" w:color="auto"/>
              <w:right w:val="single" w:sz="4" w:space="0" w:color="auto"/>
            </w:tcBorders>
            <w:shd w:val="clear" w:color="auto" w:fill="auto"/>
            <w:vAlign w:val="bottom"/>
            <w:hideMark/>
          </w:tcPr>
          <w:p w14:paraId="3EC0CE9A"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xml:space="preserve">Jones Petroleum, Ye's Food Processing </w:t>
            </w:r>
            <w:proofErr w:type="spellStart"/>
            <w:r w:rsidRPr="00C443F5">
              <w:rPr>
                <w:rFonts w:ascii="Arial" w:hAnsi="Arial" w:cs="Arial"/>
                <w:b/>
                <w:bCs/>
                <w:sz w:val="16"/>
                <w:szCs w:val="16"/>
              </w:rPr>
              <w:t>Condyne</w:t>
            </w:r>
            <w:proofErr w:type="spellEnd"/>
            <w:r w:rsidRPr="00C443F5">
              <w:rPr>
                <w:rFonts w:ascii="Arial" w:hAnsi="Arial" w:cs="Arial"/>
                <w:b/>
                <w:bCs/>
                <w:sz w:val="16"/>
                <w:szCs w:val="16"/>
              </w:rPr>
              <w:t xml:space="preserve"> Capital/Boca, JB Harris Transport, Conor Commercial</w:t>
            </w:r>
          </w:p>
        </w:tc>
      </w:tr>
      <w:tr w:rsidR="00C443F5" w:rsidRPr="00C443F5" w14:paraId="622B316A" w14:textId="77777777" w:rsidTr="00397B51">
        <w:trPr>
          <w:trHeight w:val="953"/>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1BA44A48"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Tariff Sheet 27(3)(c)(</w:t>
            </w:r>
            <w:proofErr w:type="spellStart"/>
            <w:r w:rsidRPr="00C443F5">
              <w:rPr>
                <w:rFonts w:ascii="Arial" w:hAnsi="Arial" w:cs="Arial"/>
                <w:b/>
                <w:bCs/>
                <w:sz w:val="16"/>
                <w:szCs w:val="16"/>
              </w:rPr>
              <w:t>i</w:t>
            </w:r>
            <w:proofErr w:type="spellEnd"/>
            <w:r w:rsidRPr="00C443F5">
              <w:rPr>
                <w:rFonts w:ascii="Arial" w:hAnsi="Arial" w:cs="Arial"/>
                <w:b/>
                <w:bCs/>
                <w:sz w:val="16"/>
                <w:szCs w:val="16"/>
              </w:rPr>
              <w:t>): MBR-1</w:t>
            </w:r>
          </w:p>
        </w:tc>
        <w:tc>
          <w:tcPr>
            <w:tcW w:w="2920" w:type="dxa"/>
            <w:tcBorders>
              <w:top w:val="nil"/>
              <w:left w:val="nil"/>
              <w:bottom w:val="single" w:sz="4" w:space="0" w:color="auto"/>
              <w:right w:val="single" w:sz="4" w:space="0" w:color="auto"/>
            </w:tcBorders>
            <w:shd w:val="clear" w:color="auto" w:fill="auto"/>
            <w:vAlign w:val="bottom"/>
            <w:hideMark/>
          </w:tcPr>
          <w:p w14:paraId="08C264E1"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 xml:space="preserve">Capital investment, other than by the Company, </w:t>
            </w:r>
            <w:proofErr w:type="gramStart"/>
            <w:r w:rsidRPr="00C443F5">
              <w:rPr>
                <w:rFonts w:ascii="Arial" w:hAnsi="Arial" w:cs="Arial"/>
                <w:b/>
                <w:bCs/>
                <w:color w:val="000000"/>
                <w:sz w:val="16"/>
                <w:szCs w:val="16"/>
              </w:rPr>
              <w:t>in excess of</w:t>
            </w:r>
            <w:proofErr w:type="gramEnd"/>
            <w:r w:rsidRPr="00C443F5">
              <w:rPr>
                <w:rFonts w:ascii="Arial" w:hAnsi="Arial" w:cs="Arial"/>
                <w:b/>
                <w:bCs/>
                <w:color w:val="000000"/>
                <w:sz w:val="16"/>
                <w:szCs w:val="16"/>
              </w:rPr>
              <w:t xml:space="preserve"> $1 million in new facilities or expansion of existing facilities with a purchase of new equipment; and </w:t>
            </w:r>
          </w:p>
        </w:tc>
        <w:tc>
          <w:tcPr>
            <w:tcW w:w="3450" w:type="dxa"/>
            <w:tcBorders>
              <w:top w:val="nil"/>
              <w:left w:val="nil"/>
              <w:bottom w:val="single" w:sz="4" w:space="0" w:color="auto"/>
              <w:right w:val="single" w:sz="4" w:space="0" w:color="auto"/>
            </w:tcBorders>
            <w:shd w:val="clear" w:color="auto" w:fill="auto"/>
            <w:noWrap/>
            <w:vAlign w:val="bottom"/>
            <w:hideMark/>
          </w:tcPr>
          <w:p w14:paraId="24A4D279"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xml:space="preserve">$211,000,000.00 </w:t>
            </w:r>
          </w:p>
        </w:tc>
      </w:tr>
      <w:tr w:rsidR="00C443F5" w:rsidRPr="00C443F5" w14:paraId="635889E0" w14:textId="77777777" w:rsidTr="00397B51">
        <w:trPr>
          <w:trHeight w:val="22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2E1397F6"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2920" w:type="dxa"/>
            <w:tcBorders>
              <w:top w:val="nil"/>
              <w:left w:val="nil"/>
              <w:bottom w:val="single" w:sz="4" w:space="0" w:color="auto"/>
              <w:right w:val="single" w:sz="4" w:space="0" w:color="auto"/>
            </w:tcBorders>
            <w:shd w:val="clear" w:color="auto" w:fill="auto"/>
            <w:vAlign w:val="bottom"/>
            <w:hideMark/>
          </w:tcPr>
          <w:p w14:paraId="40B973C9"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Estimated Meters Addition</w:t>
            </w:r>
          </w:p>
        </w:tc>
        <w:tc>
          <w:tcPr>
            <w:tcW w:w="3450" w:type="dxa"/>
            <w:tcBorders>
              <w:top w:val="nil"/>
              <w:left w:val="nil"/>
              <w:bottom w:val="single" w:sz="4" w:space="0" w:color="auto"/>
              <w:right w:val="single" w:sz="4" w:space="0" w:color="auto"/>
            </w:tcBorders>
            <w:shd w:val="clear" w:color="auto" w:fill="auto"/>
            <w:noWrap/>
            <w:vAlign w:val="bottom"/>
            <w:hideMark/>
          </w:tcPr>
          <w:p w14:paraId="259BC16F"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xml:space="preserve">5 </w:t>
            </w:r>
          </w:p>
        </w:tc>
      </w:tr>
      <w:tr w:rsidR="00C443F5" w:rsidRPr="00C443F5" w14:paraId="435DA0B6" w14:textId="77777777" w:rsidTr="00397B51">
        <w:trPr>
          <w:trHeight w:val="323"/>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56AE4C50"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lastRenderedPageBreak/>
              <w:t> </w:t>
            </w:r>
          </w:p>
        </w:tc>
        <w:tc>
          <w:tcPr>
            <w:tcW w:w="2920" w:type="dxa"/>
            <w:tcBorders>
              <w:top w:val="nil"/>
              <w:left w:val="nil"/>
              <w:bottom w:val="single" w:sz="4" w:space="0" w:color="auto"/>
              <w:right w:val="single" w:sz="4" w:space="0" w:color="auto"/>
            </w:tcBorders>
            <w:shd w:val="clear" w:color="auto" w:fill="auto"/>
            <w:vAlign w:val="bottom"/>
            <w:hideMark/>
          </w:tcPr>
          <w:p w14:paraId="77B26F27"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Estimated Billing Units Addition</w:t>
            </w:r>
          </w:p>
        </w:tc>
        <w:tc>
          <w:tcPr>
            <w:tcW w:w="3450" w:type="dxa"/>
            <w:tcBorders>
              <w:top w:val="nil"/>
              <w:left w:val="nil"/>
              <w:bottom w:val="single" w:sz="4" w:space="0" w:color="auto"/>
              <w:right w:val="single" w:sz="4" w:space="0" w:color="auto"/>
            </w:tcBorders>
            <w:shd w:val="clear" w:color="auto" w:fill="auto"/>
            <w:noWrap/>
            <w:vAlign w:val="bottom"/>
            <w:hideMark/>
          </w:tcPr>
          <w:p w14:paraId="135F200F"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xml:space="preserve">5 </w:t>
            </w:r>
          </w:p>
        </w:tc>
      </w:tr>
      <w:tr w:rsidR="00C443F5" w:rsidRPr="00C443F5" w14:paraId="159448F4" w14:textId="77777777" w:rsidTr="00397B51">
        <w:trPr>
          <w:trHeight w:val="78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9EB47F8"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Tariff Sheet 27(3)(c)(ii): MBR-2</w:t>
            </w:r>
          </w:p>
        </w:tc>
        <w:tc>
          <w:tcPr>
            <w:tcW w:w="2920" w:type="dxa"/>
            <w:tcBorders>
              <w:top w:val="nil"/>
              <w:left w:val="nil"/>
              <w:bottom w:val="single" w:sz="4" w:space="0" w:color="auto"/>
              <w:right w:val="single" w:sz="4" w:space="0" w:color="auto"/>
            </w:tcBorders>
            <w:shd w:val="clear" w:color="auto" w:fill="auto"/>
            <w:vAlign w:val="center"/>
            <w:hideMark/>
          </w:tcPr>
          <w:p w14:paraId="5234FDD6"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 xml:space="preserve">Add a net of at least 10 new jobs within six months of taking gas service; and </w:t>
            </w:r>
          </w:p>
        </w:tc>
        <w:tc>
          <w:tcPr>
            <w:tcW w:w="3450" w:type="dxa"/>
            <w:tcBorders>
              <w:top w:val="nil"/>
              <w:left w:val="nil"/>
              <w:bottom w:val="single" w:sz="4" w:space="0" w:color="auto"/>
              <w:right w:val="single" w:sz="4" w:space="0" w:color="auto"/>
            </w:tcBorders>
            <w:shd w:val="clear" w:color="auto" w:fill="auto"/>
            <w:noWrap/>
            <w:vAlign w:val="bottom"/>
            <w:hideMark/>
          </w:tcPr>
          <w:p w14:paraId="55FAE79D"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xml:space="preserve">600 </w:t>
            </w:r>
          </w:p>
        </w:tc>
      </w:tr>
      <w:tr w:rsidR="00C443F5" w:rsidRPr="00C443F5" w14:paraId="527250FF" w14:textId="77777777" w:rsidTr="00397B51">
        <w:trPr>
          <w:trHeight w:val="827"/>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74BF8716"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Tariff Sheet 27(3(c)(iii): MBR-3</w:t>
            </w:r>
          </w:p>
        </w:tc>
        <w:tc>
          <w:tcPr>
            <w:tcW w:w="2920" w:type="dxa"/>
            <w:tcBorders>
              <w:top w:val="nil"/>
              <w:left w:val="nil"/>
              <w:bottom w:val="single" w:sz="4" w:space="0" w:color="auto"/>
              <w:right w:val="single" w:sz="4" w:space="0" w:color="auto"/>
            </w:tcBorders>
            <w:shd w:val="clear" w:color="auto" w:fill="auto"/>
            <w:vAlign w:val="bottom"/>
            <w:hideMark/>
          </w:tcPr>
          <w:p w14:paraId="72AE5E03"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 xml:space="preserve">Subject to the circumstances at the time of the application, reasonably anticipates an increased tax base by at least $20,000 per year; and </w:t>
            </w:r>
          </w:p>
        </w:tc>
        <w:tc>
          <w:tcPr>
            <w:tcW w:w="3450" w:type="dxa"/>
            <w:tcBorders>
              <w:top w:val="nil"/>
              <w:left w:val="nil"/>
              <w:bottom w:val="single" w:sz="4" w:space="0" w:color="auto"/>
              <w:right w:val="single" w:sz="4" w:space="0" w:color="auto"/>
            </w:tcBorders>
            <w:shd w:val="clear" w:color="auto" w:fill="auto"/>
            <w:noWrap/>
            <w:vAlign w:val="bottom"/>
            <w:hideMark/>
          </w:tcPr>
          <w:p w14:paraId="26597F38"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xml:space="preserve">$188,000,000 </w:t>
            </w:r>
          </w:p>
        </w:tc>
      </w:tr>
      <w:tr w:rsidR="00C443F5" w:rsidRPr="00C443F5" w14:paraId="0279D75F" w14:textId="77777777" w:rsidTr="00397B51">
        <w:trPr>
          <w:trHeight w:val="530"/>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14:paraId="069A35AF"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Tariff Sheet 27(3)(c)(iv): MBR-4</w:t>
            </w:r>
          </w:p>
        </w:tc>
        <w:tc>
          <w:tcPr>
            <w:tcW w:w="2920" w:type="dxa"/>
            <w:tcBorders>
              <w:top w:val="nil"/>
              <w:left w:val="nil"/>
              <w:bottom w:val="single" w:sz="4" w:space="0" w:color="auto"/>
              <w:right w:val="single" w:sz="4" w:space="0" w:color="auto"/>
            </w:tcBorders>
            <w:shd w:val="clear" w:color="auto" w:fill="auto"/>
            <w:vAlign w:val="bottom"/>
            <w:hideMark/>
          </w:tcPr>
          <w:p w14:paraId="650A3564"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 xml:space="preserve">Add connected load on a Firm basis of 10 dekatherms a year. </w:t>
            </w:r>
          </w:p>
        </w:tc>
        <w:tc>
          <w:tcPr>
            <w:tcW w:w="3450" w:type="dxa"/>
            <w:tcBorders>
              <w:top w:val="nil"/>
              <w:left w:val="nil"/>
              <w:bottom w:val="single" w:sz="4" w:space="0" w:color="auto"/>
              <w:right w:val="single" w:sz="4" w:space="0" w:color="auto"/>
            </w:tcBorders>
            <w:shd w:val="clear" w:color="auto" w:fill="auto"/>
            <w:noWrap/>
            <w:vAlign w:val="bottom"/>
            <w:hideMark/>
          </w:tcPr>
          <w:p w14:paraId="53AF2DB8"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xml:space="preserve">220,000 </w:t>
            </w:r>
          </w:p>
        </w:tc>
      </w:tr>
    </w:tbl>
    <w:p w14:paraId="1747FDBA" w14:textId="77777777" w:rsidR="00C443F5" w:rsidRPr="00C443F5" w:rsidRDefault="00C443F5" w:rsidP="00C443F5">
      <w:pPr>
        <w:ind w:firstLine="720"/>
        <w:contextualSpacing/>
        <w:jc w:val="both"/>
        <w:rPr>
          <w:bCs/>
        </w:rPr>
      </w:pPr>
    </w:p>
    <w:p w14:paraId="3FDD947A" w14:textId="77777777" w:rsidR="00C443F5" w:rsidRPr="00C443F5" w:rsidRDefault="00C443F5" w:rsidP="00C443F5">
      <w:pPr>
        <w:ind w:firstLine="720"/>
        <w:contextualSpacing/>
        <w:jc w:val="both"/>
        <w:rPr>
          <w:bCs/>
        </w:rPr>
      </w:pPr>
    </w:p>
    <w:p w14:paraId="3295D6E0" w14:textId="77777777" w:rsidR="00C443F5" w:rsidRPr="00C443F5" w:rsidRDefault="00C443F5" w:rsidP="00C443F5">
      <w:pPr>
        <w:spacing w:after="200"/>
        <w:ind w:firstLine="720"/>
        <w:contextualSpacing/>
        <w:rPr>
          <w:snapToGrid w:val="0"/>
        </w:rPr>
      </w:pPr>
      <w:r w:rsidRPr="00C443F5">
        <w:rPr>
          <w:snapToGrid w:val="0"/>
        </w:rPr>
        <w:t xml:space="preserve">On October 1, 2023, AGL filed its 2024 USF Plan. In the Staff’s review of the filing, inconsistencies were found regarding the Athens/Clarke project. MFR 1, 6, and 7 stated the following pipe installations for the project, as seen in </w:t>
      </w:r>
      <w:r w:rsidRPr="00C443F5">
        <w:rPr>
          <w:b/>
          <w:snapToGrid w:val="0"/>
        </w:rPr>
        <w:t>Table-14</w:t>
      </w:r>
      <w:r w:rsidRPr="00C443F5">
        <w:rPr>
          <w:snapToGrid w:val="0"/>
        </w:rPr>
        <w:t xml:space="preserve"> below.</w:t>
      </w:r>
    </w:p>
    <w:p w14:paraId="39611EF3" w14:textId="77777777" w:rsidR="00C443F5" w:rsidRPr="00C443F5" w:rsidRDefault="00C443F5" w:rsidP="00C443F5">
      <w:pPr>
        <w:spacing w:after="200"/>
        <w:contextualSpacing/>
        <w:rPr>
          <w:snapToGrid w:val="0"/>
        </w:rPr>
      </w:pPr>
    </w:p>
    <w:p w14:paraId="5DED265E" w14:textId="77777777" w:rsidR="00C443F5" w:rsidRPr="00C443F5" w:rsidRDefault="00C443F5" w:rsidP="00C443F5">
      <w:pPr>
        <w:spacing w:after="200"/>
        <w:contextualSpacing/>
        <w:rPr>
          <w:b/>
          <w:snapToGrid w:val="0"/>
        </w:rPr>
      </w:pPr>
      <w:r w:rsidRPr="00C443F5">
        <w:rPr>
          <w:b/>
          <w:snapToGrid w:val="0"/>
        </w:rPr>
        <w:t>Table-14: 10-1-2023 Petition</w:t>
      </w:r>
    </w:p>
    <w:tbl>
      <w:tblPr>
        <w:tblStyle w:val="TableGrid"/>
        <w:tblW w:w="0" w:type="auto"/>
        <w:tblLook w:val="04A0" w:firstRow="1" w:lastRow="0" w:firstColumn="1" w:lastColumn="0" w:noHBand="0" w:noVBand="1"/>
      </w:tblPr>
      <w:tblGrid>
        <w:gridCol w:w="2515"/>
        <w:gridCol w:w="3060"/>
      </w:tblGrid>
      <w:tr w:rsidR="00C443F5" w:rsidRPr="00C443F5" w14:paraId="6E88D41F" w14:textId="77777777" w:rsidTr="00397B51">
        <w:tc>
          <w:tcPr>
            <w:tcW w:w="2515" w:type="dxa"/>
          </w:tcPr>
          <w:p w14:paraId="6DE5D909" w14:textId="77777777" w:rsidR="00C443F5" w:rsidRPr="00C443F5" w:rsidRDefault="00C443F5" w:rsidP="00C443F5">
            <w:pPr>
              <w:contextualSpacing/>
              <w:rPr>
                <w:rFonts w:eastAsiaTheme="minorHAnsi"/>
                <w:sz w:val="20"/>
                <w:szCs w:val="20"/>
              </w:rPr>
            </w:pPr>
            <w:r w:rsidRPr="00C443F5">
              <w:rPr>
                <w:rFonts w:eastAsiaTheme="minorHAnsi"/>
                <w:sz w:val="20"/>
                <w:szCs w:val="20"/>
              </w:rPr>
              <w:t>MFR 1</w:t>
            </w:r>
          </w:p>
        </w:tc>
        <w:tc>
          <w:tcPr>
            <w:tcW w:w="3060" w:type="dxa"/>
          </w:tcPr>
          <w:p w14:paraId="25C415E6"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5,685’ x 4” plastic</w:t>
            </w:r>
          </w:p>
        </w:tc>
      </w:tr>
      <w:tr w:rsidR="00C443F5" w:rsidRPr="00C443F5" w14:paraId="4D0F0D65" w14:textId="77777777" w:rsidTr="00397B51">
        <w:tc>
          <w:tcPr>
            <w:tcW w:w="2515" w:type="dxa"/>
          </w:tcPr>
          <w:p w14:paraId="123E929D" w14:textId="77777777" w:rsidR="00C443F5" w:rsidRPr="00C443F5" w:rsidRDefault="00C443F5" w:rsidP="00C443F5">
            <w:pPr>
              <w:contextualSpacing/>
              <w:rPr>
                <w:rFonts w:eastAsiaTheme="minorHAnsi"/>
                <w:sz w:val="20"/>
                <w:szCs w:val="20"/>
              </w:rPr>
            </w:pPr>
            <w:r w:rsidRPr="00C443F5">
              <w:rPr>
                <w:rFonts w:eastAsiaTheme="minorHAnsi"/>
                <w:sz w:val="20"/>
                <w:szCs w:val="20"/>
              </w:rPr>
              <w:t>MFR 6</w:t>
            </w:r>
          </w:p>
        </w:tc>
        <w:tc>
          <w:tcPr>
            <w:tcW w:w="3060" w:type="dxa"/>
          </w:tcPr>
          <w:p w14:paraId="058B5380"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2,050’ x 4” plastic</w:t>
            </w:r>
          </w:p>
        </w:tc>
      </w:tr>
      <w:tr w:rsidR="00C443F5" w:rsidRPr="00C443F5" w14:paraId="77203471" w14:textId="77777777" w:rsidTr="00397B51">
        <w:tc>
          <w:tcPr>
            <w:tcW w:w="2515" w:type="dxa"/>
            <w:vMerge w:val="restart"/>
          </w:tcPr>
          <w:p w14:paraId="5581C8DC" w14:textId="77777777" w:rsidR="00C443F5" w:rsidRPr="00C443F5" w:rsidRDefault="00C443F5" w:rsidP="00C443F5">
            <w:pPr>
              <w:contextualSpacing/>
              <w:rPr>
                <w:rFonts w:eastAsiaTheme="minorHAnsi"/>
                <w:sz w:val="20"/>
                <w:szCs w:val="20"/>
              </w:rPr>
            </w:pPr>
            <w:r w:rsidRPr="00C443F5">
              <w:rPr>
                <w:rFonts w:eastAsiaTheme="minorHAnsi"/>
                <w:sz w:val="20"/>
                <w:szCs w:val="20"/>
              </w:rPr>
              <w:t>MFR 7</w:t>
            </w:r>
          </w:p>
        </w:tc>
        <w:tc>
          <w:tcPr>
            <w:tcW w:w="3060" w:type="dxa"/>
          </w:tcPr>
          <w:p w14:paraId="6F0392B6"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5,635’ x 4” plastic</w:t>
            </w:r>
          </w:p>
        </w:tc>
      </w:tr>
      <w:tr w:rsidR="00C443F5" w:rsidRPr="00C443F5" w14:paraId="17899B89" w14:textId="77777777" w:rsidTr="00397B51">
        <w:tc>
          <w:tcPr>
            <w:tcW w:w="2515" w:type="dxa"/>
            <w:vMerge/>
          </w:tcPr>
          <w:p w14:paraId="2988DBA6" w14:textId="77777777" w:rsidR="00C443F5" w:rsidRPr="00C443F5" w:rsidRDefault="00C443F5" w:rsidP="00C443F5">
            <w:pPr>
              <w:contextualSpacing/>
              <w:rPr>
                <w:rFonts w:eastAsiaTheme="minorHAnsi"/>
                <w:sz w:val="20"/>
                <w:szCs w:val="20"/>
              </w:rPr>
            </w:pPr>
          </w:p>
        </w:tc>
        <w:tc>
          <w:tcPr>
            <w:tcW w:w="3060" w:type="dxa"/>
          </w:tcPr>
          <w:p w14:paraId="025F27E1"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525’ x 4” steel</w:t>
            </w:r>
          </w:p>
        </w:tc>
      </w:tr>
      <w:tr w:rsidR="00C443F5" w:rsidRPr="00C443F5" w14:paraId="1A29D95F" w14:textId="77777777" w:rsidTr="00397B51">
        <w:tc>
          <w:tcPr>
            <w:tcW w:w="2515" w:type="dxa"/>
            <w:vMerge/>
          </w:tcPr>
          <w:p w14:paraId="1520A47A" w14:textId="77777777" w:rsidR="00C443F5" w:rsidRPr="00C443F5" w:rsidRDefault="00C443F5" w:rsidP="00C443F5">
            <w:pPr>
              <w:contextualSpacing/>
              <w:rPr>
                <w:rFonts w:eastAsiaTheme="minorHAnsi"/>
                <w:sz w:val="20"/>
                <w:szCs w:val="20"/>
              </w:rPr>
            </w:pPr>
          </w:p>
        </w:tc>
        <w:tc>
          <w:tcPr>
            <w:tcW w:w="3060" w:type="dxa"/>
          </w:tcPr>
          <w:p w14:paraId="20528E4D"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25’ x 1.25” steel</w:t>
            </w:r>
          </w:p>
        </w:tc>
      </w:tr>
      <w:tr w:rsidR="00C443F5" w:rsidRPr="00C443F5" w14:paraId="3685F4DE" w14:textId="77777777" w:rsidTr="00397B51">
        <w:tc>
          <w:tcPr>
            <w:tcW w:w="2515" w:type="dxa"/>
            <w:vMerge/>
          </w:tcPr>
          <w:p w14:paraId="5284CA3B" w14:textId="77777777" w:rsidR="00C443F5" w:rsidRPr="00C443F5" w:rsidRDefault="00C443F5" w:rsidP="00C443F5">
            <w:pPr>
              <w:contextualSpacing/>
              <w:rPr>
                <w:rFonts w:eastAsiaTheme="minorHAnsi"/>
                <w:sz w:val="20"/>
                <w:szCs w:val="20"/>
              </w:rPr>
            </w:pPr>
          </w:p>
        </w:tc>
        <w:tc>
          <w:tcPr>
            <w:tcW w:w="3060" w:type="dxa"/>
          </w:tcPr>
          <w:p w14:paraId="4B4F2687"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360’ x 1.25” plastic</w:t>
            </w:r>
          </w:p>
        </w:tc>
      </w:tr>
    </w:tbl>
    <w:p w14:paraId="4C0FAABC" w14:textId="77777777" w:rsidR="00C443F5" w:rsidRPr="00C443F5" w:rsidRDefault="00C443F5" w:rsidP="00C443F5">
      <w:pPr>
        <w:spacing w:after="200"/>
        <w:contextualSpacing/>
        <w:rPr>
          <w:snapToGrid w:val="0"/>
        </w:rPr>
      </w:pPr>
    </w:p>
    <w:p w14:paraId="1015D015" w14:textId="77777777" w:rsidR="00C443F5" w:rsidRPr="00C443F5" w:rsidRDefault="00C443F5" w:rsidP="00C443F5">
      <w:pPr>
        <w:spacing w:after="200"/>
        <w:contextualSpacing/>
        <w:rPr>
          <w:snapToGrid w:val="0"/>
        </w:rPr>
      </w:pPr>
    </w:p>
    <w:p w14:paraId="2FDC6AAE" w14:textId="77777777" w:rsidR="00C443F5" w:rsidRPr="00C443F5" w:rsidRDefault="00C443F5" w:rsidP="00C443F5">
      <w:pPr>
        <w:spacing w:after="200"/>
        <w:ind w:firstLine="720"/>
        <w:contextualSpacing/>
        <w:rPr>
          <w:snapToGrid w:val="0"/>
        </w:rPr>
      </w:pPr>
      <w:r w:rsidRPr="00C443F5">
        <w:rPr>
          <w:snapToGrid w:val="0"/>
        </w:rPr>
        <w:t>On October 6, 2023, AGL made an amended filing to the plan. Within this filing, MFR 1, 6, and 7 remained the same. Following the 14</w:t>
      </w:r>
      <w:r w:rsidRPr="00C443F5">
        <w:rPr>
          <w:snapToGrid w:val="0"/>
          <w:vertAlign w:val="superscript"/>
        </w:rPr>
        <w:t>th</w:t>
      </w:r>
      <w:r w:rsidRPr="00C443F5">
        <w:rPr>
          <w:snapToGrid w:val="0"/>
        </w:rPr>
        <w:t xml:space="preserve"> set of DRs being issued to the company, AGL filed responses on November 3, 2023. In their responses, the company amended MFR 1 and 7. The MFRs contained the following pipe installations for Athens/Clarke as provided in </w:t>
      </w:r>
      <w:r w:rsidRPr="00C443F5">
        <w:rPr>
          <w:b/>
          <w:snapToGrid w:val="0"/>
        </w:rPr>
        <w:t>Table-15</w:t>
      </w:r>
      <w:r w:rsidRPr="00C443F5">
        <w:rPr>
          <w:snapToGrid w:val="0"/>
        </w:rPr>
        <w:t xml:space="preserve"> below:</w:t>
      </w:r>
    </w:p>
    <w:p w14:paraId="35F55FC4" w14:textId="77777777" w:rsidR="00C443F5" w:rsidRPr="00C443F5" w:rsidRDefault="00C443F5" w:rsidP="00C443F5">
      <w:pPr>
        <w:spacing w:after="200"/>
        <w:contextualSpacing/>
        <w:rPr>
          <w:snapToGrid w:val="0"/>
        </w:rPr>
      </w:pPr>
    </w:p>
    <w:p w14:paraId="2167B1C7" w14:textId="77777777" w:rsidR="00C443F5" w:rsidRPr="00C443F5" w:rsidRDefault="00C443F5" w:rsidP="00C443F5">
      <w:pPr>
        <w:spacing w:after="200"/>
        <w:contextualSpacing/>
        <w:rPr>
          <w:b/>
          <w:snapToGrid w:val="0"/>
        </w:rPr>
      </w:pPr>
      <w:r w:rsidRPr="00C443F5">
        <w:rPr>
          <w:b/>
          <w:snapToGrid w:val="0"/>
        </w:rPr>
        <w:t>Table-15: 11-3-2023 Responses</w:t>
      </w:r>
    </w:p>
    <w:tbl>
      <w:tblPr>
        <w:tblStyle w:val="TableGrid"/>
        <w:tblW w:w="0" w:type="auto"/>
        <w:tblLook w:val="04A0" w:firstRow="1" w:lastRow="0" w:firstColumn="1" w:lastColumn="0" w:noHBand="0" w:noVBand="1"/>
      </w:tblPr>
      <w:tblGrid>
        <w:gridCol w:w="2515"/>
        <w:gridCol w:w="3060"/>
      </w:tblGrid>
      <w:tr w:rsidR="00C443F5" w:rsidRPr="00C443F5" w14:paraId="45569409" w14:textId="77777777" w:rsidTr="00397B51">
        <w:tc>
          <w:tcPr>
            <w:tcW w:w="2515" w:type="dxa"/>
            <w:vMerge w:val="restart"/>
          </w:tcPr>
          <w:p w14:paraId="221BF563" w14:textId="77777777" w:rsidR="00C443F5" w:rsidRPr="00C443F5" w:rsidRDefault="00C443F5" w:rsidP="00C443F5">
            <w:pPr>
              <w:contextualSpacing/>
              <w:rPr>
                <w:rFonts w:eastAsiaTheme="minorHAnsi"/>
                <w:sz w:val="20"/>
                <w:szCs w:val="20"/>
              </w:rPr>
            </w:pPr>
            <w:r w:rsidRPr="00C443F5">
              <w:rPr>
                <w:rFonts w:eastAsiaTheme="minorHAnsi"/>
                <w:sz w:val="20"/>
                <w:szCs w:val="20"/>
              </w:rPr>
              <w:t>MFR 1</w:t>
            </w:r>
          </w:p>
        </w:tc>
        <w:tc>
          <w:tcPr>
            <w:tcW w:w="3060" w:type="dxa"/>
          </w:tcPr>
          <w:p w14:paraId="25A1A57E" w14:textId="77777777" w:rsidR="00C443F5" w:rsidRPr="00C443F5" w:rsidRDefault="00C443F5" w:rsidP="00C443F5">
            <w:pPr>
              <w:contextualSpacing/>
              <w:jc w:val="both"/>
              <w:rPr>
                <w:rFonts w:eastAsiaTheme="minorHAnsi"/>
                <w:sz w:val="20"/>
                <w:szCs w:val="20"/>
              </w:rPr>
            </w:pPr>
            <w:r w:rsidRPr="00C443F5">
              <w:rPr>
                <w:rFonts w:eastAsiaTheme="minorHAnsi"/>
                <w:sz w:val="20"/>
                <w:szCs w:val="20"/>
              </w:rPr>
              <w:t>5,635’ x 4” plastic</w:t>
            </w:r>
          </w:p>
        </w:tc>
      </w:tr>
      <w:tr w:rsidR="00C443F5" w:rsidRPr="00C443F5" w14:paraId="4F598029" w14:textId="77777777" w:rsidTr="00397B51">
        <w:tc>
          <w:tcPr>
            <w:tcW w:w="2515" w:type="dxa"/>
            <w:vMerge/>
          </w:tcPr>
          <w:p w14:paraId="2579FF21" w14:textId="77777777" w:rsidR="00C443F5" w:rsidRPr="00C443F5" w:rsidRDefault="00C443F5" w:rsidP="00C443F5">
            <w:pPr>
              <w:contextualSpacing/>
              <w:rPr>
                <w:rFonts w:eastAsiaTheme="minorHAnsi"/>
                <w:sz w:val="20"/>
                <w:szCs w:val="20"/>
              </w:rPr>
            </w:pPr>
          </w:p>
        </w:tc>
        <w:tc>
          <w:tcPr>
            <w:tcW w:w="3060" w:type="dxa"/>
          </w:tcPr>
          <w:p w14:paraId="543D5101" w14:textId="77777777" w:rsidR="00C443F5" w:rsidRPr="00C443F5" w:rsidRDefault="00C443F5" w:rsidP="00C443F5">
            <w:pPr>
              <w:contextualSpacing/>
              <w:jc w:val="both"/>
              <w:rPr>
                <w:rFonts w:eastAsiaTheme="minorHAnsi"/>
                <w:sz w:val="20"/>
                <w:szCs w:val="20"/>
              </w:rPr>
            </w:pPr>
            <w:r w:rsidRPr="00C443F5">
              <w:rPr>
                <w:rFonts w:eastAsiaTheme="minorHAnsi"/>
                <w:sz w:val="20"/>
                <w:szCs w:val="20"/>
              </w:rPr>
              <w:t>525’ x 4” steel</w:t>
            </w:r>
          </w:p>
        </w:tc>
      </w:tr>
      <w:tr w:rsidR="00C443F5" w:rsidRPr="00C443F5" w14:paraId="748440EA" w14:textId="77777777" w:rsidTr="00397B51">
        <w:tc>
          <w:tcPr>
            <w:tcW w:w="2515" w:type="dxa"/>
            <w:vMerge w:val="restart"/>
          </w:tcPr>
          <w:p w14:paraId="379674D8" w14:textId="77777777" w:rsidR="00C443F5" w:rsidRPr="00C443F5" w:rsidRDefault="00C443F5" w:rsidP="00C443F5">
            <w:pPr>
              <w:contextualSpacing/>
              <w:rPr>
                <w:rFonts w:eastAsiaTheme="minorHAnsi"/>
                <w:sz w:val="20"/>
                <w:szCs w:val="20"/>
              </w:rPr>
            </w:pPr>
            <w:r w:rsidRPr="00C443F5">
              <w:rPr>
                <w:rFonts w:eastAsiaTheme="minorHAnsi"/>
                <w:sz w:val="20"/>
                <w:szCs w:val="20"/>
              </w:rPr>
              <w:t>MFR 7</w:t>
            </w:r>
          </w:p>
        </w:tc>
        <w:tc>
          <w:tcPr>
            <w:tcW w:w="3060" w:type="dxa"/>
          </w:tcPr>
          <w:p w14:paraId="220D550B" w14:textId="77777777" w:rsidR="00C443F5" w:rsidRPr="00C443F5" w:rsidRDefault="00C443F5" w:rsidP="00C443F5">
            <w:pPr>
              <w:contextualSpacing/>
              <w:jc w:val="both"/>
              <w:rPr>
                <w:rFonts w:eastAsiaTheme="minorHAnsi"/>
                <w:sz w:val="20"/>
                <w:szCs w:val="20"/>
              </w:rPr>
            </w:pPr>
            <w:r w:rsidRPr="00C443F5">
              <w:rPr>
                <w:rFonts w:eastAsiaTheme="minorHAnsi"/>
                <w:sz w:val="20"/>
                <w:szCs w:val="20"/>
              </w:rPr>
              <w:t>5,635’ x 4” plastic</w:t>
            </w:r>
          </w:p>
        </w:tc>
      </w:tr>
      <w:tr w:rsidR="00C443F5" w:rsidRPr="00C443F5" w14:paraId="63CED966" w14:textId="77777777" w:rsidTr="00397B51">
        <w:tc>
          <w:tcPr>
            <w:tcW w:w="2515" w:type="dxa"/>
            <w:vMerge/>
          </w:tcPr>
          <w:p w14:paraId="10BB3A83" w14:textId="77777777" w:rsidR="00C443F5" w:rsidRPr="00C443F5" w:rsidRDefault="00C443F5" w:rsidP="00C443F5">
            <w:pPr>
              <w:contextualSpacing/>
              <w:rPr>
                <w:rFonts w:eastAsiaTheme="minorHAnsi"/>
                <w:sz w:val="20"/>
                <w:szCs w:val="20"/>
              </w:rPr>
            </w:pPr>
          </w:p>
        </w:tc>
        <w:tc>
          <w:tcPr>
            <w:tcW w:w="3060" w:type="dxa"/>
          </w:tcPr>
          <w:p w14:paraId="79C05D79" w14:textId="77777777" w:rsidR="00C443F5" w:rsidRPr="00C443F5" w:rsidRDefault="00C443F5" w:rsidP="00C443F5">
            <w:pPr>
              <w:contextualSpacing/>
              <w:jc w:val="both"/>
              <w:rPr>
                <w:rFonts w:eastAsiaTheme="minorHAnsi"/>
                <w:sz w:val="20"/>
                <w:szCs w:val="20"/>
              </w:rPr>
            </w:pPr>
            <w:r w:rsidRPr="00C443F5">
              <w:rPr>
                <w:rFonts w:eastAsiaTheme="minorHAnsi"/>
                <w:sz w:val="20"/>
                <w:szCs w:val="20"/>
              </w:rPr>
              <w:t>525’ x 4” steel</w:t>
            </w:r>
          </w:p>
        </w:tc>
      </w:tr>
    </w:tbl>
    <w:p w14:paraId="1177145F" w14:textId="77777777" w:rsidR="00C443F5" w:rsidRPr="00C443F5" w:rsidRDefault="00C443F5" w:rsidP="00C443F5">
      <w:pPr>
        <w:spacing w:after="200"/>
        <w:contextualSpacing/>
        <w:rPr>
          <w:snapToGrid w:val="0"/>
        </w:rPr>
      </w:pPr>
    </w:p>
    <w:p w14:paraId="20552CB9" w14:textId="77777777" w:rsidR="00C443F5" w:rsidRPr="00C443F5" w:rsidRDefault="00C443F5" w:rsidP="00C443F5">
      <w:pPr>
        <w:spacing w:after="200"/>
        <w:ind w:firstLine="720"/>
        <w:contextualSpacing/>
        <w:rPr>
          <w:snapToGrid w:val="0"/>
        </w:rPr>
      </w:pPr>
      <w:r w:rsidRPr="00C443F5">
        <w:rPr>
          <w:snapToGrid w:val="0"/>
        </w:rPr>
        <w:t>On November 13, 2023, AGL filed supplemental responses to the Staff’s 14</w:t>
      </w:r>
      <w:r w:rsidRPr="00C443F5">
        <w:rPr>
          <w:snapToGrid w:val="0"/>
          <w:vertAlign w:val="superscript"/>
        </w:rPr>
        <w:t>th</w:t>
      </w:r>
      <w:r w:rsidRPr="00C443F5">
        <w:rPr>
          <w:snapToGrid w:val="0"/>
        </w:rPr>
        <w:t xml:space="preserve"> set of </w:t>
      </w:r>
      <w:proofErr w:type="spellStart"/>
      <w:r w:rsidRPr="00C443F5">
        <w:rPr>
          <w:snapToGrid w:val="0"/>
        </w:rPr>
        <w:t>DRs.</w:t>
      </w:r>
      <w:proofErr w:type="spellEnd"/>
      <w:r w:rsidRPr="00C443F5">
        <w:rPr>
          <w:snapToGrid w:val="0"/>
        </w:rPr>
        <w:t xml:space="preserve"> In their responses, specifically STF 14-5, AGL provided the Rule 8 and ECON-1 assessment. The company’s Rule 8 assessment included the following pipe installation, as provided in </w:t>
      </w:r>
      <w:r w:rsidRPr="00C443F5">
        <w:rPr>
          <w:b/>
          <w:snapToGrid w:val="0"/>
        </w:rPr>
        <w:t>Table-16</w:t>
      </w:r>
      <w:r w:rsidRPr="00C443F5">
        <w:rPr>
          <w:snapToGrid w:val="0"/>
        </w:rPr>
        <w:t xml:space="preserve"> below:</w:t>
      </w:r>
    </w:p>
    <w:p w14:paraId="7EA16F20" w14:textId="77777777" w:rsidR="00C443F5" w:rsidRPr="00C443F5" w:rsidRDefault="00C443F5" w:rsidP="00C443F5">
      <w:pPr>
        <w:spacing w:after="200"/>
        <w:contextualSpacing/>
        <w:rPr>
          <w:snapToGrid w:val="0"/>
        </w:rPr>
      </w:pPr>
    </w:p>
    <w:p w14:paraId="12310821" w14:textId="77777777" w:rsidR="00C443F5" w:rsidRPr="00C443F5" w:rsidRDefault="00C443F5" w:rsidP="00C443F5">
      <w:pPr>
        <w:spacing w:after="200"/>
        <w:contextualSpacing/>
        <w:rPr>
          <w:b/>
          <w:snapToGrid w:val="0"/>
        </w:rPr>
      </w:pPr>
      <w:r w:rsidRPr="00C443F5">
        <w:rPr>
          <w:b/>
          <w:snapToGrid w:val="0"/>
        </w:rPr>
        <w:t>Table-16: 11-13-2023 Responses</w:t>
      </w:r>
    </w:p>
    <w:tbl>
      <w:tblPr>
        <w:tblStyle w:val="TableGrid"/>
        <w:tblW w:w="0" w:type="auto"/>
        <w:tblLook w:val="04A0" w:firstRow="1" w:lastRow="0" w:firstColumn="1" w:lastColumn="0" w:noHBand="0" w:noVBand="1"/>
      </w:tblPr>
      <w:tblGrid>
        <w:gridCol w:w="3415"/>
      </w:tblGrid>
      <w:tr w:rsidR="00C443F5" w:rsidRPr="00C443F5" w14:paraId="00FCF076" w14:textId="77777777" w:rsidTr="00397B51">
        <w:tc>
          <w:tcPr>
            <w:tcW w:w="3415" w:type="dxa"/>
          </w:tcPr>
          <w:p w14:paraId="7E1183DF"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5,685’ x 4” plastic</w:t>
            </w:r>
          </w:p>
        </w:tc>
      </w:tr>
      <w:tr w:rsidR="00C443F5" w:rsidRPr="00C443F5" w14:paraId="09FC9CB7" w14:textId="77777777" w:rsidTr="00397B51">
        <w:tc>
          <w:tcPr>
            <w:tcW w:w="3415" w:type="dxa"/>
          </w:tcPr>
          <w:p w14:paraId="02A18875"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525’ x 4” steel</w:t>
            </w:r>
          </w:p>
        </w:tc>
      </w:tr>
    </w:tbl>
    <w:p w14:paraId="3B14DDE6" w14:textId="77777777" w:rsidR="00C443F5" w:rsidRPr="00C443F5" w:rsidRDefault="00C443F5" w:rsidP="00C443F5">
      <w:pPr>
        <w:spacing w:after="200"/>
        <w:contextualSpacing/>
        <w:rPr>
          <w:snapToGrid w:val="0"/>
        </w:rPr>
      </w:pPr>
    </w:p>
    <w:p w14:paraId="2A91A1B6" w14:textId="77777777" w:rsidR="00C443F5" w:rsidRPr="00C443F5" w:rsidRDefault="00C443F5" w:rsidP="00C443F5">
      <w:pPr>
        <w:spacing w:after="200"/>
        <w:ind w:firstLine="720"/>
        <w:contextualSpacing/>
        <w:rPr>
          <w:snapToGrid w:val="0"/>
        </w:rPr>
      </w:pPr>
      <w:r w:rsidRPr="00C443F5">
        <w:rPr>
          <w:snapToGrid w:val="0"/>
        </w:rPr>
        <w:t xml:space="preserve">On November 21, 2023, AGL filed its second amendment to its 2024 USF Plan. The company amended MFRs 1 and 7, which contained the following pipe installations for Athens/Clarke, as provided in </w:t>
      </w:r>
      <w:r w:rsidRPr="00C443F5">
        <w:rPr>
          <w:b/>
          <w:snapToGrid w:val="0"/>
        </w:rPr>
        <w:t>Table-17</w:t>
      </w:r>
      <w:r w:rsidRPr="00C443F5">
        <w:rPr>
          <w:snapToGrid w:val="0"/>
        </w:rPr>
        <w:t xml:space="preserve"> below:</w:t>
      </w:r>
    </w:p>
    <w:p w14:paraId="2FF585BB" w14:textId="77777777" w:rsidR="00C443F5" w:rsidRPr="00C443F5" w:rsidRDefault="00C443F5" w:rsidP="00C443F5">
      <w:pPr>
        <w:spacing w:after="200"/>
        <w:ind w:firstLine="720"/>
        <w:contextualSpacing/>
        <w:rPr>
          <w:snapToGrid w:val="0"/>
        </w:rPr>
      </w:pPr>
    </w:p>
    <w:p w14:paraId="79181CC3" w14:textId="77777777" w:rsidR="00C443F5" w:rsidRPr="00C443F5" w:rsidRDefault="00C443F5" w:rsidP="00C443F5">
      <w:pPr>
        <w:spacing w:after="200"/>
        <w:contextualSpacing/>
        <w:rPr>
          <w:b/>
          <w:snapToGrid w:val="0"/>
        </w:rPr>
      </w:pPr>
      <w:r w:rsidRPr="00C443F5">
        <w:rPr>
          <w:b/>
          <w:snapToGrid w:val="0"/>
        </w:rPr>
        <w:t>Table-17: 11-21-2023 Amended Filing</w:t>
      </w:r>
    </w:p>
    <w:tbl>
      <w:tblPr>
        <w:tblStyle w:val="TableGrid"/>
        <w:tblW w:w="0" w:type="auto"/>
        <w:tblLook w:val="04A0" w:firstRow="1" w:lastRow="0" w:firstColumn="1" w:lastColumn="0" w:noHBand="0" w:noVBand="1"/>
      </w:tblPr>
      <w:tblGrid>
        <w:gridCol w:w="2425"/>
        <w:gridCol w:w="2970"/>
      </w:tblGrid>
      <w:tr w:rsidR="00C443F5" w:rsidRPr="00C443F5" w14:paraId="245E1934" w14:textId="77777777" w:rsidTr="00397B51">
        <w:tc>
          <w:tcPr>
            <w:tcW w:w="2425" w:type="dxa"/>
            <w:vMerge w:val="restart"/>
          </w:tcPr>
          <w:p w14:paraId="2D147022" w14:textId="77777777" w:rsidR="00C443F5" w:rsidRPr="00C443F5" w:rsidRDefault="00C443F5" w:rsidP="00C443F5">
            <w:pPr>
              <w:contextualSpacing/>
              <w:rPr>
                <w:rFonts w:eastAsiaTheme="minorHAnsi"/>
                <w:sz w:val="20"/>
                <w:szCs w:val="20"/>
              </w:rPr>
            </w:pPr>
            <w:r w:rsidRPr="00C443F5">
              <w:rPr>
                <w:rFonts w:eastAsiaTheme="minorHAnsi"/>
                <w:sz w:val="20"/>
                <w:szCs w:val="20"/>
              </w:rPr>
              <w:t>MFR 1</w:t>
            </w:r>
          </w:p>
        </w:tc>
        <w:tc>
          <w:tcPr>
            <w:tcW w:w="2970" w:type="dxa"/>
          </w:tcPr>
          <w:p w14:paraId="041E959B"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5,635’ x 4” plastic</w:t>
            </w:r>
          </w:p>
        </w:tc>
      </w:tr>
      <w:tr w:rsidR="00C443F5" w:rsidRPr="00C443F5" w14:paraId="6DAB19B5" w14:textId="77777777" w:rsidTr="00397B51">
        <w:tc>
          <w:tcPr>
            <w:tcW w:w="2425" w:type="dxa"/>
            <w:vMerge/>
          </w:tcPr>
          <w:p w14:paraId="48F994B7" w14:textId="77777777" w:rsidR="00C443F5" w:rsidRPr="00C443F5" w:rsidRDefault="00C443F5" w:rsidP="00C443F5">
            <w:pPr>
              <w:contextualSpacing/>
              <w:rPr>
                <w:rFonts w:eastAsiaTheme="minorHAnsi"/>
                <w:sz w:val="20"/>
                <w:szCs w:val="20"/>
              </w:rPr>
            </w:pPr>
          </w:p>
        </w:tc>
        <w:tc>
          <w:tcPr>
            <w:tcW w:w="2970" w:type="dxa"/>
          </w:tcPr>
          <w:p w14:paraId="29CB0C7E"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525’ x 4” steel</w:t>
            </w:r>
          </w:p>
        </w:tc>
      </w:tr>
      <w:tr w:rsidR="00C443F5" w:rsidRPr="00C443F5" w14:paraId="53BCDF16" w14:textId="77777777" w:rsidTr="00397B51">
        <w:tc>
          <w:tcPr>
            <w:tcW w:w="2425" w:type="dxa"/>
            <w:vMerge w:val="restart"/>
          </w:tcPr>
          <w:p w14:paraId="58063016" w14:textId="77777777" w:rsidR="00C443F5" w:rsidRPr="00C443F5" w:rsidRDefault="00C443F5" w:rsidP="00C443F5">
            <w:pPr>
              <w:contextualSpacing/>
              <w:rPr>
                <w:rFonts w:eastAsiaTheme="minorHAnsi"/>
                <w:sz w:val="20"/>
                <w:szCs w:val="20"/>
              </w:rPr>
            </w:pPr>
            <w:r w:rsidRPr="00C443F5">
              <w:rPr>
                <w:rFonts w:eastAsiaTheme="minorHAnsi"/>
                <w:sz w:val="20"/>
                <w:szCs w:val="20"/>
              </w:rPr>
              <w:t>MFR 7</w:t>
            </w:r>
          </w:p>
        </w:tc>
        <w:tc>
          <w:tcPr>
            <w:tcW w:w="2970" w:type="dxa"/>
          </w:tcPr>
          <w:p w14:paraId="006F953C"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5,635’ x 4” plastic</w:t>
            </w:r>
          </w:p>
        </w:tc>
      </w:tr>
      <w:tr w:rsidR="00C443F5" w:rsidRPr="00C443F5" w14:paraId="4A8765DA" w14:textId="77777777" w:rsidTr="00397B51">
        <w:tc>
          <w:tcPr>
            <w:tcW w:w="2425" w:type="dxa"/>
            <w:vMerge/>
          </w:tcPr>
          <w:p w14:paraId="0FC722FE" w14:textId="77777777" w:rsidR="00C443F5" w:rsidRPr="00C443F5" w:rsidRDefault="00C443F5" w:rsidP="00C443F5">
            <w:pPr>
              <w:contextualSpacing/>
              <w:rPr>
                <w:rFonts w:eastAsiaTheme="minorHAnsi"/>
                <w:sz w:val="20"/>
                <w:szCs w:val="20"/>
              </w:rPr>
            </w:pPr>
          </w:p>
        </w:tc>
        <w:tc>
          <w:tcPr>
            <w:tcW w:w="2970" w:type="dxa"/>
          </w:tcPr>
          <w:p w14:paraId="65961A9A"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525’ x 4” steel</w:t>
            </w:r>
          </w:p>
        </w:tc>
      </w:tr>
    </w:tbl>
    <w:p w14:paraId="475B4937" w14:textId="77777777" w:rsidR="00C443F5" w:rsidRPr="00C443F5" w:rsidRDefault="00C443F5" w:rsidP="00C443F5">
      <w:pPr>
        <w:spacing w:after="200"/>
        <w:ind w:firstLine="720"/>
        <w:contextualSpacing/>
        <w:rPr>
          <w:snapToGrid w:val="0"/>
        </w:rPr>
      </w:pPr>
    </w:p>
    <w:p w14:paraId="1414A7D6" w14:textId="77777777" w:rsidR="00C443F5" w:rsidRPr="00C443F5" w:rsidRDefault="00C443F5" w:rsidP="00C443F5">
      <w:pPr>
        <w:spacing w:after="200"/>
        <w:ind w:firstLine="720"/>
        <w:contextualSpacing/>
        <w:rPr>
          <w:snapToGrid w:val="0"/>
        </w:rPr>
      </w:pPr>
    </w:p>
    <w:p w14:paraId="777782F2" w14:textId="77777777" w:rsidR="00C443F5" w:rsidRPr="00C443F5" w:rsidRDefault="00C443F5" w:rsidP="00C443F5">
      <w:pPr>
        <w:spacing w:after="200"/>
        <w:ind w:firstLine="720"/>
        <w:contextualSpacing/>
        <w:rPr>
          <w:snapToGrid w:val="0"/>
        </w:rPr>
      </w:pPr>
      <w:r w:rsidRPr="00C443F5">
        <w:rPr>
          <w:snapToGrid w:val="0"/>
        </w:rPr>
        <w:t>On that same day, November 21, AGL also filed supplemental responses to the Staff’s 14</w:t>
      </w:r>
      <w:r w:rsidRPr="00C443F5">
        <w:rPr>
          <w:snapToGrid w:val="0"/>
          <w:vertAlign w:val="superscript"/>
        </w:rPr>
        <w:t>th</w:t>
      </w:r>
      <w:r w:rsidRPr="00C443F5">
        <w:rPr>
          <w:snapToGrid w:val="0"/>
        </w:rPr>
        <w:t xml:space="preserve"> set of </w:t>
      </w:r>
      <w:proofErr w:type="spellStart"/>
      <w:r w:rsidRPr="00C443F5">
        <w:rPr>
          <w:snapToGrid w:val="0"/>
        </w:rPr>
        <w:t>DRs.</w:t>
      </w:r>
      <w:proofErr w:type="spellEnd"/>
      <w:r w:rsidRPr="00C443F5">
        <w:rPr>
          <w:snapToGrid w:val="0"/>
        </w:rPr>
        <w:t xml:space="preserve"> The responses, specifically the company’s responses to STF 14 – 5 contained Rule 8 and ECON-1 assessments and the following pipe installations, as provided in </w:t>
      </w:r>
      <w:r w:rsidRPr="00C443F5">
        <w:rPr>
          <w:b/>
          <w:snapToGrid w:val="0"/>
        </w:rPr>
        <w:t>Table-18</w:t>
      </w:r>
      <w:r w:rsidRPr="00C443F5">
        <w:rPr>
          <w:snapToGrid w:val="0"/>
        </w:rPr>
        <w:t xml:space="preserve"> below:  </w:t>
      </w:r>
    </w:p>
    <w:p w14:paraId="3EE785AF" w14:textId="77777777" w:rsidR="00C443F5" w:rsidRPr="00C443F5" w:rsidRDefault="00C443F5" w:rsidP="00C443F5">
      <w:pPr>
        <w:spacing w:after="200"/>
        <w:contextualSpacing/>
        <w:rPr>
          <w:snapToGrid w:val="0"/>
        </w:rPr>
      </w:pPr>
    </w:p>
    <w:p w14:paraId="53006982" w14:textId="77777777" w:rsidR="00C443F5" w:rsidRPr="00C443F5" w:rsidRDefault="00C443F5" w:rsidP="00C443F5">
      <w:pPr>
        <w:spacing w:after="200"/>
        <w:contextualSpacing/>
        <w:rPr>
          <w:b/>
          <w:snapToGrid w:val="0"/>
        </w:rPr>
      </w:pPr>
      <w:r w:rsidRPr="00C443F5">
        <w:rPr>
          <w:b/>
          <w:snapToGrid w:val="0"/>
        </w:rPr>
        <w:t>Table-18: 11-21-2023 14</w:t>
      </w:r>
      <w:r w:rsidRPr="00C443F5">
        <w:rPr>
          <w:b/>
          <w:snapToGrid w:val="0"/>
          <w:vertAlign w:val="superscript"/>
        </w:rPr>
        <w:t>th</w:t>
      </w:r>
      <w:r w:rsidRPr="00C443F5">
        <w:rPr>
          <w:b/>
          <w:snapToGrid w:val="0"/>
        </w:rPr>
        <w:t xml:space="preserve"> Set Supplemental </w:t>
      </w:r>
    </w:p>
    <w:tbl>
      <w:tblPr>
        <w:tblStyle w:val="TableGrid"/>
        <w:tblW w:w="0" w:type="auto"/>
        <w:tblLook w:val="04A0" w:firstRow="1" w:lastRow="0" w:firstColumn="1" w:lastColumn="0" w:noHBand="0" w:noVBand="1"/>
      </w:tblPr>
      <w:tblGrid>
        <w:gridCol w:w="4675"/>
      </w:tblGrid>
      <w:tr w:rsidR="00C443F5" w:rsidRPr="00C443F5" w14:paraId="130FC6AB" w14:textId="77777777" w:rsidTr="00397B51">
        <w:tc>
          <w:tcPr>
            <w:tcW w:w="4675" w:type="dxa"/>
          </w:tcPr>
          <w:p w14:paraId="51DC7F62"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5,685’ x 4” plastic</w:t>
            </w:r>
          </w:p>
        </w:tc>
      </w:tr>
      <w:tr w:rsidR="00C443F5" w:rsidRPr="00C443F5" w14:paraId="01062455" w14:textId="77777777" w:rsidTr="00397B51">
        <w:tc>
          <w:tcPr>
            <w:tcW w:w="4675" w:type="dxa"/>
          </w:tcPr>
          <w:p w14:paraId="5F454F75"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525’ x 4” steel</w:t>
            </w:r>
          </w:p>
        </w:tc>
      </w:tr>
    </w:tbl>
    <w:p w14:paraId="63AC88C6" w14:textId="77777777" w:rsidR="00C443F5" w:rsidRPr="00C443F5" w:rsidRDefault="00C443F5" w:rsidP="00C443F5">
      <w:pPr>
        <w:spacing w:after="200"/>
        <w:ind w:firstLine="720"/>
        <w:contextualSpacing/>
        <w:jc w:val="right"/>
        <w:rPr>
          <w:snapToGrid w:val="0"/>
        </w:rPr>
      </w:pPr>
    </w:p>
    <w:p w14:paraId="6D080119" w14:textId="77777777" w:rsidR="00C443F5" w:rsidRPr="00C443F5" w:rsidRDefault="00C443F5" w:rsidP="00C443F5">
      <w:pPr>
        <w:spacing w:after="200"/>
        <w:ind w:firstLine="720"/>
        <w:contextualSpacing/>
        <w:rPr>
          <w:snapToGrid w:val="0"/>
        </w:rPr>
      </w:pPr>
    </w:p>
    <w:p w14:paraId="671F1A56" w14:textId="77777777" w:rsidR="00C443F5" w:rsidRPr="00C443F5" w:rsidRDefault="00C443F5" w:rsidP="00C443F5">
      <w:pPr>
        <w:spacing w:after="200"/>
        <w:ind w:firstLine="720"/>
        <w:contextualSpacing/>
        <w:rPr>
          <w:snapToGrid w:val="0"/>
        </w:rPr>
      </w:pPr>
      <w:r w:rsidRPr="00C443F5">
        <w:rPr>
          <w:snapToGrid w:val="0"/>
        </w:rPr>
        <w:t xml:space="preserve">Because AGL’s filings failed to  contain </w:t>
      </w:r>
      <w:proofErr w:type="gramStart"/>
      <w:r w:rsidRPr="00C443F5">
        <w:rPr>
          <w:snapToGrid w:val="0"/>
        </w:rPr>
        <w:t>all of</w:t>
      </w:r>
      <w:proofErr w:type="gramEnd"/>
      <w:r w:rsidRPr="00C443F5">
        <w:rPr>
          <w:snapToGrid w:val="0"/>
        </w:rPr>
        <w:t xml:space="preserve"> the corresponding information, Staff remained unclear on the footage of the pipe being installed for the Athens/Clarke project. Therefore, Staff contacted AGL for clarification. The company responded by stating that the correct pipe installations are as provided in </w:t>
      </w:r>
      <w:r w:rsidRPr="00C443F5">
        <w:rPr>
          <w:b/>
          <w:snapToGrid w:val="0"/>
        </w:rPr>
        <w:t>Table-19</w:t>
      </w:r>
      <w:r w:rsidRPr="00C443F5">
        <w:rPr>
          <w:snapToGrid w:val="0"/>
        </w:rPr>
        <w:t xml:space="preserve"> below:</w:t>
      </w:r>
    </w:p>
    <w:p w14:paraId="2F4231A1" w14:textId="77777777" w:rsidR="00C443F5" w:rsidRPr="00C443F5" w:rsidRDefault="00C443F5" w:rsidP="00C443F5">
      <w:pPr>
        <w:spacing w:after="200"/>
        <w:contextualSpacing/>
        <w:rPr>
          <w:snapToGrid w:val="0"/>
        </w:rPr>
      </w:pPr>
    </w:p>
    <w:p w14:paraId="1976C5E8" w14:textId="77777777" w:rsidR="00C443F5" w:rsidRPr="00C443F5" w:rsidRDefault="00C443F5" w:rsidP="00C443F5">
      <w:pPr>
        <w:spacing w:after="200"/>
        <w:contextualSpacing/>
        <w:rPr>
          <w:b/>
          <w:snapToGrid w:val="0"/>
        </w:rPr>
      </w:pPr>
      <w:r w:rsidRPr="00C443F5">
        <w:rPr>
          <w:b/>
          <w:snapToGrid w:val="0"/>
        </w:rPr>
        <w:t>Table-19: Staff &amp; AGL Discussions</w:t>
      </w:r>
    </w:p>
    <w:tbl>
      <w:tblPr>
        <w:tblStyle w:val="TableGrid"/>
        <w:tblW w:w="0" w:type="auto"/>
        <w:tblLook w:val="04A0" w:firstRow="1" w:lastRow="0" w:firstColumn="1" w:lastColumn="0" w:noHBand="0" w:noVBand="1"/>
      </w:tblPr>
      <w:tblGrid>
        <w:gridCol w:w="4675"/>
      </w:tblGrid>
      <w:tr w:rsidR="00C443F5" w:rsidRPr="00C443F5" w14:paraId="31B235E8" w14:textId="77777777" w:rsidTr="00397B51">
        <w:tc>
          <w:tcPr>
            <w:tcW w:w="4675" w:type="dxa"/>
          </w:tcPr>
          <w:p w14:paraId="7C9315A4"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5,685’ x 4” plastic</w:t>
            </w:r>
          </w:p>
        </w:tc>
      </w:tr>
      <w:tr w:rsidR="00C443F5" w:rsidRPr="00C443F5" w14:paraId="2B159A02" w14:textId="77777777" w:rsidTr="00397B51">
        <w:tc>
          <w:tcPr>
            <w:tcW w:w="4675" w:type="dxa"/>
          </w:tcPr>
          <w:p w14:paraId="1CCACC8A" w14:textId="77777777" w:rsidR="00C443F5" w:rsidRPr="00C443F5" w:rsidRDefault="00C443F5" w:rsidP="00C443F5">
            <w:pPr>
              <w:contextualSpacing/>
              <w:jc w:val="right"/>
              <w:rPr>
                <w:rFonts w:eastAsiaTheme="minorHAnsi"/>
                <w:sz w:val="20"/>
                <w:szCs w:val="20"/>
              </w:rPr>
            </w:pPr>
            <w:r w:rsidRPr="00C443F5">
              <w:rPr>
                <w:rFonts w:eastAsiaTheme="minorHAnsi"/>
                <w:sz w:val="20"/>
                <w:szCs w:val="20"/>
              </w:rPr>
              <w:t>525’ x 4” steel</w:t>
            </w:r>
          </w:p>
        </w:tc>
      </w:tr>
    </w:tbl>
    <w:p w14:paraId="76C20A54" w14:textId="77777777" w:rsidR="00C443F5" w:rsidRPr="00C443F5" w:rsidRDefault="00C443F5" w:rsidP="00C443F5">
      <w:pPr>
        <w:contextualSpacing/>
        <w:jc w:val="both"/>
        <w:rPr>
          <w:bCs/>
        </w:rPr>
      </w:pPr>
    </w:p>
    <w:p w14:paraId="0D131CEC" w14:textId="77777777" w:rsidR="00C443F5" w:rsidRPr="00C443F5" w:rsidRDefault="00C443F5" w:rsidP="00C443F5">
      <w:pPr>
        <w:contextualSpacing/>
        <w:jc w:val="both"/>
        <w:rPr>
          <w:bCs/>
        </w:rPr>
      </w:pPr>
    </w:p>
    <w:p w14:paraId="31494C7F" w14:textId="77777777" w:rsidR="00C443F5" w:rsidRPr="00C443F5" w:rsidRDefault="00C443F5" w:rsidP="00C443F5">
      <w:pPr>
        <w:ind w:firstLine="720"/>
        <w:contextualSpacing/>
        <w:jc w:val="both"/>
        <w:rPr>
          <w:bCs/>
        </w:rPr>
      </w:pPr>
      <w:r w:rsidRPr="00C443F5">
        <w:rPr>
          <w:bCs/>
        </w:rPr>
        <w:t xml:space="preserve">In </w:t>
      </w:r>
      <w:r w:rsidRPr="00C443F5">
        <w:rPr>
          <w:b/>
          <w:bCs/>
        </w:rPr>
        <w:t>Table-20</w:t>
      </w:r>
      <w:r w:rsidRPr="00C443F5">
        <w:rPr>
          <w:bCs/>
        </w:rPr>
        <w:t xml:space="preserve"> below, the Staff reviewed the Athens-Clark County Project. In STF-14-5, the Staff requested a Rule-8 assessment and an ECON-1 assessment. AGL has provided a Rule-8 assessment in response to STF-14-5 using its engineering estimate for this project as found in MFR-6, </w:t>
      </w:r>
      <w:r w:rsidRPr="00C443F5">
        <w:rPr>
          <w:b/>
          <w:bCs/>
        </w:rPr>
        <w:t>$1.1 million</w:t>
      </w:r>
      <w:r w:rsidRPr="00C443F5">
        <w:rPr>
          <w:bCs/>
        </w:rPr>
        <w:t xml:space="preserve">. The allowable investment of </w:t>
      </w:r>
      <w:r w:rsidRPr="00C443F5">
        <w:rPr>
          <w:b/>
          <w:bCs/>
        </w:rPr>
        <w:t xml:space="preserve">$819,040 </w:t>
      </w:r>
      <w:r w:rsidRPr="00C443F5">
        <w:rPr>
          <w:bCs/>
        </w:rPr>
        <w:t xml:space="preserve">couldn’t cover the estimated costs resulting in a  shortfall totaling </w:t>
      </w:r>
      <w:r w:rsidRPr="00C443F5">
        <w:rPr>
          <w:b/>
          <w:bCs/>
        </w:rPr>
        <w:t>$320,929</w:t>
      </w:r>
      <w:r w:rsidRPr="00C443F5">
        <w:rPr>
          <w:bCs/>
        </w:rPr>
        <w:t xml:space="preserve">. When grossed up for income taxes and finance costs, this increased to </w:t>
      </w:r>
      <w:r w:rsidRPr="00C443F5">
        <w:rPr>
          <w:b/>
          <w:bCs/>
        </w:rPr>
        <w:t>$371,975</w:t>
      </w:r>
      <w:r w:rsidRPr="00C443F5">
        <w:rPr>
          <w:bCs/>
        </w:rPr>
        <w:t xml:space="preserve">. The Staff took the extra step at reviewing this project using System Wide Averages, and the estimated cost was </w:t>
      </w:r>
      <w:r w:rsidRPr="00C443F5">
        <w:rPr>
          <w:b/>
          <w:bCs/>
        </w:rPr>
        <w:t>$274,978</w:t>
      </w:r>
      <w:r w:rsidRPr="00C443F5">
        <w:rPr>
          <w:bCs/>
        </w:rPr>
        <w:t xml:space="preserve"> was easily absorbed by the allowable investment. This created an excess to the allowable in the amount of </w:t>
      </w:r>
      <w:r w:rsidRPr="00C443F5">
        <w:rPr>
          <w:b/>
          <w:bCs/>
        </w:rPr>
        <w:t>($544,062)</w:t>
      </w:r>
      <w:r w:rsidRPr="00C443F5">
        <w:rPr>
          <w:bCs/>
        </w:rPr>
        <w:t xml:space="preserve">. This means the project would be deemed economical and no USF funding would be required.  </w:t>
      </w:r>
    </w:p>
    <w:p w14:paraId="640877E8" w14:textId="77777777" w:rsidR="00C443F5" w:rsidRPr="00C443F5" w:rsidRDefault="00C443F5" w:rsidP="00C443F5">
      <w:pPr>
        <w:contextualSpacing/>
        <w:jc w:val="both"/>
        <w:rPr>
          <w:b/>
          <w:bCs/>
        </w:rPr>
      </w:pPr>
    </w:p>
    <w:p w14:paraId="33ECDBF8" w14:textId="77777777" w:rsidR="00C443F5" w:rsidRPr="00C443F5" w:rsidRDefault="00C443F5" w:rsidP="00C443F5">
      <w:pPr>
        <w:contextualSpacing/>
        <w:jc w:val="both"/>
        <w:rPr>
          <w:b/>
          <w:bCs/>
        </w:rPr>
      </w:pPr>
    </w:p>
    <w:p w14:paraId="20BF8705" w14:textId="77777777" w:rsidR="00C443F5" w:rsidRPr="00C443F5" w:rsidRDefault="00C443F5" w:rsidP="00C443F5">
      <w:pPr>
        <w:contextualSpacing/>
        <w:jc w:val="both"/>
        <w:rPr>
          <w:b/>
          <w:bCs/>
        </w:rPr>
      </w:pPr>
      <w:r w:rsidRPr="00C443F5">
        <w:rPr>
          <w:b/>
          <w:bCs/>
        </w:rPr>
        <w:t>Table-20: Athens-Clark County Project Rule 8 Assessments</w:t>
      </w:r>
    </w:p>
    <w:tbl>
      <w:tblPr>
        <w:tblW w:w="6210" w:type="dxa"/>
        <w:tblInd w:w="-5" w:type="dxa"/>
        <w:tblLook w:val="04A0" w:firstRow="1" w:lastRow="0" w:firstColumn="1" w:lastColumn="0" w:noHBand="0" w:noVBand="1"/>
      </w:tblPr>
      <w:tblGrid>
        <w:gridCol w:w="2160"/>
        <w:gridCol w:w="2070"/>
        <w:gridCol w:w="1980"/>
      </w:tblGrid>
      <w:tr w:rsidR="00C443F5" w:rsidRPr="00C443F5" w14:paraId="105968E5" w14:textId="77777777" w:rsidTr="00397B51">
        <w:trPr>
          <w:trHeight w:val="90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BA10E" w14:textId="77777777" w:rsidR="00C443F5" w:rsidRPr="00C443F5" w:rsidRDefault="00C443F5" w:rsidP="00C443F5">
            <w:pPr>
              <w:contextualSpacing/>
              <w:jc w:val="center"/>
              <w:rPr>
                <w:rFonts w:ascii="Arial" w:hAnsi="Arial" w:cs="Arial"/>
                <w:b/>
                <w:bCs/>
                <w:color w:val="000000"/>
                <w:sz w:val="16"/>
                <w:szCs w:val="16"/>
              </w:rPr>
            </w:pPr>
            <w:r w:rsidRPr="00C443F5">
              <w:rPr>
                <w:rFonts w:ascii="Arial" w:hAnsi="Arial" w:cs="Arial"/>
                <w:b/>
                <w:bCs/>
                <w:color w:val="000000"/>
                <w:sz w:val="16"/>
                <w:szCs w:val="16"/>
              </w:rPr>
              <w:t>Residential Projects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494E98E9" w14:textId="77777777" w:rsidR="00C443F5" w:rsidRPr="00C443F5" w:rsidRDefault="00C443F5" w:rsidP="00C443F5">
            <w:pPr>
              <w:contextualSpacing/>
              <w:jc w:val="center"/>
              <w:rPr>
                <w:rFonts w:ascii="Arial" w:hAnsi="Arial" w:cs="Arial"/>
                <w:b/>
                <w:bCs/>
                <w:color w:val="000000"/>
                <w:sz w:val="16"/>
                <w:szCs w:val="16"/>
              </w:rPr>
            </w:pPr>
            <w:r w:rsidRPr="00C443F5">
              <w:rPr>
                <w:rFonts w:ascii="Arial" w:hAnsi="Arial" w:cs="Arial"/>
                <w:b/>
                <w:bCs/>
                <w:color w:val="000000"/>
                <w:sz w:val="16"/>
                <w:szCs w:val="16"/>
              </w:rPr>
              <w:t>Athens-Clark County Project</w:t>
            </w:r>
            <w:r w:rsidRPr="00C443F5">
              <w:rPr>
                <w:rFonts w:ascii="Arial" w:hAnsi="Arial" w:cs="Arial"/>
                <w:b/>
                <w:bCs/>
                <w:color w:val="000000"/>
                <w:sz w:val="16"/>
                <w:szCs w:val="16"/>
              </w:rPr>
              <w:br/>
              <w:t>Engineering Estimates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674D022D" w14:textId="77777777" w:rsidR="00C443F5" w:rsidRPr="00C443F5" w:rsidRDefault="00C443F5" w:rsidP="00C443F5">
            <w:pPr>
              <w:contextualSpacing/>
              <w:jc w:val="center"/>
              <w:rPr>
                <w:rFonts w:ascii="Arial" w:hAnsi="Arial" w:cs="Arial"/>
                <w:b/>
                <w:bCs/>
                <w:color w:val="000000"/>
                <w:sz w:val="16"/>
                <w:szCs w:val="16"/>
              </w:rPr>
            </w:pPr>
            <w:r w:rsidRPr="00C443F5">
              <w:rPr>
                <w:rFonts w:ascii="Arial" w:hAnsi="Arial" w:cs="Arial"/>
                <w:b/>
                <w:bCs/>
                <w:color w:val="000000"/>
                <w:sz w:val="16"/>
                <w:szCs w:val="16"/>
              </w:rPr>
              <w:t>Athens-Clark County Project</w:t>
            </w:r>
            <w:r w:rsidRPr="00C443F5">
              <w:rPr>
                <w:rFonts w:ascii="Arial" w:hAnsi="Arial" w:cs="Arial"/>
                <w:b/>
                <w:bCs/>
                <w:color w:val="000000"/>
                <w:sz w:val="16"/>
                <w:szCs w:val="16"/>
              </w:rPr>
              <w:br/>
              <w:t>System Wide Averages</w:t>
            </w:r>
          </w:p>
        </w:tc>
      </w:tr>
      <w:tr w:rsidR="00C443F5" w:rsidRPr="00C443F5" w14:paraId="1FB0A0B1" w14:textId="77777777" w:rsidTr="00397B51">
        <w:trPr>
          <w:trHeight w:val="255"/>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119C5EC" w14:textId="77777777" w:rsidR="00C443F5" w:rsidRPr="00C443F5" w:rsidRDefault="00C443F5" w:rsidP="00C443F5">
            <w:pPr>
              <w:contextualSpacing/>
              <w:rPr>
                <w:rFonts w:ascii="Arial" w:hAnsi="Arial" w:cs="Arial"/>
                <w:color w:val="000000"/>
                <w:sz w:val="16"/>
                <w:szCs w:val="16"/>
              </w:rPr>
            </w:pPr>
            <w:r w:rsidRPr="00C443F5">
              <w:rPr>
                <w:rFonts w:ascii="Arial" w:hAnsi="Arial" w:cs="Arial"/>
                <w:color w:val="000000"/>
                <w:sz w:val="16"/>
                <w:szCs w:val="16"/>
              </w:rPr>
              <w:t>Estimated Revenues</w:t>
            </w:r>
          </w:p>
        </w:tc>
        <w:tc>
          <w:tcPr>
            <w:tcW w:w="2070" w:type="dxa"/>
            <w:tcBorders>
              <w:top w:val="nil"/>
              <w:left w:val="nil"/>
              <w:bottom w:val="single" w:sz="4" w:space="0" w:color="auto"/>
              <w:right w:val="single" w:sz="4" w:space="0" w:color="auto"/>
            </w:tcBorders>
            <w:shd w:val="clear" w:color="auto" w:fill="auto"/>
            <w:vAlign w:val="center"/>
            <w:hideMark/>
          </w:tcPr>
          <w:p w14:paraId="64CAD96E" w14:textId="77777777" w:rsidR="00C443F5" w:rsidRPr="00C443F5" w:rsidRDefault="00C443F5" w:rsidP="00C443F5">
            <w:pPr>
              <w:contextualSpacing/>
              <w:jc w:val="right"/>
              <w:rPr>
                <w:rFonts w:ascii="Arial" w:hAnsi="Arial" w:cs="Arial"/>
                <w:color w:val="000000"/>
                <w:sz w:val="16"/>
                <w:szCs w:val="16"/>
              </w:rPr>
            </w:pPr>
            <w:r w:rsidRPr="00C443F5">
              <w:rPr>
                <w:rFonts w:ascii="Arial" w:hAnsi="Arial" w:cs="Arial"/>
                <w:color w:val="000000"/>
                <w:sz w:val="16"/>
                <w:szCs w:val="16"/>
              </w:rPr>
              <w:t>$85,421.88</w:t>
            </w:r>
          </w:p>
        </w:tc>
        <w:tc>
          <w:tcPr>
            <w:tcW w:w="1980" w:type="dxa"/>
            <w:tcBorders>
              <w:top w:val="nil"/>
              <w:left w:val="nil"/>
              <w:bottom w:val="single" w:sz="4" w:space="0" w:color="auto"/>
              <w:right w:val="single" w:sz="4" w:space="0" w:color="auto"/>
            </w:tcBorders>
            <w:shd w:val="clear" w:color="auto" w:fill="auto"/>
            <w:vAlign w:val="center"/>
            <w:hideMark/>
          </w:tcPr>
          <w:p w14:paraId="550443FA" w14:textId="77777777" w:rsidR="00C443F5" w:rsidRPr="00C443F5" w:rsidRDefault="00C443F5" w:rsidP="00C443F5">
            <w:pPr>
              <w:contextualSpacing/>
              <w:jc w:val="right"/>
              <w:rPr>
                <w:rFonts w:ascii="Arial" w:hAnsi="Arial" w:cs="Arial"/>
                <w:color w:val="000000"/>
                <w:sz w:val="16"/>
                <w:szCs w:val="16"/>
              </w:rPr>
            </w:pPr>
            <w:r w:rsidRPr="00C443F5">
              <w:rPr>
                <w:rFonts w:ascii="Arial" w:hAnsi="Arial" w:cs="Arial"/>
                <w:color w:val="000000"/>
                <w:sz w:val="16"/>
                <w:szCs w:val="16"/>
              </w:rPr>
              <w:t>$85,421.88</w:t>
            </w:r>
          </w:p>
        </w:tc>
      </w:tr>
      <w:tr w:rsidR="00C443F5" w:rsidRPr="00C443F5" w14:paraId="4C33F16E" w14:textId="77777777" w:rsidTr="00397B51">
        <w:trPr>
          <w:trHeight w:val="255"/>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6117C18" w14:textId="77777777" w:rsidR="00C443F5" w:rsidRPr="00C443F5" w:rsidRDefault="00C443F5" w:rsidP="00C443F5">
            <w:pPr>
              <w:contextualSpacing/>
              <w:rPr>
                <w:rFonts w:ascii="Arial" w:hAnsi="Arial" w:cs="Arial"/>
                <w:color w:val="000000"/>
                <w:sz w:val="16"/>
                <w:szCs w:val="16"/>
              </w:rPr>
            </w:pPr>
            <w:r w:rsidRPr="00C443F5">
              <w:rPr>
                <w:rFonts w:ascii="Arial" w:hAnsi="Arial" w:cs="Arial"/>
                <w:color w:val="000000"/>
                <w:sz w:val="16"/>
                <w:szCs w:val="16"/>
              </w:rPr>
              <w:t>Estimated Cost</w:t>
            </w:r>
          </w:p>
        </w:tc>
        <w:tc>
          <w:tcPr>
            <w:tcW w:w="2070" w:type="dxa"/>
            <w:tcBorders>
              <w:top w:val="nil"/>
              <w:left w:val="nil"/>
              <w:bottom w:val="single" w:sz="4" w:space="0" w:color="auto"/>
              <w:right w:val="single" w:sz="4" w:space="0" w:color="auto"/>
            </w:tcBorders>
            <w:shd w:val="clear" w:color="auto" w:fill="auto"/>
            <w:vAlign w:val="center"/>
            <w:hideMark/>
          </w:tcPr>
          <w:p w14:paraId="77D27DBB" w14:textId="77777777" w:rsidR="00C443F5" w:rsidRPr="00C443F5" w:rsidRDefault="00C443F5" w:rsidP="00C443F5">
            <w:pPr>
              <w:contextualSpacing/>
              <w:jc w:val="right"/>
              <w:rPr>
                <w:rFonts w:ascii="Arial" w:hAnsi="Arial" w:cs="Arial"/>
                <w:color w:val="000000"/>
                <w:sz w:val="16"/>
                <w:szCs w:val="16"/>
              </w:rPr>
            </w:pPr>
            <w:r w:rsidRPr="00C443F5">
              <w:rPr>
                <w:rFonts w:ascii="Arial" w:hAnsi="Arial" w:cs="Arial"/>
                <w:color w:val="000000"/>
                <w:sz w:val="16"/>
                <w:szCs w:val="16"/>
              </w:rPr>
              <w:t>$1,140,000.00</w:t>
            </w:r>
          </w:p>
        </w:tc>
        <w:tc>
          <w:tcPr>
            <w:tcW w:w="1980" w:type="dxa"/>
            <w:tcBorders>
              <w:top w:val="nil"/>
              <w:left w:val="nil"/>
              <w:bottom w:val="single" w:sz="4" w:space="0" w:color="auto"/>
              <w:right w:val="single" w:sz="4" w:space="0" w:color="auto"/>
            </w:tcBorders>
            <w:shd w:val="clear" w:color="auto" w:fill="auto"/>
            <w:noWrap/>
            <w:vAlign w:val="bottom"/>
            <w:hideMark/>
          </w:tcPr>
          <w:p w14:paraId="612E670B" w14:textId="77777777" w:rsidR="00C443F5" w:rsidRPr="00C443F5" w:rsidRDefault="00C443F5" w:rsidP="00C443F5">
            <w:pPr>
              <w:contextualSpacing/>
              <w:jc w:val="right"/>
              <w:rPr>
                <w:rFonts w:ascii="Arial" w:hAnsi="Arial" w:cs="Arial"/>
                <w:color w:val="000000"/>
                <w:sz w:val="16"/>
                <w:szCs w:val="16"/>
              </w:rPr>
            </w:pPr>
            <w:r w:rsidRPr="00C443F5">
              <w:rPr>
                <w:rFonts w:ascii="Arial" w:hAnsi="Arial" w:cs="Arial"/>
                <w:color w:val="000000"/>
                <w:sz w:val="16"/>
                <w:szCs w:val="16"/>
              </w:rPr>
              <w:t>$274,978.80</w:t>
            </w:r>
          </w:p>
        </w:tc>
      </w:tr>
      <w:tr w:rsidR="00C443F5" w:rsidRPr="00C443F5" w14:paraId="574009C0" w14:textId="77777777" w:rsidTr="00397B51">
        <w:trPr>
          <w:trHeight w:val="45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7FC1DA08"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Allowable Investment</w:t>
            </w:r>
          </w:p>
        </w:tc>
        <w:tc>
          <w:tcPr>
            <w:tcW w:w="2070" w:type="dxa"/>
            <w:tcBorders>
              <w:top w:val="nil"/>
              <w:left w:val="nil"/>
              <w:bottom w:val="single" w:sz="4" w:space="0" w:color="auto"/>
              <w:right w:val="single" w:sz="4" w:space="0" w:color="auto"/>
            </w:tcBorders>
            <w:shd w:val="clear" w:color="auto" w:fill="auto"/>
            <w:vAlign w:val="center"/>
            <w:hideMark/>
          </w:tcPr>
          <w:p w14:paraId="4AD65346"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$819,040.87</w:t>
            </w:r>
          </w:p>
        </w:tc>
        <w:tc>
          <w:tcPr>
            <w:tcW w:w="1980" w:type="dxa"/>
            <w:tcBorders>
              <w:top w:val="nil"/>
              <w:left w:val="nil"/>
              <w:bottom w:val="single" w:sz="4" w:space="0" w:color="auto"/>
              <w:right w:val="single" w:sz="4" w:space="0" w:color="auto"/>
            </w:tcBorders>
            <w:shd w:val="clear" w:color="auto" w:fill="auto"/>
            <w:vAlign w:val="center"/>
            <w:hideMark/>
          </w:tcPr>
          <w:p w14:paraId="1B4593B3"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$819,040.87</w:t>
            </w:r>
          </w:p>
        </w:tc>
      </w:tr>
      <w:tr w:rsidR="00C443F5" w:rsidRPr="00C443F5" w14:paraId="5F914620" w14:textId="77777777" w:rsidTr="00397B51">
        <w:trPr>
          <w:trHeight w:val="45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4EC2EEC7"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lastRenderedPageBreak/>
              <w:t>Contribution from Customer</w:t>
            </w:r>
          </w:p>
        </w:tc>
        <w:tc>
          <w:tcPr>
            <w:tcW w:w="2070" w:type="dxa"/>
            <w:tcBorders>
              <w:top w:val="nil"/>
              <w:left w:val="nil"/>
              <w:bottom w:val="single" w:sz="4" w:space="0" w:color="auto"/>
              <w:right w:val="single" w:sz="4" w:space="0" w:color="auto"/>
            </w:tcBorders>
            <w:shd w:val="clear" w:color="auto" w:fill="auto"/>
            <w:vAlign w:val="center"/>
            <w:hideMark/>
          </w:tcPr>
          <w:p w14:paraId="274F34F1"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$0.00</w:t>
            </w:r>
          </w:p>
        </w:tc>
        <w:tc>
          <w:tcPr>
            <w:tcW w:w="1980" w:type="dxa"/>
            <w:tcBorders>
              <w:top w:val="nil"/>
              <w:left w:val="nil"/>
              <w:bottom w:val="single" w:sz="4" w:space="0" w:color="auto"/>
              <w:right w:val="single" w:sz="4" w:space="0" w:color="auto"/>
            </w:tcBorders>
            <w:shd w:val="clear" w:color="auto" w:fill="auto"/>
            <w:noWrap/>
            <w:vAlign w:val="bottom"/>
            <w:hideMark/>
          </w:tcPr>
          <w:p w14:paraId="24AEC391"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$0.00</w:t>
            </w:r>
          </w:p>
        </w:tc>
      </w:tr>
      <w:tr w:rsidR="00C443F5" w:rsidRPr="00C443F5" w14:paraId="4F4B6456" w14:textId="77777777" w:rsidTr="00397B51">
        <w:trPr>
          <w:trHeight w:val="255"/>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633C1928" w14:textId="77777777" w:rsidR="00C443F5" w:rsidRPr="00C443F5" w:rsidRDefault="00C443F5" w:rsidP="00C443F5">
            <w:pPr>
              <w:rPr>
                <w:rFonts w:ascii="Arial" w:hAnsi="Arial" w:cs="Arial"/>
                <w:color w:val="000000"/>
                <w:sz w:val="16"/>
                <w:szCs w:val="16"/>
              </w:rPr>
            </w:pPr>
          </w:p>
        </w:tc>
        <w:tc>
          <w:tcPr>
            <w:tcW w:w="2070" w:type="dxa"/>
            <w:tcBorders>
              <w:top w:val="nil"/>
              <w:left w:val="nil"/>
              <w:bottom w:val="single" w:sz="4" w:space="0" w:color="auto"/>
              <w:right w:val="single" w:sz="4" w:space="0" w:color="auto"/>
            </w:tcBorders>
            <w:shd w:val="clear" w:color="auto" w:fill="auto"/>
            <w:vAlign w:val="center"/>
            <w:hideMark/>
          </w:tcPr>
          <w:p w14:paraId="139E0414" w14:textId="77777777" w:rsidR="00C443F5" w:rsidRPr="00C443F5" w:rsidRDefault="00C443F5" w:rsidP="00C443F5">
            <w:pPr>
              <w:jc w:val="right"/>
              <w:rPr>
                <w:rFonts w:ascii="Arial" w:hAnsi="Arial" w:cs="Arial"/>
                <w:color w:val="000000"/>
                <w:sz w:val="16"/>
                <w:szCs w:val="16"/>
              </w:rPr>
            </w:pPr>
          </w:p>
        </w:tc>
        <w:tc>
          <w:tcPr>
            <w:tcW w:w="1980" w:type="dxa"/>
            <w:tcBorders>
              <w:top w:val="nil"/>
              <w:left w:val="nil"/>
              <w:bottom w:val="single" w:sz="4" w:space="0" w:color="auto"/>
              <w:right w:val="single" w:sz="4" w:space="0" w:color="auto"/>
            </w:tcBorders>
            <w:shd w:val="clear" w:color="auto" w:fill="auto"/>
            <w:noWrap/>
            <w:vAlign w:val="bottom"/>
            <w:hideMark/>
          </w:tcPr>
          <w:p w14:paraId="300F2000" w14:textId="77777777" w:rsidR="00C443F5" w:rsidRPr="00C443F5" w:rsidRDefault="00C443F5" w:rsidP="00C443F5">
            <w:pPr>
              <w:jc w:val="right"/>
              <w:rPr>
                <w:rFonts w:ascii="Arial" w:hAnsi="Arial" w:cs="Arial"/>
                <w:color w:val="000000"/>
                <w:sz w:val="16"/>
                <w:szCs w:val="16"/>
              </w:rPr>
            </w:pPr>
          </w:p>
        </w:tc>
      </w:tr>
      <w:tr w:rsidR="00C443F5" w:rsidRPr="00C443F5" w14:paraId="1B06D553" w14:textId="77777777" w:rsidTr="00397B51">
        <w:trPr>
          <w:trHeight w:val="45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1A5503E5"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Excel Allowable or (Shortfall)</w:t>
            </w:r>
          </w:p>
        </w:tc>
        <w:tc>
          <w:tcPr>
            <w:tcW w:w="2070" w:type="dxa"/>
            <w:tcBorders>
              <w:top w:val="nil"/>
              <w:left w:val="nil"/>
              <w:bottom w:val="single" w:sz="4" w:space="0" w:color="auto"/>
              <w:right w:val="single" w:sz="4" w:space="0" w:color="auto"/>
            </w:tcBorders>
            <w:shd w:val="clear" w:color="auto" w:fill="auto"/>
            <w:vAlign w:val="center"/>
            <w:hideMark/>
          </w:tcPr>
          <w:p w14:paraId="4A833B10" w14:textId="77777777" w:rsidR="00C443F5" w:rsidRPr="00C443F5" w:rsidRDefault="00C443F5" w:rsidP="00C443F5">
            <w:pPr>
              <w:jc w:val="right"/>
              <w:rPr>
                <w:rFonts w:ascii="Arial" w:hAnsi="Arial" w:cs="Arial"/>
                <w:sz w:val="16"/>
                <w:szCs w:val="16"/>
              </w:rPr>
            </w:pPr>
            <w:r w:rsidRPr="00C443F5">
              <w:rPr>
                <w:rFonts w:ascii="Arial" w:hAnsi="Arial" w:cs="Arial"/>
                <w:sz w:val="16"/>
                <w:szCs w:val="16"/>
              </w:rPr>
              <w:t>$320,959.13</w:t>
            </w:r>
          </w:p>
        </w:tc>
        <w:tc>
          <w:tcPr>
            <w:tcW w:w="1980" w:type="dxa"/>
            <w:tcBorders>
              <w:top w:val="nil"/>
              <w:left w:val="nil"/>
              <w:bottom w:val="single" w:sz="4" w:space="0" w:color="auto"/>
              <w:right w:val="single" w:sz="4" w:space="0" w:color="auto"/>
            </w:tcBorders>
            <w:shd w:val="clear" w:color="auto" w:fill="auto"/>
            <w:vAlign w:val="center"/>
            <w:hideMark/>
          </w:tcPr>
          <w:p w14:paraId="277DAA9B" w14:textId="77777777" w:rsidR="00C443F5" w:rsidRPr="00C443F5" w:rsidRDefault="00C443F5" w:rsidP="00C443F5">
            <w:pPr>
              <w:jc w:val="right"/>
              <w:rPr>
                <w:rFonts w:ascii="Arial" w:hAnsi="Arial" w:cs="Arial"/>
                <w:sz w:val="16"/>
                <w:szCs w:val="16"/>
              </w:rPr>
            </w:pPr>
            <w:r w:rsidRPr="00C443F5">
              <w:rPr>
                <w:rFonts w:ascii="Arial" w:hAnsi="Arial" w:cs="Arial"/>
                <w:color w:val="FF0000"/>
                <w:sz w:val="16"/>
                <w:szCs w:val="16"/>
              </w:rPr>
              <w:t>($544,062.07)</w:t>
            </w:r>
          </w:p>
        </w:tc>
      </w:tr>
      <w:tr w:rsidR="00C443F5" w:rsidRPr="00C443F5" w14:paraId="0FEEEC68" w14:textId="77777777" w:rsidTr="00397B51">
        <w:trPr>
          <w:trHeight w:val="255"/>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7032A2E6" w14:textId="77777777" w:rsidR="00C443F5" w:rsidRPr="00C443F5" w:rsidRDefault="00C443F5" w:rsidP="00C443F5">
            <w:pPr>
              <w:rPr>
                <w:rFonts w:ascii="Arial" w:hAnsi="Arial" w:cs="Arial"/>
                <w:color w:val="000000"/>
                <w:sz w:val="16"/>
                <w:szCs w:val="16"/>
              </w:rPr>
            </w:pPr>
          </w:p>
        </w:tc>
        <w:tc>
          <w:tcPr>
            <w:tcW w:w="2070" w:type="dxa"/>
            <w:tcBorders>
              <w:top w:val="nil"/>
              <w:left w:val="nil"/>
              <w:bottom w:val="single" w:sz="4" w:space="0" w:color="auto"/>
              <w:right w:val="single" w:sz="4" w:space="0" w:color="auto"/>
            </w:tcBorders>
            <w:shd w:val="clear" w:color="auto" w:fill="auto"/>
            <w:vAlign w:val="center"/>
            <w:hideMark/>
          </w:tcPr>
          <w:p w14:paraId="61A031E9" w14:textId="77777777" w:rsidR="00C443F5" w:rsidRPr="00C443F5" w:rsidRDefault="00C443F5" w:rsidP="00C443F5">
            <w:pPr>
              <w:jc w:val="right"/>
              <w:rPr>
                <w:rFonts w:ascii="Arial" w:hAnsi="Arial" w:cs="Arial"/>
                <w:color w:val="000000"/>
                <w:sz w:val="16"/>
                <w:szCs w:val="16"/>
              </w:rPr>
            </w:pPr>
          </w:p>
        </w:tc>
        <w:tc>
          <w:tcPr>
            <w:tcW w:w="1980" w:type="dxa"/>
            <w:tcBorders>
              <w:top w:val="nil"/>
              <w:left w:val="nil"/>
              <w:bottom w:val="single" w:sz="4" w:space="0" w:color="auto"/>
              <w:right w:val="single" w:sz="4" w:space="0" w:color="auto"/>
            </w:tcBorders>
            <w:shd w:val="clear" w:color="auto" w:fill="auto"/>
            <w:noWrap/>
            <w:vAlign w:val="bottom"/>
            <w:hideMark/>
          </w:tcPr>
          <w:p w14:paraId="59A7A843" w14:textId="77777777" w:rsidR="00C443F5" w:rsidRPr="00C443F5" w:rsidRDefault="00C443F5" w:rsidP="00C443F5">
            <w:pPr>
              <w:jc w:val="right"/>
              <w:rPr>
                <w:rFonts w:ascii="Arial" w:hAnsi="Arial" w:cs="Arial"/>
                <w:color w:val="000000"/>
                <w:sz w:val="16"/>
                <w:szCs w:val="16"/>
              </w:rPr>
            </w:pPr>
          </w:p>
        </w:tc>
      </w:tr>
      <w:tr w:rsidR="00C443F5" w:rsidRPr="00C443F5" w14:paraId="440C285C" w14:textId="77777777" w:rsidTr="00397B51">
        <w:trPr>
          <w:trHeight w:val="45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5BF011FE"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Income Tax Gross Up</w:t>
            </w:r>
          </w:p>
        </w:tc>
        <w:tc>
          <w:tcPr>
            <w:tcW w:w="2070" w:type="dxa"/>
            <w:tcBorders>
              <w:top w:val="nil"/>
              <w:left w:val="nil"/>
              <w:bottom w:val="single" w:sz="4" w:space="0" w:color="auto"/>
              <w:right w:val="single" w:sz="4" w:space="0" w:color="auto"/>
            </w:tcBorders>
            <w:shd w:val="clear" w:color="auto" w:fill="auto"/>
            <w:vAlign w:val="center"/>
            <w:hideMark/>
          </w:tcPr>
          <w:p w14:paraId="23EF30AA"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$49,174.15</w:t>
            </w:r>
          </w:p>
        </w:tc>
        <w:tc>
          <w:tcPr>
            <w:tcW w:w="1980" w:type="dxa"/>
            <w:tcBorders>
              <w:top w:val="nil"/>
              <w:left w:val="nil"/>
              <w:bottom w:val="single" w:sz="4" w:space="0" w:color="auto"/>
              <w:right w:val="single" w:sz="4" w:space="0" w:color="auto"/>
            </w:tcBorders>
            <w:shd w:val="clear" w:color="auto" w:fill="auto"/>
            <w:vAlign w:val="center"/>
            <w:hideMark/>
          </w:tcPr>
          <w:p w14:paraId="2A2AB91C"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$0.00</w:t>
            </w:r>
          </w:p>
        </w:tc>
      </w:tr>
      <w:tr w:rsidR="00C443F5" w:rsidRPr="00C443F5" w14:paraId="01A8CEC0" w14:textId="77777777" w:rsidTr="00397B51">
        <w:trPr>
          <w:trHeight w:val="450"/>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21752C50"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Finance Cost Gross Up</w:t>
            </w:r>
          </w:p>
        </w:tc>
        <w:tc>
          <w:tcPr>
            <w:tcW w:w="2070" w:type="dxa"/>
            <w:tcBorders>
              <w:top w:val="nil"/>
              <w:left w:val="nil"/>
              <w:bottom w:val="single" w:sz="4" w:space="0" w:color="auto"/>
              <w:right w:val="single" w:sz="4" w:space="0" w:color="auto"/>
            </w:tcBorders>
            <w:shd w:val="clear" w:color="auto" w:fill="auto"/>
            <w:vAlign w:val="center"/>
            <w:hideMark/>
          </w:tcPr>
          <w:p w14:paraId="2731B934"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$1,842.31</w:t>
            </w:r>
          </w:p>
        </w:tc>
        <w:tc>
          <w:tcPr>
            <w:tcW w:w="1980" w:type="dxa"/>
            <w:tcBorders>
              <w:top w:val="nil"/>
              <w:left w:val="nil"/>
              <w:bottom w:val="single" w:sz="4" w:space="0" w:color="auto"/>
              <w:right w:val="single" w:sz="4" w:space="0" w:color="auto"/>
            </w:tcBorders>
            <w:shd w:val="clear" w:color="auto" w:fill="auto"/>
            <w:vAlign w:val="center"/>
            <w:hideMark/>
          </w:tcPr>
          <w:p w14:paraId="399AC5F3"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$0.00</w:t>
            </w:r>
          </w:p>
        </w:tc>
      </w:tr>
      <w:tr w:rsidR="00C443F5" w:rsidRPr="00C443F5" w14:paraId="39F9A80A" w14:textId="77777777" w:rsidTr="00397B51">
        <w:trPr>
          <w:trHeight w:val="675"/>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44105C90"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USF Requested Amount After Gross Up</w:t>
            </w:r>
          </w:p>
        </w:tc>
        <w:tc>
          <w:tcPr>
            <w:tcW w:w="2070" w:type="dxa"/>
            <w:tcBorders>
              <w:top w:val="nil"/>
              <w:left w:val="nil"/>
              <w:bottom w:val="single" w:sz="4" w:space="0" w:color="auto"/>
              <w:right w:val="single" w:sz="4" w:space="0" w:color="auto"/>
            </w:tcBorders>
            <w:shd w:val="clear" w:color="auto" w:fill="auto"/>
            <w:vAlign w:val="center"/>
            <w:hideMark/>
          </w:tcPr>
          <w:p w14:paraId="42BBDEB9"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$371,975.58</w:t>
            </w:r>
          </w:p>
        </w:tc>
        <w:tc>
          <w:tcPr>
            <w:tcW w:w="1980" w:type="dxa"/>
            <w:tcBorders>
              <w:top w:val="nil"/>
              <w:left w:val="nil"/>
              <w:bottom w:val="single" w:sz="4" w:space="0" w:color="auto"/>
              <w:right w:val="single" w:sz="4" w:space="0" w:color="auto"/>
            </w:tcBorders>
            <w:shd w:val="clear" w:color="auto" w:fill="auto"/>
            <w:vAlign w:val="center"/>
            <w:hideMark/>
          </w:tcPr>
          <w:p w14:paraId="3C5C3F6A"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FF0000"/>
                <w:sz w:val="16"/>
                <w:szCs w:val="16"/>
              </w:rPr>
              <w:t>($544,062.07)</w:t>
            </w:r>
          </w:p>
        </w:tc>
      </w:tr>
    </w:tbl>
    <w:p w14:paraId="39B05C01" w14:textId="77777777" w:rsidR="00C443F5" w:rsidRPr="00C443F5" w:rsidRDefault="00C443F5" w:rsidP="00C443F5">
      <w:pPr>
        <w:contextualSpacing/>
        <w:jc w:val="both"/>
        <w:rPr>
          <w:b/>
          <w:bCs/>
        </w:rPr>
      </w:pPr>
    </w:p>
    <w:p w14:paraId="3DC65A12" w14:textId="77777777" w:rsidR="00C443F5" w:rsidRPr="00C443F5" w:rsidRDefault="00C443F5" w:rsidP="00C443F5">
      <w:pPr>
        <w:contextualSpacing/>
        <w:jc w:val="both"/>
        <w:rPr>
          <w:b/>
          <w:bCs/>
        </w:rPr>
      </w:pPr>
    </w:p>
    <w:p w14:paraId="7D7A37DB" w14:textId="77777777" w:rsidR="00C443F5" w:rsidRPr="00C443F5" w:rsidRDefault="00C443F5" w:rsidP="00C443F5">
      <w:pPr>
        <w:ind w:firstLine="720"/>
        <w:contextualSpacing/>
        <w:jc w:val="both"/>
        <w:rPr>
          <w:bCs/>
        </w:rPr>
      </w:pPr>
      <w:r w:rsidRPr="00C443F5">
        <w:rPr>
          <w:bCs/>
        </w:rPr>
        <w:t xml:space="preserve">As part of the STF-14-5 ECON-1 assessment, the Athens-Clark County Project </w:t>
      </w:r>
      <w:proofErr w:type="gramStart"/>
      <w:r w:rsidRPr="00C443F5">
        <w:rPr>
          <w:bCs/>
        </w:rPr>
        <w:t>fully</w:t>
      </w:r>
      <w:proofErr w:type="gramEnd"/>
      <w:r w:rsidRPr="00C443F5">
        <w:rPr>
          <w:bCs/>
        </w:rPr>
        <w:t xml:space="preserve"> qualified as an ECON-1 project, as seen in </w:t>
      </w:r>
      <w:r w:rsidRPr="00C443F5">
        <w:rPr>
          <w:b/>
          <w:bCs/>
        </w:rPr>
        <w:t>Table-21</w:t>
      </w:r>
      <w:r w:rsidRPr="00C443F5">
        <w:rPr>
          <w:bCs/>
        </w:rPr>
        <w:t xml:space="preserve"> below. It meets </w:t>
      </w:r>
      <w:proofErr w:type="gramStart"/>
      <w:r w:rsidRPr="00C443F5">
        <w:rPr>
          <w:bCs/>
        </w:rPr>
        <w:t>all of</w:t>
      </w:r>
      <w:proofErr w:type="gramEnd"/>
      <w:r w:rsidRPr="00C443F5">
        <w:rPr>
          <w:bCs/>
        </w:rPr>
        <w:t xml:space="preserve"> the ECON-1 MFR’s. The minimum capital investment required by the potential customer is </w:t>
      </w:r>
      <w:r w:rsidRPr="00C443F5">
        <w:rPr>
          <w:b/>
          <w:bCs/>
        </w:rPr>
        <w:t>$1 million</w:t>
      </w:r>
      <w:r w:rsidRPr="00C443F5">
        <w:rPr>
          <w:bCs/>
        </w:rPr>
        <w:t xml:space="preserve">, and the ECON-1 MFR’s show that there is </w:t>
      </w:r>
      <w:r w:rsidRPr="00C443F5">
        <w:rPr>
          <w:b/>
          <w:bCs/>
        </w:rPr>
        <w:t>$245.4 million</w:t>
      </w:r>
      <w:r w:rsidRPr="00C443F5">
        <w:rPr>
          <w:bCs/>
        </w:rPr>
        <w:t xml:space="preserve"> in planned investments. The minimum number of new jobs to be created is 10, and the MFR shows 1,700 jobs will be created. The minimum tax base dollar amount is </w:t>
      </w:r>
      <w:r w:rsidRPr="00C443F5">
        <w:rPr>
          <w:b/>
          <w:bCs/>
        </w:rPr>
        <w:t>$20,000</w:t>
      </w:r>
      <w:r w:rsidRPr="00C443F5">
        <w:rPr>
          <w:bCs/>
        </w:rPr>
        <w:t xml:space="preserve"> per year, and the MFR’s indicated that the annual estimated tax base will be at least that amount. The minimum amount of 10 dekatherms is required, and the MFR’s showed that there will be an estimated annual 260,000 dekatherms per year. </w:t>
      </w:r>
    </w:p>
    <w:p w14:paraId="54BDCC29" w14:textId="77777777" w:rsidR="00C443F5" w:rsidRPr="00C443F5" w:rsidRDefault="00C443F5" w:rsidP="00C443F5">
      <w:pPr>
        <w:ind w:firstLine="720"/>
        <w:contextualSpacing/>
        <w:jc w:val="both"/>
        <w:rPr>
          <w:bCs/>
        </w:rPr>
      </w:pPr>
    </w:p>
    <w:p w14:paraId="104E27A0" w14:textId="77777777" w:rsidR="00C443F5" w:rsidRPr="00C443F5" w:rsidRDefault="00C443F5" w:rsidP="00C443F5">
      <w:pPr>
        <w:ind w:firstLine="720"/>
        <w:contextualSpacing/>
        <w:jc w:val="both"/>
        <w:rPr>
          <w:bCs/>
        </w:rPr>
      </w:pPr>
      <w:r w:rsidRPr="00C443F5">
        <w:rPr>
          <w:bCs/>
        </w:rPr>
        <w:t>The Commission has the option of using the ECON-1 surcharge as the recovery mechanism for the Athens-Clark County Project. The maximum amount approved for recovery through the ECON-1 tariff is $25 million a year that resets on January 1</w:t>
      </w:r>
      <w:r w:rsidRPr="00C443F5">
        <w:rPr>
          <w:bCs/>
          <w:vertAlign w:val="superscript"/>
        </w:rPr>
        <w:t>st</w:t>
      </w:r>
      <w:r w:rsidRPr="00C443F5">
        <w:rPr>
          <w:bCs/>
        </w:rPr>
        <w:t xml:space="preserve"> of each year. There is $25 million available for 2024.</w:t>
      </w:r>
    </w:p>
    <w:p w14:paraId="2152D9BA" w14:textId="77777777" w:rsidR="00C443F5" w:rsidRPr="00C443F5" w:rsidRDefault="00C443F5" w:rsidP="00C443F5">
      <w:pPr>
        <w:contextualSpacing/>
        <w:jc w:val="both"/>
        <w:rPr>
          <w:bCs/>
        </w:rPr>
      </w:pPr>
    </w:p>
    <w:p w14:paraId="02777BAE" w14:textId="77777777" w:rsidR="00C443F5" w:rsidRPr="00C443F5" w:rsidRDefault="00C443F5" w:rsidP="00C443F5">
      <w:pPr>
        <w:contextualSpacing/>
        <w:jc w:val="both"/>
        <w:rPr>
          <w:bCs/>
        </w:rPr>
      </w:pPr>
    </w:p>
    <w:p w14:paraId="3CD08426" w14:textId="77777777" w:rsidR="00C443F5" w:rsidRPr="00C443F5" w:rsidRDefault="00C443F5" w:rsidP="00C443F5">
      <w:pPr>
        <w:contextualSpacing/>
        <w:jc w:val="both"/>
        <w:rPr>
          <w:bCs/>
        </w:rPr>
      </w:pPr>
    </w:p>
    <w:p w14:paraId="266A79A7" w14:textId="77777777" w:rsidR="00C443F5" w:rsidRPr="00C443F5" w:rsidRDefault="00C443F5" w:rsidP="00C443F5">
      <w:pPr>
        <w:contextualSpacing/>
        <w:jc w:val="both"/>
        <w:rPr>
          <w:bCs/>
        </w:rPr>
      </w:pPr>
    </w:p>
    <w:p w14:paraId="5DC9CFF6" w14:textId="77777777" w:rsidR="00C443F5" w:rsidRPr="00C443F5" w:rsidRDefault="00C443F5" w:rsidP="00C443F5">
      <w:pPr>
        <w:contextualSpacing/>
        <w:jc w:val="both"/>
        <w:rPr>
          <w:bCs/>
        </w:rPr>
      </w:pPr>
    </w:p>
    <w:p w14:paraId="223BF778" w14:textId="77777777" w:rsidR="00C443F5" w:rsidRPr="00C443F5" w:rsidRDefault="00C443F5" w:rsidP="00C443F5">
      <w:pPr>
        <w:contextualSpacing/>
        <w:jc w:val="both"/>
        <w:rPr>
          <w:bCs/>
        </w:rPr>
      </w:pPr>
    </w:p>
    <w:p w14:paraId="71918E08" w14:textId="77777777" w:rsidR="00C443F5" w:rsidRPr="00C443F5" w:rsidRDefault="00C443F5" w:rsidP="00C443F5">
      <w:pPr>
        <w:contextualSpacing/>
        <w:jc w:val="both"/>
        <w:rPr>
          <w:bCs/>
        </w:rPr>
      </w:pPr>
    </w:p>
    <w:p w14:paraId="7802C822" w14:textId="77777777" w:rsidR="00C443F5" w:rsidRPr="00C443F5" w:rsidRDefault="00C443F5" w:rsidP="00C443F5">
      <w:pPr>
        <w:contextualSpacing/>
        <w:jc w:val="both"/>
        <w:rPr>
          <w:bCs/>
        </w:rPr>
      </w:pPr>
    </w:p>
    <w:p w14:paraId="1DC4AAAD" w14:textId="77777777" w:rsidR="00C443F5" w:rsidRPr="00C443F5" w:rsidRDefault="00C443F5" w:rsidP="00C443F5">
      <w:pPr>
        <w:contextualSpacing/>
        <w:jc w:val="both"/>
        <w:rPr>
          <w:bCs/>
        </w:rPr>
      </w:pPr>
    </w:p>
    <w:p w14:paraId="1CD47F19" w14:textId="77777777" w:rsidR="00C443F5" w:rsidRPr="00C443F5" w:rsidRDefault="00C443F5" w:rsidP="00C443F5">
      <w:pPr>
        <w:contextualSpacing/>
        <w:jc w:val="both"/>
        <w:rPr>
          <w:bCs/>
        </w:rPr>
      </w:pPr>
    </w:p>
    <w:p w14:paraId="1F1CAA2A" w14:textId="77777777" w:rsidR="00C443F5" w:rsidRPr="00C443F5" w:rsidRDefault="00C443F5" w:rsidP="00C443F5">
      <w:pPr>
        <w:contextualSpacing/>
        <w:jc w:val="both"/>
        <w:rPr>
          <w:bCs/>
        </w:rPr>
      </w:pPr>
    </w:p>
    <w:p w14:paraId="29B8DD0F" w14:textId="77777777" w:rsidR="00C443F5" w:rsidRPr="00C443F5" w:rsidRDefault="00C443F5" w:rsidP="00C443F5">
      <w:pPr>
        <w:contextualSpacing/>
        <w:jc w:val="both"/>
        <w:rPr>
          <w:bCs/>
        </w:rPr>
      </w:pPr>
    </w:p>
    <w:p w14:paraId="34054D16" w14:textId="77777777" w:rsidR="00C443F5" w:rsidRPr="00C443F5" w:rsidRDefault="00C443F5" w:rsidP="00C443F5">
      <w:pPr>
        <w:contextualSpacing/>
        <w:jc w:val="both"/>
        <w:rPr>
          <w:b/>
          <w:bCs/>
        </w:rPr>
      </w:pPr>
      <w:r w:rsidRPr="00C443F5">
        <w:rPr>
          <w:b/>
          <w:bCs/>
        </w:rPr>
        <w:t>Table-21: Athens-Clark County Project ECON-1 Assessment</w:t>
      </w:r>
    </w:p>
    <w:tbl>
      <w:tblPr>
        <w:tblW w:w="8600" w:type="dxa"/>
        <w:tblInd w:w="-5" w:type="dxa"/>
        <w:tblLook w:val="04A0" w:firstRow="1" w:lastRow="0" w:firstColumn="1" w:lastColumn="0" w:noHBand="0" w:noVBand="1"/>
      </w:tblPr>
      <w:tblGrid>
        <w:gridCol w:w="2080"/>
        <w:gridCol w:w="3780"/>
        <w:gridCol w:w="2740"/>
      </w:tblGrid>
      <w:tr w:rsidR="00C443F5" w:rsidRPr="00C443F5" w14:paraId="4DB73DB0" w14:textId="77777777" w:rsidTr="00397B51">
        <w:trPr>
          <w:trHeight w:val="900"/>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6B0727"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 xml:space="preserve">ECON-1 Project </w:t>
            </w:r>
            <w:r w:rsidRPr="00C443F5">
              <w:rPr>
                <w:rFonts w:ascii="Arial" w:hAnsi="Arial" w:cs="Arial"/>
                <w:b/>
                <w:bCs/>
                <w:color w:val="000000"/>
                <w:sz w:val="16"/>
                <w:szCs w:val="16"/>
                <w:u w:val="single"/>
              </w:rPr>
              <w:t xml:space="preserve">Minimum </w:t>
            </w:r>
            <w:r w:rsidRPr="00C443F5">
              <w:rPr>
                <w:rFonts w:ascii="Arial" w:hAnsi="Arial" w:cs="Arial"/>
                <w:b/>
                <w:bCs/>
                <w:color w:val="000000"/>
                <w:sz w:val="16"/>
                <w:szCs w:val="16"/>
              </w:rPr>
              <w:t xml:space="preserve">Economic Development </w:t>
            </w:r>
            <w:r w:rsidRPr="00C443F5">
              <w:rPr>
                <w:rFonts w:ascii="Arial" w:hAnsi="Arial" w:cs="Arial"/>
                <w:b/>
                <w:bCs/>
                <w:color w:val="000000"/>
                <w:sz w:val="16"/>
                <w:szCs w:val="16"/>
                <w:u w:val="single"/>
              </w:rPr>
              <w:t>Benefit</w:t>
            </w:r>
            <w:r w:rsidRPr="00C443F5">
              <w:rPr>
                <w:rFonts w:ascii="Arial" w:hAnsi="Arial" w:cs="Arial"/>
                <w:b/>
                <w:bCs/>
                <w:color w:val="000000"/>
                <w:sz w:val="16"/>
                <w:szCs w:val="16"/>
              </w:rPr>
              <w:t xml:space="preserve"> </w:t>
            </w:r>
            <w:r w:rsidRPr="00C443F5">
              <w:rPr>
                <w:rFonts w:ascii="Arial" w:hAnsi="Arial" w:cs="Arial"/>
                <w:b/>
                <w:bCs/>
                <w:color w:val="000000"/>
                <w:sz w:val="16"/>
                <w:szCs w:val="16"/>
                <w:u w:val="single"/>
              </w:rPr>
              <w:t>Requirements</w:t>
            </w:r>
            <w:r w:rsidRPr="00C443F5">
              <w:rPr>
                <w:rFonts w:ascii="Arial" w:hAnsi="Arial" w:cs="Arial"/>
                <w:b/>
                <w:bCs/>
                <w:color w:val="000000"/>
                <w:sz w:val="16"/>
                <w:szCs w:val="16"/>
              </w:rPr>
              <w:t xml:space="preserve"> (“MBR”)</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14:paraId="06FE4BEC"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Customer or Project ID</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14:paraId="64B34DA9" w14:textId="77777777" w:rsidR="00C443F5" w:rsidRPr="00C443F5" w:rsidRDefault="00C443F5" w:rsidP="00C443F5">
            <w:pPr>
              <w:jc w:val="center"/>
              <w:rPr>
                <w:rFonts w:ascii="Arial" w:hAnsi="Arial" w:cs="Arial"/>
                <w:b/>
                <w:bCs/>
                <w:sz w:val="16"/>
                <w:szCs w:val="16"/>
              </w:rPr>
            </w:pPr>
            <w:r w:rsidRPr="00C443F5">
              <w:rPr>
                <w:rFonts w:ascii="Arial" w:hAnsi="Arial" w:cs="Arial"/>
                <w:b/>
                <w:bCs/>
                <w:sz w:val="16"/>
                <w:szCs w:val="16"/>
              </w:rPr>
              <w:t>Meissner(Project Trinity)</w:t>
            </w:r>
          </w:p>
        </w:tc>
      </w:tr>
      <w:tr w:rsidR="00C443F5" w:rsidRPr="00C443F5" w14:paraId="6363FC2D" w14:textId="77777777" w:rsidTr="00397B51">
        <w:trPr>
          <w:trHeight w:val="225"/>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09C654FE"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3780" w:type="dxa"/>
            <w:tcBorders>
              <w:top w:val="nil"/>
              <w:left w:val="nil"/>
              <w:bottom w:val="single" w:sz="4" w:space="0" w:color="auto"/>
              <w:right w:val="single" w:sz="4" w:space="0" w:color="auto"/>
            </w:tcBorders>
            <w:shd w:val="clear" w:color="auto" w:fill="auto"/>
            <w:vAlign w:val="bottom"/>
            <w:hideMark/>
          </w:tcPr>
          <w:p w14:paraId="18B755C3"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Location</w:t>
            </w:r>
          </w:p>
        </w:tc>
        <w:tc>
          <w:tcPr>
            <w:tcW w:w="2740" w:type="dxa"/>
            <w:tcBorders>
              <w:top w:val="nil"/>
              <w:left w:val="nil"/>
              <w:bottom w:val="single" w:sz="4" w:space="0" w:color="auto"/>
              <w:right w:val="single" w:sz="4" w:space="0" w:color="auto"/>
            </w:tcBorders>
            <w:shd w:val="clear" w:color="auto" w:fill="auto"/>
            <w:noWrap/>
            <w:vAlign w:val="bottom"/>
            <w:hideMark/>
          </w:tcPr>
          <w:p w14:paraId="4C61EA3D" w14:textId="77777777" w:rsidR="00C443F5" w:rsidRPr="00C443F5" w:rsidRDefault="00C443F5" w:rsidP="00C443F5">
            <w:pPr>
              <w:jc w:val="center"/>
              <w:rPr>
                <w:rFonts w:ascii="Arial" w:hAnsi="Arial" w:cs="Arial"/>
                <w:b/>
                <w:bCs/>
                <w:sz w:val="16"/>
                <w:szCs w:val="16"/>
              </w:rPr>
            </w:pPr>
            <w:r w:rsidRPr="00C443F5">
              <w:rPr>
                <w:rFonts w:ascii="Arial" w:hAnsi="Arial" w:cs="Arial"/>
                <w:b/>
                <w:bCs/>
                <w:sz w:val="16"/>
                <w:szCs w:val="16"/>
              </w:rPr>
              <w:t>Athens Clarke County</w:t>
            </w:r>
          </w:p>
        </w:tc>
      </w:tr>
      <w:tr w:rsidR="00C443F5" w:rsidRPr="00C443F5" w14:paraId="2EED66E1" w14:textId="77777777" w:rsidTr="00397B51">
        <w:trPr>
          <w:trHeight w:val="225"/>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0DCE3845"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3780" w:type="dxa"/>
            <w:tcBorders>
              <w:top w:val="nil"/>
              <w:left w:val="nil"/>
              <w:bottom w:val="single" w:sz="4" w:space="0" w:color="auto"/>
              <w:right w:val="single" w:sz="4" w:space="0" w:color="auto"/>
            </w:tcBorders>
            <w:shd w:val="clear" w:color="auto" w:fill="auto"/>
            <w:vAlign w:val="bottom"/>
            <w:hideMark/>
          </w:tcPr>
          <w:p w14:paraId="3B517473"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AGL Certificated to Serve Location?</w:t>
            </w:r>
          </w:p>
        </w:tc>
        <w:tc>
          <w:tcPr>
            <w:tcW w:w="2740" w:type="dxa"/>
            <w:tcBorders>
              <w:top w:val="nil"/>
              <w:left w:val="nil"/>
              <w:bottom w:val="single" w:sz="4" w:space="0" w:color="auto"/>
              <w:right w:val="single" w:sz="4" w:space="0" w:color="auto"/>
            </w:tcBorders>
            <w:shd w:val="clear" w:color="auto" w:fill="auto"/>
            <w:vAlign w:val="bottom"/>
            <w:hideMark/>
          </w:tcPr>
          <w:p w14:paraId="3EED4142"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Yes</w:t>
            </w:r>
          </w:p>
        </w:tc>
      </w:tr>
      <w:tr w:rsidR="00C443F5" w:rsidRPr="00C443F5" w14:paraId="756CFCBB" w14:textId="77777777" w:rsidTr="00397B51">
        <w:trPr>
          <w:trHeight w:val="225"/>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6490A0C6"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3780" w:type="dxa"/>
            <w:tcBorders>
              <w:top w:val="nil"/>
              <w:left w:val="nil"/>
              <w:bottom w:val="single" w:sz="4" w:space="0" w:color="auto"/>
              <w:right w:val="single" w:sz="4" w:space="0" w:color="auto"/>
            </w:tcBorders>
            <w:shd w:val="clear" w:color="auto" w:fill="auto"/>
            <w:vAlign w:val="bottom"/>
            <w:hideMark/>
          </w:tcPr>
          <w:p w14:paraId="1B74C05F"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Availability</w:t>
            </w:r>
          </w:p>
        </w:tc>
        <w:tc>
          <w:tcPr>
            <w:tcW w:w="2740" w:type="dxa"/>
            <w:tcBorders>
              <w:top w:val="nil"/>
              <w:left w:val="nil"/>
              <w:bottom w:val="single" w:sz="4" w:space="0" w:color="auto"/>
              <w:right w:val="single" w:sz="4" w:space="0" w:color="auto"/>
            </w:tcBorders>
            <w:shd w:val="clear" w:color="auto" w:fill="auto"/>
            <w:noWrap/>
            <w:vAlign w:val="bottom"/>
            <w:hideMark/>
          </w:tcPr>
          <w:p w14:paraId="6904BA53"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New Business</w:t>
            </w:r>
          </w:p>
        </w:tc>
      </w:tr>
      <w:tr w:rsidR="00C443F5" w:rsidRPr="00C443F5" w14:paraId="58500914" w14:textId="77777777" w:rsidTr="00397B51">
        <w:trPr>
          <w:trHeight w:val="225"/>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7128986D"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3780" w:type="dxa"/>
            <w:tcBorders>
              <w:top w:val="nil"/>
              <w:left w:val="nil"/>
              <w:bottom w:val="single" w:sz="4" w:space="0" w:color="auto"/>
              <w:right w:val="single" w:sz="4" w:space="0" w:color="auto"/>
            </w:tcBorders>
            <w:shd w:val="clear" w:color="auto" w:fill="auto"/>
            <w:vAlign w:val="bottom"/>
            <w:hideMark/>
          </w:tcPr>
          <w:p w14:paraId="3D6C8F99"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Anticipated Rate Schedule</w:t>
            </w:r>
          </w:p>
        </w:tc>
        <w:tc>
          <w:tcPr>
            <w:tcW w:w="2740" w:type="dxa"/>
            <w:tcBorders>
              <w:top w:val="nil"/>
              <w:left w:val="nil"/>
              <w:bottom w:val="single" w:sz="4" w:space="0" w:color="auto"/>
              <w:right w:val="single" w:sz="4" w:space="0" w:color="auto"/>
            </w:tcBorders>
            <w:shd w:val="clear" w:color="auto" w:fill="auto"/>
            <w:noWrap/>
            <w:vAlign w:val="bottom"/>
            <w:hideMark/>
          </w:tcPr>
          <w:p w14:paraId="08CDC01F"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G-11</w:t>
            </w:r>
          </w:p>
        </w:tc>
      </w:tr>
      <w:tr w:rsidR="00C443F5" w:rsidRPr="00C443F5" w14:paraId="387CB7F4" w14:textId="77777777" w:rsidTr="00397B51">
        <w:trPr>
          <w:trHeight w:val="45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1179175D"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lastRenderedPageBreak/>
              <w:t> </w:t>
            </w:r>
          </w:p>
        </w:tc>
        <w:tc>
          <w:tcPr>
            <w:tcW w:w="3780" w:type="dxa"/>
            <w:tcBorders>
              <w:top w:val="nil"/>
              <w:left w:val="nil"/>
              <w:bottom w:val="single" w:sz="4" w:space="0" w:color="auto"/>
              <w:right w:val="single" w:sz="4" w:space="0" w:color="auto"/>
            </w:tcBorders>
            <w:shd w:val="clear" w:color="auto" w:fill="auto"/>
            <w:vAlign w:val="bottom"/>
            <w:hideMark/>
          </w:tcPr>
          <w:p w14:paraId="6D820F1E"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Organization Requesting Service</w:t>
            </w:r>
          </w:p>
        </w:tc>
        <w:tc>
          <w:tcPr>
            <w:tcW w:w="2740" w:type="dxa"/>
            <w:tcBorders>
              <w:top w:val="nil"/>
              <w:left w:val="nil"/>
              <w:bottom w:val="single" w:sz="4" w:space="0" w:color="auto"/>
              <w:right w:val="single" w:sz="4" w:space="0" w:color="auto"/>
            </w:tcBorders>
            <w:shd w:val="clear" w:color="auto" w:fill="auto"/>
            <w:vAlign w:val="bottom"/>
            <w:hideMark/>
          </w:tcPr>
          <w:p w14:paraId="318AE4EA" w14:textId="77777777" w:rsidR="00C443F5" w:rsidRPr="00C443F5" w:rsidRDefault="00C443F5" w:rsidP="00C443F5">
            <w:pPr>
              <w:jc w:val="center"/>
              <w:rPr>
                <w:rFonts w:ascii="Arial" w:hAnsi="Arial" w:cs="Arial"/>
                <w:b/>
                <w:bCs/>
                <w:sz w:val="16"/>
                <w:szCs w:val="16"/>
              </w:rPr>
            </w:pPr>
            <w:r w:rsidRPr="00C443F5">
              <w:rPr>
                <w:rFonts w:ascii="Arial" w:hAnsi="Arial" w:cs="Arial"/>
                <w:b/>
                <w:bCs/>
                <w:sz w:val="16"/>
                <w:szCs w:val="16"/>
              </w:rPr>
              <w:t>Athens Econ Development Authority</w:t>
            </w:r>
          </w:p>
        </w:tc>
      </w:tr>
      <w:tr w:rsidR="00C443F5" w:rsidRPr="00C443F5" w14:paraId="2CC806E9" w14:textId="77777777" w:rsidTr="00397B51">
        <w:trPr>
          <w:trHeight w:val="225"/>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23A9E867"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3780" w:type="dxa"/>
            <w:tcBorders>
              <w:top w:val="nil"/>
              <w:left w:val="nil"/>
              <w:bottom w:val="single" w:sz="4" w:space="0" w:color="auto"/>
              <w:right w:val="single" w:sz="4" w:space="0" w:color="auto"/>
            </w:tcBorders>
            <w:shd w:val="clear" w:color="auto" w:fill="auto"/>
            <w:vAlign w:val="bottom"/>
            <w:hideMark/>
          </w:tcPr>
          <w:p w14:paraId="48458C50"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Customer Name</w:t>
            </w:r>
          </w:p>
        </w:tc>
        <w:tc>
          <w:tcPr>
            <w:tcW w:w="2740" w:type="dxa"/>
            <w:tcBorders>
              <w:top w:val="nil"/>
              <w:left w:val="nil"/>
              <w:bottom w:val="single" w:sz="4" w:space="0" w:color="auto"/>
              <w:right w:val="single" w:sz="4" w:space="0" w:color="auto"/>
            </w:tcBorders>
            <w:shd w:val="clear" w:color="auto" w:fill="auto"/>
            <w:vAlign w:val="bottom"/>
            <w:hideMark/>
          </w:tcPr>
          <w:p w14:paraId="2F24AB2F" w14:textId="77777777" w:rsidR="00C443F5" w:rsidRPr="00C443F5" w:rsidRDefault="00C443F5" w:rsidP="00C443F5">
            <w:pPr>
              <w:jc w:val="center"/>
              <w:rPr>
                <w:rFonts w:ascii="Arial" w:hAnsi="Arial" w:cs="Arial"/>
                <w:b/>
                <w:bCs/>
                <w:sz w:val="16"/>
                <w:szCs w:val="16"/>
              </w:rPr>
            </w:pPr>
            <w:r w:rsidRPr="00C443F5">
              <w:rPr>
                <w:rFonts w:ascii="Arial" w:hAnsi="Arial" w:cs="Arial"/>
                <w:b/>
                <w:bCs/>
                <w:sz w:val="16"/>
                <w:szCs w:val="16"/>
              </w:rPr>
              <w:t>Meissner(Project Trinity)</w:t>
            </w:r>
          </w:p>
        </w:tc>
      </w:tr>
      <w:tr w:rsidR="00C443F5" w:rsidRPr="00C443F5" w14:paraId="14944D80" w14:textId="77777777" w:rsidTr="00397B51">
        <w:trPr>
          <w:trHeight w:val="90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10BDF483"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Tariff Sheet 27(3)(c)(</w:t>
            </w:r>
            <w:proofErr w:type="spellStart"/>
            <w:r w:rsidRPr="00C443F5">
              <w:rPr>
                <w:rFonts w:ascii="Arial" w:hAnsi="Arial" w:cs="Arial"/>
                <w:b/>
                <w:bCs/>
                <w:sz w:val="16"/>
                <w:szCs w:val="16"/>
              </w:rPr>
              <w:t>i</w:t>
            </w:r>
            <w:proofErr w:type="spellEnd"/>
            <w:r w:rsidRPr="00C443F5">
              <w:rPr>
                <w:rFonts w:ascii="Arial" w:hAnsi="Arial" w:cs="Arial"/>
                <w:b/>
                <w:bCs/>
                <w:sz w:val="16"/>
                <w:szCs w:val="16"/>
              </w:rPr>
              <w:t>): MBR-1</w:t>
            </w:r>
          </w:p>
        </w:tc>
        <w:tc>
          <w:tcPr>
            <w:tcW w:w="3780" w:type="dxa"/>
            <w:tcBorders>
              <w:top w:val="nil"/>
              <w:left w:val="nil"/>
              <w:bottom w:val="single" w:sz="4" w:space="0" w:color="auto"/>
              <w:right w:val="single" w:sz="4" w:space="0" w:color="auto"/>
            </w:tcBorders>
            <w:shd w:val="clear" w:color="auto" w:fill="auto"/>
            <w:vAlign w:val="bottom"/>
            <w:hideMark/>
          </w:tcPr>
          <w:p w14:paraId="6259ED3A"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 xml:space="preserve">Capital investment, other than by the Company, </w:t>
            </w:r>
            <w:proofErr w:type="gramStart"/>
            <w:r w:rsidRPr="00C443F5">
              <w:rPr>
                <w:rFonts w:ascii="Arial" w:hAnsi="Arial" w:cs="Arial"/>
                <w:b/>
                <w:bCs/>
                <w:color w:val="000000"/>
                <w:sz w:val="16"/>
                <w:szCs w:val="16"/>
              </w:rPr>
              <w:t>in excess of</w:t>
            </w:r>
            <w:proofErr w:type="gramEnd"/>
            <w:r w:rsidRPr="00C443F5">
              <w:rPr>
                <w:rFonts w:ascii="Arial" w:hAnsi="Arial" w:cs="Arial"/>
                <w:b/>
                <w:bCs/>
                <w:color w:val="000000"/>
                <w:sz w:val="16"/>
                <w:szCs w:val="16"/>
              </w:rPr>
              <w:t xml:space="preserve"> $1 million in new facilities or expansion of existing facilities with a purchase of new equipment; and </w:t>
            </w:r>
          </w:p>
        </w:tc>
        <w:tc>
          <w:tcPr>
            <w:tcW w:w="2740" w:type="dxa"/>
            <w:tcBorders>
              <w:top w:val="nil"/>
              <w:left w:val="nil"/>
              <w:bottom w:val="single" w:sz="4" w:space="0" w:color="auto"/>
              <w:right w:val="single" w:sz="4" w:space="0" w:color="auto"/>
            </w:tcBorders>
            <w:shd w:val="clear" w:color="auto" w:fill="auto"/>
            <w:vAlign w:val="center"/>
            <w:hideMark/>
          </w:tcPr>
          <w:p w14:paraId="2EEEA748"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$245.4</w:t>
            </w:r>
          </w:p>
        </w:tc>
      </w:tr>
      <w:tr w:rsidR="00C443F5" w:rsidRPr="00C443F5" w14:paraId="5C009280" w14:textId="77777777" w:rsidTr="00397B51">
        <w:trPr>
          <w:trHeight w:val="225"/>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186DE0E6"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3780" w:type="dxa"/>
            <w:tcBorders>
              <w:top w:val="nil"/>
              <w:left w:val="nil"/>
              <w:bottom w:val="single" w:sz="4" w:space="0" w:color="auto"/>
              <w:right w:val="single" w:sz="4" w:space="0" w:color="auto"/>
            </w:tcBorders>
            <w:shd w:val="clear" w:color="auto" w:fill="auto"/>
            <w:vAlign w:val="bottom"/>
            <w:hideMark/>
          </w:tcPr>
          <w:p w14:paraId="4A599046"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Customer Capital Investment Purposes</w:t>
            </w:r>
          </w:p>
        </w:tc>
        <w:tc>
          <w:tcPr>
            <w:tcW w:w="2740" w:type="dxa"/>
            <w:tcBorders>
              <w:top w:val="nil"/>
              <w:left w:val="nil"/>
              <w:bottom w:val="single" w:sz="4" w:space="0" w:color="auto"/>
              <w:right w:val="single" w:sz="4" w:space="0" w:color="auto"/>
            </w:tcBorders>
            <w:shd w:val="clear" w:color="auto" w:fill="auto"/>
            <w:noWrap/>
            <w:vAlign w:val="bottom"/>
            <w:hideMark/>
          </w:tcPr>
          <w:p w14:paraId="6900BA86"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w:t>
            </w:r>
          </w:p>
        </w:tc>
      </w:tr>
      <w:tr w:rsidR="00C443F5" w:rsidRPr="00C443F5" w14:paraId="725CA6D6" w14:textId="77777777" w:rsidTr="00397B51">
        <w:trPr>
          <w:trHeight w:val="225"/>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1D0120F4"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3780" w:type="dxa"/>
            <w:tcBorders>
              <w:top w:val="nil"/>
              <w:left w:val="nil"/>
              <w:bottom w:val="single" w:sz="4" w:space="0" w:color="auto"/>
              <w:right w:val="single" w:sz="4" w:space="0" w:color="auto"/>
            </w:tcBorders>
            <w:shd w:val="clear" w:color="auto" w:fill="auto"/>
            <w:vAlign w:val="bottom"/>
            <w:hideMark/>
          </w:tcPr>
          <w:p w14:paraId="4F59EC0F"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xml:space="preserve">   Land</w:t>
            </w:r>
          </w:p>
        </w:tc>
        <w:tc>
          <w:tcPr>
            <w:tcW w:w="2740" w:type="dxa"/>
            <w:tcBorders>
              <w:top w:val="nil"/>
              <w:left w:val="nil"/>
              <w:bottom w:val="single" w:sz="4" w:space="0" w:color="auto"/>
              <w:right w:val="single" w:sz="4" w:space="0" w:color="auto"/>
            </w:tcBorders>
            <w:shd w:val="clear" w:color="auto" w:fill="auto"/>
            <w:noWrap/>
            <w:vAlign w:val="bottom"/>
            <w:hideMark/>
          </w:tcPr>
          <w:p w14:paraId="47C1D6DD"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xml:space="preserve"> $7.44 million </w:t>
            </w:r>
          </w:p>
        </w:tc>
      </w:tr>
      <w:tr w:rsidR="00C443F5" w:rsidRPr="00C443F5" w14:paraId="33AD1355" w14:textId="77777777" w:rsidTr="00397B51">
        <w:trPr>
          <w:trHeight w:val="225"/>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677955AD"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xml:space="preserve"> </w:t>
            </w:r>
          </w:p>
        </w:tc>
        <w:tc>
          <w:tcPr>
            <w:tcW w:w="3780" w:type="dxa"/>
            <w:tcBorders>
              <w:top w:val="nil"/>
              <w:left w:val="nil"/>
              <w:bottom w:val="single" w:sz="4" w:space="0" w:color="auto"/>
              <w:right w:val="single" w:sz="4" w:space="0" w:color="auto"/>
            </w:tcBorders>
            <w:shd w:val="clear" w:color="auto" w:fill="auto"/>
            <w:vAlign w:val="bottom"/>
            <w:hideMark/>
          </w:tcPr>
          <w:p w14:paraId="34D8CA74"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xml:space="preserve">   Plant</w:t>
            </w:r>
          </w:p>
        </w:tc>
        <w:tc>
          <w:tcPr>
            <w:tcW w:w="2740" w:type="dxa"/>
            <w:tcBorders>
              <w:top w:val="nil"/>
              <w:left w:val="nil"/>
              <w:bottom w:val="single" w:sz="4" w:space="0" w:color="auto"/>
              <w:right w:val="single" w:sz="4" w:space="0" w:color="auto"/>
            </w:tcBorders>
            <w:shd w:val="clear" w:color="auto" w:fill="auto"/>
            <w:noWrap/>
            <w:vAlign w:val="bottom"/>
            <w:hideMark/>
          </w:tcPr>
          <w:p w14:paraId="7BDBA099"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xml:space="preserve"> $138 million </w:t>
            </w:r>
          </w:p>
        </w:tc>
      </w:tr>
      <w:tr w:rsidR="00C443F5" w:rsidRPr="00C443F5" w14:paraId="5493004E" w14:textId="77777777" w:rsidTr="00397B51">
        <w:trPr>
          <w:trHeight w:val="225"/>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11CB6033"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3780" w:type="dxa"/>
            <w:tcBorders>
              <w:top w:val="nil"/>
              <w:left w:val="nil"/>
              <w:bottom w:val="single" w:sz="4" w:space="0" w:color="auto"/>
              <w:right w:val="single" w:sz="4" w:space="0" w:color="auto"/>
            </w:tcBorders>
            <w:shd w:val="clear" w:color="auto" w:fill="auto"/>
            <w:vAlign w:val="bottom"/>
            <w:hideMark/>
          </w:tcPr>
          <w:p w14:paraId="42364078"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xml:space="preserve">   Equipment</w:t>
            </w:r>
          </w:p>
        </w:tc>
        <w:tc>
          <w:tcPr>
            <w:tcW w:w="2740" w:type="dxa"/>
            <w:tcBorders>
              <w:top w:val="nil"/>
              <w:left w:val="nil"/>
              <w:bottom w:val="single" w:sz="4" w:space="0" w:color="auto"/>
              <w:right w:val="single" w:sz="4" w:space="0" w:color="auto"/>
            </w:tcBorders>
            <w:shd w:val="clear" w:color="auto" w:fill="auto"/>
            <w:noWrap/>
            <w:vAlign w:val="bottom"/>
            <w:hideMark/>
          </w:tcPr>
          <w:p w14:paraId="3654216C"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xml:space="preserve"> $99.96 million </w:t>
            </w:r>
          </w:p>
        </w:tc>
      </w:tr>
      <w:tr w:rsidR="00C443F5" w:rsidRPr="00C443F5" w14:paraId="694D21CB" w14:textId="77777777" w:rsidTr="00397B51">
        <w:trPr>
          <w:trHeight w:val="225"/>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267F8289"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3780" w:type="dxa"/>
            <w:tcBorders>
              <w:top w:val="nil"/>
              <w:left w:val="nil"/>
              <w:bottom w:val="single" w:sz="4" w:space="0" w:color="auto"/>
              <w:right w:val="single" w:sz="4" w:space="0" w:color="auto"/>
            </w:tcBorders>
            <w:shd w:val="clear" w:color="auto" w:fill="auto"/>
            <w:vAlign w:val="bottom"/>
            <w:hideMark/>
          </w:tcPr>
          <w:p w14:paraId="04BF7F37"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xml:space="preserve">   Vehicles</w:t>
            </w:r>
          </w:p>
        </w:tc>
        <w:tc>
          <w:tcPr>
            <w:tcW w:w="2740" w:type="dxa"/>
            <w:tcBorders>
              <w:top w:val="nil"/>
              <w:left w:val="nil"/>
              <w:bottom w:val="single" w:sz="4" w:space="0" w:color="auto"/>
              <w:right w:val="single" w:sz="4" w:space="0" w:color="auto"/>
            </w:tcBorders>
            <w:shd w:val="clear" w:color="auto" w:fill="auto"/>
            <w:noWrap/>
            <w:vAlign w:val="bottom"/>
            <w:hideMark/>
          </w:tcPr>
          <w:p w14:paraId="4180125C"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xml:space="preserve"> $                                                    -  </w:t>
            </w:r>
          </w:p>
        </w:tc>
      </w:tr>
      <w:tr w:rsidR="00C443F5" w:rsidRPr="00C443F5" w14:paraId="414B7FF1" w14:textId="77777777" w:rsidTr="00397B51">
        <w:trPr>
          <w:trHeight w:val="225"/>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4F1668CC"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3780" w:type="dxa"/>
            <w:tcBorders>
              <w:top w:val="nil"/>
              <w:left w:val="nil"/>
              <w:bottom w:val="single" w:sz="4" w:space="0" w:color="auto"/>
              <w:right w:val="single" w:sz="4" w:space="0" w:color="auto"/>
            </w:tcBorders>
            <w:shd w:val="clear" w:color="auto" w:fill="auto"/>
            <w:vAlign w:val="bottom"/>
            <w:hideMark/>
          </w:tcPr>
          <w:p w14:paraId="29BF4436"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xml:space="preserve">   Other (Explain)</w:t>
            </w:r>
          </w:p>
        </w:tc>
        <w:tc>
          <w:tcPr>
            <w:tcW w:w="2740" w:type="dxa"/>
            <w:tcBorders>
              <w:top w:val="nil"/>
              <w:left w:val="nil"/>
              <w:bottom w:val="single" w:sz="4" w:space="0" w:color="auto"/>
              <w:right w:val="single" w:sz="4" w:space="0" w:color="auto"/>
            </w:tcBorders>
            <w:shd w:val="clear" w:color="auto" w:fill="auto"/>
            <w:noWrap/>
            <w:vAlign w:val="bottom"/>
            <w:hideMark/>
          </w:tcPr>
          <w:p w14:paraId="29A886E3"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xml:space="preserve"> $                                                    -  </w:t>
            </w:r>
          </w:p>
        </w:tc>
      </w:tr>
      <w:tr w:rsidR="00C443F5" w:rsidRPr="00C443F5" w14:paraId="0F8A6C7F" w14:textId="77777777" w:rsidTr="00397B51">
        <w:trPr>
          <w:trHeight w:val="225"/>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0878135A"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3780" w:type="dxa"/>
            <w:tcBorders>
              <w:top w:val="nil"/>
              <w:left w:val="nil"/>
              <w:bottom w:val="single" w:sz="4" w:space="0" w:color="auto"/>
              <w:right w:val="single" w:sz="4" w:space="0" w:color="auto"/>
            </w:tcBorders>
            <w:shd w:val="clear" w:color="auto" w:fill="auto"/>
            <w:vAlign w:val="bottom"/>
            <w:hideMark/>
          </w:tcPr>
          <w:p w14:paraId="018B0C29"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Estimated Meters Addition</w:t>
            </w:r>
          </w:p>
        </w:tc>
        <w:tc>
          <w:tcPr>
            <w:tcW w:w="2740" w:type="dxa"/>
            <w:tcBorders>
              <w:top w:val="nil"/>
              <w:left w:val="nil"/>
              <w:bottom w:val="single" w:sz="4" w:space="0" w:color="auto"/>
              <w:right w:val="single" w:sz="4" w:space="0" w:color="auto"/>
            </w:tcBorders>
            <w:shd w:val="clear" w:color="auto" w:fill="auto"/>
            <w:noWrap/>
            <w:vAlign w:val="bottom"/>
            <w:hideMark/>
          </w:tcPr>
          <w:p w14:paraId="4E5E37AB"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xml:space="preserve">1 </w:t>
            </w:r>
          </w:p>
        </w:tc>
      </w:tr>
      <w:tr w:rsidR="00C443F5" w:rsidRPr="00C443F5" w14:paraId="3AC9A3DC" w14:textId="77777777" w:rsidTr="00397B51">
        <w:trPr>
          <w:trHeight w:val="225"/>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4C710D1E"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 </w:t>
            </w:r>
          </w:p>
        </w:tc>
        <w:tc>
          <w:tcPr>
            <w:tcW w:w="3780" w:type="dxa"/>
            <w:tcBorders>
              <w:top w:val="nil"/>
              <w:left w:val="nil"/>
              <w:bottom w:val="single" w:sz="4" w:space="0" w:color="auto"/>
              <w:right w:val="single" w:sz="4" w:space="0" w:color="auto"/>
            </w:tcBorders>
            <w:shd w:val="clear" w:color="auto" w:fill="auto"/>
            <w:vAlign w:val="bottom"/>
            <w:hideMark/>
          </w:tcPr>
          <w:p w14:paraId="28110E98"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Estimated Billing Units Addition</w:t>
            </w:r>
          </w:p>
        </w:tc>
        <w:tc>
          <w:tcPr>
            <w:tcW w:w="2740" w:type="dxa"/>
            <w:tcBorders>
              <w:top w:val="nil"/>
              <w:left w:val="nil"/>
              <w:bottom w:val="single" w:sz="4" w:space="0" w:color="auto"/>
              <w:right w:val="single" w:sz="4" w:space="0" w:color="auto"/>
            </w:tcBorders>
            <w:shd w:val="clear" w:color="auto" w:fill="auto"/>
            <w:noWrap/>
            <w:vAlign w:val="bottom"/>
            <w:hideMark/>
          </w:tcPr>
          <w:p w14:paraId="316996C4"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xml:space="preserve">1 </w:t>
            </w:r>
          </w:p>
        </w:tc>
      </w:tr>
      <w:tr w:rsidR="00C443F5" w:rsidRPr="00C443F5" w14:paraId="15B0CD38" w14:textId="77777777" w:rsidTr="00397B51">
        <w:trPr>
          <w:trHeight w:val="45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64A013C6"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Tariff Sheet 27(3)(c)(ii): MBR-2</w:t>
            </w:r>
          </w:p>
        </w:tc>
        <w:tc>
          <w:tcPr>
            <w:tcW w:w="3780" w:type="dxa"/>
            <w:tcBorders>
              <w:top w:val="nil"/>
              <w:left w:val="nil"/>
              <w:bottom w:val="single" w:sz="4" w:space="0" w:color="auto"/>
              <w:right w:val="single" w:sz="4" w:space="0" w:color="auto"/>
            </w:tcBorders>
            <w:shd w:val="clear" w:color="auto" w:fill="auto"/>
            <w:vAlign w:val="center"/>
            <w:hideMark/>
          </w:tcPr>
          <w:p w14:paraId="6C237F80"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 xml:space="preserve">Add a net of at least 10 new jobs within six months of taking gas service; and </w:t>
            </w:r>
          </w:p>
        </w:tc>
        <w:tc>
          <w:tcPr>
            <w:tcW w:w="2740" w:type="dxa"/>
            <w:tcBorders>
              <w:top w:val="nil"/>
              <w:left w:val="nil"/>
              <w:bottom w:val="single" w:sz="4" w:space="0" w:color="auto"/>
              <w:right w:val="single" w:sz="4" w:space="0" w:color="auto"/>
            </w:tcBorders>
            <w:shd w:val="clear" w:color="auto" w:fill="auto"/>
            <w:noWrap/>
            <w:vAlign w:val="bottom"/>
            <w:hideMark/>
          </w:tcPr>
          <w:p w14:paraId="28DF32E9"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xml:space="preserve">1,700 </w:t>
            </w:r>
          </w:p>
        </w:tc>
      </w:tr>
      <w:tr w:rsidR="00C443F5" w:rsidRPr="00C443F5" w14:paraId="34455E19" w14:textId="77777777" w:rsidTr="00397B51">
        <w:trPr>
          <w:trHeight w:val="90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3ABD9624"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Tariff Sheet 27(3(c)(iii): MBR-3</w:t>
            </w:r>
          </w:p>
        </w:tc>
        <w:tc>
          <w:tcPr>
            <w:tcW w:w="3780" w:type="dxa"/>
            <w:tcBorders>
              <w:top w:val="nil"/>
              <w:left w:val="nil"/>
              <w:bottom w:val="single" w:sz="4" w:space="0" w:color="auto"/>
              <w:right w:val="single" w:sz="4" w:space="0" w:color="auto"/>
            </w:tcBorders>
            <w:shd w:val="clear" w:color="auto" w:fill="auto"/>
            <w:vAlign w:val="bottom"/>
            <w:hideMark/>
          </w:tcPr>
          <w:p w14:paraId="1635B0C8"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 xml:space="preserve">Subject to the circumstances at the time of the application, reasonably anticipates an increased tax base by at least $20,000 per year; and </w:t>
            </w:r>
          </w:p>
        </w:tc>
        <w:tc>
          <w:tcPr>
            <w:tcW w:w="2740" w:type="dxa"/>
            <w:tcBorders>
              <w:top w:val="nil"/>
              <w:left w:val="nil"/>
              <w:bottom w:val="single" w:sz="4" w:space="0" w:color="auto"/>
              <w:right w:val="single" w:sz="4" w:space="0" w:color="auto"/>
            </w:tcBorders>
            <w:shd w:val="clear" w:color="auto" w:fill="auto"/>
            <w:noWrap/>
            <w:vAlign w:val="bottom"/>
            <w:hideMark/>
          </w:tcPr>
          <w:p w14:paraId="24CBA9FF"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Yes</w:t>
            </w:r>
          </w:p>
        </w:tc>
      </w:tr>
      <w:tr w:rsidR="00C443F5" w:rsidRPr="00C443F5" w14:paraId="0786D22D" w14:textId="77777777" w:rsidTr="00397B51">
        <w:trPr>
          <w:trHeight w:val="450"/>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6437C357" w14:textId="77777777" w:rsidR="00C443F5" w:rsidRPr="00C443F5" w:rsidRDefault="00C443F5" w:rsidP="00C443F5">
            <w:pPr>
              <w:rPr>
                <w:rFonts w:ascii="Arial" w:hAnsi="Arial" w:cs="Arial"/>
                <w:b/>
                <w:bCs/>
                <w:sz w:val="16"/>
                <w:szCs w:val="16"/>
              </w:rPr>
            </w:pPr>
            <w:r w:rsidRPr="00C443F5">
              <w:rPr>
                <w:rFonts w:ascii="Arial" w:hAnsi="Arial" w:cs="Arial"/>
                <w:b/>
                <w:bCs/>
                <w:sz w:val="16"/>
                <w:szCs w:val="16"/>
              </w:rPr>
              <w:t>Tariff Sheet 27(3)(c)(iv): MBR-4</w:t>
            </w:r>
          </w:p>
        </w:tc>
        <w:tc>
          <w:tcPr>
            <w:tcW w:w="3780" w:type="dxa"/>
            <w:tcBorders>
              <w:top w:val="nil"/>
              <w:left w:val="nil"/>
              <w:bottom w:val="single" w:sz="4" w:space="0" w:color="auto"/>
              <w:right w:val="single" w:sz="4" w:space="0" w:color="auto"/>
            </w:tcBorders>
            <w:shd w:val="clear" w:color="auto" w:fill="auto"/>
            <w:vAlign w:val="bottom"/>
            <w:hideMark/>
          </w:tcPr>
          <w:p w14:paraId="4A4DCDC7"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 xml:space="preserve">Add connected load on a Firm basis of 10 dekatherms a year. </w:t>
            </w:r>
          </w:p>
        </w:tc>
        <w:tc>
          <w:tcPr>
            <w:tcW w:w="2740" w:type="dxa"/>
            <w:tcBorders>
              <w:top w:val="nil"/>
              <w:left w:val="nil"/>
              <w:bottom w:val="single" w:sz="4" w:space="0" w:color="auto"/>
              <w:right w:val="single" w:sz="4" w:space="0" w:color="auto"/>
            </w:tcBorders>
            <w:shd w:val="clear" w:color="auto" w:fill="auto"/>
            <w:noWrap/>
            <w:vAlign w:val="bottom"/>
            <w:hideMark/>
          </w:tcPr>
          <w:p w14:paraId="25DC17B9" w14:textId="77777777" w:rsidR="00C443F5" w:rsidRPr="00C443F5" w:rsidRDefault="00C443F5" w:rsidP="00C443F5">
            <w:pPr>
              <w:jc w:val="right"/>
              <w:rPr>
                <w:rFonts w:ascii="Arial" w:hAnsi="Arial" w:cs="Arial"/>
                <w:b/>
                <w:bCs/>
                <w:sz w:val="16"/>
                <w:szCs w:val="16"/>
              </w:rPr>
            </w:pPr>
            <w:r w:rsidRPr="00C443F5">
              <w:rPr>
                <w:rFonts w:ascii="Arial" w:hAnsi="Arial" w:cs="Arial"/>
                <w:b/>
                <w:bCs/>
                <w:sz w:val="16"/>
                <w:szCs w:val="16"/>
              </w:rPr>
              <w:t xml:space="preserve">260,000 </w:t>
            </w:r>
          </w:p>
        </w:tc>
      </w:tr>
    </w:tbl>
    <w:p w14:paraId="5A39C424" w14:textId="77777777" w:rsidR="00C443F5" w:rsidRPr="00C443F5" w:rsidRDefault="00C443F5" w:rsidP="00C443F5">
      <w:pPr>
        <w:contextualSpacing/>
        <w:jc w:val="both"/>
        <w:rPr>
          <w:bCs/>
        </w:rPr>
      </w:pPr>
    </w:p>
    <w:p w14:paraId="752670F7" w14:textId="77777777" w:rsidR="00C443F5" w:rsidRPr="00C443F5" w:rsidRDefault="00C443F5" w:rsidP="00C443F5">
      <w:pPr>
        <w:contextualSpacing/>
        <w:jc w:val="both"/>
        <w:rPr>
          <w:b/>
          <w:bCs/>
        </w:rPr>
      </w:pPr>
    </w:p>
    <w:p w14:paraId="5EC8B667" w14:textId="77777777" w:rsidR="00C443F5" w:rsidRPr="00C443F5" w:rsidRDefault="00C443F5" w:rsidP="00C443F5">
      <w:pPr>
        <w:ind w:firstLine="720"/>
        <w:contextualSpacing/>
        <w:jc w:val="both"/>
        <w:rPr>
          <w:b/>
          <w:bCs/>
        </w:rPr>
      </w:pPr>
      <w:r w:rsidRPr="00C443F5">
        <w:rPr>
          <w:bCs/>
        </w:rPr>
        <w:t xml:space="preserve">As provided in </w:t>
      </w:r>
      <w:r w:rsidRPr="00C443F5">
        <w:rPr>
          <w:b/>
          <w:bCs/>
        </w:rPr>
        <w:t>Table-22</w:t>
      </w:r>
      <w:r w:rsidRPr="00C443F5">
        <w:rPr>
          <w:bCs/>
        </w:rPr>
        <w:t xml:space="preserve"> below, for USF recovery, the Commission has the option of either approving the use of the ECON-1 surcharge, the MFR-6 engineering estimates with gross ups, or the Rule-7 USF Requested Amount. </w:t>
      </w:r>
    </w:p>
    <w:p w14:paraId="550A853A" w14:textId="77777777" w:rsidR="00C443F5" w:rsidRPr="00C443F5" w:rsidRDefault="00C443F5" w:rsidP="00C443F5">
      <w:pPr>
        <w:contextualSpacing/>
        <w:jc w:val="both"/>
        <w:rPr>
          <w:b/>
          <w:bCs/>
        </w:rPr>
      </w:pPr>
    </w:p>
    <w:p w14:paraId="0FA5ECEC" w14:textId="77777777" w:rsidR="00C443F5" w:rsidRPr="00C443F5" w:rsidRDefault="00C443F5" w:rsidP="00C443F5">
      <w:pPr>
        <w:contextualSpacing/>
        <w:jc w:val="both"/>
        <w:rPr>
          <w:b/>
          <w:bCs/>
        </w:rPr>
      </w:pPr>
      <w:r w:rsidRPr="00C443F5">
        <w:rPr>
          <w:b/>
          <w:bCs/>
        </w:rPr>
        <w:t>Table-22: Commercial Recovery Comparison</w:t>
      </w:r>
    </w:p>
    <w:tbl>
      <w:tblPr>
        <w:tblW w:w="8550" w:type="dxa"/>
        <w:tblLook w:val="04A0" w:firstRow="1" w:lastRow="0" w:firstColumn="1" w:lastColumn="0" w:noHBand="0" w:noVBand="1"/>
      </w:tblPr>
      <w:tblGrid>
        <w:gridCol w:w="2610"/>
        <w:gridCol w:w="1620"/>
        <w:gridCol w:w="1440"/>
        <w:gridCol w:w="1350"/>
        <w:gridCol w:w="1530"/>
      </w:tblGrid>
      <w:tr w:rsidR="00C443F5" w:rsidRPr="00C443F5" w14:paraId="736C9EF3" w14:textId="77777777" w:rsidTr="00397B51">
        <w:trPr>
          <w:trHeight w:val="1020"/>
        </w:trPr>
        <w:tc>
          <w:tcPr>
            <w:tcW w:w="2610" w:type="dxa"/>
            <w:tcBorders>
              <w:top w:val="nil"/>
              <w:left w:val="nil"/>
              <w:bottom w:val="nil"/>
              <w:right w:val="nil"/>
            </w:tcBorders>
            <w:shd w:val="clear" w:color="auto" w:fill="auto"/>
            <w:vAlign w:val="center"/>
            <w:hideMark/>
          </w:tcPr>
          <w:p w14:paraId="6B7ECDF5" w14:textId="77777777" w:rsidR="00C443F5" w:rsidRPr="00C443F5" w:rsidRDefault="00C443F5" w:rsidP="00C443F5">
            <w:pPr>
              <w:jc w:val="center"/>
              <w:rPr>
                <w:b/>
                <w:bCs/>
                <w:color w:val="000000"/>
                <w:sz w:val="20"/>
                <w:szCs w:val="20"/>
              </w:rPr>
            </w:pPr>
            <w:r w:rsidRPr="00C443F5">
              <w:rPr>
                <w:b/>
                <w:bCs/>
                <w:color w:val="000000"/>
                <w:sz w:val="20"/>
                <w:szCs w:val="20"/>
              </w:rPr>
              <w:t>Commercial Projects</w:t>
            </w:r>
            <w:r w:rsidRPr="00C443F5">
              <w:rPr>
                <w:b/>
                <w:bCs/>
                <w:color w:val="000000"/>
                <w:sz w:val="20"/>
                <w:szCs w:val="20"/>
              </w:rPr>
              <w:br/>
              <w:t>USF Funding &amp; ECON-1</w:t>
            </w:r>
          </w:p>
        </w:tc>
        <w:tc>
          <w:tcPr>
            <w:tcW w:w="1620" w:type="dxa"/>
            <w:tcBorders>
              <w:top w:val="nil"/>
              <w:left w:val="nil"/>
              <w:bottom w:val="single" w:sz="4" w:space="0" w:color="auto"/>
              <w:right w:val="nil"/>
            </w:tcBorders>
          </w:tcPr>
          <w:p w14:paraId="7AB020FE" w14:textId="77777777" w:rsidR="00C443F5" w:rsidRPr="00C443F5" w:rsidRDefault="00C443F5" w:rsidP="00C443F5">
            <w:pPr>
              <w:jc w:val="center"/>
              <w:rPr>
                <w:b/>
                <w:bCs/>
                <w:color w:val="000000"/>
                <w:sz w:val="20"/>
                <w:szCs w:val="20"/>
              </w:rPr>
            </w:pPr>
            <w:r w:rsidRPr="00C443F5">
              <w:rPr>
                <w:b/>
                <w:bCs/>
                <w:color w:val="000000"/>
                <w:sz w:val="20"/>
                <w:szCs w:val="20"/>
              </w:rPr>
              <w:t>ECON-1 Surcharge</w:t>
            </w:r>
          </w:p>
        </w:tc>
        <w:tc>
          <w:tcPr>
            <w:tcW w:w="1440" w:type="dxa"/>
            <w:tcBorders>
              <w:top w:val="nil"/>
              <w:left w:val="nil"/>
              <w:bottom w:val="nil"/>
              <w:right w:val="nil"/>
            </w:tcBorders>
            <w:shd w:val="clear" w:color="auto" w:fill="auto"/>
            <w:vAlign w:val="center"/>
            <w:hideMark/>
          </w:tcPr>
          <w:p w14:paraId="51EEAD2E" w14:textId="77777777" w:rsidR="00C443F5" w:rsidRPr="00C443F5" w:rsidRDefault="00C443F5" w:rsidP="00C443F5">
            <w:pPr>
              <w:jc w:val="center"/>
              <w:rPr>
                <w:b/>
                <w:bCs/>
                <w:color w:val="000000"/>
                <w:sz w:val="20"/>
                <w:szCs w:val="20"/>
              </w:rPr>
            </w:pPr>
            <w:r w:rsidRPr="00C443F5">
              <w:rPr>
                <w:b/>
                <w:bCs/>
                <w:color w:val="000000"/>
                <w:sz w:val="20"/>
                <w:szCs w:val="20"/>
              </w:rPr>
              <w:t>Engineering Estimates</w:t>
            </w:r>
            <w:r w:rsidRPr="00C443F5">
              <w:rPr>
                <w:b/>
                <w:bCs/>
                <w:color w:val="000000"/>
                <w:sz w:val="20"/>
                <w:szCs w:val="20"/>
              </w:rPr>
              <w:br/>
              <w:t>MFR-6</w:t>
            </w:r>
          </w:p>
        </w:tc>
        <w:tc>
          <w:tcPr>
            <w:tcW w:w="1350" w:type="dxa"/>
            <w:tcBorders>
              <w:top w:val="nil"/>
              <w:left w:val="nil"/>
              <w:bottom w:val="nil"/>
              <w:right w:val="nil"/>
            </w:tcBorders>
            <w:shd w:val="clear" w:color="auto" w:fill="auto"/>
            <w:vAlign w:val="center"/>
            <w:hideMark/>
          </w:tcPr>
          <w:p w14:paraId="4C768FC2" w14:textId="77777777" w:rsidR="00C443F5" w:rsidRPr="00C443F5" w:rsidRDefault="00C443F5" w:rsidP="00C443F5">
            <w:pPr>
              <w:jc w:val="center"/>
              <w:rPr>
                <w:b/>
                <w:bCs/>
                <w:color w:val="000000"/>
                <w:sz w:val="20"/>
                <w:szCs w:val="20"/>
              </w:rPr>
            </w:pPr>
            <w:r w:rsidRPr="00C443F5">
              <w:rPr>
                <w:b/>
                <w:bCs/>
                <w:color w:val="000000"/>
                <w:sz w:val="20"/>
                <w:szCs w:val="20"/>
              </w:rPr>
              <w:t>Tariff Rule-7 Filed Costs</w:t>
            </w:r>
            <w:r w:rsidRPr="00C443F5">
              <w:rPr>
                <w:b/>
                <w:bCs/>
                <w:color w:val="000000"/>
                <w:sz w:val="20"/>
                <w:szCs w:val="20"/>
              </w:rPr>
              <w:br/>
              <w:t>Staff's 14th Set</w:t>
            </w:r>
          </w:p>
        </w:tc>
        <w:tc>
          <w:tcPr>
            <w:tcW w:w="1530" w:type="dxa"/>
            <w:tcBorders>
              <w:top w:val="nil"/>
              <w:left w:val="nil"/>
              <w:bottom w:val="nil"/>
              <w:right w:val="nil"/>
            </w:tcBorders>
            <w:shd w:val="clear" w:color="auto" w:fill="auto"/>
            <w:noWrap/>
            <w:vAlign w:val="bottom"/>
            <w:hideMark/>
          </w:tcPr>
          <w:p w14:paraId="7B75DB57" w14:textId="77777777" w:rsidR="00C443F5" w:rsidRPr="00C443F5" w:rsidRDefault="00C443F5" w:rsidP="00C443F5">
            <w:pPr>
              <w:jc w:val="center"/>
              <w:rPr>
                <w:b/>
                <w:bCs/>
                <w:color w:val="000000"/>
                <w:sz w:val="20"/>
                <w:szCs w:val="20"/>
              </w:rPr>
            </w:pPr>
            <w:r w:rsidRPr="00C443F5">
              <w:rPr>
                <w:b/>
                <w:bCs/>
                <w:color w:val="000000"/>
                <w:sz w:val="20"/>
                <w:szCs w:val="20"/>
              </w:rPr>
              <w:t>Variance</w:t>
            </w:r>
          </w:p>
        </w:tc>
      </w:tr>
      <w:tr w:rsidR="00C443F5" w:rsidRPr="00C443F5" w14:paraId="444043B3" w14:textId="77777777" w:rsidTr="00397B51">
        <w:trPr>
          <w:trHeight w:val="255"/>
        </w:trPr>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AC458" w14:textId="77777777" w:rsidR="00C443F5" w:rsidRPr="00C443F5" w:rsidRDefault="00C443F5" w:rsidP="00C443F5">
            <w:pPr>
              <w:rPr>
                <w:color w:val="000000"/>
                <w:sz w:val="20"/>
                <w:szCs w:val="20"/>
              </w:rPr>
            </w:pPr>
            <w:r w:rsidRPr="00C443F5">
              <w:rPr>
                <w:color w:val="000000"/>
                <w:sz w:val="20"/>
                <w:szCs w:val="20"/>
              </w:rPr>
              <w:t>McIntosh County Project</w:t>
            </w:r>
          </w:p>
        </w:tc>
        <w:tc>
          <w:tcPr>
            <w:tcW w:w="1620" w:type="dxa"/>
            <w:tcBorders>
              <w:top w:val="single" w:sz="4" w:space="0" w:color="auto"/>
              <w:left w:val="nil"/>
              <w:bottom w:val="single" w:sz="4" w:space="0" w:color="auto"/>
              <w:right w:val="single" w:sz="4" w:space="0" w:color="auto"/>
            </w:tcBorders>
          </w:tcPr>
          <w:p w14:paraId="02EB2563" w14:textId="77777777" w:rsidR="00C443F5" w:rsidRPr="00C443F5" w:rsidRDefault="00C443F5" w:rsidP="00C443F5">
            <w:pPr>
              <w:jc w:val="right"/>
              <w:rPr>
                <w:color w:val="000000"/>
                <w:sz w:val="20"/>
                <w:szCs w:val="20"/>
              </w:rPr>
            </w:pPr>
            <w:r w:rsidRPr="00C443F5">
              <w:rPr>
                <w:color w:val="000000"/>
                <w:sz w:val="20"/>
                <w:szCs w:val="20"/>
              </w:rPr>
              <w:t>$19,657,977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5EA09" w14:textId="77777777" w:rsidR="00C443F5" w:rsidRPr="00C443F5" w:rsidRDefault="00C443F5" w:rsidP="00C443F5">
            <w:pPr>
              <w:jc w:val="right"/>
              <w:rPr>
                <w:color w:val="000000"/>
                <w:sz w:val="20"/>
                <w:szCs w:val="20"/>
              </w:rPr>
            </w:pPr>
            <w:r w:rsidRPr="00C443F5">
              <w:rPr>
                <w:color w:val="000000"/>
                <w:sz w:val="20"/>
                <w:szCs w:val="20"/>
              </w:rPr>
              <w:t xml:space="preserve">$19,657,977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07F00F0D" w14:textId="77777777" w:rsidR="00C443F5" w:rsidRPr="00C443F5" w:rsidRDefault="00C443F5" w:rsidP="00C443F5">
            <w:pPr>
              <w:jc w:val="right"/>
              <w:rPr>
                <w:color w:val="000000"/>
                <w:sz w:val="20"/>
                <w:szCs w:val="20"/>
              </w:rPr>
            </w:pPr>
            <w:r w:rsidRPr="00C443F5">
              <w:rPr>
                <w:color w:val="000000"/>
                <w:sz w:val="20"/>
                <w:szCs w:val="20"/>
              </w:rPr>
              <w:t xml:space="preserve">$2,082,025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1F7E1D8C" w14:textId="77777777" w:rsidR="00C443F5" w:rsidRPr="00C443F5" w:rsidRDefault="00C443F5" w:rsidP="00C443F5">
            <w:pPr>
              <w:jc w:val="right"/>
              <w:rPr>
                <w:color w:val="000000"/>
                <w:sz w:val="20"/>
                <w:szCs w:val="20"/>
              </w:rPr>
            </w:pPr>
            <w:r w:rsidRPr="00C443F5">
              <w:rPr>
                <w:color w:val="000000"/>
                <w:sz w:val="20"/>
                <w:szCs w:val="20"/>
              </w:rPr>
              <w:t xml:space="preserve">$17,575,952 </w:t>
            </w:r>
          </w:p>
        </w:tc>
      </w:tr>
      <w:tr w:rsidR="00C443F5" w:rsidRPr="00C443F5" w14:paraId="25B4C989" w14:textId="77777777" w:rsidTr="00397B51">
        <w:trPr>
          <w:trHeight w:val="255"/>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14:paraId="7071FA93" w14:textId="77777777" w:rsidR="00C443F5" w:rsidRPr="00C443F5" w:rsidRDefault="00C443F5" w:rsidP="00C443F5">
            <w:pPr>
              <w:rPr>
                <w:color w:val="000000"/>
                <w:sz w:val="20"/>
                <w:szCs w:val="20"/>
              </w:rPr>
            </w:pPr>
            <w:r w:rsidRPr="00C443F5">
              <w:rPr>
                <w:color w:val="000000"/>
                <w:sz w:val="20"/>
                <w:szCs w:val="20"/>
              </w:rPr>
              <w:t>Athens-Clark County Project</w:t>
            </w:r>
          </w:p>
        </w:tc>
        <w:tc>
          <w:tcPr>
            <w:tcW w:w="1620" w:type="dxa"/>
            <w:tcBorders>
              <w:top w:val="single" w:sz="4" w:space="0" w:color="auto"/>
              <w:left w:val="nil"/>
              <w:bottom w:val="single" w:sz="4" w:space="0" w:color="auto"/>
              <w:right w:val="single" w:sz="4" w:space="0" w:color="auto"/>
            </w:tcBorders>
          </w:tcPr>
          <w:p w14:paraId="5FA6BD5B" w14:textId="77777777" w:rsidR="00C443F5" w:rsidRPr="00C443F5" w:rsidRDefault="00C443F5" w:rsidP="00C443F5">
            <w:pPr>
              <w:jc w:val="right"/>
              <w:rPr>
                <w:color w:val="000000"/>
                <w:sz w:val="20"/>
                <w:szCs w:val="20"/>
              </w:rPr>
            </w:pPr>
            <w:r w:rsidRPr="00C443F5">
              <w:rPr>
                <w:color w:val="000000"/>
                <w:sz w:val="20"/>
                <w:szCs w:val="20"/>
              </w:rPr>
              <w:t>$1,321,203</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ABB31E4" w14:textId="77777777" w:rsidR="00C443F5" w:rsidRPr="00C443F5" w:rsidRDefault="00C443F5" w:rsidP="00C443F5">
            <w:pPr>
              <w:jc w:val="right"/>
              <w:rPr>
                <w:color w:val="000000"/>
                <w:sz w:val="20"/>
                <w:szCs w:val="20"/>
              </w:rPr>
            </w:pPr>
            <w:r w:rsidRPr="00C443F5">
              <w:rPr>
                <w:color w:val="000000"/>
                <w:sz w:val="20"/>
                <w:szCs w:val="20"/>
              </w:rPr>
              <w:t xml:space="preserve">$1,321,203 </w:t>
            </w:r>
          </w:p>
        </w:tc>
        <w:tc>
          <w:tcPr>
            <w:tcW w:w="1350" w:type="dxa"/>
            <w:tcBorders>
              <w:top w:val="nil"/>
              <w:left w:val="nil"/>
              <w:bottom w:val="single" w:sz="4" w:space="0" w:color="auto"/>
              <w:right w:val="single" w:sz="4" w:space="0" w:color="auto"/>
            </w:tcBorders>
            <w:shd w:val="clear" w:color="auto" w:fill="auto"/>
            <w:noWrap/>
            <w:vAlign w:val="center"/>
            <w:hideMark/>
          </w:tcPr>
          <w:p w14:paraId="1A75A589" w14:textId="77777777" w:rsidR="00C443F5" w:rsidRPr="00C443F5" w:rsidRDefault="00C443F5" w:rsidP="00C443F5">
            <w:pPr>
              <w:jc w:val="right"/>
              <w:rPr>
                <w:color w:val="000000"/>
                <w:sz w:val="20"/>
                <w:szCs w:val="20"/>
              </w:rPr>
            </w:pPr>
            <w:r w:rsidRPr="00C443F5">
              <w:rPr>
                <w:color w:val="000000"/>
                <w:sz w:val="20"/>
                <w:szCs w:val="20"/>
              </w:rPr>
              <w:t xml:space="preserve">$0 </w:t>
            </w:r>
          </w:p>
        </w:tc>
        <w:tc>
          <w:tcPr>
            <w:tcW w:w="1530" w:type="dxa"/>
            <w:tcBorders>
              <w:top w:val="nil"/>
              <w:left w:val="nil"/>
              <w:bottom w:val="single" w:sz="4" w:space="0" w:color="auto"/>
              <w:right w:val="single" w:sz="4" w:space="0" w:color="auto"/>
            </w:tcBorders>
            <w:shd w:val="clear" w:color="auto" w:fill="auto"/>
            <w:noWrap/>
            <w:vAlign w:val="bottom"/>
            <w:hideMark/>
          </w:tcPr>
          <w:p w14:paraId="2E5C4AF8" w14:textId="77777777" w:rsidR="00C443F5" w:rsidRPr="00C443F5" w:rsidRDefault="00C443F5" w:rsidP="00C443F5">
            <w:pPr>
              <w:jc w:val="right"/>
              <w:rPr>
                <w:color w:val="000000"/>
                <w:sz w:val="20"/>
                <w:szCs w:val="20"/>
              </w:rPr>
            </w:pPr>
            <w:r w:rsidRPr="00C443F5">
              <w:rPr>
                <w:color w:val="000000"/>
                <w:sz w:val="20"/>
                <w:szCs w:val="20"/>
              </w:rPr>
              <w:t xml:space="preserve">$1,321,203 </w:t>
            </w:r>
          </w:p>
        </w:tc>
      </w:tr>
      <w:tr w:rsidR="00C443F5" w:rsidRPr="00C443F5" w14:paraId="75089BEF" w14:textId="77777777" w:rsidTr="00397B51">
        <w:trPr>
          <w:trHeight w:val="278"/>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14:paraId="23A46483" w14:textId="77777777" w:rsidR="00C443F5" w:rsidRPr="00C443F5" w:rsidRDefault="00C443F5" w:rsidP="00C443F5">
            <w:pPr>
              <w:jc w:val="center"/>
              <w:rPr>
                <w:b/>
                <w:bCs/>
                <w:color w:val="000000"/>
                <w:sz w:val="20"/>
                <w:szCs w:val="20"/>
              </w:rPr>
            </w:pPr>
            <w:r w:rsidRPr="00C443F5">
              <w:rPr>
                <w:b/>
                <w:bCs/>
                <w:color w:val="000000"/>
                <w:sz w:val="20"/>
                <w:szCs w:val="20"/>
              </w:rPr>
              <w:t>Totals</w:t>
            </w:r>
          </w:p>
        </w:tc>
        <w:tc>
          <w:tcPr>
            <w:tcW w:w="1620" w:type="dxa"/>
            <w:tcBorders>
              <w:top w:val="single" w:sz="4" w:space="0" w:color="auto"/>
              <w:left w:val="nil"/>
              <w:bottom w:val="single" w:sz="4" w:space="0" w:color="auto"/>
              <w:right w:val="single" w:sz="4" w:space="0" w:color="auto"/>
            </w:tcBorders>
          </w:tcPr>
          <w:p w14:paraId="74B0C3F6" w14:textId="77777777" w:rsidR="00C443F5" w:rsidRPr="00C443F5" w:rsidRDefault="00C443F5" w:rsidP="00C443F5">
            <w:pPr>
              <w:jc w:val="right"/>
              <w:rPr>
                <w:b/>
                <w:bCs/>
                <w:color w:val="000000"/>
                <w:sz w:val="20"/>
                <w:szCs w:val="20"/>
              </w:rPr>
            </w:pPr>
            <w:r w:rsidRPr="00C443F5">
              <w:rPr>
                <w:b/>
                <w:bCs/>
                <w:color w:val="000000"/>
                <w:sz w:val="20"/>
                <w:szCs w:val="20"/>
              </w:rPr>
              <w:t>$20,979,180</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C5AB46C" w14:textId="77777777" w:rsidR="00C443F5" w:rsidRPr="00C443F5" w:rsidRDefault="00C443F5" w:rsidP="00C443F5">
            <w:pPr>
              <w:jc w:val="right"/>
              <w:rPr>
                <w:b/>
                <w:bCs/>
                <w:color w:val="000000"/>
                <w:sz w:val="20"/>
                <w:szCs w:val="20"/>
              </w:rPr>
            </w:pPr>
            <w:r w:rsidRPr="00C443F5">
              <w:rPr>
                <w:b/>
                <w:bCs/>
                <w:color w:val="000000"/>
                <w:sz w:val="20"/>
                <w:szCs w:val="20"/>
              </w:rPr>
              <w:t xml:space="preserve">$20,979,180 </w:t>
            </w:r>
          </w:p>
        </w:tc>
        <w:tc>
          <w:tcPr>
            <w:tcW w:w="1350" w:type="dxa"/>
            <w:tcBorders>
              <w:top w:val="nil"/>
              <w:left w:val="nil"/>
              <w:bottom w:val="single" w:sz="4" w:space="0" w:color="auto"/>
              <w:right w:val="single" w:sz="4" w:space="0" w:color="auto"/>
            </w:tcBorders>
            <w:shd w:val="clear" w:color="auto" w:fill="auto"/>
            <w:noWrap/>
            <w:vAlign w:val="bottom"/>
            <w:hideMark/>
          </w:tcPr>
          <w:p w14:paraId="7EC8570A" w14:textId="77777777" w:rsidR="00C443F5" w:rsidRPr="00C443F5" w:rsidRDefault="00C443F5" w:rsidP="00C443F5">
            <w:pPr>
              <w:jc w:val="right"/>
              <w:rPr>
                <w:b/>
                <w:bCs/>
                <w:color w:val="000000"/>
                <w:sz w:val="20"/>
                <w:szCs w:val="20"/>
              </w:rPr>
            </w:pPr>
            <w:r w:rsidRPr="00C443F5">
              <w:rPr>
                <w:b/>
                <w:bCs/>
                <w:color w:val="000000"/>
                <w:sz w:val="20"/>
                <w:szCs w:val="20"/>
              </w:rPr>
              <w:t xml:space="preserve">$2,082,025 </w:t>
            </w:r>
          </w:p>
        </w:tc>
        <w:tc>
          <w:tcPr>
            <w:tcW w:w="1530" w:type="dxa"/>
            <w:tcBorders>
              <w:top w:val="nil"/>
              <w:left w:val="nil"/>
              <w:bottom w:val="single" w:sz="4" w:space="0" w:color="auto"/>
              <w:right w:val="single" w:sz="4" w:space="0" w:color="auto"/>
            </w:tcBorders>
            <w:shd w:val="clear" w:color="auto" w:fill="auto"/>
            <w:noWrap/>
            <w:vAlign w:val="bottom"/>
            <w:hideMark/>
          </w:tcPr>
          <w:p w14:paraId="66C02998" w14:textId="77777777" w:rsidR="00C443F5" w:rsidRPr="00C443F5" w:rsidRDefault="00C443F5" w:rsidP="00C443F5">
            <w:pPr>
              <w:jc w:val="right"/>
              <w:rPr>
                <w:b/>
                <w:bCs/>
                <w:color w:val="000000"/>
                <w:sz w:val="20"/>
                <w:szCs w:val="20"/>
              </w:rPr>
            </w:pPr>
            <w:r w:rsidRPr="00C443F5">
              <w:rPr>
                <w:b/>
                <w:bCs/>
                <w:color w:val="000000"/>
                <w:sz w:val="20"/>
                <w:szCs w:val="20"/>
              </w:rPr>
              <w:t xml:space="preserve">$18,897,155 </w:t>
            </w:r>
          </w:p>
        </w:tc>
      </w:tr>
    </w:tbl>
    <w:p w14:paraId="6653195B" w14:textId="77777777" w:rsidR="00C443F5" w:rsidRPr="00C443F5" w:rsidRDefault="00C443F5" w:rsidP="00C443F5">
      <w:pPr>
        <w:contextualSpacing/>
        <w:jc w:val="both"/>
        <w:rPr>
          <w:b/>
          <w:bCs/>
        </w:rPr>
      </w:pPr>
    </w:p>
    <w:p w14:paraId="1D00A9E1" w14:textId="77777777" w:rsidR="00C443F5" w:rsidRPr="00C443F5" w:rsidRDefault="00C443F5" w:rsidP="00C443F5">
      <w:pPr>
        <w:contextualSpacing/>
        <w:jc w:val="both"/>
        <w:rPr>
          <w:b/>
          <w:bCs/>
        </w:rPr>
      </w:pPr>
    </w:p>
    <w:p w14:paraId="3D81CCD8" w14:textId="77777777" w:rsidR="00C443F5" w:rsidRPr="00C443F5" w:rsidRDefault="00C443F5" w:rsidP="00C443F5">
      <w:pPr>
        <w:contextualSpacing/>
        <w:jc w:val="both"/>
        <w:rPr>
          <w:b/>
          <w:bCs/>
        </w:rPr>
      </w:pPr>
    </w:p>
    <w:p w14:paraId="379C4579" w14:textId="77777777" w:rsidR="00C443F5" w:rsidRPr="00C443F5" w:rsidRDefault="00C443F5" w:rsidP="00C443F5">
      <w:pPr>
        <w:contextualSpacing/>
        <w:jc w:val="both"/>
        <w:rPr>
          <w:b/>
          <w:bCs/>
        </w:rPr>
      </w:pPr>
    </w:p>
    <w:p w14:paraId="012205FB" w14:textId="77777777" w:rsidR="00C443F5" w:rsidRPr="00C443F5" w:rsidRDefault="00C443F5" w:rsidP="00C443F5">
      <w:pPr>
        <w:contextualSpacing/>
        <w:jc w:val="both"/>
        <w:rPr>
          <w:b/>
          <w:bCs/>
        </w:rPr>
      </w:pPr>
    </w:p>
    <w:p w14:paraId="114C2B8E" w14:textId="77777777" w:rsidR="00C443F5" w:rsidRPr="00C443F5" w:rsidRDefault="00C443F5" w:rsidP="00C443F5">
      <w:pPr>
        <w:numPr>
          <w:ilvl w:val="0"/>
          <w:numId w:val="4"/>
        </w:numPr>
        <w:spacing w:after="200"/>
        <w:contextualSpacing/>
        <w:jc w:val="both"/>
        <w:rPr>
          <w:b/>
          <w:bCs/>
        </w:rPr>
      </w:pPr>
      <w:r w:rsidRPr="00C443F5">
        <w:rPr>
          <w:b/>
          <w:bCs/>
        </w:rPr>
        <w:t>Rankings</w:t>
      </w:r>
    </w:p>
    <w:p w14:paraId="322F90FF" w14:textId="77777777" w:rsidR="00C443F5" w:rsidRPr="00C443F5" w:rsidRDefault="00C443F5" w:rsidP="00C443F5">
      <w:pPr>
        <w:ind w:firstLine="720"/>
        <w:contextualSpacing/>
        <w:jc w:val="both"/>
        <w:rPr>
          <w:bCs/>
        </w:rPr>
      </w:pPr>
    </w:p>
    <w:p w14:paraId="65DA64A2" w14:textId="77777777" w:rsidR="00C443F5" w:rsidRPr="00C443F5" w:rsidRDefault="00C443F5" w:rsidP="00C443F5">
      <w:pPr>
        <w:ind w:firstLine="720"/>
        <w:contextualSpacing/>
        <w:jc w:val="both"/>
        <w:rPr>
          <w:bCs/>
        </w:rPr>
      </w:pPr>
      <w:r w:rsidRPr="00C443F5">
        <w:rPr>
          <w:bCs/>
        </w:rPr>
        <w:t xml:space="preserve">The Staff ranked the basic projects as filed. The rankings include the basic rankings from the original and supplemental filings. The rankings are based on additional gas load, additional revenues, additional customers, and job creation. </w:t>
      </w:r>
    </w:p>
    <w:p w14:paraId="065382D2" w14:textId="77777777" w:rsidR="00C443F5" w:rsidRPr="00C443F5" w:rsidRDefault="00C443F5" w:rsidP="00C443F5">
      <w:pPr>
        <w:contextualSpacing/>
        <w:jc w:val="both"/>
        <w:rPr>
          <w:bCs/>
        </w:rPr>
      </w:pPr>
    </w:p>
    <w:p w14:paraId="4CCE538F" w14:textId="77777777" w:rsidR="00C443F5" w:rsidRPr="00C443F5" w:rsidRDefault="00C443F5" w:rsidP="00C443F5">
      <w:pPr>
        <w:contextualSpacing/>
        <w:jc w:val="both"/>
        <w:rPr>
          <w:b/>
          <w:bCs/>
        </w:rPr>
      </w:pPr>
      <w:r w:rsidRPr="00C443F5">
        <w:rPr>
          <w:b/>
          <w:bCs/>
        </w:rPr>
        <w:t>Table-23: Additional Gas Load Rankings</w:t>
      </w:r>
    </w:p>
    <w:tbl>
      <w:tblPr>
        <w:tblW w:w="5670" w:type="dxa"/>
        <w:tblInd w:w="-5" w:type="dxa"/>
        <w:tblLook w:val="04A0" w:firstRow="1" w:lastRow="0" w:firstColumn="1" w:lastColumn="0" w:noHBand="0" w:noVBand="1"/>
      </w:tblPr>
      <w:tblGrid>
        <w:gridCol w:w="960"/>
        <w:gridCol w:w="2370"/>
        <w:gridCol w:w="1440"/>
        <w:gridCol w:w="900"/>
      </w:tblGrid>
      <w:tr w:rsidR="00C443F5" w:rsidRPr="00C443F5" w14:paraId="41529931" w14:textId="77777777" w:rsidTr="00397B51">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8614E"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lastRenderedPageBreak/>
              <w:t>Line #</w:t>
            </w:r>
          </w:p>
        </w:tc>
        <w:tc>
          <w:tcPr>
            <w:tcW w:w="2370" w:type="dxa"/>
            <w:tcBorders>
              <w:top w:val="single" w:sz="4" w:space="0" w:color="auto"/>
              <w:left w:val="nil"/>
              <w:bottom w:val="single" w:sz="4" w:space="0" w:color="auto"/>
              <w:right w:val="single" w:sz="4" w:space="0" w:color="auto"/>
            </w:tcBorders>
            <w:shd w:val="clear" w:color="auto" w:fill="auto"/>
            <w:noWrap/>
            <w:vAlign w:val="center"/>
            <w:hideMark/>
          </w:tcPr>
          <w:p w14:paraId="1969A456"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Project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4D23729"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Additional Gas Load-CFH</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F9AD10D"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Rank</w:t>
            </w:r>
          </w:p>
        </w:tc>
      </w:tr>
      <w:tr w:rsidR="00C443F5" w:rsidRPr="00C443F5" w14:paraId="1A8697BD" w14:textId="77777777" w:rsidTr="00397B51">
        <w:trPr>
          <w:trHeight w:val="3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CBD2DB"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1</w:t>
            </w:r>
          </w:p>
        </w:tc>
        <w:tc>
          <w:tcPr>
            <w:tcW w:w="2370" w:type="dxa"/>
            <w:tcBorders>
              <w:top w:val="nil"/>
              <w:left w:val="nil"/>
              <w:bottom w:val="single" w:sz="4" w:space="0" w:color="auto"/>
              <w:right w:val="single" w:sz="4" w:space="0" w:color="auto"/>
            </w:tcBorders>
            <w:shd w:val="clear" w:color="auto" w:fill="auto"/>
            <w:vAlign w:val="center"/>
            <w:hideMark/>
          </w:tcPr>
          <w:p w14:paraId="5E64DE2B"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Athens-Clark County Project</w:t>
            </w:r>
          </w:p>
        </w:tc>
        <w:tc>
          <w:tcPr>
            <w:tcW w:w="1440" w:type="dxa"/>
            <w:tcBorders>
              <w:top w:val="nil"/>
              <w:left w:val="nil"/>
              <w:bottom w:val="single" w:sz="4" w:space="0" w:color="auto"/>
              <w:right w:val="single" w:sz="4" w:space="0" w:color="auto"/>
            </w:tcBorders>
            <w:shd w:val="clear" w:color="auto" w:fill="auto"/>
            <w:noWrap/>
            <w:vAlign w:val="center"/>
            <w:hideMark/>
          </w:tcPr>
          <w:p w14:paraId="5EAC03D1"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40,000</w:t>
            </w:r>
          </w:p>
        </w:tc>
        <w:tc>
          <w:tcPr>
            <w:tcW w:w="900" w:type="dxa"/>
            <w:tcBorders>
              <w:top w:val="nil"/>
              <w:left w:val="nil"/>
              <w:bottom w:val="single" w:sz="4" w:space="0" w:color="auto"/>
              <w:right w:val="single" w:sz="4" w:space="0" w:color="auto"/>
            </w:tcBorders>
            <w:shd w:val="clear" w:color="auto" w:fill="auto"/>
            <w:noWrap/>
            <w:vAlign w:val="center"/>
            <w:hideMark/>
          </w:tcPr>
          <w:p w14:paraId="081B4DDC"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1</w:t>
            </w:r>
          </w:p>
        </w:tc>
      </w:tr>
      <w:tr w:rsidR="00C443F5" w:rsidRPr="00C443F5" w14:paraId="248EE43F" w14:textId="77777777" w:rsidTr="00397B51">
        <w:trPr>
          <w:trHeight w:val="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77E495"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2</w:t>
            </w:r>
          </w:p>
        </w:tc>
        <w:tc>
          <w:tcPr>
            <w:tcW w:w="2370" w:type="dxa"/>
            <w:tcBorders>
              <w:top w:val="nil"/>
              <w:left w:val="nil"/>
              <w:bottom w:val="single" w:sz="4" w:space="0" w:color="auto"/>
              <w:right w:val="single" w:sz="4" w:space="0" w:color="auto"/>
            </w:tcBorders>
            <w:shd w:val="clear" w:color="auto" w:fill="auto"/>
            <w:vAlign w:val="center"/>
            <w:hideMark/>
          </w:tcPr>
          <w:p w14:paraId="6A89076F"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McIntosh County Project</w:t>
            </w:r>
          </w:p>
        </w:tc>
        <w:tc>
          <w:tcPr>
            <w:tcW w:w="1440" w:type="dxa"/>
            <w:tcBorders>
              <w:top w:val="nil"/>
              <w:left w:val="nil"/>
              <w:bottom w:val="single" w:sz="4" w:space="0" w:color="auto"/>
              <w:right w:val="single" w:sz="4" w:space="0" w:color="auto"/>
            </w:tcBorders>
            <w:shd w:val="clear" w:color="auto" w:fill="auto"/>
            <w:noWrap/>
            <w:vAlign w:val="center"/>
            <w:hideMark/>
          </w:tcPr>
          <w:p w14:paraId="25EF2F54"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25,000</w:t>
            </w:r>
          </w:p>
        </w:tc>
        <w:tc>
          <w:tcPr>
            <w:tcW w:w="900" w:type="dxa"/>
            <w:tcBorders>
              <w:top w:val="nil"/>
              <w:left w:val="nil"/>
              <w:bottom w:val="single" w:sz="4" w:space="0" w:color="auto"/>
              <w:right w:val="single" w:sz="4" w:space="0" w:color="auto"/>
            </w:tcBorders>
            <w:shd w:val="clear" w:color="auto" w:fill="auto"/>
            <w:noWrap/>
            <w:vAlign w:val="center"/>
            <w:hideMark/>
          </w:tcPr>
          <w:p w14:paraId="63F7629C"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2</w:t>
            </w:r>
          </w:p>
        </w:tc>
      </w:tr>
      <w:tr w:rsidR="00C443F5" w:rsidRPr="00C443F5" w14:paraId="3193C8A3" w14:textId="77777777" w:rsidTr="00397B51">
        <w:trPr>
          <w:trHeight w:val="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D71C1B"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3</w:t>
            </w:r>
          </w:p>
        </w:tc>
        <w:tc>
          <w:tcPr>
            <w:tcW w:w="2370" w:type="dxa"/>
            <w:tcBorders>
              <w:top w:val="nil"/>
              <w:left w:val="nil"/>
              <w:bottom w:val="single" w:sz="4" w:space="0" w:color="auto"/>
              <w:right w:val="single" w:sz="4" w:space="0" w:color="auto"/>
            </w:tcBorders>
            <w:shd w:val="clear" w:color="auto" w:fill="auto"/>
            <w:vAlign w:val="center"/>
            <w:hideMark/>
          </w:tcPr>
          <w:p w14:paraId="0F5DFBC6"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Glynn County Project  #1</w:t>
            </w:r>
          </w:p>
        </w:tc>
        <w:tc>
          <w:tcPr>
            <w:tcW w:w="1440" w:type="dxa"/>
            <w:tcBorders>
              <w:top w:val="nil"/>
              <w:left w:val="nil"/>
              <w:bottom w:val="single" w:sz="4" w:space="0" w:color="auto"/>
              <w:right w:val="single" w:sz="4" w:space="0" w:color="auto"/>
            </w:tcBorders>
            <w:shd w:val="clear" w:color="auto" w:fill="auto"/>
            <w:noWrap/>
            <w:vAlign w:val="center"/>
            <w:hideMark/>
          </w:tcPr>
          <w:p w14:paraId="239084BE"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613</w:t>
            </w:r>
          </w:p>
        </w:tc>
        <w:tc>
          <w:tcPr>
            <w:tcW w:w="900" w:type="dxa"/>
            <w:tcBorders>
              <w:top w:val="nil"/>
              <w:left w:val="nil"/>
              <w:bottom w:val="single" w:sz="4" w:space="0" w:color="auto"/>
              <w:right w:val="single" w:sz="4" w:space="0" w:color="auto"/>
            </w:tcBorders>
            <w:shd w:val="clear" w:color="auto" w:fill="auto"/>
            <w:noWrap/>
            <w:vAlign w:val="center"/>
            <w:hideMark/>
          </w:tcPr>
          <w:p w14:paraId="7A412E22"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3</w:t>
            </w:r>
          </w:p>
        </w:tc>
      </w:tr>
      <w:tr w:rsidR="00C443F5" w:rsidRPr="00C443F5" w14:paraId="69D7D0DB" w14:textId="77777777" w:rsidTr="00397B51">
        <w:trPr>
          <w:trHeight w:val="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84D97A"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4</w:t>
            </w:r>
          </w:p>
        </w:tc>
        <w:tc>
          <w:tcPr>
            <w:tcW w:w="2370" w:type="dxa"/>
            <w:tcBorders>
              <w:top w:val="nil"/>
              <w:left w:val="nil"/>
              <w:bottom w:val="single" w:sz="4" w:space="0" w:color="auto"/>
              <w:right w:val="single" w:sz="4" w:space="0" w:color="auto"/>
            </w:tcBorders>
            <w:shd w:val="clear" w:color="auto" w:fill="auto"/>
            <w:vAlign w:val="center"/>
            <w:hideMark/>
          </w:tcPr>
          <w:p w14:paraId="3C97E301"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Glynn County Project #2</w:t>
            </w:r>
          </w:p>
        </w:tc>
        <w:tc>
          <w:tcPr>
            <w:tcW w:w="1440" w:type="dxa"/>
            <w:tcBorders>
              <w:top w:val="nil"/>
              <w:left w:val="nil"/>
              <w:bottom w:val="single" w:sz="4" w:space="0" w:color="auto"/>
              <w:right w:val="single" w:sz="4" w:space="0" w:color="auto"/>
            </w:tcBorders>
            <w:shd w:val="clear" w:color="auto" w:fill="auto"/>
            <w:noWrap/>
            <w:vAlign w:val="center"/>
            <w:hideMark/>
          </w:tcPr>
          <w:p w14:paraId="29EC745B"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613</w:t>
            </w:r>
          </w:p>
        </w:tc>
        <w:tc>
          <w:tcPr>
            <w:tcW w:w="900" w:type="dxa"/>
            <w:tcBorders>
              <w:top w:val="nil"/>
              <w:left w:val="nil"/>
              <w:bottom w:val="single" w:sz="4" w:space="0" w:color="auto"/>
              <w:right w:val="single" w:sz="4" w:space="0" w:color="auto"/>
            </w:tcBorders>
            <w:shd w:val="clear" w:color="auto" w:fill="auto"/>
            <w:noWrap/>
            <w:vAlign w:val="center"/>
            <w:hideMark/>
          </w:tcPr>
          <w:p w14:paraId="6F389C79"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3</w:t>
            </w:r>
          </w:p>
        </w:tc>
      </w:tr>
      <w:tr w:rsidR="00C443F5" w:rsidRPr="00C443F5" w14:paraId="136C2CF7" w14:textId="77777777" w:rsidTr="00397B51">
        <w:trPr>
          <w:trHeight w:val="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7447FD"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5</w:t>
            </w:r>
          </w:p>
        </w:tc>
        <w:tc>
          <w:tcPr>
            <w:tcW w:w="2370" w:type="dxa"/>
            <w:tcBorders>
              <w:top w:val="nil"/>
              <w:left w:val="nil"/>
              <w:bottom w:val="single" w:sz="4" w:space="0" w:color="auto"/>
              <w:right w:val="single" w:sz="4" w:space="0" w:color="auto"/>
            </w:tcBorders>
            <w:shd w:val="clear" w:color="auto" w:fill="auto"/>
            <w:vAlign w:val="center"/>
            <w:hideMark/>
          </w:tcPr>
          <w:p w14:paraId="62FA73FF"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Cherokee County Project</w:t>
            </w:r>
          </w:p>
        </w:tc>
        <w:tc>
          <w:tcPr>
            <w:tcW w:w="1440" w:type="dxa"/>
            <w:tcBorders>
              <w:top w:val="nil"/>
              <w:left w:val="nil"/>
              <w:bottom w:val="single" w:sz="4" w:space="0" w:color="auto"/>
              <w:right w:val="single" w:sz="4" w:space="0" w:color="auto"/>
            </w:tcBorders>
            <w:shd w:val="clear" w:color="auto" w:fill="auto"/>
            <w:noWrap/>
            <w:vAlign w:val="center"/>
            <w:hideMark/>
          </w:tcPr>
          <w:p w14:paraId="3D40FB97"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613</w:t>
            </w:r>
          </w:p>
        </w:tc>
        <w:tc>
          <w:tcPr>
            <w:tcW w:w="900" w:type="dxa"/>
            <w:tcBorders>
              <w:top w:val="nil"/>
              <w:left w:val="nil"/>
              <w:bottom w:val="single" w:sz="4" w:space="0" w:color="auto"/>
              <w:right w:val="single" w:sz="4" w:space="0" w:color="auto"/>
            </w:tcBorders>
            <w:shd w:val="clear" w:color="auto" w:fill="auto"/>
            <w:noWrap/>
            <w:vAlign w:val="center"/>
            <w:hideMark/>
          </w:tcPr>
          <w:p w14:paraId="0100B6A9"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3</w:t>
            </w:r>
          </w:p>
        </w:tc>
      </w:tr>
    </w:tbl>
    <w:p w14:paraId="3805C2B8" w14:textId="77777777" w:rsidR="00C443F5" w:rsidRPr="00C443F5" w:rsidRDefault="00C443F5" w:rsidP="00C443F5">
      <w:pPr>
        <w:contextualSpacing/>
        <w:jc w:val="both"/>
        <w:rPr>
          <w:b/>
          <w:bCs/>
        </w:rPr>
      </w:pPr>
    </w:p>
    <w:p w14:paraId="500BDAA8" w14:textId="77777777" w:rsidR="00C443F5" w:rsidRPr="00C443F5" w:rsidRDefault="00C443F5" w:rsidP="00C443F5">
      <w:pPr>
        <w:contextualSpacing/>
        <w:jc w:val="both"/>
        <w:rPr>
          <w:b/>
          <w:bCs/>
        </w:rPr>
      </w:pPr>
    </w:p>
    <w:p w14:paraId="71D03E0A" w14:textId="77777777" w:rsidR="00C443F5" w:rsidRPr="00C443F5" w:rsidRDefault="00C443F5" w:rsidP="00C443F5">
      <w:pPr>
        <w:contextualSpacing/>
        <w:jc w:val="both"/>
        <w:rPr>
          <w:b/>
          <w:bCs/>
        </w:rPr>
      </w:pPr>
      <w:r w:rsidRPr="00C443F5">
        <w:rPr>
          <w:b/>
          <w:bCs/>
        </w:rPr>
        <w:t>Table-24: Additional Revenues</w:t>
      </w:r>
    </w:p>
    <w:tbl>
      <w:tblPr>
        <w:tblW w:w="5670" w:type="dxa"/>
        <w:tblInd w:w="-5" w:type="dxa"/>
        <w:tblLook w:val="04A0" w:firstRow="1" w:lastRow="0" w:firstColumn="1" w:lastColumn="0" w:noHBand="0" w:noVBand="1"/>
      </w:tblPr>
      <w:tblGrid>
        <w:gridCol w:w="960"/>
        <w:gridCol w:w="2370"/>
        <w:gridCol w:w="1440"/>
        <w:gridCol w:w="900"/>
      </w:tblGrid>
      <w:tr w:rsidR="00C443F5" w:rsidRPr="00C443F5" w14:paraId="72587804" w14:textId="77777777" w:rsidTr="00397B51">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8EBC2"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Line #</w:t>
            </w:r>
          </w:p>
        </w:tc>
        <w:tc>
          <w:tcPr>
            <w:tcW w:w="2370" w:type="dxa"/>
            <w:tcBorders>
              <w:top w:val="single" w:sz="4" w:space="0" w:color="auto"/>
              <w:left w:val="nil"/>
              <w:bottom w:val="single" w:sz="4" w:space="0" w:color="auto"/>
              <w:right w:val="single" w:sz="4" w:space="0" w:color="auto"/>
            </w:tcBorders>
            <w:shd w:val="clear" w:color="auto" w:fill="auto"/>
            <w:noWrap/>
            <w:vAlign w:val="center"/>
            <w:hideMark/>
          </w:tcPr>
          <w:p w14:paraId="6EA9617E"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Project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30E0DD0"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Additional Revenues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D34EC41"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Rank</w:t>
            </w:r>
          </w:p>
        </w:tc>
      </w:tr>
      <w:tr w:rsidR="00C443F5" w:rsidRPr="00C443F5" w14:paraId="501F194F" w14:textId="77777777" w:rsidTr="00397B51">
        <w:trPr>
          <w:trHeight w:val="36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011BC7"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1</w:t>
            </w:r>
          </w:p>
        </w:tc>
        <w:tc>
          <w:tcPr>
            <w:tcW w:w="2370" w:type="dxa"/>
            <w:tcBorders>
              <w:top w:val="nil"/>
              <w:left w:val="nil"/>
              <w:bottom w:val="single" w:sz="4" w:space="0" w:color="auto"/>
              <w:right w:val="single" w:sz="4" w:space="0" w:color="auto"/>
            </w:tcBorders>
            <w:shd w:val="clear" w:color="auto" w:fill="auto"/>
            <w:vAlign w:val="center"/>
            <w:hideMark/>
          </w:tcPr>
          <w:p w14:paraId="1093718B"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Athens-Clark County Project</w:t>
            </w:r>
          </w:p>
        </w:tc>
        <w:tc>
          <w:tcPr>
            <w:tcW w:w="1440" w:type="dxa"/>
            <w:tcBorders>
              <w:top w:val="nil"/>
              <w:left w:val="nil"/>
              <w:bottom w:val="single" w:sz="4" w:space="0" w:color="auto"/>
              <w:right w:val="single" w:sz="4" w:space="0" w:color="auto"/>
            </w:tcBorders>
            <w:shd w:val="clear" w:color="auto" w:fill="auto"/>
            <w:noWrap/>
            <w:vAlign w:val="center"/>
            <w:hideMark/>
          </w:tcPr>
          <w:p w14:paraId="0377A995"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$85,421.88 </w:t>
            </w:r>
          </w:p>
        </w:tc>
        <w:tc>
          <w:tcPr>
            <w:tcW w:w="900" w:type="dxa"/>
            <w:tcBorders>
              <w:top w:val="nil"/>
              <w:left w:val="nil"/>
              <w:bottom w:val="single" w:sz="4" w:space="0" w:color="auto"/>
              <w:right w:val="single" w:sz="4" w:space="0" w:color="auto"/>
            </w:tcBorders>
            <w:shd w:val="clear" w:color="auto" w:fill="auto"/>
            <w:noWrap/>
            <w:vAlign w:val="center"/>
            <w:hideMark/>
          </w:tcPr>
          <w:p w14:paraId="20B16291"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1</w:t>
            </w:r>
          </w:p>
        </w:tc>
      </w:tr>
      <w:tr w:rsidR="00C443F5" w:rsidRPr="00C443F5" w14:paraId="090EFEB0" w14:textId="77777777" w:rsidTr="00397B51">
        <w:trPr>
          <w:trHeight w:val="2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1AD439"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2</w:t>
            </w:r>
          </w:p>
        </w:tc>
        <w:tc>
          <w:tcPr>
            <w:tcW w:w="2370" w:type="dxa"/>
            <w:tcBorders>
              <w:top w:val="nil"/>
              <w:left w:val="nil"/>
              <w:bottom w:val="single" w:sz="4" w:space="0" w:color="auto"/>
              <w:right w:val="single" w:sz="4" w:space="0" w:color="auto"/>
            </w:tcBorders>
            <w:shd w:val="clear" w:color="auto" w:fill="auto"/>
            <w:vAlign w:val="center"/>
            <w:hideMark/>
          </w:tcPr>
          <w:p w14:paraId="244C7775"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McIntosh County Project</w:t>
            </w:r>
          </w:p>
        </w:tc>
        <w:tc>
          <w:tcPr>
            <w:tcW w:w="1440" w:type="dxa"/>
            <w:tcBorders>
              <w:top w:val="nil"/>
              <w:left w:val="nil"/>
              <w:bottom w:val="single" w:sz="4" w:space="0" w:color="auto"/>
              <w:right w:val="single" w:sz="4" w:space="0" w:color="auto"/>
            </w:tcBorders>
            <w:shd w:val="clear" w:color="auto" w:fill="auto"/>
            <w:noWrap/>
            <w:vAlign w:val="center"/>
            <w:hideMark/>
          </w:tcPr>
          <w:p w14:paraId="248F9ACC"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$32,920.20 </w:t>
            </w:r>
          </w:p>
        </w:tc>
        <w:tc>
          <w:tcPr>
            <w:tcW w:w="900" w:type="dxa"/>
            <w:tcBorders>
              <w:top w:val="nil"/>
              <w:left w:val="nil"/>
              <w:bottom w:val="single" w:sz="4" w:space="0" w:color="auto"/>
              <w:right w:val="single" w:sz="4" w:space="0" w:color="auto"/>
            </w:tcBorders>
            <w:shd w:val="clear" w:color="auto" w:fill="auto"/>
            <w:noWrap/>
            <w:vAlign w:val="center"/>
            <w:hideMark/>
          </w:tcPr>
          <w:p w14:paraId="34324F0A"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2</w:t>
            </w:r>
          </w:p>
        </w:tc>
      </w:tr>
      <w:tr w:rsidR="00C443F5" w:rsidRPr="00C443F5" w14:paraId="7731463C" w14:textId="77777777" w:rsidTr="00397B51">
        <w:trPr>
          <w:trHeight w:val="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4D676D"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3</w:t>
            </w:r>
          </w:p>
        </w:tc>
        <w:tc>
          <w:tcPr>
            <w:tcW w:w="2370" w:type="dxa"/>
            <w:tcBorders>
              <w:top w:val="nil"/>
              <w:left w:val="nil"/>
              <w:bottom w:val="single" w:sz="4" w:space="0" w:color="auto"/>
              <w:right w:val="single" w:sz="4" w:space="0" w:color="auto"/>
            </w:tcBorders>
            <w:shd w:val="clear" w:color="auto" w:fill="auto"/>
            <w:vAlign w:val="center"/>
            <w:hideMark/>
          </w:tcPr>
          <w:p w14:paraId="778590FE"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Glynn County Project #2</w:t>
            </w:r>
          </w:p>
        </w:tc>
        <w:tc>
          <w:tcPr>
            <w:tcW w:w="1440" w:type="dxa"/>
            <w:tcBorders>
              <w:top w:val="nil"/>
              <w:left w:val="nil"/>
              <w:bottom w:val="single" w:sz="4" w:space="0" w:color="auto"/>
              <w:right w:val="single" w:sz="4" w:space="0" w:color="auto"/>
            </w:tcBorders>
            <w:shd w:val="clear" w:color="auto" w:fill="auto"/>
            <w:noWrap/>
            <w:vAlign w:val="center"/>
            <w:hideMark/>
          </w:tcPr>
          <w:p w14:paraId="5A185CA7"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$14,552.52 </w:t>
            </w:r>
          </w:p>
        </w:tc>
        <w:tc>
          <w:tcPr>
            <w:tcW w:w="900" w:type="dxa"/>
            <w:tcBorders>
              <w:top w:val="nil"/>
              <w:left w:val="nil"/>
              <w:bottom w:val="single" w:sz="4" w:space="0" w:color="auto"/>
              <w:right w:val="single" w:sz="4" w:space="0" w:color="auto"/>
            </w:tcBorders>
            <w:shd w:val="clear" w:color="auto" w:fill="auto"/>
            <w:noWrap/>
            <w:vAlign w:val="center"/>
            <w:hideMark/>
          </w:tcPr>
          <w:p w14:paraId="73A76096"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3</w:t>
            </w:r>
          </w:p>
        </w:tc>
      </w:tr>
      <w:tr w:rsidR="00C443F5" w:rsidRPr="00C443F5" w14:paraId="27244947" w14:textId="77777777" w:rsidTr="00397B51">
        <w:trPr>
          <w:trHeight w:val="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6073CB"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4</w:t>
            </w:r>
          </w:p>
        </w:tc>
        <w:tc>
          <w:tcPr>
            <w:tcW w:w="2370" w:type="dxa"/>
            <w:tcBorders>
              <w:top w:val="nil"/>
              <w:left w:val="nil"/>
              <w:bottom w:val="single" w:sz="4" w:space="0" w:color="auto"/>
              <w:right w:val="single" w:sz="4" w:space="0" w:color="auto"/>
            </w:tcBorders>
            <w:shd w:val="clear" w:color="auto" w:fill="auto"/>
            <w:vAlign w:val="center"/>
            <w:hideMark/>
          </w:tcPr>
          <w:p w14:paraId="6747004B"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Glynn County Project  #1</w:t>
            </w:r>
          </w:p>
        </w:tc>
        <w:tc>
          <w:tcPr>
            <w:tcW w:w="1440" w:type="dxa"/>
            <w:tcBorders>
              <w:top w:val="nil"/>
              <w:left w:val="nil"/>
              <w:bottom w:val="single" w:sz="4" w:space="0" w:color="auto"/>
              <w:right w:val="single" w:sz="4" w:space="0" w:color="auto"/>
            </w:tcBorders>
            <w:shd w:val="clear" w:color="auto" w:fill="auto"/>
            <w:noWrap/>
            <w:vAlign w:val="center"/>
            <w:hideMark/>
          </w:tcPr>
          <w:p w14:paraId="29E33D60"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$11,642.02 </w:t>
            </w:r>
          </w:p>
        </w:tc>
        <w:tc>
          <w:tcPr>
            <w:tcW w:w="900" w:type="dxa"/>
            <w:tcBorders>
              <w:top w:val="nil"/>
              <w:left w:val="nil"/>
              <w:bottom w:val="single" w:sz="4" w:space="0" w:color="auto"/>
              <w:right w:val="single" w:sz="4" w:space="0" w:color="auto"/>
            </w:tcBorders>
            <w:shd w:val="clear" w:color="auto" w:fill="auto"/>
            <w:noWrap/>
            <w:vAlign w:val="center"/>
            <w:hideMark/>
          </w:tcPr>
          <w:p w14:paraId="0DB65695"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4</w:t>
            </w:r>
          </w:p>
        </w:tc>
      </w:tr>
      <w:tr w:rsidR="00C443F5" w:rsidRPr="00C443F5" w14:paraId="42FB07EB" w14:textId="77777777" w:rsidTr="00397B51">
        <w:trPr>
          <w:trHeight w:val="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1BF6A5"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5</w:t>
            </w:r>
          </w:p>
        </w:tc>
        <w:tc>
          <w:tcPr>
            <w:tcW w:w="2370" w:type="dxa"/>
            <w:tcBorders>
              <w:top w:val="nil"/>
              <w:left w:val="nil"/>
              <w:bottom w:val="single" w:sz="4" w:space="0" w:color="auto"/>
              <w:right w:val="single" w:sz="4" w:space="0" w:color="auto"/>
            </w:tcBorders>
            <w:shd w:val="clear" w:color="auto" w:fill="auto"/>
            <w:vAlign w:val="center"/>
            <w:hideMark/>
          </w:tcPr>
          <w:p w14:paraId="69D1E737"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Cherokee County Project</w:t>
            </w:r>
          </w:p>
        </w:tc>
        <w:tc>
          <w:tcPr>
            <w:tcW w:w="1440" w:type="dxa"/>
            <w:tcBorders>
              <w:top w:val="nil"/>
              <w:left w:val="nil"/>
              <w:bottom w:val="single" w:sz="4" w:space="0" w:color="auto"/>
              <w:right w:val="single" w:sz="4" w:space="0" w:color="auto"/>
            </w:tcBorders>
            <w:shd w:val="clear" w:color="auto" w:fill="auto"/>
            <w:noWrap/>
            <w:vAlign w:val="center"/>
            <w:hideMark/>
          </w:tcPr>
          <w:p w14:paraId="34A00990"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$3,671.52 </w:t>
            </w:r>
          </w:p>
        </w:tc>
        <w:tc>
          <w:tcPr>
            <w:tcW w:w="900" w:type="dxa"/>
            <w:tcBorders>
              <w:top w:val="nil"/>
              <w:left w:val="nil"/>
              <w:bottom w:val="single" w:sz="4" w:space="0" w:color="auto"/>
              <w:right w:val="single" w:sz="4" w:space="0" w:color="auto"/>
            </w:tcBorders>
            <w:shd w:val="clear" w:color="auto" w:fill="auto"/>
            <w:noWrap/>
            <w:vAlign w:val="center"/>
            <w:hideMark/>
          </w:tcPr>
          <w:p w14:paraId="7A9BB851"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5</w:t>
            </w:r>
          </w:p>
        </w:tc>
      </w:tr>
    </w:tbl>
    <w:p w14:paraId="336B8C07" w14:textId="77777777" w:rsidR="00C443F5" w:rsidRPr="00C443F5" w:rsidRDefault="00C443F5" w:rsidP="00C443F5">
      <w:pPr>
        <w:contextualSpacing/>
        <w:jc w:val="both"/>
        <w:rPr>
          <w:b/>
          <w:bCs/>
        </w:rPr>
      </w:pPr>
    </w:p>
    <w:p w14:paraId="3FE7B139" w14:textId="77777777" w:rsidR="00C443F5" w:rsidRPr="00C443F5" w:rsidRDefault="00C443F5" w:rsidP="00C443F5">
      <w:pPr>
        <w:contextualSpacing/>
        <w:jc w:val="both"/>
        <w:rPr>
          <w:b/>
          <w:bCs/>
        </w:rPr>
      </w:pPr>
    </w:p>
    <w:p w14:paraId="3686B8E4" w14:textId="77777777" w:rsidR="00C443F5" w:rsidRPr="00C443F5" w:rsidRDefault="00C443F5" w:rsidP="00C443F5">
      <w:pPr>
        <w:contextualSpacing/>
        <w:jc w:val="both"/>
        <w:rPr>
          <w:b/>
          <w:bCs/>
        </w:rPr>
      </w:pPr>
      <w:r w:rsidRPr="00C443F5">
        <w:rPr>
          <w:b/>
          <w:bCs/>
        </w:rPr>
        <w:t>Table-25: Additional Customers</w:t>
      </w:r>
    </w:p>
    <w:tbl>
      <w:tblPr>
        <w:tblW w:w="5670" w:type="dxa"/>
        <w:tblInd w:w="-5" w:type="dxa"/>
        <w:tblLook w:val="04A0" w:firstRow="1" w:lastRow="0" w:firstColumn="1" w:lastColumn="0" w:noHBand="0" w:noVBand="1"/>
      </w:tblPr>
      <w:tblGrid>
        <w:gridCol w:w="960"/>
        <w:gridCol w:w="2370"/>
        <w:gridCol w:w="1440"/>
        <w:gridCol w:w="900"/>
      </w:tblGrid>
      <w:tr w:rsidR="00C443F5" w:rsidRPr="00C443F5" w14:paraId="32BECBE9" w14:textId="77777777" w:rsidTr="00397B51">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FCCDB"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Line #</w:t>
            </w:r>
          </w:p>
        </w:tc>
        <w:tc>
          <w:tcPr>
            <w:tcW w:w="2370" w:type="dxa"/>
            <w:tcBorders>
              <w:top w:val="single" w:sz="4" w:space="0" w:color="auto"/>
              <w:left w:val="nil"/>
              <w:bottom w:val="single" w:sz="4" w:space="0" w:color="auto"/>
              <w:right w:val="single" w:sz="4" w:space="0" w:color="auto"/>
            </w:tcBorders>
            <w:shd w:val="clear" w:color="auto" w:fill="auto"/>
            <w:noWrap/>
            <w:vAlign w:val="center"/>
            <w:hideMark/>
          </w:tcPr>
          <w:p w14:paraId="0112D916"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Project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B1EC735"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Additional Customers</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6CD0828"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Rank</w:t>
            </w:r>
          </w:p>
        </w:tc>
      </w:tr>
      <w:tr w:rsidR="00C443F5" w:rsidRPr="00C443F5" w14:paraId="60F0E7EA" w14:textId="77777777" w:rsidTr="00397B51">
        <w:trPr>
          <w:trHeight w:val="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A17A57"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1</w:t>
            </w:r>
          </w:p>
        </w:tc>
        <w:tc>
          <w:tcPr>
            <w:tcW w:w="2370" w:type="dxa"/>
            <w:tcBorders>
              <w:top w:val="nil"/>
              <w:left w:val="nil"/>
              <w:bottom w:val="single" w:sz="4" w:space="0" w:color="auto"/>
              <w:right w:val="single" w:sz="4" w:space="0" w:color="auto"/>
            </w:tcBorders>
            <w:shd w:val="clear" w:color="auto" w:fill="auto"/>
            <w:vAlign w:val="center"/>
            <w:hideMark/>
          </w:tcPr>
          <w:p w14:paraId="39DF4D7F"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Glynn County Project #2</w:t>
            </w:r>
          </w:p>
        </w:tc>
        <w:tc>
          <w:tcPr>
            <w:tcW w:w="1440" w:type="dxa"/>
            <w:tcBorders>
              <w:top w:val="nil"/>
              <w:left w:val="nil"/>
              <w:bottom w:val="single" w:sz="4" w:space="0" w:color="auto"/>
              <w:right w:val="single" w:sz="4" w:space="0" w:color="auto"/>
            </w:tcBorders>
            <w:shd w:val="clear" w:color="auto" w:fill="auto"/>
            <w:noWrap/>
            <w:vAlign w:val="center"/>
            <w:hideMark/>
          </w:tcPr>
          <w:p w14:paraId="46ACDE92"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50</w:t>
            </w:r>
          </w:p>
        </w:tc>
        <w:tc>
          <w:tcPr>
            <w:tcW w:w="900" w:type="dxa"/>
            <w:tcBorders>
              <w:top w:val="nil"/>
              <w:left w:val="nil"/>
              <w:bottom w:val="single" w:sz="4" w:space="0" w:color="auto"/>
              <w:right w:val="single" w:sz="4" w:space="0" w:color="auto"/>
            </w:tcBorders>
            <w:shd w:val="clear" w:color="auto" w:fill="auto"/>
            <w:noWrap/>
            <w:vAlign w:val="center"/>
            <w:hideMark/>
          </w:tcPr>
          <w:p w14:paraId="70E37448"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1</w:t>
            </w:r>
          </w:p>
        </w:tc>
      </w:tr>
      <w:tr w:rsidR="00C443F5" w:rsidRPr="00C443F5" w14:paraId="1E428D98" w14:textId="77777777" w:rsidTr="00397B51">
        <w:trPr>
          <w:trHeight w:val="44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FDDC4B"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2</w:t>
            </w:r>
          </w:p>
        </w:tc>
        <w:tc>
          <w:tcPr>
            <w:tcW w:w="2370" w:type="dxa"/>
            <w:tcBorders>
              <w:top w:val="nil"/>
              <w:left w:val="nil"/>
              <w:bottom w:val="single" w:sz="4" w:space="0" w:color="auto"/>
              <w:right w:val="single" w:sz="4" w:space="0" w:color="auto"/>
            </w:tcBorders>
            <w:shd w:val="clear" w:color="auto" w:fill="auto"/>
            <w:vAlign w:val="center"/>
            <w:hideMark/>
          </w:tcPr>
          <w:p w14:paraId="69F8EC61"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Glynn County Project  #1</w:t>
            </w:r>
          </w:p>
        </w:tc>
        <w:tc>
          <w:tcPr>
            <w:tcW w:w="1440" w:type="dxa"/>
            <w:tcBorders>
              <w:top w:val="nil"/>
              <w:left w:val="nil"/>
              <w:bottom w:val="single" w:sz="4" w:space="0" w:color="auto"/>
              <w:right w:val="single" w:sz="4" w:space="0" w:color="auto"/>
            </w:tcBorders>
            <w:shd w:val="clear" w:color="auto" w:fill="auto"/>
            <w:noWrap/>
            <w:vAlign w:val="center"/>
            <w:hideMark/>
          </w:tcPr>
          <w:p w14:paraId="0D913BDA"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40</w:t>
            </w:r>
          </w:p>
        </w:tc>
        <w:tc>
          <w:tcPr>
            <w:tcW w:w="900" w:type="dxa"/>
            <w:tcBorders>
              <w:top w:val="nil"/>
              <w:left w:val="nil"/>
              <w:bottom w:val="single" w:sz="4" w:space="0" w:color="auto"/>
              <w:right w:val="single" w:sz="4" w:space="0" w:color="auto"/>
            </w:tcBorders>
            <w:shd w:val="clear" w:color="auto" w:fill="auto"/>
            <w:noWrap/>
            <w:vAlign w:val="center"/>
            <w:hideMark/>
          </w:tcPr>
          <w:p w14:paraId="17B1E247"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2</w:t>
            </w:r>
          </w:p>
        </w:tc>
      </w:tr>
      <w:tr w:rsidR="00C443F5" w:rsidRPr="00C443F5" w14:paraId="0338B26A" w14:textId="77777777" w:rsidTr="00397B51">
        <w:trPr>
          <w:trHeight w:val="45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3EC4DA"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3</w:t>
            </w:r>
          </w:p>
        </w:tc>
        <w:tc>
          <w:tcPr>
            <w:tcW w:w="2370" w:type="dxa"/>
            <w:tcBorders>
              <w:top w:val="nil"/>
              <w:left w:val="nil"/>
              <w:bottom w:val="single" w:sz="4" w:space="0" w:color="auto"/>
              <w:right w:val="single" w:sz="4" w:space="0" w:color="auto"/>
            </w:tcBorders>
            <w:shd w:val="clear" w:color="auto" w:fill="auto"/>
            <w:vAlign w:val="center"/>
            <w:hideMark/>
          </w:tcPr>
          <w:p w14:paraId="5512C7B8"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Cherokee County Project</w:t>
            </w:r>
          </w:p>
        </w:tc>
        <w:tc>
          <w:tcPr>
            <w:tcW w:w="1440" w:type="dxa"/>
            <w:tcBorders>
              <w:top w:val="nil"/>
              <w:left w:val="nil"/>
              <w:bottom w:val="single" w:sz="4" w:space="0" w:color="auto"/>
              <w:right w:val="single" w:sz="4" w:space="0" w:color="auto"/>
            </w:tcBorders>
            <w:shd w:val="clear" w:color="auto" w:fill="auto"/>
            <w:noWrap/>
            <w:vAlign w:val="center"/>
            <w:hideMark/>
          </w:tcPr>
          <w:p w14:paraId="4C84C6AB"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10</w:t>
            </w:r>
          </w:p>
        </w:tc>
        <w:tc>
          <w:tcPr>
            <w:tcW w:w="900" w:type="dxa"/>
            <w:tcBorders>
              <w:top w:val="nil"/>
              <w:left w:val="nil"/>
              <w:bottom w:val="single" w:sz="4" w:space="0" w:color="auto"/>
              <w:right w:val="single" w:sz="4" w:space="0" w:color="auto"/>
            </w:tcBorders>
            <w:shd w:val="clear" w:color="auto" w:fill="auto"/>
            <w:noWrap/>
            <w:vAlign w:val="center"/>
            <w:hideMark/>
          </w:tcPr>
          <w:p w14:paraId="1CC66C62"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3</w:t>
            </w:r>
          </w:p>
        </w:tc>
      </w:tr>
      <w:tr w:rsidR="00C443F5" w:rsidRPr="00C443F5" w14:paraId="56B254D1" w14:textId="77777777" w:rsidTr="00397B51">
        <w:trPr>
          <w:trHeight w:val="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213293"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4</w:t>
            </w:r>
          </w:p>
        </w:tc>
        <w:tc>
          <w:tcPr>
            <w:tcW w:w="2370" w:type="dxa"/>
            <w:tcBorders>
              <w:top w:val="nil"/>
              <w:left w:val="nil"/>
              <w:bottom w:val="single" w:sz="4" w:space="0" w:color="auto"/>
              <w:right w:val="single" w:sz="4" w:space="0" w:color="auto"/>
            </w:tcBorders>
            <w:shd w:val="clear" w:color="auto" w:fill="auto"/>
            <w:vAlign w:val="center"/>
            <w:hideMark/>
          </w:tcPr>
          <w:p w14:paraId="619DEF5E"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Athens-Clark County Project</w:t>
            </w:r>
          </w:p>
        </w:tc>
        <w:tc>
          <w:tcPr>
            <w:tcW w:w="1440" w:type="dxa"/>
            <w:tcBorders>
              <w:top w:val="nil"/>
              <w:left w:val="nil"/>
              <w:bottom w:val="single" w:sz="4" w:space="0" w:color="auto"/>
              <w:right w:val="single" w:sz="4" w:space="0" w:color="auto"/>
            </w:tcBorders>
            <w:shd w:val="clear" w:color="auto" w:fill="auto"/>
            <w:noWrap/>
            <w:vAlign w:val="center"/>
            <w:hideMark/>
          </w:tcPr>
          <w:p w14:paraId="02F4E250"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center"/>
            <w:hideMark/>
          </w:tcPr>
          <w:p w14:paraId="079ABF87"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4</w:t>
            </w:r>
          </w:p>
        </w:tc>
      </w:tr>
      <w:tr w:rsidR="00C443F5" w:rsidRPr="00C443F5" w14:paraId="541D062C" w14:textId="77777777" w:rsidTr="00397B51">
        <w:trPr>
          <w:trHeight w:val="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6CBE4B"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5</w:t>
            </w:r>
          </w:p>
        </w:tc>
        <w:tc>
          <w:tcPr>
            <w:tcW w:w="2370" w:type="dxa"/>
            <w:tcBorders>
              <w:top w:val="nil"/>
              <w:left w:val="nil"/>
              <w:bottom w:val="single" w:sz="4" w:space="0" w:color="auto"/>
              <w:right w:val="single" w:sz="4" w:space="0" w:color="auto"/>
            </w:tcBorders>
            <w:shd w:val="clear" w:color="auto" w:fill="auto"/>
            <w:vAlign w:val="center"/>
            <w:hideMark/>
          </w:tcPr>
          <w:p w14:paraId="70CD0EC5"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McIntosh County Project</w:t>
            </w:r>
          </w:p>
        </w:tc>
        <w:tc>
          <w:tcPr>
            <w:tcW w:w="1440" w:type="dxa"/>
            <w:tcBorders>
              <w:top w:val="nil"/>
              <w:left w:val="nil"/>
              <w:bottom w:val="single" w:sz="4" w:space="0" w:color="auto"/>
              <w:right w:val="single" w:sz="4" w:space="0" w:color="auto"/>
            </w:tcBorders>
            <w:shd w:val="clear" w:color="auto" w:fill="auto"/>
            <w:noWrap/>
            <w:vAlign w:val="center"/>
            <w:hideMark/>
          </w:tcPr>
          <w:p w14:paraId="05BC9F5F"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1</w:t>
            </w:r>
          </w:p>
        </w:tc>
        <w:tc>
          <w:tcPr>
            <w:tcW w:w="900" w:type="dxa"/>
            <w:tcBorders>
              <w:top w:val="nil"/>
              <w:left w:val="nil"/>
              <w:bottom w:val="single" w:sz="4" w:space="0" w:color="auto"/>
              <w:right w:val="single" w:sz="4" w:space="0" w:color="auto"/>
            </w:tcBorders>
            <w:shd w:val="clear" w:color="auto" w:fill="auto"/>
            <w:noWrap/>
            <w:vAlign w:val="center"/>
            <w:hideMark/>
          </w:tcPr>
          <w:p w14:paraId="303AA01B"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4</w:t>
            </w:r>
          </w:p>
        </w:tc>
      </w:tr>
    </w:tbl>
    <w:p w14:paraId="7882A211" w14:textId="77777777" w:rsidR="00C443F5" w:rsidRPr="00C443F5" w:rsidRDefault="00C443F5" w:rsidP="00C443F5">
      <w:pPr>
        <w:contextualSpacing/>
        <w:jc w:val="both"/>
        <w:rPr>
          <w:b/>
          <w:bCs/>
        </w:rPr>
      </w:pPr>
    </w:p>
    <w:p w14:paraId="46906F72" w14:textId="77777777" w:rsidR="00C443F5" w:rsidRPr="00C443F5" w:rsidRDefault="00C443F5" w:rsidP="00C443F5">
      <w:pPr>
        <w:contextualSpacing/>
        <w:jc w:val="both"/>
        <w:rPr>
          <w:b/>
          <w:bCs/>
        </w:rPr>
      </w:pPr>
    </w:p>
    <w:p w14:paraId="2E103943" w14:textId="77777777" w:rsidR="00C443F5" w:rsidRPr="00C443F5" w:rsidRDefault="00C443F5" w:rsidP="00C443F5">
      <w:pPr>
        <w:contextualSpacing/>
        <w:jc w:val="both"/>
        <w:rPr>
          <w:b/>
          <w:bCs/>
        </w:rPr>
      </w:pPr>
    </w:p>
    <w:p w14:paraId="3F7198CE" w14:textId="77777777" w:rsidR="00C443F5" w:rsidRPr="00C443F5" w:rsidRDefault="00C443F5" w:rsidP="00C443F5">
      <w:pPr>
        <w:contextualSpacing/>
        <w:jc w:val="both"/>
        <w:rPr>
          <w:b/>
          <w:bCs/>
        </w:rPr>
      </w:pPr>
    </w:p>
    <w:p w14:paraId="03FFEC09" w14:textId="77777777" w:rsidR="00C443F5" w:rsidRPr="00C443F5" w:rsidRDefault="00C443F5" w:rsidP="00C443F5">
      <w:pPr>
        <w:contextualSpacing/>
        <w:jc w:val="both"/>
        <w:rPr>
          <w:b/>
          <w:bCs/>
        </w:rPr>
      </w:pPr>
    </w:p>
    <w:p w14:paraId="0C0EB68B" w14:textId="77777777" w:rsidR="00C443F5" w:rsidRPr="00C443F5" w:rsidRDefault="00C443F5" w:rsidP="00C443F5">
      <w:pPr>
        <w:contextualSpacing/>
        <w:jc w:val="both"/>
        <w:rPr>
          <w:b/>
          <w:bCs/>
        </w:rPr>
      </w:pPr>
      <w:r w:rsidRPr="00C443F5">
        <w:rPr>
          <w:b/>
          <w:bCs/>
        </w:rPr>
        <w:t>Table-26: Job Creation</w:t>
      </w:r>
    </w:p>
    <w:tbl>
      <w:tblPr>
        <w:tblW w:w="5580" w:type="dxa"/>
        <w:tblInd w:w="-5" w:type="dxa"/>
        <w:tblLook w:val="04A0" w:firstRow="1" w:lastRow="0" w:firstColumn="1" w:lastColumn="0" w:noHBand="0" w:noVBand="1"/>
      </w:tblPr>
      <w:tblGrid>
        <w:gridCol w:w="960"/>
        <w:gridCol w:w="2280"/>
        <w:gridCol w:w="1530"/>
        <w:gridCol w:w="810"/>
      </w:tblGrid>
      <w:tr w:rsidR="00C443F5" w:rsidRPr="00C443F5" w14:paraId="1A388F91" w14:textId="77777777" w:rsidTr="00397B51">
        <w:trPr>
          <w:trHeight w:val="67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D987C"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Line #</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0C4FAA69"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Project</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7493E0E"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Job Creation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7FDE9CF6"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Rank</w:t>
            </w:r>
          </w:p>
        </w:tc>
      </w:tr>
      <w:tr w:rsidR="00C443F5" w:rsidRPr="00C443F5" w14:paraId="3ADB66C4" w14:textId="77777777" w:rsidTr="00397B51">
        <w:trPr>
          <w:trHeight w:val="37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E86D72"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1</w:t>
            </w:r>
          </w:p>
          <w:p w14:paraId="1DBB51A2" w14:textId="77777777" w:rsidR="00C443F5" w:rsidRPr="00C443F5" w:rsidRDefault="00C443F5" w:rsidP="00C443F5">
            <w:pPr>
              <w:jc w:val="center"/>
              <w:rPr>
                <w:rFonts w:ascii="Arial" w:hAnsi="Arial" w:cs="Arial"/>
                <w:color w:val="000000"/>
                <w:sz w:val="16"/>
                <w:szCs w:val="16"/>
              </w:rPr>
            </w:pPr>
          </w:p>
        </w:tc>
        <w:tc>
          <w:tcPr>
            <w:tcW w:w="2280" w:type="dxa"/>
            <w:tcBorders>
              <w:top w:val="nil"/>
              <w:left w:val="nil"/>
              <w:bottom w:val="single" w:sz="4" w:space="0" w:color="auto"/>
              <w:right w:val="single" w:sz="4" w:space="0" w:color="auto"/>
            </w:tcBorders>
            <w:shd w:val="clear" w:color="auto" w:fill="auto"/>
            <w:vAlign w:val="center"/>
            <w:hideMark/>
          </w:tcPr>
          <w:p w14:paraId="36377591"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Athens-Clark County Project</w:t>
            </w:r>
          </w:p>
        </w:tc>
        <w:tc>
          <w:tcPr>
            <w:tcW w:w="1530" w:type="dxa"/>
            <w:tcBorders>
              <w:top w:val="nil"/>
              <w:left w:val="nil"/>
              <w:bottom w:val="single" w:sz="4" w:space="0" w:color="auto"/>
              <w:right w:val="single" w:sz="4" w:space="0" w:color="auto"/>
            </w:tcBorders>
            <w:shd w:val="clear" w:color="auto" w:fill="auto"/>
            <w:noWrap/>
            <w:vAlign w:val="center"/>
            <w:hideMark/>
          </w:tcPr>
          <w:p w14:paraId="08A5FA9F"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1,700</w:t>
            </w:r>
          </w:p>
        </w:tc>
        <w:tc>
          <w:tcPr>
            <w:tcW w:w="810" w:type="dxa"/>
            <w:tcBorders>
              <w:top w:val="nil"/>
              <w:left w:val="nil"/>
              <w:bottom w:val="single" w:sz="4" w:space="0" w:color="auto"/>
              <w:right w:val="single" w:sz="4" w:space="0" w:color="auto"/>
            </w:tcBorders>
            <w:shd w:val="clear" w:color="auto" w:fill="auto"/>
            <w:noWrap/>
            <w:vAlign w:val="center"/>
            <w:hideMark/>
          </w:tcPr>
          <w:p w14:paraId="628C490D"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1</w:t>
            </w:r>
          </w:p>
        </w:tc>
      </w:tr>
      <w:tr w:rsidR="00C443F5" w:rsidRPr="00C443F5" w14:paraId="73382DFD" w14:textId="77777777" w:rsidTr="00397B51">
        <w:trPr>
          <w:trHeight w:val="27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024E63"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2</w:t>
            </w:r>
          </w:p>
        </w:tc>
        <w:tc>
          <w:tcPr>
            <w:tcW w:w="2280" w:type="dxa"/>
            <w:tcBorders>
              <w:top w:val="nil"/>
              <w:left w:val="nil"/>
              <w:bottom w:val="single" w:sz="4" w:space="0" w:color="auto"/>
              <w:right w:val="single" w:sz="4" w:space="0" w:color="auto"/>
            </w:tcBorders>
            <w:shd w:val="clear" w:color="auto" w:fill="auto"/>
            <w:vAlign w:val="center"/>
            <w:hideMark/>
          </w:tcPr>
          <w:p w14:paraId="0985F5FF"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McIntosh County Project</w:t>
            </w:r>
          </w:p>
        </w:tc>
        <w:tc>
          <w:tcPr>
            <w:tcW w:w="1530" w:type="dxa"/>
            <w:tcBorders>
              <w:top w:val="nil"/>
              <w:left w:val="nil"/>
              <w:bottom w:val="single" w:sz="4" w:space="0" w:color="auto"/>
              <w:right w:val="single" w:sz="4" w:space="0" w:color="auto"/>
            </w:tcBorders>
            <w:shd w:val="clear" w:color="auto" w:fill="auto"/>
            <w:noWrap/>
            <w:vAlign w:val="center"/>
            <w:hideMark/>
          </w:tcPr>
          <w:p w14:paraId="733AFCCB"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600</w:t>
            </w:r>
          </w:p>
        </w:tc>
        <w:tc>
          <w:tcPr>
            <w:tcW w:w="810" w:type="dxa"/>
            <w:tcBorders>
              <w:top w:val="nil"/>
              <w:left w:val="nil"/>
              <w:bottom w:val="single" w:sz="4" w:space="0" w:color="auto"/>
              <w:right w:val="single" w:sz="4" w:space="0" w:color="auto"/>
            </w:tcBorders>
            <w:shd w:val="clear" w:color="auto" w:fill="auto"/>
            <w:noWrap/>
            <w:vAlign w:val="center"/>
            <w:hideMark/>
          </w:tcPr>
          <w:p w14:paraId="3900EAB0"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2</w:t>
            </w:r>
          </w:p>
        </w:tc>
      </w:tr>
      <w:tr w:rsidR="00C443F5" w:rsidRPr="00C443F5" w14:paraId="79ABF9DA" w14:textId="77777777" w:rsidTr="00397B51">
        <w:trPr>
          <w:trHeight w:val="3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492AC3"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3</w:t>
            </w:r>
          </w:p>
        </w:tc>
        <w:tc>
          <w:tcPr>
            <w:tcW w:w="2280" w:type="dxa"/>
            <w:tcBorders>
              <w:top w:val="nil"/>
              <w:left w:val="nil"/>
              <w:bottom w:val="single" w:sz="4" w:space="0" w:color="auto"/>
              <w:right w:val="single" w:sz="4" w:space="0" w:color="auto"/>
            </w:tcBorders>
            <w:shd w:val="clear" w:color="auto" w:fill="auto"/>
            <w:vAlign w:val="center"/>
            <w:hideMark/>
          </w:tcPr>
          <w:p w14:paraId="0AFA4B64"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Glynn County Project #2</w:t>
            </w:r>
          </w:p>
        </w:tc>
        <w:tc>
          <w:tcPr>
            <w:tcW w:w="1530" w:type="dxa"/>
            <w:tcBorders>
              <w:top w:val="nil"/>
              <w:left w:val="nil"/>
              <w:bottom w:val="single" w:sz="4" w:space="0" w:color="auto"/>
              <w:right w:val="single" w:sz="4" w:space="0" w:color="auto"/>
            </w:tcBorders>
            <w:shd w:val="clear" w:color="auto" w:fill="auto"/>
            <w:noWrap/>
            <w:vAlign w:val="center"/>
            <w:hideMark/>
          </w:tcPr>
          <w:p w14:paraId="3F2AF8EB"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center"/>
            <w:hideMark/>
          </w:tcPr>
          <w:p w14:paraId="6E9C350C"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3</w:t>
            </w:r>
          </w:p>
        </w:tc>
      </w:tr>
      <w:tr w:rsidR="00C443F5" w:rsidRPr="00C443F5" w14:paraId="45B7D720" w14:textId="77777777" w:rsidTr="00397B51">
        <w:trPr>
          <w:trHeight w:val="27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9D20FF"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lastRenderedPageBreak/>
              <w:t>4</w:t>
            </w:r>
          </w:p>
        </w:tc>
        <w:tc>
          <w:tcPr>
            <w:tcW w:w="2280" w:type="dxa"/>
            <w:tcBorders>
              <w:top w:val="nil"/>
              <w:left w:val="nil"/>
              <w:bottom w:val="single" w:sz="4" w:space="0" w:color="auto"/>
              <w:right w:val="single" w:sz="4" w:space="0" w:color="auto"/>
            </w:tcBorders>
            <w:shd w:val="clear" w:color="auto" w:fill="auto"/>
            <w:vAlign w:val="center"/>
            <w:hideMark/>
          </w:tcPr>
          <w:p w14:paraId="0807B9C5"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Glynn County Project  #1</w:t>
            </w:r>
          </w:p>
        </w:tc>
        <w:tc>
          <w:tcPr>
            <w:tcW w:w="1530" w:type="dxa"/>
            <w:tcBorders>
              <w:top w:val="nil"/>
              <w:left w:val="nil"/>
              <w:bottom w:val="single" w:sz="4" w:space="0" w:color="auto"/>
              <w:right w:val="single" w:sz="4" w:space="0" w:color="auto"/>
            </w:tcBorders>
            <w:shd w:val="clear" w:color="auto" w:fill="auto"/>
            <w:noWrap/>
            <w:vAlign w:val="center"/>
            <w:hideMark/>
          </w:tcPr>
          <w:p w14:paraId="2B6E79F5"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center"/>
            <w:hideMark/>
          </w:tcPr>
          <w:p w14:paraId="4849791B"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3</w:t>
            </w:r>
          </w:p>
        </w:tc>
      </w:tr>
      <w:tr w:rsidR="00C443F5" w:rsidRPr="00C443F5" w14:paraId="6533DFF3" w14:textId="77777777" w:rsidTr="00397B51">
        <w:trPr>
          <w:trHeight w:val="33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C4CA0E" w14:textId="77777777" w:rsidR="00C443F5" w:rsidRPr="00C443F5" w:rsidRDefault="00C443F5" w:rsidP="00C443F5">
            <w:pPr>
              <w:jc w:val="center"/>
              <w:rPr>
                <w:rFonts w:ascii="Arial" w:hAnsi="Arial" w:cs="Arial"/>
                <w:color w:val="000000"/>
                <w:sz w:val="16"/>
                <w:szCs w:val="16"/>
              </w:rPr>
            </w:pPr>
            <w:r w:rsidRPr="00C443F5">
              <w:rPr>
                <w:rFonts w:ascii="Arial" w:hAnsi="Arial" w:cs="Arial"/>
                <w:color w:val="000000"/>
                <w:sz w:val="16"/>
                <w:szCs w:val="16"/>
              </w:rPr>
              <w:t>5</w:t>
            </w:r>
          </w:p>
        </w:tc>
        <w:tc>
          <w:tcPr>
            <w:tcW w:w="2280" w:type="dxa"/>
            <w:tcBorders>
              <w:top w:val="nil"/>
              <w:left w:val="nil"/>
              <w:bottom w:val="single" w:sz="4" w:space="0" w:color="auto"/>
              <w:right w:val="single" w:sz="4" w:space="0" w:color="auto"/>
            </w:tcBorders>
            <w:shd w:val="clear" w:color="auto" w:fill="auto"/>
            <w:vAlign w:val="center"/>
            <w:hideMark/>
          </w:tcPr>
          <w:p w14:paraId="70885659"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Cherokee County Project</w:t>
            </w:r>
          </w:p>
        </w:tc>
        <w:tc>
          <w:tcPr>
            <w:tcW w:w="1530" w:type="dxa"/>
            <w:tcBorders>
              <w:top w:val="nil"/>
              <w:left w:val="nil"/>
              <w:bottom w:val="single" w:sz="4" w:space="0" w:color="auto"/>
              <w:right w:val="single" w:sz="4" w:space="0" w:color="auto"/>
            </w:tcBorders>
            <w:shd w:val="clear" w:color="auto" w:fill="auto"/>
            <w:noWrap/>
            <w:vAlign w:val="center"/>
            <w:hideMark/>
          </w:tcPr>
          <w:p w14:paraId="39657750"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0</w:t>
            </w:r>
          </w:p>
        </w:tc>
        <w:tc>
          <w:tcPr>
            <w:tcW w:w="810" w:type="dxa"/>
            <w:tcBorders>
              <w:top w:val="nil"/>
              <w:left w:val="nil"/>
              <w:bottom w:val="single" w:sz="4" w:space="0" w:color="auto"/>
              <w:right w:val="single" w:sz="4" w:space="0" w:color="auto"/>
            </w:tcBorders>
            <w:shd w:val="clear" w:color="auto" w:fill="auto"/>
            <w:noWrap/>
            <w:vAlign w:val="center"/>
            <w:hideMark/>
          </w:tcPr>
          <w:p w14:paraId="049F0FF5"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3</w:t>
            </w:r>
          </w:p>
        </w:tc>
      </w:tr>
    </w:tbl>
    <w:p w14:paraId="12236517" w14:textId="77777777" w:rsidR="00C443F5" w:rsidRPr="00C443F5" w:rsidRDefault="00C443F5" w:rsidP="00C443F5">
      <w:pPr>
        <w:contextualSpacing/>
        <w:jc w:val="both"/>
        <w:rPr>
          <w:b/>
          <w:bCs/>
        </w:rPr>
      </w:pPr>
    </w:p>
    <w:p w14:paraId="72E9E7D6" w14:textId="77777777" w:rsidR="00C443F5" w:rsidRPr="00C443F5" w:rsidRDefault="00C443F5" w:rsidP="00C443F5">
      <w:pPr>
        <w:contextualSpacing/>
        <w:jc w:val="both"/>
        <w:rPr>
          <w:b/>
          <w:bCs/>
        </w:rPr>
      </w:pPr>
    </w:p>
    <w:p w14:paraId="126FFDB2" w14:textId="77777777" w:rsidR="00C443F5" w:rsidRPr="00C443F5" w:rsidRDefault="00C443F5" w:rsidP="00C443F5">
      <w:pPr>
        <w:contextualSpacing/>
        <w:jc w:val="both"/>
        <w:rPr>
          <w:bCs/>
        </w:rPr>
      </w:pPr>
      <w:r w:rsidRPr="00C443F5">
        <w:rPr>
          <w:b/>
          <w:bCs/>
        </w:rPr>
        <w:tab/>
      </w:r>
      <w:r w:rsidRPr="00C443F5">
        <w:rPr>
          <w:bCs/>
        </w:rPr>
        <w:t xml:space="preserve">The rankings indicate that the Athens-Clark County Project and the McIntosh County Project have greatest economic potential to the State of Georgia because of the new gas load and job creation. Likewise, </w:t>
      </w:r>
      <w:proofErr w:type="gramStart"/>
      <w:r w:rsidRPr="00C443F5">
        <w:rPr>
          <w:bCs/>
        </w:rPr>
        <w:t>both of the projects</w:t>
      </w:r>
      <w:proofErr w:type="gramEnd"/>
      <w:r w:rsidRPr="00C443F5">
        <w:rPr>
          <w:bCs/>
        </w:rPr>
        <w:t xml:space="preserve"> have the greatest revenue generation potential, which is a benefit for all ratepayers on AGL’s system and AGL. The three Residential projects add additional customers and some additional gas load with a potential of adding additional customers in the future. </w:t>
      </w:r>
    </w:p>
    <w:p w14:paraId="6D64605D" w14:textId="77777777" w:rsidR="00C443F5" w:rsidRPr="00C443F5" w:rsidRDefault="00C443F5" w:rsidP="00C443F5">
      <w:pPr>
        <w:contextualSpacing/>
        <w:jc w:val="both"/>
        <w:rPr>
          <w:b/>
          <w:bCs/>
        </w:rPr>
      </w:pPr>
    </w:p>
    <w:p w14:paraId="3ED1D3A9" w14:textId="77777777" w:rsidR="00C443F5" w:rsidRPr="00C443F5" w:rsidRDefault="00C443F5" w:rsidP="00C443F5">
      <w:pPr>
        <w:contextualSpacing/>
        <w:jc w:val="both"/>
        <w:rPr>
          <w:b/>
          <w:bCs/>
        </w:rPr>
      </w:pPr>
    </w:p>
    <w:p w14:paraId="12B1C840" w14:textId="77777777" w:rsidR="00C443F5" w:rsidRPr="00C443F5" w:rsidRDefault="00C443F5" w:rsidP="00C443F5">
      <w:pPr>
        <w:numPr>
          <w:ilvl w:val="0"/>
          <w:numId w:val="2"/>
        </w:numPr>
        <w:spacing w:after="200"/>
        <w:contextualSpacing/>
        <w:jc w:val="center"/>
        <w:rPr>
          <w:b/>
        </w:rPr>
      </w:pPr>
      <w:r w:rsidRPr="00C443F5">
        <w:rPr>
          <w:b/>
        </w:rPr>
        <w:t>USF Available Funds &amp; AGL 5% Capital Budget Cap Analyses</w:t>
      </w:r>
      <w:r w:rsidRPr="00C443F5">
        <w:rPr>
          <w:b/>
          <w:highlight w:val="yellow"/>
        </w:rPr>
        <w:t xml:space="preserve"> </w:t>
      </w:r>
    </w:p>
    <w:p w14:paraId="495BE829" w14:textId="77777777" w:rsidR="00C443F5" w:rsidRPr="00C443F5" w:rsidRDefault="00C443F5" w:rsidP="00C443F5">
      <w:pPr>
        <w:spacing w:after="200"/>
        <w:ind w:firstLine="720"/>
        <w:contextualSpacing/>
        <w:rPr>
          <w:snapToGrid w:val="0"/>
        </w:rPr>
      </w:pPr>
    </w:p>
    <w:p w14:paraId="65E64D7A" w14:textId="77777777" w:rsidR="00C443F5" w:rsidRPr="00C443F5" w:rsidRDefault="00C443F5" w:rsidP="00C443F5">
      <w:pPr>
        <w:spacing w:after="200"/>
        <w:ind w:firstLine="720"/>
        <w:contextualSpacing/>
        <w:rPr>
          <w:snapToGrid w:val="0"/>
        </w:rPr>
      </w:pPr>
      <w:r w:rsidRPr="00C443F5">
        <w:rPr>
          <w:snapToGrid w:val="0"/>
        </w:rPr>
        <w:t xml:space="preserve">In </w:t>
      </w:r>
      <w:r w:rsidRPr="00C443F5">
        <w:rPr>
          <w:b/>
          <w:snapToGrid w:val="0"/>
        </w:rPr>
        <w:t>Table-27</w:t>
      </w:r>
      <w:r w:rsidRPr="00C443F5">
        <w:rPr>
          <w:snapToGrid w:val="0"/>
        </w:rPr>
        <w:t xml:space="preserve"> below, the USF had an ending November 30</w:t>
      </w:r>
      <w:r w:rsidRPr="00C443F5">
        <w:rPr>
          <w:snapToGrid w:val="0"/>
          <w:vertAlign w:val="superscript"/>
        </w:rPr>
        <w:t>th</w:t>
      </w:r>
      <w:r w:rsidRPr="00C443F5">
        <w:rPr>
          <w:snapToGrid w:val="0"/>
        </w:rPr>
        <w:t xml:space="preserve"> balance of </w:t>
      </w:r>
      <w:r w:rsidRPr="00C443F5">
        <w:rPr>
          <w:b/>
          <w:snapToGrid w:val="0"/>
        </w:rPr>
        <w:t>$64.8 million</w:t>
      </w:r>
      <w:r w:rsidRPr="00C443F5">
        <w:rPr>
          <w:snapToGrid w:val="0"/>
        </w:rPr>
        <w:t xml:space="preserve">. The encumbrances were </w:t>
      </w:r>
      <w:r w:rsidRPr="00C443F5">
        <w:rPr>
          <w:b/>
          <w:snapToGrid w:val="0"/>
        </w:rPr>
        <w:t>$29.7 million</w:t>
      </w:r>
      <w:r w:rsidRPr="00C443F5">
        <w:rPr>
          <w:snapToGrid w:val="0"/>
        </w:rPr>
        <w:t xml:space="preserve">. For the period ending November 30, 2023, the unencumbered balance for the USF was </w:t>
      </w:r>
      <w:r w:rsidRPr="00C443F5">
        <w:rPr>
          <w:b/>
          <w:snapToGrid w:val="0"/>
        </w:rPr>
        <w:t>$35 million</w:t>
      </w:r>
      <w:r w:rsidRPr="00C443F5">
        <w:rPr>
          <w:snapToGrid w:val="0"/>
        </w:rPr>
        <w:t xml:space="preserve">. </w:t>
      </w:r>
    </w:p>
    <w:p w14:paraId="4F372054" w14:textId="77777777" w:rsidR="00C443F5" w:rsidRPr="00C443F5" w:rsidRDefault="00C443F5" w:rsidP="00C443F5">
      <w:pPr>
        <w:spacing w:after="200"/>
        <w:contextualSpacing/>
        <w:rPr>
          <w:snapToGrid w:val="0"/>
        </w:rPr>
      </w:pPr>
    </w:p>
    <w:p w14:paraId="10E01CA5" w14:textId="77777777" w:rsidR="00C443F5" w:rsidRPr="00C443F5" w:rsidRDefault="00C443F5" w:rsidP="00C443F5">
      <w:pPr>
        <w:spacing w:after="200"/>
        <w:contextualSpacing/>
        <w:rPr>
          <w:b/>
          <w:snapToGrid w:val="0"/>
        </w:rPr>
      </w:pPr>
      <w:r w:rsidRPr="00C443F5">
        <w:rPr>
          <w:b/>
          <w:snapToGrid w:val="0"/>
        </w:rPr>
        <w:t>Table-27: USF Encumbrance Analysis Ending November 2023</w:t>
      </w:r>
    </w:p>
    <w:tbl>
      <w:tblPr>
        <w:tblW w:w="8414" w:type="dxa"/>
        <w:tblInd w:w="-5" w:type="dxa"/>
        <w:tblLook w:val="04A0" w:firstRow="1" w:lastRow="0" w:firstColumn="1" w:lastColumn="0" w:noHBand="0" w:noVBand="1"/>
      </w:tblPr>
      <w:tblGrid>
        <w:gridCol w:w="5640"/>
        <w:gridCol w:w="2774"/>
      </w:tblGrid>
      <w:tr w:rsidR="00C443F5" w:rsidRPr="00C443F5" w14:paraId="133906A3" w14:textId="77777777" w:rsidTr="00397B51">
        <w:trPr>
          <w:trHeight w:val="363"/>
        </w:trPr>
        <w:tc>
          <w:tcPr>
            <w:tcW w:w="5640" w:type="dxa"/>
            <w:tcBorders>
              <w:top w:val="single" w:sz="4" w:space="0" w:color="auto"/>
              <w:left w:val="single" w:sz="4" w:space="0" w:color="auto"/>
              <w:bottom w:val="single" w:sz="4" w:space="0" w:color="auto"/>
              <w:right w:val="single" w:sz="4" w:space="0" w:color="auto"/>
            </w:tcBorders>
            <w:shd w:val="clear" w:color="000000" w:fill="00B050"/>
            <w:vAlign w:val="bottom"/>
            <w:hideMark/>
          </w:tcPr>
          <w:p w14:paraId="00B7AF86" w14:textId="77777777" w:rsidR="00C443F5" w:rsidRPr="00C443F5" w:rsidRDefault="00C443F5" w:rsidP="00C443F5">
            <w:pPr>
              <w:rPr>
                <w:rFonts w:ascii="Arial" w:hAnsi="Arial" w:cs="Arial"/>
                <w:b/>
                <w:bCs/>
                <w:sz w:val="20"/>
                <w:szCs w:val="20"/>
              </w:rPr>
            </w:pPr>
            <w:r w:rsidRPr="00C443F5">
              <w:rPr>
                <w:rFonts w:ascii="Arial" w:hAnsi="Arial" w:cs="Arial"/>
                <w:b/>
                <w:bCs/>
                <w:sz w:val="20"/>
                <w:szCs w:val="20"/>
              </w:rPr>
              <w:t>USF Escrow Account Balance End of Month</w:t>
            </w:r>
          </w:p>
        </w:tc>
        <w:tc>
          <w:tcPr>
            <w:tcW w:w="2774" w:type="dxa"/>
            <w:tcBorders>
              <w:top w:val="single" w:sz="4" w:space="0" w:color="auto"/>
              <w:left w:val="nil"/>
              <w:bottom w:val="single" w:sz="4" w:space="0" w:color="auto"/>
              <w:right w:val="single" w:sz="4" w:space="0" w:color="auto"/>
            </w:tcBorders>
            <w:shd w:val="clear" w:color="000000" w:fill="00B050"/>
            <w:noWrap/>
            <w:vAlign w:val="center"/>
            <w:hideMark/>
          </w:tcPr>
          <w:p w14:paraId="21D56965" w14:textId="77777777" w:rsidR="00C443F5" w:rsidRPr="00C443F5" w:rsidRDefault="00C443F5" w:rsidP="00C443F5">
            <w:pPr>
              <w:jc w:val="right"/>
              <w:rPr>
                <w:rFonts w:ascii="Arial" w:hAnsi="Arial" w:cs="Arial"/>
                <w:b/>
                <w:bCs/>
                <w:color w:val="000000"/>
                <w:sz w:val="20"/>
                <w:szCs w:val="20"/>
              </w:rPr>
            </w:pPr>
            <w:r w:rsidRPr="00C443F5">
              <w:rPr>
                <w:rFonts w:ascii="Arial" w:hAnsi="Arial" w:cs="Arial"/>
                <w:b/>
                <w:bCs/>
                <w:color w:val="000000"/>
                <w:sz w:val="20"/>
                <w:szCs w:val="20"/>
              </w:rPr>
              <w:t xml:space="preserve">$64,813,057.21 </w:t>
            </w:r>
          </w:p>
        </w:tc>
      </w:tr>
      <w:tr w:rsidR="00C443F5" w:rsidRPr="00C443F5" w14:paraId="5AC928AE" w14:textId="77777777" w:rsidTr="00397B51">
        <w:trPr>
          <w:trHeight w:val="284"/>
        </w:trPr>
        <w:tc>
          <w:tcPr>
            <w:tcW w:w="5640" w:type="dxa"/>
            <w:tcBorders>
              <w:top w:val="nil"/>
              <w:left w:val="single" w:sz="4" w:space="0" w:color="auto"/>
              <w:bottom w:val="single" w:sz="4" w:space="0" w:color="auto"/>
              <w:right w:val="single" w:sz="4" w:space="0" w:color="auto"/>
            </w:tcBorders>
            <w:shd w:val="clear" w:color="auto" w:fill="auto"/>
            <w:vAlign w:val="center"/>
            <w:hideMark/>
          </w:tcPr>
          <w:p w14:paraId="0DC04A03" w14:textId="77777777" w:rsidR="00C443F5" w:rsidRPr="00C443F5" w:rsidRDefault="00C443F5" w:rsidP="00C443F5">
            <w:pPr>
              <w:rPr>
                <w:rFonts w:ascii="Arial" w:hAnsi="Arial" w:cs="Arial"/>
                <w:b/>
                <w:bCs/>
                <w:sz w:val="20"/>
                <w:szCs w:val="20"/>
              </w:rPr>
            </w:pPr>
            <w:r w:rsidRPr="00C443F5">
              <w:rPr>
                <w:rFonts w:ascii="Arial" w:hAnsi="Arial" w:cs="Arial"/>
                <w:b/>
                <w:bCs/>
                <w:sz w:val="20"/>
                <w:szCs w:val="20"/>
              </w:rPr>
              <w:t>DN 43510 USF 2021 Plan: Wheeler County Project Alamo Segment-2</w:t>
            </w:r>
          </w:p>
        </w:tc>
        <w:tc>
          <w:tcPr>
            <w:tcW w:w="2774" w:type="dxa"/>
            <w:tcBorders>
              <w:top w:val="nil"/>
              <w:left w:val="nil"/>
              <w:bottom w:val="single" w:sz="4" w:space="0" w:color="auto"/>
              <w:right w:val="single" w:sz="4" w:space="0" w:color="auto"/>
            </w:tcBorders>
            <w:shd w:val="clear" w:color="auto" w:fill="auto"/>
            <w:noWrap/>
            <w:vAlign w:val="center"/>
            <w:hideMark/>
          </w:tcPr>
          <w:p w14:paraId="24E4060F" w14:textId="77777777" w:rsidR="00C443F5" w:rsidRPr="00C443F5" w:rsidRDefault="00C443F5" w:rsidP="00C443F5">
            <w:pPr>
              <w:jc w:val="right"/>
              <w:rPr>
                <w:rFonts w:ascii="Arial" w:hAnsi="Arial" w:cs="Arial"/>
                <w:color w:val="000000"/>
                <w:sz w:val="20"/>
                <w:szCs w:val="20"/>
              </w:rPr>
            </w:pPr>
            <w:r w:rsidRPr="00C443F5">
              <w:rPr>
                <w:rFonts w:ascii="Arial" w:hAnsi="Arial" w:cs="Arial"/>
                <w:color w:val="000000"/>
                <w:sz w:val="20"/>
                <w:szCs w:val="20"/>
              </w:rPr>
              <w:t xml:space="preserve">$10,935,849.00 </w:t>
            </w:r>
          </w:p>
        </w:tc>
      </w:tr>
      <w:tr w:rsidR="00C443F5" w:rsidRPr="00C443F5" w14:paraId="12840548" w14:textId="77777777" w:rsidTr="00397B51">
        <w:trPr>
          <w:trHeight w:val="284"/>
        </w:trPr>
        <w:tc>
          <w:tcPr>
            <w:tcW w:w="5640" w:type="dxa"/>
            <w:tcBorders>
              <w:top w:val="nil"/>
              <w:left w:val="single" w:sz="4" w:space="0" w:color="auto"/>
              <w:bottom w:val="single" w:sz="4" w:space="0" w:color="auto"/>
              <w:right w:val="single" w:sz="4" w:space="0" w:color="auto"/>
            </w:tcBorders>
            <w:shd w:val="clear" w:color="auto" w:fill="auto"/>
            <w:vAlign w:val="center"/>
            <w:hideMark/>
          </w:tcPr>
          <w:p w14:paraId="722A7862" w14:textId="77777777" w:rsidR="00C443F5" w:rsidRPr="00C443F5" w:rsidRDefault="00C443F5" w:rsidP="00C443F5">
            <w:pPr>
              <w:rPr>
                <w:rFonts w:ascii="Arial" w:hAnsi="Arial" w:cs="Arial"/>
                <w:b/>
                <w:bCs/>
                <w:sz w:val="20"/>
                <w:szCs w:val="20"/>
              </w:rPr>
            </w:pPr>
            <w:r w:rsidRPr="00C443F5">
              <w:rPr>
                <w:rFonts w:ascii="Arial" w:hAnsi="Arial" w:cs="Arial"/>
                <w:b/>
                <w:bCs/>
                <w:sz w:val="20"/>
                <w:szCs w:val="20"/>
              </w:rPr>
              <w:t>DN 43510 USF 2023 Plan: Alamo Segment-3 Project</w:t>
            </w:r>
          </w:p>
        </w:tc>
        <w:tc>
          <w:tcPr>
            <w:tcW w:w="2774" w:type="dxa"/>
            <w:tcBorders>
              <w:top w:val="nil"/>
              <w:left w:val="nil"/>
              <w:bottom w:val="single" w:sz="4" w:space="0" w:color="auto"/>
              <w:right w:val="single" w:sz="4" w:space="0" w:color="auto"/>
            </w:tcBorders>
            <w:shd w:val="clear" w:color="auto" w:fill="auto"/>
            <w:noWrap/>
            <w:vAlign w:val="center"/>
            <w:hideMark/>
          </w:tcPr>
          <w:p w14:paraId="62592F9A" w14:textId="77777777" w:rsidR="00C443F5" w:rsidRPr="00C443F5" w:rsidRDefault="00C443F5" w:rsidP="00C443F5">
            <w:pPr>
              <w:jc w:val="right"/>
              <w:rPr>
                <w:rFonts w:ascii="Arial" w:hAnsi="Arial" w:cs="Arial"/>
                <w:color w:val="000000"/>
                <w:sz w:val="20"/>
                <w:szCs w:val="20"/>
              </w:rPr>
            </w:pPr>
            <w:r w:rsidRPr="00C443F5">
              <w:rPr>
                <w:rFonts w:ascii="Arial" w:hAnsi="Arial" w:cs="Arial"/>
                <w:color w:val="000000"/>
                <w:sz w:val="20"/>
                <w:szCs w:val="20"/>
              </w:rPr>
              <w:t xml:space="preserve">$16,904,062.00 </w:t>
            </w:r>
          </w:p>
        </w:tc>
      </w:tr>
      <w:tr w:rsidR="00C443F5" w:rsidRPr="00C443F5" w14:paraId="2AEC13C5" w14:textId="77777777" w:rsidTr="00397B51">
        <w:trPr>
          <w:trHeight w:val="284"/>
        </w:trPr>
        <w:tc>
          <w:tcPr>
            <w:tcW w:w="5640" w:type="dxa"/>
            <w:tcBorders>
              <w:top w:val="nil"/>
              <w:left w:val="single" w:sz="4" w:space="0" w:color="auto"/>
              <w:bottom w:val="single" w:sz="4" w:space="0" w:color="auto"/>
              <w:right w:val="single" w:sz="4" w:space="0" w:color="auto"/>
            </w:tcBorders>
            <w:shd w:val="clear" w:color="000000" w:fill="FFFF00"/>
            <w:vAlign w:val="center"/>
            <w:hideMark/>
          </w:tcPr>
          <w:p w14:paraId="6DCB68EE" w14:textId="77777777" w:rsidR="00C443F5" w:rsidRPr="00C443F5" w:rsidRDefault="00C443F5" w:rsidP="00C443F5">
            <w:pPr>
              <w:rPr>
                <w:rFonts w:ascii="Arial" w:hAnsi="Arial" w:cs="Arial"/>
                <w:b/>
                <w:bCs/>
                <w:color w:val="000000"/>
                <w:sz w:val="20"/>
                <w:szCs w:val="20"/>
              </w:rPr>
            </w:pPr>
            <w:r w:rsidRPr="00C443F5">
              <w:rPr>
                <w:rFonts w:ascii="Arial" w:hAnsi="Arial" w:cs="Arial"/>
                <w:b/>
                <w:bCs/>
                <w:color w:val="000000"/>
                <w:sz w:val="20"/>
                <w:szCs w:val="20"/>
              </w:rPr>
              <w:t>USF Encumbrance: AGL Gas Facilities Projects</w:t>
            </w:r>
          </w:p>
        </w:tc>
        <w:tc>
          <w:tcPr>
            <w:tcW w:w="2774" w:type="dxa"/>
            <w:tcBorders>
              <w:top w:val="nil"/>
              <w:left w:val="nil"/>
              <w:bottom w:val="single" w:sz="4" w:space="0" w:color="auto"/>
              <w:right w:val="single" w:sz="4" w:space="0" w:color="auto"/>
            </w:tcBorders>
            <w:shd w:val="clear" w:color="000000" w:fill="FFFF00"/>
            <w:noWrap/>
            <w:vAlign w:val="center"/>
            <w:hideMark/>
          </w:tcPr>
          <w:p w14:paraId="2F856122" w14:textId="77777777" w:rsidR="00C443F5" w:rsidRPr="00C443F5" w:rsidRDefault="00C443F5" w:rsidP="00C443F5">
            <w:pPr>
              <w:jc w:val="right"/>
              <w:rPr>
                <w:rFonts w:ascii="Arial" w:hAnsi="Arial" w:cs="Arial"/>
                <w:b/>
                <w:bCs/>
                <w:color w:val="000000"/>
                <w:sz w:val="20"/>
                <w:szCs w:val="20"/>
              </w:rPr>
            </w:pPr>
            <w:r w:rsidRPr="00C443F5">
              <w:rPr>
                <w:rFonts w:ascii="Arial" w:hAnsi="Arial" w:cs="Arial"/>
                <w:b/>
                <w:bCs/>
                <w:color w:val="000000"/>
                <w:sz w:val="20"/>
                <w:szCs w:val="20"/>
              </w:rPr>
              <w:t xml:space="preserve">$27,839,911.00 </w:t>
            </w:r>
          </w:p>
        </w:tc>
      </w:tr>
      <w:tr w:rsidR="00C443F5" w:rsidRPr="00C443F5" w14:paraId="2BF0C559" w14:textId="77777777" w:rsidTr="00397B51">
        <w:trPr>
          <w:trHeight w:val="76"/>
        </w:trPr>
        <w:tc>
          <w:tcPr>
            <w:tcW w:w="5640" w:type="dxa"/>
            <w:tcBorders>
              <w:top w:val="nil"/>
              <w:left w:val="single" w:sz="4" w:space="0" w:color="auto"/>
              <w:bottom w:val="single" w:sz="4" w:space="0" w:color="auto"/>
              <w:right w:val="single" w:sz="4" w:space="0" w:color="auto"/>
            </w:tcBorders>
            <w:shd w:val="clear" w:color="auto" w:fill="auto"/>
            <w:vAlign w:val="center"/>
            <w:hideMark/>
          </w:tcPr>
          <w:p w14:paraId="3DBF2BCE" w14:textId="77777777" w:rsidR="00C443F5" w:rsidRPr="00C443F5" w:rsidRDefault="00C443F5" w:rsidP="00C443F5">
            <w:pPr>
              <w:rPr>
                <w:rFonts w:ascii="Arial" w:hAnsi="Arial" w:cs="Arial"/>
                <w:b/>
                <w:bCs/>
                <w:sz w:val="20"/>
                <w:szCs w:val="20"/>
              </w:rPr>
            </w:pPr>
            <w:r w:rsidRPr="00C443F5">
              <w:rPr>
                <w:rFonts w:ascii="Arial" w:hAnsi="Arial" w:cs="Arial"/>
                <w:b/>
                <w:bCs/>
                <w:sz w:val="20"/>
                <w:szCs w:val="20"/>
              </w:rPr>
              <w:t> </w:t>
            </w:r>
          </w:p>
        </w:tc>
        <w:tc>
          <w:tcPr>
            <w:tcW w:w="2774" w:type="dxa"/>
            <w:tcBorders>
              <w:top w:val="nil"/>
              <w:left w:val="nil"/>
              <w:bottom w:val="single" w:sz="4" w:space="0" w:color="auto"/>
              <w:right w:val="single" w:sz="4" w:space="0" w:color="auto"/>
            </w:tcBorders>
            <w:shd w:val="clear" w:color="auto" w:fill="auto"/>
            <w:noWrap/>
            <w:vAlign w:val="bottom"/>
            <w:hideMark/>
          </w:tcPr>
          <w:p w14:paraId="6A00635D" w14:textId="77777777" w:rsidR="00C443F5" w:rsidRPr="00C443F5" w:rsidRDefault="00C443F5" w:rsidP="00C443F5">
            <w:pPr>
              <w:rPr>
                <w:rFonts w:ascii="Arial" w:hAnsi="Arial" w:cs="Arial"/>
                <w:color w:val="000000"/>
                <w:sz w:val="20"/>
                <w:szCs w:val="20"/>
              </w:rPr>
            </w:pPr>
            <w:r w:rsidRPr="00C443F5">
              <w:rPr>
                <w:rFonts w:ascii="Arial" w:hAnsi="Arial" w:cs="Arial"/>
                <w:color w:val="000000"/>
                <w:sz w:val="20"/>
                <w:szCs w:val="20"/>
              </w:rPr>
              <w:t> </w:t>
            </w:r>
          </w:p>
        </w:tc>
      </w:tr>
      <w:tr w:rsidR="00C443F5" w:rsidRPr="00C443F5" w14:paraId="5C05BB7F" w14:textId="77777777" w:rsidTr="00397B51">
        <w:trPr>
          <w:trHeight w:val="265"/>
        </w:trPr>
        <w:tc>
          <w:tcPr>
            <w:tcW w:w="5640" w:type="dxa"/>
            <w:tcBorders>
              <w:top w:val="nil"/>
              <w:left w:val="single" w:sz="4" w:space="0" w:color="auto"/>
              <w:bottom w:val="single" w:sz="4" w:space="0" w:color="auto"/>
              <w:right w:val="single" w:sz="4" w:space="0" w:color="auto"/>
            </w:tcBorders>
            <w:shd w:val="clear" w:color="000000" w:fill="FFFF00"/>
            <w:vAlign w:val="bottom"/>
            <w:hideMark/>
          </w:tcPr>
          <w:p w14:paraId="4ECFA3A6" w14:textId="77777777" w:rsidR="00C443F5" w:rsidRPr="00C443F5" w:rsidRDefault="00C443F5" w:rsidP="00C443F5">
            <w:pPr>
              <w:rPr>
                <w:rFonts w:ascii="Arial" w:hAnsi="Arial" w:cs="Arial"/>
                <w:b/>
                <w:bCs/>
                <w:color w:val="000000"/>
                <w:sz w:val="20"/>
                <w:szCs w:val="20"/>
              </w:rPr>
            </w:pPr>
            <w:r w:rsidRPr="00C443F5">
              <w:rPr>
                <w:rFonts w:ascii="Arial" w:hAnsi="Arial" w:cs="Arial"/>
                <w:b/>
                <w:bCs/>
                <w:color w:val="000000"/>
                <w:sz w:val="20"/>
                <w:szCs w:val="20"/>
              </w:rPr>
              <w:t>Regulated Provider</w:t>
            </w:r>
          </w:p>
        </w:tc>
        <w:tc>
          <w:tcPr>
            <w:tcW w:w="2774" w:type="dxa"/>
            <w:tcBorders>
              <w:top w:val="nil"/>
              <w:left w:val="nil"/>
              <w:bottom w:val="single" w:sz="4" w:space="0" w:color="auto"/>
              <w:right w:val="single" w:sz="4" w:space="0" w:color="auto"/>
            </w:tcBorders>
            <w:shd w:val="clear" w:color="000000" w:fill="FFFF00"/>
            <w:noWrap/>
            <w:vAlign w:val="center"/>
            <w:hideMark/>
          </w:tcPr>
          <w:p w14:paraId="0EC5F99D" w14:textId="77777777" w:rsidR="00C443F5" w:rsidRPr="00C443F5" w:rsidRDefault="00C443F5" w:rsidP="00C443F5">
            <w:pPr>
              <w:jc w:val="right"/>
              <w:rPr>
                <w:rFonts w:ascii="Arial" w:hAnsi="Arial" w:cs="Arial"/>
                <w:b/>
                <w:bCs/>
                <w:color w:val="000000"/>
                <w:sz w:val="20"/>
                <w:szCs w:val="20"/>
              </w:rPr>
            </w:pPr>
            <w:r w:rsidRPr="00C443F5">
              <w:rPr>
                <w:rFonts w:ascii="Arial" w:hAnsi="Arial" w:cs="Arial"/>
                <w:b/>
                <w:bCs/>
                <w:color w:val="000000"/>
                <w:sz w:val="20"/>
                <w:szCs w:val="20"/>
              </w:rPr>
              <w:t xml:space="preserve">$627,489.25 </w:t>
            </w:r>
          </w:p>
        </w:tc>
      </w:tr>
      <w:tr w:rsidR="00C443F5" w:rsidRPr="00C443F5" w14:paraId="70132199" w14:textId="77777777" w:rsidTr="00397B51">
        <w:trPr>
          <w:trHeight w:val="76"/>
        </w:trPr>
        <w:tc>
          <w:tcPr>
            <w:tcW w:w="5640" w:type="dxa"/>
            <w:tcBorders>
              <w:top w:val="nil"/>
              <w:left w:val="single" w:sz="4" w:space="0" w:color="auto"/>
              <w:bottom w:val="single" w:sz="4" w:space="0" w:color="auto"/>
              <w:right w:val="single" w:sz="4" w:space="0" w:color="auto"/>
            </w:tcBorders>
            <w:shd w:val="clear" w:color="auto" w:fill="auto"/>
            <w:vAlign w:val="bottom"/>
            <w:hideMark/>
          </w:tcPr>
          <w:p w14:paraId="62F6F191" w14:textId="77777777" w:rsidR="00C443F5" w:rsidRPr="00C443F5" w:rsidRDefault="00C443F5" w:rsidP="00C443F5">
            <w:pPr>
              <w:rPr>
                <w:rFonts w:ascii="Arial" w:hAnsi="Arial" w:cs="Arial"/>
                <w:b/>
                <w:bCs/>
                <w:color w:val="000000"/>
                <w:sz w:val="20"/>
                <w:szCs w:val="20"/>
              </w:rPr>
            </w:pPr>
            <w:r w:rsidRPr="00C443F5">
              <w:rPr>
                <w:rFonts w:ascii="Arial" w:hAnsi="Arial" w:cs="Arial"/>
                <w:b/>
                <w:bCs/>
                <w:color w:val="000000"/>
                <w:sz w:val="20"/>
                <w:szCs w:val="20"/>
              </w:rPr>
              <w:t> </w:t>
            </w:r>
          </w:p>
        </w:tc>
        <w:tc>
          <w:tcPr>
            <w:tcW w:w="2774" w:type="dxa"/>
            <w:tcBorders>
              <w:top w:val="nil"/>
              <w:left w:val="nil"/>
              <w:bottom w:val="single" w:sz="4" w:space="0" w:color="auto"/>
              <w:right w:val="single" w:sz="4" w:space="0" w:color="auto"/>
            </w:tcBorders>
            <w:shd w:val="clear" w:color="auto" w:fill="auto"/>
            <w:noWrap/>
            <w:vAlign w:val="center"/>
            <w:hideMark/>
          </w:tcPr>
          <w:p w14:paraId="369E403C" w14:textId="77777777" w:rsidR="00C443F5" w:rsidRPr="00C443F5" w:rsidRDefault="00C443F5" w:rsidP="00C443F5">
            <w:pPr>
              <w:rPr>
                <w:rFonts w:ascii="Arial" w:hAnsi="Arial" w:cs="Arial"/>
                <w:color w:val="000000"/>
                <w:sz w:val="20"/>
                <w:szCs w:val="20"/>
              </w:rPr>
            </w:pPr>
            <w:r w:rsidRPr="00C443F5">
              <w:rPr>
                <w:rFonts w:ascii="Arial" w:hAnsi="Arial" w:cs="Arial"/>
                <w:color w:val="000000"/>
                <w:sz w:val="20"/>
                <w:szCs w:val="20"/>
              </w:rPr>
              <w:t> </w:t>
            </w:r>
          </w:p>
        </w:tc>
      </w:tr>
      <w:tr w:rsidR="00C443F5" w:rsidRPr="00C443F5" w14:paraId="4705949F" w14:textId="77777777" w:rsidTr="00397B51">
        <w:trPr>
          <w:trHeight w:val="363"/>
        </w:trPr>
        <w:tc>
          <w:tcPr>
            <w:tcW w:w="5640" w:type="dxa"/>
            <w:tcBorders>
              <w:top w:val="nil"/>
              <w:left w:val="single" w:sz="4" w:space="0" w:color="auto"/>
              <w:bottom w:val="single" w:sz="4" w:space="0" w:color="auto"/>
              <w:right w:val="single" w:sz="4" w:space="0" w:color="auto"/>
            </w:tcBorders>
            <w:shd w:val="clear" w:color="auto" w:fill="auto"/>
            <w:vAlign w:val="center"/>
            <w:hideMark/>
          </w:tcPr>
          <w:p w14:paraId="28FCE8B0" w14:textId="77777777" w:rsidR="00C443F5" w:rsidRPr="00C443F5" w:rsidRDefault="00C443F5" w:rsidP="00C443F5">
            <w:pPr>
              <w:rPr>
                <w:rFonts w:ascii="Arial" w:hAnsi="Arial" w:cs="Arial"/>
                <w:b/>
                <w:bCs/>
                <w:color w:val="000000"/>
                <w:sz w:val="20"/>
                <w:szCs w:val="20"/>
              </w:rPr>
            </w:pPr>
            <w:r w:rsidRPr="00C443F5">
              <w:rPr>
                <w:rFonts w:ascii="Arial" w:hAnsi="Arial" w:cs="Arial"/>
                <w:b/>
                <w:bCs/>
                <w:color w:val="000000"/>
                <w:sz w:val="20"/>
                <w:szCs w:val="20"/>
              </w:rPr>
              <w:t xml:space="preserve">USF Low-Income Assistance Obligation: </w:t>
            </w:r>
            <w:proofErr w:type="spellStart"/>
            <w:r w:rsidRPr="00C443F5">
              <w:rPr>
                <w:rFonts w:ascii="Arial" w:hAnsi="Arial" w:cs="Arial"/>
                <w:b/>
                <w:bCs/>
                <w:color w:val="000000"/>
                <w:sz w:val="20"/>
                <w:szCs w:val="20"/>
              </w:rPr>
              <w:t>HopeWorks</w:t>
            </w:r>
            <w:proofErr w:type="spellEnd"/>
          </w:p>
        </w:tc>
        <w:tc>
          <w:tcPr>
            <w:tcW w:w="2774" w:type="dxa"/>
            <w:tcBorders>
              <w:top w:val="nil"/>
              <w:left w:val="nil"/>
              <w:bottom w:val="single" w:sz="4" w:space="0" w:color="auto"/>
              <w:right w:val="single" w:sz="4" w:space="0" w:color="auto"/>
            </w:tcBorders>
            <w:shd w:val="clear" w:color="auto" w:fill="auto"/>
            <w:noWrap/>
            <w:vAlign w:val="center"/>
            <w:hideMark/>
          </w:tcPr>
          <w:p w14:paraId="09777664" w14:textId="77777777" w:rsidR="00C443F5" w:rsidRPr="00C443F5" w:rsidRDefault="00C443F5" w:rsidP="00C443F5">
            <w:pPr>
              <w:jc w:val="right"/>
              <w:rPr>
                <w:rFonts w:ascii="Arial" w:hAnsi="Arial" w:cs="Arial"/>
                <w:color w:val="000000"/>
                <w:sz w:val="20"/>
                <w:szCs w:val="20"/>
              </w:rPr>
            </w:pPr>
            <w:r w:rsidRPr="00C443F5">
              <w:rPr>
                <w:rFonts w:ascii="Arial" w:hAnsi="Arial" w:cs="Arial"/>
                <w:color w:val="000000"/>
                <w:sz w:val="20"/>
                <w:szCs w:val="20"/>
              </w:rPr>
              <w:t xml:space="preserve">$0.00 </w:t>
            </w:r>
          </w:p>
        </w:tc>
      </w:tr>
      <w:tr w:rsidR="00C443F5" w:rsidRPr="00C443F5" w14:paraId="44FC7313" w14:textId="77777777" w:rsidTr="00397B51">
        <w:trPr>
          <w:trHeight w:val="402"/>
        </w:trPr>
        <w:tc>
          <w:tcPr>
            <w:tcW w:w="5640" w:type="dxa"/>
            <w:tcBorders>
              <w:top w:val="nil"/>
              <w:left w:val="single" w:sz="4" w:space="0" w:color="auto"/>
              <w:bottom w:val="single" w:sz="4" w:space="0" w:color="auto"/>
              <w:right w:val="single" w:sz="4" w:space="0" w:color="auto"/>
            </w:tcBorders>
            <w:shd w:val="clear" w:color="auto" w:fill="auto"/>
            <w:vAlign w:val="center"/>
            <w:hideMark/>
          </w:tcPr>
          <w:p w14:paraId="3C237DBD" w14:textId="77777777" w:rsidR="00C443F5" w:rsidRPr="00C443F5" w:rsidRDefault="00C443F5" w:rsidP="00C443F5">
            <w:pPr>
              <w:rPr>
                <w:rFonts w:ascii="Arial" w:hAnsi="Arial" w:cs="Arial"/>
                <w:b/>
                <w:bCs/>
                <w:color w:val="000000"/>
                <w:sz w:val="20"/>
                <w:szCs w:val="20"/>
              </w:rPr>
            </w:pPr>
            <w:r w:rsidRPr="00C443F5">
              <w:rPr>
                <w:rFonts w:ascii="Arial" w:hAnsi="Arial" w:cs="Arial"/>
                <w:b/>
                <w:bCs/>
                <w:color w:val="000000"/>
                <w:sz w:val="20"/>
                <w:szCs w:val="20"/>
              </w:rPr>
              <w:t>USF Low-Income Assistance Obligation: Salvation Army</w:t>
            </w:r>
          </w:p>
        </w:tc>
        <w:tc>
          <w:tcPr>
            <w:tcW w:w="2774" w:type="dxa"/>
            <w:tcBorders>
              <w:top w:val="nil"/>
              <w:left w:val="nil"/>
              <w:bottom w:val="single" w:sz="4" w:space="0" w:color="auto"/>
              <w:right w:val="single" w:sz="4" w:space="0" w:color="auto"/>
            </w:tcBorders>
            <w:shd w:val="clear" w:color="auto" w:fill="auto"/>
            <w:noWrap/>
            <w:vAlign w:val="center"/>
            <w:hideMark/>
          </w:tcPr>
          <w:p w14:paraId="389B9DAB" w14:textId="77777777" w:rsidR="00C443F5" w:rsidRPr="00C443F5" w:rsidRDefault="00C443F5" w:rsidP="00C443F5">
            <w:pPr>
              <w:jc w:val="right"/>
              <w:rPr>
                <w:rFonts w:ascii="Arial" w:hAnsi="Arial" w:cs="Arial"/>
                <w:color w:val="000000"/>
                <w:sz w:val="20"/>
                <w:szCs w:val="20"/>
              </w:rPr>
            </w:pPr>
            <w:r w:rsidRPr="00C443F5">
              <w:rPr>
                <w:rFonts w:ascii="Arial" w:hAnsi="Arial" w:cs="Arial"/>
                <w:color w:val="000000"/>
                <w:sz w:val="20"/>
                <w:szCs w:val="20"/>
              </w:rPr>
              <w:t xml:space="preserve">$1,320,000.00 </w:t>
            </w:r>
          </w:p>
        </w:tc>
      </w:tr>
      <w:tr w:rsidR="00C443F5" w:rsidRPr="00C443F5" w14:paraId="32FB8F6B" w14:textId="77777777" w:rsidTr="00397B51">
        <w:trPr>
          <w:trHeight w:val="363"/>
        </w:trPr>
        <w:tc>
          <w:tcPr>
            <w:tcW w:w="5640" w:type="dxa"/>
            <w:tcBorders>
              <w:top w:val="nil"/>
              <w:left w:val="single" w:sz="4" w:space="0" w:color="auto"/>
              <w:bottom w:val="single" w:sz="4" w:space="0" w:color="auto"/>
              <w:right w:val="single" w:sz="4" w:space="0" w:color="auto"/>
            </w:tcBorders>
            <w:shd w:val="clear" w:color="auto" w:fill="auto"/>
            <w:vAlign w:val="center"/>
            <w:hideMark/>
          </w:tcPr>
          <w:p w14:paraId="23D78475" w14:textId="77777777" w:rsidR="00C443F5" w:rsidRPr="00C443F5" w:rsidRDefault="00C443F5" w:rsidP="00C443F5">
            <w:pPr>
              <w:rPr>
                <w:rFonts w:ascii="Arial" w:hAnsi="Arial" w:cs="Arial"/>
                <w:b/>
                <w:bCs/>
                <w:color w:val="000000"/>
                <w:sz w:val="20"/>
                <w:szCs w:val="20"/>
              </w:rPr>
            </w:pPr>
            <w:r w:rsidRPr="00C443F5">
              <w:rPr>
                <w:rFonts w:ascii="Arial" w:hAnsi="Arial" w:cs="Arial"/>
                <w:b/>
                <w:bCs/>
                <w:color w:val="000000"/>
                <w:sz w:val="20"/>
                <w:szCs w:val="20"/>
              </w:rPr>
              <w:t>USF Low-Income Assistance Obligation: H.E.A.T.</w:t>
            </w:r>
          </w:p>
        </w:tc>
        <w:tc>
          <w:tcPr>
            <w:tcW w:w="2774" w:type="dxa"/>
            <w:tcBorders>
              <w:top w:val="nil"/>
              <w:left w:val="nil"/>
              <w:bottom w:val="single" w:sz="4" w:space="0" w:color="auto"/>
              <w:right w:val="single" w:sz="4" w:space="0" w:color="auto"/>
            </w:tcBorders>
            <w:shd w:val="clear" w:color="auto" w:fill="auto"/>
            <w:noWrap/>
            <w:vAlign w:val="center"/>
            <w:hideMark/>
          </w:tcPr>
          <w:p w14:paraId="1E014D34" w14:textId="77777777" w:rsidR="00C443F5" w:rsidRPr="00C443F5" w:rsidRDefault="00C443F5" w:rsidP="00C443F5">
            <w:pPr>
              <w:jc w:val="right"/>
              <w:rPr>
                <w:rFonts w:ascii="Arial" w:hAnsi="Arial" w:cs="Arial"/>
                <w:color w:val="000000"/>
                <w:sz w:val="20"/>
                <w:szCs w:val="20"/>
              </w:rPr>
            </w:pPr>
            <w:r w:rsidRPr="00C443F5">
              <w:rPr>
                <w:rFonts w:ascii="Arial" w:hAnsi="Arial" w:cs="Arial"/>
                <w:color w:val="000000"/>
                <w:sz w:val="20"/>
                <w:szCs w:val="20"/>
              </w:rPr>
              <w:t xml:space="preserve">$0.00 </w:t>
            </w:r>
          </w:p>
        </w:tc>
      </w:tr>
      <w:tr w:rsidR="00C443F5" w:rsidRPr="00C443F5" w14:paraId="378291AD" w14:textId="77777777" w:rsidTr="00397B51">
        <w:trPr>
          <w:trHeight w:val="304"/>
        </w:trPr>
        <w:tc>
          <w:tcPr>
            <w:tcW w:w="5640" w:type="dxa"/>
            <w:tcBorders>
              <w:top w:val="nil"/>
              <w:left w:val="single" w:sz="4" w:space="0" w:color="auto"/>
              <w:bottom w:val="single" w:sz="4" w:space="0" w:color="auto"/>
              <w:right w:val="single" w:sz="4" w:space="0" w:color="auto"/>
            </w:tcBorders>
            <w:shd w:val="clear" w:color="000000" w:fill="FFFF00"/>
            <w:vAlign w:val="center"/>
            <w:hideMark/>
          </w:tcPr>
          <w:p w14:paraId="77B9D94E" w14:textId="77777777" w:rsidR="00C443F5" w:rsidRPr="00C443F5" w:rsidRDefault="00C443F5" w:rsidP="00C443F5">
            <w:pPr>
              <w:rPr>
                <w:rFonts w:ascii="Arial" w:hAnsi="Arial" w:cs="Arial"/>
                <w:b/>
                <w:bCs/>
                <w:color w:val="000000"/>
                <w:sz w:val="20"/>
                <w:szCs w:val="20"/>
              </w:rPr>
            </w:pPr>
            <w:r w:rsidRPr="00C443F5">
              <w:rPr>
                <w:rFonts w:ascii="Arial" w:hAnsi="Arial" w:cs="Arial"/>
                <w:b/>
                <w:bCs/>
                <w:color w:val="000000"/>
                <w:sz w:val="20"/>
                <w:szCs w:val="20"/>
              </w:rPr>
              <w:t xml:space="preserve">USF Encumbrance: Low-Income Assistance </w:t>
            </w:r>
          </w:p>
        </w:tc>
        <w:tc>
          <w:tcPr>
            <w:tcW w:w="2774" w:type="dxa"/>
            <w:tcBorders>
              <w:top w:val="nil"/>
              <w:left w:val="nil"/>
              <w:bottom w:val="single" w:sz="4" w:space="0" w:color="auto"/>
              <w:right w:val="single" w:sz="4" w:space="0" w:color="auto"/>
            </w:tcBorders>
            <w:shd w:val="clear" w:color="000000" w:fill="FFFF00"/>
            <w:noWrap/>
            <w:vAlign w:val="center"/>
            <w:hideMark/>
          </w:tcPr>
          <w:p w14:paraId="2FD27295" w14:textId="77777777" w:rsidR="00C443F5" w:rsidRPr="00C443F5" w:rsidRDefault="00C443F5" w:rsidP="00C443F5">
            <w:pPr>
              <w:jc w:val="right"/>
              <w:rPr>
                <w:rFonts w:ascii="Arial" w:hAnsi="Arial" w:cs="Arial"/>
                <w:b/>
                <w:bCs/>
                <w:color w:val="000000"/>
                <w:sz w:val="20"/>
                <w:szCs w:val="20"/>
              </w:rPr>
            </w:pPr>
            <w:r w:rsidRPr="00C443F5">
              <w:rPr>
                <w:rFonts w:ascii="Arial" w:hAnsi="Arial" w:cs="Arial"/>
                <w:b/>
                <w:bCs/>
                <w:color w:val="000000"/>
                <w:sz w:val="20"/>
                <w:szCs w:val="20"/>
              </w:rPr>
              <w:t xml:space="preserve">$1,320,000.00 </w:t>
            </w:r>
          </w:p>
        </w:tc>
      </w:tr>
      <w:tr w:rsidR="00C443F5" w:rsidRPr="00C443F5" w14:paraId="3ED1A269" w14:textId="77777777" w:rsidTr="00397B51">
        <w:trPr>
          <w:trHeight w:val="76"/>
        </w:trPr>
        <w:tc>
          <w:tcPr>
            <w:tcW w:w="5640" w:type="dxa"/>
            <w:tcBorders>
              <w:top w:val="nil"/>
              <w:left w:val="single" w:sz="4" w:space="0" w:color="auto"/>
              <w:bottom w:val="single" w:sz="4" w:space="0" w:color="auto"/>
              <w:right w:val="single" w:sz="4" w:space="0" w:color="auto"/>
            </w:tcBorders>
            <w:shd w:val="clear" w:color="auto" w:fill="auto"/>
            <w:vAlign w:val="center"/>
            <w:hideMark/>
          </w:tcPr>
          <w:p w14:paraId="271B61A1" w14:textId="77777777" w:rsidR="00C443F5" w:rsidRPr="00C443F5" w:rsidRDefault="00C443F5" w:rsidP="00C443F5">
            <w:pPr>
              <w:rPr>
                <w:rFonts w:ascii="Arial" w:hAnsi="Arial" w:cs="Arial"/>
                <w:b/>
                <w:bCs/>
                <w:color w:val="000000"/>
                <w:sz w:val="20"/>
                <w:szCs w:val="20"/>
              </w:rPr>
            </w:pPr>
            <w:r w:rsidRPr="00C443F5">
              <w:rPr>
                <w:rFonts w:ascii="Arial" w:hAnsi="Arial" w:cs="Arial"/>
                <w:b/>
                <w:bCs/>
                <w:color w:val="000000"/>
                <w:sz w:val="20"/>
                <w:szCs w:val="20"/>
              </w:rPr>
              <w:t> </w:t>
            </w:r>
          </w:p>
        </w:tc>
        <w:tc>
          <w:tcPr>
            <w:tcW w:w="2774" w:type="dxa"/>
            <w:tcBorders>
              <w:top w:val="nil"/>
              <w:left w:val="nil"/>
              <w:bottom w:val="single" w:sz="4" w:space="0" w:color="auto"/>
              <w:right w:val="single" w:sz="4" w:space="0" w:color="auto"/>
            </w:tcBorders>
            <w:shd w:val="clear" w:color="auto" w:fill="auto"/>
            <w:noWrap/>
            <w:vAlign w:val="bottom"/>
            <w:hideMark/>
          </w:tcPr>
          <w:p w14:paraId="607D37C6" w14:textId="77777777" w:rsidR="00C443F5" w:rsidRPr="00C443F5" w:rsidRDefault="00C443F5" w:rsidP="00C443F5">
            <w:pPr>
              <w:rPr>
                <w:rFonts w:ascii="Arial" w:hAnsi="Arial" w:cs="Arial"/>
                <w:color w:val="000000"/>
                <w:sz w:val="20"/>
                <w:szCs w:val="20"/>
              </w:rPr>
            </w:pPr>
            <w:r w:rsidRPr="00C443F5">
              <w:rPr>
                <w:rFonts w:ascii="Arial" w:hAnsi="Arial" w:cs="Arial"/>
                <w:color w:val="000000"/>
                <w:sz w:val="20"/>
                <w:szCs w:val="20"/>
              </w:rPr>
              <w:t> </w:t>
            </w:r>
          </w:p>
        </w:tc>
      </w:tr>
      <w:tr w:rsidR="00C443F5" w:rsidRPr="00C443F5" w14:paraId="6416527D" w14:textId="77777777" w:rsidTr="00397B51">
        <w:trPr>
          <w:trHeight w:val="264"/>
        </w:trPr>
        <w:tc>
          <w:tcPr>
            <w:tcW w:w="5640" w:type="dxa"/>
            <w:tcBorders>
              <w:top w:val="nil"/>
              <w:left w:val="single" w:sz="4" w:space="0" w:color="auto"/>
              <w:bottom w:val="single" w:sz="4" w:space="0" w:color="auto"/>
              <w:right w:val="single" w:sz="4" w:space="0" w:color="auto"/>
            </w:tcBorders>
            <w:shd w:val="clear" w:color="000000" w:fill="E2EFDA"/>
            <w:vAlign w:val="center"/>
            <w:hideMark/>
          </w:tcPr>
          <w:p w14:paraId="0B507D2D" w14:textId="77777777" w:rsidR="00C443F5" w:rsidRPr="00C443F5" w:rsidRDefault="00C443F5" w:rsidP="00C443F5">
            <w:pPr>
              <w:jc w:val="center"/>
              <w:rPr>
                <w:rFonts w:ascii="Arial" w:hAnsi="Arial" w:cs="Arial"/>
                <w:b/>
                <w:bCs/>
                <w:color w:val="000000"/>
                <w:sz w:val="20"/>
                <w:szCs w:val="20"/>
              </w:rPr>
            </w:pPr>
            <w:r w:rsidRPr="00C443F5">
              <w:rPr>
                <w:rFonts w:ascii="Arial" w:hAnsi="Arial" w:cs="Arial"/>
                <w:b/>
                <w:bCs/>
                <w:color w:val="000000"/>
                <w:sz w:val="20"/>
                <w:szCs w:val="20"/>
              </w:rPr>
              <w:t>Total Encumbrances:</w:t>
            </w:r>
          </w:p>
        </w:tc>
        <w:tc>
          <w:tcPr>
            <w:tcW w:w="2774" w:type="dxa"/>
            <w:tcBorders>
              <w:top w:val="nil"/>
              <w:left w:val="nil"/>
              <w:bottom w:val="single" w:sz="4" w:space="0" w:color="auto"/>
              <w:right w:val="single" w:sz="4" w:space="0" w:color="auto"/>
            </w:tcBorders>
            <w:shd w:val="clear" w:color="000000" w:fill="FDE9D9"/>
            <w:noWrap/>
            <w:vAlign w:val="center"/>
            <w:hideMark/>
          </w:tcPr>
          <w:p w14:paraId="29DED176" w14:textId="77777777" w:rsidR="00C443F5" w:rsidRPr="00C443F5" w:rsidRDefault="00C443F5" w:rsidP="00C443F5">
            <w:pPr>
              <w:jc w:val="right"/>
              <w:rPr>
                <w:rFonts w:ascii="Arial" w:hAnsi="Arial" w:cs="Arial"/>
                <w:b/>
                <w:bCs/>
                <w:color w:val="000000"/>
                <w:sz w:val="20"/>
                <w:szCs w:val="20"/>
              </w:rPr>
            </w:pPr>
            <w:r w:rsidRPr="00C443F5">
              <w:rPr>
                <w:rFonts w:ascii="Arial" w:hAnsi="Arial" w:cs="Arial"/>
                <w:b/>
                <w:bCs/>
                <w:color w:val="000000"/>
                <w:sz w:val="20"/>
                <w:szCs w:val="20"/>
              </w:rPr>
              <w:t xml:space="preserve">$29,787,400.25 </w:t>
            </w:r>
          </w:p>
        </w:tc>
      </w:tr>
      <w:tr w:rsidR="00C443F5" w:rsidRPr="00C443F5" w14:paraId="48A6B0D6" w14:textId="77777777" w:rsidTr="00397B51">
        <w:trPr>
          <w:trHeight w:val="265"/>
        </w:trPr>
        <w:tc>
          <w:tcPr>
            <w:tcW w:w="5640" w:type="dxa"/>
            <w:tcBorders>
              <w:top w:val="nil"/>
              <w:left w:val="single" w:sz="4" w:space="0" w:color="auto"/>
              <w:bottom w:val="single" w:sz="4" w:space="0" w:color="auto"/>
              <w:right w:val="single" w:sz="4" w:space="0" w:color="auto"/>
            </w:tcBorders>
            <w:shd w:val="clear" w:color="auto" w:fill="auto"/>
            <w:noWrap/>
            <w:vAlign w:val="bottom"/>
            <w:hideMark/>
          </w:tcPr>
          <w:p w14:paraId="47676F35" w14:textId="77777777" w:rsidR="00C443F5" w:rsidRPr="00C443F5" w:rsidRDefault="00C443F5" w:rsidP="00C443F5">
            <w:pPr>
              <w:rPr>
                <w:rFonts w:ascii="Arial" w:hAnsi="Arial" w:cs="Arial"/>
                <w:color w:val="000000"/>
                <w:sz w:val="20"/>
                <w:szCs w:val="20"/>
              </w:rPr>
            </w:pPr>
            <w:r w:rsidRPr="00C443F5">
              <w:rPr>
                <w:rFonts w:ascii="Arial" w:hAnsi="Arial" w:cs="Arial"/>
                <w:color w:val="000000"/>
                <w:sz w:val="20"/>
                <w:szCs w:val="20"/>
              </w:rPr>
              <w:t> </w:t>
            </w:r>
          </w:p>
        </w:tc>
        <w:tc>
          <w:tcPr>
            <w:tcW w:w="2774" w:type="dxa"/>
            <w:tcBorders>
              <w:top w:val="nil"/>
              <w:left w:val="nil"/>
              <w:bottom w:val="single" w:sz="4" w:space="0" w:color="auto"/>
              <w:right w:val="single" w:sz="4" w:space="0" w:color="auto"/>
            </w:tcBorders>
            <w:shd w:val="clear" w:color="auto" w:fill="auto"/>
            <w:noWrap/>
            <w:vAlign w:val="bottom"/>
            <w:hideMark/>
          </w:tcPr>
          <w:p w14:paraId="66223060" w14:textId="77777777" w:rsidR="00C443F5" w:rsidRPr="00C443F5" w:rsidRDefault="00C443F5" w:rsidP="00C443F5">
            <w:pPr>
              <w:rPr>
                <w:rFonts w:ascii="Arial" w:hAnsi="Arial" w:cs="Arial"/>
                <w:color w:val="000000"/>
                <w:sz w:val="20"/>
                <w:szCs w:val="20"/>
              </w:rPr>
            </w:pPr>
            <w:r w:rsidRPr="00C443F5">
              <w:rPr>
                <w:rFonts w:ascii="Arial" w:hAnsi="Arial" w:cs="Arial"/>
                <w:color w:val="000000"/>
                <w:sz w:val="20"/>
                <w:szCs w:val="20"/>
              </w:rPr>
              <w:t> </w:t>
            </w:r>
          </w:p>
        </w:tc>
      </w:tr>
      <w:tr w:rsidR="00C443F5" w:rsidRPr="00C443F5" w14:paraId="1C97CE54" w14:textId="77777777" w:rsidTr="00397B51">
        <w:trPr>
          <w:trHeight w:val="304"/>
        </w:trPr>
        <w:tc>
          <w:tcPr>
            <w:tcW w:w="5640" w:type="dxa"/>
            <w:tcBorders>
              <w:top w:val="nil"/>
              <w:left w:val="single" w:sz="4" w:space="0" w:color="auto"/>
              <w:bottom w:val="single" w:sz="4" w:space="0" w:color="auto"/>
              <w:right w:val="single" w:sz="4" w:space="0" w:color="auto"/>
            </w:tcBorders>
            <w:shd w:val="clear" w:color="000000" w:fill="00B050"/>
            <w:vAlign w:val="bottom"/>
            <w:hideMark/>
          </w:tcPr>
          <w:p w14:paraId="3DDAD30A" w14:textId="77777777" w:rsidR="00C443F5" w:rsidRPr="00C443F5" w:rsidRDefault="00C443F5" w:rsidP="00C443F5">
            <w:pPr>
              <w:jc w:val="center"/>
              <w:rPr>
                <w:rFonts w:ascii="Arial" w:hAnsi="Arial" w:cs="Arial"/>
                <w:b/>
                <w:bCs/>
                <w:color w:val="000000"/>
                <w:sz w:val="20"/>
                <w:szCs w:val="20"/>
              </w:rPr>
            </w:pPr>
            <w:r w:rsidRPr="00C443F5">
              <w:rPr>
                <w:rFonts w:ascii="Arial" w:hAnsi="Arial" w:cs="Arial"/>
                <w:b/>
                <w:bCs/>
                <w:color w:val="000000"/>
                <w:sz w:val="20"/>
                <w:szCs w:val="20"/>
              </w:rPr>
              <w:t>Total Unencumbered Available Balance - End of Month</w:t>
            </w:r>
          </w:p>
        </w:tc>
        <w:tc>
          <w:tcPr>
            <w:tcW w:w="2774" w:type="dxa"/>
            <w:tcBorders>
              <w:top w:val="nil"/>
              <w:left w:val="nil"/>
              <w:bottom w:val="single" w:sz="4" w:space="0" w:color="auto"/>
              <w:right w:val="single" w:sz="4" w:space="0" w:color="auto"/>
            </w:tcBorders>
            <w:shd w:val="clear" w:color="000000" w:fill="00B050"/>
            <w:noWrap/>
            <w:vAlign w:val="center"/>
            <w:hideMark/>
          </w:tcPr>
          <w:p w14:paraId="0EDF038C" w14:textId="77777777" w:rsidR="00C443F5" w:rsidRPr="00C443F5" w:rsidRDefault="00C443F5" w:rsidP="00C443F5">
            <w:pPr>
              <w:jc w:val="right"/>
              <w:rPr>
                <w:rFonts w:ascii="Arial" w:hAnsi="Arial" w:cs="Arial"/>
                <w:b/>
                <w:bCs/>
                <w:color w:val="000000"/>
                <w:sz w:val="20"/>
                <w:szCs w:val="20"/>
              </w:rPr>
            </w:pPr>
            <w:r w:rsidRPr="00C443F5">
              <w:rPr>
                <w:rFonts w:ascii="Arial" w:hAnsi="Arial" w:cs="Arial"/>
                <w:b/>
                <w:bCs/>
                <w:color w:val="000000"/>
                <w:sz w:val="20"/>
                <w:szCs w:val="20"/>
              </w:rPr>
              <w:t xml:space="preserve">$35,025,656.96 </w:t>
            </w:r>
          </w:p>
        </w:tc>
      </w:tr>
    </w:tbl>
    <w:p w14:paraId="06D33666" w14:textId="77777777" w:rsidR="00C443F5" w:rsidRPr="00C443F5" w:rsidRDefault="00C443F5" w:rsidP="00C443F5">
      <w:pPr>
        <w:spacing w:after="200"/>
        <w:contextualSpacing/>
        <w:rPr>
          <w:snapToGrid w:val="0"/>
        </w:rPr>
      </w:pPr>
    </w:p>
    <w:p w14:paraId="6FDA9E46" w14:textId="77777777" w:rsidR="00C443F5" w:rsidRPr="00C443F5" w:rsidRDefault="00C443F5" w:rsidP="00C443F5">
      <w:pPr>
        <w:spacing w:after="200"/>
        <w:contextualSpacing/>
        <w:rPr>
          <w:snapToGrid w:val="0"/>
        </w:rPr>
      </w:pPr>
    </w:p>
    <w:p w14:paraId="30F6DE9D" w14:textId="77777777" w:rsidR="00C443F5" w:rsidRPr="00C443F5" w:rsidRDefault="00C443F5" w:rsidP="00C443F5">
      <w:pPr>
        <w:spacing w:after="200"/>
        <w:ind w:firstLine="720"/>
        <w:contextualSpacing/>
        <w:rPr>
          <w:snapToGrid w:val="0"/>
        </w:rPr>
      </w:pPr>
      <w:r w:rsidRPr="00C443F5">
        <w:rPr>
          <w:snapToGrid w:val="0"/>
        </w:rPr>
        <w:t xml:space="preserve">As discussed in II(C)  AGL’s 2024 capital budget cap is </w:t>
      </w:r>
      <w:r w:rsidRPr="00C443F5">
        <w:rPr>
          <w:b/>
          <w:snapToGrid w:val="0"/>
        </w:rPr>
        <w:t>$30.2 million</w:t>
      </w:r>
      <w:r w:rsidRPr="00C443F5">
        <w:rPr>
          <w:snapToGrid w:val="0"/>
        </w:rPr>
        <w:t xml:space="preserve">. When reviewing O.C.G.A. 46-4-161(g)(2), it provides for the following. </w:t>
      </w:r>
    </w:p>
    <w:p w14:paraId="09C6F831" w14:textId="77777777" w:rsidR="00C443F5" w:rsidRPr="00C443F5" w:rsidRDefault="00C443F5" w:rsidP="00C443F5">
      <w:pPr>
        <w:spacing w:after="200"/>
        <w:ind w:left="360"/>
        <w:contextualSpacing/>
        <w:rPr>
          <w:snapToGrid w:val="0"/>
        </w:rPr>
      </w:pPr>
    </w:p>
    <w:p w14:paraId="312C2A65" w14:textId="77777777" w:rsidR="00C443F5" w:rsidRPr="00C443F5" w:rsidRDefault="00C443F5" w:rsidP="00C443F5">
      <w:pPr>
        <w:spacing w:after="200"/>
        <w:ind w:left="720"/>
        <w:contextualSpacing/>
        <w:rPr>
          <w:snapToGrid w:val="0"/>
        </w:rPr>
      </w:pPr>
      <w:r w:rsidRPr="00C443F5">
        <w:rPr>
          <w:snapToGrid w:val="0"/>
          <w:bdr w:val="none" w:sz="0" w:space="0" w:color="auto" w:frame="1"/>
        </w:rPr>
        <w:t>In no event shall the distribution to an electing distribution company from the fund for facilities and service expansion during any fiscal year exceed 5 percent of the capital budget of such company for such fiscal year.</w:t>
      </w:r>
    </w:p>
    <w:p w14:paraId="0663402F" w14:textId="77777777" w:rsidR="00C443F5" w:rsidRPr="00C443F5" w:rsidRDefault="00C443F5" w:rsidP="00C443F5">
      <w:pPr>
        <w:spacing w:after="200"/>
        <w:contextualSpacing/>
        <w:rPr>
          <w:snapToGrid w:val="0"/>
        </w:rPr>
      </w:pPr>
    </w:p>
    <w:p w14:paraId="28A1F63C" w14:textId="77777777" w:rsidR="00C443F5" w:rsidRPr="00C443F5" w:rsidRDefault="00C443F5" w:rsidP="00C443F5">
      <w:pPr>
        <w:spacing w:after="200"/>
        <w:contextualSpacing/>
        <w:rPr>
          <w:snapToGrid w:val="0"/>
        </w:rPr>
      </w:pPr>
      <w:r w:rsidRPr="00C443F5">
        <w:rPr>
          <w:snapToGrid w:val="0"/>
        </w:rPr>
        <w:t xml:space="preserve">In the USF statute, O.C.G.A. 46-4-166(b)(1)(2), it states the following: </w:t>
      </w:r>
    </w:p>
    <w:p w14:paraId="6870273F" w14:textId="77777777" w:rsidR="00C443F5" w:rsidRPr="00C443F5" w:rsidRDefault="00C443F5" w:rsidP="00C443F5">
      <w:pPr>
        <w:spacing w:after="200"/>
        <w:contextualSpacing/>
        <w:rPr>
          <w:snapToGrid w:val="0"/>
        </w:rPr>
      </w:pPr>
    </w:p>
    <w:p w14:paraId="319E98B8" w14:textId="77777777" w:rsidR="00C443F5" w:rsidRPr="00C443F5" w:rsidRDefault="00C443F5" w:rsidP="00C443F5">
      <w:pPr>
        <w:ind w:left="720"/>
        <w:textAlignment w:val="baseline"/>
        <w:rPr>
          <w:rFonts w:ascii="Arial" w:hAnsi="Arial" w:cs="Arial"/>
          <w:snapToGrid w:val="0"/>
          <w:sz w:val="20"/>
          <w:szCs w:val="20"/>
        </w:rPr>
      </w:pPr>
      <w:r w:rsidRPr="00C443F5">
        <w:rPr>
          <w:rFonts w:ascii="Arial" w:hAnsi="Arial" w:cs="Arial"/>
          <w:b/>
          <w:bCs/>
          <w:snapToGrid w:val="0"/>
          <w:sz w:val="20"/>
          <w:szCs w:val="20"/>
          <w:bdr w:val="none" w:sz="0" w:space="0" w:color="auto" w:frame="1"/>
        </w:rPr>
        <w:t>(b)</w:t>
      </w:r>
      <w:r w:rsidRPr="00C443F5">
        <w:rPr>
          <w:rFonts w:ascii="Arial" w:hAnsi="Arial" w:cs="Arial"/>
          <w:snapToGrid w:val="0"/>
          <w:sz w:val="20"/>
          <w:szCs w:val="20"/>
          <w:bdr w:val="none" w:sz="0" w:space="0" w:color="auto" w:frame="1"/>
        </w:rPr>
        <w:t> The fund shall be administered by the commission under rules to be promulgated by the commission in accordance with the provisions of this Code section. Prior to the beginning of each fiscal year of the electing distribution company, the commission shall determine the amount of the fund appropriate for such fiscal year, which amount shall not exceed $25 million for that fiscal year. In making such determination, the commission shall consider the following:</w:t>
      </w:r>
    </w:p>
    <w:p w14:paraId="2C5595D9" w14:textId="77777777" w:rsidR="00C443F5" w:rsidRPr="00C443F5" w:rsidRDefault="00C443F5" w:rsidP="00C443F5">
      <w:pPr>
        <w:textAlignment w:val="baseline"/>
        <w:rPr>
          <w:rFonts w:ascii="Arial" w:hAnsi="Arial" w:cs="Arial"/>
          <w:b/>
          <w:bCs/>
          <w:snapToGrid w:val="0"/>
          <w:sz w:val="20"/>
          <w:szCs w:val="20"/>
          <w:bdr w:val="none" w:sz="0" w:space="0" w:color="auto" w:frame="1"/>
        </w:rPr>
      </w:pPr>
    </w:p>
    <w:p w14:paraId="6A6278DA" w14:textId="77777777" w:rsidR="00C443F5" w:rsidRPr="00C443F5" w:rsidRDefault="00C443F5" w:rsidP="00C443F5">
      <w:pPr>
        <w:ind w:left="1440"/>
        <w:textAlignment w:val="baseline"/>
        <w:rPr>
          <w:rFonts w:ascii="Arial" w:hAnsi="Arial" w:cs="Arial"/>
          <w:snapToGrid w:val="0"/>
          <w:sz w:val="20"/>
          <w:szCs w:val="20"/>
        </w:rPr>
      </w:pPr>
      <w:r w:rsidRPr="00C443F5">
        <w:rPr>
          <w:rFonts w:ascii="Arial" w:hAnsi="Arial" w:cs="Arial"/>
          <w:b/>
          <w:bCs/>
          <w:snapToGrid w:val="0"/>
          <w:sz w:val="20"/>
          <w:szCs w:val="20"/>
          <w:bdr w:val="none" w:sz="0" w:space="0" w:color="auto" w:frame="1"/>
        </w:rPr>
        <w:t>(1)</w:t>
      </w:r>
      <w:r w:rsidRPr="00C443F5">
        <w:rPr>
          <w:rFonts w:ascii="Arial" w:hAnsi="Arial" w:cs="Arial"/>
          <w:snapToGrid w:val="0"/>
          <w:sz w:val="20"/>
          <w:szCs w:val="20"/>
          <w:bdr w:val="none" w:sz="0" w:space="0" w:color="auto" w:frame="1"/>
        </w:rPr>
        <w:t> The amount required to provide sufficient contributions in aid of construction to permit the electing distribution company to extend and expand its facilities from time to time as the commission deems to be in the public interest; and</w:t>
      </w:r>
    </w:p>
    <w:p w14:paraId="5EC326EC" w14:textId="77777777" w:rsidR="00C443F5" w:rsidRPr="00C443F5" w:rsidRDefault="00C443F5" w:rsidP="00C443F5">
      <w:pPr>
        <w:textAlignment w:val="baseline"/>
        <w:rPr>
          <w:rFonts w:ascii="Arial" w:hAnsi="Arial" w:cs="Arial"/>
          <w:b/>
          <w:bCs/>
          <w:snapToGrid w:val="0"/>
          <w:sz w:val="20"/>
          <w:szCs w:val="20"/>
          <w:bdr w:val="none" w:sz="0" w:space="0" w:color="auto" w:frame="1"/>
        </w:rPr>
      </w:pPr>
    </w:p>
    <w:p w14:paraId="7FB922DE" w14:textId="77777777" w:rsidR="00C443F5" w:rsidRPr="00C443F5" w:rsidRDefault="00C443F5" w:rsidP="00C443F5">
      <w:pPr>
        <w:ind w:left="1440"/>
        <w:textAlignment w:val="baseline"/>
        <w:rPr>
          <w:rFonts w:ascii="Arial" w:hAnsi="Arial" w:cs="Arial"/>
          <w:snapToGrid w:val="0"/>
          <w:sz w:val="20"/>
          <w:szCs w:val="20"/>
          <w:bdr w:val="none" w:sz="0" w:space="0" w:color="auto" w:frame="1"/>
        </w:rPr>
      </w:pPr>
      <w:r w:rsidRPr="00C443F5">
        <w:rPr>
          <w:rFonts w:ascii="Arial" w:hAnsi="Arial" w:cs="Arial"/>
          <w:b/>
          <w:bCs/>
          <w:snapToGrid w:val="0"/>
          <w:sz w:val="20"/>
          <w:szCs w:val="20"/>
          <w:bdr w:val="none" w:sz="0" w:space="0" w:color="auto" w:frame="1"/>
        </w:rPr>
        <w:t>(2)</w:t>
      </w:r>
      <w:r w:rsidRPr="00C443F5">
        <w:rPr>
          <w:rFonts w:ascii="Arial" w:hAnsi="Arial" w:cs="Arial"/>
          <w:snapToGrid w:val="0"/>
          <w:sz w:val="20"/>
          <w:szCs w:val="20"/>
          <w:bdr w:val="none" w:sz="0" w:space="0" w:color="auto" w:frame="1"/>
        </w:rPr>
        <w:t> The amount required to assist low-income residential consumers in times of emergency as determined by the commission and consumers of the regulated provider of natural gas in accordance with Code Section 46-4-166.</w:t>
      </w:r>
    </w:p>
    <w:p w14:paraId="7C7B9781" w14:textId="77777777" w:rsidR="00C443F5" w:rsidRPr="00C443F5" w:rsidRDefault="00C443F5" w:rsidP="00C443F5">
      <w:pPr>
        <w:spacing w:after="200"/>
        <w:contextualSpacing/>
        <w:rPr>
          <w:snapToGrid w:val="0"/>
        </w:rPr>
      </w:pPr>
    </w:p>
    <w:p w14:paraId="2C702F9E" w14:textId="77777777" w:rsidR="00C443F5" w:rsidRPr="00C443F5" w:rsidRDefault="00C443F5" w:rsidP="00C443F5">
      <w:pPr>
        <w:spacing w:after="200"/>
        <w:contextualSpacing/>
        <w:rPr>
          <w:snapToGrid w:val="0"/>
        </w:rPr>
      </w:pPr>
      <w:r w:rsidRPr="00C443F5">
        <w:rPr>
          <w:snapToGrid w:val="0"/>
        </w:rPr>
        <w:t xml:space="preserve">As seen in </w:t>
      </w:r>
      <w:r w:rsidRPr="00C443F5">
        <w:rPr>
          <w:b/>
          <w:snapToGrid w:val="0"/>
        </w:rPr>
        <w:t>Table-28</w:t>
      </w:r>
      <w:r w:rsidRPr="00C443F5">
        <w:rPr>
          <w:snapToGrid w:val="0"/>
        </w:rPr>
        <w:t xml:space="preserve"> below, regarding (b)(2), the Commission has approved </w:t>
      </w:r>
      <w:r w:rsidRPr="00C443F5">
        <w:rPr>
          <w:b/>
          <w:snapToGrid w:val="0"/>
        </w:rPr>
        <w:t>$660,000</w:t>
      </w:r>
      <w:r w:rsidRPr="00C443F5">
        <w:rPr>
          <w:snapToGrid w:val="0"/>
        </w:rPr>
        <w:t xml:space="preserve"> for the Salvation Army. For the Regulated Provider, the Staff has used the last historic 12 months, December 2022 – November 2023, to develop an annual average for 2024. This calculation provided was </w:t>
      </w:r>
      <w:r w:rsidRPr="00C443F5">
        <w:rPr>
          <w:b/>
          <w:snapToGrid w:val="0"/>
        </w:rPr>
        <w:t>$627,489.25</w:t>
      </w:r>
      <w:r w:rsidRPr="00C443F5">
        <w:rPr>
          <w:snapToGrid w:val="0"/>
        </w:rPr>
        <w:t xml:space="preserve"> as the dollar amount needed for year 2024.  The total low-income assistance the Regulated Provider needed for 2024 is </w:t>
      </w:r>
      <w:r w:rsidRPr="00C443F5">
        <w:rPr>
          <w:b/>
          <w:snapToGrid w:val="0"/>
        </w:rPr>
        <w:t>$1,287.489.25</w:t>
      </w:r>
      <w:r w:rsidRPr="00C443F5">
        <w:rPr>
          <w:snapToGrid w:val="0"/>
        </w:rPr>
        <w:t xml:space="preserve">. This would leave a total of </w:t>
      </w:r>
      <w:r w:rsidRPr="00C443F5">
        <w:rPr>
          <w:b/>
          <w:snapToGrid w:val="0"/>
        </w:rPr>
        <w:t>$23,712,510.72</w:t>
      </w:r>
      <w:r w:rsidRPr="00C443F5">
        <w:rPr>
          <w:snapToGrid w:val="0"/>
        </w:rPr>
        <w:t xml:space="preserve"> available for AGL line-extensions for 2024.</w:t>
      </w:r>
    </w:p>
    <w:p w14:paraId="66DF8EB2" w14:textId="77777777" w:rsidR="00C443F5" w:rsidRPr="00C443F5" w:rsidRDefault="00C443F5" w:rsidP="00C443F5">
      <w:pPr>
        <w:spacing w:after="200"/>
        <w:contextualSpacing/>
        <w:rPr>
          <w:snapToGrid w:val="0"/>
        </w:rPr>
      </w:pPr>
    </w:p>
    <w:p w14:paraId="29723BC0" w14:textId="77777777" w:rsidR="00C443F5" w:rsidRPr="00C443F5" w:rsidRDefault="00C443F5" w:rsidP="00C443F5">
      <w:pPr>
        <w:spacing w:after="200"/>
        <w:contextualSpacing/>
        <w:rPr>
          <w:b/>
          <w:snapToGrid w:val="0"/>
        </w:rPr>
      </w:pPr>
      <w:r w:rsidRPr="00C443F5">
        <w:rPr>
          <w:b/>
          <w:snapToGrid w:val="0"/>
        </w:rPr>
        <w:t>Table-28: USF 2024 Planned Activity</w:t>
      </w:r>
    </w:p>
    <w:tbl>
      <w:tblPr>
        <w:tblW w:w="7200" w:type="dxa"/>
        <w:tblInd w:w="-5" w:type="dxa"/>
        <w:tblLook w:val="04A0" w:firstRow="1" w:lastRow="0" w:firstColumn="1" w:lastColumn="0" w:noHBand="0" w:noVBand="1"/>
      </w:tblPr>
      <w:tblGrid>
        <w:gridCol w:w="3600"/>
        <w:gridCol w:w="1710"/>
        <w:gridCol w:w="1890"/>
      </w:tblGrid>
      <w:tr w:rsidR="00C443F5" w:rsidRPr="00C443F5" w14:paraId="354E36AD" w14:textId="77777777" w:rsidTr="00397B51">
        <w:trPr>
          <w:trHeight w:val="562"/>
        </w:trPr>
        <w:tc>
          <w:tcPr>
            <w:tcW w:w="5310" w:type="dxa"/>
            <w:gridSpan w:val="2"/>
            <w:tcBorders>
              <w:top w:val="single" w:sz="4" w:space="0" w:color="auto"/>
              <w:left w:val="single" w:sz="4" w:space="0" w:color="auto"/>
              <w:bottom w:val="single" w:sz="4" w:space="0" w:color="auto"/>
              <w:right w:val="single" w:sz="4" w:space="0" w:color="000000"/>
            </w:tcBorders>
            <w:shd w:val="clear" w:color="000000" w:fill="00B050"/>
            <w:vAlign w:val="center"/>
            <w:hideMark/>
          </w:tcPr>
          <w:p w14:paraId="1E6AFC9C"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2024: O.C.G.A. 46-4-166(b)(2)</w:t>
            </w:r>
          </w:p>
        </w:tc>
        <w:tc>
          <w:tcPr>
            <w:tcW w:w="1890" w:type="dxa"/>
            <w:tcBorders>
              <w:top w:val="single" w:sz="4" w:space="0" w:color="auto"/>
              <w:left w:val="nil"/>
              <w:bottom w:val="single" w:sz="4" w:space="0" w:color="auto"/>
              <w:right w:val="single" w:sz="4" w:space="0" w:color="auto"/>
            </w:tcBorders>
            <w:shd w:val="clear" w:color="000000" w:fill="00B050"/>
            <w:noWrap/>
            <w:vAlign w:val="center"/>
            <w:hideMark/>
          </w:tcPr>
          <w:p w14:paraId="0969A792"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$25,000,000.00 </w:t>
            </w:r>
          </w:p>
        </w:tc>
      </w:tr>
      <w:tr w:rsidR="00C443F5" w:rsidRPr="00C443F5" w14:paraId="2520FFED" w14:textId="77777777" w:rsidTr="00397B51">
        <w:trPr>
          <w:trHeight w:val="606"/>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14944BE3"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 xml:space="preserve">Regulated Provider </w:t>
            </w:r>
          </w:p>
        </w:tc>
        <w:tc>
          <w:tcPr>
            <w:tcW w:w="1710" w:type="dxa"/>
            <w:tcBorders>
              <w:top w:val="nil"/>
              <w:left w:val="nil"/>
              <w:bottom w:val="single" w:sz="4" w:space="0" w:color="auto"/>
              <w:right w:val="single" w:sz="4" w:space="0" w:color="auto"/>
            </w:tcBorders>
            <w:shd w:val="clear" w:color="auto" w:fill="auto"/>
            <w:noWrap/>
            <w:vAlign w:val="center"/>
            <w:hideMark/>
          </w:tcPr>
          <w:p w14:paraId="1830106B"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$627,489.25 </w:t>
            </w:r>
          </w:p>
        </w:tc>
        <w:tc>
          <w:tcPr>
            <w:tcW w:w="1890" w:type="dxa"/>
            <w:tcBorders>
              <w:top w:val="nil"/>
              <w:left w:val="nil"/>
              <w:bottom w:val="single" w:sz="4" w:space="0" w:color="auto"/>
              <w:right w:val="single" w:sz="4" w:space="0" w:color="auto"/>
            </w:tcBorders>
            <w:shd w:val="clear" w:color="auto" w:fill="auto"/>
            <w:noWrap/>
            <w:vAlign w:val="bottom"/>
            <w:hideMark/>
          </w:tcPr>
          <w:p w14:paraId="06F2A141"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$24,372,510.75 </w:t>
            </w:r>
          </w:p>
        </w:tc>
      </w:tr>
      <w:tr w:rsidR="00C443F5" w:rsidRPr="00C443F5" w14:paraId="4FED0A2B" w14:textId="77777777" w:rsidTr="00397B51">
        <w:trPr>
          <w:trHeight w:val="513"/>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7E06DB3F"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Low-Income Assistance: Salvation Army</w:t>
            </w:r>
          </w:p>
        </w:tc>
        <w:tc>
          <w:tcPr>
            <w:tcW w:w="1710" w:type="dxa"/>
            <w:tcBorders>
              <w:top w:val="nil"/>
              <w:left w:val="nil"/>
              <w:bottom w:val="single" w:sz="4" w:space="0" w:color="auto"/>
              <w:right w:val="single" w:sz="4" w:space="0" w:color="auto"/>
            </w:tcBorders>
            <w:shd w:val="clear" w:color="auto" w:fill="auto"/>
            <w:noWrap/>
            <w:vAlign w:val="center"/>
            <w:hideMark/>
          </w:tcPr>
          <w:p w14:paraId="6815E9E8"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$660,000.00 </w:t>
            </w:r>
          </w:p>
        </w:tc>
        <w:tc>
          <w:tcPr>
            <w:tcW w:w="1890" w:type="dxa"/>
            <w:tcBorders>
              <w:top w:val="nil"/>
              <w:left w:val="nil"/>
              <w:bottom w:val="single" w:sz="4" w:space="0" w:color="auto"/>
              <w:right w:val="single" w:sz="4" w:space="0" w:color="auto"/>
            </w:tcBorders>
            <w:shd w:val="clear" w:color="auto" w:fill="auto"/>
            <w:noWrap/>
            <w:vAlign w:val="bottom"/>
            <w:hideMark/>
          </w:tcPr>
          <w:p w14:paraId="2BBB6A62"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$23,712,510.75 </w:t>
            </w:r>
          </w:p>
        </w:tc>
      </w:tr>
      <w:tr w:rsidR="00C443F5" w:rsidRPr="00C443F5" w14:paraId="0E66CFAF" w14:textId="77777777" w:rsidTr="00397B51">
        <w:trPr>
          <w:trHeight w:val="562"/>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53ABE1EC"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 xml:space="preserve">AGL USF Line-Extension </w:t>
            </w:r>
          </w:p>
        </w:tc>
        <w:tc>
          <w:tcPr>
            <w:tcW w:w="1710" w:type="dxa"/>
            <w:tcBorders>
              <w:top w:val="nil"/>
              <w:left w:val="nil"/>
              <w:bottom w:val="single" w:sz="4" w:space="0" w:color="auto"/>
              <w:right w:val="single" w:sz="4" w:space="0" w:color="auto"/>
            </w:tcBorders>
            <w:shd w:val="clear" w:color="auto" w:fill="auto"/>
            <w:noWrap/>
            <w:vAlign w:val="center"/>
            <w:hideMark/>
          </w:tcPr>
          <w:p w14:paraId="0406ED76"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$23,712,510.75 </w:t>
            </w:r>
          </w:p>
        </w:tc>
        <w:tc>
          <w:tcPr>
            <w:tcW w:w="1890" w:type="dxa"/>
            <w:tcBorders>
              <w:top w:val="nil"/>
              <w:left w:val="nil"/>
              <w:bottom w:val="single" w:sz="4" w:space="0" w:color="auto"/>
              <w:right w:val="single" w:sz="4" w:space="0" w:color="auto"/>
            </w:tcBorders>
            <w:shd w:val="clear" w:color="auto" w:fill="auto"/>
            <w:noWrap/>
            <w:vAlign w:val="bottom"/>
            <w:hideMark/>
          </w:tcPr>
          <w:p w14:paraId="18D0695D"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$0.00 </w:t>
            </w:r>
          </w:p>
        </w:tc>
      </w:tr>
      <w:tr w:rsidR="00C443F5" w:rsidRPr="00C443F5" w14:paraId="3EE40BEE" w14:textId="77777777" w:rsidTr="00397B51">
        <w:trPr>
          <w:trHeight w:val="249"/>
        </w:trPr>
        <w:tc>
          <w:tcPr>
            <w:tcW w:w="3600" w:type="dxa"/>
            <w:tcBorders>
              <w:top w:val="nil"/>
              <w:left w:val="single" w:sz="4" w:space="0" w:color="auto"/>
              <w:bottom w:val="single" w:sz="4" w:space="0" w:color="auto"/>
              <w:right w:val="single" w:sz="4" w:space="0" w:color="auto"/>
            </w:tcBorders>
            <w:shd w:val="clear" w:color="auto" w:fill="auto"/>
            <w:vAlign w:val="center"/>
            <w:hideMark/>
          </w:tcPr>
          <w:p w14:paraId="193A1736"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 </w:t>
            </w:r>
          </w:p>
        </w:tc>
        <w:tc>
          <w:tcPr>
            <w:tcW w:w="1710" w:type="dxa"/>
            <w:tcBorders>
              <w:top w:val="nil"/>
              <w:left w:val="nil"/>
              <w:bottom w:val="single" w:sz="4" w:space="0" w:color="auto"/>
              <w:right w:val="single" w:sz="4" w:space="0" w:color="auto"/>
            </w:tcBorders>
            <w:shd w:val="clear" w:color="auto" w:fill="auto"/>
            <w:noWrap/>
            <w:vAlign w:val="center"/>
            <w:hideMark/>
          </w:tcPr>
          <w:p w14:paraId="649933A7"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c>
          <w:tcPr>
            <w:tcW w:w="1890" w:type="dxa"/>
            <w:tcBorders>
              <w:top w:val="nil"/>
              <w:left w:val="nil"/>
              <w:bottom w:val="single" w:sz="4" w:space="0" w:color="auto"/>
              <w:right w:val="single" w:sz="4" w:space="0" w:color="auto"/>
            </w:tcBorders>
            <w:shd w:val="clear" w:color="auto" w:fill="auto"/>
            <w:noWrap/>
            <w:vAlign w:val="bottom"/>
            <w:hideMark/>
          </w:tcPr>
          <w:p w14:paraId="645F80FB"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r>
      <w:tr w:rsidR="00C443F5" w:rsidRPr="00C443F5" w14:paraId="5DDF1C8B" w14:textId="77777777" w:rsidTr="00397B51">
        <w:trPr>
          <w:trHeight w:val="562"/>
        </w:trPr>
        <w:tc>
          <w:tcPr>
            <w:tcW w:w="3600" w:type="dxa"/>
            <w:tcBorders>
              <w:top w:val="nil"/>
              <w:left w:val="single" w:sz="4" w:space="0" w:color="auto"/>
              <w:bottom w:val="single" w:sz="4" w:space="0" w:color="auto"/>
              <w:right w:val="single" w:sz="4" w:space="0" w:color="auto"/>
            </w:tcBorders>
            <w:shd w:val="clear" w:color="000000" w:fill="00B050"/>
            <w:vAlign w:val="center"/>
            <w:hideMark/>
          </w:tcPr>
          <w:p w14:paraId="4DAA6EC5"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Total Encumbrances:</w:t>
            </w:r>
          </w:p>
        </w:tc>
        <w:tc>
          <w:tcPr>
            <w:tcW w:w="1710" w:type="dxa"/>
            <w:tcBorders>
              <w:top w:val="nil"/>
              <w:left w:val="nil"/>
              <w:bottom w:val="single" w:sz="4" w:space="0" w:color="auto"/>
              <w:right w:val="single" w:sz="4" w:space="0" w:color="auto"/>
            </w:tcBorders>
            <w:shd w:val="clear" w:color="000000" w:fill="00B050"/>
            <w:noWrap/>
            <w:vAlign w:val="center"/>
            <w:hideMark/>
          </w:tcPr>
          <w:p w14:paraId="1E685615"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$25,000,000.00 </w:t>
            </w:r>
          </w:p>
        </w:tc>
        <w:tc>
          <w:tcPr>
            <w:tcW w:w="1890" w:type="dxa"/>
            <w:tcBorders>
              <w:top w:val="nil"/>
              <w:left w:val="nil"/>
              <w:bottom w:val="single" w:sz="4" w:space="0" w:color="auto"/>
              <w:right w:val="single" w:sz="4" w:space="0" w:color="auto"/>
            </w:tcBorders>
            <w:shd w:val="clear" w:color="000000" w:fill="00B050"/>
            <w:noWrap/>
            <w:vAlign w:val="bottom"/>
            <w:hideMark/>
          </w:tcPr>
          <w:p w14:paraId="23BB274B"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 </w:t>
            </w:r>
          </w:p>
        </w:tc>
      </w:tr>
    </w:tbl>
    <w:p w14:paraId="5356F875" w14:textId="77777777" w:rsidR="00C443F5" w:rsidRPr="00C443F5" w:rsidRDefault="00C443F5" w:rsidP="00C443F5">
      <w:pPr>
        <w:contextualSpacing/>
        <w:jc w:val="both"/>
        <w:rPr>
          <w:b/>
          <w:bCs/>
        </w:rPr>
      </w:pPr>
    </w:p>
    <w:p w14:paraId="4A8672ED" w14:textId="77777777" w:rsidR="00C443F5" w:rsidRPr="00C443F5" w:rsidRDefault="00C443F5" w:rsidP="00C443F5">
      <w:pPr>
        <w:contextualSpacing/>
        <w:jc w:val="both"/>
        <w:rPr>
          <w:b/>
          <w:bCs/>
        </w:rPr>
      </w:pPr>
    </w:p>
    <w:p w14:paraId="22F3C072" w14:textId="77777777" w:rsidR="00C443F5" w:rsidRPr="00C443F5" w:rsidRDefault="00C443F5" w:rsidP="00C443F5">
      <w:pPr>
        <w:contextualSpacing/>
        <w:jc w:val="both"/>
        <w:rPr>
          <w:b/>
          <w:bCs/>
        </w:rPr>
      </w:pPr>
    </w:p>
    <w:p w14:paraId="7C2AA0CA" w14:textId="77777777" w:rsidR="00C443F5" w:rsidRPr="00C443F5" w:rsidRDefault="00C443F5" w:rsidP="00C443F5">
      <w:pPr>
        <w:contextualSpacing/>
        <w:jc w:val="both"/>
        <w:rPr>
          <w:b/>
          <w:bCs/>
        </w:rPr>
      </w:pPr>
    </w:p>
    <w:p w14:paraId="0A675B40" w14:textId="77777777" w:rsidR="00C443F5" w:rsidRPr="00C443F5" w:rsidRDefault="00C443F5" w:rsidP="00C443F5">
      <w:pPr>
        <w:contextualSpacing/>
        <w:jc w:val="both"/>
        <w:rPr>
          <w:b/>
          <w:bCs/>
        </w:rPr>
      </w:pPr>
    </w:p>
    <w:p w14:paraId="3A244F16" w14:textId="77777777" w:rsidR="00C443F5" w:rsidRPr="00C443F5" w:rsidRDefault="00C443F5" w:rsidP="00C443F5">
      <w:pPr>
        <w:numPr>
          <w:ilvl w:val="0"/>
          <w:numId w:val="2"/>
        </w:numPr>
        <w:spacing w:after="200"/>
        <w:contextualSpacing/>
        <w:jc w:val="center"/>
        <w:rPr>
          <w:b/>
          <w:bCs/>
        </w:rPr>
      </w:pPr>
      <w:bookmarkStart w:id="1" w:name="_Hlk153202067"/>
      <w:r w:rsidRPr="00C443F5">
        <w:rPr>
          <w:b/>
          <w:bCs/>
        </w:rPr>
        <w:t>Project Funding Analysis</w:t>
      </w:r>
    </w:p>
    <w:p w14:paraId="1DFAD89C" w14:textId="77777777" w:rsidR="00C443F5" w:rsidRPr="00C443F5" w:rsidRDefault="00C443F5" w:rsidP="00C443F5">
      <w:pPr>
        <w:contextualSpacing/>
        <w:jc w:val="both"/>
        <w:rPr>
          <w:b/>
          <w:bCs/>
        </w:rPr>
      </w:pPr>
    </w:p>
    <w:p w14:paraId="3B549570" w14:textId="77777777" w:rsidR="00C443F5" w:rsidRPr="00C443F5" w:rsidRDefault="00C443F5" w:rsidP="00C443F5">
      <w:pPr>
        <w:ind w:firstLine="720"/>
        <w:contextualSpacing/>
        <w:jc w:val="both"/>
        <w:rPr>
          <w:bCs/>
        </w:rPr>
      </w:pPr>
      <w:r w:rsidRPr="00C443F5">
        <w:rPr>
          <w:bCs/>
        </w:rPr>
        <w:t xml:space="preserve">As provided in </w:t>
      </w:r>
      <w:r w:rsidRPr="00C443F5">
        <w:rPr>
          <w:b/>
          <w:bCs/>
        </w:rPr>
        <w:t>Table-29</w:t>
      </w:r>
      <w:r w:rsidRPr="00C443F5">
        <w:rPr>
          <w:bCs/>
        </w:rPr>
        <w:t xml:space="preserve"> below, the Staff has an analysis of the USF project planning as provided in O.C.G.A. 46-4-161(b)(1)(2). The Staff included the 2024 projected expenditures for the Regulated Provider and Low-Income Assistance consistent with O.C.G.A. 46-4-161(b)(1). Then the Staff included proposed AGL line-extensions as provided in O.C.G.A. 46-4-161(b)(2). The Residential projects use Rule-7 System Wide Averages for USF </w:t>
      </w:r>
      <w:proofErr w:type="gramStart"/>
      <w:r w:rsidRPr="00C443F5">
        <w:rPr>
          <w:bCs/>
        </w:rPr>
        <w:t>recovery</w:t>
      </w:r>
      <w:proofErr w:type="gramEnd"/>
      <w:r w:rsidRPr="00C443F5">
        <w:rPr>
          <w:bCs/>
        </w:rPr>
        <w:t xml:space="preserve"> and the Commercial projects use engineering estimates, grossed up for income taxes and finance costs. The total USF </w:t>
      </w:r>
      <w:r w:rsidRPr="00C443F5">
        <w:rPr>
          <w:bCs/>
        </w:rPr>
        <w:lastRenderedPageBreak/>
        <w:t xml:space="preserve">planned expenditures amount is estimated at </w:t>
      </w:r>
      <w:r w:rsidRPr="00C443F5">
        <w:rPr>
          <w:b/>
          <w:bCs/>
        </w:rPr>
        <w:t>$21.7 million</w:t>
      </w:r>
      <w:r w:rsidRPr="00C443F5">
        <w:rPr>
          <w:bCs/>
        </w:rPr>
        <w:t xml:space="preserve"> leaving </w:t>
      </w:r>
      <w:r w:rsidRPr="00C443F5">
        <w:rPr>
          <w:b/>
          <w:bCs/>
        </w:rPr>
        <w:t>$3.2 million</w:t>
      </w:r>
      <w:r w:rsidRPr="00C443F5">
        <w:rPr>
          <w:bCs/>
        </w:rPr>
        <w:t xml:space="preserve"> remaining of the 2024 </w:t>
      </w:r>
      <w:r w:rsidRPr="00C443F5">
        <w:rPr>
          <w:b/>
          <w:bCs/>
        </w:rPr>
        <w:t>$25 million</w:t>
      </w:r>
      <w:r w:rsidRPr="00C443F5">
        <w:rPr>
          <w:bCs/>
        </w:rPr>
        <w:t xml:space="preserve"> cap. </w:t>
      </w:r>
    </w:p>
    <w:p w14:paraId="36F5CF71" w14:textId="77777777" w:rsidR="00C443F5" w:rsidRPr="00C443F5" w:rsidRDefault="00C443F5" w:rsidP="00C443F5">
      <w:pPr>
        <w:ind w:firstLine="720"/>
        <w:contextualSpacing/>
        <w:jc w:val="both"/>
        <w:rPr>
          <w:bCs/>
        </w:rPr>
      </w:pPr>
    </w:p>
    <w:p w14:paraId="0F23EF28" w14:textId="77777777" w:rsidR="00C443F5" w:rsidRPr="00C443F5" w:rsidRDefault="00C443F5" w:rsidP="00C443F5">
      <w:pPr>
        <w:ind w:firstLine="720"/>
        <w:contextualSpacing/>
        <w:jc w:val="both"/>
        <w:rPr>
          <w:bCs/>
        </w:rPr>
      </w:pPr>
      <w:r w:rsidRPr="00C443F5">
        <w:rPr>
          <w:bCs/>
        </w:rPr>
        <w:t xml:space="preserve">When comparing the </w:t>
      </w:r>
      <w:r w:rsidRPr="00C443F5">
        <w:rPr>
          <w:b/>
          <w:bCs/>
        </w:rPr>
        <w:t>Table-29a</w:t>
      </w:r>
      <w:r w:rsidRPr="00C443F5">
        <w:rPr>
          <w:bCs/>
        </w:rPr>
        <w:t xml:space="preserve"> activity with the </w:t>
      </w:r>
      <w:r w:rsidRPr="00C443F5">
        <w:rPr>
          <w:b/>
          <w:bCs/>
        </w:rPr>
        <w:t>Table-27</w:t>
      </w:r>
      <w:r w:rsidRPr="00C443F5">
        <w:rPr>
          <w:bCs/>
        </w:rPr>
        <w:t xml:space="preserve"> USF unencumbered funds, the USF begins with $35 million in unencumbered funds. The ending estimated USF 2024 Plan encumbered dollars would be </w:t>
      </w:r>
      <w:r w:rsidRPr="00C443F5">
        <w:rPr>
          <w:b/>
          <w:bCs/>
        </w:rPr>
        <w:t>$21.7 million</w:t>
      </w:r>
      <w:r w:rsidRPr="00C443F5">
        <w:rPr>
          <w:bCs/>
        </w:rPr>
        <w:t xml:space="preserve">. This would </w:t>
      </w:r>
      <w:r w:rsidRPr="00C443F5">
        <w:rPr>
          <w:b/>
          <w:bCs/>
        </w:rPr>
        <w:t>leave $13.2 million</w:t>
      </w:r>
      <w:r w:rsidRPr="00C443F5">
        <w:rPr>
          <w:bCs/>
        </w:rPr>
        <w:t xml:space="preserve"> unencumbered for future projects. This dollar amount would increase each month as deposits are received. In </w:t>
      </w:r>
      <w:r w:rsidRPr="00C443F5">
        <w:rPr>
          <w:b/>
          <w:bCs/>
        </w:rPr>
        <w:t xml:space="preserve">Table-29b </w:t>
      </w:r>
      <w:r w:rsidRPr="00C443F5">
        <w:rPr>
          <w:bCs/>
        </w:rPr>
        <w:t xml:space="preserve">below, this is the total of the USF 2024 planned estimates if the line-extension projects were approved. In Table-29c below, the Athens-Clark County Project can be funded by the ECON-1 tariff in the amount of </w:t>
      </w:r>
      <w:r w:rsidRPr="00C443F5">
        <w:rPr>
          <w:b/>
          <w:bCs/>
        </w:rPr>
        <w:t>$1,321,203</w:t>
      </w:r>
      <w:r w:rsidRPr="00C443F5">
        <w:rPr>
          <w:bCs/>
        </w:rPr>
        <w:t xml:space="preserve">. The ECON-1 tariff has an annual limit of </w:t>
      </w:r>
      <w:r w:rsidRPr="00C443F5">
        <w:rPr>
          <w:b/>
          <w:bCs/>
        </w:rPr>
        <w:t>$25 million</w:t>
      </w:r>
      <w:r w:rsidRPr="00C443F5">
        <w:rPr>
          <w:bCs/>
        </w:rPr>
        <w:t xml:space="preserve">. If the Athens-Clark County Project were approved, the remaining balance would be </w:t>
      </w:r>
      <w:r w:rsidRPr="00C443F5">
        <w:rPr>
          <w:b/>
          <w:bCs/>
        </w:rPr>
        <w:t>$23.6 million</w:t>
      </w:r>
      <w:r w:rsidRPr="00C443F5">
        <w:rPr>
          <w:bCs/>
        </w:rPr>
        <w:t xml:space="preserve"> for the year 2024.</w:t>
      </w:r>
    </w:p>
    <w:bookmarkEnd w:id="1"/>
    <w:p w14:paraId="709A817C" w14:textId="77777777" w:rsidR="00C443F5" w:rsidRPr="00C443F5" w:rsidRDefault="00C443F5" w:rsidP="00C443F5">
      <w:pPr>
        <w:spacing w:after="200"/>
        <w:contextualSpacing/>
        <w:rPr>
          <w:b/>
          <w:snapToGrid w:val="0"/>
        </w:rPr>
      </w:pPr>
    </w:p>
    <w:p w14:paraId="72665579" w14:textId="77777777" w:rsidR="00C443F5" w:rsidRPr="00C443F5" w:rsidRDefault="00C443F5" w:rsidP="00C443F5">
      <w:pPr>
        <w:spacing w:after="200"/>
        <w:contextualSpacing/>
        <w:rPr>
          <w:b/>
          <w:snapToGrid w:val="0"/>
        </w:rPr>
      </w:pPr>
      <w:bookmarkStart w:id="2" w:name="_Hlk153201979"/>
      <w:r w:rsidRPr="00C443F5">
        <w:rPr>
          <w:b/>
          <w:snapToGrid w:val="0"/>
        </w:rPr>
        <w:t>Table-29a: USF Project Funding Analysis</w:t>
      </w:r>
    </w:p>
    <w:bookmarkEnd w:id="2"/>
    <w:tbl>
      <w:tblPr>
        <w:tblW w:w="8542" w:type="dxa"/>
        <w:tblLook w:val="04A0" w:firstRow="1" w:lastRow="0" w:firstColumn="1" w:lastColumn="0" w:noHBand="0" w:noVBand="1"/>
      </w:tblPr>
      <w:tblGrid>
        <w:gridCol w:w="1940"/>
        <w:gridCol w:w="1780"/>
        <w:gridCol w:w="1500"/>
        <w:gridCol w:w="1420"/>
        <w:gridCol w:w="222"/>
        <w:gridCol w:w="1680"/>
      </w:tblGrid>
      <w:tr w:rsidR="00C443F5" w:rsidRPr="00C443F5" w14:paraId="6590ED3E" w14:textId="77777777" w:rsidTr="00397B51">
        <w:trPr>
          <w:trHeight w:val="450"/>
        </w:trPr>
        <w:tc>
          <w:tcPr>
            <w:tcW w:w="1940" w:type="dxa"/>
            <w:tcBorders>
              <w:top w:val="nil"/>
              <w:left w:val="nil"/>
              <w:bottom w:val="nil"/>
              <w:right w:val="nil"/>
            </w:tcBorders>
            <w:shd w:val="clear" w:color="auto" w:fill="auto"/>
            <w:noWrap/>
            <w:vAlign w:val="bottom"/>
            <w:hideMark/>
          </w:tcPr>
          <w:p w14:paraId="5AEA04A8" w14:textId="77777777" w:rsidR="00C443F5" w:rsidRPr="00C443F5" w:rsidRDefault="00C443F5" w:rsidP="00C443F5">
            <w:pPr>
              <w:rPr>
                <w:sz w:val="20"/>
                <w:szCs w:val="20"/>
              </w:rPr>
            </w:pPr>
          </w:p>
        </w:tc>
        <w:tc>
          <w:tcPr>
            <w:tcW w:w="1780" w:type="dxa"/>
            <w:tcBorders>
              <w:top w:val="nil"/>
              <w:left w:val="nil"/>
              <w:bottom w:val="nil"/>
              <w:right w:val="nil"/>
            </w:tcBorders>
            <w:shd w:val="clear" w:color="auto" w:fill="auto"/>
            <w:noWrap/>
            <w:vAlign w:val="bottom"/>
            <w:hideMark/>
          </w:tcPr>
          <w:p w14:paraId="5EC18B0E" w14:textId="77777777" w:rsidR="00C443F5" w:rsidRPr="00C443F5" w:rsidRDefault="00C443F5" w:rsidP="00C443F5">
            <w:pPr>
              <w:rPr>
                <w:sz w:val="20"/>
                <w:szCs w:val="20"/>
              </w:rPr>
            </w:pPr>
          </w:p>
        </w:tc>
        <w:tc>
          <w:tcPr>
            <w:tcW w:w="1500" w:type="dxa"/>
            <w:tcBorders>
              <w:top w:val="nil"/>
              <w:left w:val="nil"/>
              <w:bottom w:val="nil"/>
              <w:right w:val="nil"/>
            </w:tcBorders>
            <w:shd w:val="clear" w:color="auto" w:fill="auto"/>
            <w:noWrap/>
            <w:vAlign w:val="bottom"/>
            <w:hideMark/>
          </w:tcPr>
          <w:p w14:paraId="420072C0" w14:textId="77777777" w:rsidR="00C443F5" w:rsidRPr="00C443F5" w:rsidRDefault="00C443F5" w:rsidP="00C443F5">
            <w:pPr>
              <w:rPr>
                <w:sz w:val="20"/>
                <w:szCs w:val="20"/>
              </w:rPr>
            </w:pPr>
          </w:p>
        </w:tc>
        <w:tc>
          <w:tcPr>
            <w:tcW w:w="1420" w:type="dxa"/>
            <w:tcBorders>
              <w:top w:val="nil"/>
              <w:left w:val="nil"/>
              <w:bottom w:val="nil"/>
              <w:right w:val="nil"/>
            </w:tcBorders>
            <w:shd w:val="clear" w:color="auto" w:fill="auto"/>
            <w:noWrap/>
            <w:vAlign w:val="bottom"/>
            <w:hideMark/>
          </w:tcPr>
          <w:p w14:paraId="263F0159" w14:textId="77777777" w:rsidR="00C443F5" w:rsidRPr="00C443F5" w:rsidRDefault="00C443F5" w:rsidP="00C443F5">
            <w:pPr>
              <w:rPr>
                <w:sz w:val="20"/>
                <w:szCs w:val="20"/>
              </w:rPr>
            </w:pPr>
          </w:p>
        </w:tc>
        <w:tc>
          <w:tcPr>
            <w:tcW w:w="222" w:type="dxa"/>
            <w:vMerge w:val="restart"/>
            <w:tcBorders>
              <w:top w:val="nil"/>
              <w:left w:val="nil"/>
              <w:bottom w:val="nil"/>
              <w:right w:val="nil"/>
            </w:tcBorders>
            <w:vAlign w:val="center"/>
            <w:hideMark/>
          </w:tcPr>
          <w:p w14:paraId="5A2385C0" w14:textId="77777777" w:rsidR="00C443F5" w:rsidRPr="00C443F5" w:rsidRDefault="00C443F5" w:rsidP="00C443F5">
            <w:pPr>
              <w:rPr>
                <w:sz w:val="20"/>
                <w:szCs w:val="20"/>
              </w:rPr>
            </w:pPr>
          </w:p>
        </w:tc>
        <w:tc>
          <w:tcPr>
            <w:tcW w:w="1680" w:type="dxa"/>
            <w:tcBorders>
              <w:top w:val="nil"/>
              <w:left w:val="nil"/>
              <w:bottom w:val="nil"/>
              <w:right w:val="nil"/>
            </w:tcBorders>
            <w:shd w:val="clear" w:color="auto" w:fill="auto"/>
            <w:noWrap/>
            <w:vAlign w:val="bottom"/>
            <w:hideMark/>
          </w:tcPr>
          <w:p w14:paraId="1FCF0F76" w14:textId="77777777" w:rsidR="00C443F5" w:rsidRPr="00C443F5" w:rsidRDefault="00C443F5" w:rsidP="00C443F5">
            <w:pPr>
              <w:rPr>
                <w:sz w:val="20"/>
                <w:szCs w:val="20"/>
              </w:rPr>
            </w:pPr>
          </w:p>
        </w:tc>
      </w:tr>
      <w:tr w:rsidR="00C443F5" w:rsidRPr="00C443F5" w14:paraId="2D305019" w14:textId="77777777" w:rsidTr="00397B51">
        <w:trPr>
          <w:trHeight w:val="570"/>
        </w:trPr>
        <w:tc>
          <w:tcPr>
            <w:tcW w:w="1940" w:type="dxa"/>
            <w:tcBorders>
              <w:top w:val="nil"/>
              <w:left w:val="nil"/>
              <w:bottom w:val="nil"/>
              <w:right w:val="nil"/>
            </w:tcBorders>
            <w:shd w:val="clear" w:color="auto" w:fill="auto"/>
            <w:noWrap/>
            <w:vAlign w:val="bottom"/>
            <w:hideMark/>
          </w:tcPr>
          <w:p w14:paraId="03EA5964" w14:textId="77777777" w:rsidR="00C443F5" w:rsidRPr="00C443F5" w:rsidRDefault="00C443F5" w:rsidP="00C443F5">
            <w:pPr>
              <w:rPr>
                <w:sz w:val="20"/>
                <w:szCs w:val="20"/>
              </w:rPr>
            </w:pPr>
          </w:p>
        </w:tc>
        <w:tc>
          <w:tcPr>
            <w:tcW w:w="1780" w:type="dxa"/>
            <w:tcBorders>
              <w:top w:val="nil"/>
              <w:left w:val="nil"/>
              <w:bottom w:val="nil"/>
              <w:right w:val="nil"/>
            </w:tcBorders>
            <w:shd w:val="clear" w:color="auto" w:fill="auto"/>
            <w:noWrap/>
            <w:vAlign w:val="bottom"/>
            <w:hideMark/>
          </w:tcPr>
          <w:p w14:paraId="5073FA17" w14:textId="77777777" w:rsidR="00C443F5" w:rsidRPr="00C443F5" w:rsidRDefault="00C443F5" w:rsidP="00C443F5">
            <w:pPr>
              <w:rPr>
                <w:sz w:val="20"/>
                <w:szCs w:val="20"/>
              </w:rPr>
            </w:pPr>
          </w:p>
        </w:tc>
        <w:tc>
          <w:tcPr>
            <w:tcW w:w="1500" w:type="dxa"/>
            <w:tcBorders>
              <w:top w:val="nil"/>
              <w:left w:val="nil"/>
              <w:bottom w:val="nil"/>
              <w:right w:val="nil"/>
            </w:tcBorders>
            <w:shd w:val="clear" w:color="auto" w:fill="auto"/>
            <w:noWrap/>
            <w:vAlign w:val="bottom"/>
            <w:hideMark/>
          </w:tcPr>
          <w:p w14:paraId="0C4E1701" w14:textId="77777777" w:rsidR="00C443F5" w:rsidRPr="00C443F5" w:rsidRDefault="00C443F5" w:rsidP="00C443F5">
            <w:pPr>
              <w:rPr>
                <w:sz w:val="20"/>
                <w:szCs w:val="20"/>
              </w:rPr>
            </w:pPr>
          </w:p>
        </w:tc>
        <w:tc>
          <w:tcPr>
            <w:tcW w:w="1420" w:type="dxa"/>
            <w:tcBorders>
              <w:top w:val="nil"/>
              <w:left w:val="nil"/>
              <w:bottom w:val="nil"/>
              <w:right w:val="nil"/>
            </w:tcBorders>
            <w:shd w:val="clear" w:color="auto" w:fill="auto"/>
            <w:noWrap/>
            <w:vAlign w:val="bottom"/>
            <w:hideMark/>
          </w:tcPr>
          <w:p w14:paraId="2AD54241" w14:textId="77777777" w:rsidR="00C443F5" w:rsidRPr="00C443F5" w:rsidRDefault="00C443F5" w:rsidP="00C443F5">
            <w:pPr>
              <w:rPr>
                <w:sz w:val="20"/>
                <w:szCs w:val="20"/>
              </w:rPr>
            </w:pPr>
          </w:p>
        </w:tc>
        <w:tc>
          <w:tcPr>
            <w:tcW w:w="222" w:type="dxa"/>
            <w:vMerge/>
            <w:tcBorders>
              <w:top w:val="nil"/>
              <w:left w:val="nil"/>
              <w:bottom w:val="nil"/>
              <w:right w:val="nil"/>
            </w:tcBorders>
            <w:vAlign w:val="center"/>
            <w:hideMark/>
          </w:tcPr>
          <w:p w14:paraId="525B76A1" w14:textId="77777777" w:rsidR="00C443F5" w:rsidRPr="00C443F5" w:rsidRDefault="00C443F5" w:rsidP="00C443F5">
            <w:pPr>
              <w:rPr>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19E2CF1D"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USF Encumbered Funds</w:t>
            </w:r>
          </w:p>
        </w:tc>
      </w:tr>
      <w:tr w:rsidR="00C443F5" w:rsidRPr="00C443F5" w14:paraId="07C8A2B4" w14:textId="77777777" w:rsidTr="00397B51">
        <w:trPr>
          <w:trHeight w:val="450"/>
        </w:trPr>
        <w:tc>
          <w:tcPr>
            <w:tcW w:w="194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317D8A47"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2024: O.C.G.A. 46-4-166(b)(2)</w:t>
            </w:r>
          </w:p>
        </w:tc>
        <w:tc>
          <w:tcPr>
            <w:tcW w:w="3280" w:type="dxa"/>
            <w:gridSpan w:val="2"/>
            <w:tcBorders>
              <w:top w:val="single" w:sz="4" w:space="0" w:color="auto"/>
              <w:left w:val="nil"/>
              <w:bottom w:val="single" w:sz="4" w:space="0" w:color="auto"/>
              <w:right w:val="single" w:sz="4" w:space="0" w:color="auto"/>
            </w:tcBorders>
            <w:shd w:val="clear" w:color="000000" w:fill="00B050"/>
            <w:noWrap/>
            <w:vAlign w:val="center"/>
            <w:hideMark/>
          </w:tcPr>
          <w:p w14:paraId="382E8C4D"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Annual Approval Cap</w:t>
            </w:r>
          </w:p>
        </w:tc>
        <w:tc>
          <w:tcPr>
            <w:tcW w:w="1420" w:type="dxa"/>
            <w:tcBorders>
              <w:top w:val="single" w:sz="4" w:space="0" w:color="auto"/>
              <w:left w:val="nil"/>
              <w:bottom w:val="single" w:sz="4" w:space="0" w:color="auto"/>
              <w:right w:val="single" w:sz="4" w:space="0" w:color="auto"/>
            </w:tcBorders>
            <w:shd w:val="clear" w:color="000000" w:fill="00B050"/>
            <w:noWrap/>
            <w:vAlign w:val="center"/>
            <w:hideMark/>
          </w:tcPr>
          <w:p w14:paraId="6CC93CE3"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$25,000,000.00 </w:t>
            </w:r>
          </w:p>
        </w:tc>
        <w:tc>
          <w:tcPr>
            <w:tcW w:w="222" w:type="dxa"/>
            <w:tcBorders>
              <w:top w:val="nil"/>
              <w:left w:val="nil"/>
              <w:bottom w:val="nil"/>
              <w:right w:val="nil"/>
            </w:tcBorders>
            <w:shd w:val="clear" w:color="auto" w:fill="auto"/>
            <w:noWrap/>
            <w:vAlign w:val="bottom"/>
            <w:hideMark/>
          </w:tcPr>
          <w:p w14:paraId="7F31C546" w14:textId="77777777" w:rsidR="00C443F5" w:rsidRPr="00C443F5" w:rsidRDefault="00C443F5" w:rsidP="00C443F5">
            <w:pPr>
              <w:jc w:val="right"/>
              <w:rPr>
                <w:rFonts w:ascii="Arial" w:hAnsi="Arial" w:cs="Arial"/>
                <w:b/>
                <w:bCs/>
                <w:color w:val="000000"/>
                <w:sz w:val="16"/>
                <w:szCs w:val="16"/>
              </w:rPr>
            </w:pPr>
          </w:p>
        </w:tc>
        <w:tc>
          <w:tcPr>
            <w:tcW w:w="1680" w:type="dxa"/>
            <w:tcBorders>
              <w:top w:val="nil"/>
              <w:left w:val="single" w:sz="4" w:space="0" w:color="auto"/>
              <w:bottom w:val="single" w:sz="4" w:space="0" w:color="auto"/>
              <w:right w:val="single" w:sz="4" w:space="0" w:color="auto"/>
            </w:tcBorders>
            <w:shd w:val="clear" w:color="000000" w:fill="00B050"/>
            <w:noWrap/>
            <w:vAlign w:val="center"/>
            <w:hideMark/>
          </w:tcPr>
          <w:p w14:paraId="336A1587"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$35,025,656.96 </w:t>
            </w:r>
          </w:p>
        </w:tc>
      </w:tr>
      <w:tr w:rsidR="00C443F5" w:rsidRPr="00C443F5" w14:paraId="0302D1CE" w14:textId="77777777" w:rsidTr="00397B51">
        <w:trPr>
          <w:trHeight w:val="315"/>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371691E2" w14:textId="77777777" w:rsidR="00C443F5" w:rsidRPr="00C443F5" w:rsidRDefault="00C443F5" w:rsidP="00C443F5">
            <w:pPr>
              <w:rPr>
                <w:rFonts w:ascii="Arial" w:hAnsi="Arial" w:cs="Arial"/>
                <w:bCs/>
                <w:color w:val="000000"/>
                <w:sz w:val="16"/>
                <w:szCs w:val="16"/>
              </w:rPr>
            </w:pPr>
            <w:r w:rsidRPr="00C443F5">
              <w:rPr>
                <w:rFonts w:ascii="Arial" w:hAnsi="Arial" w:cs="Arial"/>
                <w:bCs/>
                <w:color w:val="000000"/>
                <w:sz w:val="16"/>
                <w:szCs w:val="16"/>
              </w:rPr>
              <w:t xml:space="preserve">Regulated Provider </w:t>
            </w:r>
          </w:p>
        </w:tc>
        <w:tc>
          <w:tcPr>
            <w:tcW w:w="1780" w:type="dxa"/>
            <w:tcBorders>
              <w:top w:val="nil"/>
              <w:left w:val="nil"/>
              <w:bottom w:val="single" w:sz="4" w:space="0" w:color="auto"/>
              <w:right w:val="single" w:sz="4" w:space="0" w:color="auto"/>
            </w:tcBorders>
            <w:shd w:val="clear" w:color="auto" w:fill="auto"/>
            <w:vAlign w:val="center"/>
            <w:hideMark/>
          </w:tcPr>
          <w:p w14:paraId="77E7514E"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center"/>
            <w:hideMark/>
          </w:tcPr>
          <w:p w14:paraId="0027251C"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$627,489.25 </w:t>
            </w:r>
          </w:p>
        </w:tc>
        <w:tc>
          <w:tcPr>
            <w:tcW w:w="1420" w:type="dxa"/>
            <w:tcBorders>
              <w:top w:val="nil"/>
              <w:left w:val="nil"/>
              <w:bottom w:val="single" w:sz="4" w:space="0" w:color="auto"/>
              <w:right w:val="single" w:sz="4" w:space="0" w:color="auto"/>
            </w:tcBorders>
            <w:shd w:val="clear" w:color="auto" w:fill="auto"/>
            <w:noWrap/>
            <w:vAlign w:val="center"/>
            <w:hideMark/>
          </w:tcPr>
          <w:p w14:paraId="78C75BBD"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$24,372,510.75 </w:t>
            </w:r>
          </w:p>
        </w:tc>
        <w:tc>
          <w:tcPr>
            <w:tcW w:w="222" w:type="dxa"/>
            <w:tcBorders>
              <w:top w:val="nil"/>
              <w:left w:val="nil"/>
              <w:bottom w:val="nil"/>
              <w:right w:val="nil"/>
            </w:tcBorders>
            <w:shd w:val="clear" w:color="auto" w:fill="auto"/>
            <w:noWrap/>
            <w:vAlign w:val="bottom"/>
            <w:hideMark/>
          </w:tcPr>
          <w:p w14:paraId="13176730" w14:textId="77777777" w:rsidR="00C443F5" w:rsidRPr="00C443F5" w:rsidRDefault="00C443F5" w:rsidP="00C443F5">
            <w:pPr>
              <w:jc w:val="right"/>
              <w:rPr>
                <w:rFonts w:ascii="Arial" w:hAnsi="Arial" w:cs="Arial"/>
                <w:color w:val="000000"/>
                <w:sz w:val="16"/>
                <w:szCs w:val="16"/>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03DE522A"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$34,398,167.71 </w:t>
            </w:r>
          </w:p>
        </w:tc>
      </w:tr>
      <w:tr w:rsidR="00C443F5" w:rsidRPr="00C443F5" w14:paraId="5C6D6A8B" w14:textId="77777777" w:rsidTr="00397B51">
        <w:trPr>
          <w:trHeight w:val="675"/>
        </w:trPr>
        <w:tc>
          <w:tcPr>
            <w:tcW w:w="1940" w:type="dxa"/>
            <w:tcBorders>
              <w:top w:val="nil"/>
              <w:left w:val="single" w:sz="4" w:space="0" w:color="auto"/>
              <w:bottom w:val="single" w:sz="4" w:space="0" w:color="auto"/>
              <w:right w:val="single" w:sz="4" w:space="0" w:color="auto"/>
            </w:tcBorders>
            <w:shd w:val="clear" w:color="auto" w:fill="auto"/>
            <w:vAlign w:val="center"/>
            <w:hideMark/>
          </w:tcPr>
          <w:p w14:paraId="1E377653" w14:textId="77777777" w:rsidR="00C443F5" w:rsidRPr="00C443F5" w:rsidRDefault="00C443F5" w:rsidP="00C443F5">
            <w:pPr>
              <w:rPr>
                <w:rFonts w:ascii="Arial" w:hAnsi="Arial" w:cs="Arial"/>
                <w:bCs/>
                <w:color w:val="000000"/>
                <w:sz w:val="16"/>
                <w:szCs w:val="16"/>
              </w:rPr>
            </w:pPr>
            <w:r w:rsidRPr="00C443F5">
              <w:rPr>
                <w:rFonts w:ascii="Arial" w:hAnsi="Arial" w:cs="Arial"/>
                <w:bCs/>
                <w:color w:val="000000"/>
                <w:sz w:val="16"/>
                <w:szCs w:val="16"/>
              </w:rPr>
              <w:t>Low-Income Assistance: Salvation Army</w:t>
            </w:r>
          </w:p>
        </w:tc>
        <w:tc>
          <w:tcPr>
            <w:tcW w:w="1780" w:type="dxa"/>
            <w:tcBorders>
              <w:top w:val="nil"/>
              <w:left w:val="nil"/>
              <w:bottom w:val="single" w:sz="4" w:space="0" w:color="auto"/>
              <w:right w:val="single" w:sz="4" w:space="0" w:color="auto"/>
            </w:tcBorders>
            <w:shd w:val="clear" w:color="auto" w:fill="auto"/>
            <w:vAlign w:val="center"/>
            <w:hideMark/>
          </w:tcPr>
          <w:p w14:paraId="50C30141"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 </w:t>
            </w:r>
          </w:p>
        </w:tc>
        <w:tc>
          <w:tcPr>
            <w:tcW w:w="1500" w:type="dxa"/>
            <w:tcBorders>
              <w:top w:val="nil"/>
              <w:left w:val="nil"/>
              <w:bottom w:val="single" w:sz="4" w:space="0" w:color="auto"/>
              <w:right w:val="single" w:sz="4" w:space="0" w:color="auto"/>
            </w:tcBorders>
            <w:shd w:val="clear" w:color="auto" w:fill="auto"/>
            <w:noWrap/>
            <w:vAlign w:val="center"/>
            <w:hideMark/>
          </w:tcPr>
          <w:p w14:paraId="641406CF"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$660,000.00 </w:t>
            </w:r>
          </w:p>
        </w:tc>
        <w:tc>
          <w:tcPr>
            <w:tcW w:w="1420" w:type="dxa"/>
            <w:tcBorders>
              <w:top w:val="nil"/>
              <w:left w:val="nil"/>
              <w:bottom w:val="single" w:sz="4" w:space="0" w:color="auto"/>
              <w:right w:val="single" w:sz="4" w:space="0" w:color="auto"/>
            </w:tcBorders>
            <w:shd w:val="clear" w:color="auto" w:fill="auto"/>
            <w:noWrap/>
            <w:vAlign w:val="center"/>
            <w:hideMark/>
          </w:tcPr>
          <w:p w14:paraId="6F561820"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$23,712,510.75 </w:t>
            </w:r>
          </w:p>
        </w:tc>
        <w:tc>
          <w:tcPr>
            <w:tcW w:w="222" w:type="dxa"/>
            <w:tcBorders>
              <w:top w:val="nil"/>
              <w:left w:val="nil"/>
              <w:bottom w:val="nil"/>
              <w:right w:val="nil"/>
            </w:tcBorders>
            <w:shd w:val="clear" w:color="auto" w:fill="auto"/>
            <w:noWrap/>
            <w:vAlign w:val="bottom"/>
            <w:hideMark/>
          </w:tcPr>
          <w:p w14:paraId="54E8772A" w14:textId="77777777" w:rsidR="00C443F5" w:rsidRPr="00C443F5" w:rsidRDefault="00C443F5" w:rsidP="00C443F5">
            <w:pPr>
              <w:jc w:val="right"/>
              <w:rPr>
                <w:rFonts w:ascii="Arial" w:hAnsi="Arial" w:cs="Arial"/>
                <w:color w:val="000000"/>
                <w:sz w:val="16"/>
                <w:szCs w:val="16"/>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53063B1"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$33,738,167.71 </w:t>
            </w:r>
          </w:p>
        </w:tc>
      </w:tr>
      <w:tr w:rsidR="00C443F5" w:rsidRPr="00C443F5" w14:paraId="7713917D" w14:textId="77777777" w:rsidTr="00397B51">
        <w:trPr>
          <w:trHeight w:val="67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6C9D5067"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Jackson County Project</w:t>
            </w:r>
          </w:p>
        </w:tc>
        <w:tc>
          <w:tcPr>
            <w:tcW w:w="1780" w:type="dxa"/>
            <w:tcBorders>
              <w:top w:val="nil"/>
              <w:left w:val="nil"/>
              <w:bottom w:val="single" w:sz="4" w:space="0" w:color="auto"/>
              <w:right w:val="single" w:sz="4" w:space="0" w:color="auto"/>
            </w:tcBorders>
            <w:shd w:val="clear" w:color="auto" w:fill="auto"/>
            <w:vAlign w:val="center"/>
            <w:hideMark/>
          </w:tcPr>
          <w:p w14:paraId="6A226D8F"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Engineering Estimates w/Gross Ups</w:t>
            </w:r>
          </w:p>
        </w:tc>
        <w:tc>
          <w:tcPr>
            <w:tcW w:w="1500" w:type="dxa"/>
            <w:tcBorders>
              <w:top w:val="nil"/>
              <w:left w:val="nil"/>
              <w:bottom w:val="single" w:sz="4" w:space="0" w:color="auto"/>
              <w:right w:val="single" w:sz="4" w:space="0" w:color="auto"/>
            </w:tcBorders>
            <w:shd w:val="clear" w:color="auto" w:fill="auto"/>
            <w:noWrap/>
            <w:vAlign w:val="center"/>
            <w:hideMark/>
          </w:tcPr>
          <w:p w14:paraId="45D207C0"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$150,663.00 </w:t>
            </w:r>
          </w:p>
        </w:tc>
        <w:tc>
          <w:tcPr>
            <w:tcW w:w="1420" w:type="dxa"/>
            <w:tcBorders>
              <w:top w:val="nil"/>
              <w:left w:val="nil"/>
              <w:bottom w:val="single" w:sz="4" w:space="0" w:color="auto"/>
              <w:right w:val="single" w:sz="4" w:space="0" w:color="auto"/>
            </w:tcBorders>
            <w:shd w:val="clear" w:color="auto" w:fill="auto"/>
            <w:noWrap/>
            <w:vAlign w:val="center"/>
            <w:hideMark/>
          </w:tcPr>
          <w:p w14:paraId="258033CF"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$23,561,847.75 </w:t>
            </w:r>
          </w:p>
        </w:tc>
        <w:tc>
          <w:tcPr>
            <w:tcW w:w="222" w:type="dxa"/>
            <w:tcBorders>
              <w:top w:val="nil"/>
              <w:left w:val="nil"/>
              <w:bottom w:val="nil"/>
              <w:right w:val="nil"/>
            </w:tcBorders>
            <w:shd w:val="clear" w:color="auto" w:fill="auto"/>
            <w:noWrap/>
            <w:vAlign w:val="bottom"/>
            <w:hideMark/>
          </w:tcPr>
          <w:p w14:paraId="4250449F" w14:textId="77777777" w:rsidR="00C443F5" w:rsidRPr="00C443F5" w:rsidRDefault="00C443F5" w:rsidP="00C443F5">
            <w:pPr>
              <w:jc w:val="right"/>
              <w:rPr>
                <w:rFonts w:ascii="Arial" w:hAnsi="Arial" w:cs="Arial"/>
                <w:color w:val="000000"/>
                <w:sz w:val="16"/>
                <w:szCs w:val="16"/>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1C6558FD"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$33,587,504.71 </w:t>
            </w:r>
          </w:p>
        </w:tc>
      </w:tr>
      <w:tr w:rsidR="00C443F5" w:rsidRPr="00C443F5" w14:paraId="07C2616B" w14:textId="77777777" w:rsidTr="00397B51">
        <w:trPr>
          <w:trHeight w:val="45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4C14F5D"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Glynn County Project #1</w:t>
            </w:r>
          </w:p>
        </w:tc>
        <w:tc>
          <w:tcPr>
            <w:tcW w:w="1780" w:type="dxa"/>
            <w:tcBorders>
              <w:top w:val="nil"/>
              <w:left w:val="nil"/>
              <w:bottom w:val="single" w:sz="4" w:space="0" w:color="auto"/>
              <w:right w:val="single" w:sz="4" w:space="0" w:color="auto"/>
            </w:tcBorders>
            <w:shd w:val="clear" w:color="auto" w:fill="auto"/>
            <w:vAlign w:val="center"/>
            <w:hideMark/>
          </w:tcPr>
          <w:p w14:paraId="470E6C71"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Rule-7 Shortfall w/Gross Ups</w:t>
            </w:r>
          </w:p>
        </w:tc>
        <w:tc>
          <w:tcPr>
            <w:tcW w:w="1500" w:type="dxa"/>
            <w:tcBorders>
              <w:top w:val="nil"/>
              <w:left w:val="nil"/>
              <w:bottom w:val="single" w:sz="4" w:space="0" w:color="auto"/>
              <w:right w:val="single" w:sz="4" w:space="0" w:color="auto"/>
            </w:tcBorders>
            <w:shd w:val="clear" w:color="auto" w:fill="auto"/>
            <w:noWrap/>
            <w:vAlign w:val="center"/>
            <w:hideMark/>
          </w:tcPr>
          <w:p w14:paraId="0F62F3BC"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$469,085.00 </w:t>
            </w:r>
          </w:p>
        </w:tc>
        <w:tc>
          <w:tcPr>
            <w:tcW w:w="1420" w:type="dxa"/>
            <w:tcBorders>
              <w:top w:val="nil"/>
              <w:left w:val="nil"/>
              <w:bottom w:val="single" w:sz="4" w:space="0" w:color="auto"/>
              <w:right w:val="single" w:sz="4" w:space="0" w:color="auto"/>
            </w:tcBorders>
            <w:shd w:val="clear" w:color="auto" w:fill="auto"/>
            <w:noWrap/>
            <w:vAlign w:val="center"/>
            <w:hideMark/>
          </w:tcPr>
          <w:p w14:paraId="622D2E1D"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$23,092,762.75 </w:t>
            </w:r>
          </w:p>
        </w:tc>
        <w:tc>
          <w:tcPr>
            <w:tcW w:w="222" w:type="dxa"/>
            <w:tcBorders>
              <w:top w:val="nil"/>
              <w:left w:val="nil"/>
              <w:bottom w:val="nil"/>
              <w:right w:val="nil"/>
            </w:tcBorders>
            <w:shd w:val="clear" w:color="auto" w:fill="auto"/>
            <w:noWrap/>
            <w:vAlign w:val="bottom"/>
            <w:hideMark/>
          </w:tcPr>
          <w:p w14:paraId="7A4EFEED" w14:textId="77777777" w:rsidR="00C443F5" w:rsidRPr="00C443F5" w:rsidRDefault="00C443F5" w:rsidP="00C443F5">
            <w:pPr>
              <w:jc w:val="right"/>
              <w:rPr>
                <w:rFonts w:ascii="Arial" w:hAnsi="Arial" w:cs="Arial"/>
                <w:color w:val="000000"/>
                <w:sz w:val="16"/>
                <w:szCs w:val="16"/>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4396B59F"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$33,118,419.71 </w:t>
            </w:r>
          </w:p>
        </w:tc>
      </w:tr>
      <w:tr w:rsidR="00C443F5" w:rsidRPr="00C443F5" w14:paraId="47844D77" w14:textId="77777777" w:rsidTr="00397B51">
        <w:trPr>
          <w:trHeight w:val="45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471FF261"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Glynn County Project #2</w:t>
            </w:r>
          </w:p>
        </w:tc>
        <w:tc>
          <w:tcPr>
            <w:tcW w:w="1780" w:type="dxa"/>
            <w:tcBorders>
              <w:top w:val="nil"/>
              <w:left w:val="nil"/>
              <w:bottom w:val="single" w:sz="4" w:space="0" w:color="auto"/>
              <w:right w:val="single" w:sz="4" w:space="0" w:color="auto"/>
            </w:tcBorders>
            <w:shd w:val="clear" w:color="auto" w:fill="auto"/>
            <w:vAlign w:val="center"/>
            <w:hideMark/>
          </w:tcPr>
          <w:p w14:paraId="2FA24908"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Rule-7 Shortfall w/Gross Ups</w:t>
            </w:r>
          </w:p>
        </w:tc>
        <w:tc>
          <w:tcPr>
            <w:tcW w:w="1500" w:type="dxa"/>
            <w:tcBorders>
              <w:top w:val="nil"/>
              <w:left w:val="nil"/>
              <w:bottom w:val="single" w:sz="4" w:space="0" w:color="auto"/>
              <w:right w:val="single" w:sz="4" w:space="0" w:color="auto"/>
            </w:tcBorders>
            <w:shd w:val="clear" w:color="auto" w:fill="auto"/>
            <w:noWrap/>
            <w:vAlign w:val="center"/>
            <w:hideMark/>
          </w:tcPr>
          <w:p w14:paraId="7FD890EB"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$177,424.00 </w:t>
            </w:r>
          </w:p>
        </w:tc>
        <w:tc>
          <w:tcPr>
            <w:tcW w:w="1420" w:type="dxa"/>
            <w:tcBorders>
              <w:top w:val="nil"/>
              <w:left w:val="nil"/>
              <w:bottom w:val="single" w:sz="4" w:space="0" w:color="auto"/>
              <w:right w:val="single" w:sz="4" w:space="0" w:color="auto"/>
            </w:tcBorders>
            <w:shd w:val="clear" w:color="auto" w:fill="auto"/>
            <w:noWrap/>
            <w:vAlign w:val="center"/>
            <w:hideMark/>
          </w:tcPr>
          <w:p w14:paraId="323C7F7B"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$22,915,338.75 </w:t>
            </w:r>
          </w:p>
        </w:tc>
        <w:tc>
          <w:tcPr>
            <w:tcW w:w="222" w:type="dxa"/>
            <w:tcBorders>
              <w:top w:val="nil"/>
              <w:left w:val="nil"/>
              <w:bottom w:val="nil"/>
              <w:right w:val="nil"/>
            </w:tcBorders>
            <w:shd w:val="clear" w:color="auto" w:fill="auto"/>
            <w:noWrap/>
            <w:vAlign w:val="bottom"/>
            <w:hideMark/>
          </w:tcPr>
          <w:p w14:paraId="55F3721E" w14:textId="77777777" w:rsidR="00C443F5" w:rsidRPr="00C443F5" w:rsidRDefault="00C443F5" w:rsidP="00C443F5">
            <w:pPr>
              <w:jc w:val="right"/>
              <w:rPr>
                <w:rFonts w:ascii="Arial" w:hAnsi="Arial" w:cs="Arial"/>
                <w:color w:val="000000"/>
                <w:sz w:val="16"/>
                <w:szCs w:val="16"/>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776DB9F8"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$32,940,995.71 </w:t>
            </w:r>
          </w:p>
        </w:tc>
      </w:tr>
      <w:tr w:rsidR="00C443F5" w:rsidRPr="00C443F5" w14:paraId="15B66F19" w14:textId="77777777" w:rsidTr="00397B51">
        <w:trPr>
          <w:trHeight w:val="450"/>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399C9723"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Cherokee County Project</w:t>
            </w:r>
          </w:p>
        </w:tc>
        <w:tc>
          <w:tcPr>
            <w:tcW w:w="1780" w:type="dxa"/>
            <w:tcBorders>
              <w:top w:val="nil"/>
              <w:left w:val="nil"/>
              <w:bottom w:val="single" w:sz="4" w:space="0" w:color="auto"/>
              <w:right w:val="single" w:sz="4" w:space="0" w:color="auto"/>
            </w:tcBorders>
            <w:shd w:val="clear" w:color="auto" w:fill="auto"/>
            <w:vAlign w:val="center"/>
            <w:hideMark/>
          </w:tcPr>
          <w:p w14:paraId="475EE970"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Rule-7 Shortfall w/Gross Ups</w:t>
            </w:r>
          </w:p>
        </w:tc>
        <w:tc>
          <w:tcPr>
            <w:tcW w:w="1500" w:type="dxa"/>
            <w:tcBorders>
              <w:top w:val="nil"/>
              <w:left w:val="nil"/>
              <w:bottom w:val="single" w:sz="4" w:space="0" w:color="auto"/>
              <w:right w:val="single" w:sz="4" w:space="0" w:color="auto"/>
            </w:tcBorders>
            <w:shd w:val="clear" w:color="auto" w:fill="auto"/>
            <w:noWrap/>
            <w:vAlign w:val="center"/>
            <w:hideMark/>
          </w:tcPr>
          <w:p w14:paraId="1F2E51B8"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$44,194.00 </w:t>
            </w:r>
          </w:p>
        </w:tc>
        <w:tc>
          <w:tcPr>
            <w:tcW w:w="1420" w:type="dxa"/>
            <w:tcBorders>
              <w:top w:val="nil"/>
              <w:left w:val="nil"/>
              <w:bottom w:val="single" w:sz="4" w:space="0" w:color="auto"/>
              <w:right w:val="single" w:sz="4" w:space="0" w:color="auto"/>
            </w:tcBorders>
            <w:shd w:val="clear" w:color="auto" w:fill="auto"/>
            <w:noWrap/>
            <w:vAlign w:val="center"/>
            <w:hideMark/>
          </w:tcPr>
          <w:p w14:paraId="4F01C620"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$22,871,144.75 </w:t>
            </w:r>
          </w:p>
        </w:tc>
        <w:tc>
          <w:tcPr>
            <w:tcW w:w="222" w:type="dxa"/>
            <w:tcBorders>
              <w:top w:val="nil"/>
              <w:left w:val="nil"/>
              <w:bottom w:val="nil"/>
              <w:right w:val="nil"/>
            </w:tcBorders>
            <w:shd w:val="clear" w:color="auto" w:fill="auto"/>
            <w:noWrap/>
            <w:vAlign w:val="bottom"/>
            <w:hideMark/>
          </w:tcPr>
          <w:p w14:paraId="121AA201" w14:textId="77777777" w:rsidR="00C443F5" w:rsidRPr="00C443F5" w:rsidRDefault="00C443F5" w:rsidP="00C443F5">
            <w:pPr>
              <w:jc w:val="right"/>
              <w:rPr>
                <w:rFonts w:ascii="Arial" w:hAnsi="Arial" w:cs="Arial"/>
                <w:color w:val="000000"/>
                <w:sz w:val="16"/>
                <w:szCs w:val="16"/>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22C5B4D1"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$32,896,801.71 </w:t>
            </w:r>
          </w:p>
        </w:tc>
      </w:tr>
      <w:tr w:rsidR="00C443F5" w:rsidRPr="00C443F5" w14:paraId="55DB5BE7" w14:textId="77777777" w:rsidTr="00397B51">
        <w:trPr>
          <w:trHeight w:val="675"/>
        </w:trPr>
        <w:tc>
          <w:tcPr>
            <w:tcW w:w="1940" w:type="dxa"/>
            <w:tcBorders>
              <w:top w:val="nil"/>
              <w:left w:val="single" w:sz="4" w:space="0" w:color="auto"/>
              <w:bottom w:val="single" w:sz="4" w:space="0" w:color="auto"/>
              <w:right w:val="single" w:sz="4" w:space="0" w:color="auto"/>
            </w:tcBorders>
            <w:shd w:val="clear" w:color="auto" w:fill="auto"/>
            <w:noWrap/>
            <w:vAlign w:val="center"/>
            <w:hideMark/>
          </w:tcPr>
          <w:p w14:paraId="12D0DC44"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McIntosh County Project</w:t>
            </w:r>
          </w:p>
        </w:tc>
        <w:tc>
          <w:tcPr>
            <w:tcW w:w="1780" w:type="dxa"/>
            <w:tcBorders>
              <w:top w:val="nil"/>
              <w:left w:val="nil"/>
              <w:bottom w:val="single" w:sz="4" w:space="0" w:color="auto"/>
              <w:right w:val="single" w:sz="4" w:space="0" w:color="auto"/>
            </w:tcBorders>
            <w:shd w:val="clear" w:color="auto" w:fill="auto"/>
            <w:vAlign w:val="center"/>
            <w:hideMark/>
          </w:tcPr>
          <w:p w14:paraId="719EC96F"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Engineering Estimates w/Gross Ups</w:t>
            </w:r>
          </w:p>
        </w:tc>
        <w:tc>
          <w:tcPr>
            <w:tcW w:w="1500" w:type="dxa"/>
            <w:tcBorders>
              <w:top w:val="nil"/>
              <w:left w:val="nil"/>
              <w:bottom w:val="single" w:sz="4" w:space="0" w:color="auto"/>
              <w:right w:val="single" w:sz="4" w:space="0" w:color="auto"/>
            </w:tcBorders>
            <w:shd w:val="clear" w:color="auto" w:fill="auto"/>
            <w:vAlign w:val="center"/>
            <w:hideMark/>
          </w:tcPr>
          <w:p w14:paraId="73A29205"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$19,657,977.00 </w:t>
            </w:r>
          </w:p>
        </w:tc>
        <w:tc>
          <w:tcPr>
            <w:tcW w:w="1420" w:type="dxa"/>
            <w:tcBorders>
              <w:top w:val="nil"/>
              <w:left w:val="nil"/>
              <w:bottom w:val="single" w:sz="4" w:space="0" w:color="auto"/>
              <w:right w:val="single" w:sz="4" w:space="0" w:color="auto"/>
            </w:tcBorders>
            <w:shd w:val="clear" w:color="auto" w:fill="auto"/>
            <w:noWrap/>
            <w:vAlign w:val="center"/>
            <w:hideMark/>
          </w:tcPr>
          <w:p w14:paraId="3EC8BCD5"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$3,213,167.75 </w:t>
            </w:r>
          </w:p>
        </w:tc>
        <w:tc>
          <w:tcPr>
            <w:tcW w:w="222" w:type="dxa"/>
            <w:tcBorders>
              <w:top w:val="nil"/>
              <w:left w:val="nil"/>
              <w:bottom w:val="nil"/>
              <w:right w:val="nil"/>
            </w:tcBorders>
            <w:shd w:val="clear" w:color="auto" w:fill="auto"/>
            <w:noWrap/>
            <w:vAlign w:val="bottom"/>
            <w:hideMark/>
          </w:tcPr>
          <w:p w14:paraId="36010A53" w14:textId="77777777" w:rsidR="00C443F5" w:rsidRPr="00C443F5" w:rsidRDefault="00C443F5" w:rsidP="00C443F5">
            <w:pPr>
              <w:jc w:val="right"/>
              <w:rPr>
                <w:rFonts w:ascii="Arial" w:hAnsi="Arial" w:cs="Arial"/>
                <w:color w:val="000000"/>
                <w:sz w:val="16"/>
                <w:szCs w:val="16"/>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60F5EEE9"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 xml:space="preserve">$13,238,824.71 </w:t>
            </w:r>
          </w:p>
        </w:tc>
      </w:tr>
      <w:tr w:rsidR="00C443F5" w:rsidRPr="00C443F5" w14:paraId="4E53433E" w14:textId="77777777" w:rsidTr="00397B51">
        <w:trPr>
          <w:trHeight w:val="315"/>
        </w:trPr>
        <w:tc>
          <w:tcPr>
            <w:tcW w:w="37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617F0A" w14:textId="77777777" w:rsidR="00C443F5" w:rsidRPr="00C443F5" w:rsidRDefault="00C443F5" w:rsidP="00C443F5">
            <w:pPr>
              <w:jc w:val="center"/>
              <w:rPr>
                <w:rFonts w:ascii="Arial" w:hAnsi="Arial" w:cs="Arial"/>
                <w:b/>
                <w:bCs/>
                <w:color w:val="000000"/>
                <w:sz w:val="16"/>
                <w:szCs w:val="16"/>
              </w:rPr>
            </w:pPr>
            <w:r w:rsidRPr="00C443F5">
              <w:rPr>
                <w:rFonts w:ascii="Arial" w:hAnsi="Arial" w:cs="Arial"/>
                <w:b/>
                <w:bCs/>
                <w:color w:val="000000"/>
                <w:sz w:val="16"/>
                <w:szCs w:val="16"/>
              </w:rPr>
              <w:t>Total 2024  USF Funding</w:t>
            </w:r>
          </w:p>
        </w:tc>
        <w:tc>
          <w:tcPr>
            <w:tcW w:w="1500" w:type="dxa"/>
            <w:tcBorders>
              <w:top w:val="nil"/>
              <w:left w:val="nil"/>
              <w:bottom w:val="single" w:sz="4" w:space="0" w:color="auto"/>
              <w:right w:val="single" w:sz="4" w:space="0" w:color="auto"/>
            </w:tcBorders>
            <w:shd w:val="clear" w:color="auto" w:fill="auto"/>
            <w:noWrap/>
            <w:vAlign w:val="center"/>
            <w:hideMark/>
          </w:tcPr>
          <w:p w14:paraId="46537F78"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$21,786,832.25 </w:t>
            </w:r>
          </w:p>
        </w:tc>
        <w:tc>
          <w:tcPr>
            <w:tcW w:w="1420" w:type="dxa"/>
            <w:tcBorders>
              <w:top w:val="nil"/>
              <w:left w:val="nil"/>
              <w:bottom w:val="single" w:sz="4" w:space="0" w:color="auto"/>
              <w:right w:val="single" w:sz="4" w:space="0" w:color="auto"/>
            </w:tcBorders>
            <w:shd w:val="clear" w:color="auto" w:fill="auto"/>
            <w:noWrap/>
            <w:vAlign w:val="center"/>
            <w:hideMark/>
          </w:tcPr>
          <w:p w14:paraId="0C4DFA76"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$3,213,167.75 </w:t>
            </w:r>
          </w:p>
        </w:tc>
        <w:tc>
          <w:tcPr>
            <w:tcW w:w="222" w:type="dxa"/>
            <w:tcBorders>
              <w:top w:val="nil"/>
              <w:left w:val="nil"/>
              <w:bottom w:val="nil"/>
              <w:right w:val="nil"/>
            </w:tcBorders>
            <w:shd w:val="clear" w:color="auto" w:fill="auto"/>
            <w:noWrap/>
            <w:vAlign w:val="bottom"/>
            <w:hideMark/>
          </w:tcPr>
          <w:p w14:paraId="268E2882" w14:textId="77777777" w:rsidR="00C443F5" w:rsidRPr="00C443F5" w:rsidRDefault="00C443F5" w:rsidP="00C443F5">
            <w:pPr>
              <w:jc w:val="right"/>
              <w:rPr>
                <w:rFonts w:ascii="Arial" w:hAnsi="Arial" w:cs="Arial"/>
                <w:b/>
                <w:bCs/>
                <w:color w:val="000000"/>
                <w:sz w:val="16"/>
                <w:szCs w:val="16"/>
              </w:rPr>
            </w:pPr>
          </w:p>
        </w:tc>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6B4BA13"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 xml:space="preserve">$13,238,824.71 </w:t>
            </w:r>
          </w:p>
        </w:tc>
      </w:tr>
    </w:tbl>
    <w:p w14:paraId="6B478148" w14:textId="77777777" w:rsidR="00C443F5" w:rsidRPr="00C443F5" w:rsidRDefault="00C443F5" w:rsidP="00C443F5">
      <w:pPr>
        <w:spacing w:after="200"/>
        <w:contextualSpacing/>
        <w:rPr>
          <w:b/>
          <w:snapToGrid w:val="0"/>
        </w:rPr>
      </w:pPr>
    </w:p>
    <w:p w14:paraId="3137863E" w14:textId="77777777" w:rsidR="00C443F5" w:rsidRPr="00C443F5" w:rsidRDefault="00C443F5" w:rsidP="00C443F5">
      <w:pPr>
        <w:spacing w:after="200"/>
        <w:contextualSpacing/>
        <w:rPr>
          <w:b/>
          <w:snapToGrid w:val="0"/>
        </w:rPr>
      </w:pPr>
    </w:p>
    <w:p w14:paraId="3A25BF55" w14:textId="77777777" w:rsidR="00C443F5" w:rsidRPr="00C443F5" w:rsidRDefault="00C443F5" w:rsidP="00C443F5">
      <w:pPr>
        <w:spacing w:after="200"/>
        <w:contextualSpacing/>
        <w:rPr>
          <w:b/>
          <w:snapToGrid w:val="0"/>
        </w:rPr>
      </w:pPr>
    </w:p>
    <w:p w14:paraId="5529EC4E" w14:textId="77777777" w:rsidR="00C443F5" w:rsidRPr="00C443F5" w:rsidRDefault="00C443F5" w:rsidP="00C443F5">
      <w:pPr>
        <w:spacing w:after="200"/>
        <w:contextualSpacing/>
        <w:rPr>
          <w:b/>
          <w:snapToGrid w:val="0"/>
        </w:rPr>
      </w:pPr>
      <w:bookmarkStart w:id="3" w:name="_Hlk153202026"/>
      <w:r w:rsidRPr="00C443F5">
        <w:rPr>
          <w:b/>
          <w:snapToGrid w:val="0"/>
        </w:rPr>
        <w:t>Table-29b: USF 2024 Planned Estimates</w:t>
      </w:r>
    </w:p>
    <w:tbl>
      <w:tblPr>
        <w:tblW w:w="5395" w:type="dxa"/>
        <w:tblLook w:val="04A0" w:firstRow="1" w:lastRow="0" w:firstColumn="1" w:lastColumn="0" w:noHBand="0" w:noVBand="1"/>
      </w:tblPr>
      <w:tblGrid>
        <w:gridCol w:w="3415"/>
        <w:gridCol w:w="1980"/>
      </w:tblGrid>
      <w:tr w:rsidR="00C443F5" w:rsidRPr="00C443F5" w14:paraId="6F62C7E5" w14:textId="77777777" w:rsidTr="00397B51">
        <w:trPr>
          <w:trHeight w:val="255"/>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B50AA"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 xml:space="preserve">Regulated Provider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7E326BE9"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$627,489</w:t>
            </w:r>
          </w:p>
        </w:tc>
      </w:tr>
      <w:tr w:rsidR="00C443F5" w:rsidRPr="00C443F5" w14:paraId="5330D954" w14:textId="77777777" w:rsidTr="00397B51">
        <w:trPr>
          <w:trHeight w:val="45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3B9B9EF1"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Low-Income Assistance: Salvation Army</w:t>
            </w:r>
          </w:p>
        </w:tc>
        <w:tc>
          <w:tcPr>
            <w:tcW w:w="1980" w:type="dxa"/>
            <w:tcBorders>
              <w:top w:val="nil"/>
              <w:left w:val="nil"/>
              <w:bottom w:val="single" w:sz="4" w:space="0" w:color="auto"/>
              <w:right w:val="single" w:sz="4" w:space="0" w:color="auto"/>
            </w:tcBorders>
            <w:shd w:val="clear" w:color="auto" w:fill="auto"/>
            <w:noWrap/>
            <w:vAlign w:val="bottom"/>
            <w:hideMark/>
          </w:tcPr>
          <w:p w14:paraId="5C2D5C0A"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$660,000</w:t>
            </w:r>
          </w:p>
        </w:tc>
      </w:tr>
      <w:tr w:rsidR="00C443F5" w:rsidRPr="00C443F5" w14:paraId="6921A4B2" w14:textId="77777777" w:rsidTr="00397B51">
        <w:trPr>
          <w:trHeight w:val="255"/>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140E425C"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AGL Line-Extension Projects</w:t>
            </w:r>
          </w:p>
        </w:tc>
        <w:tc>
          <w:tcPr>
            <w:tcW w:w="1980" w:type="dxa"/>
            <w:tcBorders>
              <w:top w:val="nil"/>
              <w:left w:val="nil"/>
              <w:bottom w:val="single" w:sz="4" w:space="0" w:color="auto"/>
              <w:right w:val="single" w:sz="4" w:space="0" w:color="auto"/>
            </w:tcBorders>
            <w:shd w:val="clear" w:color="auto" w:fill="auto"/>
            <w:noWrap/>
            <w:vAlign w:val="bottom"/>
            <w:hideMark/>
          </w:tcPr>
          <w:p w14:paraId="02148AE8"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$20,499,343</w:t>
            </w:r>
          </w:p>
        </w:tc>
      </w:tr>
      <w:tr w:rsidR="00C443F5" w:rsidRPr="00C443F5" w14:paraId="5BD3024A" w14:textId="77777777" w:rsidTr="00397B51">
        <w:trPr>
          <w:trHeight w:val="255"/>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4AB82645"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Total USF 2024 Planned Estimates</w:t>
            </w:r>
          </w:p>
        </w:tc>
        <w:tc>
          <w:tcPr>
            <w:tcW w:w="1980" w:type="dxa"/>
            <w:tcBorders>
              <w:top w:val="nil"/>
              <w:left w:val="nil"/>
              <w:bottom w:val="single" w:sz="4" w:space="0" w:color="auto"/>
              <w:right w:val="single" w:sz="4" w:space="0" w:color="auto"/>
            </w:tcBorders>
            <w:shd w:val="clear" w:color="auto" w:fill="auto"/>
            <w:noWrap/>
            <w:vAlign w:val="bottom"/>
            <w:hideMark/>
          </w:tcPr>
          <w:p w14:paraId="15A0FB3D"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$21,786,832</w:t>
            </w:r>
          </w:p>
        </w:tc>
      </w:tr>
    </w:tbl>
    <w:p w14:paraId="490BB463" w14:textId="77777777" w:rsidR="00C443F5" w:rsidRPr="00C443F5" w:rsidRDefault="00C443F5" w:rsidP="00C443F5">
      <w:pPr>
        <w:spacing w:after="200"/>
        <w:contextualSpacing/>
        <w:rPr>
          <w:b/>
          <w:bCs/>
          <w:snapToGrid w:val="0"/>
        </w:rPr>
      </w:pPr>
    </w:p>
    <w:p w14:paraId="61141C32" w14:textId="77777777" w:rsidR="00C443F5" w:rsidRPr="00C443F5" w:rsidRDefault="00C443F5" w:rsidP="00C443F5">
      <w:pPr>
        <w:spacing w:after="200"/>
        <w:contextualSpacing/>
        <w:rPr>
          <w:b/>
          <w:bCs/>
          <w:snapToGrid w:val="0"/>
        </w:rPr>
      </w:pPr>
      <w:r w:rsidRPr="00C443F5">
        <w:rPr>
          <w:b/>
          <w:bCs/>
          <w:snapToGrid w:val="0"/>
        </w:rPr>
        <w:t>Table-29c. ECON-1 Project</w:t>
      </w:r>
    </w:p>
    <w:tbl>
      <w:tblPr>
        <w:tblW w:w="6360" w:type="dxa"/>
        <w:tblLook w:val="04A0" w:firstRow="1" w:lastRow="0" w:firstColumn="1" w:lastColumn="0" w:noHBand="0" w:noVBand="1"/>
      </w:tblPr>
      <w:tblGrid>
        <w:gridCol w:w="2320"/>
        <w:gridCol w:w="2080"/>
        <w:gridCol w:w="1960"/>
      </w:tblGrid>
      <w:tr w:rsidR="00C443F5" w:rsidRPr="00C443F5" w14:paraId="0CCE9535" w14:textId="77777777" w:rsidTr="00397B51">
        <w:trPr>
          <w:trHeight w:val="255"/>
        </w:trPr>
        <w:tc>
          <w:tcPr>
            <w:tcW w:w="232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5B8A8906"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2024: ECON-1  Tariff</w:t>
            </w:r>
          </w:p>
        </w:tc>
        <w:tc>
          <w:tcPr>
            <w:tcW w:w="2080" w:type="dxa"/>
            <w:tcBorders>
              <w:top w:val="single" w:sz="4" w:space="0" w:color="auto"/>
              <w:left w:val="nil"/>
              <w:bottom w:val="single" w:sz="4" w:space="0" w:color="auto"/>
              <w:right w:val="single" w:sz="4" w:space="0" w:color="auto"/>
            </w:tcBorders>
            <w:shd w:val="clear" w:color="000000" w:fill="00B050"/>
            <w:noWrap/>
            <w:vAlign w:val="bottom"/>
            <w:hideMark/>
          </w:tcPr>
          <w:p w14:paraId="6CB7835E" w14:textId="77777777" w:rsidR="00C443F5" w:rsidRPr="00C443F5" w:rsidRDefault="00C443F5" w:rsidP="00C443F5">
            <w:pPr>
              <w:rPr>
                <w:rFonts w:ascii="Arial" w:hAnsi="Arial" w:cs="Arial"/>
                <w:b/>
                <w:bCs/>
                <w:color w:val="000000"/>
                <w:sz w:val="16"/>
                <w:szCs w:val="16"/>
              </w:rPr>
            </w:pPr>
            <w:r w:rsidRPr="00C443F5">
              <w:rPr>
                <w:rFonts w:ascii="Arial" w:hAnsi="Arial" w:cs="Arial"/>
                <w:b/>
                <w:bCs/>
                <w:color w:val="000000"/>
                <w:sz w:val="16"/>
                <w:szCs w:val="16"/>
              </w:rPr>
              <w:t>Annual Approval Cap</w:t>
            </w:r>
          </w:p>
        </w:tc>
        <w:tc>
          <w:tcPr>
            <w:tcW w:w="1960" w:type="dxa"/>
            <w:tcBorders>
              <w:top w:val="single" w:sz="4" w:space="0" w:color="auto"/>
              <w:left w:val="nil"/>
              <w:bottom w:val="single" w:sz="4" w:space="0" w:color="auto"/>
              <w:right w:val="single" w:sz="4" w:space="0" w:color="auto"/>
            </w:tcBorders>
            <w:shd w:val="clear" w:color="000000" w:fill="00B050"/>
            <w:noWrap/>
            <w:vAlign w:val="bottom"/>
            <w:hideMark/>
          </w:tcPr>
          <w:p w14:paraId="5737A555"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$25,000,000.00</w:t>
            </w:r>
          </w:p>
        </w:tc>
      </w:tr>
      <w:tr w:rsidR="00C443F5" w:rsidRPr="00C443F5" w14:paraId="69A67234" w14:textId="77777777" w:rsidTr="00397B51">
        <w:trPr>
          <w:trHeight w:val="255"/>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6C3ED83C" w14:textId="77777777" w:rsidR="00C443F5" w:rsidRPr="00C443F5" w:rsidRDefault="00C443F5" w:rsidP="00C443F5">
            <w:pPr>
              <w:rPr>
                <w:rFonts w:ascii="Arial" w:hAnsi="Arial" w:cs="Arial"/>
                <w:color w:val="000000"/>
                <w:sz w:val="16"/>
                <w:szCs w:val="16"/>
              </w:rPr>
            </w:pPr>
            <w:r w:rsidRPr="00C443F5">
              <w:rPr>
                <w:rFonts w:ascii="Arial" w:hAnsi="Arial" w:cs="Arial"/>
                <w:color w:val="000000"/>
                <w:sz w:val="16"/>
                <w:szCs w:val="16"/>
              </w:rPr>
              <w:t>Athens-Clark County Project</w:t>
            </w:r>
          </w:p>
        </w:tc>
        <w:tc>
          <w:tcPr>
            <w:tcW w:w="2080" w:type="dxa"/>
            <w:tcBorders>
              <w:top w:val="nil"/>
              <w:left w:val="nil"/>
              <w:bottom w:val="single" w:sz="4" w:space="0" w:color="auto"/>
              <w:right w:val="single" w:sz="4" w:space="0" w:color="auto"/>
            </w:tcBorders>
            <w:shd w:val="clear" w:color="auto" w:fill="auto"/>
            <w:vAlign w:val="center"/>
            <w:hideMark/>
          </w:tcPr>
          <w:p w14:paraId="41FA68AA" w14:textId="77777777" w:rsidR="00C443F5" w:rsidRPr="00C443F5" w:rsidRDefault="00C443F5" w:rsidP="00C443F5">
            <w:pPr>
              <w:jc w:val="right"/>
              <w:rPr>
                <w:rFonts w:ascii="Arial" w:hAnsi="Arial" w:cs="Arial"/>
                <w:color w:val="000000"/>
                <w:sz w:val="16"/>
                <w:szCs w:val="16"/>
              </w:rPr>
            </w:pPr>
            <w:r w:rsidRPr="00C443F5">
              <w:rPr>
                <w:rFonts w:ascii="Arial" w:hAnsi="Arial" w:cs="Arial"/>
                <w:color w:val="000000"/>
                <w:sz w:val="16"/>
                <w:szCs w:val="16"/>
              </w:rPr>
              <w:t>$1,321,203.00</w:t>
            </w:r>
          </w:p>
        </w:tc>
        <w:tc>
          <w:tcPr>
            <w:tcW w:w="1960" w:type="dxa"/>
            <w:tcBorders>
              <w:top w:val="nil"/>
              <w:left w:val="nil"/>
              <w:bottom w:val="single" w:sz="4" w:space="0" w:color="auto"/>
              <w:right w:val="single" w:sz="4" w:space="0" w:color="auto"/>
            </w:tcBorders>
            <w:shd w:val="clear" w:color="auto" w:fill="auto"/>
            <w:noWrap/>
            <w:vAlign w:val="bottom"/>
            <w:hideMark/>
          </w:tcPr>
          <w:p w14:paraId="3E8E06C4" w14:textId="77777777" w:rsidR="00C443F5" w:rsidRPr="00C443F5" w:rsidRDefault="00C443F5" w:rsidP="00C443F5">
            <w:pPr>
              <w:jc w:val="right"/>
              <w:rPr>
                <w:rFonts w:ascii="Arial" w:hAnsi="Arial" w:cs="Arial"/>
                <w:b/>
                <w:bCs/>
                <w:color w:val="000000"/>
                <w:sz w:val="16"/>
                <w:szCs w:val="16"/>
              </w:rPr>
            </w:pPr>
            <w:r w:rsidRPr="00C443F5">
              <w:rPr>
                <w:rFonts w:ascii="Arial" w:hAnsi="Arial" w:cs="Arial"/>
                <w:b/>
                <w:bCs/>
                <w:color w:val="000000"/>
                <w:sz w:val="16"/>
                <w:szCs w:val="16"/>
              </w:rPr>
              <w:t>$23,678,797.00</w:t>
            </w:r>
          </w:p>
        </w:tc>
      </w:tr>
      <w:bookmarkEnd w:id="3"/>
    </w:tbl>
    <w:p w14:paraId="31782F66" w14:textId="77777777" w:rsidR="00C443F5" w:rsidRPr="00C443F5" w:rsidRDefault="00C443F5" w:rsidP="00C443F5">
      <w:pPr>
        <w:spacing w:after="200"/>
        <w:contextualSpacing/>
        <w:rPr>
          <w:snapToGrid w:val="0"/>
        </w:rPr>
      </w:pPr>
    </w:p>
    <w:p w14:paraId="6ABF3538" w14:textId="77777777" w:rsidR="00C443F5" w:rsidRPr="00C443F5" w:rsidRDefault="00C443F5" w:rsidP="00C443F5">
      <w:pPr>
        <w:spacing w:after="200"/>
        <w:contextualSpacing/>
        <w:rPr>
          <w:snapToGrid w:val="0"/>
        </w:rPr>
      </w:pPr>
    </w:p>
    <w:p w14:paraId="44698507" w14:textId="77777777" w:rsidR="00C443F5" w:rsidRPr="00C443F5" w:rsidRDefault="00C443F5" w:rsidP="00C443F5">
      <w:pPr>
        <w:numPr>
          <w:ilvl w:val="0"/>
          <w:numId w:val="2"/>
        </w:numPr>
        <w:spacing w:after="220"/>
        <w:contextualSpacing/>
        <w:jc w:val="center"/>
        <w:rPr>
          <w:b/>
        </w:rPr>
      </w:pPr>
      <w:r w:rsidRPr="00C443F5">
        <w:rPr>
          <w:b/>
        </w:rPr>
        <w:t>Commission Decision</w:t>
      </w:r>
    </w:p>
    <w:p w14:paraId="1F2135A9" w14:textId="77777777" w:rsidR="00C443F5" w:rsidRPr="00C443F5" w:rsidRDefault="00C443F5" w:rsidP="00C443F5">
      <w:pPr>
        <w:spacing w:before="200"/>
        <w:contextualSpacing/>
      </w:pPr>
      <w:r w:rsidRPr="00C443F5">
        <w:tab/>
        <w:t xml:space="preserve">During the December 19, 2023 Administrative Session, the </w:t>
      </w:r>
      <w:bookmarkStart w:id="4" w:name="_Hlk153877900"/>
      <w:r w:rsidRPr="00C443F5">
        <w:t xml:space="preserve">Chairman Shaw provided a motion regarding the Staff’s recommendation. The Commission approved the motion and approved the Staff recommendation as amended.  See below: </w:t>
      </w:r>
      <w:bookmarkEnd w:id="4"/>
    </w:p>
    <w:p w14:paraId="58145F3F" w14:textId="77777777" w:rsidR="00C443F5" w:rsidRPr="00C443F5" w:rsidRDefault="00C443F5" w:rsidP="00C443F5">
      <w:pPr>
        <w:spacing w:before="200"/>
        <w:contextualSpacing/>
        <w:rPr>
          <w:rFonts w:eastAsiaTheme="minorEastAsia"/>
          <w:color w:val="000000" w:themeColor="text1"/>
          <w:kern w:val="24"/>
        </w:rPr>
      </w:pPr>
    </w:p>
    <w:p w14:paraId="2096DF56" w14:textId="77777777" w:rsidR="00C443F5" w:rsidRPr="00C443F5" w:rsidRDefault="00C443F5" w:rsidP="00C443F5">
      <w:pPr>
        <w:numPr>
          <w:ilvl w:val="0"/>
          <w:numId w:val="5"/>
        </w:numPr>
        <w:spacing w:after="200"/>
        <w:contextualSpacing/>
      </w:pPr>
      <w:bookmarkStart w:id="5" w:name="_Hlk153878825"/>
      <w:r w:rsidRPr="00C443F5">
        <w:t>The Commission denies the three Residential projects, Glynn County Project #1, Glynn County Project #2, and the Cherokee County Project because of low economic value.</w:t>
      </w:r>
    </w:p>
    <w:p w14:paraId="5702ABD9" w14:textId="77777777" w:rsidR="00C443F5" w:rsidRPr="00C443F5" w:rsidRDefault="00C443F5" w:rsidP="00C443F5">
      <w:pPr>
        <w:ind w:left="720"/>
        <w:contextualSpacing/>
      </w:pPr>
    </w:p>
    <w:p w14:paraId="1C879A39" w14:textId="77777777" w:rsidR="00C443F5" w:rsidRPr="00C443F5" w:rsidRDefault="00C443F5" w:rsidP="00C443F5">
      <w:pPr>
        <w:numPr>
          <w:ilvl w:val="0"/>
          <w:numId w:val="5"/>
        </w:numPr>
        <w:spacing w:after="200"/>
        <w:contextualSpacing/>
      </w:pPr>
      <w:r w:rsidRPr="00C443F5">
        <w:t xml:space="preserve">Of the </w:t>
      </w:r>
      <w:r w:rsidRPr="00C443F5">
        <w:rPr>
          <w:b/>
        </w:rPr>
        <w:t xml:space="preserve">$18,782,801 </w:t>
      </w:r>
      <w:r w:rsidRPr="00C443F5">
        <w:t>approves</w:t>
      </w:r>
      <w:r w:rsidRPr="00C443F5">
        <w:rPr>
          <w:b/>
        </w:rPr>
        <w:t xml:space="preserve"> </w:t>
      </w:r>
      <w:r w:rsidRPr="00C443F5">
        <w:t xml:space="preserve">for the Chatham County Project for </w:t>
      </w:r>
      <w:proofErr w:type="spellStart"/>
      <w:r w:rsidRPr="00C443F5">
        <w:t>Igneo</w:t>
      </w:r>
      <w:proofErr w:type="spellEnd"/>
      <w:r w:rsidRPr="00C443F5">
        <w:t xml:space="preserve"> approved on December 13, 2022 in Docket No. 43510 and Docket no. 41559 as part of the 2022-2023 ECON-1,  </w:t>
      </w:r>
      <w:r w:rsidRPr="00C443F5">
        <w:rPr>
          <w:b/>
        </w:rPr>
        <w:t>$13,954,253</w:t>
      </w:r>
      <w:r w:rsidRPr="00C443F5">
        <w:t xml:space="preserve"> will be approved for Project Forage (Wal-Mart) in Lowndes County that was filed with the Commission on December 13, 2023. </w:t>
      </w:r>
    </w:p>
    <w:p w14:paraId="19342FE3" w14:textId="77777777" w:rsidR="00C443F5" w:rsidRPr="00C443F5" w:rsidRDefault="00C443F5" w:rsidP="00C443F5">
      <w:pPr>
        <w:ind w:left="720"/>
        <w:contextualSpacing/>
      </w:pPr>
    </w:p>
    <w:p w14:paraId="021DCD44" w14:textId="77777777" w:rsidR="00C443F5" w:rsidRPr="00C443F5" w:rsidRDefault="00C443F5" w:rsidP="00C443F5">
      <w:pPr>
        <w:numPr>
          <w:ilvl w:val="0"/>
          <w:numId w:val="5"/>
        </w:numPr>
        <w:spacing w:after="200"/>
        <w:contextualSpacing/>
      </w:pPr>
      <w:r w:rsidRPr="00C443F5">
        <w:t xml:space="preserve">Of the </w:t>
      </w:r>
      <w:r w:rsidRPr="00C443F5">
        <w:rPr>
          <w:b/>
        </w:rPr>
        <w:t>$19,657,977</w:t>
      </w:r>
      <w:r w:rsidRPr="00C443F5">
        <w:t xml:space="preserve"> requested for the McIntosh County Project, the Commission approves that the remaining 2022-2023 ECON-1funding of </w:t>
      </w:r>
      <w:r w:rsidRPr="00C443F5">
        <w:rPr>
          <w:b/>
        </w:rPr>
        <w:t>$4,828,548</w:t>
      </w:r>
      <w:r w:rsidRPr="00C443F5">
        <w:t xml:space="preserve"> allotted for the </w:t>
      </w:r>
      <w:proofErr w:type="spellStart"/>
      <w:r w:rsidRPr="00C443F5">
        <w:t>Igneo</w:t>
      </w:r>
      <w:proofErr w:type="spellEnd"/>
      <w:r w:rsidRPr="00C443F5">
        <w:t xml:space="preserve"> project be used for the McIntosh County Project, and the remaining </w:t>
      </w:r>
      <w:r w:rsidRPr="00C443F5">
        <w:rPr>
          <w:b/>
        </w:rPr>
        <w:t>$14,829,429</w:t>
      </w:r>
      <w:r w:rsidRPr="00C443F5">
        <w:t xml:space="preserve"> needed will be funded by USF.</w:t>
      </w:r>
    </w:p>
    <w:p w14:paraId="4C586D37" w14:textId="77777777" w:rsidR="00C443F5" w:rsidRPr="00C443F5" w:rsidRDefault="00C443F5" w:rsidP="00C443F5">
      <w:pPr>
        <w:ind w:left="720"/>
        <w:contextualSpacing/>
      </w:pPr>
    </w:p>
    <w:p w14:paraId="7762A3B5" w14:textId="77777777" w:rsidR="00C443F5" w:rsidRPr="00C443F5" w:rsidRDefault="00C443F5" w:rsidP="00C443F5">
      <w:pPr>
        <w:numPr>
          <w:ilvl w:val="0"/>
          <w:numId w:val="5"/>
        </w:numPr>
        <w:spacing w:after="200"/>
        <w:contextualSpacing/>
      </w:pPr>
      <w:r w:rsidRPr="00C443F5">
        <w:t xml:space="preserve">The Commission approves the withdrawal of the </w:t>
      </w:r>
      <w:proofErr w:type="spellStart"/>
      <w:r w:rsidRPr="00C443F5">
        <w:t>Igneo</w:t>
      </w:r>
      <w:proofErr w:type="spellEnd"/>
      <w:r w:rsidRPr="00C443F5">
        <w:t xml:space="preserve"> Project to allow its funds to be used for Project Forage and the McIntosh County Project. </w:t>
      </w:r>
    </w:p>
    <w:p w14:paraId="1E2F4799" w14:textId="77777777" w:rsidR="00C443F5" w:rsidRPr="00C443F5" w:rsidRDefault="00C443F5" w:rsidP="00C443F5">
      <w:pPr>
        <w:ind w:left="720"/>
        <w:contextualSpacing/>
      </w:pPr>
    </w:p>
    <w:p w14:paraId="16DA8157" w14:textId="77777777" w:rsidR="00C443F5" w:rsidRPr="00C443F5" w:rsidRDefault="00C443F5" w:rsidP="00C443F5">
      <w:pPr>
        <w:numPr>
          <w:ilvl w:val="0"/>
          <w:numId w:val="5"/>
        </w:numPr>
        <w:spacing w:after="200"/>
        <w:contextualSpacing/>
      </w:pPr>
      <w:r w:rsidRPr="00C443F5">
        <w:t xml:space="preserve">The Commission approves the Jackson County Project in the amount of </w:t>
      </w:r>
      <w:r w:rsidRPr="00C443F5">
        <w:rPr>
          <w:b/>
        </w:rPr>
        <w:t>$150,663</w:t>
      </w:r>
      <w:r w:rsidRPr="00C443F5">
        <w:t>.</w:t>
      </w:r>
    </w:p>
    <w:p w14:paraId="57A0A864" w14:textId="77777777" w:rsidR="00C443F5" w:rsidRPr="00C443F5" w:rsidRDefault="00C443F5" w:rsidP="00C443F5">
      <w:pPr>
        <w:ind w:left="720"/>
        <w:contextualSpacing/>
      </w:pPr>
    </w:p>
    <w:p w14:paraId="4968F099" w14:textId="77777777" w:rsidR="00C443F5" w:rsidRPr="00C443F5" w:rsidRDefault="00C443F5" w:rsidP="00C443F5">
      <w:pPr>
        <w:numPr>
          <w:ilvl w:val="0"/>
          <w:numId w:val="5"/>
        </w:numPr>
        <w:spacing w:after="200"/>
        <w:contextualSpacing/>
      </w:pPr>
      <w:r w:rsidRPr="00C443F5">
        <w:t xml:space="preserve">The Commission approves the Athens-Clark County as an ECON-1 project in Docket No. 41559 using the 2024 ECON-1 funding in the amount of </w:t>
      </w:r>
      <w:r w:rsidRPr="00C443F5">
        <w:rPr>
          <w:b/>
        </w:rPr>
        <w:t>$1,321,203</w:t>
      </w:r>
      <w:r w:rsidRPr="00C443F5">
        <w:t>.</w:t>
      </w:r>
    </w:p>
    <w:p w14:paraId="59E3097A" w14:textId="77777777" w:rsidR="00C443F5" w:rsidRPr="00C443F5" w:rsidRDefault="00C443F5" w:rsidP="00C443F5">
      <w:pPr>
        <w:ind w:left="720"/>
        <w:contextualSpacing/>
      </w:pPr>
    </w:p>
    <w:p w14:paraId="75EF7CBC" w14:textId="77777777" w:rsidR="00C443F5" w:rsidRPr="00C443F5" w:rsidRDefault="00C443F5" w:rsidP="00C443F5">
      <w:pPr>
        <w:numPr>
          <w:ilvl w:val="0"/>
          <w:numId w:val="5"/>
        </w:numPr>
        <w:spacing w:after="200"/>
        <w:contextualSpacing/>
        <w:rPr>
          <w:bCs/>
        </w:rPr>
      </w:pPr>
      <w:r w:rsidRPr="00C443F5">
        <w:rPr>
          <w:bCs/>
          <w:snapToGrid w:val="0"/>
        </w:rPr>
        <w:t>Commission denies AGL’s language in its October 2</w:t>
      </w:r>
      <w:r w:rsidRPr="00C443F5">
        <w:rPr>
          <w:bCs/>
          <w:snapToGrid w:val="0"/>
          <w:vertAlign w:val="superscript"/>
        </w:rPr>
        <w:t>nd</w:t>
      </w:r>
      <w:r w:rsidRPr="00C443F5">
        <w:rPr>
          <w:bCs/>
          <w:snapToGrid w:val="0"/>
        </w:rPr>
        <w:t xml:space="preserve"> petition third paragraph sentences 4 and 5 and the October 6</w:t>
      </w:r>
      <w:r w:rsidRPr="00C443F5">
        <w:rPr>
          <w:bCs/>
          <w:snapToGrid w:val="0"/>
          <w:vertAlign w:val="superscript"/>
        </w:rPr>
        <w:t>th</w:t>
      </w:r>
      <w:r w:rsidRPr="00C443F5">
        <w:rPr>
          <w:bCs/>
          <w:snapToGrid w:val="0"/>
        </w:rPr>
        <w:t xml:space="preserve"> petition third paragraph and third sentence and approved Staff’s language from the Commission Rule 515-7-5-.07(1)</w:t>
      </w:r>
      <w:r w:rsidRPr="00C443F5">
        <w:rPr>
          <w:bCs/>
        </w:rPr>
        <w:t>, which states:</w:t>
      </w:r>
    </w:p>
    <w:p w14:paraId="7F913C51" w14:textId="77777777" w:rsidR="00C443F5" w:rsidRPr="00C443F5" w:rsidRDefault="00C443F5" w:rsidP="00C443F5">
      <w:pPr>
        <w:spacing w:after="200"/>
        <w:ind w:left="1440"/>
        <w:contextualSpacing/>
        <w:rPr>
          <w:snapToGrid w:val="0"/>
        </w:rPr>
      </w:pPr>
    </w:p>
    <w:p w14:paraId="01C3F1BB" w14:textId="77777777" w:rsidR="00C443F5" w:rsidRPr="00C443F5" w:rsidRDefault="00C443F5" w:rsidP="00C443F5">
      <w:pPr>
        <w:spacing w:after="200"/>
        <w:ind w:left="1440"/>
        <w:contextualSpacing/>
        <w:rPr>
          <w:snapToGrid w:val="0"/>
        </w:rPr>
      </w:pPr>
    </w:p>
    <w:p w14:paraId="551D419D" w14:textId="77777777" w:rsidR="00C443F5" w:rsidRPr="00C443F5" w:rsidRDefault="00C443F5" w:rsidP="00C443F5">
      <w:pPr>
        <w:spacing w:after="200"/>
        <w:ind w:left="1440"/>
        <w:contextualSpacing/>
        <w:rPr>
          <w:snapToGrid w:val="0"/>
        </w:rPr>
      </w:pPr>
      <w:r w:rsidRPr="00C443F5">
        <w:rPr>
          <w:snapToGrid w:val="0"/>
        </w:rPr>
        <w:t>The disbursements to the EDC for completed projects will be for actual costs that are below the EDC's 5% budget cap for that Annual Plan year. The disbursements for completed projects will be limited to unencumbered funds in the USF. For any amounts that exceed the 5% budget cap or the unencumbered USF funds, those amounts will go into the EDC's rate base for ratemaking purposes.</w:t>
      </w:r>
    </w:p>
    <w:bookmarkEnd w:id="5"/>
    <w:p w14:paraId="5E6B0418" w14:textId="77777777" w:rsidR="00C443F5" w:rsidRPr="00C443F5" w:rsidRDefault="00C443F5" w:rsidP="00C443F5">
      <w:pPr>
        <w:spacing w:after="200"/>
        <w:contextualSpacing/>
        <w:rPr>
          <w:snapToGrid w:val="0"/>
        </w:rPr>
      </w:pPr>
    </w:p>
    <w:p w14:paraId="4A88F851" w14:textId="77777777" w:rsidR="00C443F5" w:rsidRPr="00C443F5" w:rsidRDefault="00C443F5" w:rsidP="00C443F5">
      <w:pPr>
        <w:spacing w:after="200"/>
        <w:contextualSpacing/>
        <w:rPr>
          <w:snapToGrid w:val="0"/>
        </w:rPr>
      </w:pPr>
    </w:p>
    <w:p w14:paraId="03AB0EFA" w14:textId="77777777" w:rsidR="00C443F5" w:rsidRPr="00C443F5" w:rsidRDefault="00C443F5" w:rsidP="00C443F5">
      <w:pPr>
        <w:spacing w:after="200"/>
        <w:contextualSpacing/>
        <w:rPr>
          <w:snapToGrid w:val="0"/>
        </w:rPr>
      </w:pPr>
    </w:p>
    <w:p w14:paraId="546A2E3D" w14:textId="77777777" w:rsidR="00C443F5" w:rsidRPr="00C443F5" w:rsidRDefault="00C443F5" w:rsidP="00C443F5">
      <w:pPr>
        <w:spacing w:after="200"/>
        <w:contextualSpacing/>
        <w:rPr>
          <w:snapToGrid w:val="0"/>
        </w:rPr>
      </w:pPr>
    </w:p>
    <w:bookmarkEnd w:id="0"/>
    <w:p w14:paraId="087CB474" w14:textId="77777777" w:rsidR="00C443F5" w:rsidRPr="00C443F5" w:rsidRDefault="00C443F5" w:rsidP="00C443F5">
      <w:pPr>
        <w:spacing w:after="220"/>
        <w:ind w:firstLine="720"/>
        <w:contextualSpacing/>
        <w:jc w:val="center"/>
        <w:rPr>
          <w:snapToGrid w:val="0"/>
        </w:rPr>
      </w:pPr>
      <w:r w:rsidRPr="00C443F5">
        <w:rPr>
          <w:snapToGrid w:val="0"/>
        </w:rPr>
        <w:t>*   *   *   *   *</w:t>
      </w:r>
    </w:p>
    <w:p w14:paraId="332374E6" w14:textId="77777777" w:rsidR="00C443F5" w:rsidRPr="00C443F5" w:rsidRDefault="00C443F5" w:rsidP="00C443F5">
      <w:pPr>
        <w:numPr>
          <w:ilvl w:val="0"/>
          <w:numId w:val="2"/>
        </w:numPr>
        <w:spacing w:after="200"/>
        <w:contextualSpacing/>
        <w:jc w:val="center"/>
        <w:rPr>
          <w:b/>
        </w:rPr>
      </w:pPr>
      <w:r w:rsidRPr="00C443F5">
        <w:rPr>
          <w:b/>
        </w:rPr>
        <w:t>Ordering Paragraphs</w:t>
      </w:r>
    </w:p>
    <w:p w14:paraId="72485C37" w14:textId="77777777" w:rsidR="00C443F5" w:rsidRPr="00C443F5" w:rsidRDefault="00C443F5" w:rsidP="00C443F5">
      <w:pPr>
        <w:widowControl w:val="0"/>
        <w:contextualSpacing/>
        <w:rPr>
          <w:snapToGrid w:val="0"/>
          <w:szCs w:val="20"/>
        </w:rPr>
      </w:pPr>
    </w:p>
    <w:p w14:paraId="5D06A0D1" w14:textId="77777777" w:rsidR="00C443F5" w:rsidRPr="00C443F5" w:rsidRDefault="00C443F5" w:rsidP="00C443F5">
      <w:pPr>
        <w:widowControl w:val="0"/>
        <w:contextualSpacing/>
        <w:rPr>
          <w:snapToGrid w:val="0"/>
          <w:szCs w:val="20"/>
        </w:rPr>
      </w:pPr>
    </w:p>
    <w:p w14:paraId="62544F0F" w14:textId="77777777" w:rsidR="00C443F5" w:rsidRPr="00C443F5" w:rsidRDefault="00C443F5" w:rsidP="00C443F5">
      <w:pPr>
        <w:spacing w:after="220"/>
        <w:ind w:firstLine="720"/>
        <w:contextualSpacing/>
        <w:jc w:val="both"/>
        <w:rPr>
          <w:snapToGrid w:val="0"/>
        </w:rPr>
      </w:pPr>
      <w:r w:rsidRPr="00C443F5">
        <w:rPr>
          <w:b/>
          <w:snapToGrid w:val="0"/>
        </w:rPr>
        <w:lastRenderedPageBreak/>
        <w:t xml:space="preserve">WHEREFORE IT IS </w:t>
      </w:r>
      <w:proofErr w:type="gramStart"/>
      <w:r w:rsidRPr="00C443F5">
        <w:rPr>
          <w:b/>
          <w:snapToGrid w:val="0"/>
        </w:rPr>
        <w:t>ORDERED</w:t>
      </w:r>
      <w:r w:rsidRPr="00C443F5">
        <w:rPr>
          <w:snapToGrid w:val="0"/>
        </w:rPr>
        <w:t>,</w:t>
      </w:r>
      <w:proofErr w:type="gramEnd"/>
      <w:r w:rsidRPr="00C443F5">
        <w:rPr>
          <w:snapToGrid w:val="0"/>
        </w:rPr>
        <w:t xml:space="preserve"> that </w:t>
      </w:r>
      <w:r w:rsidRPr="00C443F5">
        <w:t xml:space="preserve">the Commission approves </w:t>
      </w:r>
      <w:r w:rsidRPr="00C443F5">
        <w:rPr>
          <w:snapToGrid w:val="0"/>
        </w:rPr>
        <w:t>Chairman Shaw’s motion and approved the Staff recommendation as amended.</w:t>
      </w:r>
    </w:p>
    <w:p w14:paraId="5769EA2F" w14:textId="77777777" w:rsidR="00C443F5" w:rsidRPr="00C443F5" w:rsidRDefault="00C443F5" w:rsidP="00C443F5">
      <w:pPr>
        <w:spacing w:after="220"/>
        <w:ind w:firstLine="720"/>
        <w:contextualSpacing/>
        <w:jc w:val="both"/>
        <w:rPr>
          <w:b/>
        </w:rPr>
      </w:pPr>
    </w:p>
    <w:p w14:paraId="1549F0F5" w14:textId="77777777" w:rsidR="00C443F5" w:rsidRPr="00C443F5" w:rsidRDefault="00C443F5" w:rsidP="00C443F5">
      <w:pPr>
        <w:spacing w:after="220"/>
        <w:ind w:firstLine="720"/>
        <w:contextualSpacing/>
        <w:jc w:val="both"/>
      </w:pPr>
      <w:proofErr w:type="gramStart"/>
      <w:r w:rsidRPr="00C443F5">
        <w:rPr>
          <w:b/>
        </w:rPr>
        <w:t>ORDERED FURTHER</w:t>
      </w:r>
      <w:r w:rsidRPr="00C443F5">
        <w:t>, that</w:t>
      </w:r>
      <w:proofErr w:type="gramEnd"/>
      <w:r w:rsidRPr="00C443F5">
        <w:t xml:space="preserve"> the</w:t>
      </w:r>
      <w:r w:rsidRPr="00C443F5">
        <w:rPr>
          <w:b/>
        </w:rPr>
        <w:t xml:space="preserve"> </w:t>
      </w:r>
      <w:r w:rsidRPr="00C443F5">
        <w:rPr>
          <w:snapToGrid w:val="0"/>
        </w:rPr>
        <w:t>Commission denies the three Residential projects, Glynn County Project #1, Glynn County Project #2, and the Cherokee County Project because of low economic value.</w:t>
      </w:r>
    </w:p>
    <w:p w14:paraId="50AD9F59" w14:textId="77777777" w:rsidR="00C443F5" w:rsidRPr="00C443F5" w:rsidRDefault="00C443F5" w:rsidP="00C443F5">
      <w:pPr>
        <w:spacing w:after="200"/>
        <w:ind w:firstLine="720"/>
        <w:contextualSpacing/>
        <w:rPr>
          <w:b/>
          <w:bCs/>
        </w:rPr>
      </w:pPr>
    </w:p>
    <w:p w14:paraId="2FC709F3" w14:textId="77777777" w:rsidR="00C443F5" w:rsidRPr="00C443F5" w:rsidRDefault="00C443F5" w:rsidP="00C443F5">
      <w:pPr>
        <w:spacing w:after="200"/>
        <w:ind w:firstLine="720"/>
        <w:contextualSpacing/>
        <w:rPr>
          <w:snapToGrid w:val="0"/>
        </w:rPr>
      </w:pPr>
      <w:r w:rsidRPr="00C443F5">
        <w:rPr>
          <w:b/>
          <w:bCs/>
        </w:rPr>
        <w:t>ORDERED FURTHER</w:t>
      </w:r>
      <w:r w:rsidRPr="00C443F5">
        <w:t xml:space="preserve">, that the </w:t>
      </w:r>
      <w:r w:rsidRPr="00C443F5">
        <w:rPr>
          <w:snapToGrid w:val="0"/>
        </w:rPr>
        <w:t xml:space="preserve">Commission approves that of the </w:t>
      </w:r>
      <w:r w:rsidRPr="00C443F5">
        <w:rPr>
          <w:b/>
          <w:snapToGrid w:val="0"/>
        </w:rPr>
        <w:t xml:space="preserve">$18,782,801 </w:t>
      </w:r>
      <w:r w:rsidRPr="00C443F5">
        <w:rPr>
          <w:snapToGrid w:val="0"/>
        </w:rPr>
        <w:t>approved</w:t>
      </w:r>
      <w:r w:rsidRPr="00C443F5">
        <w:rPr>
          <w:b/>
          <w:snapToGrid w:val="0"/>
        </w:rPr>
        <w:t xml:space="preserve"> </w:t>
      </w:r>
      <w:r w:rsidRPr="00C443F5">
        <w:rPr>
          <w:snapToGrid w:val="0"/>
        </w:rPr>
        <w:t xml:space="preserve">for the Chatham County Project for </w:t>
      </w:r>
      <w:proofErr w:type="spellStart"/>
      <w:r w:rsidRPr="00C443F5">
        <w:rPr>
          <w:snapToGrid w:val="0"/>
        </w:rPr>
        <w:t>Igneo</w:t>
      </w:r>
      <w:proofErr w:type="spellEnd"/>
      <w:r w:rsidRPr="00C443F5">
        <w:rPr>
          <w:snapToGrid w:val="0"/>
        </w:rPr>
        <w:t xml:space="preserve"> approved on December 13, 2022 in Docket No. 43510 and Docket no. 41559 as part of the 2022-2023 ECON-1,  </w:t>
      </w:r>
      <w:r w:rsidRPr="00C443F5">
        <w:rPr>
          <w:b/>
          <w:snapToGrid w:val="0"/>
        </w:rPr>
        <w:t>$13,954,253</w:t>
      </w:r>
      <w:r w:rsidRPr="00C443F5">
        <w:rPr>
          <w:snapToGrid w:val="0"/>
        </w:rPr>
        <w:t xml:space="preserve"> will be approved for Project Forage (Wal-Mart) in Lowndes County that was filed with the Commission on December 13, 2023. </w:t>
      </w:r>
    </w:p>
    <w:p w14:paraId="01D58958" w14:textId="77777777" w:rsidR="00C443F5" w:rsidRPr="00C443F5" w:rsidRDefault="00C443F5" w:rsidP="00C443F5">
      <w:pPr>
        <w:spacing w:after="200"/>
        <w:ind w:firstLine="720"/>
        <w:contextualSpacing/>
        <w:rPr>
          <w:b/>
          <w:bCs/>
        </w:rPr>
      </w:pPr>
    </w:p>
    <w:p w14:paraId="7802B52E" w14:textId="77777777" w:rsidR="00C443F5" w:rsidRPr="00C443F5" w:rsidRDefault="00C443F5" w:rsidP="00C443F5">
      <w:pPr>
        <w:spacing w:after="200"/>
        <w:ind w:firstLine="720"/>
        <w:contextualSpacing/>
        <w:rPr>
          <w:snapToGrid w:val="0"/>
        </w:rPr>
      </w:pPr>
      <w:r w:rsidRPr="00C443F5">
        <w:rPr>
          <w:b/>
          <w:bCs/>
        </w:rPr>
        <w:t>ORDERED FURTHER</w:t>
      </w:r>
      <w:r w:rsidRPr="00C443F5">
        <w:t xml:space="preserve">, that the </w:t>
      </w:r>
      <w:r w:rsidRPr="00C443F5">
        <w:rPr>
          <w:snapToGrid w:val="0"/>
        </w:rPr>
        <w:t xml:space="preserve">Commission approves that of the </w:t>
      </w:r>
      <w:r w:rsidRPr="00C443F5">
        <w:rPr>
          <w:b/>
          <w:snapToGrid w:val="0"/>
        </w:rPr>
        <w:t>$19,657,977</w:t>
      </w:r>
      <w:r w:rsidRPr="00C443F5">
        <w:rPr>
          <w:snapToGrid w:val="0"/>
        </w:rPr>
        <w:t xml:space="preserve"> requested for the McIntosh County Project, the Commission approved that the remaining 2022-2023 ECON-1funding of </w:t>
      </w:r>
      <w:r w:rsidRPr="00C443F5">
        <w:rPr>
          <w:b/>
          <w:snapToGrid w:val="0"/>
        </w:rPr>
        <w:t>$4,828,548</w:t>
      </w:r>
      <w:r w:rsidRPr="00C443F5">
        <w:rPr>
          <w:snapToGrid w:val="0"/>
        </w:rPr>
        <w:t xml:space="preserve"> allotted for the </w:t>
      </w:r>
      <w:proofErr w:type="spellStart"/>
      <w:r w:rsidRPr="00C443F5">
        <w:rPr>
          <w:snapToGrid w:val="0"/>
        </w:rPr>
        <w:t>Igneo</w:t>
      </w:r>
      <w:proofErr w:type="spellEnd"/>
      <w:r w:rsidRPr="00C443F5">
        <w:rPr>
          <w:snapToGrid w:val="0"/>
        </w:rPr>
        <w:t xml:space="preserve"> project be used for the McIntosh County Project, and the remaining </w:t>
      </w:r>
      <w:r w:rsidRPr="00C443F5">
        <w:rPr>
          <w:b/>
          <w:snapToGrid w:val="0"/>
        </w:rPr>
        <w:t>$14,829,429</w:t>
      </w:r>
      <w:r w:rsidRPr="00C443F5">
        <w:rPr>
          <w:snapToGrid w:val="0"/>
        </w:rPr>
        <w:t xml:space="preserve"> needed will be funded by USF.</w:t>
      </w:r>
    </w:p>
    <w:p w14:paraId="1AED991B" w14:textId="77777777" w:rsidR="00C443F5" w:rsidRPr="00C443F5" w:rsidRDefault="00C443F5" w:rsidP="00C443F5">
      <w:pPr>
        <w:spacing w:before="200"/>
        <w:ind w:firstLine="720"/>
        <w:contextualSpacing/>
      </w:pPr>
      <w:proofErr w:type="gramStart"/>
      <w:r w:rsidRPr="00C443F5">
        <w:rPr>
          <w:b/>
        </w:rPr>
        <w:t>ORDERED FURTHER</w:t>
      </w:r>
      <w:r w:rsidRPr="00C443F5">
        <w:t>, that</w:t>
      </w:r>
      <w:proofErr w:type="gramEnd"/>
      <w:r w:rsidRPr="00C443F5">
        <w:t xml:space="preserve"> the Commission approves the withdrawal of the </w:t>
      </w:r>
      <w:proofErr w:type="spellStart"/>
      <w:r w:rsidRPr="00C443F5">
        <w:t>Igneo</w:t>
      </w:r>
      <w:proofErr w:type="spellEnd"/>
      <w:r w:rsidRPr="00C443F5">
        <w:t xml:space="preserve"> Project to allow its funds to be used for Project Forage and the McIntosh County Project.</w:t>
      </w:r>
    </w:p>
    <w:p w14:paraId="281760E0" w14:textId="77777777" w:rsidR="00C443F5" w:rsidRPr="00C443F5" w:rsidRDefault="00C443F5" w:rsidP="00C443F5">
      <w:pPr>
        <w:spacing w:before="200"/>
        <w:ind w:firstLine="720"/>
        <w:contextualSpacing/>
      </w:pPr>
    </w:p>
    <w:p w14:paraId="23EC3077" w14:textId="77777777" w:rsidR="00C443F5" w:rsidRPr="00C443F5" w:rsidRDefault="00C443F5" w:rsidP="00C443F5">
      <w:pPr>
        <w:spacing w:after="200"/>
        <w:ind w:firstLine="720"/>
        <w:contextualSpacing/>
        <w:rPr>
          <w:snapToGrid w:val="0"/>
        </w:rPr>
      </w:pPr>
      <w:r w:rsidRPr="00C443F5">
        <w:rPr>
          <w:b/>
          <w:snapToGrid w:val="0"/>
        </w:rPr>
        <w:t>ORDERED FURTHER</w:t>
      </w:r>
      <w:r w:rsidRPr="00C443F5">
        <w:rPr>
          <w:snapToGrid w:val="0"/>
        </w:rPr>
        <w:t xml:space="preserve">, that the Commission approves the Jackson County Project in the amount of </w:t>
      </w:r>
      <w:r w:rsidRPr="00C443F5">
        <w:rPr>
          <w:b/>
          <w:snapToGrid w:val="0"/>
        </w:rPr>
        <w:t>$150,663</w:t>
      </w:r>
      <w:r w:rsidRPr="00C443F5">
        <w:rPr>
          <w:snapToGrid w:val="0"/>
        </w:rPr>
        <w:t>.</w:t>
      </w:r>
    </w:p>
    <w:p w14:paraId="370C1CD3" w14:textId="77777777" w:rsidR="00C443F5" w:rsidRPr="00C443F5" w:rsidRDefault="00C443F5" w:rsidP="00C443F5">
      <w:pPr>
        <w:spacing w:after="200"/>
        <w:ind w:firstLine="720"/>
        <w:contextualSpacing/>
        <w:rPr>
          <w:b/>
          <w:snapToGrid w:val="0"/>
        </w:rPr>
      </w:pPr>
    </w:p>
    <w:p w14:paraId="66BA8B17" w14:textId="77777777" w:rsidR="00C443F5" w:rsidRPr="00C443F5" w:rsidRDefault="00C443F5" w:rsidP="00C443F5">
      <w:pPr>
        <w:spacing w:after="200"/>
        <w:ind w:firstLine="720"/>
        <w:contextualSpacing/>
        <w:rPr>
          <w:snapToGrid w:val="0"/>
        </w:rPr>
      </w:pPr>
      <w:r w:rsidRPr="00C443F5">
        <w:rPr>
          <w:b/>
          <w:snapToGrid w:val="0"/>
        </w:rPr>
        <w:t>ORDERED FURTHER</w:t>
      </w:r>
      <w:r w:rsidRPr="00C443F5">
        <w:rPr>
          <w:snapToGrid w:val="0"/>
        </w:rPr>
        <w:t xml:space="preserve">, that the Commission approves the Athens-Clark County as an ECON-1 project in Docket No. 41559 using the 2024 ECON-1 funding in the amount of </w:t>
      </w:r>
      <w:r w:rsidRPr="00C443F5">
        <w:rPr>
          <w:b/>
          <w:snapToGrid w:val="0"/>
        </w:rPr>
        <w:t>$1,321,203</w:t>
      </w:r>
      <w:r w:rsidRPr="00C443F5">
        <w:rPr>
          <w:snapToGrid w:val="0"/>
        </w:rPr>
        <w:t>.</w:t>
      </w:r>
    </w:p>
    <w:p w14:paraId="1D76D34A" w14:textId="77777777" w:rsidR="00C443F5" w:rsidRPr="00C443F5" w:rsidRDefault="00C443F5" w:rsidP="00C443F5">
      <w:pPr>
        <w:spacing w:after="200"/>
        <w:ind w:firstLine="720"/>
        <w:contextualSpacing/>
        <w:rPr>
          <w:b/>
          <w:snapToGrid w:val="0"/>
        </w:rPr>
      </w:pPr>
    </w:p>
    <w:p w14:paraId="729480DE" w14:textId="77777777" w:rsidR="00C443F5" w:rsidRPr="00C443F5" w:rsidRDefault="00C443F5" w:rsidP="00C443F5">
      <w:pPr>
        <w:spacing w:after="200"/>
        <w:ind w:firstLine="720"/>
        <w:contextualSpacing/>
        <w:rPr>
          <w:bCs/>
          <w:snapToGrid w:val="0"/>
        </w:rPr>
      </w:pPr>
      <w:r w:rsidRPr="00C443F5">
        <w:rPr>
          <w:b/>
          <w:snapToGrid w:val="0"/>
        </w:rPr>
        <w:t>ORDERED FURTHER</w:t>
      </w:r>
      <w:r w:rsidRPr="00C443F5">
        <w:rPr>
          <w:snapToGrid w:val="0"/>
        </w:rPr>
        <w:t xml:space="preserve">, that the </w:t>
      </w:r>
      <w:r w:rsidRPr="00C443F5">
        <w:rPr>
          <w:bCs/>
          <w:snapToGrid w:val="0"/>
        </w:rPr>
        <w:t>Commission denies AGL’s language in its October 2</w:t>
      </w:r>
      <w:r w:rsidRPr="00C443F5">
        <w:rPr>
          <w:bCs/>
          <w:snapToGrid w:val="0"/>
          <w:vertAlign w:val="superscript"/>
        </w:rPr>
        <w:t>nd</w:t>
      </w:r>
      <w:r w:rsidRPr="00C443F5">
        <w:rPr>
          <w:bCs/>
          <w:snapToGrid w:val="0"/>
        </w:rPr>
        <w:t xml:space="preserve"> petition third paragraph sentences 4 and 5 and the October 6</w:t>
      </w:r>
      <w:r w:rsidRPr="00C443F5">
        <w:rPr>
          <w:bCs/>
          <w:snapToGrid w:val="0"/>
          <w:vertAlign w:val="superscript"/>
        </w:rPr>
        <w:t>th</w:t>
      </w:r>
      <w:r w:rsidRPr="00C443F5">
        <w:rPr>
          <w:bCs/>
          <w:snapToGrid w:val="0"/>
        </w:rPr>
        <w:t xml:space="preserve"> petition third paragraph and third sentence and approved Staff’s language from the Commission Rule 515-7-5-.07(1), which states:</w:t>
      </w:r>
    </w:p>
    <w:p w14:paraId="4620AD53" w14:textId="77777777" w:rsidR="00C443F5" w:rsidRPr="00C443F5" w:rsidRDefault="00C443F5" w:rsidP="00C443F5">
      <w:pPr>
        <w:spacing w:after="200"/>
        <w:ind w:left="1440"/>
        <w:contextualSpacing/>
        <w:rPr>
          <w:snapToGrid w:val="0"/>
        </w:rPr>
      </w:pPr>
    </w:p>
    <w:p w14:paraId="6EA6198C" w14:textId="77777777" w:rsidR="00C443F5" w:rsidRPr="00C443F5" w:rsidRDefault="00C443F5" w:rsidP="00C443F5">
      <w:pPr>
        <w:spacing w:after="200"/>
        <w:ind w:left="1440"/>
        <w:contextualSpacing/>
        <w:rPr>
          <w:snapToGrid w:val="0"/>
        </w:rPr>
      </w:pPr>
      <w:r w:rsidRPr="00C443F5">
        <w:rPr>
          <w:snapToGrid w:val="0"/>
        </w:rPr>
        <w:t>“The disbursements to the EDC for completed projects will be for actual costs that are below the EDC's 5% budget cap for that Annual Plan year. The disbursements for completed projects will be limited to unencumbered funds in the USF. For any amounts that exceed the 5% budget cap or the unencumbered USF funds, those amounts will go into the EDC's rate base for ratemaking purposes.”</w:t>
      </w:r>
    </w:p>
    <w:p w14:paraId="752F0C3D" w14:textId="77777777" w:rsidR="00C443F5" w:rsidRPr="00C443F5" w:rsidRDefault="00C443F5" w:rsidP="00C443F5">
      <w:pPr>
        <w:ind w:firstLine="720"/>
        <w:contextualSpacing/>
        <w:jc w:val="both"/>
        <w:rPr>
          <w:b/>
        </w:rPr>
      </w:pPr>
    </w:p>
    <w:p w14:paraId="28F56E15" w14:textId="77777777" w:rsidR="00C443F5" w:rsidRPr="00C443F5" w:rsidRDefault="00C443F5" w:rsidP="00C443F5">
      <w:pPr>
        <w:ind w:firstLine="720"/>
        <w:contextualSpacing/>
        <w:jc w:val="both"/>
      </w:pPr>
      <w:r w:rsidRPr="00C443F5">
        <w:rPr>
          <w:b/>
        </w:rPr>
        <w:t xml:space="preserve">ORDERED FURTHER, </w:t>
      </w:r>
      <w:r w:rsidRPr="00C443F5">
        <w:t>that all findings, conclusions, statements, and directives made by the Commission and contained in the foregoing sections of this Order are hereby adopted as findings of fact, conclusions of law, statements of regulatory policy, and orders of this Commission.</w:t>
      </w:r>
    </w:p>
    <w:p w14:paraId="6A8CE116" w14:textId="77777777" w:rsidR="00C443F5" w:rsidRPr="00C443F5" w:rsidRDefault="00C443F5" w:rsidP="00C443F5">
      <w:pPr>
        <w:ind w:firstLine="720"/>
        <w:contextualSpacing/>
        <w:jc w:val="both"/>
      </w:pPr>
    </w:p>
    <w:p w14:paraId="39A3F171" w14:textId="77777777" w:rsidR="00C443F5" w:rsidRPr="00C443F5" w:rsidRDefault="00C443F5" w:rsidP="00C443F5">
      <w:pPr>
        <w:ind w:firstLine="720"/>
        <w:jc w:val="both"/>
      </w:pPr>
      <w:r w:rsidRPr="00C443F5">
        <w:rPr>
          <w:b/>
        </w:rPr>
        <w:t>ORDERED FURTHER,</w:t>
      </w:r>
      <w:r w:rsidRPr="00C443F5">
        <w:t xml:space="preserve"> that a motion for reconsideration, rehearing, or oral argument or any other motion shall not stay the effective date of this Order, unless otherwise ordered by the Commission.</w:t>
      </w:r>
    </w:p>
    <w:p w14:paraId="61725DD5" w14:textId="77777777" w:rsidR="00C443F5" w:rsidRPr="00C443F5" w:rsidRDefault="00C443F5" w:rsidP="00C443F5">
      <w:pPr>
        <w:ind w:firstLine="720"/>
        <w:jc w:val="both"/>
      </w:pPr>
    </w:p>
    <w:p w14:paraId="7B868FCA" w14:textId="77777777" w:rsidR="00C443F5" w:rsidRPr="00C443F5" w:rsidRDefault="00C443F5" w:rsidP="00C443F5">
      <w:pPr>
        <w:widowControl w:val="0"/>
        <w:ind w:firstLine="720"/>
        <w:contextualSpacing/>
        <w:jc w:val="both"/>
        <w:rPr>
          <w:b/>
          <w:bCs/>
          <w:snapToGrid w:val="0"/>
        </w:rPr>
      </w:pPr>
      <w:r w:rsidRPr="00C443F5">
        <w:rPr>
          <w:b/>
          <w:bCs/>
          <w:snapToGrid w:val="0"/>
        </w:rPr>
        <w:t>ORDERED FURTHER</w:t>
      </w:r>
      <w:r w:rsidRPr="00C443F5">
        <w:rPr>
          <w:bCs/>
          <w:snapToGrid w:val="0"/>
        </w:rPr>
        <w:t>,</w:t>
      </w:r>
      <w:r w:rsidRPr="00C443F5">
        <w:rPr>
          <w:b/>
          <w:bCs/>
          <w:snapToGrid w:val="0"/>
        </w:rPr>
        <w:t xml:space="preserve"> </w:t>
      </w:r>
      <w:r w:rsidRPr="00C443F5">
        <w:rPr>
          <w:bCs/>
          <w:snapToGrid w:val="0"/>
        </w:rPr>
        <w:t xml:space="preserve">that jurisdiction over this matter is expressly retained for the purpose of entering such further Order or Orders as the Commission may deem just and proper. </w:t>
      </w:r>
    </w:p>
    <w:p w14:paraId="7447294C" w14:textId="77777777" w:rsidR="00C443F5" w:rsidRPr="00C443F5" w:rsidRDefault="00C443F5" w:rsidP="00C443F5">
      <w:pPr>
        <w:widowControl w:val="0"/>
        <w:contextualSpacing/>
        <w:jc w:val="both"/>
        <w:rPr>
          <w:b/>
          <w:bCs/>
          <w:snapToGrid w:val="0"/>
        </w:rPr>
      </w:pPr>
    </w:p>
    <w:p w14:paraId="69083E9F" w14:textId="77777777" w:rsidR="00C443F5" w:rsidRPr="00C443F5" w:rsidRDefault="00C443F5" w:rsidP="00C443F5">
      <w:pPr>
        <w:widowControl w:val="0"/>
        <w:rPr>
          <w:snapToGrid w:val="0"/>
          <w:szCs w:val="20"/>
        </w:rPr>
      </w:pPr>
    </w:p>
    <w:p w14:paraId="7C5736E5" w14:textId="77777777" w:rsidR="00C443F5" w:rsidRPr="00C443F5" w:rsidRDefault="00C443F5" w:rsidP="00C443F5">
      <w:pPr>
        <w:widowControl w:val="0"/>
        <w:ind w:firstLine="720"/>
        <w:contextualSpacing/>
        <w:jc w:val="both"/>
        <w:rPr>
          <w:bCs/>
          <w:snapToGrid w:val="0"/>
        </w:rPr>
      </w:pPr>
      <w:r w:rsidRPr="00C443F5">
        <w:rPr>
          <w:bCs/>
          <w:snapToGrid w:val="0"/>
        </w:rPr>
        <w:t>The above by action of the Commission in Administrative Session on the</w:t>
      </w:r>
      <w:r w:rsidRPr="00C443F5">
        <w:rPr>
          <w:bCs/>
          <w:snapToGrid w:val="0"/>
          <w:vertAlign w:val="superscript"/>
        </w:rPr>
        <w:t xml:space="preserve"> </w:t>
      </w:r>
      <w:r w:rsidRPr="00C443F5">
        <w:rPr>
          <w:bCs/>
          <w:snapToGrid w:val="0"/>
        </w:rPr>
        <w:t>19</w:t>
      </w:r>
      <w:r w:rsidRPr="00C443F5">
        <w:rPr>
          <w:bCs/>
          <w:snapToGrid w:val="0"/>
          <w:vertAlign w:val="superscript"/>
        </w:rPr>
        <w:t>th</w:t>
      </w:r>
      <w:r w:rsidRPr="00C443F5">
        <w:rPr>
          <w:bCs/>
          <w:snapToGrid w:val="0"/>
        </w:rPr>
        <w:t xml:space="preserve"> day of December 2023.</w:t>
      </w:r>
    </w:p>
    <w:p w14:paraId="38E1E6ED" w14:textId="77777777" w:rsidR="00C443F5" w:rsidRPr="00C443F5" w:rsidRDefault="00C443F5" w:rsidP="00C443F5">
      <w:pPr>
        <w:widowControl w:val="0"/>
        <w:ind w:left="360"/>
        <w:jc w:val="both"/>
        <w:rPr>
          <w:snapToGrid w:val="0"/>
        </w:rPr>
      </w:pPr>
    </w:p>
    <w:p w14:paraId="4D64F620" w14:textId="77777777" w:rsidR="00C443F5" w:rsidRPr="00C443F5" w:rsidRDefault="00C443F5" w:rsidP="00C443F5">
      <w:pPr>
        <w:widowControl w:val="0"/>
        <w:jc w:val="both"/>
        <w:rPr>
          <w:snapToGrid w:val="0"/>
        </w:rPr>
      </w:pPr>
    </w:p>
    <w:p w14:paraId="35431646" w14:textId="77777777" w:rsidR="00C443F5" w:rsidRPr="00C443F5" w:rsidRDefault="00C443F5" w:rsidP="00C443F5">
      <w:pPr>
        <w:widowControl w:val="0"/>
        <w:jc w:val="both"/>
        <w:rPr>
          <w:snapToGrid w:val="0"/>
          <w:u w:val="single"/>
        </w:rPr>
      </w:pPr>
      <w:r w:rsidRPr="00C443F5">
        <w:rPr>
          <w:snapToGrid w:val="0"/>
          <w:u w:val="single"/>
        </w:rPr>
        <w:tab/>
      </w:r>
      <w:r w:rsidRPr="00C443F5">
        <w:rPr>
          <w:snapToGrid w:val="0"/>
          <w:u w:val="single"/>
        </w:rPr>
        <w:tab/>
      </w:r>
      <w:r w:rsidRPr="00C443F5">
        <w:rPr>
          <w:snapToGrid w:val="0"/>
          <w:u w:val="single"/>
        </w:rPr>
        <w:tab/>
      </w:r>
      <w:r w:rsidRPr="00C443F5">
        <w:rPr>
          <w:snapToGrid w:val="0"/>
          <w:u w:val="single"/>
        </w:rPr>
        <w:tab/>
      </w:r>
      <w:r w:rsidRPr="00C443F5">
        <w:rPr>
          <w:snapToGrid w:val="0"/>
          <w:u w:val="single"/>
        </w:rPr>
        <w:tab/>
      </w:r>
      <w:r w:rsidRPr="00C443F5">
        <w:rPr>
          <w:snapToGrid w:val="0"/>
        </w:rPr>
        <w:tab/>
      </w:r>
      <w:r w:rsidRPr="00C443F5">
        <w:rPr>
          <w:snapToGrid w:val="0"/>
        </w:rPr>
        <w:tab/>
      </w:r>
      <w:r w:rsidRPr="00C443F5">
        <w:rPr>
          <w:snapToGrid w:val="0"/>
        </w:rPr>
        <w:tab/>
      </w:r>
      <w:r w:rsidRPr="00C443F5">
        <w:rPr>
          <w:snapToGrid w:val="0"/>
          <w:u w:val="single"/>
        </w:rPr>
        <w:tab/>
      </w:r>
      <w:r w:rsidRPr="00C443F5">
        <w:rPr>
          <w:snapToGrid w:val="0"/>
          <w:u w:val="single"/>
        </w:rPr>
        <w:tab/>
      </w:r>
      <w:r w:rsidRPr="00C443F5">
        <w:rPr>
          <w:snapToGrid w:val="0"/>
          <w:u w:val="single"/>
        </w:rPr>
        <w:tab/>
      </w:r>
      <w:r w:rsidRPr="00C443F5">
        <w:rPr>
          <w:snapToGrid w:val="0"/>
          <w:u w:val="single"/>
        </w:rPr>
        <w:tab/>
      </w:r>
      <w:r w:rsidRPr="00C443F5">
        <w:rPr>
          <w:snapToGrid w:val="0"/>
          <w:u w:val="single"/>
        </w:rPr>
        <w:tab/>
      </w:r>
    </w:p>
    <w:p w14:paraId="69BA3D70" w14:textId="77777777" w:rsidR="00C443F5" w:rsidRPr="00C443F5" w:rsidRDefault="00C443F5" w:rsidP="00C443F5">
      <w:pPr>
        <w:widowControl w:val="0"/>
        <w:jc w:val="both"/>
        <w:rPr>
          <w:bCs/>
          <w:snapToGrid w:val="0"/>
        </w:rPr>
      </w:pPr>
      <w:r w:rsidRPr="00C443F5">
        <w:rPr>
          <w:bCs/>
          <w:snapToGrid w:val="0"/>
        </w:rPr>
        <w:t>Sallie Tanner</w:t>
      </w:r>
      <w:r w:rsidRPr="00C443F5">
        <w:rPr>
          <w:bCs/>
          <w:snapToGrid w:val="0"/>
        </w:rPr>
        <w:tab/>
      </w:r>
      <w:r w:rsidRPr="00C443F5">
        <w:rPr>
          <w:bCs/>
          <w:snapToGrid w:val="0"/>
        </w:rPr>
        <w:tab/>
      </w:r>
      <w:r w:rsidRPr="00C443F5">
        <w:rPr>
          <w:bCs/>
          <w:snapToGrid w:val="0"/>
        </w:rPr>
        <w:tab/>
      </w:r>
      <w:r w:rsidRPr="00C443F5">
        <w:rPr>
          <w:bCs/>
          <w:snapToGrid w:val="0"/>
        </w:rPr>
        <w:tab/>
      </w:r>
      <w:r w:rsidRPr="00C443F5">
        <w:rPr>
          <w:bCs/>
          <w:snapToGrid w:val="0"/>
        </w:rPr>
        <w:tab/>
      </w:r>
      <w:r w:rsidRPr="00C443F5">
        <w:rPr>
          <w:bCs/>
          <w:snapToGrid w:val="0"/>
        </w:rPr>
        <w:tab/>
      </w:r>
      <w:r w:rsidRPr="00C443F5">
        <w:rPr>
          <w:bCs/>
          <w:snapToGrid w:val="0"/>
        </w:rPr>
        <w:tab/>
        <w:t>Jason Shaw</w:t>
      </w:r>
    </w:p>
    <w:p w14:paraId="28D3F2DE" w14:textId="77777777" w:rsidR="00C443F5" w:rsidRPr="00C443F5" w:rsidRDefault="00C443F5" w:rsidP="00C443F5">
      <w:pPr>
        <w:widowControl w:val="0"/>
        <w:jc w:val="both"/>
        <w:rPr>
          <w:bCs/>
          <w:snapToGrid w:val="0"/>
        </w:rPr>
      </w:pPr>
      <w:r w:rsidRPr="00C443F5">
        <w:rPr>
          <w:bCs/>
          <w:snapToGrid w:val="0"/>
        </w:rPr>
        <w:t>Executive Secretary</w:t>
      </w:r>
      <w:r w:rsidRPr="00C443F5">
        <w:rPr>
          <w:bCs/>
          <w:snapToGrid w:val="0"/>
        </w:rPr>
        <w:tab/>
      </w:r>
      <w:r w:rsidRPr="00C443F5">
        <w:rPr>
          <w:bCs/>
          <w:snapToGrid w:val="0"/>
        </w:rPr>
        <w:tab/>
      </w:r>
      <w:r w:rsidRPr="00C443F5">
        <w:rPr>
          <w:bCs/>
          <w:snapToGrid w:val="0"/>
        </w:rPr>
        <w:tab/>
      </w:r>
      <w:r w:rsidRPr="00C443F5">
        <w:rPr>
          <w:bCs/>
          <w:snapToGrid w:val="0"/>
        </w:rPr>
        <w:tab/>
      </w:r>
      <w:r w:rsidRPr="00C443F5">
        <w:rPr>
          <w:bCs/>
          <w:snapToGrid w:val="0"/>
        </w:rPr>
        <w:tab/>
      </w:r>
      <w:r w:rsidRPr="00C443F5">
        <w:rPr>
          <w:bCs/>
          <w:snapToGrid w:val="0"/>
        </w:rPr>
        <w:tab/>
        <w:t>Chairman</w:t>
      </w:r>
    </w:p>
    <w:p w14:paraId="6618E7D1" w14:textId="77777777" w:rsidR="00C443F5" w:rsidRPr="00C443F5" w:rsidRDefault="00C443F5" w:rsidP="00C443F5">
      <w:pPr>
        <w:widowControl w:val="0"/>
        <w:ind w:left="360"/>
        <w:jc w:val="both"/>
        <w:rPr>
          <w:snapToGrid w:val="0"/>
          <w:szCs w:val="20"/>
        </w:rPr>
      </w:pPr>
    </w:p>
    <w:p w14:paraId="64822D77" w14:textId="77777777" w:rsidR="00C443F5" w:rsidRPr="00C443F5" w:rsidRDefault="00C443F5" w:rsidP="00C443F5">
      <w:pPr>
        <w:widowControl w:val="0"/>
        <w:jc w:val="both"/>
        <w:rPr>
          <w:snapToGrid w:val="0"/>
          <w:u w:val="single"/>
        </w:rPr>
      </w:pPr>
    </w:p>
    <w:p w14:paraId="711727B0" w14:textId="77777777" w:rsidR="00C443F5" w:rsidRPr="00C443F5" w:rsidRDefault="00C443F5" w:rsidP="00C443F5">
      <w:pPr>
        <w:widowControl w:val="0"/>
        <w:jc w:val="both"/>
        <w:rPr>
          <w:snapToGrid w:val="0"/>
          <w:u w:val="single"/>
        </w:rPr>
      </w:pPr>
      <w:r w:rsidRPr="00C443F5">
        <w:rPr>
          <w:snapToGrid w:val="0"/>
          <w:u w:val="single"/>
        </w:rPr>
        <w:tab/>
      </w:r>
      <w:r w:rsidRPr="00C443F5">
        <w:rPr>
          <w:snapToGrid w:val="0"/>
          <w:u w:val="single"/>
        </w:rPr>
        <w:tab/>
      </w:r>
      <w:r w:rsidRPr="00C443F5">
        <w:rPr>
          <w:snapToGrid w:val="0"/>
          <w:u w:val="single"/>
        </w:rPr>
        <w:tab/>
      </w:r>
      <w:r w:rsidRPr="00C443F5">
        <w:rPr>
          <w:snapToGrid w:val="0"/>
          <w:u w:val="single"/>
        </w:rPr>
        <w:tab/>
      </w:r>
      <w:r w:rsidRPr="00C443F5">
        <w:rPr>
          <w:snapToGrid w:val="0"/>
          <w:u w:val="single"/>
        </w:rPr>
        <w:tab/>
      </w:r>
      <w:r w:rsidRPr="00C443F5">
        <w:rPr>
          <w:snapToGrid w:val="0"/>
        </w:rPr>
        <w:tab/>
      </w:r>
      <w:r w:rsidRPr="00C443F5">
        <w:rPr>
          <w:snapToGrid w:val="0"/>
        </w:rPr>
        <w:tab/>
      </w:r>
      <w:r w:rsidRPr="00C443F5">
        <w:rPr>
          <w:snapToGrid w:val="0"/>
        </w:rPr>
        <w:tab/>
      </w:r>
      <w:r w:rsidRPr="00C443F5">
        <w:rPr>
          <w:snapToGrid w:val="0"/>
          <w:u w:val="single"/>
        </w:rPr>
        <w:tab/>
      </w:r>
      <w:r w:rsidRPr="00C443F5">
        <w:rPr>
          <w:snapToGrid w:val="0"/>
          <w:u w:val="single"/>
        </w:rPr>
        <w:tab/>
      </w:r>
      <w:r w:rsidRPr="00C443F5">
        <w:rPr>
          <w:snapToGrid w:val="0"/>
          <w:u w:val="single"/>
        </w:rPr>
        <w:tab/>
      </w:r>
      <w:r w:rsidRPr="00C443F5">
        <w:rPr>
          <w:snapToGrid w:val="0"/>
          <w:u w:val="single"/>
        </w:rPr>
        <w:tab/>
      </w:r>
      <w:r w:rsidRPr="00C443F5">
        <w:rPr>
          <w:snapToGrid w:val="0"/>
          <w:u w:val="single"/>
        </w:rPr>
        <w:tab/>
      </w:r>
    </w:p>
    <w:p w14:paraId="205A75A3" w14:textId="77777777" w:rsidR="00C443F5" w:rsidRPr="00C443F5" w:rsidRDefault="00C443F5" w:rsidP="00C443F5">
      <w:pPr>
        <w:widowControl w:val="0"/>
        <w:jc w:val="both"/>
        <w:rPr>
          <w:bCs/>
          <w:snapToGrid w:val="0"/>
          <w:szCs w:val="20"/>
        </w:rPr>
      </w:pPr>
      <w:r w:rsidRPr="00C443F5">
        <w:rPr>
          <w:bCs/>
          <w:snapToGrid w:val="0"/>
          <w:szCs w:val="20"/>
        </w:rPr>
        <w:t>Date</w:t>
      </w:r>
      <w:r w:rsidRPr="00C443F5">
        <w:rPr>
          <w:snapToGrid w:val="0"/>
          <w:szCs w:val="20"/>
        </w:rPr>
        <w:tab/>
      </w:r>
      <w:r w:rsidRPr="00C443F5">
        <w:rPr>
          <w:snapToGrid w:val="0"/>
          <w:szCs w:val="20"/>
        </w:rPr>
        <w:tab/>
      </w:r>
      <w:r w:rsidRPr="00C443F5">
        <w:rPr>
          <w:snapToGrid w:val="0"/>
          <w:szCs w:val="20"/>
        </w:rPr>
        <w:tab/>
      </w:r>
      <w:r w:rsidRPr="00C443F5">
        <w:rPr>
          <w:snapToGrid w:val="0"/>
          <w:szCs w:val="20"/>
        </w:rPr>
        <w:tab/>
      </w:r>
      <w:r w:rsidRPr="00C443F5">
        <w:rPr>
          <w:snapToGrid w:val="0"/>
          <w:szCs w:val="20"/>
        </w:rPr>
        <w:tab/>
      </w:r>
      <w:r w:rsidRPr="00C443F5">
        <w:rPr>
          <w:snapToGrid w:val="0"/>
          <w:szCs w:val="20"/>
        </w:rPr>
        <w:tab/>
      </w:r>
      <w:r w:rsidRPr="00C443F5">
        <w:rPr>
          <w:snapToGrid w:val="0"/>
          <w:szCs w:val="20"/>
        </w:rPr>
        <w:tab/>
      </w:r>
      <w:r w:rsidRPr="00C443F5">
        <w:rPr>
          <w:snapToGrid w:val="0"/>
          <w:szCs w:val="20"/>
        </w:rPr>
        <w:tab/>
      </w:r>
      <w:proofErr w:type="spellStart"/>
      <w:r w:rsidRPr="00C443F5">
        <w:rPr>
          <w:bCs/>
          <w:snapToGrid w:val="0"/>
          <w:szCs w:val="20"/>
        </w:rPr>
        <w:t>Date</w:t>
      </w:r>
      <w:proofErr w:type="spellEnd"/>
    </w:p>
    <w:p w14:paraId="495FBADE" w14:textId="77777777" w:rsidR="00C443F5" w:rsidRPr="00C443F5" w:rsidRDefault="00C443F5" w:rsidP="00C443F5">
      <w:pPr>
        <w:spacing w:after="200"/>
        <w:rPr>
          <w:snapToGrid w:val="0"/>
        </w:rPr>
      </w:pPr>
    </w:p>
    <w:p w14:paraId="7890A984" w14:textId="77777777" w:rsidR="00C443F5" w:rsidRPr="00C443F5" w:rsidRDefault="00C443F5" w:rsidP="00C443F5">
      <w:pPr>
        <w:spacing w:after="200"/>
        <w:rPr>
          <w:snapToGrid w:val="0"/>
        </w:rPr>
      </w:pPr>
    </w:p>
    <w:p w14:paraId="60C4291C" w14:textId="77777777" w:rsidR="00C443F5" w:rsidRPr="00C443F5" w:rsidRDefault="00C443F5" w:rsidP="00C443F5">
      <w:pPr>
        <w:spacing w:after="200"/>
        <w:rPr>
          <w:snapToGrid w:val="0"/>
        </w:rPr>
      </w:pPr>
    </w:p>
    <w:p w14:paraId="6069F043" w14:textId="77777777" w:rsidR="00C443F5" w:rsidRPr="00C443F5" w:rsidRDefault="00C443F5" w:rsidP="00C443F5">
      <w:pPr>
        <w:spacing w:after="200"/>
        <w:rPr>
          <w:snapToGrid w:val="0"/>
        </w:rPr>
      </w:pPr>
    </w:p>
    <w:p w14:paraId="5B33130E" w14:textId="77777777" w:rsidR="00C443F5" w:rsidRPr="00C443F5" w:rsidRDefault="00C443F5" w:rsidP="00C443F5">
      <w:pPr>
        <w:spacing w:after="200"/>
        <w:rPr>
          <w:snapToGrid w:val="0"/>
        </w:rPr>
      </w:pPr>
    </w:p>
    <w:p w14:paraId="516EDC52" w14:textId="77777777" w:rsidR="00C443F5" w:rsidRPr="00C443F5" w:rsidRDefault="00C443F5" w:rsidP="00C443F5">
      <w:pPr>
        <w:spacing w:after="200"/>
        <w:rPr>
          <w:snapToGrid w:val="0"/>
        </w:rPr>
      </w:pPr>
    </w:p>
    <w:p w14:paraId="250726A2" w14:textId="77777777" w:rsidR="00C443F5" w:rsidRPr="00C443F5" w:rsidRDefault="00C443F5" w:rsidP="00C443F5">
      <w:pPr>
        <w:spacing w:after="200"/>
        <w:rPr>
          <w:snapToGrid w:val="0"/>
        </w:rPr>
      </w:pPr>
    </w:p>
    <w:p w14:paraId="1E61DD76" w14:textId="77777777" w:rsidR="00C443F5" w:rsidRPr="00C443F5" w:rsidRDefault="00C443F5" w:rsidP="00C443F5">
      <w:pPr>
        <w:spacing w:after="200"/>
        <w:rPr>
          <w:snapToGrid w:val="0"/>
        </w:rPr>
      </w:pPr>
    </w:p>
    <w:p w14:paraId="2B79ABB8" w14:textId="77777777" w:rsidR="00C443F5" w:rsidRPr="00C443F5" w:rsidRDefault="00C443F5" w:rsidP="00C443F5">
      <w:pPr>
        <w:spacing w:after="200"/>
        <w:rPr>
          <w:snapToGrid w:val="0"/>
        </w:rPr>
      </w:pPr>
    </w:p>
    <w:p w14:paraId="75BD7FFE" w14:textId="77777777" w:rsidR="00C443F5" w:rsidRPr="00C443F5" w:rsidRDefault="00C443F5" w:rsidP="00C443F5">
      <w:pPr>
        <w:tabs>
          <w:tab w:val="left" w:pos="5790"/>
        </w:tabs>
        <w:spacing w:after="200"/>
        <w:rPr>
          <w:snapToGrid w:val="0"/>
        </w:rPr>
      </w:pPr>
      <w:r w:rsidRPr="00C443F5">
        <w:rPr>
          <w:snapToGrid w:val="0"/>
        </w:rPr>
        <w:tab/>
      </w:r>
    </w:p>
    <w:p w14:paraId="39660166" w14:textId="77777777" w:rsidR="009E6D0D" w:rsidRPr="009E6D0D" w:rsidRDefault="009E6D0D" w:rsidP="009E6D0D"/>
    <w:sectPr w:rsidR="009E6D0D" w:rsidRPr="009E6D0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0F92" w14:textId="77777777" w:rsidR="00C443F5" w:rsidRDefault="00C443F5" w:rsidP="00C443F5">
      <w:r>
        <w:separator/>
      </w:r>
    </w:p>
  </w:endnote>
  <w:endnote w:type="continuationSeparator" w:id="0">
    <w:p w14:paraId="4FE7F368" w14:textId="77777777" w:rsidR="00C443F5" w:rsidRDefault="00C443F5" w:rsidP="00C4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382DC" w14:textId="77777777" w:rsidR="00A9367B" w:rsidRPr="00A9367B" w:rsidRDefault="00A9367B">
    <w:pPr>
      <w:pStyle w:val="Footer"/>
      <w:jc w:val="center"/>
      <w:rPr>
        <w:sz w:val="20"/>
        <w:szCs w:val="20"/>
      </w:rPr>
    </w:pPr>
    <w:r w:rsidRPr="00A9367B">
      <w:rPr>
        <w:sz w:val="20"/>
        <w:szCs w:val="20"/>
      </w:rPr>
      <w:t>Docket No. 41559 / 43510  USF 2024 Plan Final Order</w:t>
    </w:r>
  </w:p>
  <w:p w14:paraId="22317157" w14:textId="31728EF8" w:rsidR="00A9367B" w:rsidRPr="00A9367B" w:rsidRDefault="00A9367B">
    <w:pPr>
      <w:pStyle w:val="Footer"/>
      <w:jc w:val="center"/>
      <w:rPr>
        <w:sz w:val="20"/>
        <w:szCs w:val="20"/>
      </w:rPr>
    </w:pPr>
    <w:r w:rsidRPr="00A9367B">
      <w:rPr>
        <w:sz w:val="20"/>
        <w:szCs w:val="20"/>
      </w:rPr>
      <w:t xml:space="preserve">Page </w:t>
    </w:r>
    <w:r w:rsidRPr="00A9367B">
      <w:rPr>
        <w:sz w:val="20"/>
        <w:szCs w:val="20"/>
      </w:rPr>
      <w:fldChar w:fldCharType="begin"/>
    </w:r>
    <w:r w:rsidRPr="00A9367B">
      <w:rPr>
        <w:sz w:val="20"/>
        <w:szCs w:val="20"/>
      </w:rPr>
      <w:instrText xml:space="preserve"> PAGE  \* Arabic  \* MERGEFORMAT </w:instrText>
    </w:r>
    <w:r w:rsidRPr="00A9367B">
      <w:rPr>
        <w:sz w:val="20"/>
        <w:szCs w:val="20"/>
      </w:rPr>
      <w:fldChar w:fldCharType="separate"/>
    </w:r>
    <w:r w:rsidRPr="00A9367B">
      <w:rPr>
        <w:noProof/>
        <w:sz w:val="20"/>
        <w:szCs w:val="20"/>
      </w:rPr>
      <w:t>2</w:t>
    </w:r>
    <w:r w:rsidRPr="00A9367B">
      <w:rPr>
        <w:sz w:val="20"/>
        <w:szCs w:val="20"/>
      </w:rPr>
      <w:fldChar w:fldCharType="end"/>
    </w:r>
    <w:r w:rsidRPr="00A9367B">
      <w:rPr>
        <w:sz w:val="20"/>
        <w:szCs w:val="20"/>
      </w:rPr>
      <w:t xml:space="preserve"> of </w:t>
    </w:r>
    <w:r w:rsidRPr="00A9367B">
      <w:rPr>
        <w:sz w:val="20"/>
        <w:szCs w:val="20"/>
      </w:rPr>
      <w:fldChar w:fldCharType="begin"/>
    </w:r>
    <w:r w:rsidRPr="00A9367B">
      <w:rPr>
        <w:sz w:val="20"/>
        <w:szCs w:val="20"/>
      </w:rPr>
      <w:instrText xml:space="preserve"> NUMPAGES  \* Arabic  \* MERGEFORMAT </w:instrText>
    </w:r>
    <w:r w:rsidRPr="00A9367B">
      <w:rPr>
        <w:sz w:val="20"/>
        <w:szCs w:val="20"/>
      </w:rPr>
      <w:fldChar w:fldCharType="separate"/>
    </w:r>
    <w:r w:rsidRPr="00A9367B">
      <w:rPr>
        <w:noProof/>
        <w:sz w:val="20"/>
        <w:szCs w:val="20"/>
      </w:rPr>
      <w:t>2</w:t>
    </w:r>
    <w:r w:rsidRPr="00A9367B">
      <w:rPr>
        <w:sz w:val="20"/>
        <w:szCs w:val="20"/>
      </w:rPr>
      <w:fldChar w:fldCharType="end"/>
    </w:r>
  </w:p>
  <w:p w14:paraId="69389DDC" w14:textId="77777777" w:rsidR="00A9367B" w:rsidRDefault="00A93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5999" w14:textId="77777777" w:rsidR="00C443F5" w:rsidRDefault="00C443F5" w:rsidP="00C443F5">
      <w:r>
        <w:separator/>
      </w:r>
    </w:p>
  </w:footnote>
  <w:footnote w:type="continuationSeparator" w:id="0">
    <w:p w14:paraId="45134CB0" w14:textId="77777777" w:rsidR="00C443F5" w:rsidRDefault="00C443F5" w:rsidP="00C44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52C8"/>
    <w:multiLevelType w:val="hybridMultilevel"/>
    <w:tmpl w:val="9FB45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104A5"/>
    <w:multiLevelType w:val="hybridMultilevel"/>
    <w:tmpl w:val="3960A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D1AD3"/>
    <w:multiLevelType w:val="hybridMultilevel"/>
    <w:tmpl w:val="ACDABF0C"/>
    <w:lvl w:ilvl="0" w:tplc="DCC4E51C">
      <w:start w:val="1"/>
      <w:numFmt w:val="upperRoman"/>
      <w:lvlText w:val="%1."/>
      <w:lvlJc w:val="left"/>
      <w:pPr>
        <w:ind w:left="1080" w:hanging="72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81C94"/>
    <w:multiLevelType w:val="hybridMultilevel"/>
    <w:tmpl w:val="73E69E3C"/>
    <w:lvl w:ilvl="0" w:tplc="4B4ADA6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4E4403"/>
    <w:multiLevelType w:val="hybridMultilevel"/>
    <w:tmpl w:val="BDB8B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721713"/>
    <w:multiLevelType w:val="hybridMultilevel"/>
    <w:tmpl w:val="2842E3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377376">
    <w:abstractNumId w:val="3"/>
  </w:num>
  <w:num w:numId="2" w16cid:durableId="955599500">
    <w:abstractNumId w:val="2"/>
  </w:num>
  <w:num w:numId="3" w16cid:durableId="219677194">
    <w:abstractNumId w:val="0"/>
  </w:num>
  <w:num w:numId="4" w16cid:durableId="509292317">
    <w:abstractNumId w:val="1"/>
  </w:num>
  <w:num w:numId="5" w16cid:durableId="839391407">
    <w:abstractNumId w:val="5"/>
  </w:num>
  <w:num w:numId="6" w16cid:durableId="1652174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763"/>
    <w:rsid w:val="000112CB"/>
    <w:rsid w:val="0005442F"/>
    <w:rsid w:val="0006325A"/>
    <w:rsid w:val="0010753E"/>
    <w:rsid w:val="001078BC"/>
    <w:rsid w:val="0011770D"/>
    <w:rsid w:val="00170268"/>
    <w:rsid w:val="001704C0"/>
    <w:rsid w:val="001C4F42"/>
    <w:rsid w:val="001D0747"/>
    <w:rsid w:val="001F00F3"/>
    <w:rsid w:val="00237B30"/>
    <w:rsid w:val="00291C03"/>
    <w:rsid w:val="002A3D95"/>
    <w:rsid w:val="002A61FE"/>
    <w:rsid w:val="002B5184"/>
    <w:rsid w:val="002C6DD1"/>
    <w:rsid w:val="003A0D04"/>
    <w:rsid w:val="003B1182"/>
    <w:rsid w:val="003F2763"/>
    <w:rsid w:val="0041650B"/>
    <w:rsid w:val="00467B71"/>
    <w:rsid w:val="00476AA2"/>
    <w:rsid w:val="0048564B"/>
    <w:rsid w:val="00494A05"/>
    <w:rsid w:val="004C622C"/>
    <w:rsid w:val="004D75CE"/>
    <w:rsid w:val="004D7BC6"/>
    <w:rsid w:val="00521687"/>
    <w:rsid w:val="00521FEE"/>
    <w:rsid w:val="005529E4"/>
    <w:rsid w:val="005F2927"/>
    <w:rsid w:val="005F7054"/>
    <w:rsid w:val="00611A1D"/>
    <w:rsid w:val="006465C2"/>
    <w:rsid w:val="00670AF6"/>
    <w:rsid w:val="00673564"/>
    <w:rsid w:val="006862E4"/>
    <w:rsid w:val="006952CD"/>
    <w:rsid w:val="006A4919"/>
    <w:rsid w:val="006A5FC2"/>
    <w:rsid w:val="006D6992"/>
    <w:rsid w:val="006E65D8"/>
    <w:rsid w:val="00761035"/>
    <w:rsid w:val="007C40EE"/>
    <w:rsid w:val="007D1A4F"/>
    <w:rsid w:val="00810B63"/>
    <w:rsid w:val="0083075D"/>
    <w:rsid w:val="00886BED"/>
    <w:rsid w:val="00897E9B"/>
    <w:rsid w:val="008F38EF"/>
    <w:rsid w:val="00945A5F"/>
    <w:rsid w:val="009572C5"/>
    <w:rsid w:val="00994AB6"/>
    <w:rsid w:val="009A4D99"/>
    <w:rsid w:val="009A6D98"/>
    <w:rsid w:val="009E6D0D"/>
    <w:rsid w:val="00A9367B"/>
    <w:rsid w:val="00A958CB"/>
    <w:rsid w:val="00AF7496"/>
    <w:rsid w:val="00B11BEB"/>
    <w:rsid w:val="00BA2A06"/>
    <w:rsid w:val="00BC27C0"/>
    <w:rsid w:val="00BD2F2B"/>
    <w:rsid w:val="00C36999"/>
    <w:rsid w:val="00C443F5"/>
    <w:rsid w:val="00DC7E18"/>
    <w:rsid w:val="00DE40A2"/>
    <w:rsid w:val="00E112AD"/>
    <w:rsid w:val="00E87C44"/>
    <w:rsid w:val="00E92FA4"/>
    <w:rsid w:val="00F721DF"/>
    <w:rsid w:val="00FD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1FBCC88F"/>
  <w15:docId w15:val="{6AC64586-1549-401E-9C68-F294999F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6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2763"/>
    <w:pPr>
      <w:keepNext/>
      <w:widowControl w:val="0"/>
      <w:tabs>
        <w:tab w:val="center" w:pos="4680"/>
      </w:tabs>
      <w:autoSpaceDE w:val="0"/>
      <w:autoSpaceDN w:val="0"/>
      <w:adjustRightInd w:val="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763"/>
    <w:rPr>
      <w:rFonts w:ascii="Times New Roman" w:eastAsia="Times New Roman" w:hAnsi="Times New Roman" w:cs="Times New Roman"/>
      <w:sz w:val="24"/>
      <w:szCs w:val="24"/>
    </w:rPr>
  </w:style>
  <w:style w:type="character" w:styleId="Strong">
    <w:name w:val="Strong"/>
    <w:qFormat/>
    <w:rsid w:val="003F2763"/>
    <w:rPr>
      <w:b/>
      <w:bCs w:val="0"/>
    </w:rPr>
  </w:style>
  <w:style w:type="paragraph" w:styleId="Title">
    <w:name w:val="Title"/>
    <w:basedOn w:val="Normal"/>
    <w:link w:val="TitleChar"/>
    <w:qFormat/>
    <w:rsid w:val="003F2763"/>
    <w:pPr>
      <w:widowControl w:val="0"/>
      <w:tabs>
        <w:tab w:val="center" w:pos="4680"/>
      </w:tabs>
      <w:autoSpaceDE w:val="0"/>
      <w:autoSpaceDN w:val="0"/>
      <w:adjustRightInd w:val="0"/>
      <w:jc w:val="center"/>
    </w:pPr>
  </w:style>
  <w:style w:type="character" w:customStyle="1" w:styleId="TitleChar">
    <w:name w:val="Title Char"/>
    <w:basedOn w:val="DefaultParagraphFont"/>
    <w:link w:val="Title"/>
    <w:rsid w:val="003F276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2763"/>
    <w:rPr>
      <w:rFonts w:ascii="Tahoma" w:hAnsi="Tahoma" w:cs="Tahoma"/>
      <w:sz w:val="16"/>
      <w:szCs w:val="16"/>
    </w:rPr>
  </w:style>
  <w:style w:type="character" w:customStyle="1" w:styleId="BalloonTextChar">
    <w:name w:val="Balloon Text Char"/>
    <w:basedOn w:val="DefaultParagraphFont"/>
    <w:link w:val="BalloonText"/>
    <w:uiPriority w:val="99"/>
    <w:semiHidden/>
    <w:rsid w:val="003F2763"/>
    <w:rPr>
      <w:rFonts w:ascii="Tahoma" w:eastAsia="Times New Roman" w:hAnsi="Tahoma" w:cs="Tahoma"/>
      <w:sz w:val="16"/>
      <w:szCs w:val="16"/>
    </w:rPr>
  </w:style>
  <w:style w:type="paragraph" w:styleId="BodyText">
    <w:name w:val="Body Text"/>
    <w:basedOn w:val="Normal"/>
    <w:link w:val="BodyTextChar"/>
    <w:uiPriority w:val="99"/>
    <w:semiHidden/>
    <w:rsid w:val="00AF7496"/>
    <w:pPr>
      <w:spacing w:after="120"/>
    </w:pPr>
    <w:rPr>
      <w:szCs w:val="20"/>
    </w:rPr>
  </w:style>
  <w:style w:type="character" w:customStyle="1" w:styleId="BodyTextChar">
    <w:name w:val="Body Text Char"/>
    <w:basedOn w:val="DefaultParagraphFont"/>
    <w:link w:val="BodyText"/>
    <w:uiPriority w:val="99"/>
    <w:semiHidden/>
    <w:rsid w:val="00AF7496"/>
    <w:rPr>
      <w:rFonts w:ascii="Times New Roman" w:eastAsia="Times New Roman" w:hAnsi="Times New Roman" w:cs="Times New Roman"/>
      <w:sz w:val="24"/>
      <w:szCs w:val="20"/>
    </w:rPr>
  </w:style>
  <w:style w:type="paragraph" w:styleId="BodyText2">
    <w:name w:val="Body Text 2"/>
    <w:basedOn w:val="Normal"/>
    <w:link w:val="BodyText2Char"/>
    <w:unhideWhenUsed/>
    <w:rsid w:val="0010753E"/>
    <w:pPr>
      <w:spacing w:after="120" w:line="480" w:lineRule="auto"/>
    </w:pPr>
  </w:style>
  <w:style w:type="character" w:customStyle="1" w:styleId="BodyText2Char">
    <w:name w:val="Body Text 2 Char"/>
    <w:basedOn w:val="DefaultParagraphFont"/>
    <w:link w:val="BodyText2"/>
    <w:rsid w:val="0010753E"/>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C443F5"/>
  </w:style>
  <w:style w:type="character" w:styleId="Hyperlink">
    <w:name w:val="Hyperlink"/>
    <w:basedOn w:val="DefaultParagraphFont"/>
    <w:uiPriority w:val="99"/>
    <w:unhideWhenUsed/>
    <w:rsid w:val="00C443F5"/>
    <w:rPr>
      <w:color w:val="0563C1"/>
      <w:u w:val="single"/>
    </w:rPr>
  </w:style>
  <w:style w:type="paragraph" w:styleId="ListParagraph">
    <w:name w:val="List Paragraph"/>
    <w:basedOn w:val="Normal"/>
    <w:uiPriority w:val="34"/>
    <w:qFormat/>
    <w:rsid w:val="00C443F5"/>
    <w:pPr>
      <w:ind w:left="720"/>
      <w:contextualSpacing/>
    </w:pPr>
    <w:rPr>
      <w:sz w:val="20"/>
      <w:szCs w:val="20"/>
    </w:rPr>
  </w:style>
  <w:style w:type="table" w:styleId="TableGrid">
    <w:name w:val="Table Grid"/>
    <w:basedOn w:val="TableNormal"/>
    <w:uiPriority w:val="39"/>
    <w:rsid w:val="00C4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43F5"/>
    <w:pPr>
      <w:tabs>
        <w:tab w:val="center" w:pos="4680"/>
        <w:tab w:val="right" w:pos="9360"/>
      </w:tabs>
    </w:pPr>
    <w:rPr>
      <w:snapToGrid w:val="0"/>
    </w:rPr>
  </w:style>
  <w:style w:type="character" w:customStyle="1" w:styleId="HeaderChar">
    <w:name w:val="Header Char"/>
    <w:basedOn w:val="DefaultParagraphFont"/>
    <w:link w:val="Header"/>
    <w:uiPriority w:val="99"/>
    <w:rsid w:val="00C443F5"/>
    <w:rPr>
      <w:rFonts w:ascii="Times New Roman" w:eastAsia="Times New Roman" w:hAnsi="Times New Roman" w:cs="Times New Roman"/>
      <w:snapToGrid w:val="0"/>
      <w:sz w:val="24"/>
      <w:szCs w:val="24"/>
    </w:rPr>
  </w:style>
  <w:style w:type="paragraph" w:styleId="Footer">
    <w:name w:val="footer"/>
    <w:basedOn w:val="Normal"/>
    <w:link w:val="FooterChar"/>
    <w:uiPriority w:val="99"/>
    <w:unhideWhenUsed/>
    <w:rsid w:val="00C443F5"/>
    <w:pPr>
      <w:tabs>
        <w:tab w:val="center" w:pos="4680"/>
        <w:tab w:val="right" w:pos="9360"/>
      </w:tabs>
    </w:pPr>
    <w:rPr>
      <w:snapToGrid w:val="0"/>
    </w:rPr>
  </w:style>
  <w:style w:type="character" w:customStyle="1" w:styleId="FooterChar">
    <w:name w:val="Footer Char"/>
    <w:basedOn w:val="DefaultParagraphFont"/>
    <w:link w:val="Footer"/>
    <w:uiPriority w:val="99"/>
    <w:rsid w:val="00C443F5"/>
    <w:rPr>
      <w:rFonts w:ascii="Times New Roman" w:eastAsia="Times New Roman" w:hAnsi="Times New Roman" w:cs="Times New Roman"/>
      <w:snapToGrid w:val="0"/>
      <w:sz w:val="24"/>
      <w:szCs w:val="24"/>
    </w:rPr>
  </w:style>
  <w:style w:type="paragraph" w:styleId="PlainText">
    <w:name w:val="Plain Text"/>
    <w:basedOn w:val="Normal"/>
    <w:link w:val="PlainTextChar"/>
    <w:uiPriority w:val="99"/>
    <w:semiHidden/>
    <w:unhideWhenUsed/>
    <w:rsid w:val="00C443F5"/>
    <w:rPr>
      <w:rFonts w:ascii="Arial" w:eastAsiaTheme="minorHAnsi" w:hAnsi="Arial" w:cstheme="minorBidi"/>
      <w:sz w:val="20"/>
      <w:szCs w:val="21"/>
    </w:rPr>
  </w:style>
  <w:style w:type="character" w:customStyle="1" w:styleId="PlainTextChar">
    <w:name w:val="Plain Text Char"/>
    <w:basedOn w:val="DefaultParagraphFont"/>
    <w:link w:val="PlainText"/>
    <w:uiPriority w:val="99"/>
    <w:semiHidden/>
    <w:rsid w:val="00C443F5"/>
    <w:rPr>
      <w:rFonts w:ascii="Arial" w:hAnsi="Arial"/>
      <w:sz w:val="20"/>
      <w:szCs w:val="21"/>
    </w:rPr>
  </w:style>
  <w:style w:type="paragraph" w:styleId="NormalWeb">
    <w:name w:val="Normal (Web)"/>
    <w:basedOn w:val="Normal"/>
    <w:uiPriority w:val="99"/>
    <w:unhideWhenUsed/>
    <w:rsid w:val="00C443F5"/>
    <w:pPr>
      <w:spacing w:before="100" w:beforeAutospacing="1" w:after="100" w:afterAutospacing="1"/>
    </w:pPr>
  </w:style>
  <w:style w:type="paragraph" w:customStyle="1" w:styleId="DefinitionTerm">
    <w:name w:val="Definition Term"/>
    <w:basedOn w:val="Normal"/>
    <w:next w:val="DefinitionList"/>
    <w:rsid w:val="00C443F5"/>
    <w:pPr>
      <w:widowControl w:val="0"/>
    </w:pPr>
    <w:rPr>
      <w:snapToGrid w:val="0"/>
      <w:szCs w:val="20"/>
    </w:rPr>
  </w:style>
  <w:style w:type="paragraph" w:customStyle="1" w:styleId="DefinitionList">
    <w:name w:val="Definition List"/>
    <w:basedOn w:val="Normal"/>
    <w:next w:val="DefinitionTerm"/>
    <w:rsid w:val="00C443F5"/>
    <w:pPr>
      <w:widowControl w:val="0"/>
      <w:ind w:left="360"/>
    </w:pPr>
    <w:rPr>
      <w:snapToGrid w:val="0"/>
      <w:szCs w:val="20"/>
    </w:rPr>
  </w:style>
  <w:style w:type="paragraph" w:styleId="BodyTextIndent3">
    <w:name w:val="Body Text Indent 3"/>
    <w:basedOn w:val="Normal"/>
    <w:link w:val="BodyTextIndent3Char"/>
    <w:uiPriority w:val="99"/>
    <w:semiHidden/>
    <w:unhideWhenUsed/>
    <w:rsid w:val="00C443F5"/>
    <w:pPr>
      <w:spacing w:after="120"/>
      <w:ind w:left="360"/>
    </w:pPr>
    <w:rPr>
      <w:snapToGrid w:val="0"/>
      <w:sz w:val="16"/>
      <w:szCs w:val="16"/>
    </w:rPr>
  </w:style>
  <w:style w:type="character" w:customStyle="1" w:styleId="BodyTextIndent3Char">
    <w:name w:val="Body Text Indent 3 Char"/>
    <w:basedOn w:val="DefaultParagraphFont"/>
    <w:link w:val="BodyTextIndent3"/>
    <w:uiPriority w:val="99"/>
    <w:semiHidden/>
    <w:rsid w:val="00C443F5"/>
    <w:rPr>
      <w:rFonts w:ascii="Times New Roman" w:eastAsia="Times New Roman" w:hAnsi="Times New Roman" w:cs="Times New Roman"/>
      <w:snapToGrid w:val="0"/>
      <w:sz w:val="16"/>
      <w:szCs w:val="16"/>
    </w:rPr>
  </w:style>
  <w:style w:type="paragraph" w:styleId="CommentText">
    <w:name w:val="annotation text"/>
    <w:basedOn w:val="Normal"/>
    <w:link w:val="CommentTextChar"/>
    <w:uiPriority w:val="99"/>
    <w:unhideWhenUsed/>
    <w:rsid w:val="00C443F5"/>
    <w:pPr>
      <w:spacing w:after="200"/>
    </w:pPr>
    <w:rPr>
      <w:snapToGrid w:val="0"/>
      <w:sz w:val="20"/>
      <w:szCs w:val="20"/>
    </w:rPr>
  </w:style>
  <w:style w:type="character" w:customStyle="1" w:styleId="CommentTextChar">
    <w:name w:val="Comment Text Char"/>
    <w:basedOn w:val="DefaultParagraphFont"/>
    <w:link w:val="CommentText"/>
    <w:uiPriority w:val="99"/>
    <w:rsid w:val="00C443F5"/>
    <w:rPr>
      <w:rFonts w:ascii="Times New Roman" w:eastAsia="Times New Roman" w:hAnsi="Times New Roman" w:cs="Times New Roman"/>
      <w:snapToGrid w:val="0"/>
      <w:sz w:val="20"/>
      <w:szCs w:val="20"/>
    </w:rPr>
  </w:style>
  <w:style w:type="character" w:styleId="CommentReference">
    <w:name w:val="annotation reference"/>
    <w:basedOn w:val="DefaultParagraphFont"/>
    <w:uiPriority w:val="99"/>
    <w:semiHidden/>
    <w:unhideWhenUsed/>
    <w:rsid w:val="00C443F5"/>
    <w:rPr>
      <w:sz w:val="16"/>
      <w:szCs w:val="16"/>
    </w:rPr>
  </w:style>
  <w:style w:type="character" w:customStyle="1" w:styleId="CommentSubjectChar">
    <w:name w:val="Comment Subject Char"/>
    <w:basedOn w:val="CommentTextChar"/>
    <w:link w:val="CommentSubject"/>
    <w:uiPriority w:val="99"/>
    <w:semiHidden/>
    <w:rsid w:val="00C443F5"/>
    <w:rPr>
      <w:rFonts w:ascii="Times New Roman" w:eastAsia="Times New Roman" w:hAnsi="Times New Roman" w:cs="Times New Roman"/>
      <w:b/>
      <w:bCs/>
      <w:snapToGrid w:val="0"/>
      <w:sz w:val="20"/>
      <w:szCs w:val="20"/>
    </w:rPr>
  </w:style>
  <w:style w:type="paragraph" w:styleId="CommentSubject">
    <w:name w:val="annotation subject"/>
    <w:basedOn w:val="CommentText"/>
    <w:next w:val="CommentText"/>
    <w:link w:val="CommentSubjectChar"/>
    <w:uiPriority w:val="99"/>
    <w:semiHidden/>
    <w:unhideWhenUsed/>
    <w:rsid w:val="00C443F5"/>
    <w:rPr>
      <w:b/>
      <w:bCs/>
    </w:rPr>
  </w:style>
  <w:style w:type="character" w:customStyle="1" w:styleId="CommentSubjectChar1">
    <w:name w:val="Comment Subject Char1"/>
    <w:basedOn w:val="CommentTextChar"/>
    <w:uiPriority w:val="99"/>
    <w:semiHidden/>
    <w:rsid w:val="00C443F5"/>
    <w:rPr>
      <w:rFonts w:ascii="Times New Roman" w:eastAsia="Times New Roman" w:hAnsi="Times New Roman" w:cs="Times New Roman"/>
      <w:b/>
      <w:bCs/>
      <w:snapToGrid w:val="0"/>
      <w:sz w:val="20"/>
      <w:szCs w:val="20"/>
    </w:rPr>
  </w:style>
  <w:style w:type="character" w:customStyle="1" w:styleId="FootnoteTextChar">
    <w:name w:val="Footnote Text Char"/>
    <w:basedOn w:val="DefaultParagraphFont"/>
    <w:link w:val="FootnoteText"/>
    <w:semiHidden/>
    <w:rsid w:val="00C443F5"/>
    <w:rPr>
      <w:snapToGrid w:val="0"/>
      <w:sz w:val="20"/>
      <w:szCs w:val="20"/>
    </w:rPr>
  </w:style>
  <w:style w:type="paragraph" w:styleId="FootnoteText">
    <w:name w:val="footnote text"/>
    <w:basedOn w:val="Normal"/>
    <w:link w:val="FootnoteTextChar"/>
    <w:semiHidden/>
    <w:unhideWhenUsed/>
    <w:rsid w:val="00C443F5"/>
    <w:rPr>
      <w:rFonts w:asciiTheme="minorHAnsi" w:eastAsiaTheme="minorHAnsi" w:hAnsiTheme="minorHAnsi" w:cstheme="minorBidi"/>
      <w:snapToGrid w:val="0"/>
      <w:sz w:val="20"/>
      <w:szCs w:val="20"/>
    </w:rPr>
  </w:style>
  <w:style w:type="character" w:customStyle="1" w:styleId="FootnoteTextChar1">
    <w:name w:val="Footnote Text Char1"/>
    <w:basedOn w:val="DefaultParagraphFont"/>
    <w:uiPriority w:val="99"/>
    <w:semiHidden/>
    <w:rsid w:val="00C443F5"/>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C443F5"/>
    <w:rPr>
      <w:vertAlign w:val="superscript"/>
    </w:rPr>
  </w:style>
  <w:style w:type="paragraph" w:styleId="Revision">
    <w:name w:val="Revision"/>
    <w:hidden/>
    <w:uiPriority w:val="99"/>
    <w:semiHidden/>
    <w:rsid w:val="00C443F5"/>
    <w:pPr>
      <w:spacing w:after="0" w:line="240" w:lineRule="auto"/>
    </w:pPr>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nks.casemakerlegal.com/states/ga/books/Code%20of%20Georgia/browse?ci=25&amp;id=gasos&amp;codesec=46-4-166&amp;title=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casemakerlegal.com/states/ga/books/Code%20of%20Georgia/browse?ci=25&amp;id=gasos&amp;codesec=46-4-161&amp;title=4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nks.casemakerlegal.com/states/ga/books/Code%20of%20Georgia/browse?ci=25&amp;id=gasos&amp;codesec=46-4-154&amp;title=46" TargetMode="External"/><Relationship Id="rId4" Type="http://schemas.openxmlformats.org/officeDocument/2006/relationships/webSettings" Target="webSettings.xml"/><Relationship Id="rId9" Type="http://schemas.openxmlformats.org/officeDocument/2006/relationships/hyperlink" Target="https://links.casemakerlegal.com/states/ga/books/Code%20of%20Georgia/browse?ci=25&amp;id=gasos&amp;codesec=46-4-161&amp;title=4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7054</Words>
  <Characters>40212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Brown</dc:creator>
  <cp:lastModifiedBy>Diana Cain</cp:lastModifiedBy>
  <cp:revision>2</cp:revision>
  <cp:lastPrinted>2023-07-19T17:45:00Z</cp:lastPrinted>
  <dcterms:created xsi:type="dcterms:W3CDTF">2023-12-22T20:22:00Z</dcterms:created>
  <dcterms:modified xsi:type="dcterms:W3CDTF">2023-12-22T20:22:00Z</dcterms:modified>
</cp:coreProperties>
</file>