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33046161"/>
        <w:docPartObj>
          <w:docPartGallery w:val="Cover Pages"/>
          <w:docPartUnique/>
        </w:docPartObj>
      </w:sdtPr>
      <w:sdtEndPr>
        <w:rPr>
          <w:b/>
          <w:szCs w:val="24"/>
        </w:rPr>
      </w:sdtEndPr>
      <w:sdtContent>
        <w:p w14:paraId="1950CF2E" w14:textId="6A27BB1A" w:rsidR="00421D4E" w:rsidRDefault="00421D4E" w:rsidP="004A3C85">
          <w:pPr>
            <w:jc w:val="center"/>
          </w:pPr>
          <w:r>
            <w:rPr>
              <w:noProof/>
            </w:rPr>
            <mc:AlternateContent>
              <mc:Choice Requires="wpg">
                <w:drawing>
                  <wp:anchor distT="0" distB="0" distL="114300" distR="114300" simplePos="0" relativeHeight="251662336" behindDoc="0" locked="0" layoutInCell="1" allowOverlap="1" wp14:anchorId="4C28D9CC" wp14:editId="1BB94CDA">
                    <wp:simplePos x="0" y="0"/>
                    <wp:positionH relativeFrom="page">
                      <wp:posOffset>228600</wp:posOffset>
                    </wp:positionH>
                    <wp:positionV relativeFrom="page">
                      <wp:posOffset>180975</wp:posOffset>
                    </wp:positionV>
                    <wp:extent cx="7315200" cy="1495425"/>
                    <wp:effectExtent l="0" t="0" r="1270" b="9525"/>
                    <wp:wrapNone/>
                    <wp:docPr id="149" name="Group 149"/>
                    <wp:cNvGraphicFramePr/>
                    <a:graphic xmlns:a="http://schemas.openxmlformats.org/drawingml/2006/main">
                      <a:graphicData uri="http://schemas.microsoft.com/office/word/2010/wordprocessingGroup">
                        <wpg:wgp>
                          <wpg:cNvGrpSpPr/>
                          <wpg:grpSpPr>
                            <a:xfrm>
                              <a:off x="0" y="0"/>
                              <a:ext cx="7315200" cy="1495425"/>
                              <a:chOff x="0" y="-1"/>
                              <a:chExt cx="7315200" cy="113037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130372"/>
                              </a:xfrm>
                              <a:prstGeom prst="rect">
                                <a:avLst/>
                              </a:prstGeom>
                              <a:blipFill>
                                <a:blip r:embed="rId24"/>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04DB48BF" id="Group 149" o:spid="_x0000_s1026" style="position:absolute;margin-left:18pt;margin-top:14.25pt;width:8in;height:117.75pt;z-index:251662336;mso-width-percent:941;mso-position-horizontal-relative:page;mso-position-vertical-relative:page;mso-width-percent:941" coordorigin="" coordsize="73152,1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1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25" o:title="" recolor="t" rotate="t" type="frame"/>
                    </v:rect>
                    <w10:wrap anchorx="page" anchory="page"/>
                  </v:group>
                </w:pict>
              </mc:Fallback>
            </mc:AlternateContent>
          </w:r>
        </w:p>
        <w:p w14:paraId="4D017CE9" w14:textId="77777777" w:rsidR="004014EA" w:rsidRDefault="004014EA" w:rsidP="004A3C85">
          <w:pPr>
            <w:tabs>
              <w:tab w:val="center" w:pos="4680"/>
            </w:tabs>
            <w:suppressAutoHyphens/>
            <w:jc w:val="center"/>
            <w:rPr>
              <w:rFonts w:ascii="Lucida Calligraphy" w:hAnsi="Lucida Calligraphy"/>
              <w:b/>
              <w:noProof/>
              <w:color w:val="FFC000"/>
              <w:sz w:val="56"/>
              <w:szCs w:val="56"/>
            </w:rPr>
          </w:pPr>
        </w:p>
        <w:p w14:paraId="0AE420FC" w14:textId="77777777" w:rsidR="001C6E95" w:rsidRDefault="001C6E95" w:rsidP="004A3C85">
          <w:pPr>
            <w:pStyle w:val="NoSpacing"/>
            <w:jc w:val="center"/>
            <w:rPr>
              <w:rFonts w:ascii="Times New Roman" w:hAnsi="Times New Roman" w:cs="Times New Roman"/>
              <w:color w:val="365F91" w:themeColor="accent1" w:themeShade="BF"/>
              <w:sz w:val="40"/>
              <w:szCs w:val="40"/>
            </w:rPr>
          </w:pPr>
        </w:p>
        <w:p w14:paraId="058D5F67" w14:textId="48C7C473" w:rsidR="001C6E95" w:rsidRDefault="001C6E95" w:rsidP="004A3C85">
          <w:pPr>
            <w:jc w:val="center"/>
            <w:rPr>
              <w:b/>
              <w:szCs w:val="24"/>
            </w:rPr>
          </w:pPr>
        </w:p>
        <w:p w14:paraId="5592F2C7" w14:textId="054BAF32" w:rsidR="001C6E95" w:rsidRDefault="001C6E95" w:rsidP="004A3C85">
          <w:pPr>
            <w:jc w:val="center"/>
            <w:rPr>
              <w:b/>
              <w:szCs w:val="24"/>
            </w:rPr>
          </w:pPr>
        </w:p>
        <w:p w14:paraId="2E6D2604" w14:textId="636F395E" w:rsidR="000B2D62" w:rsidRPr="00890B23" w:rsidRDefault="000B2D62" w:rsidP="004A3C85">
          <w:pPr>
            <w:jc w:val="center"/>
            <w:rPr>
              <w:b/>
              <w:bCs/>
              <w:sz w:val="52"/>
              <w:szCs w:val="52"/>
            </w:rPr>
          </w:pPr>
          <w:r w:rsidRPr="00890B23">
            <w:rPr>
              <w:b/>
              <w:bCs/>
              <w:sz w:val="52"/>
              <w:szCs w:val="52"/>
            </w:rPr>
            <w:t>Reasonableness and Prudence Report</w:t>
          </w:r>
        </w:p>
        <w:p w14:paraId="56D12F76" w14:textId="3027648F" w:rsidR="005A6CB0" w:rsidRDefault="005A6CB0" w:rsidP="004A3C85">
          <w:pPr>
            <w:jc w:val="center"/>
            <w:rPr>
              <w:b/>
              <w:bCs/>
              <w:sz w:val="48"/>
              <w:szCs w:val="48"/>
            </w:rPr>
          </w:pPr>
        </w:p>
        <w:p w14:paraId="20E08334" w14:textId="7D2DDD1F" w:rsidR="00D736C7" w:rsidRDefault="00032E87" w:rsidP="004A3C85">
          <w:pPr>
            <w:jc w:val="center"/>
            <w:rPr>
              <w:b/>
              <w:bCs/>
              <w:sz w:val="48"/>
              <w:szCs w:val="48"/>
            </w:rPr>
          </w:pPr>
          <w:r>
            <w:rPr>
              <w:b/>
              <w:bCs/>
              <w:sz w:val="48"/>
              <w:szCs w:val="48"/>
            </w:rPr>
            <w:t>Public Disclosure</w:t>
          </w:r>
        </w:p>
        <w:p w14:paraId="625EE0E7" w14:textId="71634C75" w:rsidR="00E50C7F" w:rsidRPr="00890B23" w:rsidRDefault="00E50C7F" w:rsidP="004A3C85">
          <w:pPr>
            <w:jc w:val="center"/>
            <w:rPr>
              <w:b/>
              <w:bCs/>
              <w:sz w:val="40"/>
              <w:szCs w:val="40"/>
            </w:rPr>
          </w:pPr>
          <w:r w:rsidRPr="00890B23">
            <w:rPr>
              <w:b/>
              <w:bCs/>
              <w:sz w:val="40"/>
              <w:szCs w:val="40"/>
            </w:rPr>
            <w:t>Vogtle Nuclear Power Plants</w:t>
          </w:r>
        </w:p>
        <w:p w14:paraId="2AF562AF" w14:textId="31EA1A7C" w:rsidR="005A6CB0" w:rsidRPr="00890B23" w:rsidRDefault="00E50C7F" w:rsidP="004A3C85">
          <w:pPr>
            <w:jc w:val="center"/>
            <w:rPr>
              <w:b/>
              <w:bCs/>
              <w:sz w:val="40"/>
              <w:szCs w:val="40"/>
            </w:rPr>
          </w:pPr>
          <w:r w:rsidRPr="00890B23">
            <w:rPr>
              <w:b/>
              <w:bCs/>
              <w:sz w:val="40"/>
              <w:szCs w:val="40"/>
            </w:rPr>
            <w:t xml:space="preserve">Unit 3 and </w:t>
          </w:r>
          <w:r w:rsidR="003153D6" w:rsidRPr="00890B23">
            <w:rPr>
              <w:b/>
              <w:bCs/>
              <w:sz w:val="40"/>
              <w:szCs w:val="40"/>
            </w:rPr>
            <w:t>4</w:t>
          </w:r>
        </w:p>
        <w:p w14:paraId="4EAB15DE" w14:textId="77777777" w:rsidR="00D736C7" w:rsidRDefault="00D736C7" w:rsidP="004A3C85">
          <w:pPr>
            <w:jc w:val="center"/>
            <w:rPr>
              <w:b/>
              <w:bCs/>
              <w:sz w:val="48"/>
              <w:szCs w:val="48"/>
            </w:rPr>
          </w:pPr>
        </w:p>
        <w:p w14:paraId="51885E07" w14:textId="7328E472" w:rsidR="003153D6" w:rsidRDefault="003153D6" w:rsidP="004A3C85">
          <w:pPr>
            <w:jc w:val="center"/>
            <w:rPr>
              <w:b/>
              <w:bCs/>
              <w:sz w:val="36"/>
              <w:szCs w:val="36"/>
            </w:rPr>
          </w:pPr>
          <w:r w:rsidRPr="00890B23">
            <w:rPr>
              <w:b/>
              <w:bCs/>
              <w:sz w:val="36"/>
              <w:szCs w:val="36"/>
            </w:rPr>
            <w:t>Docket No. 29849</w:t>
          </w:r>
        </w:p>
        <w:p w14:paraId="3A812A44" w14:textId="77777777" w:rsidR="001C6E95" w:rsidRDefault="001C6E95" w:rsidP="004A3C85">
          <w:pPr>
            <w:jc w:val="center"/>
            <w:rPr>
              <w:b/>
              <w:szCs w:val="24"/>
            </w:rPr>
          </w:pPr>
        </w:p>
        <w:p w14:paraId="30F98D65" w14:textId="77777777" w:rsidR="001C6E95" w:rsidRPr="004A3C85" w:rsidRDefault="001C6E95" w:rsidP="004A3C85">
          <w:pPr>
            <w:jc w:val="center"/>
            <w:rPr>
              <w:b/>
              <w:sz w:val="18"/>
              <w:szCs w:val="18"/>
            </w:rPr>
          </w:pPr>
        </w:p>
        <w:p w14:paraId="7D668EF9" w14:textId="77777777" w:rsidR="001C6E95" w:rsidRDefault="001C6E95" w:rsidP="004A3C85">
          <w:pPr>
            <w:jc w:val="center"/>
            <w:rPr>
              <w:b/>
              <w:szCs w:val="24"/>
            </w:rPr>
          </w:pPr>
        </w:p>
        <w:p w14:paraId="14971CE6" w14:textId="43D51734" w:rsidR="001C6E95" w:rsidRDefault="005A6CB0" w:rsidP="004A3C85">
          <w:pPr>
            <w:jc w:val="center"/>
            <w:rPr>
              <w:b/>
              <w:szCs w:val="24"/>
            </w:rPr>
          </w:pPr>
          <w:r>
            <w:rPr>
              <w:b/>
              <w:szCs w:val="24"/>
            </w:rPr>
            <w:t>Prepared By</w:t>
          </w:r>
        </w:p>
        <w:p w14:paraId="28B58007" w14:textId="77777777" w:rsidR="001C6E95" w:rsidRDefault="001C6E95" w:rsidP="004A3C85">
          <w:pPr>
            <w:jc w:val="center"/>
            <w:rPr>
              <w:b/>
              <w:szCs w:val="24"/>
            </w:rPr>
          </w:pPr>
        </w:p>
        <w:p w14:paraId="3EE8E1D8" w14:textId="38D339D2" w:rsidR="00421D4E" w:rsidRDefault="00032E87" w:rsidP="004A3C85">
          <w:pPr>
            <w:jc w:val="center"/>
            <w:rPr>
              <w:b/>
              <w:szCs w:val="24"/>
            </w:rPr>
          </w:pPr>
        </w:p>
      </w:sdtContent>
    </w:sdt>
    <w:p w14:paraId="0F1947A8" w14:textId="42339E45" w:rsidR="003C6ED9" w:rsidRPr="001C6E95" w:rsidRDefault="001C6E95" w:rsidP="004A3C85">
      <w:pPr>
        <w:jc w:val="center"/>
        <w:rPr>
          <w:rFonts w:ascii="Lucida Calligraphy" w:hAnsi="Lucida Calligraphy"/>
          <w:b/>
          <w:bCs/>
          <w:sz w:val="52"/>
          <w:szCs w:val="52"/>
        </w:rPr>
      </w:pPr>
      <w:r w:rsidRPr="001C6E95">
        <w:rPr>
          <w:rFonts w:ascii="Lucida Calligraphy" w:hAnsi="Lucida Calligraphy"/>
          <w:noProof/>
          <w:color w:val="548DD4" w:themeColor="text2" w:themeTint="99"/>
          <w:sz w:val="52"/>
          <w:szCs w:val="52"/>
        </w:rPr>
        <w:t xml:space="preserve">Vogtle </w:t>
      </w:r>
      <w:r w:rsidRPr="001C6E95">
        <w:rPr>
          <w:rFonts w:ascii="Lucida Calligraphy" w:hAnsi="Lucida Calligraphy"/>
          <w:noProof/>
          <w:color w:val="FFC000"/>
          <w:sz w:val="52"/>
          <w:szCs w:val="52"/>
        </w:rPr>
        <w:t>Monitoring</w:t>
      </w:r>
      <w:r w:rsidRPr="001C6E95">
        <w:rPr>
          <w:rFonts w:ascii="Lucida Calligraphy" w:hAnsi="Lucida Calligraphy"/>
          <w:noProof/>
          <w:color w:val="548DD4" w:themeColor="text2" w:themeTint="99"/>
          <w:sz w:val="52"/>
          <w:szCs w:val="52"/>
        </w:rPr>
        <w:t xml:space="preserve"> Group </w:t>
      </w:r>
      <w:r w:rsidRPr="001C6E95">
        <w:rPr>
          <w:rFonts w:ascii="Lucida Calligraphy" w:hAnsi="Lucida Calligraphy"/>
          <w:noProof/>
          <w:color w:val="FFC000"/>
          <w:sz w:val="52"/>
          <w:szCs w:val="52"/>
        </w:rPr>
        <w:t>(</w:t>
      </w:r>
      <w:r w:rsidRPr="002158D9">
        <w:rPr>
          <w:rFonts w:ascii="Lucida Calligraphy" w:hAnsi="Lucida Calligraphy"/>
          <w:noProof/>
          <w:color w:val="0070C0"/>
          <w:sz w:val="52"/>
          <w:szCs w:val="52"/>
        </w:rPr>
        <w:t>V</w:t>
      </w:r>
      <w:r w:rsidRPr="001C6E95">
        <w:rPr>
          <w:rFonts w:ascii="Lucida Calligraphy" w:hAnsi="Lucida Calligraphy"/>
          <w:noProof/>
          <w:color w:val="FFC000"/>
          <w:sz w:val="52"/>
          <w:szCs w:val="52"/>
        </w:rPr>
        <w:t>M</w:t>
      </w:r>
      <w:r w:rsidRPr="002158D9">
        <w:rPr>
          <w:rFonts w:ascii="Lucida Calligraphy" w:hAnsi="Lucida Calligraphy"/>
          <w:noProof/>
          <w:color w:val="0070C0"/>
          <w:sz w:val="52"/>
          <w:szCs w:val="52"/>
        </w:rPr>
        <w:t>G</w:t>
      </w:r>
      <w:r w:rsidRPr="001C6E95">
        <w:rPr>
          <w:rFonts w:ascii="Lucida Calligraphy" w:hAnsi="Lucida Calligraphy"/>
          <w:noProof/>
          <w:color w:val="FFC000"/>
          <w:sz w:val="52"/>
          <w:szCs w:val="52"/>
        </w:rPr>
        <w:t>)</w:t>
      </w:r>
    </w:p>
    <w:p w14:paraId="670505F8" w14:textId="46C2F214" w:rsidR="001C6E95" w:rsidRDefault="001C6E95" w:rsidP="004A3C85">
      <w:pPr>
        <w:jc w:val="center"/>
        <w:rPr>
          <w:b/>
          <w:bCs/>
          <w:sz w:val="32"/>
        </w:rPr>
      </w:pPr>
    </w:p>
    <w:p w14:paraId="3FCDD430" w14:textId="565216FE" w:rsidR="001C6E95" w:rsidRDefault="001C6E95" w:rsidP="004A3C85">
      <w:pPr>
        <w:jc w:val="center"/>
        <w:rPr>
          <w:b/>
          <w:bCs/>
          <w:sz w:val="32"/>
        </w:rPr>
      </w:pPr>
    </w:p>
    <w:p w14:paraId="1F6D5658" w14:textId="77777777" w:rsidR="004A3C85" w:rsidRPr="00890B23" w:rsidRDefault="004A3C85" w:rsidP="004622B9">
      <w:pPr>
        <w:spacing w:line="480" w:lineRule="auto"/>
        <w:ind w:right="1167" w:firstLine="900"/>
        <w:jc w:val="center"/>
        <w:rPr>
          <w:b/>
          <w:caps/>
          <w:sz w:val="28"/>
          <w:szCs w:val="28"/>
        </w:rPr>
      </w:pPr>
      <w:r w:rsidRPr="00890B23">
        <w:rPr>
          <w:b/>
          <w:caps/>
          <w:sz w:val="28"/>
          <w:szCs w:val="28"/>
        </w:rPr>
        <w:t>ON BEHALF OF THE</w:t>
      </w:r>
    </w:p>
    <w:p w14:paraId="40963B85" w14:textId="77777777" w:rsidR="004A3C85" w:rsidRPr="00890B23" w:rsidRDefault="004A3C85" w:rsidP="004622B9">
      <w:pPr>
        <w:spacing w:line="480" w:lineRule="auto"/>
        <w:ind w:right="1167" w:firstLine="900"/>
        <w:jc w:val="center"/>
        <w:rPr>
          <w:b/>
          <w:caps/>
          <w:sz w:val="28"/>
          <w:szCs w:val="28"/>
        </w:rPr>
      </w:pPr>
      <w:r w:rsidRPr="00890B23">
        <w:rPr>
          <w:b/>
          <w:caps/>
          <w:sz w:val="28"/>
          <w:szCs w:val="28"/>
        </w:rPr>
        <w:t>GEORGIA PUBLIC SERVICE COMMISSION</w:t>
      </w:r>
    </w:p>
    <w:p w14:paraId="5E763714" w14:textId="77777777" w:rsidR="004A3C85" w:rsidRPr="00890B23" w:rsidRDefault="004A3C85" w:rsidP="004622B9">
      <w:pPr>
        <w:spacing w:line="480" w:lineRule="auto"/>
        <w:ind w:right="1167" w:firstLine="900"/>
        <w:jc w:val="center"/>
        <w:rPr>
          <w:b/>
          <w:caps/>
          <w:sz w:val="28"/>
          <w:szCs w:val="28"/>
        </w:rPr>
      </w:pPr>
      <w:r w:rsidRPr="00890B23">
        <w:rPr>
          <w:b/>
          <w:caps/>
          <w:sz w:val="28"/>
          <w:szCs w:val="28"/>
        </w:rPr>
        <w:t>PUBLIC INTEREST ADVOCACY STAFF</w:t>
      </w:r>
    </w:p>
    <w:p w14:paraId="1C063CDD" w14:textId="77777777" w:rsidR="00B575A7" w:rsidRDefault="00B575A7" w:rsidP="00890B23">
      <w:pPr>
        <w:rPr>
          <w:b/>
          <w:bCs/>
          <w:sz w:val="32"/>
        </w:rPr>
      </w:pPr>
    </w:p>
    <w:p w14:paraId="32957A3C" w14:textId="77777777" w:rsidR="00B575A7" w:rsidRDefault="00B575A7" w:rsidP="00890B23">
      <w:pPr>
        <w:rPr>
          <w:b/>
          <w:bCs/>
          <w:sz w:val="32"/>
        </w:rPr>
      </w:pPr>
    </w:p>
    <w:p w14:paraId="475090B1" w14:textId="77777777" w:rsidR="00B575A7" w:rsidRDefault="00B575A7" w:rsidP="00A605B5">
      <w:pPr>
        <w:jc w:val="center"/>
        <w:rPr>
          <w:b/>
          <w:bCs/>
          <w:sz w:val="32"/>
        </w:rPr>
      </w:pPr>
    </w:p>
    <w:p w14:paraId="2C3E48E8" w14:textId="4C16A35B" w:rsidR="00B575A7" w:rsidRDefault="00D736C7" w:rsidP="00223F1D">
      <w:pPr>
        <w:jc w:val="center"/>
        <w:rPr>
          <w:b/>
          <w:bCs/>
          <w:sz w:val="32"/>
        </w:rPr>
      </w:pPr>
      <w:r>
        <w:rPr>
          <w:b/>
          <w:bCs/>
          <w:sz w:val="32"/>
        </w:rPr>
        <w:t xml:space="preserve">October </w:t>
      </w:r>
      <w:r w:rsidR="00E50A08">
        <w:rPr>
          <w:b/>
          <w:bCs/>
          <w:sz w:val="32"/>
        </w:rPr>
        <w:t>27</w:t>
      </w:r>
      <w:r>
        <w:rPr>
          <w:b/>
          <w:bCs/>
          <w:sz w:val="32"/>
        </w:rPr>
        <w:t>, 2023</w:t>
      </w:r>
    </w:p>
    <w:p w14:paraId="2648FB25" w14:textId="77777777" w:rsidR="001C6E95" w:rsidRDefault="001C6E95" w:rsidP="00A605B5">
      <w:pPr>
        <w:jc w:val="center"/>
        <w:rPr>
          <w:b/>
          <w:bCs/>
          <w:sz w:val="32"/>
        </w:rPr>
      </w:pPr>
    </w:p>
    <w:p w14:paraId="156506D2" w14:textId="77777777" w:rsidR="00D5569C" w:rsidRDefault="00D5569C" w:rsidP="00DF0169">
      <w:pPr>
        <w:jc w:val="center"/>
        <w:rPr>
          <w:b/>
          <w:bCs/>
          <w:sz w:val="28"/>
          <w:szCs w:val="28"/>
        </w:rPr>
      </w:pPr>
    </w:p>
    <w:p w14:paraId="6A12F500" w14:textId="77777777" w:rsidR="00D5569C" w:rsidRDefault="00D5569C" w:rsidP="00DF0169">
      <w:pPr>
        <w:jc w:val="center"/>
        <w:rPr>
          <w:b/>
          <w:bCs/>
          <w:sz w:val="28"/>
          <w:szCs w:val="28"/>
        </w:rPr>
      </w:pPr>
    </w:p>
    <w:p w14:paraId="56AE6637" w14:textId="77777777" w:rsidR="00D5569C" w:rsidRDefault="00D5569C" w:rsidP="00DF0169">
      <w:pPr>
        <w:jc w:val="center"/>
        <w:rPr>
          <w:b/>
          <w:bCs/>
          <w:sz w:val="28"/>
          <w:szCs w:val="28"/>
        </w:rPr>
      </w:pPr>
    </w:p>
    <w:p w14:paraId="51F0FC88" w14:textId="64D190D7" w:rsidR="00DF0169" w:rsidRPr="000C128E" w:rsidRDefault="00DF0169" w:rsidP="00DF0169">
      <w:pPr>
        <w:jc w:val="center"/>
        <w:rPr>
          <w:b/>
          <w:bCs/>
          <w:sz w:val="28"/>
          <w:szCs w:val="28"/>
        </w:rPr>
      </w:pPr>
      <w:r w:rsidRPr="000C128E">
        <w:rPr>
          <w:b/>
          <w:bCs/>
          <w:sz w:val="28"/>
          <w:szCs w:val="28"/>
        </w:rPr>
        <w:t>TABLE OF CONTENTS</w:t>
      </w:r>
    </w:p>
    <w:p w14:paraId="2514BC75" w14:textId="77777777" w:rsidR="00DF0169" w:rsidRDefault="00DF0169" w:rsidP="00DF0169">
      <w:pPr>
        <w:jc w:val="center"/>
        <w:rPr>
          <w:b/>
          <w:bCs/>
          <w:sz w:val="28"/>
          <w:szCs w:val="28"/>
        </w:rPr>
      </w:pPr>
    </w:p>
    <w:p w14:paraId="32957522" w14:textId="77777777" w:rsidR="00DF0169" w:rsidRDefault="00DF0169" w:rsidP="00DF0169">
      <w:pPr>
        <w:jc w:val="center"/>
        <w:rPr>
          <w:b/>
          <w:bCs/>
          <w:sz w:val="28"/>
          <w:szCs w:val="28"/>
        </w:rPr>
      </w:pPr>
    </w:p>
    <w:p w14:paraId="278EA02F" w14:textId="77777777" w:rsidR="00DF0169" w:rsidRPr="00825BF9" w:rsidRDefault="00DF0169" w:rsidP="00DF0169">
      <w:pPr>
        <w:rPr>
          <w:b/>
          <w:bCs/>
          <w:sz w:val="28"/>
          <w:szCs w:val="28"/>
          <w:u w:val="single"/>
        </w:rPr>
      </w:pPr>
      <w:r>
        <w:rPr>
          <w:b/>
          <w:bCs/>
          <w:sz w:val="28"/>
          <w:szCs w:val="28"/>
        </w:rPr>
        <w:tab/>
      </w:r>
      <w:r>
        <w:rPr>
          <w:b/>
          <w:bCs/>
          <w:sz w:val="28"/>
          <w:szCs w:val="28"/>
        </w:rPr>
        <w:tab/>
      </w:r>
      <w:r w:rsidRPr="000C128E">
        <w:rPr>
          <w:b/>
          <w:bCs/>
          <w:sz w:val="28"/>
          <w:szCs w:val="28"/>
        </w:rPr>
        <w:t>Section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0C128E">
        <w:rPr>
          <w:b/>
          <w:bCs/>
          <w:sz w:val="28"/>
          <w:szCs w:val="28"/>
        </w:rPr>
        <w:t xml:space="preserve"> Pages</w:t>
      </w:r>
    </w:p>
    <w:p w14:paraId="25A3F016" w14:textId="77777777" w:rsidR="00DF0169" w:rsidRDefault="00DF0169" w:rsidP="00DF0169">
      <w:pPr>
        <w:rPr>
          <w:b/>
          <w:bCs/>
          <w:sz w:val="28"/>
          <w:szCs w:val="28"/>
        </w:rPr>
      </w:pPr>
    </w:p>
    <w:p w14:paraId="15679B12" w14:textId="604BA415" w:rsidR="0040350C" w:rsidRDefault="0040350C" w:rsidP="00DF0169">
      <w:pPr>
        <w:rPr>
          <w:sz w:val="28"/>
          <w:szCs w:val="28"/>
        </w:rPr>
      </w:pPr>
      <w:r>
        <w:rPr>
          <w:sz w:val="28"/>
          <w:szCs w:val="28"/>
        </w:rPr>
        <w:t>List of Tables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A177D">
        <w:rPr>
          <w:sz w:val="28"/>
          <w:szCs w:val="28"/>
        </w:rPr>
        <w:t xml:space="preserve">       </w:t>
      </w:r>
      <w:r w:rsidR="0046548B">
        <w:rPr>
          <w:sz w:val="28"/>
          <w:szCs w:val="28"/>
        </w:rPr>
        <w:t>ii</w:t>
      </w:r>
      <w:r w:rsidR="006A177D">
        <w:rPr>
          <w:sz w:val="28"/>
          <w:szCs w:val="28"/>
        </w:rPr>
        <w:t xml:space="preserve"> </w:t>
      </w:r>
    </w:p>
    <w:p w14:paraId="2CF26533" w14:textId="77777777" w:rsidR="0040350C" w:rsidRDefault="0040350C" w:rsidP="00DF0169">
      <w:pPr>
        <w:rPr>
          <w:sz w:val="28"/>
          <w:szCs w:val="28"/>
        </w:rPr>
      </w:pPr>
    </w:p>
    <w:p w14:paraId="1D3E3AA2" w14:textId="2C1D8FCE" w:rsidR="00DF0169" w:rsidRPr="000C128E" w:rsidRDefault="00DF0169" w:rsidP="00DF0169">
      <w:pPr>
        <w:rPr>
          <w:sz w:val="28"/>
          <w:szCs w:val="28"/>
        </w:rPr>
      </w:pPr>
      <w:r w:rsidRPr="000C128E">
        <w:rPr>
          <w:sz w:val="28"/>
          <w:szCs w:val="28"/>
        </w:rPr>
        <w:t>Acronyms / Definition of Terms</w:t>
      </w:r>
      <w:r w:rsidRPr="000C128E">
        <w:rPr>
          <w:sz w:val="28"/>
          <w:szCs w:val="28"/>
        </w:rPr>
        <w:tab/>
      </w:r>
      <w:r w:rsidRPr="000C128E">
        <w:rPr>
          <w:sz w:val="28"/>
          <w:szCs w:val="28"/>
        </w:rPr>
        <w:tab/>
      </w:r>
      <w:r w:rsidRPr="000C128E">
        <w:rPr>
          <w:sz w:val="28"/>
          <w:szCs w:val="28"/>
        </w:rPr>
        <w:tab/>
      </w:r>
      <w:r w:rsidRPr="000C128E">
        <w:rPr>
          <w:sz w:val="28"/>
          <w:szCs w:val="28"/>
        </w:rPr>
        <w:tab/>
      </w:r>
      <w:r w:rsidRPr="000C128E">
        <w:rPr>
          <w:sz w:val="28"/>
          <w:szCs w:val="28"/>
        </w:rPr>
        <w:tab/>
        <w:t xml:space="preserve">    i</w:t>
      </w:r>
      <w:r w:rsidR="006A177D">
        <w:rPr>
          <w:sz w:val="28"/>
          <w:szCs w:val="28"/>
        </w:rPr>
        <w:t>i</w:t>
      </w:r>
      <w:r w:rsidR="004243F7">
        <w:rPr>
          <w:sz w:val="28"/>
          <w:szCs w:val="28"/>
        </w:rPr>
        <w:t xml:space="preserve">i - </w:t>
      </w:r>
      <w:r w:rsidR="0046548B">
        <w:rPr>
          <w:sz w:val="28"/>
          <w:szCs w:val="28"/>
        </w:rPr>
        <w:t>v</w:t>
      </w:r>
      <w:r w:rsidRPr="000C128E">
        <w:rPr>
          <w:sz w:val="28"/>
          <w:szCs w:val="28"/>
        </w:rPr>
        <w:t xml:space="preserve"> </w:t>
      </w:r>
    </w:p>
    <w:p w14:paraId="775C2CFE" w14:textId="77777777" w:rsidR="00DF0169" w:rsidRPr="000C128E" w:rsidRDefault="00DF0169" w:rsidP="00DF0169">
      <w:pPr>
        <w:rPr>
          <w:sz w:val="28"/>
          <w:szCs w:val="28"/>
        </w:rPr>
      </w:pPr>
    </w:p>
    <w:p w14:paraId="26370BCE" w14:textId="0C85A1F0" w:rsidR="00DF0169" w:rsidRPr="000C128E" w:rsidRDefault="00DF0169" w:rsidP="00DF0169">
      <w:pPr>
        <w:rPr>
          <w:sz w:val="28"/>
          <w:szCs w:val="28"/>
        </w:rPr>
      </w:pPr>
      <w:r w:rsidRPr="000C128E">
        <w:rPr>
          <w:sz w:val="28"/>
          <w:szCs w:val="28"/>
        </w:rPr>
        <w:t>Executive Summary</w:t>
      </w:r>
      <w:r w:rsidRPr="000C128E">
        <w:rPr>
          <w:sz w:val="28"/>
          <w:szCs w:val="28"/>
        </w:rPr>
        <w:tab/>
      </w:r>
      <w:r w:rsidRPr="000C128E">
        <w:rPr>
          <w:sz w:val="28"/>
          <w:szCs w:val="28"/>
        </w:rPr>
        <w:tab/>
      </w:r>
      <w:r w:rsidRPr="000C128E">
        <w:rPr>
          <w:sz w:val="28"/>
          <w:szCs w:val="28"/>
        </w:rPr>
        <w:tab/>
      </w:r>
      <w:r w:rsidRPr="000C128E">
        <w:rPr>
          <w:sz w:val="28"/>
          <w:szCs w:val="28"/>
        </w:rPr>
        <w:tab/>
      </w:r>
      <w:r w:rsidRPr="000C128E">
        <w:rPr>
          <w:sz w:val="28"/>
          <w:szCs w:val="28"/>
        </w:rPr>
        <w:tab/>
      </w:r>
      <w:r w:rsidRPr="000C128E">
        <w:rPr>
          <w:sz w:val="28"/>
          <w:szCs w:val="28"/>
        </w:rPr>
        <w:tab/>
      </w:r>
      <w:r w:rsidRPr="000C128E">
        <w:rPr>
          <w:sz w:val="28"/>
          <w:szCs w:val="28"/>
        </w:rPr>
        <w:tab/>
      </w:r>
      <w:r w:rsidR="004243F7">
        <w:rPr>
          <w:sz w:val="28"/>
          <w:szCs w:val="28"/>
        </w:rPr>
        <w:t xml:space="preserve">     </w:t>
      </w:r>
      <w:r w:rsidR="002741EB">
        <w:rPr>
          <w:sz w:val="28"/>
          <w:szCs w:val="28"/>
        </w:rPr>
        <w:t>1</w:t>
      </w:r>
      <w:r w:rsidR="004243F7">
        <w:rPr>
          <w:sz w:val="28"/>
          <w:szCs w:val="28"/>
        </w:rPr>
        <w:t xml:space="preserve"> - 6</w:t>
      </w:r>
    </w:p>
    <w:p w14:paraId="28CC974F" w14:textId="77777777" w:rsidR="00DF0169" w:rsidRPr="000C128E" w:rsidRDefault="00DF0169" w:rsidP="00DF0169">
      <w:pPr>
        <w:rPr>
          <w:sz w:val="28"/>
          <w:szCs w:val="28"/>
        </w:rPr>
      </w:pPr>
    </w:p>
    <w:p w14:paraId="4BD57163" w14:textId="65079EFF" w:rsidR="00DF0169" w:rsidRPr="000C128E" w:rsidRDefault="00DF0169" w:rsidP="00DF0169">
      <w:pPr>
        <w:rPr>
          <w:sz w:val="28"/>
          <w:szCs w:val="28"/>
        </w:rPr>
      </w:pPr>
      <w:r w:rsidRPr="000C128E">
        <w:rPr>
          <w:sz w:val="28"/>
          <w:szCs w:val="28"/>
        </w:rPr>
        <w:t>1. Project Cost and Schedule Estimate at</w:t>
      </w:r>
      <w:r w:rsidRPr="000C128E">
        <w:rPr>
          <w:sz w:val="28"/>
          <w:szCs w:val="28"/>
        </w:rPr>
        <w:tab/>
      </w:r>
      <w:r w:rsidRPr="000C128E">
        <w:rPr>
          <w:sz w:val="28"/>
          <w:szCs w:val="28"/>
        </w:rPr>
        <w:tab/>
      </w:r>
      <w:r w:rsidRPr="000C128E">
        <w:rPr>
          <w:sz w:val="28"/>
          <w:szCs w:val="28"/>
        </w:rPr>
        <w:tab/>
        <w:t xml:space="preserve">   </w:t>
      </w:r>
      <w:r w:rsidRPr="000C128E">
        <w:rPr>
          <w:sz w:val="28"/>
          <w:szCs w:val="28"/>
        </w:rPr>
        <w:tab/>
        <w:t xml:space="preserve"> </w:t>
      </w:r>
      <w:r w:rsidR="0046548B">
        <w:rPr>
          <w:sz w:val="28"/>
          <w:szCs w:val="28"/>
        </w:rPr>
        <w:t xml:space="preserve">   7 - 1</w:t>
      </w:r>
      <w:r w:rsidR="002A23EF">
        <w:rPr>
          <w:sz w:val="28"/>
          <w:szCs w:val="28"/>
        </w:rPr>
        <w:t>3</w:t>
      </w:r>
    </w:p>
    <w:p w14:paraId="566BCBF0" w14:textId="77777777" w:rsidR="00DF0169" w:rsidRPr="000C128E" w:rsidRDefault="00DF0169" w:rsidP="00DF0169">
      <w:r w:rsidRPr="000C128E">
        <w:rPr>
          <w:sz w:val="28"/>
          <w:szCs w:val="28"/>
        </w:rPr>
        <w:t xml:space="preserve">     Completion (as forecast at VCM 17)</w:t>
      </w:r>
    </w:p>
    <w:p w14:paraId="007BA263" w14:textId="77777777" w:rsidR="00DF0169" w:rsidRPr="000C128E" w:rsidRDefault="00DF0169" w:rsidP="00DF0169">
      <w:pPr>
        <w:rPr>
          <w:sz w:val="28"/>
          <w:szCs w:val="28"/>
        </w:rPr>
      </w:pPr>
    </w:p>
    <w:p w14:paraId="22116E88" w14:textId="194155A6" w:rsidR="00DF0169" w:rsidRPr="000C128E" w:rsidRDefault="00DF0169" w:rsidP="00DF0169">
      <w:pPr>
        <w:rPr>
          <w:sz w:val="28"/>
          <w:szCs w:val="28"/>
        </w:rPr>
      </w:pPr>
      <w:r w:rsidRPr="000C128E">
        <w:rPr>
          <w:sz w:val="28"/>
          <w:szCs w:val="28"/>
        </w:rPr>
        <w:t>2. Imprudent Management Practices</w:t>
      </w:r>
      <w:r w:rsidRPr="000C128E">
        <w:rPr>
          <w:sz w:val="28"/>
          <w:szCs w:val="28"/>
        </w:rPr>
        <w:tab/>
      </w:r>
      <w:r w:rsidRPr="000C128E">
        <w:rPr>
          <w:sz w:val="28"/>
          <w:szCs w:val="28"/>
        </w:rPr>
        <w:tab/>
      </w:r>
      <w:r w:rsidRPr="000C128E">
        <w:rPr>
          <w:sz w:val="28"/>
          <w:szCs w:val="28"/>
        </w:rPr>
        <w:tab/>
      </w:r>
      <w:r w:rsidR="000C128E">
        <w:rPr>
          <w:sz w:val="28"/>
          <w:szCs w:val="28"/>
        </w:rPr>
        <w:tab/>
      </w:r>
      <w:proofErr w:type="gramStart"/>
      <w:r w:rsidRPr="000C128E">
        <w:rPr>
          <w:sz w:val="28"/>
          <w:szCs w:val="28"/>
        </w:rPr>
        <w:tab/>
      </w:r>
      <w:r w:rsidR="0046548B">
        <w:rPr>
          <w:sz w:val="28"/>
          <w:szCs w:val="28"/>
        </w:rPr>
        <w:t xml:space="preserve">  14</w:t>
      </w:r>
      <w:proofErr w:type="gramEnd"/>
      <w:r w:rsidR="0046548B">
        <w:rPr>
          <w:sz w:val="28"/>
          <w:szCs w:val="28"/>
        </w:rPr>
        <w:t xml:space="preserve"> - 17 </w:t>
      </w:r>
    </w:p>
    <w:p w14:paraId="11CA2496" w14:textId="77777777" w:rsidR="00DF0169" w:rsidRPr="000C128E" w:rsidRDefault="00DF0169" w:rsidP="00DF0169">
      <w:pPr>
        <w:rPr>
          <w:sz w:val="28"/>
          <w:szCs w:val="28"/>
        </w:rPr>
      </w:pPr>
    </w:p>
    <w:p w14:paraId="12EA50EB" w14:textId="41E553D7" w:rsidR="00DF0169" w:rsidRPr="000C128E" w:rsidRDefault="00DF0169" w:rsidP="00DF0169">
      <w:pPr>
        <w:rPr>
          <w:sz w:val="28"/>
          <w:szCs w:val="28"/>
        </w:rPr>
      </w:pPr>
      <w:r w:rsidRPr="000C128E">
        <w:rPr>
          <w:sz w:val="28"/>
          <w:szCs w:val="28"/>
        </w:rPr>
        <w:t>3. Deficient Project Planning, Reporting and</w:t>
      </w:r>
      <w:r w:rsidRPr="000C128E">
        <w:rPr>
          <w:sz w:val="28"/>
          <w:szCs w:val="28"/>
        </w:rPr>
        <w:tab/>
      </w:r>
      <w:r w:rsidRPr="000C128E">
        <w:rPr>
          <w:sz w:val="28"/>
          <w:szCs w:val="28"/>
        </w:rPr>
        <w:tab/>
      </w:r>
      <w:r w:rsidR="000C128E">
        <w:rPr>
          <w:sz w:val="28"/>
          <w:szCs w:val="28"/>
        </w:rPr>
        <w:tab/>
      </w:r>
      <w:proofErr w:type="gramStart"/>
      <w:r w:rsidRPr="000C128E">
        <w:rPr>
          <w:sz w:val="28"/>
          <w:szCs w:val="28"/>
        </w:rPr>
        <w:tab/>
      </w:r>
      <w:r w:rsidR="0046548B">
        <w:rPr>
          <w:sz w:val="28"/>
          <w:szCs w:val="28"/>
        </w:rPr>
        <w:t xml:space="preserve">  1</w:t>
      </w:r>
      <w:r w:rsidR="006B2C69">
        <w:rPr>
          <w:sz w:val="28"/>
          <w:szCs w:val="28"/>
        </w:rPr>
        <w:t>7</w:t>
      </w:r>
      <w:proofErr w:type="gramEnd"/>
      <w:r w:rsidR="0046548B">
        <w:rPr>
          <w:sz w:val="28"/>
          <w:szCs w:val="28"/>
        </w:rPr>
        <w:t xml:space="preserve"> - 29</w:t>
      </w:r>
    </w:p>
    <w:p w14:paraId="422F0EF7" w14:textId="77777777" w:rsidR="00DF0169" w:rsidRPr="000C128E" w:rsidRDefault="00DF0169" w:rsidP="00DF0169">
      <w:pPr>
        <w:rPr>
          <w:sz w:val="28"/>
          <w:szCs w:val="28"/>
        </w:rPr>
      </w:pPr>
      <w:r w:rsidRPr="000C128E">
        <w:rPr>
          <w:sz w:val="28"/>
          <w:szCs w:val="28"/>
        </w:rPr>
        <w:t xml:space="preserve">    Risk Analyses/ Contingency Management</w:t>
      </w:r>
    </w:p>
    <w:p w14:paraId="225DF5C8" w14:textId="77777777" w:rsidR="00DF0169" w:rsidRPr="000C128E" w:rsidRDefault="00DF0169" w:rsidP="00DF0169">
      <w:pPr>
        <w:rPr>
          <w:sz w:val="28"/>
          <w:szCs w:val="28"/>
        </w:rPr>
      </w:pPr>
    </w:p>
    <w:p w14:paraId="09AAC5F0" w14:textId="0A30C5FB" w:rsidR="00DF0169" w:rsidRPr="000C128E" w:rsidRDefault="00DF0169" w:rsidP="00DF0169">
      <w:pPr>
        <w:rPr>
          <w:sz w:val="28"/>
          <w:szCs w:val="28"/>
        </w:rPr>
      </w:pPr>
      <w:r w:rsidRPr="000C128E">
        <w:rPr>
          <w:sz w:val="28"/>
          <w:szCs w:val="28"/>
        </w:rPr>
        <w:t xml:space="preserve">4. Cost and Schedule Impacts of Imprudent </w:t>
      </w:r>
      <w:r w:rsidRPr="000C128E">
        <w:rPr>
          <w:sz w:val="28"/>
          <w:szCs w:val="28"/>
        </w:rPr>
        <w:tab/>
      </w:r>
      <w:r w:rsidRPr="000C128E">
        <w:rPr>
          <w:sz w:val="28"/>
          <w:szCs w:val="28"/>
        </w:rPr>
        <w:tab/>
      </w:r>
      <w:r w:rsidR="000C128E">
        <w:rPr>
          <w:sz w:val="28"/>
          <w:szCs w:val="28"/>
        </w:rPr>
        <w:tab/>
      </w:r>
      <w:proofErr w:type="gramStart"/>
      <w:r w:rsidRPr="000C128E">
        <w:rPr>
          <w:sz w:val="28"/>
          <w:szCs w:val="28"/>
        </w:rPr>
        <w:tab/>
      </w:r>
      <w:r w:rsidR="0046548B">
        <w:rPr>
          <w:sz w:val="28"/>
          <w:szCs w:val="28"/>
        </w:rPr>
        <w:t xml:space="preserve">  29</w:t>
      </w:r>
      <w:proofErr w:type="gramEnd"/>
      <w:r w:rsidR="0046548B">
        <w:rPr>
          <w:sz w:val="28"/>
          <w:szCs w:val="28"/>
        </w:rPr>
        <w:t xml:space="preserve"> - 32</w:t>
      </w:r>
    </w:p>
    <w:p w14:paraId="77783837" w14:textId="77777777" w:rsidR="00DF0169" w:rsidRPr="000C128E" w:rsidRDefault="00DF0169" w:rsidP="00DF0169">
      <w:pPr>
        <w:rPr>
          <w:sz w:val="28"/>
          <w:szCs w:val="28"/>
        </w:rPr>
      </w:pPr>
      <w:r w:rsidRPr="000C128E">
        <w:rPr>
          <w:sz w:val="28"/>
          <w:szCs w:val="28"/>
        </w:rPr>
        <w:t xml:space="preserve">    Management Practices</w:t>
      </w:r>
    </w:p>
    <w:p w14:paraId="5A118061" w14:textId="77777777" w:rsidR="00DF0169" w:rsidRPr="000C128E" w:rsidRDefault="00DF0169" w:rsidP="00DF0169">
      <w:pPr>
        <w:rPr>
          <w:sz w:val="28"/>
          <w:szCs w:val="28"/>
        </w:rPr>
      </w:pPr>
    </w:p>
    <w:p w14:paraId="6C76E061" w14:textId="1EA402E3" w:rsidR="00DF0169" w:rsidRPr="000C128E" w:rsidRDefault="00DF0169" w:rsidP="00DF0169">
      <w:pPr>
        <w:rPr>
          <w:sz w:val="28"/>
          <w:szCs w:val="28"/>
        </w:rPr>
      </w:pPr>
      <w:r w:rsidRPr="000C128E">
        <w:rPr>
          <w:sz w:val="28"/>
          <w:szCs w:val="28"/>
        </w:rPr>
        <w:t xml:space="preserve">5.  Summary VMG Observations and </w:t>
      </w:r>
      <w:r w:rsidRPr="000C128E">
        <w:rPr>
          <w:sz w:val="28"/>
          <w:szCs w:val="28"/>
        </w:rPr>
        <w:tab/>
      </w:r>
      <w:r w:rsidRPr="000C128E">
        <w:rPr>
          <w:sz w:val="28"/>
          <w:szCs w:val="28"/>
        </w:rPr>
        <w:tab/>
      </w:r>
      <w:r w:rsidRPr="000C128E">
        <w:rPr>
          <w:sz w:val="28"/>
          <w:szCs w:val="28"/>
        </w:rPr>
        <w:tab/>
      </w:r>
      <w:r w:rsidR="000C128E">
        <w:rPr>
          <w:sz w:val="28"/>
          <w:szCs w:val="28"/>
        </w:rPr>
        <w:tab/>
      </w:r>
      <w:proofErr w:type="gramStart"/>
      <w:r w:rsidRPr="000C128E">
        <w:rPr>
          <w:sz w:val="28"/>
          <w:szCs w:val="28"/>
        </w:rPr>
        <w:tab/>
      </w:r>
      <w:r w:rsidR="0046548B">
        <w:rPr>
          <w:sz w:val="28"/>
          <w:szCs w:val="28"/>
        </w:rPr>
        <w:t xml:space="preserve">  3</w:t>
      </w:r>
      <w:r w:rsidR="006B2C69">
        <w:rPr>
          <w:sz w:val="28"/>
          <w:szCs w:val="28"/>
        </w:rPr>
        <w:t>2</w:t>
      </w:r>
      <w:proofErr w:type="gramEnd"/>
      <w:r w:rsidR="0046548B">
        <w:rPr>
          <w:sz w:val="28"/>
          <w:szCs w:val="28"/>
        </w:rPr>
        <w:t xml:space="preserve"> - 3</w:t>
      </w:r>
      <w:r w:rsidR="006B2C69">
        <w:rPr>
          <w:sz w:val="28"/>
          <w:szCs w:val="28"/>
        </w:rPr>
        <w:t>3</w:t>
      </w:r>
    </w:p>
    <w:p w14:paraId="278ACC98" w14:textId="77777777" w:rsidR="00DF0169" w:rsidRPr="000C128E" w:rsidRDefault="00DF0169" w:rsidP="00DF0169">
      <w:pPr>
        <w:rPr>
          <w:sz w:val="28"/>
          <w:szCs w:val="28"/>
        </w:rPr>
      </w:pPr>
      <w:r w:rsidRPr="000C128E">
        <w:rPr>
          <w:sz w:val="28"/>
          <w:szCs w:val="28"/>
        </w:rPr>
        <w:t xml:space="preserve">     Recommendations</w:t>
      </w:r>
    </w:p>
    <w:p w14:paraId="35D1B933" w14:textId="77777777" w:rsidR="006C3220" w:rsidRPr="00C73AF6" w:rsidRDefault="006C3220" w:rsidP="006C3220">
      <w:pPr>
        <w:rPr>
          <w:szCs w:val="24"/>
        </w:rPr>
      </w:pPr>
    </w:p>
    <w:p w14:paraId="49BAAA4D" w14:textId="77777777" w:rsidR="006C3220" w:rsidRPr="00C73AF6" w:rsidRDefault="00BC18A3" w:rsidP="00BC18A3">
      <w:pPr>
        <w:rPr>
          <w:b/>
          <w:szCs w:val="24"/>
        </w:rPr>
      </w:pPr>
      <w:r w:rsidRPr="00C73AF6">
        <w:rPr>
          <w:b/>
          <w:szCs w:val="24"/>
        </w:rPr>
        <w:tab/>
      </w:r>
      <w:r w:rsidRPr="00C73AF6">
        <w:rPr>
          <w:b/>
          <w:szCs w:val="24"/>
        </w:rPr>
        <w:tab/>
      </w:r>
    </w:p>
    <w:p w14:paraId="74644ECA" w14:textId="77777777" w:rsidR="00EF137D" w:rsidRDefault="00EF137D" w:rsidP="00A72F26">
      <w:pPr>
        <w:rPr>
          <w:b/>
          <w:szCs w:val="24"/>
        </w:rPr>
      </w:pPr>
    </w:p>
    <w:p w14:paraId="0617D659" w14:textId="77777777" w:rsidR="00DF0169" w:rsidRDefault="00DF0169" w:rsidP="00A72F26">
      <w:pPr>
        <w:rPr>
          <w:b/>
          <w:szCs w:val="24"/>
        </w:rPr>
      </w:pPr>
    </w:p>
    <w:p w14:paraId="026A362B" w14:textId="43AF7D0C" w:rsidR="00DF0169" w:rsidRDefault="008A08C0" w:rsidP="00223F1D">
      <w:pPr>
        <w:jc w:val="center"/>
        <w:rPr>
          <w:b/>
          <w:szCs w:val="24"/>
        </w:rPr>
      </w:pPr>
      <w:r>
        <w:rPr>
          <w:b/>
          <w:szCs w:val="24"/>
        </w:rPr>
        <w:tab/>
      </w:r>
    </w:p>
    <w:p w14:paraId="61388E17" w14:textId="77777777" w:rsidR="00DF0169" w:rsidRDefault="00DF0169" w:rsidP="00A72F26">
      <w:pPr>
        <w:rPr>
          <w:b/>
          <w:szCs w:val="24"/>
        </w:rPr>
      </w:pPr>
    </w:p>
    <w:p w14:paraId="686AB173" w14:textId="77777777" w:rsidR="00DF0169" w:rsidRDefault="00DF0169" w:rsidP="00A72F26">
      <w:pPr>
        <w:rPr>
          <w:b/>
          <w:szCs w:val="24"/>
        </w:rPr>
      </w:pPr>
    </w:p>
    <w:p w14:paraId="3C824EFC" w14:textId="77777777" w:rsidR="00DF0169" w:rsidRDefault="00DF0169" w:rsidP="00A72F26">
      <w:pPr>
        <w:rPr>
          <w:b/>
          <w:szCs w:val="24"/>
        </w:rPr>
      </w:pPr>
    </w:p>
    <w:p w14:paraId="65730880" w14:textId="77777777" w:rsidR="00DF0169" w:rsidRDefault="00DF0169" w:rsidP="00A72F26">
      <w:pPr>
        <w:rPr>
          <w:b/>
          <w:szCs w:val="24"/>
        </w:rPr>
      </w:pPr>
    </w:p>
    <w:p w14:paraId="45E36BB9" w14:textId="77777777" w:rsidR="00DF0169" w:rsidRDefault="00DF0169" w:rsidP="00A72F26">
      <w:pPr>
        <w:rPr>
          <w:b/>
          <w:szCs w:val="24"/>
        </w:rPr>
      </w:pPr>
    </w:p>
    <w:p w14:paraId="17E456C7" w14:textId="77777777" w:rsidR="00DF0169" w:rsidRDefault="00DF0169" w:rsidP="00A72F26">
      <w:pPr>
        <w:rPr>
          <w:b/>
          <w:szCs w:val="24"/>
        </w:rPr>
      </w:pPr>
    </w:p>
    <w:p w14:paraId="4A791EB8" w14:textId="77777777" w:rsidR="00DF0169" w:rsidRDefault="00DF0169" w:rsidP="00A72F26">
      <w:pPr>
        <w:rPr>
          <w:b/>
          <w:szCs w:val="24"/>
        </w:rPr>
      </w:pPr>
    </w:p>
    <w:p w14:paraId="3FAC8EC8" w14:textId="77777777" w:rsidR="00DF0169" w:rsidRDefault="00DF0169" w:rsidP="00A72F26">
      <w:pPr>
        <w:rPr>
          <w:b/>
          <w:szCs w:val="24"/>
        </w:rPr>
      </w:pPr>
    </w:p>
    <w:p w14:paraId="67B81656" w14:textId="77777777" w:rsidR="00DF0169" w:rsidRDefault="00DF0169" w:rsidP="00A72F26">
      <w:pPr>
        <w:rPr>
          <w:b/>
          <w:szCs w:val="24"/>
        </w:rPr>
      </w:pPr>
    </w:p>
    <w:p w14:paraId="0AD6BCEC" w14:textId="77777777" w:rsidR="00DF0169" w:rsidRDefault="00DF0169" w:rsidP="00A72F26">
      <w:pPr>
        <w:rPr>
          <w:b/>
          <w:szCs w:val="24"/>
        </w:rPr>
      </w:pPr>
    </w:p>
    <w:p w14:paraId="44E4CDAD" w14:textId="77777777" w:rsidR="00D5569C" w:rsidRDefault="00D5569C" w:rsidP="006C778A">
      <w:pPr>
        <w:jc w:val="center"/>
        <w:rPr>
          <w:b/>
          <w:bCs/>
          <w:sz w:val="28"/>
          <w:szCs w:val="28"/>
        </w:rPr>
      </w:pPr>
    </w:p>
    <w:p w14:paraId="2A1D4A46" w14:textId="77777777" w:rsidR="00D5569C" w:rsidRDefault="00D5569C" w:rsidP="006C778A">
      <w:pPr>
        <w:jc w:val="center"/>
        <w:rPr>
          <w:b/>
          <w:bCs/>
          <w:sz w:val="28"/>
          <w:szCs w:val="28"/>
        </w:rPr>
      </w:pPr>
    </w:p>
    <w:p w14:paraId="78CF3F85" w14:textId="77777777" w:rsidR="00D5569C" w:rsidRDefault="00D5569C" w:rsidP="006C778A">
      <w:pPr>
        <w:jc w:val="center"/>
        <w:rPr>
          <w:b/>
          <w:bCs/>
          <w:sz w:val="28"/>
          <w:szCs w:val="28"/>
        </w:rPr>
      </w:pPr>
    </w:p>
    <w:p w14:paraId="2458986B" w14:textId="1EDF5511" w:rsidR="006C778A" w:rsidRPr="006C778A" w:rsidRDefault="006C778A" w:rsidP="006C778A">
      <w:pPr>
        <w:jc w:val="center"/>
        <w:rPr>
          <w:b/>
          <w:bCs/>
          <w:sz w:val="28"/>
          <w:szCs w:val="28"/>
        </w:rPr>
      </w:pPr>
      <w:r w:rsidRPr="006C778A">
        <w:rPr>
          <w:b/>
          <w:bCs/>
          <w:sz w:val="28"/>
          <w:szCs w:val="28"/>
        </w:rPr>
        <w:t>LIST OF TABLES</w:t>
      </w:r>
    </w:p>
    <w:p w14:paraId="75DBF46B" w14:textId="77777777" w:rsidR="006C778A" w:rsidRDefault="006C778A" w:rsidP="006C778A">
      <w:pPr>
        <w:jc w:val="center"/>
        <w:rPr>
          <w:b/>
          <w:bCs/>
          <w:sz w:val="28"/>
          <w:szCs w:val="28"/>
        </w:rPr>
      </w:pPr>
    </w:p>
    <w:p w14:paraId="123CABE1" w14:textId="77777777" w:rsidR="006C778A" w:rsidRPr="00825BF9" w:rsidRDefault="006C778A" w:rsidP="006C778A">
      <w:pPr>
        <w:rPr>
          <w:b/>
          <w:bCs/>
          <w:sz w:val="28"/>
          <w:szCs w:val="28"/>
          <w:u w:val="single"/>
        </w:rPr>
      </w:pPr>
      <w:r>
        <w:rPr>
          <w:b/>
          <w:bCs/>
          <w:sz w:val="28"/>
          <w:szCs w:val="28"/>
        </w:rPr>
        <w:tab/>
      </w:r>
      <w:r>
        <w:rPr>
          <w:b/>
          <w:bCs/>
          <w:sz w:val="28"/>
          <w:szCs w:val="28"/>
        </w:rPr>
        <w:tab/>
      </w:r>
      <w:r>
        <w:rPr>
          <w:b/>
          <w:bCs/>
          <w:sz w:val="28"/>
          <w:szCs w:val="28"/>
        </w:rPr>
        <w:tab/>
      </w:r>
      <w:r w:rsidRPr="006C778A">
        <w:rPr>
          <w:b/>
          <w:bCs/>
          <w:sz w:val="28"/>
          <w:szCs w:val="28"/>
        </w:rPr>
        <w:t>Table</w:t>
      </w:r>
      <w:r w:rsidRPr="006C778A">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6C778A">
        <w:rPr>
          <w:b/>
          <w:bCs/>
          <w:sz w:val="28"/>
          <w:szCs w:val="28"/>
        </w:rPr>
        <w:t>Page</w:t>
      </w:r>
    </w:p>
    <w:p w14:paraId="3C9A85B8" w14:textId="77777777" w:rsidR="006C778A" w:rsidRDefault="006C778A" w:rsidP="006C778A">
      <w:pPr>
        <w:rPr>
          <w:b/>
          <w:bCs/>
          <w:sz w:val="28"/>
          <w:szCs w:val="28"/>
        </w:rPr>
      </w:pPr>
    </w:p>
    <w:p w14:paraId="0F08B96A" w14:textId="5AD1A81B" w:rsidR="006C778A" w:rsidRPr="00B8058E" w:rsidRDefault="006C778A" w:rsidP="006C778A">
      <w:pPr>
        <w:rPr>
          <w:szCs w:val="24"/>
        </w:rPr>
      </w:pPr>
      <w:r w:rsidRPr="00B8058E">
        <w:rPr>
          <w:szCs w:val="24"/>
        </w:rPr>
        <w:t>ES-1:  Vogtle 3 &amp; 4 Forecast Capital Construction Cost</w:t>
      </w:r>
      <w:r w:rsidR="00D5569C">
        <w:rPr>
          <w:szCs w:val="24"/>
        </w:rPr>
        <w:tab/>
      </w:r>
      <w:r w:rsidR="00D5569C">
        <w:rPr>
          <w:szCs w:val="24"/>
        </w:rPr>
        <w:tab/>
      </w:r>
      <w:r w:rsidR="00D5569C">
        <w:rPr>
          <w:szCs w:val="24"/>
        </w:rPr>
        <w:tab/>
      </w:r>
      <w:r w:rsidR="00D5569C">
        <w:rPr>
          <w:szCs w:val="24"/>
        </w:rPr>
        <w:tab/>
      </w:r>
      <w:r w:rsidR="00D5569C">
        <w:rPr>
          <w:szCs w:val="24"/>
        </w:rPr>
        <w:tab/>
        <w:t xml:space="preserve">    2</w:t>
      </w:r>
    </w:p>
    <w:p w14:paraId="5CBDDB9E" w14:textId="0316E0FA" w:rsidR="006C778A" w:rsidRDefault="006C778A" w:rsidP="006C778A">
      <w:pPr>
        <w:rPr>
          <w:szCs w:val="24"/>
        </w:rPr>
      </w:pPr>
      <w:r w:rsidRPr="00B8058E">
        <w:rPr>
          <w:szCs w:val="24"/>
        </w:rPr>
        <w:t xml:space="preserve">            Per GPSC Order VCM 17 Dated January 2018</w:t>
      </w:r>
      <w:r w:rsidR="00D5569C">
        <w:rPr>
          <w:szCs w:val="24"/>
        </w:rPr>
        <w:t xml:space="preserve"> &amp; </w:t>
      </w:r>
    </w:p>
    <w:p w14:paraId="0672AE03" w14:textId="7996D682" w:rsidR="00D5569C" w:rsidRPr="00B8058E" w:rsidRDefault="00D5569C" w:rsidP="006C778A">
      <w:pPr>
        <w:rPr>
          <w:szCs w:val="24"/>
        </w:rPr>
      </w:pPr>
      <w:r>
        <w:rPr>
          <w:szCs w:val="24"/>
        </w:rPr>
        <w:tab/>
        <w:t>VCM 18 Reprotection</w:t>
      </w:r>
    </w:p>
    <w:p w14:paraId="7A9F1A81" w14:textId="77777777" w:rsidR="006C778A" w:rsidRPr="00B8058E" w:rsidRDefault="006C778A" w:rsidP="006C778A">
      <w:pPr>
        <w:rPr>
          <w:szCs w:val="24"/>
        </w:rPr>
      </w:pPr>
    </w:p>
    <w:p w14:paraId="44C8CC76" w14:textId="3B922DC2" w:rsidR="006C778A" w:rsidRPr="00B8058E" w:rsidRDefault="006C778A" w:rsidP="006C778A">
      <w:pPr>
        <w:rPr>
          <w:szCs w:val="24"/>
        </w:rPr>
      </w:pPr>
      <w:r w:rsidRPr="00B8058E">
        <w:rPr>
          <w:szCs w:val="24"/>
        </w:rPr>
        <w:t>ES-2:  VMG Support of PIA Staff</w:t>
      </w:r>
      <w:r w:rsidR="004243F7">
        <w:rPr>
          <w:szCs w:val="24"/>
        </w:rPr>
        <w:tab/>
      </w:r>
      <w:r w:rsidR="004243F7">
        <w:rPr>
          <w:szCs w:val="24"/>
        </w:rPr>
        <w:tab/>
      </w:r>
      <w:r w:rsidR="004243F7">
        <w:rPr>
          <w:szCs w:val="24"/>
        </w:rPr>
        <w:tab/>
      </w:r>
      <w:r w:rsidR="004243F7">
        <w:rPr>
          <w:szCs w:val="24"/>
        </w:rPr>
        <w:tab/>
      </w:r>
      <w:r w:rsidR="004243F7">
        <w:rPr>
          <w:szCs w:val="24"/>
        </w:rPr>
        <w:tab/>
      </w:r>
      <w:r w:rsidR="004243F7">
        <w:rPr>
          <w:szCs w:val="24"/>
        </w:rPr>
        <w:tab/>
      </w:r>
      <w:r w:rsidR="004243F7">
        <w:rPr>
          <w:szCs w:val="24"/>
        </w:rPr>
        <w:tab/>
      </w:r>
      <w:r w:rsidR="004243F7">
        <w:rPr>
          <w:szCs w:val="24"/>
        </w:rPr>
        <w:tab/>
        <w:t xml:space="preserve">    3</w:t>
      </w:r>
    </w:p>
    <w:p w14:paraId="66589F9C" w14:textId="77777777" w:rsidR="006C778A" w:rsidRPr="00B8058E" w:rsidRDefault="006C778A" w:rsidP="006C778A">
      <w:pPr>
        <w:rPr>
          <w:szCs w:val="24"/>
        </w:rPr>
      </w:pPr>
    </w:p>
    <w:p w14:paraId="70F00E38" w14:textId="3E5CFFD7" w:rsidR="006C778A" w:rsidRPr="00B8058E" w:rsidRDefault="006C778A" w:rsidP="006C778A">
      <w:pPr>
        <w:rPr>
          <w:szCs w:val="24"/>
        </w:rPr>
      </w:pPr>
      <w:r w:rsidRPr="00B8058E">
        <w:rPr>
          <w:szCs w:val="24"/>
        </w:rPr>
        <w:t>1.1-1:  Vogtle 3 &amp; 4 Forecast Cost &amp; Schedule</w:t>
      </w:r>
      <w:r w:rsidR="004243F7">
        <w:rPr>
          <w:szCs w:val="24"/>
        </w:rPr>
        <w:t xml:space="preserve"> (a repeat of ES-1</w:t>
      </w:r>
      <w:r w:rsidRPr="00B8058E">
        <w:rPr>
          <w:szCs w:val="24"/>
        </w:rPr>
        <w:t xml:space="preserve">    </w:t>
      </w:r>
      <w:r w:rsidR="00BF7E0E">
        <w:rPr>
          <w:szCs w:val="24"/>
        </w:rPr>
        <w:tab/>
      </w:r>
      <w:r w:rsidR="00BF7E0E">
        <w:rPr>
          <w:szCs w:val="24"/>
        </w:rPr>
        <w:tab/>
      </w:r>
      <w:r w:rsidR="00BF7E0E">
        <w:rPr>
          <w:szCs w:val="24"/>
        </w:rPr>
        <w:tab/>
      </w:r>
      <w:r w:rsidR="00BF7E0E">
        <w:rPr>
          <w:szCs w:val="24"/>
        </w:rPr>
        <w:tab/>
        <w:t xml:space="preserve">    8</w:t>
      </w:r>
    </w:p>
    <w:p w14:paraId="7F61443E" w14:textId="77777777" w:rsidR="006C778A" w:rsidRPr="00B8058E" w:rsidRDefault="006C778A" w:rsidP="006C778A">
      <w:pPr>
        <w:rPr>
          <w:szCs w:val="24"/>
        </w:rPr>
      </w:pPr>
    </w:p>
    <w:p w14:paraId="518400D3" w14:textId="76AC1CE8" w:rsidR="006C778A" w:rsidRPr="00B8058E" w:rsidRDefault="006C778A" w:rsidP="006C778A">
      <w:pPr>
        <w:rPr>
          <w:szCs w:val="24"/>
        </w:rPr>
      </w:pPr>
      <w:r w:rsidRPr="00B8058E">
        <w:rPr>
          <w:szCs w:val="24"/>
        </w:rPr>
        <w:t>1.2-1:  Cost Estimates (Excluding Financing) of AP 1000</w:t>
      </w:r>
      <w:r w:rsidR="00BF7E0E">
        <w:rPr>
          <w:szCs w:val="24"/>
        </w:rPr>
        <w:tab/>
      </w:r>
      <w:r w:rsidR="00BF7E0E">
        <w:rPr>
          <w:szCs w:val="24"/>
        </w:rPr>
        <w:tab/>
      </w:r>
      <w:r w:rsidR="00BF7E0E">
        <w:rPr>
          <w:szCs w:val="24"/>
        </w:rPr>
        <w:tab/>
      </w:r>
      <w:r w:rsidR="00BF7E0E">
        <w:rPr>
          <w:szCs w:val="24"/>
        </w:rPr>
        <w:tab/>
      </w:r>
      <w:r w:rsidR="00BF7E0E">
        <w:rPr>
          <w:szCs w:val="24"/>
        </w:rPr>
        <w:tab/>
        <w:t xml:space="preserve">   10</w:t>
      </w:r>
    </w:p>
    <w:p w14:paraId="502073B2" w14:textId="77777777" w:rsidR="006C778A" w:rsidRPr="00B8058E" w:rsidRDefault="006C778A" w:rsidP="006C778A">
      <w:pPr>
        <w:rPr>
          <w:szCs w:val="24"/>
        </w:rPr>
      </w:pPr>
      <w:r w:rsidRPr="00B8058E">
        <w:rPr>
          <w:szCs w:val="24"/>
        </w:rPr>
        <w:tab/>
        <w:t xml:space="preserve">  Dual Unit Sites</w:t>
      </w:r>
    </w:p>
    <w:p w14:paraId="080353BA" w14:textId="77777777" w:rsidR="006C778A" w:rsidRPr="00B8058E" w:rsidRDefault="006C778A" w:rsidP="006C778A">
      <w:pPr>
        <w:rPr>
          <w:szCs w:val="24"/>
        </w:rPr>
      </w:pPr>
    </w:p>
    <w:p w14:paraId="02AFB4CE" w14:textId="5D3318FB" w:rsidR="006C778A" w:rsidRPr="00B8058E" w:rsidRDefault="006C778A" w:rsidP="006C778A">
      <w:pPr>
        <w:rPr>
          <w:szCs w:val="24"/>
        </w:rPr>
      </w:pPr>
      <w:r w:rsidRPr="00B8058E">
        <w:rPr>
          <w:szCs w:val="24"/>
        </w:rPr>
        <w:t>1.3-1:  Summary of CPT’s (VMG’s) Preliminary (June 2018)</w:t>
      </w:r>
      <w:r w:rsidR="00BF7E0E">
        <w:rPr>
          <w:szCs w:val="24"/>
        </w:rPr>
        <w:tab/>
      </w:r>
      <w:r w:rsidR="00BF7E0E">
        <w:rPr>
          <w:szCs w:val="24"/>
        </w:rPr>
        <w:tab/>
      </w:r>
      <w:r w:rsidR="00BF7E0E">
        <w:rPr>
          <w:szCs w:val="24"/>
        </w:rPr>
        <w:tab/>
      </w:r>
      <w:r w:rsidR="00BF7E0E">
        <w:rPr>
          <w:szCs w:val="24"/>
        </w:rPr>
        <w:tab/>
        <w:t>11 - 12</w:t>
      </w:r>
    </w:p>
    <w:p w14:paraId="15F1FC51" w14:textId="383E171F" w:rsidR="00887B5D" w:rsidRPr="00B8058E" w:rsidRDefault="006C778A" w:rsidP="006C778A">
      <w:pPr>
        <w:rPr>
          <w:szCs w:val="24"/>
        </w:rPr>
      </w:pPr>
      <w:r w:rsidRPr="00B8058E">
        <w:rPr>
          <w:szCs w:val="24"/>
        </w:rPr>
        <w:tab/>
        <w:t xml:space="preserve">  Review of Project Schedule</w:t>
      </w:r>
    </w:p>
    <w:p w14:paraId="2B5D220E" w14:textId="77777777" w:rsidR="006C778A" w:rsidRPr="00B8058E" w:rsidRDefault="006C778A" w:rsidP="006C778A">
      <w:pPr>
        <w:rPr>
          <w:szCs w:val="24"/>
        </w:rPr>
      </w:pPr>
    </w:p>
    <w:p w14:paraId="2EF04C67" w14:textId="6BF3FB5D" w:rsidR="006C778A" w:rsidRDefault="006C778A" w:rsidP="006C778A">
      <w:pPr>
        <w:rPr>
          <w:szCs w:val="24"/>
        </w:rPr>
      </w:pPr>
      <w:r w:rsidRPr="00B8058E">
        <w:rPr>
          <w:szCs w:val="24"/>
        </w:rPr>
        <w:t xml:space="preserve">3.1-1:  Cost Based % Complete </w:t>
      </w:r>
      <w:r w:rsidR="00BF7E0E">
        <w:rPr>
          <w:szCs w:val="24"/>
        </w:rPr>
        <w:t>vs Company Reported % Complete</w:t>
      </w:r>
      <w:r w:rsidR="00BF7E0E">
        <w:rPr>
          <w:szCs w:val="24"/>
        </w:rPr>
        <w:tab/>
      </w:r>
      <w:r w:rsidR="00BF7E0E">
        <w:rPr>
          <w:szCs w:val="24"/>
        </w:rPr>
        <w:tab/>
      </w:r>
      <w:r w:rsidR="00BF7E0E">
        <w:rPr>
          <w:szCs w:val="24"/>
        </w:rPr>
        <w:tab/>
        <w:t xml:space="preserve">    1</w:t>
      </w:r>
      <w:r w:rsidR="006B2C69">
        <w:rPr>
          <w:szCs w:val="24"/>
        </w:rPr>
        <w:t>8</w:t>
      </w:r>
    </w:p>
    <w:p w14:paraId="52F1137A" w14:textId="77777777" w:rsidR="00222051" w:rsidRDefault="00222051" w:rsidP="006C778A">
      <w:pPr>
        <w:rPr>
          <w:szCs w:val="24"/>
        </w:rPr>
      </w:pPr>
    </w:p>
    <w:p w14:paraId="57D77A9A" w14:textId="745D49D9" w:rsidR="00BF7E0E" w:rsidRPr="00B8058E" w:rsidRDefault="00222051" w:rsidP="006C778A">
      <w:pPr>
        <w:rPr>
          <w:szCs w:val="24"/>
        </w:rPr>
      </w:pPr>
      <w:r>
        <w:rPr>
          <w:szCs w:val="24"/>
        </w:rPr>
        <w:t>3.1-2</w:t>
      </w:r>
      <w:r w:rsidR="008E55E9">
        <w:rPr>
          <w:szCs w:val="24"/>
        </w:rPr>
        <w:t>:  Company Reporting of % Complete</w:t>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t xml:space="preserve">    </w:t>
      </w:r>
      <w:r w:rsidR="005919CD">
        <w:rPr>
          <w:szCs w:val="24"/>
        </w:rPr>
        <w:t>19</w:t>
      </w:r>
    </w:p>
    <w:p w14:paraId="53AFD2AD" w14:textId="77777777" w:rsidR="006C778A" w:rsidRPr="00B8058E" w:rsidRDefault="006C778A" w:rsidP="006C778A">
      <w:pPr>
        <w:rPr>
          <w:szCs w:val="24"/>
        </w:rPr>
      </w:pPr>
    </w:p>
    <w:p w14:paraId="1B3206B9" w14:textId="75ADCE87" w:rsidR="006C778A" w:rsidRPr="00B8058E" w:rsidRDefault="006C778A" w:rsidP="006C778A">
      <w:pPr>
        <w:rPr>
          <w:szCs w:val="24"/>
        </w:rPr>
      </w:pPr>
      <w:r w:rsidRPr="00B8058E">
        <w:rPr>
          <w:szCs w:val="24"/>
        </w:rPr>
        <w:t>3.3.2-1: Budgeted Efforts % Growth</w:t>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t xml:space="preserve">    23</w:t>
      </w:r>
    </w:p>
    <w:p w14:paraId="6938B2CF" w14:textId="77777777" w:rsidR="006C778A" w:rsidRPr="00B8058E" w:rsidRDefault="006C778A" w:rsidP="006C778A">
      <w:pPr>
        <w:rPr>
          <w:szCs w:val="24"/>
        </w:rPr>
      </w:pPr>
    </w:p>
    <w:p w14:paraId="3F30939A" w14:textId="6760601C" w:rsidR="006C778A" w:rsidRPr="00B8058E" w:rsidRDefault="006C778A" w:rsidP="006C778A">
      <w:pPr>
        <w:rPr>
          <w:szCs w:val="24"/>
        </w:rPr>
      </w:pPr>
      <w:r w:rsidRPr="00B8058E">
        <w:rPr>
          <w:szCs w:val="24"/>
        </w:rPr>
        <w:t>3.3.4-1: Company Reporting of “U-3 and U-4 Schedule Margin</w:t>
      </w:r>
      <w:r w:rsidR="00BF7E0E">
        <w:rPr>
          <w:szCs w:val="24"/>
        </w:rPr>
        <w:tab/>
      </w:r>
      <w:r w:rsidR="00BF7E0E">
        <w:rPr>
          <w:szCs w:val="24"/>
        </w:rPr>
        <w:tab/>
      </w:r>
      <w:r w:rsidR="00BF7E0E">
        <w:rPr>
          <w:szCs w:val="24"/>
        </w:rPr>
        <w:tab/>
      </w:r>
      <w:r w:rsidR="00BF7E0E">
        <w:rPr>
          <w:szCs w:val="24"/>
        </w:rPr>
        <w:tab/>
      </w:r>
      <w:r w:rsidR="00C40192">
        <w:rPr>
          <w:szCs w:val="24"/>
        </w:rPr>
        <w:t xml:space="preserve">    </w:t>
      </w:r>
      <w:r w:rsidR="00BF7E0E">
        <w:rPr>
          <w:szCs w:val="24"/>
        </w:rPr>
        <w:t>25</w:t>
      </w:r>
      <w:r w:rsidR="00BF7E0E">
        <w:rPr>
          <w:szCs w:val="24"/>
        </w:rPr>
        <w:tab/>
      </w:r>
    </w:p>
    <w:p w14:paraId="459B6412" w14:textId="77777777" w:rsidR="006C778A" w:rsidRPr="00B8058E" w:rsidRDefault="006C778A" w:rsidP="006C778A">
      <w:pPr>
        <w:rPr>
          <w:szCs w:val="24"/>
        </w:rPr>
      </w:pPr>
    </w:p>
    <w:p w14:paraId="755ADA4E" w14:textId="028FD8CD" w:rsidR="006C778A" w:rsidRPr="00B8058E" w:rsidRDefault="006C778A" w:rsidP="006C778A">
      <w:pPr>
        <w:rPr>
          <w:szCs w:val="24"/>
        </w:rPr>
      </w:pPr>
      <w:r w:rsidRPr="00B8058E">
        <w:rPr>
          <w:szCs w:val="24"/>
        </w:rPr>
        <w:t>3.3.4-2: Site Work Plan, Planned Durations</w:t>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t xml:space="preserve">    26</w:t>
      </w:r>
    </w:p>
    <w:p w14:paraId="3975E563" w14:textId="77777777" w:rsidR="006C778A" w:rsidRPr="00B8058E" w:rsidRDefault="006C778A" w:rsidP="006C778A">
      <w:pPr>
        <w:rPr>
          <w:szCs w:val="24"/>
        </w:rPr>
      </w:pPr>
    </w:p>
    <w:p w14:paraId="7AEDD4F6" w14:textId="6E24AAD6" w:rsidR="006C778A" w:rsidRPr="00B8058E" w:rsidRDefault="006C778A" w:rsidP="006C778A">
      <w:pPr>
        <w:rPr>
          <w:szCs w:val="24"/>
        </w:rPr>
      </w:pPr>
      <w:r w:rsidRPr="00B8058E">
        <w:rPr>
          <w:szCs w:val="24"/>
        </w:rPr>
        <w:t>3.4-1:   Company Contingencies vs Industry Norms</w:t>
      </w:r>
      <w:r w:rsidR="00BF7E0E">
        <w:rPr>
          <w:szCs w:val="24"/>
        </w:rPr>
        <w:tab/>
      </w:r>
      <w:r w:rsidR="00BF7E0E">
        <w:rPr>
          <w:szCs w:val="24"/>
        </w:rPr>
        <w:tab/>
      </w:r>
      <w:r w:rsidR="00BF7E0E">
        <w:rPr>
          <w:szCs w:val="24"/>
        </w:rPr>
        <w:tab/>
      </w:r>
      <w:r w:rsidR="00BF7E0E">
        <w:rPr>
          <w:szCs w:val="24"/>
        </w:rPr>
        <w:tab/>
      </w:r>
      <w:r w:rsidR="00BF7E0E">
        <w:rPr>
          <w:szCs w:val="24"/>
        </w:rPr>
        <w:tab/>
      </w:r>
      <w:r w:rsidR="00BF7E0E">
        <w:rPr>
          <w:szCs w:val="24"/>
        </w:rPr>
        <w:tab/>
        <w:t xml:space="preserve">    27</w:t>
      </w:r>
    </w:p>
    <w:p w14:paraId="110FE4F2" w14:textId="77777777" w:rsidR="006C778A" w:rsidRPr="00B8058E" w:rsidRDefault="006C778A" w:rsidP="006C778A">
      <w:pPr>
        <w:rPr>
          <w:szCs w:val="24"/>
        </w:rPr>
      </w:pPr>
    </w:p>
    <w:p w14:paraId="29CEC9E5" w14:textId="33856BC3" w:rsidR="006C778A" w:rsidRPr="00B8058E" w:rsidRDefault="006C778A" w:rsidP="006C778A">
      <w:pPr>
        <w:rPr>
          <w:szCs w:val="24"/>
        </w:rPr>
      </w:pPr>
      <w:r w:rsidRPr="00B8058E">
        <w:rPr>
          <w:szCs w:val="24"/>
        </w:rPr>
        <w:t>4.1-1:   Schedule Delay Costs (as currently forecast by VMG)</w:t>
      </w:r>
      <w:r w:rsidR="00BF7E0E">
        <w:rPr>
          <w:szCs w:val="24"/>
        </w:rPr>
        <w:tab/>
      </w:r>
      <w:r w:rsidR="00BF7E0E">
        <w:rPr>
          <w:szCs w:val="24"/>
        </w:rPr>
        <w:tab/>
      </w:r>
      <w:r w:rsidR="00BF7E0E">
        <w:rPr>
          <w:szCs w:val="24"/>
        </w:rPr>
        <w:tab/>
      </w:r>
      <w:r w:rsidR="00BF7E0E">
        <w:rPr>
          <w:szCs w:val="24"/>
        </w:rPr>
        <w:tab/>
        <w:t xml:space="preserve">    30</w:t>
      </w:r>
    </w:p>
    <w:p w14:paraId="7D240F95" w14:textId="77777777" w:rsidR="006C778A" w:rsidRPr="00B8058E" w:rsidRDefault="006C778A" w:rsidP="006C778A">
      <w:pPr>
        <w:rPr>
          <w:szCs w:val="24"/>
        </w:rPr>
      </w:pPr>
    </w:p>
    <w:p w14:paraId="6B76CC93" w14:textId="0465FEC4" w:rsidR="006C778A" w:rsidRPr="00B8058E" w:rsidRDefault="006C778A" w:rsidP="006C778A">
      <w:pPr>
        <w:rPr>
          <w:szCs w:val="24"/>
        </w:rPr>
      </w:pPr>
      <w:r w:rsidRPr="00B8058E">
        <w:rPr>
          <w:szCs w:val="24"/>
        </w:rPr>
        <w:t xml:space="preserve">4.2-1:   Schedule Delay Costs (as reflected by February </w:t>
      </w:r>
      <w:proofErr w:type="spellStart"/>
      <w:r w:rsidRPr="00B8058E">
        <w:rPr>
          <w:szCs w:val="24"/>
        </w:rPr>
        <w:t>VPMB</w:t>
      </w:r>
      <w:proofErr w:type="spellEnd"/>
      <w:r w:rsidRPr="00B8058E">
        <w:rPr>
          <w:szCs w:val="24"/>
        </w:rPr>
        <w:t>)</w:t>
      </w:r>
      <w:r w:rsidR="00223F1D">
        <w:rPr>
          <w:szCs w:val="24"/>
        </w:rPr>
        <w:tab/>
      </w:r>
      <w:r w:rsidR="00223F1D">
        <w:rPr>
          <w:szCs w:val="24"/>
        </w:rPr>
        <w:tab/>
      </w:r>
      <w:r w:rsidR="00223F1D">
        <w:rPr>
          <w:szCs w:val="24"/>
        </w:rPr>
        <w:tab/>
      </w:r>
      <w:r w:rsidR="00223F1D">
        <w:rPr>
          <w:szCs w:val="24"/>
        </w:rPr>
        <w:tab/>
        <w:t xml:space="preserve">    31</w:t>
      </w:r>
      <w:r w:rsidR="00223F1D">
        <w:rPr>
          <w:szCs w:val="24"/>
        </w:rPr>
        <w:tab/>
        <w:t xml:space="preserve">    </w:t>
      </w:r>
    </w:p>
    <w:p w14:paraId="47931093" w14:textId="77777777" w:rsidR="006C778A" w:rsidRPr="00B8058E" w:rsidRDefault="006C778A" w:rsidP="006C778A">
      <w:pPr>
        <w:rPr>
          <w:szCs w:val="24"/>
        </w:rPr>
      </w:pPr>
    </w:p>
    <w:p w14:paraId="6FEFA3E7" w14:textId="0F7BA374" w:rsidR="006C778A" w:rsidRPr="00B8058E" w:rsidRDefault="006C778A" w:rsidP="006C778A">
      <w:pPr>
        <w:rPr>
          <w:szCs w:val="24"/>
        </w:rPr>
      </w:pPr>
      <w:r w:rsidRPr="00B8058E">
        <w:rPr>
          <w:szCs w:val="24"/>
        </w:rPr>
        <w:t xml:space="preserve">4.3-1:  Total Project Cost (TPC) and Forecast COD History, </w:t>
      </w:r>
      <w:r w:rsidR="00223F1D">
        <w:rPr>
          <w:szCs w:val="24"/>
        </w:rPr>
        <w:tab/>
      </w:r>
      <w:r w:rsidR="00223F1D">
        <w:rPr>
          <w:szCs w:val="24"/>
        </w:rPr>
        <w:tab/>
      </w:r>
      <w:r w:rsidR="00223F1D">
        <w:rPr>
          <w:szCs w:val="24"/>
        </w:rPr>
        <w:tab/>
      </w:r>
      <w:r w:rsidR="00223F1D">
        <w:rPr>
          <w:szCs w:val="24"/>
        </w:rPr>
        <w:tab/>
        <w:t>3</w:t>
      </w:r>
      <w:r w:rsidR="005919CD">
        <w:rPr>
          <w:szCs w:val="24"/>
        </w:rPr>
        <w:t>1-32</w:t>
      </w:r>
      <w:r w:rsidR="00223F1D">
        <w:rPr>
          <w:szCs w:val="24"/>
        </w:rPr>
        <w:t xml:space="preserve"> </w:t>
      </w:r>
    </w:p>
    <w:p w14:paraId="6B3D8BE5" w14:textId="576FC037" w:rsidR="00DF0169" w:rsidRPr="00B8058E" w:rsidRDefault="006C778A" w:rsidP="006C778A">
      <w:pPr>
        <w:rPr>
          <w:szCs w:val="24"/>
        </w:rPr>
      </w:pPr>
      <w:r w:rsidRPr="00B8058E">
        <w:rPr>
          <w:szCs w:val="24"/>
        </w:rPr>
        <w:t xml:space="preserve">            VCM Order 17 (dated January 2018) to April 2023</w:t>
      </w:r>
    </w:p>
    <w:p w14:paraId="54FF3595" w14:textId="77777777" w:rsidR="00DF0169" w:rsidRDefault="00DF0169" w:rsidP="00A72F26">
      <w:pPr>
        <w:rPr>
          <w:b/>
          <w:szCs w:val="24"/>
        </w:rPr>
      </w:pPr>
    </w:p>
    <w:p w14:paraId="611A9269" w14:textId="77777777" w:rsidR="00DF0169" w:rsidRDefault="00DF0169" w:rsidP="00DF0169">
      <w:pPr>
        <w:rPr>
          <w:b/>
          <w:szCs w:val="24"/>
        </w:rPr>
      </w:pPr>
    </w:p>
    <w:p w14:paraId="4F268BFD" w14:textId="77777777" w:rsidR="00DF0169" w:rsidRDefault="00DF0169" w:rsidP="00DF0169">
      <w:pPr>
        <w:jc w:val="center"/>
        <w:rPr>
          <w:b/>
          <w:szCs w:val="24"/>
        </w:rPr>
      </w:pPr>
    </w:p>
    <w:p w14:paraId="566E3A67" w14:textId="77777777" w:rsidR="00C61C61" w:rsidRDefault="00C61C61" w:rsidP="00DF0169">
      <w:pPr>
        <w:jc w:val="center"/>
        <w:rPr>
          <w:b/>
          <w:szCs w:val="24"/>
        </w:rPr>
      </w:pPr>
    </w:p>
    <w:p w14:paraId="29CD4D72" w14:textId="77777777" w:rsidR="00C61C61" w:rsidRDefault="00C61C61" w:rsidP="00DF0169">
      <w:pPr>
        <w:jc w:val="center"/>
        <w:rPr>
          <w:b/>
          <w:szCs w:val="24"/>
        </w:rPr>
      </w:pPr>
    </w:p>
    <w:p w14:paraId="3FD82504" w14:textId="77777777" w:rsidR="00E14238" w:rsidRDefault="00E14238" w:rsidP="00DF0169">
      <w:pPr>
        <w:jc w:val="center"/>
        <w:rPr>
          <w:b/>
          <w:szCs w:val="24"/>
        </w:rPr>
      </w:pPr>
    </w:p>
    <w:p w14:paraId="3D64E626" w14:textId="77777777" w:rsidR="00C05D07" w:rsidRDefault="00C05D07" w:rsidP="00D5569C">
      <w:pPr>
        <w:jc w:val="center"/>
        <w:rPr>
          <w:b/>
          <w:bCs/>
          <w:sz w:val="28"/>
          <w:szCs w:val="28"/>
        </w:rPr>
      </w:pPr>
      <w:r>
        <w:rPr>
          <w:b/>
          <w:bCs/>
          <w:sz w:val="28"/>
          <w:szCs w:val="28"/>
        </w:rPr>
        <w:t>ACRONYMS/ DEFINITION OF TERMS</w:t>
      </w:r>
    </w:p>
    <w:p w14:paraId="62DE0A0F" w14:textId="77777777" w:rsidR="00C05D07" w:rsidRDefault="00C05D07" w:rsidP="00C05D07">
      <w:pPr>
        <w:jc w:val="both"/>
        <w:rPr>
          <w:b/>
          <w:bCs/>
          <w:sz w:val="28"/>
          <w:szCs w:val="28"/>
        </w:rPr>
      </w:pPr>
    </w:p>
    <w:p w14:paraId="7B34BB82" w14:textId="79AB1ADA" w:rsidR="00C05D07" w:rsidRPr="00775B33" w:rsidRDefault="00C05D07" w:rsidP="00C05D07">
      <w:pPr>
        <w:jc w:val="both"/>
      </w:pPr>
      <w:r>
        <w:rPr>
          <w:b/>
          <w:bCs/>
        </w:rPr>
        <w:t xml:space="preserve">ANSI 748:  </w:t>
      </w:r>
      <w:r>
        <w:t>America</w:t>
      </w:r>
      <w:r w:rsidR="00534510">
        <w:t>n</w:t>
      </w:r>
      <w:r>
        <w:t xml:space="preserve"> National Standards Institute Standard 748, Titled “Earned Value Management Systems”, provides 32 guidelines/ intended practices </w:t>
      </w:r>
      <w:r w:rsidRPr="004B34B2">
        <w:t>which</w:t>
      </w:r>
      <w:r>
        <w:t xml:space="preserve">, </w:t>
      </w:r>
      <w:r w:rsidRPr="004B34B2">
        <w:t>when</w:t>
      </w:r>
      <w:r>
        <w:t xml:space="preserve"> followed, supports an objective means of planning, measuring, and reporting project cost and schedule status and project performance.  Initially issued through ANSI, further updates/ revisions to the ANSI standard have been developed by PMI (Project Management Institute). </w:t>
      </w:r>
    </w:p>
    <w:p w14:paraId="310A772B" w14:textId="77777777" w:rsidR="00C05D07" w:rsidRDefault="00C05D07" w:rsidP="00C05D07">
      <w:pPr>
        <w:jc w:val="both"/>
        <w:rPr>
          <w:b/>
          <w:bCs/>
        </w:rPr>
      </w:pPr>
    </w:p>
    <w:p w14:paraId="798A79B8" w14:textId="77777777" w:rsidR="00C05D07" w:rsidRDefault="00C05D07" w:rsidP="00C05D07">
      <w:pPr>
        <w:jc w:val="both"/>
      </w:pPr>
      <w:r>
        <w:rPr>
          <w:b/>
          <w:bCs/>
        </w:rPr>
        <w:t>Capital Construction Cost:</w:t>
      </w:r>
      <w:r>
        <w:t xml:space="preserve">  There are two varieties of this cost, as follows:</w:t>
      </w:r>
    </w:p>
    <w:p w14:paraId="3F1604CE" w14:textId="77777777" w:rsidR="00E320EB" w:rsidRDefault="00E320EB" w:rsidP="00C05D07">
      <w:pPr>
        <w:jc w:val="both"/>
      </w:pPr>
    </w:p>
    <w:p w14:paraId="7888EB82" w14:textId="2F76EAA0" w:rsidR="00E320EB" w:rsidRDefault="00E320EB" w:rsidP="00223F1D">
      <w:pPr>
        <w:pStyle w:val="ListParagraph"/>
        <w:numPr>
          <w:ilvl w:val="0"/>
          <w:numId w:val="31"/>
        </w:numPr>
        <w:contextualSpacing/>
        <w:jc w:val="both"/>
      </w:pPr>
      <w:r w:rsidRPr="00592ED5">
        <w:rPr>
          <w:u w:val="single"/>
        </w:rPr>
        <w:t>Total Project Cost (</w:t>
      </w:r>
      <w:r w:rsidRPr="00223F1D">
        <w:rPr>
          <w:u w:val="single"/>
        </w:rPr>
        <w:t>TPC</w:t>
      </w:r>
      <w:r w:rsidRPr="00592ED5">
        <w:rPr>
          <w:u w:val="single"/>
        </w:rPr>
        <w:t>)</w:t>
      </w:r>
      <w:r w:rsidRPr="00592ED5">
        <w:t xml:space="preserve">:  </w:t>
      </w:r>
      <w:r w:rsidR="004F6D82">
        <w:t>T</w:t>
      </w:r>
      <w:r w:rsidRPr="00592ED5">
        <w:t xml:space="preserve">his is the total Capital Construction Cost which is shared among all the </w:t>
      </w:r>
      <w:r w:rsidR="00D5569C">
        <w:t>Co-o</w:t>
      </w:r>
      <w:r w:rsidR="00F536DB">
        <w:t>w</w:t>
      </w:r>
      <w:r w:rsidRPr="00592ED5">
        <w:t xml:space="preserve">ners, and it excludes </w:t>
      </w:r>
      <w:r>
        <w:t>C</w:t>
      </w:r>
      <w:r w:rsidRPr="00592ED5">
        <w:t xml:space="preserve">ompany specific </w:t>
      </w:r>
      <w:r w:rsidR="00D5569C">
        <w:t xml:space="preserve">non-shared </w:t>
      </w:r>
      <w:r w:rsidRPr="00592ED5">
        <w:t>costs such as financing, ad va</w:t>
      </w:r>
      <w:r>
        <w:t>lore</w:t>
      </w:r>
      <w:r w:rsidRPr="00592ED5">
        <w:t xml:space="preserve">m, and replacement energy costs. </w:t>
      </w:r>
      <w:r>
        <w:t xml:space="preserve"> At the time of the Commission’s January 2018 Order VCM 17, this was $ 17.1 billion.  VMG’s efforts have focused on providing an independent assessment of the Project to finish within this $ 17.1 billion figure and by the </w:t>
      </w:r>
      <w:r w:rsidR="00D5569C">
        <w:t>Commission</w:t>
      </w:r>
      <w:r>
        <w:t xml:space="preserve"> </w:t>
      </w:r>
      <w:r w:rsidR="00D5569C">
        <w:t>A</w:t>
      </w:r>
      <w:r>
        <w:t>pproved CODs of November 2021/ November 2022.</w:t>
      </w:r>
    </w:p>
    <w:p w14:paraId="506C8486" w14:textId="77777777" w:rsidR="00C05D07" w:rsidRDefault="00C05D07" w:rsidP="00C05D07">
      <w:pPr>
        <w:jc w:val="both"/>
      </w:pPr>
    </w:p>
    <w:p w14:paraId="6E24EC1B" w14:textId="2E3EECF8" w:rsidR="00C05D07" w:rsidRPr="00592ED5" w:rsidRDefault="00C05D07" w:rsidP="00C05D07">
      <w:pPr>
        <w:pStyle w:val="ListParagraph"/>
        <w:numPr>
          <w:ilvl w:val="0"/>
          <w:numId w:val="31"/>
        </w:numPr>
        <w:contextualSpacing/>
        <w:jc w:val="both"/>
      </w:pPr>
      <w:r w:rsidRPr="00592ED5">
        <w:rPr>
          <w:u w:val="single"/>
        </w:rPr>
        <w:t>Georgia Power Co</w:t>
      </w:r>
      <w:r>
        <w:rPr>
          <w:u w:val="single"/>
        </w:rPr>
        <w:t>mpany</w:t>
      </w:r>
      <w:r w:rsidRPr="00592ED5">
        <w:rPr>
          <w:u w:val="single"/>
        </w:rPr>
        <w:t xml:space="preserve"> </w:t>
      </w:r>
      <w:r>
        <w:rPr>
          <w:u w:val="single"/>
        </w:rPr>
        <w:t>C</w:t>
      </w:r>
      <w:r w:rsidRPr="00592ED5">
        <w:rPr>
          <w:u w:val="single"/>
        </w:rPr>
        <w:t>apital Construction Cost</w:t>
      </w:r>
      <w:r w:rsidRPr="00592ED5">
        <w:t xml:space="preserve">:   </w:t>
      </w:r>
      <w:r>
        <w:t>T</w:t>
      </w:r>
      <w:r w:rsidRPr="00592ED5">
        <w:t xml:space="preserve">his is </w:t>
      </w:r>
      <w:r w:rsidRPr="004B34B2">
        <w:rPr>
          <w:i/>
          <w:iCs/>
        </w:rPr>
        <w:t xml:space="preserve">45.7% of the owner shared Total Project Cost </w:t>
      </w:r>
      <w:r w:rsidRPr="00223F1D">
        <w:rPr>
          <w:i/>
          <w:iCs/>
        </w:rPr>
        <w:t>(TPC</w:t>
      </w:r>
      <w:r w:rsidRPr="004B34B2">
        <w:rPr>
          <w:i/>
          <w:iCs/>
        </w:rPr>
        <w:t xml:space="preserve">), plus </w:t>
      </w:r>
      <w:r>
        <w:rPr>
          <w:i/>
          <w:iCs/>
        </w:rPr>
        <w:t xml:space="preserve">the </w:t>
      </w:r>
      <w:r w:rsidR="00E50A08">
        <w:rPr>
          <w:i/>
          <w:iCs/>
        </w:rPr>
        <w:t xml:space="preserve">Georgia Power </w:t>
      </w:r>
      <w:r w:rsidR="00D657B8">
        <w:rPr>
          <w:i/>
          <w:iCs/>
        </w:rPr>
        <w:t>Company</w:t>
      </w:r>
      <w:r>
        <w:rPr>
          <w:i/>
          <w:iCs/>
        </w:rPr>
        <w:t xml:space="preserve"> </w:t>
      </w:r>
      <w:r w:rsidRPr="004B34B2">
        <w:rPr>
          <w:i/>
          <w:iCs/>
        </w:rPr>
        <w:t>specific project charges</w:t>
      </w:r>
      <w:r w:rsidRPr="00592ED5">
        <w:t xml:space="preserve"> such as ad valorem costs and replacement energy costs.   </w:t>
      </w:r>
      <w:r w:rsidRPr="00592ED5">
        <w:rPr>
          <w:i/>
          <w:iCs/>
        </w:rPr>
        <w:t>With the Commission</w:t>
      </w:r>
      <w:r>
        <w:rPr>
          <w:i/>
          <w:iCs/>
        </w:rPr>
        <w:t>’s</w:t>
      </w:r>
      <w:r w:rsidRPr="00592ED5">
        <w:rPr>
          <w:i/>
          <w:iCs/>
        </w:rPr>
        <w:t xml:space="preserve"> January 2018 Order</w:t>
      </w:r>
      <w:r>
        <w:rPr>
          <w:i/>
          <w:iCs/>
        </w:rPr>
        <w:t>,</w:t>
      </w:r>
      <w:r w:rsidRPr="00592ED5">
        <w:rPr>
          <w:i/>
          <w:iCs/>
        </w:rPr>
        <w:t xml:space="preserve"> VCM 17, the Commission approved continuation of the </w:t>
      </w:r>
      <w:r>
        <w:rPr>
          <w:i/>
          <w:iCs/>
        </w:rPr>
        <w:t>Pr</w:t>
      </w:r>
      <w:r w:rsidRPr="00592ED5">
        <w:rPr>
          <w:i/>
          <w:iCs/>
        </w:rPr>
        <w:t xml:space="preserve">oject subject to a </w:t>
      </w:r>
      <w:r w:rsidRPr="00B304C9">
        <w:rPr>
          <w:i/>
          <w:iCs/>
        </w:rPr>
        <w:t>GPC</w:t>
      </w:r>
      <w:r w:rsidRPr="00592ED5">
        <w:rPr>
          <w:i/>
          <w:iCs/>
        </w:rPr>
        <w:t xml:space="preserve"> Capital Construction Cost of $ 7.3 B, and regulatory approved CODs of November 2021/ November 2022, respectively for </w:t>
      </w:r>
      <w:r>
        <w:rPr>
          <w:i/>
          <w:iCs/>
        </w:rPr>
        <w:t>Unit 3 (</w:t>
      </w:r>
      <w:r w:rsidRPr="00592ED5">
        <w:rPr>
          <w:i/>
          <w:iCs/>
        </w:rPr>
        <w:t>U-3</w:t>
      </w:r>
      <w:r>
        <w:rPr>
          <w:i/>
          <w:iCs/>
        </w:rPr>
        <w:t>)</w:t>
      </w:r>
      <w:r w:rsidRPr="00592ED5">
        <w:rPr>
          <w:i/>
          <w:iCs/>
        </w:rPr>
        <w:t xml:space="preserve"> and </w:t>
      </w:r>
      <w:r>
        <w:rPr>
          <w:i/>
          <w:iCs/>
        </w:rPr>
        <w:t>Unit 4 (</w:t>
      </w:r>
      <w:r w:rsidRPr="00592ED5">
        <w:rPr>
          <w:i/>
          <w:iCs/>
        </w:rPr>
        <w:t>U-4</w:t>
      </w:r>
      <w:r>
        <w:rPr>
          <w:i/>
          <w:iCs/>
        </w:rPr>
        <w:t>)</w:t>
      </w:r>
      <w:r w:rsidRPr="00592ED5">
        <w:rPr>
          <w:i/>
          <w:iCs/>
        </w:rPr>
        <w:t>.</w:t>
      </w:r>
      <w:r w:rsidRPr="00592ED5">
        <w:t xml:space="preserve">  </w:t>
      </w:r>
      <w:r w:rsidRPr="004B34B2">
        <w:rPr>
          <w:i/>
          <w:iCs/>
        </w:rPr>
        <w:t xml:space="preserve">Table ES-1 within the Executive Summary, which is repeated in Section 1 of the report, shows the relationship of </w:t>
      </w:r>
      <w:r w:rsidRPr="00DF2734">
        <w:rPr>
          <w:i/>
          <w:iCs/>
        </w:rPr>
        <w:t xml:space="preserve">the </w:t>
      </w:r>
      <w:r w:rsidR="00662E3A">
        <w:rPr>
          <w:i/>
          <w:iCs/>
        </w:rPr>
        <w:t xml:space="preserve">GPC </w:t>
      </w:r>
      <w:r w:rsidR="00662E3A" w:rsidRPr="00B304C9">
        <w:rPr>
          <w:i/>
          <w:iCs/>
        </w:rPr>
        <w:t>Cap</w:t>
      </w:r>
      <w:r w:rsidR="00662E3A" w:rsidRPr="004B34B2">
        <w:rPr>
          <w:i/>
          <w:iCs/>
        </w:rPr>
        <w:t>ital</w:t>
      </w:r>
      <w:r w:rsidRPr="004B34B2">
        <w:rPr>
          <w:i/>
          <w:iCs/>
        </w:rPr>
        <w:t xml:space="preserve"> Construction Cost to the Total Project Cost (TPC</w:t>
      </w:r>
      <w:r>
        <w:t>).</w:t>
      </w:r>
    </w:p>
    <w:p w14:paraId="1982C970" w14:textId="77777777" w:rsidR="00C05D07" w:rsidRDefault="00C05D07" w:rsidP="00C05D07">
      <w:pPr>
        <w:jc w:val="both"/>
      </w:pPr>
    </w:p>
    <w:p w14:paraId="286CF6E9" w14:textId="23C16541" w:rsidR="00200ECD" w:rsidRPr="000C4482" w:rsidRDefault="00200ECD" w:rsidP="00C05D07">
      <w:pPr>
        <w:jc w:val="both"/>
      </w:pPr>
      <w:r w:rsidRPr="000C4482">
        <w:t xml:space="preserve">The following acronyms will be used </w:t>
      </w:r>
      <w:r w:rsidRPr="00200ECD">
        <w:t>throughout</w:t>
      </w:r>
      <w:r w:rsidRPr="000C4482">
        <w:t xml:space="preserve"> this report:</w:t>
      </w:r>
    </w:p>
    <w:p w14:paraId="5404D09D" w14:textId="77777777" w:rsidR="00200ECD" w:rsidRDefault="00200ECD" w:rsidP="00C05D07">
      <w:pPr>
        <w:jc w:val="both"/>
        <w:rPr>
          <w:b/>
          <w:bCs/>
        </w:rPr>
      </w:pPr>
    </w:p>
    <w:p w14:paraId="1BAD434C" w14:textId="22DEAFA3" w:rsidR="00C05D07" w:rsidRPr="00775B33" w:rsidRDefault="00C05D07" w:rsidP="00C05D07">
      <w:pPr>
        <w:jc w:val="both"/>
      </w:pPr>
      <w:r>
        <w:rPr>
          <w:b/>
          <w:bCs/>
        </w:rPr>
        <w:t xml:space="preserve">COD:  </w:t>
      </w:r>
      <w:r>
        <w:t>Commercial Operation Date.  The date at which the power plant is capable of dispatching power on demand.</w:t>
      </w:r>
    </w:p>
    <w:p w14:paraId="60FB6A90" w14:textId="77777777" w:rsidR="00C05D07" w:rsidRDefault="00C05D07" w:rsidP="00C05D07">
      <w:pPr>
        <w:jc w:val="both"/>
        <w:rPr>
          <w:b/>
          <w:bCs/>
        </w:rPr>
      </w:pPr>
    </w:p>
    <w:p w14:paraId="2833F9BE" w14:textId="6DF9E339" w:rsidR="00C05D07" w:rsidRDefault="00C05D07" w:rsidP="00C05D07">
      <w:pPr>
        <w:jc w:val="both"/>
      </w:pPr>
      <w:r>
        <w:rPr>
          <w:b/>
          <w:bCs/>
        </w:rPr>
        <w:t>Company (the)</w:t>
      </w:r>
      <w:r w:rsidR="00200ECD">
        <w:rPr>
          <w:b/>
          <w:bCs/>
        </w:rPr>
        <w:t xml:space="preserve"> or GPC</w:t>
      </w:r>
      <w:r>
        <w:rPr>
          <w:b/>
          <w:bCs/>
        </w:rPr>
        <w:t xml:space="preserve">:  </w:t>
      </w:r>
      <w:r>
        <w:t xml:space="preserve">Refers </w:t>
      </w:r>
      <w:r w:rsidR="00D657B8">
        <w:t xml:space="preserve">to </w:t>
      </w:r>
      <w:r>
        <w:t xml:space="preserve">Georgia Power Company. </w:t>
      </w:r>
    </w:p>
    <w:p w14:paraId="6D00C949" w14:textId="77777777" w:rsidR="00C05D07" w:rsidRDefault="00C05D07" w:rsidP="00C05D07">
      <w:pPr>
        <w:jc w:val="both"/>
        <w:rPr>
          <w:b/>
          <w:bCs/>
        </w:rPr>
      </w:pPr>
    </w:p>
    <w:p w14:paraId="013B4324" w14:textId="39325A2A" w:rsidR="00D564DD" w:rsidRDefault="00C05D07" w:rsidP="00C05D07">
      <w:pPr>
        <w:jc w:val="both"/>
        <w:rPr>
          <w:color w:val="333333"/>
          <w:shd w:val="clear" w:color="auto" w:fill="FFFFFF"/>
        </w:rPr>
      </w:pPr>
      <w:r>
        <w:rPr>
          <w:b/>
          <w:bCs/>
        </w:rPr>
        <w:t xml:space="preserve">IEEE-384:  </w:t>
      </w:r>
      <w:r>
        <w:t>Institute of Electric</w:t>
      </w:r>
      <w:r w:rsidR="00534510">
        <w:t>al and Electronics</w:t>
      </w:r>
      <w:r>
        <w:t xml:space="preserve"> Engineers Standard titled “Standard Criteria for Independence of Class 1E Equipment and Circuits”, describes (a) the independence requirements of the circuits and equipment comprising or associated with Class 1E systems, and (b) criteria for the independence that can be achieved </w:t>
      </w:r>
      <w:r w:rsidRPr="00775B33">
        <w:rPr>
          <w:color w:val="333333"/>
          <w:shd w:val="clear" w:color="auto" w:fill="FFFFFF"/>
        </w:rPr>
        <w:t>by physical separation and electrical isolation of circuits and equipment that are redundant</w:t>
      </w:r>
      <w:r>
        <w:rPr>
          <w:color w:val="333333"/>
          <w:shd w:val="clear" w:color="auto" w:fill="FFFFFF"/>
        </w:rPr>
        <w:t>.</w:t>
      </w:r>
    </w:p>
    <w:p w14:paraId="0567F38C" w14:textId="77777777" w:rsidR="00D564DD" w:rsidRDefault="00D564DD" w:rsidP="00C05D07">
      <w:pPr>
        <w:jc w:val="both"/>
        <w:rPr>
          <w:color w:val="333333"/>
          <w:shd w:val="clear" w:color="auto" w:fill="FFFFFF"/>
        </w:rPr>
      </w:pPr>
    </w:p>
    <w:p w14:paraId="5236D880" w14:textId="2E47D395" w:rsidR="00C05D07" w:rsidRPr="00534510" w:rsidRDefault="00D564DD" w:rsidP="00C05D07">
      <w:pPr>
        <w:jc w:val="both"/>
        <w:rPr>
          <w:szCs w:val="24"/>
        </w:rPr>
      </w:pPr>
      <w:r w:rsidRPr="000C4482">
        <w:rPr>
          <w:b/>
          <w:bCs/>
          <w:color w:val="333333"/>
          <w:shd w:val="clear" w:color="auto" w:fill="FFFFFF"/>
        </w:rPr>
        <w:t>ITAAC:</w:t>
      </w:r>
      <w:r>
        <w:rPr>
          <w:color w:val="333333"/>
          <w:shd w:val="clear" w:color="auto" w:fill="FFFFFF"/>
        </w:rPr>
        <w:t xml:space="preserve">  </w:t>
      </w:r>
      <w:r w:rsidR="00223F1D">
        <w:rPr>
          <w:color w:val="333333"/>
          <w:shd w:val="clear" w:color="auto" w:fill="FFFFFF"/>
        </w:rPr>
        <w:t>Inspections, Tests, Analyses, and Acceptance Criteria</w:t>
      </w:r>
      <w:r w:rsidR="00534510">
        <w:rPr>
          <w:rStyle w:val="apple-converted-space"/>
          <w:color w:val="333333"/>
          <w:szCs w:val="24"/>
          <w:shd w:val="clear" w:color="auto" w:fill="FFFFFF"/>
        </w:rPr>
        <w:t xml:space="preserve"> are items identified in the combined license which when verified as complete via the Nuclear Regulatory Commission’s issuance of a </w:t>
      </w:r>
      <w:proofErr w:type="spellStart"/>
      <w:r w:rsidR="00534510">
        <w:rPr>
          <w:rStyle w:val="apple-converted-space"/>
          <w:color w:val="333333"/>
          <w:szCs w:val="24"/>
          <w:shd w:val="clear" w:color="auto" w:fill="FFFFFF"/>
        </w:rPr>
        <w:t>103.g</w:t>
      </w:r>
      <w:proofErr w:type="spellEnd"/>
      <w:r w:rsidR="00534510">
        <w:rPr>
          <w:rStyle w:val="apple-converted-space"/>
          <w:color w:val="333333"/>
          <w:szCs w:val="24"/>
          <w:shd w:val="clear" w:color="auto" w:fill="FFFFFF"/>
        </w:rPr>
        <w:t xml:space="preserve">., letter satisfies a pre-requisite requirement </w:t>
      </w:r>
      <w:r w:rsidR="00D5569C">
        <w:rPr>
          <w:rStyle w:val="apple-converted-space"/>
          <w:color w:val="333333"/>
          <w:szCs w:val="24"/>
          <w:shd w:val="clear" w:color="auto" w:fill="FFFFFF"/>
        </w:rPr>
        <w:t xml:space="preserve">for </w:t>
      </w:r>
      <w:r w:rsidR="00534510">
        <w:rPr>
          <w:rStyle w:val="apple-converted-space"/>
          <w:color w:val="333333"/>
          <w:szCs w:val="24"/>
          <w:shd w:val="clear" w:color="auto" w:fill="FFFFFF"/>
        </w:rPr>
        <w:t xml:space="preserve">loading of </w:t>
      </w:r>
      <w:r w:rsidR="00D5569C">
        <w:rPr>
          <w:rStyle w:val="apple-converted-space"/>
          <w:color w:val="333333"/>
          <w:szCs w:val="24"/>
          <w:shd w:val="clear" w:color="auto" w:fill="FFFFFF"/>
        </w:rPr>
        <w:t xml:space="preserve">nuclear </w:t>
      </w:r>
      <w:r w:rsidR="00534510">
        <w:rPr>
          <w:rStyle w:val="apple-converted-space"/>
          <w:color w:val="333333"/>
          <w:szCs w:val="24"/>
          <w:shd w:val="clear" w:color="auto" w:fill="FFFFFF"/>
        </w:rPr>
        <w:t>fuel.</w:t>
      </w:r>
    </w:p>
    <w:p w14:paraId="1D1C7E65" w14:textId="77777777" w:rsidR="00C05D07" w:rsidRDefault="00C05D07" w:rsidP="00C05D07">
      <w:pPr>
        <w:jc w:val="both"/>
        <w:rPr>
          <w:b/>
          <w:bCs/>
        </w:rPr>
      </w:pPr>
    </w:p>
    <w:p w14:paraId="6D1875AB" w14:textId="77777777" w:rsidR="00AF6BE1" w:rsidRDefault="00C05D07" w:rsidP="00C05D07">
      <w:pPr>
        <w:jc w:val="both"/>
      </w:pPr>
      <w:proofErr w:type="spellStart"/>
      <w:r>
        <w:rPr>
          <w:b/>
          <w:bCs/>
        </w:rPr>
        <w:lastRenderedPageBreak/>
        <w:t>EVMS</w:t>
      </w:r>
      <w:proofErr w:type="spellEnd"/>
      <w:r>
        <w:rPr>
          <w:b/>
          <w:bCs/>
        </w:rPr>
        <w:t xml:space="preserve">:  </w:t>
      </w:r>
      <w:r>
        <w:t>Earned Value Management System, Southern Nuclear Company’s</w:t>
      </w:r>
      <w:r>
        <w:rPr>
          <w:rStyle w:val="CommentReference"/>
        </w:rPr>
        <w:t xml:space="preserve"> </w:t>
      </w:r>
      <w:r>
        <w:t>overall system which utilizes Primavera Software and other data-based systems to assist SNC Management in project planning and status reporting.</w:t>
      </w:r>
    </w:p>
    <w:p w14:paraId="69299EA3" w14:textId="5786E553" w:rsidR="00C05D07" w:rsidRDefault="00C05D07" w:rsidP="00C05D07">
      <w:pPr>
        <w:jc w:val="both"/>
      </w:pPr>
      <w:r>
        <w:t xml:space="preserve"> </w:t>
      </w:r>
    </w:p>
    <w:p w14:paraId="3A5DFCFC" w14:textId="77777777" w:rsidR="001403FB" w:rsidRDefault="001403FB" w:rsidP="001403FB">
      <w:pPr>
        <w:jc w:val="both"/>
      </w:pPr>
      <w:r>
        <w:rPr>
          <w:b/>
          <w:bCs/>
        </w:rPr>
        <w:t xml:space="preserve">GPC-ND:  </w:t>
      </w:r>
      <w:r>
        <w:t>Georgia Power Company Nuclear Development; a group within GPC responsible for providing an “in-house” independent reporting of project progress.</w:t>
      </w:r>
    </w:p>
    <w:p w14:paraId="7CB7CB06" w14:textId="77777777" w:rsidR="00C05D07" w:rsidRDefault="00C05D07" w:rsidP="00C05D07">
      <w:pPr>
        <w:jc w:val="both"/>
        <w:rPr>
          <w:b/>
          <w:bCs/>
        </w:rPr>
      </w:pPr>
    </w:p>
    <w:p w14:paraId="31F49007" w14:textId="77777777" w:rsidR="00C05D07" w:rsidRDefault="00C05D07" w:rsidP="00C05D07">
      <w:pPr>
        <w:jc w:val="both"/>
      </w:pPr>
      <w:r>
        <w:rPr>
          <w:b/>
          <w:bCs/>
        </w:rPr>
        <w:t xml:space="preserve">GPSC:  </w:t>
      </w:r>
      <w:r>
        <w:t>Georgia Public Service Commission; also referred to as the “Commission”.</w:t>
      </w:r>
    </w:p>
    <w:p w14:paraId="0E463749" w14:textId="77777777" w:rsidR="00C05D07" w:rsidRDefault="00C05D07" w:rsidP="00C05D07">
      <w:pPr>
        <w:jc w:val="both"/>
      </w:pPr>
    </w:p>
    <w:p w14:paraId="09869083" w14:textId="77777777" w:rsidR="00C05D07" w:rsidRDefault="00C05D07" w:rsidP="00C05D07">
      <w:pPr>
        <w:jc w:val="both"/>
      </w:pPr>
    </w:p>
    <w:p w14:paraId="61B3689B" w14:textId="7ED67EAE" w:rsidR="00C05D07" w:rsidRDefault="00C05D07" w:rsidP="00C05D07">
      <w:pPr>
        <w:jc w:val="both"/>
      </w:pPr>
      <w:r>
        <w:rPr>
          <w:b/>
          <w:bCs/>
        </w:rPr>
        <w:t xml:space="preserve">MPR:  </w:t>
      </w:r>
      <w:r>
        <w:t xml:space="preserve">Monthly Project Review, a monthly review of </w:t>
      </w:r>
      <w:r w:rsidR="00662E3A">
        <w:t>P</w:t>
      </w:r>
      <w:r>
        <w:t>roject progress which is provided by Southern Nuclear Company to the Project Co-Owners.</w:t>
      </w:r>
    </w:p>
    <w:p w14:paraId="0AFAC48A" w14:textId="77777777" w:rsidR="00534510" w:rsidRDefault="00534510" w:rsidP="00C05D07">
      <w:pPr>
        <w:jc w:val="both"/>
      </w:pPr>
    </w:p>
    <w:p w14:paraId="192465B8" w14:textId="2FECF8B0" w:rsidR="00534510" w:rsidRPr="00A005D1" w:rsidRDefault="00534510" w:rsidP="00C05D07">
      <w:pPr>
        <w:jc w:val="both"/>
      </w:pPr>
      <w:r>
        <w:rPr>
          <w:b/>
          <w:bCs/>
        </w:rPr>
        <w:t xml:space="preserve">NCCR:  </w:t>
      </w:r>
      <w:r w:rsidRPr="00223F1D">
        <w:t xml:space="preserve">Nuclear </w:t>
      </w:r>
      <w:r w:rsidR="003B437E" w:rsidRPr="00223F1D">
        <w:t xml:space="preserve">Construction </w:t>
      </w:r>
      <w:r w:rsidRPr="00223F1D">
        <w:t>Cost Recovery tariff provides a regulatory approved means for charging customers during the construction effort for financing costs thereby reducing the compounding impact of these costs up to the point of Commercial Operations</w:t>
      </w:r>
      <w:r w:rsidR="003B437E" w:rsidRPr="00223F1D">
        <w:t>.</w:t>
      </w:r>
    </w:p>
    <w:p w14:paraId="3AC0F9AC" w14:textId="77777777" w:rsidR="00C05D07" w:rsidRDefault="00C05D07" w:rsidP="00C05D07">
      <w:pPr>
        <w:jc w:val="both"/>
        <w:rPr>
          <w:b/>
          <w:bCs/>
        </w:rPr>
      </w:pPr>
    </w:p>
    <w:p w14:paraId="1836FC86" w14:textId="77777777" w:rsidR="00C05D07" w:rsidRDefault="00C05D07" w:rsidP="00C05D07">
      <w:pPr>
        <w:jc w:val="both"/>
      </w:pPr>
      <w:r>
        <w:rPr>
          <w:b/>
          <w:bCs/>
        </w:rPr>
        <w:t xml:space="preserve">NRC:  </w:t>
      </w:r>
      <w:r>
        <w:t>Nuclear Regulatory Commission, responsible to the public for assuring the safety of US Nuclear Power Plants through review and approval of license applications and oversight of plant construction and operations.</w:t>
      </w:r>
    </w:p>
    <w:p w14:paraId="17F80CF0" w14:textId="77777777" w:rsidR="0081114C" w:rsidRDefault="0081114C" w:rsidP="00C05D07">
      <w:pPr>
        <w:jc w:val="both"/>
      </w:pPr>
    </w:p>
    <w:p w14:paraId="12DF5BFB" w14:textId="3D3E0F92" w:rsidR="0081114C" w:rsidRDefault="0081114C" w:rsidP="00C05D07">
      <w:pPr>
        <w:jc w:val="both"/>
      </w:pPr>
      <w:r w:rsidRPr="000C4482">
        <w:rPr>
          <w:b/>
          <w:bCs/>
        </w:rPr>
        <w:t>Project:</w:t>
      </w:r>
      <w:r>
        <w:t xml:space="preserve">  Vogtle Units 3 and 4 and Common Facilities.</w:t>
      </w:r>
    </w:p>
    <w:p w14:paraId="4187CDAA" w14:textId="77777777" w:rsidR="00367BEB" w:rsidRDefault="00367BEB" w:rsidP="00C05D07">
      <w:pPr>
        <w:jc w:val="both"/>
      </w:pPr>
    </w:p>
    <w:p w14:paraId="62191838" w14:textId="77777777" w:rsidR="00367BEB" w:rsidRDefault="00367BEB" w:rsidP="00367BEB">
      <w:pPr>
        <w:jc w:val="both"/>
      </w:pPr>
      <w:r>
        <w:rPr>
          <w:b/>
          <w:bCs/>
        </w:rPr>
        <w:t xml:space="preserve">RAS:  </w:t>
      </w:r>
      <w:r>
        <w:t xml:space="preserve">Risk Adjusted Schedule, developed by GPC-ND halfway through the project, and factors in risks not accounted for in the aggressive SNC Site Work Plan to come up with a risk adjusted forecast schedule. </w:t>
      </w:r>
    </w:p>
    <w:p w14:paraId="10826DA2" w14:textId="77777777" w:rsidR="00C05D07" w:rsidRDefault="00C05D07" w:rsidP="00C05D07">
      <w:pPr>
        <w:jc w:val="both"/>
        <w:rPr>
          <w:b/>
          <w:bCs/>
        </w:rPr>
      </w:pPr>
    </w:p>
    <w:p w14:paraId="76B4A83B" w14:textId="77777777" w:rsidR="00C05D07" w:rsidRDefault="00C05D07" w:rsidP="00C05D07">
      <w:pPr>
        <w:jc w:val="both"/>
      </w:pPr>
      <w:proofErr w:type="spellStart"/>
      <w:r>
        <w:rPr>
          <w:b/>
          <w:bCs/>
        </w:rPr>
        <w:t>SCo</w:t>
      </w:r>
      <w:proofErr w:type="spellEnd"/>
      <w:r>
        <w:rPr>
          <w:b/>
          <w:bCs/>
        </w:rPr>
        <w:t xml:space="preserve">:  </w:t>
      </w:r>
      <w:r>
        <w:t xml:space="preserve">Southern Company, the parent company of </w:t>
      </w:r>
      <w:r w:rsidRPr="00B304C9">
        <w:t>GPC</w:t>
      </w:r>
      <w:r>
        <w:t xml:space="preserve"> and Southern Nuclear Company (SNC).</w:t>
      </w:r>
    </w:p>
    <w:p w14:paraId="0BA6CB1C" w14:textId="77777777" w:rsidR="00C05D07" w:rsidRDefault="00C05D07" w:rsidP="00C05D07">
      <w:pPr>
        <w:jc w:val="both"/>
      </w:pPr>
    </w:p>
    <w:p w14:paraId="18CAA566" w14:textId="77777777" w:rsidR="00C05D07" w:rsidRDefault="00C05D07" w:rsidP="00C05D07">
      <w:pPr>
        <w:jc w:val="both"/>
      </w:pPr>
      <w:r>
        <w:rPr>
          <w:b/>
          <w:bCs/>
        </w:rPr>
        <w:t xml:space="preserve">SNC:  </w:t>
      </w:r>
      <w:r>
        <w:t xml:space="preserve">Southern Nuclear Company, a subsidiary of Southern Company, responsible for the operation of the SNC fleet of nuclear power plants (including Vogtle 3 &amp; 4 for a total of 8 Nuclear Power Plants).  </w:t>
      </w:r>
    </w:p>
    <w:p w14:paraId="4E788739" w14:textId="77777777" w:rsidR="001067F9" w:rsidRDefault="001067F9" w:rsidP="00C05D07">
      <w:pPr>
        <w:jc w:val="both"/>
      </w:pPr>
    </w:p>
    <w:p w14:paraId="4C8F6162" w14:textId="5539923C" w:rsidR="001067F9" w:rsidDel="00367BEB" w:rsidRDefault="001067F9" w:rsidP="00C05D07">
      <w:pPr>
        <w:jc w:val="both"/>
      </w:pPr>
      <w:r>
        <w:rPr>
          <w:b/>
          <w:bCs/>
        </w:rPr>
        <w:t xml:space="preserve">PIA </w:t>
      </w:r>
      <w:r w:rsidRPr="000C4482">
        <w:rPr>
          <w:b/>
          <w:bCs/>
        </w:rPr>
        <w:t>Staff:</w:t>
      </w:r>
      <w:r>
        <w:t xml:space="preserve">  Commission Public Interest Advocacy Staff</w:t>
      </w:r>
    </w:p>
    <w:p w14:paraId="409144DF" w14:textId="77777777" w:rsidR="00C05D07" w:rsidRDefault="00C05D07" w:rsidP="00C05D07">
      <w:pPr>
        <w:jc w:val="both"/>
      </w:pPr>
    </w:p>
    <w:p w14:paraId="200BEDEA" w14:textId="77777777" w:rsidR="00C05D07" w:rsidRPr="00775B33" w:rsidRDefault="00C05D07" w:rsidP="00C05D07">
      <w:pPr>
        <w:jc w:val="both"/>
      </w:pPr>
      <w:r>
        <w:rPr>
          <w:b/>
          <w:bCs/>
        </w:rPr>
        <w:t xml:space="preserve">SWP:  </w:t>
      </w:r>
      <w:r>
        <w:t>Site Work Plan represents the aggressive SNC plan for accomplishing work and at times has been referred to by SNC as a “strategic plan”.</w:t>
      </w:r>
    </w:p>
    <w:p w14:paraId="04B2E7C1" w14:textId="77777777" w:rsidR="00C05D07" w:rsidRDefault="00C05D07" w:rsidP="00C05D07">
      <w:pPr>
        <w:jc w:val="both"/>
        <w:rPr>
          <w:b/>
          <w:bCs/>
        </w:rPr>
      </w:pPr>
    </w:p>
    <w:p w14:paraId="5E717E00" w14:textId="77777777" w:rsidR="00C05D07" w:rsidRDefault="00C05D07" w:rsidP="00C05D07">
      <w:pPr>
        <w:jc w:val="both"/>
      </w:pPr>
      <w:r>
        <w:rPr>
          <w:b/>
          <w:bCs/>
        </w:rPr>
        <w:t xml:space="preserve">TPC:  </w:t>
      </w:r>
      <w:r w:rsidRPr="00775B33">
        <w:t>Total Project Cost</w:t>
      </w:r>
      <w:r>
        <w:t xml:space="preserve"> and is the 100% equity shared cost of the project.  </w:t>
      </w:r>
    </w:p>
    <w:p w14:paraId="42FBAA41" w14:textId="77777777" w:rsidR="00C05D07" w:rsidRDefault="00C05D07" w:rsidP="00C05D07">
      <w:pPr>
        <w:jc w:val="both"/>
        <w:rPr>
          <w:b/>
          <w:bCs/>
        </w:rPr>
      </w:pPr>
    </w:p>
    <w:p w14:paraId="4BBF5ACD" w14:textId="77777777" w:rsidR="00C05D07" w:rsidRDefault="00C05D07" w:rsidP="00C05D07">
      <w:pPr>
        <w:jc w:val="both"/>
      </w:pPr>
      <w:r>
        <w:rPr>
          <w:b/>
          <w:bCs/>
        </w:rPr>
        <w:t xml:space="preserve">U-3:  </w:t>
      </w:r>
      <w:r>
        <w:t>Vogtle, Unit 3.</w:t>
      </w:r>
    </w:p>
    <w:p w14:paraId="070B467D" w14:textId="77777777" w:rsidR="00C05D07" w:rsidRDefault="00C05D07" w:rsidP="00C05D07">
      <w:pPr>
        <w:jc w:val="both"/>
      </w:pPr>
    </w:p>
    <w:p w14:paraId="569BDEFC" w14:textId="77777777" w:rsidR="00C05D07" w:rsidRDefault="00C05D07" w:rsidP="00C05D07">
      <w:pPr>
        <w:jc w:val="both"/>
      </w:pPr>
      <w:r>
        <w:rPr>
          <w:b/>
          <w:bCs/>
        </w:rPr>
        <w:t xml:space="preserve">U-4:  </w:t>
      </w:r>
      <w:r>
        <w:t>Vogtle, Unit 4.</w:t>
      </w:r>
    </w:p>
    <w:p w14:paraId="34C63E84" w14:textId="77777777" w:rsidR="00C05D07" w:rsidRDefault="00C05D07" w:rsidP="00C05D07">
      <w:pPr>
        <w:jc w:val="both"/>
      </w:pPr>
    </w:p>
    <w:p w14:paraId="090FD62F" w14:textId="4E68C9DB" w:rsidR="003B437E" w:rsidRPr="00223F1D" w:rsidRDefault="003B437E" w:rsidP="0046548B">
      <w:pPr>
        <w:jc w:val="both"/>
      </w:pPr>
      <w:r>
        <w:rPr>
          <w:b/>
          <w:bCs/>
        </w:rPr>
        <w:lastRenderedPageBreak/>
        <w:t xml:space="preserve">VCM:  </w:t>
      </w:r>
      <w:r>
        <w:t>Vogtle Construction Monitoring refers to the process through which the company generates a report of Project progress on a semi-annual basis, and this report of progress together with the PIA Staff and its consultants’ testimonies serve as the basis for these entities and intervenors to participate in each of the associated VCM hearings.</w:t>
      </w:r>
    </w:p>
    <w:p w14:paraId="4FCC8C4C" w14:textId="77777777" w:rsidR="003B437E" w:rsidRDefault="003B437E" w:rsidP="0046548B">
      <w:pPr>
        <w:jc w:val="both"/>
        <w:rPr>
          <w:b/>
          <w:bCs/>
        </w:rPr>
      </w:pPr>
    </w:p>
    <w:p w14:paraId="3459270B" w14:textId="4013B9D2" w:rsidR="00C05D07" w:rsidRPr="00775B33" w:rsidRDefault="00C05D07" w:rsidP="0046548B">
      <w:pPr>
        <w:jc w:val="both"/>
      </w:pPr>
      <w:proofErr w:type="spellStart"/>
      <w:r>
        <w:rPr>
          <w:b/>
          <w:bCs/>
        </w:rPr>
        <w:t>VPMB</w:t>
      </w:r>
      <w:proofErr w:type="spellEnd"/>
      <w:r>
        <w:rPr>
          <w:b/>
          <w:bCs/>
        </w:rPr>
        <w:t xml:space="preserve">:  </w:t>
      </w:r>
      <w:r>
        <w:t xml:space="preserve">Vogtle Project Management Board, a GPC-ND managed effort which provides an independent monthly update of project progress to the Co-owners.  </w:t>
      </w:r>
    </w:p>
    <w:p w14:paraId="5B3BA9B6" w14:textId="77777777" w:rsidR="00C05D07" w:rsidRDefault="00C05D07" w:rsidP="00223F1D">
      <w:pPr>
        <w:jc w:val="both"/>
      </w:pPr>
    </w:p>
    <w:p w14:paraId="1AEA875B" w14:textId="71F0DB01" w:rsidR="00C05D07" w:rsidRPr="00F40F4C" w:rsidRDefault="00C05D07" w:rsidP="00223F1D">
      <w:pPr>
        <w:jc w:val="both"/>
      </w:pPr>
      <w:r>
        <w:rPr>
          <w:b/>
          <w:bCs/>
        </w:rPr>
        <w:t xml:space="preserve">WEC:  </w:t>
      </w:r>
      <w:r>
        <w:t xml:space="preserve">Westinghouse Electric Company, the company that had a fixed/firm price EPC (Engineer, Procure and Construct) contract with Georgia Power Company and the Co-owners until it was forced into declaring bankruptcy in March 2017.  </w:t>
      </w:r>
      <w:r w:rsidR="00A005D1">
        <w:t>After</w:t>
      </w:r>
      <w:r>
        <w:t xml:space="preserve"> bankruptcy, its role was reduced to providing Nuclear Steam </w:t>
      </w:r>
      <w:r w:rsidR="003B437E">
        <w:t xml:space="preserve">Supply </w:t>
      </w:r>
      <w:r w:rsidR="00223F1D">
        <w:t>System (</w:t>
      </w:r>
      <w:proofErr w:type="spellStart"/>
      <w:r>
        <w:t>NSSS</w:t>
      </w:r>
      <w:proofErr w:type="spellEnd"/>
      <w:r>
        <w:t>) related engineering and design services and being the design authority (for the remainder of construction) for the Nuclear Island related systems, structures, and components (SSC’s).</w:t>
      </w:r>
    </w:p>
    <w:p w14:paraId="3257788A" w14:textId="77777777" w:rsidR="00C05D07" w:rsidRPr="00775B33" w:rsidRDefault="00C05D07" w:rsidP="00C05D07"/>
    <w:p w14:paraId="19241E79" w14:textId="77777777" w:rsidR="00C61C61" w:rsidRPr="00C73AF6" w:rsidRDefault="00C61C61" w:rsidP="00DF0169">
      <w:pPr>
        <w:jc w:val="center"/>
        <w:rPr>
          <w:b/>
          <w:szCs w:val="24"/>
        </w:rPr>
        <w:sectPr w:rsidR="00C61C61" w:rsidRPr="00C73AF6" w:rsidSect="00637ECC">
          <w:headerReference w:type="default" r:id="rId26"/>
          <w:footerReference w:type="even" r:id="rId27"/>
          <w:footerReference w:type="default" r:id="rId28"/>
          <w:footerReference w:type="first" r:id="rId29"/>
          <w:pgSz w:w="12240" w:h="15840" w:code="1"/>
          <w:pgMar w:top="1440" w:right="1440" w:bottom="1440" w:left="1440" w:header="720" w:footer="720" w:gutter="0"/>
          <w:pgNumType w:fmt="lowerRoman" w:start="0"/>
          <w:cols w:space="720"/>
          <w:titlePg/>
          <w:docGrid w:linePitch="360"/>
        </w:sectPr>
      </w:pPr>
    </w:p>
    <w:p w14:paraId="5CD1C918" w14:textId="77777777" w:rsidR="00421D4E" w:rsidRPr="00421D4E" w:rsidRDefault="00421D4E" w:rsidP="00421D4E">
      <w:pPr>
        <w:rPr>
          <w:b/>
          <w:szCs w:val="24"/>
        </w:rPr>
      </w:pPr>
    </w:p>
    <w:p w14:paraId="6CE12D24" w14:textId="77777777" w:rsidR="00621F9B" w:rsidRPr="0091377C" w:rsidRDefault="00621F9B" w:rsidP="00621F9B">
      <w:pPr>
        <w:jc w:val="center"/>
        <w:rPr>
          <w:b/>
          <w:bCs/>
          <w:sz w:val="28"/>
          <w:szCs w:val="28"/>
        </w:rPr>
      </w:pPr>
      <w:r>
        <w:rPr>
          <w:b/>
          <w:bCs/>
          <w:sz w:val="28"/>
          <w:szCs w:val="28"/>
        </w:rPr>
        <w:t>EXECUTIVE SUMMARY</w:t>
      </w:r>
    </w:p>
    <w:p w14:paraId="158DBFEF" w14:textId="77777777" w:rsidR="00621F9B" w:rsidRPr="0091377C" w:rsidRDefault="00621F9B" w:rsidP="00621F9B">
      <w:pPr>
        <w:jc w:val="center"/>
        <w:rPr>
          <w:b/>
          <w:bCs/>
          <w:sz w:val="28"/>
          <w:szCs w:val="28"/>
        </w:rPr>
      </w:pPr>
    </w:p>
    <w:p w14:paraId="7A08DF0E" w14:textId="77777777" w:rsidR="00621F9B" w:rsidRPr="00E03772" w:rsidRDefault="00621F9B" w:rsidP="00621F9B">
      <w:pPr>
        <w:pStyle w:val="ListParagraph"/>
        <w:numPr>
          <w:ilvl w:val="0"/>
          <w:numId w:val="32"/>
        </w:numPr>
        <w:contextualSpacing/>
        <w:jc w:val="both"/>
        <w:rPr>
          <w:b/>
          <w:bCs/>
        </w:rPr>
      </w:pPr>
      <w:r w:rsidRPr="00E03772">
        <w:rPr>
          <w:b/>
          <w:bCs/>
        </w:rPr>
        <w:t xml:space="preserve">Background  </w:t>
      </w:r>
    </w:p>
    <w:p w14:paraId="416214DF" w14:textId="77777777" w:rsidR="00621F9B" w:rsidRDefault="00621F9B" w:rsidP="00621F9B">
      <w:pPr>
        <w:jc w:val="both"/>
        <w:rPr>
          <w:b/>
          <w:bCs/>
        </w:rPr>
      </w:pPr>
    </w:p>
    <w:p w14:paraId="6AC7815B" w14:textId="55D963AB" w:rsidR="00621F9B" w:rsidRDefault="00621F9B" w:rsidP="00621F9B">
      <w:pPr>
        <w:jc w:val="both"/>
      </w:pPr>
      <w:r w:rsidRPr="00E5567E">
        <w:t xml:space="preserve">This report focuses on Vogtle 3 &amp; 4 Project issues of </w:t>
      </w:r>
      <w:r>
        <w:t>reasonableness</w:t>
      </w:r>
      <w:r w:rsidRPr="00E5567E">
        <w:t xml:space="preserve"> and </w:t>
      </w:r>
      <w:r w:rsidRPr="00D032CB">
        <w:t>prudency</w:t>
      </w:r>
      <w:r>
        <w:t xml:space="preserve"> </w:t>
      </w:r>
      <w:r w:rsidRPr="00E5567E">
        <w:t>developed by the Vogtle Monitoring Group (VMG) cove</w:t>
      </w:r>
      <w:r>
        <w:t>ring</w:t>
      </w:r>
      <w:r w:rsidRPr="00E5567E">
        <w:t xml:space="preserve"> the period starting in April 2017 to the present.  </w:t>
      </w:r>
      <w:r>
        <w:t xml:space="preserve">Although </w:t>
      </w:r>
      <w:r w:rsidRPr="00E5567E">
        <w:t xml:space="preserve">VMG was </w:t>
      </w:r>
      <w:r>
        <w:t xml:space="preserve">not </w:t>
      </w:r>
      <w:r w:rsidRPr="00E5567E">
        <w:t xml:space="preserve">contracted as an independent monitor </w:t>
      </w:r>
      <w:r>
        <w:t xml:space="preserve">until </w:t>
      </w:r>
      <w:r w:rsidRPr="00E5567E">
        <w:t>April 2018</w:t>
      </w:r>
      <w:r>
        <w:t xml:space="preserve">, </w:t>
      </w:r>
      <w:r w:rsidRPr="0091377C">
        <w:t>based on its p</w:t>
      </w:r>
      <w:r>
        <w:t>ersonnel’s</w:t>
      </w:r>
      <w:r w:rsidRPr="0091377C">
        <w:t xml:space="preserve"> </w:t>
      </w:r>
      <w:r>
        <w:t xml:space="preserve">prior </w:t>
      </w:r>
      <w:r w:rsidRPr="0091377C">
        <w:t xml:space="preserve">experiences in reviewing dual unit AP 1000 </w:t>
      </w:r>
      <w:r w:rsidR="003B437E">
        <w:t>p</w:t>
      </w:r>
      <w:r w:rsidRPr="0091377C">
        <w:t xml:space="preserve">roject costs and schedules, </w:t>
      </w:r>
      <w:r>
        <w:t xml:space="preserve">some </w:t>
      </w:r>
      <w:r w:rsidRPr="0091377C">
        <w:t xml:space="preserve">input </w:t>
      </w:r>
      <w:r>
        <w:t xml:space="preserve">of events occurring prior to April 2018 which </w:t>
      </w:r>
      <w:r w:rsidRPr="0091377C">
        <w:t>VMG believe</w:t>
      </w:r>
      <w:r>
        <w:t>s</w:t>
      </w:r>
      <w:r w:rsidRPr="0091377C">
        <w:rPr>
          <w:b/>
          <w:bCs/>
        </w:rPr>
        <w:t xml:space="preserve"> </w:t>
      </w:r>
      <w:r w:rsidRPr="0091377C">
        <w:t>to</w:t>
      </w:r>
      <w:r w:rsidRPr="0091377C">
        <w:rPr>
          <w:b/>
          <w:bCs/>
        </w:rPr>
        <w:t xml:space="preserve"> </w:t>
      </w:r>
      <w:r w:rsidRPr="0091377C">
        <w:t xml:space="preserve">be relevant to its role on the </w:t>
      </w:r>
      <w:r w:rsidR="00900451">
        <w:t xml:space="preserve">Vogtle Unit 3 and Unit </w:t>
      </w:r>
      <w:r w:rsidR="00662E3A">
        <w:t>P</w:t>
      </w:r>
      <w:r w:rsidRPr="0091377C">
        <w:t xml:space="preserve">roject </w:t>
      </w:r>
      <w:r w:rsidR="00900451">
        <w:t xml:space="preserve">(Project) </w:t>
      </w:r>
      <w:r w:rsidRPr="0091377C">
        <w:t>have been included in this report.</w:t>
      </w:r>
      <w:r>
        <w:t xml:space="preserve"> These inputs are limited primarily to Dual Unit AP 1000 Project Cost and Schedule estimates (for which there were 7 originally proposed projects, or 14 units total), and the increased cost risks for the Project which were associated with the stoppage of all</w:t>
      </w:r>
      <w:r w:rsidR="0081114C">
        <w:t xml:space="preserve"> nuclear builds</w:t>
      </w:r>
      <w:r>
        <w:t xml:space="preserve"> but the Project, and WEC having declared bankruptcy in March 2017.  Further, these inputs were simply used as a basis for assessing the VCM 17 Order Regulatory Approved GPC Capital Construction Cost of $ 7.3 billion which represents the Company’s 45.7% equity share of the </w:t>
      </w:r>
      <w:r w:rsidR="0081114C">
        <w:t>P</w:t>
      </w:r>
      <w:r>
        <w:t xml:space="preserve">roject costs plus non-shared GPC costs and is highly correlated to the 100% equity shared Capital Construction Cost (TPC) of $ 17.1 billion.  </w:t>
      </w:r>
      <w:r w:rsidRPr="00EA51DC">
        <w:t xml:space="preserve">This report does not address issues of prudency prior to the Commission Order </w:t>
      </w:r>
      <w:r>
        <w:t xml:space="preserve">in </w:t>
      </w:r>
      <w:r w:rsidRPr="00EA51DC">
        <w:t>VCM 17</w:t>
      </w:r>
      <w:r>
        <w:t>.  Lastly, VMG’s focus was and continues to be on the 100% shareable TPC of $ 17.1 billion and therefore this report does not address the Company’s non-shareable costs</w:t>
      </w:r>
      <w:r>
        <w:rPr>
          <w:rStyle w:val="FootnoteReference"/>
        </w:rPr>
        <w:footnoteReference w:id="2"/>
      </w:r>
      <w:r w:rsidRPr="00EA51DC">
        <w:t>.</w:t>
      </w:r>
      <w:r>
        <w:t xml:space="preserve">  </w:t>
      </w:r>
    </w:p>
    <w:p w14:paraId="02BA71CE" w14:textId="77777777" w:rsidR="00621F9B" w:rsidRDefault="00621F9B" w:rsidP="00621F9B">
      <w:pPr>
        <w:jc w:val="both"/>
      </w:pPr>
    </w:p>
    <w:p w14:paraId="45AC951F" w14:textId="77777777" w:rsidR="00621F9B" w:rsidRPr="00E03772" w:rsidRDefault="00621F9B" w:rsidP="00621F9B">
      <w:pPr>
        <w:pStyle w:val="ListParagraph"/>
        <w:numPr>
          <w:ilvl w:val="0"/>
          <w:numId w:val="32"/>
        </w:numPr>
        <w:tabs>
          <w:tab w:val="left" w:pos="2960"/>
        </w:tabs>
        <w:contextualSpacing/>
        <w:jc w:val="both"/>
      </w:pPr>
      <w:r w:rsidRPr="00E03772">
        <w:rPr>
          <w:b/>
          <w:bCs/>
        </w:rPr>
        <w:t>Status of Project When VMG Was Contracted in April 2018</w:t>
      </w:r>
      <w:r w:rsidRPr="00E03772">
        <w:t xml:space="preserve">  </w:t>
      </w:r>
      <w:r w:rsidRPr="00E03772">
        <w:tab/>
      </w:r>
    </w:p>
    <w:p w14:paraId="08E1A354" w14:textId="77777777" w:rsidR="00621F9B" w:rsidRDefault="00621F9B" w:rsidP="00621F9B">
      <w:pPr>
        <w:tabs>
          <w:tab w:val="left" w:pos="2960"/>
        </w:tabs>
        <w:jc w:val="both"/>
      </w:pPr>
    </w:p>
    <w:p w14:paraId="5343888F" w14:textId="37D85653" w:rsidR="00621F9B" w:rsidRDefault="00621F9B" w:rsidP="00621F9B">
      <w:pPr>
        <w:tabs>
          <w:tab w:val="left" w:pos="2960"/>
        </w:tabs>
        <w:jc w:val="both"/>
      </w:pPr>
      <w:r>
        <w:t>WEC declared bankruptcy in March 2017, at which point SNC took over Management of the Project.  By April 2018</w:t>
      </w:r>
      <w:r w:rsidR="0081114C">
        <w:t>,</w:t>
      </w:r>
      <w:r>
        <w:t xml:space="preserve"> a cost to complete the </w:t>
      </w:r>
      <w:r w:rsidR="0081114C">
        <w:t>P</w:t>
      </w:r>
      <w:r>
        <w:t xml:space="preserve">roject had been developed, and with the Company’s 45.7 % equity share of the </w:t>
      </w:r>
      <w:r w:rsidR="0081114C">
        <w:t>P</w:t>
      </w:r>
      <w:r>
        <w:t>roject, plus non-shareable Company costs a</w:t>
      </w:r>
      <w:r w:rsidRPr="0091377C">
        <w:rPr>
          <w:i/>
          <w:iCs/>
        </w:rPr>
        <w:t xml:space="preserve"> total </w:t>
      </w:r>
      <w:r>
        <w:rPr>
          <w:i/>
          <w:iCs/>
        </w:rPr>
        <w:t xml:space="preserve">GPC </w:t>
      </w:r>
      <w:r w:rsidRPr="0091377C">
        <w:rPr>
          <w:i/>
          <w:iCs/>
        </w:rPr>
        <w:t xml:space="preserve">Capital Construction Cost </w:t>
      </w:r>
      <w:r>
        <w:rPr>
          <w:i/>
          <w:iCs/>
        </w:rPr>
        <w:t>that</w:t>
      </w:r>
      <w:r w:rsidRPr="0091377C">
        <w:rPr>
          <w:i/>
          <w:iCs/>
        </w:rPr>
        <w:t xml:space="preserve"> was deemed reasonable at </w:t>
      </w:r>
      <w:r w:rsidR="0081114C">
        <w:rPr>
          <w:i/>
          <w:iCs/>
        </w:rPr>
        <w:t>P</w:t>
      </w:r>
      <w:r w:rsidRPr="0091377C">
        <w:rPr>
          <w:i/>
          <w:iCs/>
        </w:rPr>
        <w:t xml:space="preserve">roject completion was established </w:t>
      </w:r>
      <w:r w:rsidR="0081114C">
        <w:rPr>
          <w:i/>
          <w:iCs/>
        </w:rPr>
        <w:t xml:space="preserve">by the Commission </w:t>
      </w:r>
      <w:r w:rsidRPr="0091377C">
        <w:rPr>
          <w:i/>
          <w:iCs/>
        </w:rPr>
        <w:t xml:space="preserve">as $ 7.3 B. </w:t>
      </w:r>
      <w:r w:rsidRPr="0091377C">
        <w:rPr>
          <w:b/>
          <w:bCs/>
        </w:rPr>
        <w:t xml:space="preserve"> </w:t>
      </w:r>
      <w:r>
        <w:rPr>
          <w:b/>
          <w:bCs/>
        </w:rPr>
        <w:t xml:space="preserve"> </w:t>
      </w:r>
      <w:r>
        <w:t xml:space="preserve">The total Capital Construction Cost includes all </w:t>
      </w:r>
      <w:r w:rsidR="0081114C">
        <w:t>P</w:t>
      </w:r>
      <w:r>
        <w:t>roject costs except for financing costs (</w:t>
      </w:r>
      <w:r w:rsidR="00111309">
        <w:t>i.e.</w:t>
      </w:r>
      <w:r>
        <w:t xml:space="preserve">, </w:t>
      </w:r>
      <w:r>
        <w:rPr>
          <w:i/>
          <w:iCs/>
        </w:rPr>
        <w:t xml:space="preserve">the </w:t>
      </w:r>
      <w:r w:rsidRPr="0091377C">
        <w:rPr>
          <w:i/>
          <w:iCs/>
        </w:rPr>
        <w:t xml:space="preserve">NCCR Tariff costs and </w:t>
      </w:r>
      <w:r>
        <w:rPr>
          <w:i/>
          <w:iCs/>
        </w:rPr>
        <w:t xml:space="preserve">accrued but not yet collected Allowance </w:t>
      </w:r>
      <w:r w:rsidR="00D5569C">
        <w:rPr>
          <w:i/>
          <w:iCs/>
        </w:rPr>
        <w:t>f</w:t>
      </w:r>
      <w:r>
        <w:rPr>
          <w:i/>
          <w:iCs/>
        </w:rPr>
        <w:t xml:space="preserve">or Funds Used During Construction (AFUDC) </w:t>
      </w:r>
      <w:r w:rsidRPr="0091377C">
        <w:rPr>
          <w:i/>
          <w:iCs/>
        </w:rPr>
        <w:t>Costs).</w:t>
      </w:r>
      <w:r>
        <w:t xml:space="preserve">   </w:t>
      </w:r>
      <w:r>
        <w:rPr>
          <w:i/>
          <w:iCs/>
        </w:rPr>
        <w:t xml:space="preserve">Per the Commission </w:t>
      </w:r>
      <w:r w:rsidRPr="0091377C">
        <w:rPr>
          <w:i/>
          <w:iCs/>
        </w:rPr>
        <w:t xml:space="preserve">Order </w:t>
      </w:r>
      <w:r>
        <w:rPr>
          <w:i/>
          <w:iCs/>
        </w:rPr>
        <w:t xml:space="preserve">VCM </w:t>
      </w:r>
      <w:r w:rsidRPr="0091377C">
        <w:rPr>
          <w:i/>
          <w:iCs/>
        </w:rPr>
        <w:t>17</w:t>
      </w:r>
      <w:r>
        <w:rPr>
          <w:i/>
          <w:iCs/>
        </w:rPr>
        <w:t>,</w:t>
      </w:r>
      <w:r w:rsidRPr="0091377C">
        <w:rPr>
          <w:i/>
          <w:iCs/>
        </w:rPr>
        <w:t xml:space="preserve"> the $ 7.3 </w:t>
      </w:r>
      <w:r>
        <w:rPr>
          <w:i/>
          <w:iCs/>
        </w:rPr>
        <w:t>billion</w:t>
      </w:r>
      <w:r w:rsidRPr="0091377C">
        <w:rPr>
          <w:i/>
          <w:iCs/>
        </w:rPr>
        <w:t xml:space="preserve"> then relates to the 100% equity shared cost of $ 17.1</w:t>
      </w:r>
      <w:r>
        <w:rPr>
          <w:i/>
          <w:iCs/>
        </w:rPr>
        <w:t xml:space="preserve"> billion</w:t>
      </w:r>
      <w:r w:rsidRPr="0091377C">
        <w:rPr>
          <w:i/>
          <w:iCs/>
        </w:rPr>
        <w:t xml:space="preserve">, </w:t>
      </w:r>
      <w:r>
        <w:rPr>
          <w:i/>
          <w:iCs/>
        </w:rPr>
        <w:t xml:space="preserve">the latter of which, </w:t>
      </w:r>
      <w:r w:rsidRPr="0091377C">
        <w:rPr>
          <w:i/>
          <w:iCs/>
        </w:rPr>
        <w:t xml:space="preserve">together with the VCM </w:t>
      </w:r>
      <w:r>
        <w:rPr>
          <w:i/>
          <w:iCs/>
        </w:rPr>
        <w:t xml:space="preserve">Order </w:t>
      </w:r>
      <w:r w:rsidRPr="0091377C">
        <w:rPr>
          <w:i/>
          <w:iCs/>
        </w:rPr>
        <w:t xml:space="preserve">17 </w:t>
      </w:r>
      <w:r w:rsidR="00857C05">
        <w:rPr>
          <w:i/>
          <w:iCs/>
        </w:rPr>
        <w:t xml:space="preserve">Commission </w:t>
      </w:r>
      <w:r w:rsidR="00DA4312">
        <w:rPr>
          <w:i/>
          <w:iCs/>
        </w:rPr>
        <w:t>A</w:t>
      </w:r>
      <w:r w:rsidR="0081114C">
        <w:rPr>
          <w:i/>
          <w:iCs/>
        </w:rPr>
        <w:t>pproved</w:t>
      </w:r>
      <w:r w:rsidR="0081114C" w:rsidRPr="0091377C">
        <w:rPr>
          <w:i/>
          <w:iCs/>
        </w:rPr>
        <w:t xml:space="preserve"> </w:t>
      </w:r>
      <w:r w:rsidRPr="0091377C">
        <w:rPr>
          <w:i/>
          <w:iCs/>
        </w:rPr>
        <w:t xml:space="preserve">CODs of November 2021 (for U-3) and November 2022 (for U-4), is what the </w:t>
      </w:r>
      <w:r w:rsidR="0081114C">
        <w:rPr>
          <w:i/>
          <w:iCs/>
        </w:rPr>
        <w:t>SNC</w:t>
      </w:r>
      <w:r w:rsidR="0081114C" w:rsidRPr="0091377C">
        <w:rPr>
          <w:i/>
          <w:iCs/>
        </w:rPr>
        <w:t xml:space="preserve"> </w:t>
      </w:r>
      <w:r w:rsidRPr="0091377C">
        <w:rPr>
          <w:i/>
          <w:iCs/>
        </w:rPr>
        <w:t>has been reporting and upon which VMG’s efforts have been focused.</w:t>
      </w:r>
      <w:r>
        <w:t xml:space="preserve">  This cost and CODs are also often referred to as the </w:t>
      </w:r>
      <w:r w:rsidR="004C2FFF">
        <w:t xml:space="preserve">Commission </w:t>
      </w:r>
      <w:r w:rsidR="00223F1D">
        <w:t>Approved Cost</w:t>
      </w:r>
      <w:r>
        <w:t xml:space="preserve"> and </w:t>
      </w:r>
      <w:r w:rsidR="0081114C">
        <w:t>D</w:t>
      </w:r>
      <w:r>
        <w:t>ates.  A further breakdown of the relationship between the $ 7.3 B and $ 17.1 B as was established with the Commission’s January 2018 VCM Order 17 and as “reprojected” by the Company in VCM 19 is provided in Table ES-1 on the next page.</w:t>
      </w:r>
    </w:p>
    <w:p w14:paraId="0A7EC0C0" w14:textId="13DB7C98" w:rsidR="00490A6F" w:rsidRDefault="00490A6F" w:rsidP="00EC4E15">
      <w:pPr>
        <w:rPr>
          <w:szCs w:val="24"/>
        </w:rPr>
      </w:pPr>
    </w:p>
    <w:p w14:paraId="66478F16" w14:textId="62491DDA" w:rsidR="00421D4E" w:rsidRDefault="00421D4E" w:rsidP="00EC4E15">
      <w:pPr>
        <w:rPr>
          <w:szCs w:val="24"/>
        </w:rPr>
      </w:pPr>
    </w:p>
    <w:p w14:paraId="2A0B0C63" w14:textId="04E703CA" w:rsidR="00421D4E" w:rsidRDefault="00421D4E" w:rsidP="00EC4E15">
      <w:pPr>
        <w:rPr>
          <w:szCs w:val="24"/>
        </w:rPr>
      </w:pPr>
    </w:p>
    <w:p w14:paraId="2D891D59" w14:textId="0037A552" w:rsidR="00421D4E" w:rsidRDefault="00421D4E" w:rsidP="00EC4E15">
      <w:pPr>
        <w:rPr>
          <w:szCs w:val="24"/>
        </w:rPr>
      </w:pPr>
    </w:p>
    <w:p w14:paraId="71CDE0ED" w14:textId="77777777" w:rsidR="00421D4E" w:rsidRPr="00A94908" w:rsidRDefault="00421D4E" w:rsidP="00EC4E15">
      <w:pPr>
        <w:rPr>
          <w:szCs w:val="24"/>
        </w:rPr>
      </w:pPr>
    </w:p>
    <w:p w14:paraId="3BB5291E" w14:textId="793989E6" w:rsidR="00372AC5" w:rsidRDefault="00372AC5" w:rsidP="00EC4E15">
      <w:pPr>
        <w:rPr>
          <w:szCs w:val="24"/>
        </w:rPr>
      </w:pPr>
    </w:p>
    <w:p w14:paraId="2F6C302C" w14:textId="77777777" w:rsidR="00A72F26" w:rsidRDefault="00A72F26" w:rsidP="00EC4E15">
      <w:pPr>
        <w:rPr>
          <w:szCs w:val="24"/>
        </w:rPr>
      </w:pPr>
    </w:p>
    <w:p w14:paraId="5C5002E5" w14:textId="77777777" w:rsidR="0095742D" w:rsidRPr="00A94908" w:rsidRDefault="0095742D" w:rsidP="00EC4E15">
      <w:pPr>
        <w:rPr>
          <w:szCs w:val="24"/>
        </w:rPr>
      </w:pPr>
    </w:p>
    <w:tbl>
      <w:tblPr>
        <w:tblW w:w="7190" w:type="dxa"/>
        <w:jc w:val="center"/>
        <w:tblLook w:val="04A0" w:firstRow="1" w:lastRow="0" w:firstColumn="1" w:lastColumn="0" w:noHBand="0" w:noVBand="1"/>
      </w:tblPr>
      <w:tblGrid>
        <w:gridCol w:w="2000"/>
        <w:gridCol w:w="1061"/>
        <w:gridCol w:w="1220"/>
        <w:gridCol w:w="2909"/>
      </w:tblGrid>
      <w:tr w:rsidR="00133D67" w:rsidRPr="00133D67" w14:paraId="2FCBB355" w14:textId="77777777" w:rsidTr="00CF3D9D">
        <w:trPr>
          <w:trHeight w:val="696"/>
          <w:jc w:val="center"/>
        </w:trPr>
        <w:tc>
          <w:tcPr>
            <w:tcW w:w="7190" w:type="dxa"/>
            <w:gridSpan w:val="4"/>
            <w:tcBorders>
              <w:top w:val="single" w:sz="8" w:space="0" w:color="auto"/>
              <w:left w:val="single" w:sz="8" w:space="0" w:color="auto"/>
              <w:bottom w:val="single" w:sz="4" w:space="0" w:color="auto"/>
              <w:right w:val="single" w:sz="8" w:space="0" w:color="000000"/>
            </w:tcBorders>
            <w:shd w:val="clear" w:color="000000" w:fill="DDEBF7"/>
            <w:vAlign w:val="center"/>
            <w:hideMark/>
          </w:tcPr>
          <w:p w14:paraId="45A6EC80" w14:textId="66F61505" w:rsidR="00133D67" w:rsidRPr="00133D67" w:rsidRDefault="00133D67" w:rsidP="00133D67">
            <w:pPr>
              <w:jc w:val="center"/>
              <w:rPr>
                <w:rFonts w:ascii="Calibri" w:hAnsi="Calibri" w:cs="Calibri"/>
                <w:b/>
                <w:bCs/>
                <w:color w:val="000000"/>
                <w:szCs w:val="24"/>
              </w:rPr>
            </w:pPr>
            <w:r w:rsidRPr="00133D67">
              <w:rPr>
                <w:rFonts w:ascii="Calibri" w:hAnsi="Calibri" w:cs="Calibri"/>
                <w:b/>
                <w:bCs/>
                <w:color w:val="000000"/>
                <w:szCs w:val="24"/>
              </w:rPr>
              <w:t>Table ES-1 - Vogtle 3 &amp; 4 Forecasted Capital Construction Cost</w:t>
            </w:r>
            <w:r w:rsidR="00CF3D9D">
              <w:rPr>
                <w:rFonts w:ascii="Calibri" w:hAnsi="Calibri" w:cs="Calibri"/>
                <w:b/>
                <w:bCs/>
                <w:color w:val="000000"/>
                <w:szCs w:val="24"/>
              </w:rPr>
              <w:t xml:space="preserve"> per</w:t>
            </w:r>
            <w:r w:rsidRPr="00133D67">
              <w:rPr>
                <w:rFonts w:ascii="Calibri" w:hAnsi="Calibri" w:cs="Calibri"/>
                <w:b/>
                <w:bCs/>
                <w:color w:val="000000"/>
                <w:szCs w:val="24"/>
              </w:rPr>
              <w:t xml:space="preserve">                 GPSC Order VCM 17 dated January 2018</w:t>
            </w:r>
            <w:r w:rsidR="00CF3D9D">
              <w:rPr>
                <w:rFonts w:ascii="Calibri" w:hAnsi="Calibri" w:cs="Calibri"/>
                <w:b/>
                <w:bCs/>
                <w:color w:val="000000"/>
                <w:szCs w:val="24"/>
              </w:rPr>
              <w:t xml:space="preserve"> then Reprojected in VCM 19</w:t>
            </w:r>
          </w:p>
        </w:tc>
      </w:tr>
      <w:tr w:rsidR="00133D67" w:rsidRPr="00133D67" w14:paraId="18A549CA" w14:textId="77777777" w:rsidTr="00CF3D9D">
        <w:trPr>
          <w:trHeight w:val="864"/>
          <w:jc w:val="center"/>
        </w:trPr>
        <w:tc>
          <w:tcPr>
            <w:tcW w:w="2000" w:type="dxa"/>
            <w:tcBorders>
              <w:top w:val="nil"/>
              <w:left w:val="single" w:sz="8" w:space="0" w:color="auto"/>
              <w:bottom w:val="single" w:sz="4" w:space="0" w:color="auto"/>
              <w:right w:val="single" w:sz="4" w:space="0" w:color="auto"/>
            </w:tcBorders>
            <w:shd w:val="clear" w:color="000000" w:fill="FFF2CC"/>
            <w:vAlign w:val="center"/>
            <w:hideMark/>
          </w:tcPr>
          <w:p w14:paraId="34AB8CA3" w14:textId="77777777" w:rsidR="00133D67" w:rsidRPr="00133D67" w:rsidRDefault="00133D67" w:rsidP="00133D67">
            <w:pPr>
              <w:jc w:val="center"/>
              <w:rPr>
                <w:rFonts w:ascii="Calibri" w:hAnsi="Calibri" w:cs="Calibri"/>
                <w:b/>
                <w:bCs/>
                <w:color w:val="000000"/>
                <w:sz w:val="22"/>
                <w:szCs w:val="22"/>
              </w:rPr>
            </w:pPr>
            <w:r w:rsidRPr="00133D67">
              <w:rPr>
                <w:rFonts w:ascii="Calibri" w:hAnsi="Calibri" w:cs="Calibri"/>
                <w:b/>
                <w:bCs/>
                <w:color w:val="000000"/>
                <w:sz w:val="22"/>
                <w:szCs w:val="22"/>
              </w:rPr>
              <w:t>Cost Categories</w:t>
            </w:r>
          </w:p>
        </w:tc>
        <w:tc>
          <w:tcPr>
            <w:tcW w:w="1061" w:type="dxa"/>
            <w:tcBorders>
              <w:top w:val="nil"/>
              <w:left w:val="nil"/>
              <w:bottom w:val="single" w:sz="4" w:space="0" w:color="auto"/>
              <w:right w:val="single" w:sz="4" w:space="0" w:color="auto"/>
            </w:tcBorders>
            <w:shd w:val="clear" w:color="000000" w:fill="FFF2CC"/>
            <w:vAlign w:val="center"/>
            <w:hideMark/>
          </w:tcPr>
          <w:p w14:paraId="343F0B01" w14:textId="77777777" w:rsidR="00133D67" w:rsidRPr="00133D67" w:rsidRDefault="00133D67" w:rsidP="00133D67">
            <w:pPr>
              <w:jc w:val="center"/>
              <w:rPr>
                <w:rFonts w:ascii="Calibri" w:hAnsi="Calibri" w:cs="Calibri"/>
                <w:b/>
                <w:bCs/>
                <w:color w:val="000000"/>
                <w:sz w:val="22"/>
                <w:szCs w:val="22"/>
              </w:rPr>
            </w:pPr>
            <w:r w:rsidRPr="00133D67">
              <w:rPr>
                <w:rFonts w:ascii="Calibri" w:hAnsi="Calibri" w:cs="Calibri"/>
                <w:b/>
                <w:bCs/>
                <w:color w:val="000000"/>
                <w:sz w:val="22"/>
                <w:szCs w:val="22"/>
              </w:rPr>
              <w:t>TPC @ 100% Equity</w:t>
            </w:r>
          </w:p>
        </w:tc>
        <w:tc>
          <w:tcPr>
            <w:tcW w:w="1220" w:type="dxa"/>
            <w:tcBorders>
              <w:top w:val="nil"/>
              <w:left w:val="nil"/>
              <w:bottom w:val="single" w:sz="4" w:space="0" w:color="auto"/>
              <w:right w:val="single" w:sz="4" w:space="0" w:color="auto"/>
            </w:tcBorders>
            <w:shd w:val="clear" w:color="000000" w:fill="FFF2CC"/>
            <w:vAlign w:val="center"/>
            <w:hideMark/>
          </w:tcPr>
          <w:p w14:paraId="7195EB45" w14:textId="1E452359" w:rsidR="00133D67" w:rsidRPr="00133D67" w:rsidRDefault="000B4B70" w:rsidP="00133D67">
            <w:pPr>
              <w:jc w:val="center"/>
              <w:rPr>
                <w:rFonts w:ascii="Calibri" w:hAnsi="Calibri" w:cs="Calibri"/>
                <w:b/>
                <w:bCs/>
                <w:color w:val="000000"/>
                <w:sz w:val="22"/>
                <w:szCs w:val="22"/>
              </w:rPr>
            </w:pPr>
            <w:r>
              <w:rPr>
                <w:rFonts w:ascii="Calibri" w:hAnsi="Calibri" w:cs="Calibri"/>
                <w:b/>
                <w:bCs/>
                <w:color w:val="000000"/>
                <w:sz w:val="22"/>
                <w:szCs w:val="22"/>
              </w:rPr>
              <w:t>Company</w:t>
            </w:r>
            <w:r w:rsidR="00133D67" w:rsidRPr="00133D67">
              <w:rPr>
                <w:rFonts w:ascii="Calibri" w:hAnsi="Calibri" w:cs="Calibri"/>
                <w:b/>
                <w:bCs/>
                <w:color w:val="000000"/>
                <w:sz w:val="22"/>
                <w:szCs w:val="22"/>
              </w:rPr>
              <w:t xml:space="preserve"> Portion @ 45.7%</w:t>
            </w:r>
          </w:p>
        </w:tc>
        <w:tc>
          <w:tcPr>
            <w:tcW w:w="2909" w:type="dxa"/>
            <w:tcBorders>
              <w:top w:val="nil"/>
              <w:left w:val="nil"/>
              <w:bottom w:val="single" w:sz="4" w:space="0" w:color="auto"/>
              <w:right w:val="single" w:sz="8" w:space="0" w:color="auto"/>
            </w:tcBorders>
            <w:shd w:val="clear" w:color="000000" w:fill="FFF2CC"/>
            <w:vAlign w:val="center"/>
            <w:hideMark/>
          </w:tcPr>
          <w:p w14:paraId="1F6FA1F7" w14:textId="77777777" w:rsidR="00133D67" w:rsidRPr="00133D67" w:rsidRDefault="00133D67" w:rsidP="00133D67">
            <w:pPr>
              <w:jc w:val="center"/>
              <w:rPr>
                <w:rFonts w:ascii="Calibri" w:hAnsi="Calibri" w:cs="Calibri"/>
                <w:b/>
                <w:bCs/>
                <w:color w:val="000000"/>
                <w:sz w:val="22"/>
                <w:szCs w:val="22"/>
              </w:rPr>
            </w:pPr>
            <w:r w:rsidRPr="00133D67">
              <w:rPr>
                <w:rFonts w:ascii="Calibri" w:hAnsi="Calibri" w:cs="Calibri"/>
                <w:b/>
                <w:bCs/>
                <w:color w:val="000000"/>
                <w:sz w:val="22"/>
                <w:szCs w:val="22"/>
              </w:rPr>
              <w:t>Remarks</w:t>
            </w:r>
          </w:p>
        </w:tc>
      </w:tr>
      <w:tr w:rsidR="00133D67" w:rsidRPr="00133D67" w14:paraId="64B57B20" w14:textId="77777777" w:rsidTr="00CF3D9D">
        <w:trPr>
          <w:trHeight w:val="864"/>
          <w:jc w:val="center"/>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180C81AF"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Total Shareable Cost</w:t>
            </w:r>
          </w:p>
        </w:tc>
        <w:tc>
          <w:tcPr>
            <w:tcW w:w="1061" w:type="dxa"/>
            <w:tcBorders>
              <w:top w:val="nil"/>
              <w:left w:val="nil"/>
              <w:bottom w:val="single" w:sz="4" w:space="0" w:color="auto"/>
              <w:right w:val="single" w:sz="4" w:space="0" w:color="auto"/>
            </w:tcBorders>
            <w:shd w:val="clear" w:color="auto" w:fill="auto"/>
            <w:noWrap/>
            <w:vAlign w:val="center"/>
            <w:hideMark/>
          </w:tcPr>
          <w:p w14:paraId="32D7CC00"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17.104B</w:t>
            </w:r>
            <w:proofErr w:type="spellEnd"/>
          </w:p>
        </w:tc>
        <w:tc>
          <w:tcPr>
            <w:tcW w:w="1220" w:type="dxa"/>
            <w:tcBorders>
              <w:top w:val="nil"/>
              <w:left w:val="nil"/>
              <w:bottom w:val="single" w:sz="4" w:space="0" w:color="auto"/>
              <w:right w:val="single" w:sz="4" w:space="0" w:color="auto"/>
            </w:tcBorders>
            <w:shd w:val="clear" w:color="auto" w:fill="auto"/>
            <w:noWrap/>
            <w:vAlign w:val="center"/>
            <w:hideMark/>
          </w:tcPr>
          <w:p w14:paraId="1BB9E309"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7.816B</w:t>
            </w:r>
            <w:proofErr w:type="spellEnd"/>
          </w:p>
        </w:tc>
        <w:tc>
          <w:tcPr>
            <w:tcW w:w="2909" w:type="dxa"/>
            <w:tcBorders>
              <w:top w:val="nil"/>
              <w:left w:val="nil"/>
              <w:bottom w:val="single" w:sz="4" w:space="0" w:color="auto"/>
              <w:right w:val="single" w:sz="8" w:space="0" w:color="auto"/>
            </w:tcBorders>
            <w:shd w:val="clear" w:color="auto" w:fill="auto"/>
            <w:vAlign w:val="center"/>
            <w:hideMark/>
          </w:tcPr>
          <w:p w14:paraId="45478B3D"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Includes Construction Contingency (TPC @ $.</w:t>
            </w:r>
            <w:proofErr w:type="spellStart"/>
            <w:r w:rsidRPr="00133D67">
              <w:rPr>
                <w:rFonts w:ascii="Calibri" w:hAnsi="Calibri" w:cs="Calibri"/>
                <w:color w:val="000000"/>
                <w:sz w:val="22"/>
                <w:szCs w:val="22"/>
              </w:rPr>
              <w:t>800B</w:t>
            </w:r>
            <w:proofErr w:type="spellEnd"/>
            <w:r w:rsidRPr="00133D67">
              <w:rPr>
                <w:rFonts w:ascii="Calibri" w:hAnsi="Calibri" w:cs="Calibri"/>
                <w:color w:val="000000"/>
                <w:sz w:val="22"/>
                <w:szCs w:val="22"/>
              </w:rPr>
              <w:t xml:space="preserve"> w/GPC Portion @ $.</w:t>
            </w:r>
            <w:proofErr w:type="spellStart"/>
            <w:r w:rsidRPr="00133D67">
              <w:rPr>
                <w:rFonts w:ascii="Calibri" w:hAnsi="Calibri" w:cs="Calibri"/>
                <w:color w:val="000000"/>
                <w:sz w:val="22"/>
                <w:szCs w:val="22"/>
              </w:rPr>
              <w:t>366B</w:t>
            </w:r>
            <w:proofErr w:type="spellEnd"/>
            <w:r w:rsidRPr="00133D67">
              <w:rPr>
                <w:rFonts w:ascii="Calibri" w:hAnsi="Calibri" w:cs="Calibri"/>
                <w:color w:val="000000"/>
                <w:sz w:val="22"/>
                <w:szCs w:val="22"/>
              </w:rPr>
              <w:t>)</w:t>
            </w:r>
          </w:p>
        </w:tc>
      </w:tr>
      <w:tr w:rsidR="00133D67" w:rsidRPr="00133D67" w14:paraId="45302558" w14:textId="77777777" w:rsidTr="00CF3D9D">
        <w:trPr>
          <w:trHeight w:val="288"/>
          <w:jc w:val="center"/>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21415DE8"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Non-Shareable Cost</w:t>
            </w:r>
          </w:p>
        </w:tc>
        <w:tc>
          <w:tcPr>
            <w:tcW w:w="1061" w:type="dxa"/>
            <w:tcBorders>
              <w:top w:val="nil"/>
              <w:left w:val="nil"/>
              <w:bottom w:val="single" w:sz="4" w:space="0" w:color="auto"/>
              <w:right w:val="single" w:sz="4" w:space="0" w:color="auto"/>
            </w:tcBorders>
            <w:shd w:val="clear" w:color="auto" w:fill="auto"/>
            <w:noWrap/>
            <w:vAlign w:val="center"/>
            <w:hideMark/>
          </w:tcPr>
          <w:p w14:paraId="63BC5A9B"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14:paraId="4BECD788"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2909" w:type="dxa"/>
            <w:tcBorders>
              <w:top w:val="nil"/>
              <w:left w:val="nil"/>
              <w:bottom w:val="single" w:sz="4" w:space="0" w:color="auto"/>
              <w:right w:val="single" w:sz="8" w:space="0" w:color="auto"/>
            </w:tcBorders>
            <w:shd w:val="clear" w:color="auto" w:fill="auto"/>
            <w:noWrap/>
            <w:vAlign w:val="center"/>
            <w:hideMark/>
          </w:tcPr>
          <w:p w14:paraId="58155379"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r>
      <w:tr w:rsidR="00133D67" w:rsidRPr="00133D67" w14:paraId="54B6DEC2" w14:textId="77777777" w:rsidTr="00CF3D9D">
        <w:trPr>
          <w:trHeight w:val="288"/>
          <w:jc w:val="center"/>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63157962"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Owners Costs</w:t>
            </w:r>
          </w:p>
        </w:tc>
        <w:tc>
          <w:tcPr>
            <w:tcW w:w="1061" w:type="dxa"/>
            <w:tcBorders>
              <w:top w:val="nil"/>
              <w:left w:val="nil"/>
              <w:bottom w:val="single" w:sz="4" w:space="0" w:color="auto"/>
              <w:right w:val="single" w:sz="4" w:space="0" w:color="auto"/>
            </w:tcBorders>
            <w:shd w:val="clear" w:color="auto" w:fill="auto"/>
            <w:noWrap/>
            <w:vAlign w:val="center"/>
            <w:hideMark/>
          </w:tcPr>
          <w:p w14:paraId="49DE8B54"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14:paraId="7993F07A"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082B</w:t>
            </w:r>
            <w:proofErr w:type="spellEnd"/>
          </w:p>
        </w:tc>
        <w:tc>
          <w:tcPr>
            <w:tcW w:w="2909" w:type="dxa"/>
            <w:tcBorders>
              <w:top w:val="nil"/>
              <w:left w:val="nil"/>
              <w:bottom w:val="single" w:sz="4" w:space="0" w:color="auto"/>
              <w:right w:val="single" w:sz="8" w:space="0" w:color="auto"/>
            </w:tcBorders>
            <w:shd w:val="clear" w:color="auto" w:fill="auto"/>
            <w:noWrap/>
            <w:vAlign w:val="center"/>
            <w:hideMark/>
          </w:tcPr>
          <w:p w14:paraId="3B7D65CB"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r>
      <w:tr w:rsidR="00133D67" w:rsidRPr="00133D67" w14:paraId="68C1499F" w14:textId="77777777" w:rsidTr="00CF3D9D">
        <w:trPr>
          <w:trHeight w:val="288"/>
          <w:jc w:val="center"/>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068C934B"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Ad Valorem Tax</w:t>
            </w:r>
          </w:p>
        </w:tc>
        <w:tc>
          <w:tcPr>
            <w:tcW w:w="1061" w:type="dxa"/>
            <w:tcBorders>
              <w:top w:val="nil"/>
              <w:left w:val="nil"/>
              <w:bottom w:val="single" w:sz="4" w:space="0" w:color="auto"/>
              <w:right w:val="single" w:sz="4" w:space="0" w:color="auto"/>
            </w:tcBorders>
            <w:shd w:val="clear" w:color="auto" w:fill="auto"/>
            <w:noWrap/>
            <w:vAlign w:val="center"/>
            <w:hideMark/>
          </w:tcPr>
          <w:p w14:paraId="59FB5D6A"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14:paraId="1B3B9C0D"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273B</w:t>
            </w:r>
            <w:proofErr w:type="spellEnd"/>
          </w:p>
        </w:tc>
        <w:tc>
          <w:tcPr>
            <w:tcW w:w="2909" w:type="dxa"/>
            <w:tcBorders>
              <w:top w:val="nil"/>
              <w:left w:val="nil"/>
              <w:bottom w:val="single" w:sz="4" w:space="0" w:color="auto"/>
              <w:right w:val="single" w:sz="8" w:space="0" w:color="auto"/>
            </w:tcBorders>
            <w:shd w:val="clear" w:color="auto" w:fill="auto"/>
            <w:noWrap/>
            <w:vAlign w:val="center"/>
            <w:hideMark/>
          </w:tcPr>
          <w:p w14:paraId="58DE71D1"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r>
      <w:tr w:rsidR="00133D67" w:rsidRPr="00133D67" w14:paraId="39064068" w14:textId="77777777" w:rsidTr="00CF3D9D">
        <w:trPr>
          <w:trHeight w:val="288"/>
          <w:jc w:val="center"/>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5A324BC6"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Toshiba Refund</w:t>
            </w:r>
          </w:p>
        </w:tc>
        <w:tc>
          <w:tcPr>
            <w:tcW w:w="1061" w:type="dxa"/>
            <w:tcBorders>
              <w:top w:val="nil"/>
              <w:left w:val="nil"/>
              <w:bottom w:val="single" w:sz="4" w:space="0" w:color="auto"/>
              <w:right w:val="single" w:sz="4" w:space="0" w:color="auto"/>
            </w:tcBorders>
            <w:shd w:val="clear" w:color="auto" w:fill="auto"/>
            <w:noWrap/>
            <w:vAlign w:val="center"/>
            <w:hideMark/>
          </w:tcPr>
          <w:p w14:paraId="5691E42A"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14:paraId="35EAF50D"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188B</w:t>
            </w:r>
            <w:proofErr w:type="spellEnd"/>
          </w:p>
        </w:tc>
        <w:tc>
          <w:tcPr>
            <w:tcW w:w="2909" w:type="dxa"/>
            <w:tcBorders>
              <w:top w:val="nil"/>
              <w:left w:val="nil"/>
              <w:bottom w:val="single" w:sz="4" w:space="0" w:color="auto"/>
              <w:right w:val="single" w:sz="8" w:space="0" w:color="auto"/>
            </w:tcBorders>
            <w:shd w:val="clear" w:color="auto" w:fill="auto"/>
            <w:noWrap/>
            <w:vAlign w:val="center"/>
            <w:hideMark/>
          </w:tcPr>
          <w:p w14:paraId="11C7CCBE"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r>
      <w:tr w:rsidR="00133D67" w:rsidRPr="00133D67" w14:paraId="0146D99D" w14:textId="77777777" w:rsidTr="00CF3D9D">
        <w:trPr>
          <w:trHeight w:val="288"/>
          <w:jc w:val="center"/>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3FE1B624"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Absorbed by GPC</w:t>
            </w:r>
          </w:p>
        </w:tc>
        <w:tc>
          <w:tcPr>
            <w:tcW w:w="1061" w:type="dxa"/>
            <w:tcBorders>
              <w:top w:val="nil"/>
              <w:left w:val="nil"/>
              <w:bottom w:val="single" w:sz="4" w:space="0" w:color="auto"/>
              <w:right w:val="single" w:sz="4" w:space="0" w:color="auto"/>
            </w:tcBorders>
            <w:shd w:val="clear" w:color="auto" w:fill="auto"/>
            <w:noWrap/>
            <w:vAlign w:val="center"/>
            <w:hideMark/>
          </w:tcPr>
          <w:p w14:paraId="51154D2E"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14:paraId="393ED034"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694B</w:t>
            </w:r>
            <w:proofErr w:type="spellEnd"/>
            <w:r w:rsidRPr="00133D67">
              <w:rPr>
                <w:rFonts w:ascii="Calibri" w:hAnsi="Calibri" w:cs="Calibri"/>
                <w:color w:val="000000"/>
                <w:sz w:val="22"/>
                <w:szCs w:val="22"/>
              </w:rPr>
              <w:t>)</w:t>
            </w:r>
          </w:p>
        </w:tc>
        <w:tc>
          <w:tcPr>
            <w:tcW w:w="2909" w:type="dxa"/>
            <w:tcBorders>
              <w:top w:val="nil"/>
              <w:left w:val="nil"/>
              <w:bottom w:val="single" w:sz="4" w:space="0" w:color="auto"/>
              <w:right w:val="single" w:sz="8" w:space="0" w:color="auto"/>
            </w:tcBorders>
            <w:shd w:val="clear" w:color="auto" w:fill="auto"/>
            <w:noWrap/>
            <w:vAlign w:val="center"/>
            <w:hideMark/>
          </w:tcPr>
          <w:p w14:paraId="39C62359" w14:textId="0959FEFF"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r w:rsidR="00607F10">
              <w:rPr>
                <w:rFonts w:ascii="Calibri" w:hAnsi="Calibri" w:cs="Calibri"/>
                <w:color w:val="000000"/>
                <w:sz w:val="22"/>
                <w:szCs w:val="22"/>
              </w:rPr>
              <w:t>Write Off</w:t>
            </w:r>
          </w:p>
        </w:tc>
      </w:tr>
      <w:tr w:rsidR="00133D67" w:rsidRPr="00133D67" w14:paraId="589778E4" w14:textId="77777777" w:rsidTr="00CF3D9D">
        <w:trPr>
          <w:trHeight w:val="840"/>
          <w:jc w:val="center"/>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16170C11" w14:textId="276D39CB" w:rsidR="00133D67" w:rsidRPr="00133D67" w:rsidRDefault="00133D67" w:rsidP="000B4B70">
            <w:pPr>
              <w:jc w:val="center"/>
              <w:rPr>
                <w:rFonts w:ascii="Calibri" w:hAnsi="Calibri" w:cs="Calibri"/>
                <w:color w:val="000000"/>
                <w:sz w:val="22"/>
                <w:szCs w:val="22"/>
              </w:rPr>
            </w:pPr>
            <w:r w:rsidRPr="00133D67">
              <w:rPr>
                <w:rFonts w:ascii="Calibri" w:hAnsi="Calibri" w:cs="Calibri"/>
                <w:color w:val="000000"/>
                <w:sz w:val="22"/>
                <w:szCs w:val="22"/>
              </w:rPr>
              <w:t>Construction Contingency</w:t>
            </w:r>
          </w:p>
        </w:tc>
        <w:tc>
          <w:tcPr>
            <w:tcW w:w="1061" w:type="dxa"/>
            <w:tcBorders>
              <w:top w:val="nil"/>
              <w:left w:val="nil"/>
              <w:bottom w:val="single" w:sz="4" w:space="0" w:color="auto"/>
              <w:right w:val="single" w:sz="4" w:space="0" w:color="auto"/>
            </w:tcBorders>
            <w:shd w:val="clear" w:color="auto" w:fill="auto"/>
            <w:noWrap/>
            <w:vAlign w:val="center"/>
            <w:hideMark/>
          </w:tcPr>
          <w:p w14:paraId="0D36AC37"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14:paraId="05797644"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366B</w:t>
            </w:r>
            <w:proofErr w:type="spellEnd"/>
            <w:r w:rsidRPr="00133D67">
              <w:rPr>
                <w:rFonts w:ascii="Calibri" w:hAnsi="Calibri" w:cs="Calibri"/>
                <w:color w:val="000000"/>
                <w:sz w:val="22"/>
                <w:szCs w:val="22"/>
              </w:rPr>
              <w:t>)</w:t>
            </w:r>
          </w:p>
        </w:tc>
        <w:tc>
          <w:tcPr>
            <w:tcW w:w="2909" w:type="dxa"/>
            <w:tcBorders>
              <w:top w:val="nil"/>
              <w:left w:val="nil"/>
              <w:bottom w:val="single" w:sz="4" w:space="0" w:color="auto"/>
              <w:right w:val="single" w:sz="8" w:space="0" w:color="auto"/>
            </w:tcBorders>
            <w:shd w:val="clear" w:color="auto" w:fill="auto"/>
            <w:noWrap/>
            <w:vAlign w:val="center"/>
            <w:hideMark/>
          </w:tcPr>
          <w:p w14:paraId="1FBAB3FB" w14:textId="78638A30"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r w:rsidR="00607F10">
              <w:rPr>
                <w:rFonts w:ascii="Calibri" w:hAnsi="Calibri" w:cs="Calibri"/>
                <w:color w:val="000000"/>
                <w:sz w:val="22"/>
                <w:szCs w:val="22"/>
              </w:rPr>
              <w:t>Write off, but reserv</w:t>
            </w:r>
            <w:r w:rsidR="000B4B70">
              <w:rPr>
                <w:rFonts w:ascii="Calibri" w:hAnsi="Calibri" w:cs="Calibri"/>
                <w:color w:val="000000"/>
                <w:sz w:val="22"/>
                <w:szCs w:val="22"/>
              </w:rPr>
              <w:t>ed</w:t>
            </w:r>
            <w:r w:rsidR="00607F10">
              <w:rPr>
                <w:rFonts w:ascii="Calibri" w:hAnsi="Calibri" w:cs="Calibri"/>
                <w:color w:val="000000"/>
                <w:sz w:val="22"/>
                <w:szCs w:val="22"/>
              </w:rPr>
              <w:t xml:space="preserve"> right to bring back to the Commission</w:t>
            </w:r>
          </w:p>
        </w:tc>
      </w:tr>
      <w:tr w:rsidR="00133D67" w:rsidRPr="00133D67" w14:paraId="2F38F985" w14:textId="77777777" w:rsidTr="00CF3D9D">
        <w:trPr>
          <w:trHeight w:val="588"/>
          <w:jc w:val="center"/>
        </w:trPr>
        <w:tc>
          <w:tcPr>
            <w:tcW w:w="2000" w:type="dxa"/>
            <w:tcBorders>
              <w:top w:val="nil"/>
              <w:left w:val="single" w:sz="8" w:space="0" w:color="auto"/>
              <w:bottom w:val="single" w:sz="8" w:space="0" w:color="auto"/>
              <w:right w:val="single" w:sz="4" w:space="0" w:color="auto"/>
            </w:tcBorders>
            <w:shd w:val="clear" w:color="auto" w:fill="auto"/>
            <w:vAlign w:val="center"/>
            <w:hideMark/>
          </w:tcPr>
          <w:p w14:paraId="460596B6"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Total GPC Capital Construction Cost</w:t>
            </w:r>
          </w:p>
        </w:tc>
        <w:tc>
          <w:tcPr>
            <w:tcW w:w="1061" w:type="dxa"/>
            <w:tcBorders>
              <w:top w:val="nil"/>
              <w:left w:val="nil"/>
              <w:bottom w:val="single" w:sz="8" w:space="0" w:color="auto"/>
              <w:right w:val="single" w:sz="4" w:space="0" w:color="auto"/>
            </w:tcBorders>
            <w:shd w:val="clear" w:color="auto" w:fill="auto"/>
            <w:noWrap/>
            <w:vAlign w:val="center"/>
            <w:hideMark/>
          </w:tcPr>
          <w:p w14:paraId="5F739809"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 </w:t>
            </w:r>
          </w:p>
        </w:tc>
        <w:tc>
          <w:tcPr>
            <w:tcW w:w="1220" w:type="dxa"/>
            <w:tcBorders>
              <w:top w:val="nil"/>
              <w:left w:val="nil"/>
              <w:bottom w:val="single" w:sz="8" w:space="0" w:color="auto"/>
              <w:right w:val="single" w:sz="4" w:space="0" w:color="auto"/>
            </w:tcBorders>
            <w:shd w:val="clear" w:color="auto" w:fill="auto"/>
            <w:noWrap/>
            <w:vAlign w:val="center"/>
            <w:hideMark/>
          </w:tcPr>
          <w:p w14:paraId="709C7BE4" w14:textId="77777777" w:rsidR="00133D67" w:rsidRPr="00133D67" w:rsidRDefault="00133D67" w:rsidP="00133D67">
            <w:pPr>
              <w:jc w:val="center"/>
              <w:rPr>
                <w:rFonts w:ascii="Calibri" w:hAnsi="Calibri" w:cs="Calibri"/>
                <w:color w:val="000000"/>
                <w:sz w:val="22"/>
                <w:szCs w:val="22"/>
              </w:rPr>
            </w:pPr>
            <w:r w:rsidRPr="00133D67">
              <w:rPr>
                <w:rFonts w:ascii="Calibri" w:hAnsi="Calibri" w:cs="Calibri"/>
                <w:color w:val="000000"/>
                <w:sz w:val="22"/>
                <w:szCs w:val="22"/>
              </w:rPr>
              <w:t>$</w:t>
            </w:r>
            <w:proofErr w:type="spellStart"/>
            <w:r w:rsidRPr="00133D67">
              <w:rPr>
                <w:rFonts w:ascii="Calibri" w:hAnsi="Calibri" w:cs="Calibri"/>
                <w:color w:val="000000"/>
                <w:sz w:val="22"/>
                <w:szCs w:val="22"/>
              </w:rPr>
              <w:t>7.300B</w:t>
            </w:r>
            <w:proofErr w:type="spellEnd"/>
          </w:p>
        </w:tc>
        <w:tc>
          <w:tcPr>
            <w:tcW w:w="2909" w:type="dxa"/>
            <w:tcBorders>
              <w:top w:val="nil"/>
              <w:left w:val="nil"/>
              <w:bottom w:val="single" w:sz="8" w:space="0" w:color="auto"/>
              <w:right w:val="single" w:sz="8" w:space="0" w:color="auto"/>
            </w:tcBorders>
            <w:shd w:val="clear" w:color="auto" w:fill="auto"/>
            <w:noWrap/>
            <w:vAlign w:val="center"/>
            <w:hideMark/>
          </w:tcPr>
          <w:p w14:paraId="3E49C5E0" w14:textId="12C61EA0" w:rsidR="00133D67" w:rsidRPr="00133D67" w:rsidRDefault="00607F10" w:rsidP="00133D67">
            <w:pPr>
              <w:jc w:val="center"/>
              <w:rPr>
                <w:rFonts w:ascii="Calibri" w:hAnsi="Calibri" w:cs="Calibri"/>
                <w:color w:val="000000"/>
                <w:sz w:val="22"/>
                <w:szCs w:val="22"/>
              </w:rPr>
            </w:pPr>
            <w:r>
              <w:rPr>
                <w:rFonts w:ascii="Calibri" w:hAnsi="Calibri" w:cs="Calibri"/>
                <w:color w:val="000000"/>
                <w:sz w:val="22"/>
                <w:szCs w:val="22"/>
              </w:rPr>
              <w:t>With the above adjustments, the $ 7.3 B specified in the Commission’s Order VCM 17 did not change</w:t>
            </w:r>
            <w:r w:rsidR="00133D67" w:rsidRPr="00133D67">
              <w:rPr>
                <w:rFonts w:ascii="Calibri" w:hAnsi="Calibri" w:cs="Calibri"/>
                <w:color w:val="000000"/>
                <w:sz w:val="22"/>
                <w:szCs w:val="22"/>
              </w:rPr>
              <w:t> </w:t>
            </w:r>
          </w:p>
        </w:tc>
      </w:tr>
    </w:tbl>
    <w:p w14:paraId="02126079" w14:textId="77777777" w:rsidR="00B80AFC" w:rsidRDefault="00B80AFC" w:rsidP="00133D67">
      <w:pPr>
        <w:jc w:val="center"/>
        <w:rPr>
          <w:b/>
          <w:szCs w:val="24"/>
          <w:highlight w:val="yellow"/>
        </w:rPr>
      </w:pPr>
    </w:p>
    <w:p w14:paraId="1B5485B4" w14:textId="77777777" w:rsidR="008B651E" w:rsidRPr="003D536F" w:rsidRDefault="008B651E" w:rsidP="008B651E">
      <w:pPr>
        <w:pStyle w:val="ListParagraph"/>
        <w:numPr>
          <w:ilvl w:val="0"/>
          <w:numId w:val="32"/>
        </w:numPr>
        <w:tabs>
          <w:tab w:val="left" w:pos="2960"/>
        </w:tabs>
        <w:contextualSpacing/>
        <w:jc w:val="both"/>
        <w:rPr>
          <w:b/>
          <w:bCs/>
        </w:rPr>
      </w:pPr>
      <w:r w:rsidRPr="00E03772">
        <w:rPr>
          <w:b/>
          <w:bCs/>
        </w:rPr>
        <w:t xml:space="preserve">VMG Independent Monitoring Efforts  </w:t>
      </w:r>
    </w:p>
    <w:p w14:paraId="149A0FDA" w14:textId="77777777" w:rsidR="008B651E" w:rsidRDefault="008B651E" w:rsidP="008B651E">
      <w:pPr>
        <w:tabs>
          <w:tab w:val="left" w:pos="2960"/>
        </w:tabs>
        <w:jc w:val="both"/>
        <w:rPr>
          <w:b/>
          <w:bCs/>
        </w:rPr>
      </w:pPr>
    </w:p>
    <w:p w14:paraId="755EE047" w14:textId="542C5187" w:rsidR="008B651E" w:rsidRDefault="008B651E" w:rsidP="008B651E">
      <w:pPr>
        <w:tabs>
          <w:tab w:val="left" w:pos="2960"/>
        </w:tabs>
        <w:jc w:val="both"/>
      </w:pPr>
      <w:r>
        <w:t xml:space="preserve">During SNC’s management of the Project following VCM Order 17 in January 2018, VMG has provided semi-annual reports of its independent monitoring efforts that supported the PIA Staff at the semi-annual VCM reviews.  </w:t>
      </w:r>
      <w:r w:rsidR="0098418B">
        <w:t xml:space="preserve">VMG </w:t>
      </w:r>
      <w:r>
        <w:t>first provided separate written testimony in November 2018 (in support of VCM 19 covering the period July 2018 through December 2018), followed by appearances of VMG’s Donald Grace, P.E., at the VCM hearings.  A summary of the written testimonies and subsequent hearings at which Mr. Grace represented VMG in its Independent Monitoring Role is provided in Table ES-2</w:t>
      </w:r>
      <w:r w:rsidR="00CF3D9D">
        <w:t>.</w:t>
      </w:r>
    </w:p>
    <w:p w14:paraId="6493F938" w14:textId="77777777" w:rsidR="00CF3D9D" w:rsidRDefault="00CF3D9D" w:rsidP="008B651E">
      <w:pPr>
        <w:tabs>
          <w:tab w:val="left" w:pos="2960"/>
        </w:tabs>
        <w:jc w:val="both"/>
      </w:pPr>
    </w:p>
    <w:p w14:paraId="1B1C148B" w14:textId="77777777" w:rsidR="00CF3D9D" w:rsidRDefault="00CF3D9D" w:rsidP="008B651E">
      <w:pPr>
        <w:tabs>
          <w:tab w:val="left" w:pos="2960"/>
        </w:tabs>
        <w:jc w:val="both"/>
      </w:pPr>
    </w:p>
    <w:p w14:paraId="64B4CD87" w14:textId="77777777" w:rsidR="00CF3D9D" w:rsidRDefault="00CF3D9D" w:rsidP="008B651E">
      <w:pPr>
        <w:tabs>
          <w:tab w:val="left" w:pos="2960"/>
        </w:tabs>
        <w:jc w:val="both"/>
      </w:pPr>
    </w:p>
    <w:p w14:paraId="6033C05E" w14:textId="77777777" w:rsidR="00CF3D9D" w:rsidRDefault="00CF3D9D" w:rsidP="008B651E">
      <w:pPr>
        <w:tabs>
          <w:tab w:val="left" w:pos="2960"/>
        </w:tabs>
        <w:jc w:val="both"/>
      </w:pPr>
    </w:p>
    <w:p w14:paraId="70DFEE31" w14:textId="77777777" w:rsidR="00CF3D9D" w:rsidRDefault="00CF3D9D" w:rsidP="008B651E">
      <w:pPr>
        <w:tabs>
          <w:tab w:val="left" w:pos="2960"/>
        </w:tabs>
        <w:jc w:val="both"/>
      </w:pPr>
    </w:p>
    <w:p w14:paraId="791D4426" w14:textId="77777777" w:rsidR="00CF3D9D" w:rsidRDefault="00CF3D9D" w:rsidP="008B651E">
      <w:pPr>
        <w:tabs>
          <w:tab w:val="left" w:pos="2960"/>
        </w:tabs>
        <w:jc w:val="both"/>
      </w:pPr>
    </w:p>
    <w:p w14:paraId="22C076F3" w14:textId="77777777" w:rsidR="00CF3D9D" w:rsidRDefault="00CF3D9D" w:rsidP="008B651E">
      <w:pPr>
        <w:tabs>
          <w:tab w:val="left" w:pos="2960"/>
        </w:tabs>
        <w:jc w:val="both"/>
      </w:pPr>
    </w:p>
    <w:p w14:paraId="327296CD" w14:textId="77777777" w:rsidR="00CF3D9D" w:rsidRDefault="00CF3D9D" w:rsidP="008B651E">
      <w:pPr>
        <w:tabs>
          <w:tab w:val="left" w:pos="2960"/>
        </w:tabs>
        <w:jc w:val="both"/>
      </w:pPr>
    </w:p>
    <w:p w14:paraId="0EBC30D8" w14:textId="77777777" w:rsidR="00CF3D9D" w:rsidRDefault="00CF3D9D" w:rsidP="008B651E">
      <w:pPr>
        <w:tabs>
          <w:tab w:val="left" w:pos="2960"/>
        </w:tabs>
        <w:jc w:val="both"/>
      </w:pPr>
    </w:p>
    <w:p w14:paraId="72AC308E" w14:textId="77777777" w:rsidR="00CF3D9D" w:rsidRDefault="00CF3D9D" w:rsidP="008B651E">
      <w:pPr>
        <w:tabs>
          <w:tab w:val="left" w:pos="2960"/>
        </w:tabs>
        <w:jc w:val="both"/>
      </w:pPr>
    </w:p>
    <w:p w14:paraId="1A21FB30" w14:textId="77777777" w:rsidR="00D5569C" w:rsidRDefault="00D5569C" w:rsidP="008B651E">
      <w:pPr>
        <w:tabs>
          <w:tab w:val="left" w:pos="2960"/>
        </w:tabs>
        <w:jc w:val="both"/>
      </w:pPr>
    </w:p>
    <w:p w14:paraId="4F4687E6" w14:textId="77777777" w:rsidR="00C80689" w:rsidRDefault="00C80689" w:rsidP="00C80689">
      <w:pPr>
        <w:jc w:val="center"/>
        <w:rPr>
          <w:b/>
          <w:szCs w:val="24"/>
          <w:highlight w:val="yellow"/>
        </w:rPr>
      </w:pPr>
    </w:p>
    <w:tbl>
      <w:tblPr>
        <w:tblW w:w="8020" w:type="dxa"/>
        <w:jc w:val="center"/>
        <w:tblLook w:val="04A0" w:firstRow="1" w:lastRow="0" w:firstColumn="1" w:lastColumn="0" w:noHBand="0" w:noVBand="1"/>
      </w:tblPr>
      <w:tblGrid>
        <w:gridCol w:w="1371"/>
        <w:gridCol w:w="1982"/>
        <w:gridCol w:w="2342"/>
        <w:gridCol w:w="2103"/>
        <w:gridCol w:w="222"/>
      </w:tblGrid>
      <w:tr w:rsidR="00B13728" w:rsidRPr="00B13728" w14:paraId="3B3A85DE" w14:textId="77777777" w:rsidTr="00B13728">
        <w:trPr>
          <w:gridAfter w:val="1"/>
          <w:wAfter w:w="91" w:type="dxa"/>
          <w:trHeight w:val="432"/>
          <w:jc w:val="center"/>
        </w:trPr>
        <w:tc>
          <w:tcPr>
            <w:tcW w:w="7929" w:type="dxa"/>
            <w:gridSpan w:val="4"/>
            <w:tcBorders>
              <w:top w:val="single" w:sz="8" w:space="0" w:color="auto"/>
              <w:left w:val="single" w:sz="8" w:space="0" w:color="auto"/>
              <w:bottom w:val="single" w:sz="8" w:space="0" w:color="auto"/>
              <w:right w:val="single" w:sz="8" w:space="0" w:color="000000"/>
            </w:tcBorders>
            <w:shd w:val="clear" w:color="000000" w:fill="DDEBF7"/>
            <w:vAlign w:val="center"/>
            <w:hideMark/>
          </w:tcPr>
          <w:p w14:paraId="57B0F882" w14:textId="77777777" w:rsidR="00B13728" w:rsidRPr="00B13728" w:rsidRDefault="00B13728" w:rsidP="00B13728">
            <w:pPr>
              <w:jc w:val="center"/>
              <w:rPr>
                <w:b/>
                <w:bCs/>
                <w:color w:val="000000"/>
                <w:sz w:val="28"/>
                <w:szCs w:val="28"/>
              </w:rPr>
            </w:pPr>
            <w:r w:rsidRPr="00B13728">
              <w:rPr>
                <w:b/>
                <w:bCs/>
                <w:color w:val="000000"/>
                <w:sz w:val="28"/>
                <w:szCs w:val="28"/>
              </w:rPr>
              <w:t>Table ES-2 - VMG Support of PIA Staff</w:t>
            </w:r>
          </w:p>
        </w:tc>
      </w:tr>
      <w:tr w:rsidR="00B13728" w:rsidRPr="00B13728" w14:paraId="2951EBC7" w14:textId="77777777" w:rsidTr="00B13728">
        <w:trPr>
          <w:gridAfter w:val="1"/>
          <w:wAfter w:w="91" w:type="dxa"/>
          <w:trHeight w:val="288"/>
          <w:jc w:val="center"/>
        </w:trPr>
        <w:tc>
          <w:tcPr>
            <w:tcW w:w="1387"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F2E6C0A" w14:textId="77777777" w:rsidR="00B13728" w:rsidRPr="00B13728" w:rsidRDefault="00B13728" w:rsidP="00B13728">
            <w:pPr>
              <w:jc w:val="center"/>
              <w:rPr>
                <w:b/>
                <w:bCs/>
                <w:color w:val="000000"/>
                <w:sz w:val="22"/>
                <w:szCs w:val="22"/>
              </w:rPr>
            </w:pPr>
            <w:r w:rsidRPr="00B13728">
              <w:rPr>
                <w:b/>
                <w:bCs/>
                <w:color w:val="000000"/>
                <w:sz w:val="22"/>
                <w:szCs w:val="22"/>
              </w:rPr>
              <w:t>VCM Number</w:t>
            </w:r>
          </w:p>
        </w:tc>
        <w:tc>
          <w:tcPr>
            <w:tcW w:w="2004"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2F3A608" w14:textId="77777777" w:rsidR="00B13728" w:rsidRPr="00B13728" w:rsidRDefault="00B13728" w:rsidP="00B13728">
            <w:pPr>
              <w:jc w:val="center"/>
              <w:rPr>
                <w:b/>
                <w:bCs/>
                <w:color w:val="000000"/>
                <w:sz w:val="22"/>
                <w:szCs w:val="22"/>
              </w:rPr>
            </w:pPr>
            <w:r w:rsidRPr="00B13728">
              <w:rPr>
                <w:b/>
                <w:bCs/>
                <w:color w:val="000000"/>
                <w:sz w:val="22"/>
                <w:szCs w:val="22"/>
              </w:rPr>
              <w:t>Project Period of Performance</w:t>
            </w:r>
          </w:p>
        </w:tc>
        <w:tc>
          <w:tcPr>
            <w:tcW w:w="238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1835580D" w14:textId="77777777" w:rsidR="00B13728" w:rsidRPr="00B13728" w:rsidRDefault="00B13728" w:rsidP="00B13728">
            <w:pPr>
              <w:jc w:val="center"/>
              <w:rPr>
                <w:b/>
                <w:bCs/>
                <w:color w:val="000000"/>
                <w:sz w:val="22"/>
                <w:szCs w:val="22"/>
              </w:rPr>
            </w:pPr>
            <w:r w:rsidRPr="00B13728">
              <w:rPr>
                <w:b/>
                <w:bCs/>
                <w:color w:val="000000"/>
                <w:sz w:val="22"/>
                <w:szCs w:val="22"/>
              </w:rPr>
              <w:t>Date of Written Testimony (see note 2)</w:t>
            </w:r>
          </w:p>
        </w:tc>
        <w:tc>
          <w:tcPr>
            <w:tcW w:w="214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17FA7B7" w14:textId="77777777" w:rsidR="00B13728" w:rsidRPr="00B13728" w:rsidRDefault="00B13728" w:rsidP="00B13728">
            <w:pPr>
              <w:jc w:val="center"/>
              <w:rPr>
                <w:b/>
                <w:bCs/>
                <w:color w:val="000000"/>
                <w:sz w:val="22"/>
                <w:szCs w:val="22"/>
              </w:rPr>
            </w:pPr>
            <w:r w:rsidRPr="00B13728">
              <w:rPr>
                <w:b/>
                <w:bCs/>
                <w:color w:val="000000"/>
                <w:sz w:val="22"/>
                <w:szCs w:val="22"/>
              </w:rPr>
              <w:t>Date of Hearing (see note 2)</w:t>
            </w:r>
          </w:p>
        </w:tc>
      </w:tr>
      <w:tr w:rsidR="00B13728" w:rsidRPr="00B13728" w14:paraId="6C838DC4" w14:textId="77777777" w:rsidTr="00B13728">
        <w:trPr>
          <w:trHeight w:val="432"/>
          <w:jc w:val="center"/>
        </w:trPr>
        <w:tc>
          <w:tcPr>
            <w:tcW w:w="1387" w:type="dxa"/>
            <w:vMerge/>
            <w:tcBorders>
              <w:top w:val="nil"/>
              <w:left w:val="single" w:sz="8" w:space="0" w:color="auto"/>
              <w:bottom w:val="single" w:sz="8" w:space="0" w:color="000000"/>
              <w:right w:val="single" w:sz="8" w:space="0" w:color="auto"/>
            </w:tcBorders>
            <w:vAlign w:val="center"/>
            <w:hideMark/>
          </w:tcPr>
          <w:p w14:paraId="46CEF208" w14:textId="77777777" w:rsidR="00B13728" w:rsidRPr="00B13728" w:rsidRDefault="00B13728" w:rsidP="00B13728">
            <w:pPr>
              <w:rPr>
                <w:b/>
                <w:bCs/>
                <w:color w:val="000000"/>
                <w:szCs w:val="24"/>
              </w:rPr>
            </w:pPr>
          </w:p>
        </w:tc>
        <w:tc>
          <w:tcPr>
            <w:tcW w:w="2004" w:type="dxa"/>
            <w:vMerge/>
            <w:tcBorders>
              <w:top w:val="nil"/>
              <w:left w:val="single" w:sz="8" w:space="0" w:color="auto"/>
              <w:bottom w:val="single" w:sz="8" w:space="0" w:color="000000"/>
              <w:right w:val="single" w:sz="8" w:space="0" w:color="auto"/>
            </w:tcBorders>
            <w:vAlign w:val="center"/>
            <w:hideMark/>
          </w:tcPr>
          <w:p w14:paraId="0C27F45A" w14:textId="77777777" w:rsidR="00B13728" w:rsidRPr="00B13728" w:rsidRDefault="00B13728" w:rsidP="00B13728">
            <w:pPr>
              <w:rPr>
                <w:b/>
                <w:bCs/>
                <w:color w:val="000000"/>
                <w:szCs w:val="24"/>
              </w:rPr>
            </w:pPr>
          </w:p>
        </w:tc>
        <w:tc>
          <w:tcPr>
            <w:tcW w:w="2389" w:type="dxa"/>
            <w:vMerge/>
            <w:tcBorders>
              <w:top w:val="nil"/>
              <w:left w:val="single" w:sz="8" w:space="0" w:color="auto"/>
              <w:bottom w:val="single" w:sz="8" w:space="0" w:color="000000"/>
              <w:right w:val="single" w:sz="8" w:space="0" w:color="auto"/>
            </w:tcBorders>
            <w:vAlign w:val="center"/>
            <w:hideMark/>
          </w:tcPr>
          <w:p w14:paraId="73D5D332" w14:textId="77777777" w:rsidR="00B13728" w:rsidRPr="00B13728" w:rsidRDefault="00B13728" w:rsidP="00B13728">
            <w:pPr>
              <w:rPr>
                <w:b/>
                <w:bCs/>
                <w:color w:val="000000"/>
                <w:szCs w:val="24"/>
              </w:rPr>
            </w:pPr>
          </w:p>
        </w:tc>
        <w:tc>
          <w:tcPr>
            <w:tcW w:w="2149" w:type="dxa"/>
            <w:vMerge/>
            <w:tcBorders>
              <w:top w:val="nil"/>
              <w:left w:val="single" w:sz="8" w:space="0" w:color="auto"/>
              <w:bottom w:val="single" w:sz="8" w:space="0" w:color="000000"/>
              <w:right w:val="single" w:sz="8" w:space="0" w:color="auto"/>
            </w:tcBorders>
            <w:vAlign w:val="center"/>
            <w:hideMark/>
          </w:tcPr>
          <w:p w14:paraId="6D140F56" w14:textId="77777777" w:rsidR="00B13728" w:rsidRPr="00B13728" w:rsidRDefault="00B13728" w:rsidP="00B13728">
            <w:pPr>
              <w:rPr>
                <w:b/>
                <w:bCs/>
                <w:color w:val="000000"/>
                <w:szCs w:val="24"/>
              </w:rPr>
            </w:pPr>
          </w:p>
        </w:tc>
        <w:tc>
          <w:tcPr>
            <w:tcW w:w="91" w:type="dxa"/>
            <w:tcBorders>
              <w:top w:val="nil"/>
              <w:left w:val="nil"/>
              <w:bottom w:val="nil"/>
              <w:right w:val="nil"/>
            </w:tcBorders>
            <w:shd w:val="clear" w:color="auto" w:fill="auto"/>
            <w:noWrap/>
            <w:vAlign w:val="bottom"/>
            <w:hideMark/>
          </w:tcPr>
          <w:p w14:paraId="359D3EEB" w14:textId="77777777" w:rsidR="00B13728" w:rsidRPr="00B13728" w:rsidRDefault="00B13728" w:rsidP="00B13728">
            <w:pPr>
              <w:jc w:val="center"/>
              <w:rPr>
                <w:b/>
                <w:bCs/>
                <w:color w:val="000000"/>
                <w:szCs w:val="24"/>
              </w:rPr>
            </w:pPr>
          </w:p>
        </w:tc>
      </w:tr>
      <w:tr w:rsidR="00B13728" w:rsidRPr="00B13728" w14:paraId="3260190F"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0DE29496" w14:textId="77777777" w:rsidR="00B13728" w:rsidRPr="00B13728" w:rsidRDefault="00B13728" w:rsidP="00B13728">
            <w:pPr>
              <w:jc w:val="center"/>
              <w:rPr>
                <w:color w:val="000000"/>
                <w:szCs w:val="24"/>
              </w:rPr>
            </w:pPr>
            <w:r w:rsidRPr="00B13728">
              <w:rPr>
                <w:color w:val="000000"/>
                <w:szCs w:val="24"/>
              </w:rPr>
              <w:t>19</w:t>
            </w:r>
          </w:p>
        </w:tc>
        <w:tc>
          <w:tcPr>
            <w:tcW w:w="2004" w:type="dxa"/>
            <w:tcBorders>
              <w:top w:val="nil"/>
              <w:left w:val="nil"/>
              <w:bottom w:val="single" w:sz="8" w:space="0" w:color="auto"/>
              <w:right w:val="single" w:sz="8" w:space="0" w:color="auto"/>
            </w:tcBorders>
            <w:shd w:val="clear" w:color="auto" w:fill="auto"/>
            <w:vAlign w:val="center"/>
            <w:hideMark/>
          </w:tcPr>
          <w:p w14:paraId="486B060C" w14:textId="77777777" w:rsidR="00B13728" w:rsidRPr="00B13728" w:rsidRDefault="00B13728" w:rsidP="00B13728">
            <w:pPr>
              <w:jc w:val="center"/>
              <w:rPr>
                <w:color w:val="000000"/>
                <w:szCs w:val="24"/>
              </w:rPr>
            </w:pPr>
            <w:r w:rsidRPr="00B13728">
              <w:rPr>
                <w:color w:val="000000"/>
                <w:szCs w:val="24"/>
              </w:rPr>
              <w:t>Jan 2018 – June 2018</w:t>
            </w:r>
          </w:p>
        </w:tc>
        <w:tc>
          <w:tcPr>
            <w:tcW w:w="2389" w:type="dxa"/>
            <w:tcBorders>
              <w:top w:val="nil"/>
              <w:left w:val="nil"/>
              <w:bottom w:val="single" w:sz="8" w:space="0" w:color="auto"/>
              <w:right w:val="single" w:sz="8" w:space="0" w:color="auto"/>
            </w:tcBorders>
            <w:shd w:val="clear" w:color="auto" w:fill="auto"/>
            <w:vAlign w:val="center"/>
            <w:hideMark/>
          </w:tcPr>
          <w:p w14:paraId="4CD3E61B" w14:textId="77777777" w:rsidR="00B13728" w:rsidRPr="00B13728" w:rsidRDefault="00B13728" w:rsidP="00B13728">
            <w:pPr>
              <w:jc w:val="center"/>
              <w:rPr>
                <w:color w:val="000000"/>
                <w:szCs w:val="24"/>
              </w:rPr>
            </w:pPr>
            <w:r w:rsidRPr="00B13728">
              <w:rPr>
                <w:color w:val="000000"/>
                <w:szCs w:val="24"/>
              </w:rPr>
              <w:t>Nov 30, 2018 (see note 1)</w:t>
            </w:r>
          </w:p>
        </w:tc>
        <w:tc>
          <w:tcPr>
            <w:tcW w:w="2149" w:type="dxa"/>
            <w:tcBorders>
              <w:top w:val="nil"/>
              <w:left w:val="nil"/>
              <w:bottom w:val="single" w:sz="8" w:space="0" w:color="auto"/>
              <w:right w:val="single" w:sz="8" w:space="0" w:color="auto"/>
            </w:tcBorders>
            <w:shd w:val="clear" w:color="auto" w:fill="auto"/>
            <w:vAlign w:val="center"/>
            <w:hideMark/>
          </w:tcPr>
          <w:p w14:paraId="782F7B4A" w14:textId="77777777" w:rsidR="00B13728" w:rsidRPr="00B13728" w:rsidRDefault="00B13728" w:rsidP="00B13728">
            <w:pPr>
              <w:jc w:val="center"/>
              <w:rPr>
                <w:color w:val="000000"/>
                <w:szCs w:val="24"/>
              </w:rPr>
            </w:pPr>
            <w:r w:rsidRPr="00B13728">
              <w:rPr>
                <w:color w:val="000000"/>
                <w:szCs w:val="24"/>
              </w:rPr>
              <w:t> </w:t>
            </w:r>
          </w:p>
        </w:tc>
        <w:tc>
          <w:tcPr>
            <w:tcW w:w="91" w:type="dxa"/>
            <w:vAlign w:val="center"/>
            <w:hideMark/>
          </w:tcPr>
          <w:p w14:paraId="5099ABC9" w14:textId="77777777" w:rsidR="00B13728" w:rsidRPr="00B13728" w:rsidRDefault="00B13728" w:rsidP="00B13728">
            <w:pPr>
              <w:rPr>
                <w:sz w:val="20"/>
              </w:rPr>
            </w:pPr>
          </w:p>
        </w:tc>
      </w:tr>
      <w:tr w:rsidR="00B13728" w:rsidRPr="00B13728" w14:paraId="11301F34"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2BAE2287" w14:textId="77777777" w:rsidR="00B13728" w:rsidRPr="00B13728" w:rsidRDefault="00B13728" w:rsidP="00B13728">
            <w:pPr>
              <w:jc w:val="center"/>
              <w:rPr>
                <w:color w:val="000000"/>
                <w:szCs w:val="24"/>
              </w:rPr>
            </w:pPr>
            <w:r w:rsidRPr="00B13728">
              <w:rPr>
                <w:color w:val="000000"/>
                <w:szCs w:val="24"/>
              </w:rPr>
              <w:t>20/21</w:t>
            </w:r>
          </w:p>
        </w:tc>
        <w:tc>
          <w:tcPr>
            <w:tcW w:w="2004" w:type="dxa"/>
            <w:tcBorders>
              <w:top w:val="nil"/>
              <w:left w:val="nil"/>
              <w:bottom w:val="single" w:sz="8" w:space="0" w:color="auto"/>
              <w:right w:val="single" w:sz="8" w:space="0" w:color="auto"/>
            </w:tcBorders>
            <w:shd w:val="clear" w:color="auto" w:fill="auto"/>
            <w:vAlign w:val="center"/>
            <w:hideMark/>
          </w:tcPr>
          <w:p w14:paraId="526F52DC" w14:textId="77777777" w:rsidR="00B13728" w:rsidRPr="00B13728" w:rsidRDefault="00B13728" w:rsidP="00B13728">
            <w:pPr>
              <w:jc w:val="center"/>
              <w:rPr>
                <w:color w:val="000000"/>
                <w:szCs w:val="24"/>
              </w:rPr>
            </w:pPr>
            <w:r w:rsidRPr="00B13728">
              <w:rPr>
                <w:color w:val="000000"/>
                <w:szCs w:val="24"/>
              </w:rPr>
              <w:t>July 2018 – June 2019</w:t>
            </w:r>
          </w:p>
        </w:tc>
        <w:tc>
          <w:tcPr>
            <w:tcW w:w="2389" w:type="dxa"/>
            <w:tcBorders>
              <w:top w:val="nil"/>
              <w:left w:val="nil"/>
              <w:bottom w:val="single" w:sz="8" w:space="0" w:color="auto"/>
              <w:right w:val="single" w:sz="8" w:space="0" w:color="auto"/>
            </w:tcBorders>
            <w:shd w:val="clear" w:color="auto" w:fill="auto"/>
            <w:vAlign w:val="center"/>
            <w:hideMark/>
          </w:tcPr>
          <w:p w14:paraId="13CA9625" w14:textId="77777777" w:rsidR="00B13728" w:rsidRPr="00B13728" w:rsidRDefault="00B13728" w:rsidP="00B13728">
            <w:pPr>
              <w:jc w:val="center"/>
              <w:rPr>
                <w:color w:val="000000"/>
                <w:szCs w:val="24"/>
              </w:rPr>
            </w:pPr>
            <w:r w:rsidRPr="00B13728">
              <w:rPr>
                <w:color w:val="000000"/>
                <w:szCs w:val="24"/>
              </w:rPr>
              <w:t>22-Nov-19</w:t>
            </w:r>
          </w:p>
        </w:tc>
        <w:tc>
          <w:tcPr>
            <w:tcW w:w="2149" w:type="dxa"/>
            <w:tcBorders>
              <w:top w:val="nil"/>
              <w:left w:val="nil"/>
              <w:bottom w:val="single" w:sz="8" w:space="0" w:color="auto"/>
              <w:right w:val="single" w:sz="8" w:space="0" w:color="auto"/>
            </w:tcBorders>
            <w:shd w:val="clear" w:color="auto" w:fill="auto"/>
            <w:vAlign w:val="center"/>
            <w:hideMark/>
          </w:tcPr>
          <w:p w14:paraId="5DEEC336" w14:textId="77777777" w:rsidR="00B13728" w:rsidRPr="00B13728" w:rsidRDefault="00B13728" w:rsidP="00B13728">
            <w:pPr>
              <w:jc w:val="center"/>
              <w:rPr>
                <w:color w:val="000000"/>
                <w:szCs w:val="24"/>
              </w:rPr>
            </w:pPr>
            <w:r w:rsidRPr="00B13728">
              <w:rPr>
                <w:color w:val="000000"/>
                <w:szCs w:val="24"/>
              </w:rPr>
              <w:t>10-Dec-19</w:t>
            </w:r>
          </w:p>
        </w:tc>
        <w:tc>
          <w:tcPr>
            <w:tcW w:w="91" w:type="dxa"/>
            <w:vAlign w:val="center"/>
            <w:hideMark/>
          </w:tcPr>
          <w:p w14:paraId="2BC3CA2E" w14:textId="77777777" w:rsidR="00B13728" w:rsidRPr="00B13728" w:rsidRDefault="00B13728" w:rsidP="00B13728">
            <w:pPr>
              <w:rPr>
                <w:sz w:val="20"/>
              </w:rPr>
            </w:pPr>
          </w:p>
        </w:tc>
      </w:tr>
      <w:tr w:rsidR="00B13728" w:rsidRPr="00B13728" w14:paraId="1516532F"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7E29D538" w14:textId="77777777" w:rsidR="00B13728" w:rsidRPr="00B13728" w:rsidRDefault="00B13728" w:rsidP="00B13728">
            <w:pPr>
              <w:jc w:val="center"/>
              <w:rPr>
                <w:color w:val="000000"/>
                <w:szCs w:val="24"/>
              </w:rPr>
            </w:pPr>
            <w:r w:rsidRPr="00B13728">
              <w:rPr>
                <w:color w:val="000000"/>
                <w:szCs w:val="24"/>
              </w:rPr>
              <w:t>22</w:t>
            </w:r>
          </w:p>
        </w:tc>
        <w:tc>
          <w:tcPr>
            <w:tcW w:w="2004" w:type="dxa"/>
            <w:tcBorders>
              <w:top w:val="nil"/>
              <w:left w:val="nil"/>
              <w:bottom w:val="single" w:sz="8" w:space="0" w:color="auto"/>
              <w:right w:val="single" w:sz="8" w:space="0" w:color="auto"/>
            </w:tcBorders>
            <w:shd w:val="clear" w:color="auto" w:fill="auto"/>
            <w:vAlign w:val="center"/>
            <w:hideMark/>
          </w:tcPr>
          <w:p w14:paraId="25E5C28D" w14:textId="77777777" w:rsidR="00B13728" w:rsidRPr="00B13728" w:rsidRDefault="00B13728" w:rsidP="00B13728">
            <w:pPr>
              <w:jc w:val="center"/>
              <w:rPr>
                <w:color w:val="000000"/>
                <w:szCs w:val="24"/>
              </w:rPr>
            </w:pPr>
            <w:r w:rsidRPr="00B13728">
              <w:rPr>
                <w:color w:val="000000"/>
                <w:szCs w:val="24"/>
              </w:rPr>
              <w:t>July 2019 – Dec 2019</w:t>
            </w:r>
          </w:p>
        </w:tc>
        <w:tc>
          <w:tcPr>
            <w:tcW w:w="2389" w:type="dxa"/>
            <w:tcBorders>
              <w:top w:val="nil"/>
              <w:left w:val="nil"/>
              <w:bottom w:val="single" w:sz="8" w:space="0" w:color="auto"/>
              <w:right w:val="single" w:sz="8" w:space="0" w:color="auto"/>
            </w:tcBorders>
            <w:shd w:val="clear" w:color="auto" w:fill="auto"/>
            <w:vAlign w:val="center"/>
            <w:hideMark/>
          </w:tcPr>
          <w:p w14:paraId="7A6562C7" w14:textId="77777777" w:rsidR="00B13728" w:rsidRPr="00B13728" w:rsidRDefault="00B13728" w:rsidP="00B13728">
            <w:pPr>
              <w:jc w:val="center"/>
              <w:rPr>
                <w:color w:val="000000"/>
                <w:szCs w:val="24"/>
              </w:rPr>
            </w:pPr>
            <w:r w:rsidRPr="00B13728">
              <w:rPr>
                <w:color w:val="000000"/>
                <w:szCs w:val="24"/>
              </w:rPr>
              <w:t>5-Jun-20</w:t>
            </w:r>
          </w:p>
        </w:tc>
        <w:tc>
          <w:tcPr>
            <w:tcW w:w="2149" w:type="dxa"/>
            <w:tcBorders>
              <w:top w:val="nil"/>
              <w:left w:val="nil"/>
              <w:bottom w:val="single" w:sz="8" w:space="0" w:color="auto"/>
              <w:right w:val="single" w:sz="8" w:space="0" w:color="auto"/>
            </w:tcBorders>
            <w:shd w:val="clear" w:color="auto" w:fill="auto"/>
            <w:vAlign w:val="center"/>
            <w:hideMark/>
          </w:tcPr>
          <w:p w14:paraId="1E8B580B" w14:textId="77777777" w:rsidR="00B13728" w:rsidRPr="00B13728" w:rsidRDefault="00B13728" w:rsidP="00B13728">
            <w:pPr>
              <w:jc w:val="center"/>
              <w:rPr>
                <w:color w:val="000000"/>
                <w:szCs w:val="24"/>
              </w:rPr>
            </w:pPr>
            <w:r w:rsidRPr="00B13728">
              <w:rPr>
                <w:color w:val="000000"/>
                <w:szCs w:val="24"/>
              </w:rPr>
              <w:t>25-Jun-20</w:t>
            </w:r>
          </w:p>
        </w:tc>
        <w:tc>
          <w:tcPr>
            <w:tcW w:w="91" w:type="dxa"/>
            <w:vAlign w:val="center"/>
            <w:hideMark/>
          </w:tcPr>
          <w:p w14:paraId="62BD5943" w14:textId="77777777" w:rsidR="00B13728" w:rsidRPr="00B13728" w:rsidRDefault="00B13728" w:rsidP="00B13728">
            <w:pPr>
              <w:rPr>
                <w:sz w:val="20"/>
              </w:rPr>
            </w:pPr>
          </w:p>
        </w:tc>
      </w:tr>
      <w:tr w:rsidR="00B13728" w:rsidRPr="00B13728" w14:paraId="7B7A7355"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1481DE82" w14:textId="77777777" w:rsidR="00B13728" w:rsidRPr="00B13728" w:rsidRDefault="00B13728" w:rsidP="00B13728">
            <w:pPr>
              <w:jc w:val="center"/>
              <w:rPr>
                <w:color w:val="000000"/>
                <w:szCs w:val="24"/>
              </w:rPr>
            </w:pPr>
            <w:r w:rsidRPr="00B13728">
              <w:rPr>
                <w:color w:val="000000"/>
                <w:szCs w:val="24"/>
              </w:rPr>
              <w:t>23</w:t>
            </w:r>
          </w:p>
        </w:tc>
        <w:tc>
          <w:tcPr>
            <w:tcW w:w="2004" w:type="dxa"/>
            <w:tcBorders>
              <w:top w:val="nil"/>
              <w:left w:val="nil"/>
              <w:bottom w:val="single" w:sz="8" w:space="0" w:color="auto"/>
              <w:right w:val="single" w:sz="8" w:space="0" w:color="auto"/>
            </w:tcBorders>
            <w:shd w:val="clear" w:color="auto" w:fill="auto"/>
            <w:vAlign w:val="center"/>
            <w:hideMark/>
          </w:tcPr>
          <w:p w14:paraId="5541F00D" w14:textId="77777777" w:rsidR="00B13728" w:rsidRPr="00B13728" w:rsidRDefault="00B13728" w:rsidP="00B13728">
            <w:pPr>
              <w:jc w:val="center"/>
              <w:rPr>
                <w:color w:val="000000"/>
                <w:szCs w:val="24"/>
              </w:rPr>
            </w:pPr>
            <w:r w:rsidRPr="00B13728">
              <w:rPr>
                <w:color w:val="000000"/>
                <w:szCs w:val="24"/>
              </w:rPr>
              <w:t>Jan 2020 – June 2020</w:t>
            </w:r>
          </w:p>
        </w:tc>
        <w:tc>
          <w:tcPr>
            <w:tcW w:w="2389" w:type="dxa"/>
            <w:tcBorders>
              <w:top w:val="nil"/>
              <w:left w:val="nil"/>
              <w:bottom w:val="single" w:sz="8" w:space="0" w:color="auto"/>
              <w:right w:val="single" w:sz="8" w:space="0" w:color="auto"/>
            </w:tcBorders>
            <w:shd w:val="clear" w:color="auto" w:fill="auto"/>
            <w:vAlign w:val="center"/>
            <w:hideMark/>
          </w:tcPr>
          <w:p w14:paraId="5DA2FFDB" w14:textId="77777777" w:rsidR="00B13728" w:rsidRPr="00B13728" w:rsidRDefault="00B13728" w:rsidP="00B13728">
            <w:pPr>
              <w:jc w:val="center"/>
              <w:rPr>
                <w:color w:val="000000"/>
                <w:szCs w:val="24"/>
              </w:rPr>
            </w:pPr>
            <w:r w:rsidRPr="00B13728">
              <w:rPr>
                <w:color w:val="000000"/>
                <w:szCs w:val="24"/>
              </w:rPr>
              <w:t>24-Nov-20</w:t>
            </w:r>
          </w:p>
        </w:tc>
        <w:tc>
          <w:tcPr>
            <w:tcW w:w="2149" w:type="dxa"/>
            <w:tcBorders>
              <w:top w:val="nil"/>
              <w:left w:val="nil"/>
              <w:bottom w:val="single" w:sz="8" w:space="0" w:color="auto"/>
              <w:right w:val="single" w:sz="8" w:space="0" w:color="auto"/>
            </w:tcBorders>
            <w:shd w:val="clear" w:color="auto" w:fill="auto"/>
            <w:vAlign w:val="center"/>
            <w:hideMark/>
          </w:tcPr>
          <w:p w14:paraId="513E6C4B" w14:textId="77777777" w:rsidR="00B13728" w:rsidRPr="00B13728" w:rsidRDefault="00B13728" w:rsidP="00B13728">
            <w:pPr>
              <w:jc w:val="center"/>
              <w:rPr>
                <w:color w:val="000000"/>
                <w:szCs w:val="24"/>
              </w:rPr>
            </w:pPr>
            <w:r w:rsidRPr="00B13728">
              <w:rPr>
                <w:color w:val="000000"/>
                <w:szCs w:val="24"/>
              </w:rPr>
              <w:t>15-Dec-20</w:t>
            </w:r>
          </w:p>
        </w:tc>
        <w:tc>
          <w:tcPr>
            <w:tcW w:w="91" w:type="dxa"/>
            <w:vAlign w:val="center"/>
            <w:hideMark/>
          </w:tcPr>
          <w:p w14:paraId="62CD5D20" w14:textId="77777777" w:rsidR="00B13728" w:rsidRPr="00B13728" w:rsidRDefault="00B13728" w:rsidP="00B13728">
            <w:pPr>
              <w:rPr>
                <w:sz w:val="20"/>
              </w:rPr>
            </w:pPr>
          </w:p>
        </w:tc>
      </w:tr>
      <w:tr w:rsidR="00B13728" w:rsidRPr="00B13728" w14:paraId="33412347"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23A77480" w14:textId="77777777" w:rsidR="00B13728" w:rsidRPr="00B13728" w:rsidRDefault="00B13728" w:rsidP="00B13728">
            <w:pPr>
              <w:jc w:val="center"/>
              <w:rPr>
                <w:color w:val="000000"/>
                <w:szCs w:val="24"/>
              </w:rPr>
            </w:pPr>
            <w:r w:rsidRPr="00B13728">
              <w:rPr>
                <w:color w:val="000000"/>
                <w:szCs w:val="24"/>
              </w:rPr>
              <w:t>24</w:t>
            </w:r>
          </w:p>
        </w:tc>
        <w:tc>
          <w:tcPr>
            <w:tcW w:w="2004" w:type="dxa"/>
            <w:tcBorders>
              <w:top w:val="nil"/>
              <w:left w:val="nil"/>
              <w:bottom w:val="single" w:sz="8" w:space="0" w:color="auto"/>
              <w:right w:val="single" w:sz="8" w:space="0" w:color="auto"/>
            </w:tcBorders>
            <w:shd w:val="clear" w:color="auto" w:fill="auto"/>
            <w:vAlign w:val="center"/>
            <w:hideMark/>
          </w:tcPr>
          <w:p w14:paraId="6A2D0646" w14:textId="77777777" w:rsidR="00B13728" w:rsidRPr="00B13728" w:rsidRDefault="00B13728" w:rsidP="00B13728">
            <w:pPr>
              <w:jc w:val="center"/>
              <w:rPr>
                <w:color w:val="000000"/>
                <w:szCs w:val="24"/>
              </w:rPr>
            </w:pPr>
            <w:r w:rsidRPr="00B13728">
              <w:rPr>
                <w:color w:val="000000"/>
                <w:szCs w:val="24"/>
              </w:rPr>
              <w:t>July 2020 – Dec 2020</w:t>
            </w:r>
          </w:p>
        </w:tc>
        <w:tc>
          <w:tcPr>
            <w:tcW w:w="2389" w:type="dxa"/>
            <w:tcBorders>
              <w:top w:val="nil"/>
              <w:left w:val="nil"/>
              <w:bottom w:val="single" w:sz="8" w:space="0" w:color="auto"/>
              <w:right w:val="single" w:sz="8" w:space="0" w:color="auto"/>
            </w:tcBorders>
            <w:shd w:val="clear" w:color="auto" w:fill="auto"/>
            <w:vAlign w:val="center"/>
            <w:hideMark/>
          </w:tcPr>
          <w:p w14:paraId="5C5698F9" w14:textId="77777777" w:rsidR="00B13728" w:rsidRPr="00B13728" w:rsidRDefault="00B13728" w:rsidP="00B13728">
            <w:pPr>
              <w:jc w:val="center"/>
              <w:rPr>
                <w:color w:val="000000"/>
                <w:szCs w:val="24"/>
              </w:rPr>
            </w:pPr>
            <w:r w:rsidRPr="00B13728">
              <w:rPr>
                <w:color w:val="000000"/>
                <w:szCs w:val="24"/>
              </w:rPr>
              <w:t>7-Jun-21</w:t>
            </w:r>
          </w:p>
        </w:tc>
        <w:tc>
          <w:tcPr>
            <w:tcW w:w="2149" w:type="dxa"/>
            <w:tcBorders>
              <w:top w:val="nil"/>
              <w:left w:val="nil"/>
              <w:bottom w:val="single" w:sz="8" w:space="0" w:color="auto"/>
              <w:right w:val="single" w:sz="8" w:space="0" w:color="auto"/>
            </w:tcBorders>
            <w:shd w:val="clear" w:color="auto" w:fill="auto"/>
            <w:vAlign w:val="center"/>
            <w:hideMark/>
          </w:tcPr>
          <w:p w14:paraId="013777BB" w14:textId="77777777" w:rsidR="00B13728" w:rsidRPr="00B13728" w:rsidRDefault="00B13728" w:rsidP="00B13728">
            <w:pPr>
              <w:jc w:val="center"/>
              <w:rPr>
                <w:color w:val="000000"/>
                <w:szCs w:val="24"/>
              </w:rPr>
            </w:pPr>
            <w:r w:rsidRPr="00B13728">
              <w:rPr>
                <w:color w:val="000000"/>
                <w:szCs w:val="24"/>
              </w:rPr>
              <w:t>24-Jun-20</w:t>
            </w:r>
          </w:p>
        </w:tc>
        <w:tc>
          <w:tcPr>
            <w:tcW w:w="91" w:type="dxa"/>
            <w:vAlign w:val="center"/>
            <w:hideMark/>
          </w:tcPr>
          <w:p w14:paraId="47F8EA4B" w14:textId="77777777" w:rsidR="00B13728" w:rsidRPr="00B13728" w:rsidRDefault="00B13728" w:rsidP="00B13728">
            <w:pPr>
              <w:rPr>
                <w:sz w:val="20"/>
              </w:rPr>
            </w:pPr>
          </w:p>
        </w:tc>
      </w:tr>
      <w:tr w:rsidR="00B13728" w:rsidRPr="00B13728" w14:paraId="4A226D16"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64F32C8A" w14:textId="77777777" w:rsidR="00B13728" w:rsidRPr="00B13728" w:rsidRDefault="00B13728" w:rsidP="00B13728">
            <w:pPr>
              <w:jc w:val="center"/>
              <w:rPr>
                <w:color w:val="000000"/>
                <w:szCs w:val="24"/>
              </w:rPr>
            </w:pPr>
            <w:r w:rsidRPr="00B13728">
              <w:rPr>
                <w:color w:val="000000"/>
                <w:szCs w:val="24"/>
              </w:rPr>
              <w:t>25</w:t>
            </w:r>
          </w:p>
        </w:tc>
        <w:tc>
          <w:tcPr>
            <w:tcW w:w="2004" w:type="dxa"/>
            <w:tcBorders>
              <w:top w:val="nil"/>
              <w:left w:val="nil"/>
              <w:bottom w:val="single" w:sz="8" w:space="0" w:color="auto"/>
              <w:right w:val="single" w:sz="8" w:space="0" w:color="auto"/>
            </w:tcBorders>
            <w:shd w:val="clear" w:color="auto" w:fill="auto"/>
            <w:vAlign w:val="center"/>
            <w:hideMark/>
          </w:tcPr>
          <w:p w14:paraId="60008A7D" w14:textId="77777777" w:rsidR="00B13728" w:rsidRPr="00B13728" w:rsidRDefault="00B13728" w:rsidP="00B13728">
            <w:pPr>
              <w:jc w:val="center"/>
              <w:rPr>
                <w:color w:val="000000"/>
                <w:szCs w:val="24"/>
              </w:rPr>
            </w:pPr>
            <w:r w:rsidRPr="00B13728">
              <w:rPr>
                <w:color w:val="000000"/>
                <w:szCs w:val="24"/>
              </w:rPr>
              <w:t>Jan 2021 – June 2021</w:t>
            </w:r>
          </w:p>
        </w:tc>
        <w:tc>
          <w:tcPr>
            <w:tcW w:w="2389" w:type="dxa"/>
            <w:tcBorders>
              <w:top w:val="nil"/>
              <w:left w:val="nil"/>
              <w:bottom w:val="single" w:sz="8" w:space="0" w:color="auto"/>
              <w:right w:val="single" w:sz="8" w:space="0" w:color="auto"/>
            </w:tcBorders>
            <w:shd w:val="clear" w:color="auto" w:fill="auto"/>
            <w:vAlign w:val="center"/>
            <w:hideMark/>
          </w:tcPr>
          <w:p w14:paraId="0FCDCDE1" w14:textId="77777777" w:rsidR="00B13728" w:rsidRPr="00B13728" w:rsidRDefault="00B13728" w:rsidP="00B13728">
            <w:pPr>
              <w:jc w:val="center"/>
              <w:rPr>
                <w:color w:val="000000"/>
                <w:szCs w:val="24"/>
              </w:rPr>
            </w:pPr>
            <w:r w:rsidRPr="00B13728">
              <w:rPr>
                <w:color w:val="000000"/>
                <w:szCs w:val="24"/>
              </w:rPr>
              <w:t>1-Dec-21</w:t>
            </w:r>
          </w:p>
        </w:tc>
        <w:tc>
          <w:tcPr>
            <w:tcW w:w="2149" w:type="dxa"/>
            <w:tcBorders>
              <w:top w:val="nil"/>
              <w:left w:val="nil"/>
              <w:bottom w:val="single" w:sz="8" w:space="0" w:color="auto"/>
              <w:right w:val="single" w:sz="8" w:space="0" w:color="auto"/>
            </w:tcBorders>
            <w:shd w:val="clear" w:color="auto" w:fill="auto"/>
            <w:vAlign w:val="center"/>
            <w:hideMark/>
          </w:tcPr>
          <w:p w14:paraId="655FFCDD" w14:textId="77777777" w:rsidR="00B13728" w:rsidRPr="00B13728" w:rsidRDefault="00B13728" w:rsidP="00B13728">
            <w:pPr>
              <w:jc w:val="center"/>
              <w:rPr>
                <w:color w:val="000000"/>
                <w:szCs w:val="24"/>
              </w:rPr>
            </w:pPr>
            <w:r w:rsidRPr="00B13728">
              <w:rPr>
                <w:color w:val="000000"/>
                <w:szCs w:val="24"/>
              </w:rPr>
              <w:t>16-Dec-21</w:t>
            </w:r>
          </w:p>
        </w:tc>
        <w:tc>
          <w:tcPr>
            <w:tcW w:w="91" w:type="dxa"/>
            <w:vAlign w:val="center"/>
            <w:hideMark/>
          </w:tcPr>
          <w:p w14:paraId="2E74991B" w14:textId="77777777" w:rsidR="00B13728" w:rsidRPr="00B13728" w:rsidRDefault="00B13728" w:rsidP="00B13728">
            <w:pPr>
              <w:rPr>
                <w:sz w:val="20"/>
              </w:rPr>
            </w:pPr>
          </w:p>
        </w:tc>
      </w:tr>
      <w:tr w:rsidR="00B13728" w:rsidRPr="00B13728" w14:paraId="676A067F"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25BFBB63" w14:textId="77777777" w:rsidR="00B13728" w:rsidRPr="00B13728" w:rsidRDefault="00B13728" w:rsidP="00B13728">
            <w:pPr>
              <w:jc w:val="center"/>
              <w:rPr>
                <w:color w:val="000000"/>
                <w:szCs w:val="24"/>
              </w:rPr>
            </w:pPr>
            <w:r w:rsidRPr="00B13728">
              <w:rPr>
                <w:color w:val="000000"/>
                <w:szCs w:val="24"/>
              </w:rPr>
              <w:t>26</w:t>
            </w:r>
          </w:p>
        </w:tc>
        <w:tc>
          <w:tcPr>
            <w:tcW w:w="2004" w:type="dxa"/>
            <w:tcBorders>
              <w:top w:val="nil"/>
              <w:left w:val="nil"/>
              <w:bottom w:val="single" w:sz="8" w:space="0" w:color="auto"/>
              <w:right w:val="single" w:sz="8" w:space="0" w:color="auto"/>
            </w:tcBorders>
            <w:shd w:val="clear" w:color="auto" w:fill="auto"/>
            <w:vAlign w:val="center"/>
            <w:hideMark/>
          </w:tcPr>
          <w:p w14:paraId="47848900" w14:textId="77777777" w:rsidR="00B13728" w:rsidRPr="00B13728" w:rsidRDefault="00B13728" w:rsidP="00B13728">
            <w:pPr>
              <w:jc w:val="center"/>
              <w:rPr>
                <w:color w:val="000000"/>
                <w:szCs w:val="24"/>
              </w:rPr>
            </w:pPr>
            <w:r w:rsidRPr="00B13728">
              <w:rPr>
                <w:color w:val="000000"/>
                <w:szCs w:val="24"/>
              </w:rPr>
              <w:t>July 2021 – Dec 2021</w:t>
            </w:r>
          </w:p>
        </w:tc>
        <w:tc>
          <w:tcPr>
            <w:tcW w:w="2389" w:type="dxa"/>
            <w:tcBorders>
              <w:top w:val="nil"/>
              <w:left w:val="nil"/>
              <w:bottom w:val="single" w:sz="8" w:space="0" w:color="auto"/>
              <w:right w:val="single" w:sz="8" w:space="0" w:color="auto"/>
            </w:tcBorders>
            <w:shd w:val="clear" w:color="auto" w:fill="auto"/>
            <w:vAlign w:val="center"/>
            <w:hideMark/>
          </w:tcPr>
          <w:p w14:paraId="42889C24" w14:textId="77777777" w:rsidR="00B13728" w:rsidRPr="00B13728" w:rsidRDefault="00B13728" w:rsidP="00B13728">
            <w:pPr>
              <w:jc w:val="center"/>
              <w:rPr>
                <w:color w:val="000000"/>
                <w:szCs w:val="24"/>
              </w:rPr>
            </w:pPr>
            <w:r w:rsidRPr="00B13728">
              <w:rPr>
                <w:color w:val="000000"/>
                <w:szCs w:val="24"/>
              </w:rPr>
              <w:t>17-Jun-21</w:t>
            </w:r>
          </w:p>
        </w:tc>
        <w:tc>
          <w:tcPr>
            <w:tcW w:w="2149" w:type="dxa"/>
            <w:tcBorders>
              <w:top w:val="nil"/>
              <w:left w:val="nil"/>
              <w:bottom w:val="single" w:sz="8" w:space="0" w:color="auto"/>
              <w:right w:val="single" w:sz="8" w:space="0" w:color="auto"/>
            </w:tcBorders>
            <w:shd w:val="clear" w:color="auto" w:fill="auto"/>
            <w:vAlign w:val="center"/>
            <w:hideMark/>
          </w:tcPr>
          <w:p w14:paraId="0DDAF470" w14:textId="77777777" w:rsidR="00B13728" w:rsidRPr="00B13728" w:rsidRDefault="00B13728" w:rsidP="00B13728">
            <w:pPr>
              <w:jc w:val="center"/>
              <w:rPr>
                <w:color w:val="000000"/>
                <w:szCs w:val="24"/>
              </w:rPr>
            </w:pPr>
            <w:r w:rsidRPr="00B13728">
              <w:rPr>
                <w:color w:val="000000"/>
                <w:szCs w:val="24"/>
              </w:rPr>
              <w:t>12-Jul-22</w:t>
            </w:r>
          </w:p>
        </w:tc>
        <w:tc>
          <w:tcPr>
            <w:tcW w:w="91" w:type="dxa"/>
            <w:vAlign w:val="center"/>
            <w:hideMark/>
          </w:tcPr>
          <w:p w14:paraId="23E01A9F" w14:textId="77777777" w:rsidR="00B13728" w:rsidRPr="00B13728" w:rsidRDefault="00B13728" w:rsidP="00B13728">
            <w:pPr>
              <w:rPr>
                <w:sz w:val="20"/>
              </w:rPr>
            </w:pPr>
          </w:p>
        </w:tc>
      </w:tr>
      <w:tr w:rsidR="00B13728" w:rsidRPr="00B13728" w14:paraId="11B7CA8B" w14:textId="77777777" w:rsidTr="00B13728">
        <w:trPr>
          <w:trHeight w:val="636"/>
          <w:jc w:val="center"/>
        </w:trPr>
        <w:tc>
          <w:tcPr>
            <w:tcW w:w="1387" w:type="dxa"/>
            <w:tcBorders>
              <w:top w:val="nil"/>
              <w:left w:val="single" w:sz="8" w:space="0" w:color="auto"/>
              <w:bottom w:val="single" w:sz="8" w:space="0" w:color="auto"/>
              <w:right w:val="single" w:sz="8" w:space="0" w:color="auto"/>
            </w:tcBorders>
            <w:shd w:val="clear" w:color="auto" w:fill="auto"/>
            <w:vAlign w:val="center"/>
            <w:hideMark/>
          </w:tcPr>
          <w:p w14:paraId="698833F0" w14:textId="77777777" w:rsidR="00B13728" w:rsidRPr="00B13728" w:rsidRDefault="00B13728" w:rsidP="00B13728">
            <w:pPr>
              <w:jc w:val="center"/>
              <w:rPr>
                <w:color w:val="000000"/>
                <w:szCs w:val="24"/>
              </w:rPr>
            </w:pPr>
            <w:r w:rsidRPr="00B13728">
              <w:rPr>
                <w:color w:val="000000"/>
                <w:szCs w:val="24"/>
              </w:rPr>
              <w:t>27</w:t>
            </w:r>
          </w:p>
        </w:tc>
        <w:tc>
          <w:tcPr>
            <w:tcW w:w="2004" w:type="dxa"/>
            <w:tcBorders>
              <w:top w:val="nil"/>
              <w:left w:val="nil"/>
              <w:bottom w:val="single" w:sz="8" w:space="0" w:color="auto"/>
              <w:right w:val="single" w:sz="8" w:space="0" w:color="auto"/>
            </w:tcBorders>
            <w:shd w:val="clear" w:color="auto" w:fill="auto"/>
            <w:vAlign w:val="center"/>
            <w:hideMark/>
          </w:tcPr>
          <w:p w14:paraId="293D7D6B" w14:textId="77777777" w:rsidR="00B13728" w:rsidRPr="00B13728" w:rsidRDefault="00B13728" w:rsidP="00B13728">
            <w:pPr>
              <w:jc w:val="center"/>
              <w:rPr>
                <w:color w:val="000000"/>
                <w:szCs w:val="24"/>
              </w:rPr>
            </w:pPr>
            <w:r w:rsidRPr="00B13728">
              <w:rPr>
                <w:color w:val="000000"/>
                <w:szCs w:val="24"/>
              </w:rPr>
              <w:t>Jan 2022 – June 2022</w:t>
            </w:r>
          </w:p>
        </w:tc>
        <w:tc>
          <w:tcPr>
            <w:tcW w:w="2389" w:type="dxa"/>
            <w:tcBorders>
              <w:top w:val="nil"/>
              <w:left w:val="nil"/>
              <w:bottom w:val="single" w:sz="8" w:space="0" w:color="auto"/>
              <w:right w:val="single" w:sz="8" w:space="0" w:color="auto"/>
            </w:tcBorders>
            <w:shd w:val="clear" w:color="auto" w:fill="auto"/>
            <w:vAlign w:val="center"/>
            <w:hideMark/>
          </w:tcPr>
          <w:p w14:paraId="370135AF" w14:textId="77777777" w:rsidR="00B13728" w:rsidRPr="00B13728" w:rsidRDefault="00B13728" w:rsidP="00B13728">
            <w:pPr>
              <w:jc w:val="center"/>
              <w:rPr>
                <w:color w:val="000000"/>
                <w:szCs w:val="24"/>
              </w:rPr>
            </w:pPr>
            <w:r w:rsidRPr="00B13728">
              <w:rPr>
                <w:color w:val="000000"/>
                <w:szCs w:val="24"/>
              </w:rPr>
              <w:t>see note 3</w:t>
            </w:r>
          </w:p>
        </w:tc>
        <w:tc>
          <w:tcPr>
            <w:tcW w:w="2149" w:type="dxa"/>
            <w:tcBorders>
              <w:top w:val="nil"/>
              <w:left w:val="nil"/>
              <w:bottom w:val="single" w:sz="8" w:space="0" w:color="auto"/>
              <w:right w:val="single" w:sz="8" w:space="0" w:color="auto"/>
            </w:tcBorders>
            <w:shd w:val="clear" w:color="auto" w:fill="auto"/>
            <w:vAlign w:val="center"/>
            <w:hideMark/>
          </w:tcPr>
          <w:p w14:paraId="44753CD0" w14:textId="77777777" w:rsidR="00B13728" w:rsidRPr="00B13728" w:rsidRDefault="00B13728" w:rsidP="00B13728">
            <w:pPr>
              <w:jc w:val="center"/>
              <w:rPr>
                <w:color w:val="000000"/>
                <w:szCs w:val="24"/>
              </w:rPr>
            </w:pPr>
            <w:r w:rsidRPr="00B13728">
              <w:rPr>
                <w:color w:val="000000"/>
                <w:szCs w:val="24"/>
              </w:rPr>
              <w:t>see note 3</w:t>
            </w:r>
          </w:p>
        </w:tc>
        <w:tc>
          <w:tcPr>
            <w:tcW w:w="91" w:type="dxa"/>
            <w:vAlign w:val="center"/>
            <w:hideMark/>
          </w:tcPr>
          <w:p w14:paraId="60AAC0EA" w14:textId="77777777" w:rsidR="00B13728" w:rsidRPr="00B13728" w:rsidRDefault="00B13728" w:rsidP="00B13728">
            <w:pPr>
              <w:rPr>
                <w:sz w:val="20"/>
              </w:rPr>
            </w:pPr>
          </w:p>
        </w:tc>
      </w:tr>
      <w:tr w:rsidR="00B13728" w:rsidRPr="00B13728" w14:paraId="1C309F9C" w14:textId="77777777" w:rsidTr="00B13728">
        <w:trPr>
          <w:trHeight w:val="324"/>
          <w:jc w:val="center"/>
        </w:trPr>
        <w:tc>
          <w:tcPr>
            <w:tcW w:w="792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2E201CC" w14:textId="77777777" w:rsidR="00B13728" w:rsidRPr="00B13728" w:rsidRDefault="00B13728" w:rsidP="00B13728">
            <w:pPr>
              <w:jc w:val="center"/>
              <w:rPr>
                <w:b/>
                <w:bCs/>
                <w:color w:val="000000"/>
                <w:szCs w:val="24"/>
              </w:rPr>
            </w:pPr>
            <w:r w:rsidRPr="00B13728">
              <w:rPr>
                <w:b/>
                <w:bCs/>
                <w:color w:val="000000"/>
                <w:szCs w:val="24"/>
              </w:rPr>
              <w:t>Notes to Table ES-2</w:t>
            </w:r>
          </w:p>
        </w:tc>
        <w:tc>
          <w:tcPr>
            <w:tcW w:w="91" w:type="dxa"/>
            <w:vAlign w:val="center"/>
            <w:hideMark/>
          </w:tcPr>
          <w:p w14:paraId="436BDE01" w14:textId="77777777" w:rsidR="00B13728" w:rsidRPr="00B13728" w:rsidRDefault="00B13728" w:rsidP="00B13728">
            <w:pPr>
              <w:rPr>
                <w:sz w:val="20"/>
              </w:rPr>
            </w:pPr>
          </w:p>
        </w:tc>
      </w:tr>
      <w:tr w:rsidR="00B13728" w:rsidRPr="00B13728" w14:paraId="2F9988C6" w14:textId="77777777" w:rsidTr="00B13728">
        <w:trPr>
          <w:trHeight w:val="2604"/>
          <w:jc w:val="center"/>
        </w:trPr>
        <w:tc>
          <w:tcPr>
            <w:tcW w:w="792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67F5F2" w14:textId="20EA4DBA" w:rsidR="00B13728" w:rsidRPr="00B13728" w:rsidRDefault="00B13728" w:rsidP="00B13728">
            <w:pPr>
              <w:jc w:val="both"/>
              <w:rPr>
                <w:color w:val="000000"/>
                <w:szCs w:val="24"/>
              </w:rPr>
            </w:pPr>
            <w:r w:rsidRPr="00B13728">
              <w:rPr>
                <w:color w:val="000000"/>
                <w:szCs w:val="24"/>
              </w:rPr>
              <w:t xml:space="preserve">1. Prior to the VCM 19 written testimony, VMG reviewed the </w:t>
            </w:r>
            <w:r w:rsidR="0098418B">
              <w:rPr>
                <w:color w:val="000000"/>
                <w:szCs w:val="24"/>
              </w:rPr>
              <w:t>P</w:t>
            </w:r>
            <w:r w:rsidRPr="00B13728">
              <w:rPr>
                <w:color w:val="000000"/>
                <w:szCs w:val="24"/>
              </w:rPr>
              <w:t>roject</w:t>
            </w:r>
            <w:r w:rsidR="0098418B">
              <w:rPr>
                <w:color w:val="000000"/>
                <w:szCs w:val="24"/>
              </w:rPr>
              <w:t>,</w:t>
            </w:r>
            <w:r w:rsidR="00857C05">
              <w:rPr>
                <w:color w:val="000000"/>
                <w:szCs w:val="24"/>
              </w:rPr>
              <w:t xml:space="preserve"> </w:t>
            </w:r>
            <w:r w:rsidRPr="00B13728">
              <w:rPr>
                <w:color w:val="000000"/>
                <w:szCs w:val="24"/>
              </w:rPr>
              <w:t>and based on its prior reviews of AP 1000 dual unit projects</w:t>
            </w:r>
            <w:r w:rsidR="0098418B">
              <w:rPr>
                <w:color w:val="000000"/>
                <w:szCs w:val="24"/>
              </w:rPr>
              <w:t>,</w:t>
            </w:r>
            <w:r w:rsidRPr="00B13728">
              <w:rPr>
                <w:color w:val="000000"/>
                <w:szCs w:val="24"/>
              </w:rPr>
              <w:t xml:space="preserve"> quickly concluded in the June 2018 timeframe that the $ 17.1 B appeared to represent a reasonable/ achievable TPC forecast at completion</w:t>
            </w:r>
            <w:r w:rsidR="0098418B">
              <w:rPr>
                <w:color w:val="000000"/>
                <w:szCs w:val="24"/>
              </w:rPr>
              <w:t>.</w:t>
            </w:r>
            <w:r w:rsidRPr="00B13728">
              <w:rPr>
                <w:color w:val="000000"/>
                <w:szCs w:val="24"/>
              </w:rPr>
              <w:t xml:space="preserve"> </w:t>
            </w:r>
            <w:r w:rsidR="0098418B">
              <w:rPr>
                <w:color w:val="000000"/>
                <w:szCs w:val="24"/>
              </w:rPr>
              <w:t>However, t</w:t>
            </w:r>
            <w:r w:rsidRPr="00B13728">
              <w:rPr>
                <w:color w:val="000000"/>
                <w:szCs w:val="24"/>
              </w:rPr>
              <w:t>he schedule for the CODs would more likely stretch out</w:t>
            </w:r>
            <w:r w:rsidR="0098418B">
              <w:rPr>
                <w:color w:val="000000"/>
                <w:szCs w:val="24"/>
              </w:rPr>
              <w:t>,</w:t>
            </w:r>
            <w:r w:rsidRPr="00B13728">
              <w:rPr>
                <w:color w:val="000000"/>
                <w:szCs w:val="24"/>
              </w:rPr>
              <w:t xml:space="preserve"> which if they included some schedule contingency</w:t>
            </w:r>
            <w:r w:rsidR="0098418B">
              <w:rPr>
                <w:color w:val="000000"/>
                <w:szCs w:val="24"/>
              </w:rPr>
              <w:t>,</w:t>
            </w:r>
            <w:r w:rsidRPr="00B13728">
              <w:rPr>
                <w:color w:val="000000"/>
                <w:szCs w:val="24"/>
              </w:rPr>
              <w:t xml:space="preserve"> would have been roughly March 2023 for U-3 </w:t>
            </w:r>
            <w:r w:rsidR="004C2FFF">
              <w:rPr>
                <w:color w:val="000000"/>
                <w:szCs w:val="24"/>
              </w:rPr>
              <w:t>and March 2024 for</w:t>
            </w:r>
            <w:r w:rsidRPr="00B13728">
              <w:rPr>
                <w:color w:val="000000"/>
                <w:szCs w:val="24"/>
              </w:rPr>
              <w:t xml:space="preserve"> U-4</w:t>
            </w:r>
            <w:r w:rsidR="0098418B">
              <w:rPr>
                <w:color w:val="000000"/>
                <w:szCs w:val="24"/>
              </w:rPr>
              <w:t>.</w:t>
            </w:r>
            <w:r w:rsidRPr="00B13728">
              <w:rPr>
                <w:color w:val="000000"/>
                <w:szCs w:val="24"/>
              </w:rPr>
              <w:t xml:space="preserve">  For the analysis and referenced documents which led to this conclusion, refer to Section 1 of this report.  </w:t>
            </w:r>
          </w:p>
        </w:tc>
        <w:tc>
          <w:tcPr>
            <w:tcW w:w="91" w:type="dxa"/>
            <w:vAlign w:val="center"/>
            <w:hideMark/>
          </w:tcPr>
          <w:p w14:paraId="7F530952" w14:textId="77777777" w:rsidR="00B13728" w:rsidRPr="00B13728" w:rsidRDefault="00B13728" w:rsidP="00B13728">
            <w:pPr>
              <w:rPr>
                <w:sz w:val="20"/>
              </w:rPr>
            </w:pPr>
          </w:p>
        </w:tc>
      </w:tr>
      <w:tr w:rsidR="00B13728" w:rsidRPr="00B13728" w14:paraId="6D7F75BB" w14:textId="77777777" w:rsidTr="00B13728">
        <w:trPr>
          <w:trHeight w:val="1344"/>
          <w:jc w:val="center"/>
        </w:trPr>
        <w:tc>
          <w:tcPr>
            <w:tcW w:w="792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020E2AE" w14:textId="57B490CE" w:rsidR="00B13728" w:rsidRPr="00B13728" w:rsidRDefault="00B13728" w:rsidP="00B13728">
            <w:pPr>
              <w:jc w:val="both"/>
              <w:rPr>
                <w:color w:val="000000"/>
                <w:szCs w:val="24"/>
              </w:rPr>
            </w:pPr>
            <w:r w:rsidRPr="00B13728">
              <w:rPr>
                <w:color w:val="000000"/>
                <w:szCs w:val="24"/>
              </w:rPr>
              <w:t xml:space="preserve">2. Although the period of performance dates associated with each VCM are roughly 5 to 6 months prior to the written testimony and hearing dates, the testimonies and hearings included significant updates of </w:t>
            </w:r>
            <w:r w:rsidR="0098418B">
              <w:rPr>
                <w:color w:val="000000"/>
                <w:szCs w:val="24"/>
              </w:rPr>
              <w:t>P</w:t>
            </w:r>
            <w:r w:rsidRPr="00B13728">
              <w:rPr>
                <w:color w:val="000000"/>
                <w:szCs w:val="24"/>
              </w:rPr>
              <w:t xml:space="preserve">roject progress that incurred in this latter 5-to-6-month </w:t>
            </w:r>
            <w:r w:rsidR="00D5569C" w:rsidRPr="00B13728">
              <w:rPr>
                <w:color w:val="000000"/>
                <w:szCs w:val="24"/>
              </w:rPr>
              <w:t>period</w:t>
            </w:r>
            <w:r w:rsidRPr="00B13728">
              <w:rPr>
                <w:color w:val="000000"/>
                <w:szCs w:val="24"/>
              </w:rPr>
              <w:t>.</w:t>
            </w:r>
          </w:p>
        </w:tc>
        <w:tc>
          <w:tcPr>
            <w:tcW w:w="91" w:type="dxa"/>
            <w:vAlign w:val="center"/>
            <w:hideMark/>
          </w:tcPr>
          <w:p w14:paraId="78A50360" w14:textId="77777777" w:rsidR="00B13728" w:rsidRPr="00B13728" w:rsidRDefault="00B13728" w:rsidP="00B13728">
            <w:pPr>
              <w:rPr>
                <w:sz w:val="20"/>
              </w:rPr>
            </w:pPr>
          </w:p>
        </w:tc>
      </w:tr>
      <w:tr w:rsidR="00B13728" w:rsidRPr="00B13728" w14:paraId="4E855BFE" w14:textId="77777777" w:rsidTr="00B13728">
        <w:trPr>
          <w:trHeight w:val="1044"/>
          <w:jc w:val="center"/>
        </w:trPr>
        <w:tc>
          <w:tcPr>
            <w:tcW w:w="792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DD46A83" w14:textId="77777777" w:rsidR="00B13728" w:rsidRPr="00B13728" w:rsidRDefault="00B13728" w:rsidP="00B13728">
            <w:pPr>
              <w:jc w:val="both"/>
              <w:rPr>
                <w:color w:val="000000"/>
                <w:szCs w:val="24"/>
              </w:rPr>
            </w:pPr>
            <w:r w:rsidRPr="00B13728">
              <w:rPr>
                <w:color w:val="000000"/>
                <w:szCs w:val="24"/>
              </w:rPr>
              <w:t>3.  Separate VMG testimony was not provided and VMG did not appear at a hearing.  Rather, VMG input was provided to PIA Staff.  The same was true for VCM 28.</w:t>
            </w:r>
          </w:p>
        </w:tc>
        <w:tc>
          <w:tcPr>
            <w:tcW w:w="91" w:type="dxa"/>
            <w:vAlign w:val="center"/>
            <w:hideMark/>
          </w:tcPr>
          <w:p w14:paraId="69070CDD" w14:textId="77777777" w:rsidR="00B13728" w:rsidRPr="00B13728" w:rsidRDefault="00B13728" w:rsidP="00B13728">
            <w:pPr>
              <w:rPr>
                <w:sz w:val="20"/>
              </w:rPr>
            </w:pPr>
          </w:p>
        </w:tc>
      </w:tr>
    </w:tbl>
    <w:p w14:paraId="7499D7F6" w14:textId="77777777" w:rsidR="00B13728" w:rsidRDefault="00B13728" w:rsidP="00607F10">
      <w:pPr>
        <w:rPr>
          <w:b/>
          <w:szCs w:val="24"/>
          <w:highlight w:val="yellow"/>
        </w:rPr>
      </w:pPr>
    </w:p>
    <w:p w14:paraId="77834DBD" w14:textId="77777777" w:rsidR="0095742D" w:rsidRPr="00E03772" w:rsidRDefault="0095742D" w:rsidP="0095742D">
      <w:pPr>
        <w:pStyle w:val="ListParagraph"/>
        <w:numPr>
          <w:ilvl w:val="0"/>
          <w:numId w:val="32"/>
        </w:numPr>
        <w:tabs>
          <w:tab w:val="left" w:pos="2960"/>
        </w:tabs>
        <w:contextualSpacing/>
        <w:jc w:val="both"/>
        <w:rPr>
          <w:b/>
          <w:bCs/>
        </w:rPr>
      </w:pPr>
      <w:r w:rsidRPr="00E03772">
        <w:rPr>
          <w:b/>
          <w:bCs/>
        </w:rPr>
        <w:t xml:space="preserve">Current Project Status and the Proposed Stipulation:  </w:t>
      </w:r>
    </w:p>
    <w:p w14:paraId="034A3D08" w14:textId="77777777" w:rsidR="0095742D" w:rsidRDefault="0095742D" w:rsidP="0095742D">
      <w:pPr>
        <w:tabs>
          <w:tab w:val="left" w:pos="2960"/>
        </w:tabs>
        <w:jc w:val="both"/>
        <w:rPr>
          <w:b/>
          <w:bCs/>
        </w:rPr>
      </w:pPr>
    </w:p>
    <w:p w14:paraId="521408A3" w14:textId="77777777" w:rsidR="0095742D" w:rsidRDefault="0095742D" w:rsidP="0095742D">
      <w:pPr>
        <w:tabs>
          <w:tab w:val="left" w:pos="2960"/>
        </w:tabs>
        <w:jc w:val="both"/>
      </w:pPr>
      <w:r>
        <w:t>The U-3 COD occurred on July 31, 2023, and the Risk Adjusted Schedule Date for U-4 achieving COD is now March 2024.  With the start of U-4 Fuel Load having occurred in August 2023, the Company and Staff have achieved a negotiated stipulated agreement to which several of the intervenor groups have also agreed to accept.  VMG comments regarding the Stipulation are provided as follows.</w:t>
      </w:r>
    </w:p>
    <w:p w14:paraId="659C3FEA" w14:textId="77777777" w:rsidR="0095742D" w:rsidRDefault="0095742D" w:rsidP="0095742D">
      <w:pPr>
        <w:tabs>
          <w:tab w:val="left" w:pos="2960"/>
        </w:tabs>
        <w:jc w:val="both"/>
      </w:pPr>
    </w:p>
    <w:p w14:paraId="364CD7AA" w14:textId="77777777" w:rsidR="0095742D" w:rsidRPr="0091377C" w:rsidRDefault="0095742D" w:rsidP="0095742D">
      <w:pPr>
        <w:pStyle w:val="ListParagraph"/>
        <w:numPr>
          <w:ilvl w:val="0"/>
          <w:numId w:val="33"/>
        </w:numPr>
        <w:tabs>
          <w:tab w:val="left" w:pos="2960"/>
        </w:tabs>
        <w:contextualSpacing/>
        <w:jc w:val="both"/>
      </w:pPr>
      <w:r w:rsidRPr="0091377C">
        <w:rPr>
          <w:u w:val="single"/>
        </w:rPr>
        <w:t xml:space="preserve">Capital Construction Cost to be Included in the </w:t>
      </w:r>
      <w:r>
        <w:rPr>
          <w:u w:val="single"/>
        </w:rPr>
        <w:t>Company’s</w:t>
      </w:r>
      <w:r w:rsidRPr="0091377C">
        <w:rPr>
          <w:u w:val="single"/>
        </w:rPr>
        <w:t xml:space="preserve"> Rate Base</w:t>
      </w:r>
      <w:r w:rsidRPr="0091377C">
        <w:t xml:space="preserve">:  Paragraph 1 of the Stipulation states that the parties agree that $ 7.562 </w:t>
      </w:r>
      <w:r>
        <w:t>billion</w:t>
      </w:r>
      <w:r w:rsidRPr="0091377C">
        <w:t xml:space="preserve"> is a reasonable and prudent</w:t>
      </w:r>
      <w:r>
        <w:t xml:space="preserve"> total GPC capital </w:t>
      </w:r>
      <w:r w:rsidRPr="0091377C">
        <w:t>construction cost to be included in rate base.  It</w:t>
      </w:r>
      <w:r>
        <w:t xml:space="preserve"> </w:t>
      </w:r>
      <w:r w:rsidRPr="0091377C">
        <w:t>also includes many provisions related to financing costs.</w:t>
      </w:r>
    </w:p>
    <w:p w14:paraId="3CFA5E90" w14:textId="77777777" w:rsidR="0095742D" w:rsidRDefault="0095742D" w:rsidP="0095742D">
      <w:pPr>
        <w:tabs>
          <w:tab w:val="left" w:pos="2960"/>
        </w:tabs>
        <w:jc w:val="both"/>
      </w:pPr>
    </w:p>
    <w:p w14:paraId="6C0A90ED" w14:textId="77777777" w:rsidR="0095742D" w:rsidRPr="0091377C" w:rsidRDefault="0095742D" w:rsidP="0095742D">
      <w:pPr>
        <w:tabs>
          <w:tab w:val="left" w:pos="2960"/>
        </w:tabs>
        <w:ind w:left="360"/>
        <w:jc w:val="both"/>
      </w:pPr>
      <w:r w:rsidRPr="0091377C">
        <w:rPr>
          <w:u w:val="single"/>
        </w:rPr>
        <w:t xml:space="preserve">VMG Observations of Reasonable </w:t>
      </w:r>
      <w:r>
        <w:rPr>
          <w:u w:val="single"/>
        </w:rPr>
        <w:t xml:space="preserve">and Prudent Company </w:t>
      </w:r>
      <w:r w:rsidRPr="0091377C">
        <w:rPr>
          <w:u w:val="single"/>
        </w:rPr>
        <w:t>Capital Construction Cost:</w:t>
      </w:r>
      <w:r w:rsidRPr="0091377C">
        <w:t xml:space="preserve">  </w:t>
      </w:r>
      <w:r>
        <w:t xml:space="preserve">Project costs can only be placed into rate base if those costs are found by the Commission to be reasonable and prudent.  Both standards must be met.  </w:t>
      </w:r>
    </w:p>
    <w:p w14:paraId="6C66D366" w14:textId="77777777" w:rsidR="0095742D" w:rsidRDefault="0095742D" w:rsidP="0095742D">
      <w:pPr>
        <w:tabs>
          <w:tab w:val="left" w:pos="2960"/>
        </w:tabs>
        <w:ind w:left="360"/>
        <w:jc w:val="both"/>
      </w:pPr>
    </w:p>
    <w:p w14:paraId="3FC8E146" w14:textId="7784CE92" w:rsidR="0095742D" w:rsidRPr="00EA51DC" w:rsidRDefault="0095742D" w:rsidP="0095742D">
      <w:pPr>
        <w:tabs>
          <w:tab w:val="left" w:pos="2960"/>
        </w:tabs>
        <w:ind w:left="720"/>
        <w:jc w:val="both"/>
      </w:pPr>
      <w:r w:rsidRPr="00EA51DC">
        <w:rPr>
          <w:u w:val="single"/>
        </w:rPr>
        <w:t>Reasonableness of Final Capital Construction Cost:</w:t>
      </w:r>
      <w:r w:rsidRPr="00EA51DC">
        <w:t xml:space="preserve">  For reasons as are provided in the report that follows, there are many actions or inactions of SNC’s Project planning, execution, monitoring</w:t>
      </w:r>
      <w:r>
        <w:t>,</w:t>
      </w:r>
      <w:r w:rsidRPr="00EA51DC">
        <w:t xml:space="preserve"> and reporting that VMG would not deem prudent.  However, and </w:t>
      </w:r>
      <w:r w:rsidRPr="00EA51DC">
        <w:rPr>
          <w:i/>
          <w:iCs/>
        </w:rPr>
        <w:t xml:space="preserve">based on prior experience with AP 1000 Dual Unit Projects, VMG did provide a high-level review of the $ 17.1 </w:t>
      </w:r>
      <w:r>
        <w:rPr>
          <w:i/>
          <w:iCs/>
        </w:rPr>
        <w:t xml:space="preserve">billion </w:t>
      </w:r>
      <w:r w:rsidRPr="00EA51DC">
        <w:rPr>
          <w:i/>
          <w:iCs/>
        </w:rPr>
        <w:t>TPC figure</w:t>
      </w:r>
      <w:r w:rsidR="00357668">
        <w:rPr>
          <w:i/>
          <w:iCs/>
        </w:rPr>
        <w:t>.  Based on that review VMG concluded that (a) the risks at the point of the Commission VCM Order 17 were very difficult if not impossible to accurately quantify, but (b) $ 17.1 billion represented a roughly 50% increase in the TPC from when it was being executed as a WEC managed EPC contract, therefore (c) $ 17.1 represented a sufficient initial “should cost estimate” for purposes of deciding whether or not to proceed with the project</w:t>
      </w:r>
      <w:r w:rsidR="00150619">
        <w:rPr>
          <w:i/>
          <w:iCs/>
        </w:rPr>
        <w:t xml:space="preserve"> and within this context would also consider it to be “reasonable.”</w:t>
      </w:r>
      <w:r w:rsidR="00357668">
        <w:rPr>
          <w:i/>
          <w:iCs/>
        </w:rPr>
        <w:t xml:space="preserve">.  </w:t>
      </w:r>
      <w:r w:rsidRPr="00EA51DC">
        <w:t xml:space="preserve"> </w:t>
      </w:r>
      <w:r w:rsidR="008A08C0">
        <w:t>And, more importantly</w:t>
      </w:r>
      <w:r>
        <w:t xml:space="preserve">, the </w:t>
      </w:r>
      <w:r w:rsidR="008579F7">
        <w:t xml:space="preserve">corresponding </w:t>
      </w:r>
      <w:r>
        <w:t>GPC Capital Construction Cost of $ 7.3 billion was the basis upon which the Commission approved proceeding with the Project.  Finally</w:t>
      </w:r>
      <w:r w:rsidRPr="00EA51DC">
        <w:t xml:space="preserve">, given that the now negotiated figure of $ 7.562 </w:t>
      </w:r>
      <w:r>
        <w:t>billion</w:t>
      </w:r>
      <w:r w:rsidRPr="00EA51DC">
        <w:t xml:space="preserve"> is largely reflective of the previously established $ 7.3 </w:t>
      </w:r>
      <w:r>
        <w:t>billion</w:t>
      </w:r>
      <w:r w:rsidRPr="00EA51DC">
        <w:t xml:space="preserve"> (with the major portion of the increase attributed to COVID), in applying this standard, VMG would agree that $ 7.562 is </w:t>
      </w:r>
      <w:r>
        <w:t>reaso</w:t>
      </w:r>
      <w:r w:rsidRPr="00EA51DC">
        <w:t>nable.</w:t>
      </w:r>
      <w:r>
        <w:rPr>
          <w:rStyle w:val="FootnoteReference"/>
        </w:rPr>
        <w:footnoteReference w:id="3"/>
      </w:r>
      <w:r w:rsidRPr="00EA51DC">
        <w:t xml:space="preserve"> </w:t>
      </w:r>
    </w:p>
    <w:p w14:paraId="1876FF97" w14:textId="77777777" w:rsidR="0095742D" w:rsidRPr="00C551D8" w:rsidRDefault="0095742D" w:rsidP="0095742D">
      <w:pPr>
        <w:pStyle w:val="ListParagraph"/>
        <w:tabs>
          <w:tab w:val="left" w:pos="2960"/>
        </w:tabs>
        <w:ind w:left="1080"/>
        <w:jc w:val="both"/>
      </w:pPr>
    </w:p>
    <w:p w14:paraId="2838106F" w14:textId="027F3734" w:rsidR="0095742D" w:rsidRPr="00EA51DC" w:rsidRDefault="0095742D" w:rsidP="0095742D">
      <w:pPr>
        <w:tabs>
          <w:tab w:val="left" w:pos="2960"/>
        </w:tabs>
        <w:ind w:left="720"/>
        <w:jc w:val="both"/>
      </w:pPr>
      <w:r w:rsidRPr="00EA51DC">
        <w:rPr>
          <w:u w:val="single"/>
        </w:rPr>
        <w:t>Final Capital Construction Cost vis a vis Competitive Alternatives</w:t>
      </w:r>
      <w:r w:rsidRPr="00EA51DC">
        <w:t xml:space="preserve">:  As is discussed in further detail in Section 1 of this report, an equivalent Combined Cycle Gas Turbine </w:t>
      </w:r>
      <w:r w:rsidR="00111309">
        <w:t>(</w:t>
      </w:r>
      <w:proofErr w:type="spellStart"/>
      <w:r w:rsidR="00111309">
        <w:t>CCGT</w:t>
      </w:r>
      <w:proofErr w:type="spellEnd"/>
      <w:r w:rsidR="00111309">
        <w:t xml:space="preserve">) </w:t>
      </w:r>
      <w:r w:rsidRPr="00EA51DC">
        <w:t>Project would have been much more cost competitive</w:t>
      </w:r>
      <w:r>
        <w:t xml:space="preserve"> on a life cycle basis</w:t>
      </w:r>
      <w:r w:rsidRPr="00EA51DC">
        <w:t xml:space="preserve">, and </w:t>
      </w:r>
      <w:r>
        <w:t>when applying the reasonableness standard</w:t>
      </w:r>
      <w:r w:rsidRPr="00EA51DC">
        <w:t xml:space="preserve">, the $ 7.562 </w:t>
      </w:r>
      <w:r>
        <w:t>billion</w:t>
      </w:r>
      <w:r w:rsidRPr="00EA51DC">
        <w:t xml:space="preserve"> would not </w:t>
      </w:r>
      <w:r>
        <w:t xml:space="preserve">appear to </w:t>
      </w:r>
      <w:r w:rsidRPr="00EA51DC">
        <w:t>be reasonable</w:t>
      </w:r>
      <w:r>
        <w:rPr>
          <w:rStyle w:val="FootnoteReference"/>
        </w:rPr>
        <w:footnoteReference w:id="4"/>
      </w:r>
      <w:r w:rsidRPr="00EA51DC">
        <w:t xml:space="preserve">.  However, the continued justification of the </w:t>
      </w:r>
      <w:r>
        <w:t>P</w:t>
      </w:r>
      <w:r w:rsidRPr="00EA51DC">
        <w:t xml:space="preserve">roject at many of the VCMs was based on an analysis of the incremental costs to finish </w:t>
      </w:r>
      <w:r>
        <w:t xml:space="preserve">the Project </w:t>
      </w:r>
      <w:r w:rsidRPr="00EA51DC">
        <w:t xml:space="preserve">when compared to the total cost of a not yet started </w:t>
      </w:r>
      <w:proofErr w:type="spellStart"/>
      <w:r w:rsidRPr="00EA51DC">
        <w:t>CCGT</w:t>
      </w:r>
      <w:proofErr w:type="spellEnd"/>
      <w:r w:rsidRPr="00EA51DC">
        <w:t xml:space="preserve"> </w:t>
      </w:r>
      <w:r w:rsidR="00357668">
        <w:t>P</w:t>
      </w:r>
      <w:r w:rsidRPr="00EA51DC">
        <w:t>roject</w:t>
      </w:r>
      <w:r>
        <w:t>.</w:t>
      </w:r>
      <w:r w:rsidRPr="00EA51DC">
        <w:t xml:space="preserve"> </w:t>
      </w:r>
    </w:p>
    <w:p w14:paraId="09DB3E3B" w14:textId="77777777" w:rsidR="0095742D" w:rsidRDefault="0095742D" w:rsidP="0095742D">
      <w:pPr>
        <w:pStyle w:val="ListParagraph"/>
        <w:ind w:left="360"/>
      </w:pPr>
    </w:p>
    <w:p w14:paraId="3AEF10FC" w14:textId="2BB3424C" w:rsidR="0095742D" w:rsidRPr="0091377C" w:rsidRDefault="0095742D" w:rsidP="0095742D">
      <w:pPr>
        <w:pStyle w:val="ListParagraph"/>
        <w:ind w:left="360"/>
        <w:jc w:val="both"/>
      </w:pPr>
      <w:r w:rsidRPr="00C551D8">
        <w:rPr>
          <w:u w:val="single"/>
        </w:rPr>
        <w:lastRenderedPageBreak/>
        <w:t>VMG Observations of Reasonable Financing Costs</w:t>
      </w:r>
      <w:r w:rsidRPr="00C551D8">
        <w:t>:  The proposed Stipulation makes numerous references to the NC</w:t>
      </w:r>
      <w:r>
        <w:t>C</w:t>
      </w:r>
      <w:r w:rsidRPr="00C551D8">
        <w:t xml:space="preserve">R Tariff Collections made and to be made </w:t>
      </w:r>
      <w:r w:rsidR="00EA7F7A">
        <w:t>by</w:t>
      </w:r>
      <w:r w:rsidR="00EA7F7A" w:rsidRPr="00C551D8">
        <w:t xml:space="preserve"> </w:t>
      </w:r>
      <w:r w:rsidRPr="00C551D8">
        <w:t xml:space="preserve">the </w:t>
      </w:r>
      <w:r>
        <w:t xml:space="preserve">Company’s </w:t>
      </w:r>
      <w:r w:rsidRPr="00C551D8">
        <w:t>customers, and to the still accruing AFUDC costs.  VMG offers the following observations on the actual schedule vs</w:t>
      </w:r>
      <w:r>
        <w:t>.</w:t>
      </w:r>
      <w:r w:rsidRPr="00C551D8">
        <w:t xml:space="preserve"> the VCM 17 forecast November 2021/ November 2022 CODs since </w:t>
      </w:r>
      <w:r>
        <w:t xml:space="preserve">construction duration </w:t>
      </w:r>
      <w:r w:rsidRPr="00C551D8">
        <w:t>is</w:t>
      </w:r>
      <w:r>
        <w:t xml:space="preserve"> one </w:t>
      </w:r>
      <w:r w:rsidRPr="00C551D8">
        <w:t>primary factor that determines actual financing costs.</w:t>
      </w:r>
    </w:p>
    <w:p w14:paraId="006B6C31" w14:textId="77777777" w:rsidR="0095742D" w:rsidRPr="00C551D8" w:rsidRDefault="0095742D" w:rsidP="0095742D">
      <w:pPr>
        <w:pStyle w:val="ListParagraph"/>
        <w:ind w:left="360"/>
        <w:jc w:val="both"/>
      </w:pPr>
    </w:p>
    <w:p w14:paraId="342242B5" w14:textId="39F6B389" w:rsidR="0095742D" w:rsidRPr="0091377C" w:rsidRDefault="0095742D" w:rsidP="0095742D">
      <w:pPr>
        <w:pStyle w:val="ListParagraph"/>
        <w:numPr>
          <w:ilvl w:val="0"/>
          <w:numId w:val="34"/>
        </w:numPr>
        <w:contextualSpacing/>
        <w:jc w:val="both"/>
      </w:pPr>
      <w:r w:rsidRPr="0091377C">
        <w:t xml:space="preserve">As indicated in the first note to Table </w:t>
      </w:r>
      <w:r>
        <w:t>ES-2</w:t>
      </w:r>
      <w:r w:rsidRPr="0091377C">
        <w:t xml:space="preserve">, VMG’s </w:t>
      </w:r>
      <w:r>
        <w:t xml:space="preserve">June 2018 timeframe </w:t>
      </w:r>
      <w:r w:rsidRPr="0091377C">
        <w:t>opinion was that the November 2021/ November 2022 dates were never achievable, and that</w:t>
      </w:r>
      <w:r>
        <w:t xml:space="preserve"> d</w:t>
      </w:r>
      <w:r w:rsidRPr="0091377C">
        <w:t>ates of</w:t>
      </w:r>
      <w:r>
        <w:t xml:space="preserve"> March</w:t>
      </w:r>
      <w:r w:rsidRPr="0091377C">
        <w:t xml:space="preserve"> 2023 and </w:t>
      </w:r>
      <w:r>
        <w:t>March</w:t>
      </w:r>
      <w:r w:rsidRPr="0091377C">
        <w:t xml:space="preserve"> 2024 would </w:t>
      </w:r>
      <w:r>
        <w:t xml:space="preserve">have been </w:t>
      </w:r>
      <w:r w:rsidRPr="0091377C">
        <w:t xml:space="preserve">more reasonable.  </w:t>
      </w:r>
      <w:r>
        <w:t xml:space="preserve"> A</w:t>
      </w:r>
      <w:r w:rsidRPr="0091377C">
        <w:t xml:space="preserve">s discussed in </w:t>
      </w:r>
      <w:r>
        <w:t>S</w:t>
      </w:r>
      <w:r w:rsidRPr="0091377C">
        <w:t xml:space="preserve">ection </w:t>
      </w:r>
      <w:r>
        <w:t>2</w:t>
      </w:r>
      <w:r w:rsidRPr="0091377C">
        <w:t xml:space="preserve">, </w:t>
      </w:r>
      <w:r>
        <w:t xml:space="preserve">in VMG’s opinion </w:t>
      </w:r>
      <w:r w:rsidRPr="0091377C">
        <w:t xml:space="preserve">many imprudent management practices followed </w:t>
      </w:r>
      <w:r>
        <w:t xml:space="preserve">that </w:t>
      </w:r>
      <w:r w:rsidRPr="0091377C">
        <w:t>result</w:t>
      </w:r>
      <w:r>
        <w:t>ed</w:t>
      </w:r>
      <w:r w:rsidRPr="0091377C">
        <w:t xml:space="preserve"> in TPC </w:t>
      </w:r>
      <w:r w:rsidR="008579F7">
        <w:t xml:space="preserve">growth </w:t>
      </w:r>
      <w:r w:rsidRPr="0091377C">
        <w:t>of roughly $ 4</w:t>
      </w:r>
      <w:r>
        <w:t xml:space="preserve"> billion</w:t>
      </w:r>
      <w:r w:rsidRPr="0091377C">
        <w:t xml:space="preserve"> </w:t>
      </w:r>
      <w:r w:rsidR="00D5569C" w:rsidRPr="0091377C">
        <w:t>more than</w:t>
      </w:r>
      <w:r w:rsidRPr="0091377C">
        <w:t xml:space="preserve"> the $ 17.1 </w:t>
      </w:r>
      <w:r>
        <w:t>billion</w:t>
      </w:r>
      <w:r w:rsidRPr="0091377C">
        <w:t>, and a U-3 COD which was 20 months later than November 2021, and if the U-4 R</w:t>
      </w:r>
      <w:r>
        <w:t>isk Adjusted (RAS)</w:t>
      </w:r>
      <w:r w:rsidRPr="0091377C">
        <w:t xml:space="preserve"> COD of </w:t>
      </w:r>
      <w:r>
        <w:t xml:space="preserve">March 2024 </w:t>
      </w:r>
      <w:r w:rsidRPr="0091377C">
        <w:t>is met that COD will be 1</w:t>
      </w:r>
      <w:r>
        <w:t>6</w:t>
      </w:r>
      <w:r w:rsidRPr="0091377C">
        <w:t xml:space="preserve"> months later than November 2022.  </w:t>
      </w:r>
    </w:p>
    <w:p w14:paraId="2165E85B" w14:textId="77777777" w:rsidR="0095742D" w:rsidRDefault="0095742D" w:rsidP="0095742D">
      <w:pPr>
        <w:ind w:left="360"/>
      </w:pPr>
    </w:p>
    <w:p w14:paraId="5D8FBECA" w14:textId="1D0420E1" w:rsidR="0095742D" w:rsidRPr="0091377C" w:rsidRDefault="004F6D82" w:rsidP="0095742D">
      <w:pPr>
        <w:pStyle w:val="ListParagraph"/>
        <w:numPr>
          <w:ilvl w:val="0"/>
          <w:numId w:val="34"/>
        </w:numPr>
        <w:contextualSpacing/>
        <w:jc w:val="both"/>
      </w:pPr>
      <w:r>
        <w:t>I</w:t>
      </w:r>
      <w:r w:rsidR="0095742D" w:rsidRPr="0091377C">
        <w:t xml:space="preserve">n the body of this report VMG provides observations regarding </w:t>
      </w:r>
      <w:r w:rsidR="0095742D">
        <w:t xml:space="preserve">deficient </w:t>
      </w:r>
      <w:r w:rsidR="0095742D" w:rsidRPr="0091377C">
        <w:t xml:space="preserve">schedule forecast </w:t>
      </w:r>
      <w:r w:rsidR="00357668" w:rsidRPr="0091377C">
        <w:t xml:space="preserve">dates </w:t>
      </w:r>
      <w:r w:rsidR="00357668">
        <w:t>that</w:t>
      </w:r>
      <w:r w:rsidR="0095742D">
        <w:t xml:space="preserve"> could not have been achiev</w:t>
      </w:r>
      <w:r w:rsidR="00B55B44">
        <w:t>ed</w:t>
      </w:r>
      <w:r w:rsidR="0095742D">
        <w:t xml:space="preserve"> </w:t>
      </w:r>
      <w:r w:rsidR="0095742D" w:rsidRPr="0091377C">
        <w:t>(ref</w:t>
      </w:r>
      <w:r w:rsidR="0095742D">
        <w:t>:</w:t>
      </w:r>
      <w:r w:rsidR="0095742D" w:rsidRPr="0091377C">
        <w:t xml:space="preserve"> Section</w:t>
      </w:r>
      <w:r w:rsidR="0095742D">
        <w:t>s 2 and 3</w:t>
      </w:r>
      <w:r w:rsidR="0095742D" w:rsidRPr="0091377C">
        <w:t>)</w:t>
      </w:r>
      <w:r w:rsidR="0095742D">
        <w:t xml:space="preserve">.  </w:t>
      </w:r>
      <w:r w:rsidR="0095742D" w:rsidRPr="0091377C">
        <w:t xml:space="preserve">  Other sections of the report also highlight what VMG observed as being an “over-reporting of </w:t>
      </w:r>
      <w:r w:rsidR="00B55B44">
        <w:t>P</w:t>
      </w:r>
      <w:r w:rsidR="0095742D" w:rsidRPr="0091377C">
        <w:t>roject progress” (ref: section</w:t>
      </w:r>
      <w:r w:rsidR="0095742D">
        <w:t>s</w:t>
      </w:r>
      <w:r w:rsidR="0095742D" w:rsidRPr="0091377C">
        <w:t xml:space="preserve"> </w:t>
      </w:r>
      <w:r w:rsidR="0095742D">
        <w:t>2 and 3</w:t>
      </w:r>
      <w:r w:rsidR="0095742D" w:rsidRPr="0091377C">
        <w:t>) and having a</w:t>
      </w:r>
      <w:r w:rsidR="0095742D">
        <w:t xml:space="preserve">n </w:t>
      </w:r>
      <w:r w:rsidR="0095742D" w:rsidRPr="0091377C">
        <w:t xml:space="preserve">Earned Value Management System </w:t>
      </w:r>
      <w:r w:rsidR="0095742D">
        <w:t xml:space="preserve">that was deficient when viewed in terms of its lack of compliance with the </w:t>
      </w:r>
      <w:r w:rsidR="0095742D" w:rsidRPr="0091377C">
        <w:t xml:space="preserve">32 Guidelines of the </w:t>
      </w:r>
      <w:proofErr w:type="spellStart"/>
      <w:r w:rsidR="0095742D" w:rsidRPr="0091377C">
        <w:t>EVMS</w:t>
      </w:r>
      <w:proofErr w:type="spellEnd"/>
      <w:r w:rsidR="0095742D" w:rsidRPr="0091377C">
        <w:t xml:space="preserve"> Industry Standard (ANSI-748; </w:t>
      </w:r>
      <w:r w:rsidR="0095742D">
        <w:t xml:space="preserve">Earned Value Management Systems, </w:t>
      </w:r>
      <w:r w:rsidR="0095742D" w:rsidRPr="0091377C">
        <w:t xml:space="preserve">reference Section </w:t>
      </w:r>
      <w:r w:rsidR="0095742D">
        <w:t>3</w:t>
      </w:r>
      <w:r w:rsidR="0095742D" w:rsidRPr="0091377C">
        <w:t xml:space="preserve">).     </w:t>
      </w:r>
    </w:p>
    <w:p w14:paraId="02356E0E" w14:textId="77777777" w:rsidR="004F6D82" w:rsidRDefault="004F6D82" w:rsidP="00C40192">
      <w:pPr>
        <w:pStyle w:val="ListParagraph"/>
      </w:pPr>
    </w:p>
    <w:p w14:paraId="6E9737C4" w14:textId="77777777" w:rsidR="0095742D" w:rsidRDefault="0095742D" w:rsidP="0095742D">
      <w:pPr>
        <w:ind w:left="720"/>
        <w:jc w:val="both"/>
      </w:pPr>
    </w:p>
    <w:p w14:paraId="5C17F53E" w14:textId="21147DCD" w:rsidR="00B55B44" w:rsidRDefault="0095742D" w:rsidP="0095742D">
      <w:pPr>
        <w:pStyle w:val="ListParagraph"/>
        <w:numPr>
          <w:ilvl w:val="0"/>
          <w:numId w:val="34"/>
        </w:numPr>
        <w:contextualSpacing/>
        <w:jc w:val="both"/>
      </w:pPr>
      <w:proofErr w:type="gramStart"/>
      <w:r w:rsidRPr="00BA160F">
        <w:t>In light of</w:t>
      </w:r>
      <w:proofErr w:type="gramEnd"/>
      <w:r w:rsidRPr="00BA160F">
        <w:t xml:space="preserve"> the </w:t>
      </w:r>
      <w:r w:rsidR="00357668" w:rsidRPr="00BA160F">
        <w:t>preceding</w:t>
      </w:r>
      <w:r w:rsidR="00357668">
        <w:t xml:space="preserve"> and</w:t>
      </w:r>
      <w:r w:rsidRPr="00BA160F">
        <w:t xml:space="preserve"> given the Regulatory Approved CODs of November 2021 and November 2022 having served as a basis for </w:t>
      </w:r>
      <w:r w:rsidR="004243F7">
        <w:t>approving</w:t>
      </w:r>
      <w:r w:rsidR="00357668">
        <w:t xml:space="preserve"> </w:t>
      </w:r>
      <w:r w:rsidRPr="00BA160F">
        <w:t>continu</w:t>
      </w:r>
      <w:r w:rsidR="00357668">
        <w:t>ation of</w:t>
      </w:r>
      <w:r w:rsidRPr="00BA160F">
        <w:t xml:space="preserve"> the Project, VMG believes that the Company should be held accountable for financing costs associated with not having met those dates, and an assumed funding profile that totals the agreed to GPC Capital Construction Cost of $ 7.562 billion.   With respect to </w:t>
      </w:r>
      <w:r>
        <w:t xml:space="preserve">what CODs to assume for this funding profile, VMG suggests slipping the November 2021/ November 2022 dates by </w:t>
      </w:r>
      <w:r w:rsidR="00357668">
        <w:t>4</w:t>
      </w:r>
      <w:r>
        <w:t xml:space="preserve"> months to March 2022/ March 2023, which would then account for the maximum schedule slips which the </w:t>
      </w:r>
      <w:r w:rsidR="00B55B44">
        <w:t>C</w:t>
      </w:r>
      <w:r>
        <w:t>ompany has estimated for the non-controllable impact that COVID has had on the schedule.</w:t>
      </w:r>
    </w:p>
    <w:p w14:paraId="56CBB9CB" w14:textId="77777777" w:rsidR="004F6D82" w:rsidRDefault="004F6D82" w:rsidP="00C40192">
      <w:pPr>
        <w:pStyle w:val="ListParagraph"/>
      </w:pPr>
    </w:p>
    <w:p w14:paraId="1E283B2B" w14:textId="77777777" w:rsidR="00B55B44" w:rsidRDefault="00B55B44" w:rsidP="00C40192"/>
    <w:p w14:paraId="3A433D69" w14:textId="425899FA" w:rsidR="0095742D" w:rsidRPr="00BA160F" w:rsidRDefault="0095742D" w:rsidP="00B55B44">
      <w:pPr>
        <w:ind w:left="720"/>
        <w:contextualSpacing/>
        <w:jc w:val="both"/>
      </w:pPr>
      <w:r>
        <w:t xml:space="preserve">  </w:t>
      </w:r>
    </w:p>
    <w:p w14:paraId="4097AB81" w14:textId="6E324EC5" w:rsidR="0095742D" w:rsidRDefault="0095742D" w:rsidP="0095742D">
      <w:pPr>
        <w:pStyle w:val="ListParagraph"/>
        <w:numPr>
          <w:ilvl w:val="0"/>
          <w:numId w:val="34"/>
        </w:numPr>
        <w:contextualSpacing/>
        <w:jc w:val="both"/>
      </w:pPr>
      <w:r>
        <w:t xml:space="preserve">Although VMG is not a subject expert as it relates to financing costs, </w:t>
      </w:r>
      <w:r w:rsidRPr="0091377C">
        <w:t xml:space="preserve">VMG </w:t>
      </w:r>
      <w:r>
        <w:t>has</w:t>
      </w:r>
      <w:r w:rsidRPr="0091377C">
        <w:t xml:space="preserve"> simply provid</w:t>
      </w:r>
      <w:r>
        <w:t>ed the above</w:t>
      </w:r>
      <w:r w:rsidRPr="0091377C">
        <w:t xml:space="preserve"> observations regarding the</w:t>
      </w:r>
      <w:r>
        <w:t>se schedule management and schedule reporting issues so that the PIA Staff together with J. Kennedy</w:t>
      </w:r>
      <w:r w:rsidR="00B55B44">
        <w:t xml:space="preserve"> &amp; Associates</w:t>
      </w:r>
      <w:r>
        <w:t xml:space="preserve"> will determine how to address </w:t>
      </w:r>
      <w:r w:rsidR="00B55B44">
        <w:t>these</w:t>
      </w:r>
      <w:r>
        <w:t xml:space="preserve"> issue</w:t>
      </w:r>
      <w:r w:rsidR="00B55B44">
        <w:t>s</w:t>
      </w:r>
      <w:r>
        <w:t xml:space="preserve"> and the extent to which the proposed Stipulation is reasonable in its handling of Financing Costs.</w:t>
      </w:r>
    </w:p>
    <w:p w14:paraId="159B3CD9" w14:textId="77777777" w:rsidR="0095742D" w:rsidRDefault="0095742D" w:rsidP="0095742D">
      <w:pPr>
        <w:pStyle w:val="ListParagraph"/>
        <w:ind w:left="1080"/>
      </w:pPr>
    </w:p>
    <w:p w14:paraId="7F7A0128" w14:textId="1A9D525B" w:rsidR="0095742D" w:rsidRPr="00C551D8" w:rsidRDefault="0095742D" w:rsidP="0095742D">
      <w:pPr>
        <w:pStyle w:val="ListParagraph"/>
        <w:numPr>
          <w:ilvl w:val="0"/>
          <w:numId w:val="33"/>
        </w:numPr>
        <w:contextualSpacing/>
        <w:jc w:val="both"/>
        <w:rPr>
          <w:b/>
          <w:bCs/>
        </w:rPr>
      </w:pPr>
      <w:r>
        <w:rPr>
          <w:u w:val="single"/>
        </w:rPr>
        <w:t xml:space="preserve">Summary </w:t>
      </w:r>
      <w:r w:rsidRPr="00E03772">
        <w:rPr>
          <w:u w:val="single"/>
        </w:rPr>
        <w:t>Observations Regarding “</w:t>
      </w:r>
      <w:r>
        <w:rPr>
          <w:u w:val="single"/>
        </w:rPr>
        <w:t xml:space="preserve">Reasonable and </w:t>
      </w:r>
      <w:r w:rsidRPr="00E03772">
        <w:rPr>
          <w:u w:val="single"/>
        </w:rPr>
        <w:t>Pruden</w:t>
      </w:r>
      <w:r>
        <w:rPr>
          <w:u w:val="single"/>
        </w:rPr>
        <w:t>t</w:t>
      </w:r>
      <w:r w:rsidRPr="00E03772">
        <w:rPr>
          <w:u w:val="single"/>
        </w:rPr>
        <w:t>”</w:t>
      </w:r>
      <w:r w:rsidRPr="00E03772">
        <w:t>:</w:t>
      </w:r>
      <w:r w:rsidRPr="00E03772">
        <w:rPr>
          <w:b/>
          <w:bCs/>
        </w:rPr>
        <w:t xml:space="preserve">  </w:t>
      </w:r>
      <w:r w:rsidR="00C40192">
        <w:t xml:space="preserve">VMG has limited its use of the terms reasonable and prudence to the recommended position of accepting the proposed $7.562 billion GPC capital and construction cost.  This is because in VMG’s opinion much of the Project was managed imprudently.  </w:t>
      </w:r>
      <w:r w:rsidRPr="00E03772">
        <w:t>Our position in this regard</w:t>
      </w:r>
      <w:r>
        <w:t xml:space="preserve"> </w:t>
      </w:r>
      <w:r w:rsidRPr="00E03772">
        <w:t xml:space="preserve">is well documented in all our written testimonies and in our </w:t>
      </w:r>
      <w:r w:rsidRPr="00E03772">
        <w:lastRenderedPageBreak/>
        <w:t xml:space="preserve">participation in the hearings.  </w:t>
      </w:r>
      <w:r>
        <w:t xml:space="preserve">However, given that the Company has agreed </w:t>
      </w:r>
      <w:r w:rsidRPr="00E03772">
        <w:t xml:space="preserve">to the </w:t>
      </w:r>
      <w:r>
        <w:t xml:space="preserve">VCM 17 Order $7.3 billion </w:t>
      </w:r>
      <w:r w:rsidRPr="00E03772">
        <w:t>of Capital Construction Cost (adjusted primarily for COVID to $ 7.562</w:t>
      </w:r>
      <w:r>
        <w:t xml:space="preserve"> billion</w:t>
      </w:r>
      <w:r w:rsidRPr="00E03772">
        <w:t>)</w:t>
      </w:r>
      <w:r>
        <w:t>, VMG</w:t>
      </w:r>
      <w:r w:rsidR="004F6D82">
        <w:t>’s position is that it is not necessary to identify specific actions as imprudent and</w:t>
      </w:r>
      <w:r w:rsidR="00C40192">
        <w:t xml:space="preserve"> </w:t>
      </w:r>
      <w:r>
        <w:t>that the current stipulation represents a reasonable settlement as it relates to GPC’s allowed Capital Construction Cost.</w:t>
      </w:r>
      <w:r w:rsidRPr="00E03772">
        <w:t xml:space="preserve">  </w:t>
      </w:r>
    </w:p>
    <w:p w14:paraId="068B61CE" w14:textId="77777777" w:rsidR="0095742D" w:rsidRDefault="0095742D" w:rsidP="0095742D">
      <w:pPr>
        <w:ind w:left="360"/>
        <w:jc w:val="both"/>
        <w:rPr>
          <w:b/>
          <w:bCs/>
        </w:rPr>
      </w:pPr>
    </w:p>
    <w:p w14:paraId="2C33E27F" w14:textId="758C13B7" w:rsidR="0095742D" w:rsidRPr="00C551D8" w:rsidRDefault="0095742D" w:rsidP="0095742D">
      <w:pPr>
        <w:ind w:left="360"/>
        <w:jc w:val="both"/>
      </w:pPr>
      <w:r>
        <w:t xml:space="preserve">With respect to how the stipulation handles financing costs, ever since VMG’s engagement as an independent monitor in April 2018 we have continuously expressed our professional judgment that the </w:t>
      </w:r>
      <w:r w:rsidR="00357668">
        <w:t xml:space="preserve">Commission </w:t>
      </w:r>
      <w:r>
        <w:t>Approved CODs of November 2021/ November 2022 were not achievable</w:t>
      </w:r>
      <w:r w:rsidR="00B145BC">
        <w:t>.</w:t>
      </w:r>
      <w:r>
        <w:t xml:space="preserve"> VMG suggests that financing costs should be based on a funding profile that in total equals a GPC Capital Construction Cost of $ 7.562 billion, established over </w:t>
      </w:r>
      <w:proofErr w:type="gramStart"/>
      <w:r>
        <w:t>a period of time</w:t>
      </w:r>
      <w:proofErr w:type="gramEnd"/>
      <w:r>
        <w:t xml:space="preserve"> that reflects incorporating the schedule delays of </w:t>
      </w:r>
      <w:r w:rsidR="006024E2">
        <w:t>4</w:t>
      </w:r>
      <w:r>
        <w:t xml:space="preserve"> months due to COVID (i.e., CODs of March 2022/ March 2023, for U-3 and U-4, respectively). </w:t>
      </w:r>
    </w:p>
    <w:p w14:paraId="2363CE04" w14:textId="77777777" w:rsidR="00B80AFC" w:rsidRDefault="00B80AFC" w:rsidP="00573360">
      <w:pPr>
        <w:rPr>
          <w:b/>
          <w:szCs w:val="24"/>
          <w:highlight w:val="yellow"/>
        </w:rPr>
      </w:pPr>
    </w:p>
    <w:p w14:paraId="2835A8A1" w14:textId="77777777" w:rsidR="00DD0B94" w:rsidRPr="0091377C" w:rsidRDefault="00DD0B94" w:rsidP="00DD0B94">
      <w:pPr>
        <w:pStyle w:val="ListParagraph"/>
        <w:numPr>
          <w:ilvl w:val="0"/>
          <w:numId w:val="32"/>
        </w:numPr>
        <w:tabs>
          <w:tab w:val="left" w:pos="2960"/>
        </w:tabs>
        <w:contextualSpacing/>
        <w:rPr>
          <w:b/>
          <w:bCs/>
        </w:rPr>
      </w:pPr>
      <w:r>
        <w:rPr>
          <w:b/>
          <w:bCs/>
        </w:rPr>
        <w:t>VMG Summary</w:t>
      </w:r>
    </w:p>
    <w:p w14:paraId="2D92F18B" w14:textId="77777777" w:rsidR="00DD0B94" w:rsidRDefault="00DD0B94" w:rsidP="00DD0B94">
      <w:pPr>
        <w:tabs>
          <w:tab w:val="left" w:pos="2960"/>
        </w:tabs>
        <w:ind w:left="360"/>
        <w:jc w:val="both"/>
      </w:pPr>
    </w:p>
    <w:p w14:paraId="79493F27" w14:textId="77777777" w:rsidR="00DD0B94" w:rsidRDefault="00DD0B94" w:rsidP="00DD0B94">
      <w:pPr>
        <w:pStyle w:val="ListParagraph"/>
        <w:tabs>
          <w:tab w:val="left" w:pos="2960"/>
        </w:tabs>
        <w:ind w:left="0"/>
        <w:jc w:val="both"/>
      </w:pPr>
      <w:r>
        <w:t>As a summary of its contracted</w:t>
      </w:r>
      <w:r w:rsidRPr="0091377C">
        <w:t xml:space="preserve"> effort</w:t>
      </w:r>
      <w:r>
        <w:t>s</w:t>
      </w:r>
      <w:r w:rsidRPr="0091377C">
        <w:t xml:space="preserve">, </w:t>
      </w:r>
      <w:r>
        <w:t>VMG provides the following:</w:t>
      </w:r>
    </w:p>
    <w:p w14:paraId="0A08BD52" w14:textId="77777777" w:rsidR="00DD0B94" w:rsidRDefault="00DD0B94" w:rsidP="00DD0B94">
      <w:pPr>
        <w:pStyle w:val="ListParagraph"/>
        <w:tabs>
          <w:tab w:val="left" w:pos="2960"/>
        </w:tabs>
        <w:ind w:left="360"/>
        <w:jc w:val="both"/>
      </w:pPr>
    </w:p>
    <w:p w14:paraId="0C53B9E6" w14:textId="22707156" w:rsidR="00DD0B94" w:rsidRDefault="00DD0B94" w:rsidP="00DD0B94">
      <w:pPr>
        <w:pStyle w:val="ListParagraph"/>
        <w:numPr>
          <w:ilvl w:val="0"/>
          <w:numId w:val="35"/>
        </w:numPr>
        <w:tabs>
          <w:tab w:val="left" w:pos="2960"/>
        </w:tabs>
        <w:contextualSpacing/>
        <w:jc w:val="both"/>
      </w:pPr>
      <w:r>
        <w:t xml:space="preserve">VMG </w:t>
      </w:r>
      <w:r w:rsidR="004F6D82">
        <w:t xml:space="preserve">is </w:t>
      </w:r>
      <w:r>
        <w:t>p</w:t>
      </w:r>
      <w:r w:rsidRPr="0091377C">
        <w:t xml:space="preserve">repared to </w:t>
      </w:r>
      <w:r>
        <w:t xml:space="preserve">independently judge and – as may be necessary -- to </w:t>
      </w:r>
      <w:r w:rsidRPr="0091377C">
        <w:t xml:space="preserve">refute </w:t>
      </w:r>
      <w:r>
        <w:t>C</w:t>
      </w:r>
      <w:r w:rsidRPr="0091377C">
        <w:t xml:space="preserve">ompany claims that </w:t>
      </w:r>
      <w:r>
        <w:t xml:space="preserve">GPC Capital Construction Costs </w:t>
      </w:r>
      <w:r w:rsidRPr="0091377C">
        <w:t xml:space="preserve">greater $ 7.3 </w:t>
      </w:r>
      <w:r>
        <w:t xml:space="preserve">billion </w:t>
      </w:r>
      <w:r w:rsidRPr="0091377C">
        <w:t>should be recoverable through rates, and the basis of VMG’s arguments are reflected in the body of the report which follows</w:t>
      </w:r>
      <w:r>
        <w:t xml:space="preserve"> and all VMG’s documented written and oral testimonies.</w:t>
      </w:r>
      <w:r w:rsidRPr="0091377C">
        <w:t xml:space="preserve">  </w:t>
      </w:r>
    </w:p>
    <w:p w14:paraId="030F6E7F" w14:textId="77777777" w:rsidR="00DD0B94" w:rsidRDefault="00DD0B94" w:rsidP="00DD0B94">
      <w:pPr>
        <w:pStyle w:val="ListParagraph"/>
        <w:tabs>
          <w:tab w:val="left" w:pos="2960"/>
        </w:tabs>
        <w:ind w:left="360"/>
        <w:jc w:val="both"/>
      </w:pPr>
    </w:p>
    <w:p w14:paraId="020EAB9F" w14:textId="77777777" w:rsidR="00DD0B94" w:rsidRDefault="00DD0B94" w:rsidP="00DD0B94">
      <w:pPr>
        <w:pStyle w:val="ListParagraph"/>
        <w:numPr>
          <w:ilvl w:val="0"/>
          <w:numId w:val="35"/>
        </w:numPr>
        <w:tabs>
          <w:tab w:val="left" w:pos="2960"/>
        </w:tabs>
        <w:contextualSpacing/>
        <w:jc w:val="both"/>
      </w:pPr>
      <w:r>
        <w:t>Given that the Company has agreed to only seek recovery of its Capital Construction Costs represented by the $ 7.3 billion (adjusted primarily for the impacts of COVID), VMG believes that the proposed Stipulation of $ 7.562 billion represents a fair and reasonable settlement.</w:t>
      </w:r>
    </w:p>
    <w:p w14:paraId="07DAB00F" w14:textId="77777777" w:rsidR="00DD0B94" w:rsidRDefault="00DD0B94" w:rsidP="00DD0B94">
      <w:pPr>
        <w:tabs>
          <w:tab w:val="left" w:pos="2960"/>
        </w:tabs>
        <w:jc w:val="both"/>
      </w:pPr>
    </w:p>
    <w:p w14:paraId="6BA0E9E3" w14:textId="03908021" w:rsidR="00DD0B94" w:rsidRDefault="00DD0B94" w:rsidP="00DD0B94">
      <w:pPr>
        <w:pStyle w:val="ListParagraph"/>
        <w:numPr>
          <w:ilvl w:val="0"/>
          <w:numId w:val="35"/>
        </w:numPr>
        <w:tabs>
          <w:tab w:val="left" w:pos="2960"/>
        </w:tabs>
        <w:contextualSpacing/>
        <w:jc w:val="both"/>
      </w:pPr>
      <w:r>
        <w:t xml:space="preserve">With respect to how the proposed stipulation addresses financing costs, VMG has provided its observations regarding the schedule to the PIA Staff and J. Kennedy </w:t>
      </w:r>
      <w:r w:rsidR="005C3023">
        <w:t xml:space="preserve">&amp; </w:t>
      </w:r>
      <w:r>
        <w:t>Associates so that they can use this input in their pursuit of this subject area.</w:t>
      </w:r>
    </w:p>
    <w:p w14:paraId="3225D834" w14:textId="77777777" w:rsidR="004C146E" w:rsidRDefault="004C146E" w:rsidP="006B2C69">
      <w:pPr>
        <w:pStyle w:val="ListParagraph"/>
      </w:pPr>
    </w:p>
    <w:p w14:paraId="61165E20" w14:textId="6C6AE7B7" w:rsidR="004C146E" w:rsidRDefault="004C146E">
      <w:r>
        <w:br w:type="page"/>
      </w:r>
    </w:p>
    <w:p w14:paraId="6FC01AEC" w14:textId="77777777" w:rsidR="00CF3D9D" w:rsidRDefault="00CF3D9D" w:rsidP="00573360">
      <w:pPr>
        <w:rPr>
          <w:b/>
          <w:szCs w:val="24"/>
          <w:highlight w:val="yellow"/>
        </w:rPr>
      </w:pPr>
    </w:p>
    <w:p w14:paraId="2855EBB2" w14:textId="77777777" w:rsidR="001207EC" w:rsidRDefault="001207EC" w:rsidP="001207EC">
      <w:pPr>
        <w:pStyle w:val="ListParagraph"/>
        <w:numPr>
          <w:ilvl w:val="0"/>
          <w:numId w:val="36"/>
        </w:numPr>
        <w:contextualSpacing/>
        <w:jc w:val="center"/>
        <w:rPr>
          <w:b/>
          <w:bCs/>
          <w:sz w:val="28"/>
          <w:szCs w:val="28"/>
        </w:rPr>
      </w:pPr>
      <w:r>
        <w:rPr>
          <w:b/>
          <w:bCs/>
          <w:sz w:val="28"/>
          <w:szCs w:val="28"/>
        </w:rPr>
        <w:t>PROJECT COST</w:t>
      </w:r>
      <w:r w:rsidRPr="005743CD">
        <w:rPr>
          <w:b/>
          <w:bCs/>
          <w:sz w:val="28"/>
          <w:szCs w:val="28"/>
        </w:rPr>
        <w:t xml:space="preserve"> AND </w:t>
      </w:r>
      <w:r w:rsidRPr="00FB3532">
        <w:rPr>
          <w:b/>
          <w:bCs/>
          <w:sz w:val="28"/>
          <w:szCs w:val="28"/>
        </w:rPr>
        <w:t>SCHEDULE ESTIMATE</w:t>
      </w:r>
    </w:p>
    <w:p w14:paraId="033FC12B" w14:textId="77777777" w:rsidR="001207EC" w:rsidRPr="00B77CE5" w:rsidRDefault="001207EC" w:rsidP="001207EC">
      <w:pPr>
        <w:jc w:val="center"/>
      </w:pPr>
      <w:r w:rsidRPr="00B304C9">
        <w:rPr>
          <w:b/>
          <w:bCs/>
          <w:sz w:val="28"/>
          <w:szCs w:val="28"/>
        </w:rPr>
        <w:t xml:space="preserve">AT </w:t>
      </w:r>
      <w:r>
        <w:rPr>
          <w:b/>
          <w:bCs/>
          <w:sz w:val="28"/>
          <w:szCs w:val="28"/>
        </w:rPr>
        <w:t xml:space="preserve">PROJECT </w:t>
      </w:r>
      <w:r w:rsidRPr="00B304C9">
        <w:rPr>
          <w:b/>
          <w:bCs/>
          <w:sz w:val="28"/>
          <w:szCs w:val="28"/>
        </w:rPr>
        <w:t>COMPLETION</w:t>
      </w:r>
      <w:r>
        <w:rPr>
          <w:b/>
          <w:bCs/>
          <w:sz w:val="28"/>
          <w:szCs w:val="28"/>
        </w:rPr>
        <w:t xml:space="preserve"> (as forecast at VCM 17 then VCM 19)</w:t>
      </w:r>
    </w:p>
    <w:p w14:paraId="3FE23642" w14:textId="77777777" w:rsidR="001207EC" w:rsidRDefault="001207EC" w:rsidP="001207EC">
      <w:pPr>
        <w:rPr>
          <w:b/>
          <w:bCs/>
          <w:sz w:val="28"/>
          <w:szCs w:val="28"/>
        </w:rPr>
      </w:pPr>
    </w:p>
    <w:p w14:paraId="64485F30" w14:textId="00AA7241" w:rsidR="001207EC" w:rsidRDefault="001207EC" w:rsidP="001207EC">
      <w:pPr>
        <w:jc w:val="both"/>
      </w:pPr>
      <w:r w:rsidRPr="00A85933">
        <w:rPr>
          <w:b/>
          <w:bCs/>
        </w:rPr>
        <w:t>1.1 Project Background</w:t>
      </w:r>
      <w:r w:rsidRPr="00DF352A">
        <w:t xml:space="preserve">:  </w:t>
      </w:r>
      <w:r>
        <w:t xml:space="preserve">The background which follows occurred prior to and during the first few months of VMG’s April 2018 engagement on the Project and serves as an important bridge to understanding (a) status of the Project immediately following the WEC bankruptcy in March 2017, (b) the additional risks that occurred with the Project going forward, and (c) how SNC chose to respond to these increased risks and continue the Project.  This discussion is also important to show how SNC continued to underestimate and not account for these risks going forward. More specifically, it also addresses why the VCM 17 Regulatory Approved CODs of November 2021 and November 2022, for U-3 and U-4, respectively, were never achievable. In later sections of this report, it will be shown how the Company continued to </w:t>
      </w:r>
      <w:proofErr w:type="gramStart"/>
      <w:r>
        <w:t>over report</w:t>
      </w:r>
      <w:proofErr w:type="gramEnd"/>
      <w:r>
        <w:t xml:space="preserve"> progress and underestimate both the cost and schedule.  Section 2 discusses how </w:t>
      </w:r>
      <w:r w:rsidR="004C146E">
        <w:t>SNC</w:t>
      </w:r>
      <w:r>
        <w:t xml:space="preserve"> continued deferring planned work and instead focused on the reported start of an intermediate milestone and how this and other practices led to their continued over-reporting of progress, while still working towards a schedule that was never achievable. This resulted in the Project costing much more than the $7.3 billion and taking much longer than the Regulatory Approved CODs of November 2021/ 2022,</w:t>
      </w:r>
      <w:r>
        <w:rPr>
          <w:rStyle w:val="FootnoteReference"/>
        </w:rPr>
        <w:footnoteReference w:id="5"/>
      </w:r>
      <w:r>
        <w:t xml:space="preserve"> which the Company had committed to in VCM 17.</w:t>
      </w:r>
    </w:p>
    <w:p w14:paraId="4778A3C8" w14:textId="77777777" w:rsidR="001207EC" w:rsidRDefault="001207EC" w:rsidP="001207EC">
      <w:pPr>
        <w:jc w:val="both"/>
      </w:pPr>
    </w:p>
    <w:p w14:paraId="7A300658" w14:textId="6B58188B" w:rsidR="001207EC" w:rsidRDefault="001207EC" w:rsidP="001207EC">
      <w:pPr>
        <w:jc w:val="both"/>
      </w:pPr>
      <w:r w:rsidRPr="001678FA">
        <w:t xml:space="preserve">Within this context, </w:t>
      </w:r>
      <w:r>
        <w:rPr>
          <w:b/>
          <w:bCs/>
        </w:rPr>
        <w:t>$ 7</w:t>
      </w:r>
      <w:r w:rsidRPr="001678FA">
        <w:t>.</w:t>
      </w:r>
      <w:r>
        <w:t xml:space="preserve">3 billion represents the Company’s 45.7 % share of the Total Project Costs (TPC) plus the non-shared GPC Project Costs.  The correlation between the $ 7.3 billion and $ 17.1 billion figures was provided within the Executive Summary as Table ES-1 and is </w:t>
      </w:r>
      <w:r w:rsidR="004243F7">
        <w:t>repeated</w:t>
      </w:r>
      <w:r>
        <w:t xml:space="preserve"> below as Table 1-1 on the next page.  Also, the $ 7.3 billion figure, to avoid confusion with the TPC of $ 17.1 billion, will be referred to as the </w:t>
      </w:r>
      <w:r w:rsidRPr="001403FB">
        <w:t xml:space="preserve">GPC Capital Construction </w:t>
      </w:r>
      <w:r w:rsidR="004243F7" w:rsidRPr="001403FB">
        <w:t>Cost</w:t>
      </w:r>
      <w:r w:rsidR="004243F7">
        <w:t>.</w:t>
      </w:r>
      <w:r>
        <w:t xml:space="preserve"> </w:t>
      </w:r>
    </w:p>
    <w:p w14:paraId="1F70643E" w14:textId="77777777" w:rsidR="001207EC" w:rsidRDefault="001207EC" w:rsidP="001207EC">
      <w:pPr>
        <w:jc w:val="both"/>
      </w:pPr>
    </w:p>
    <w:p w14:paraId="4B6FDFCA" w14:textId="2173F91A" w:rsidR="00D16E18" w:rsidRDefault="001207EC" w:rsidP="001207EC">
      <w:pPr>
        <w:jc w:val="both"/>
      </w:pPr>
      <w:r>
        <w:t xml:space="preserve">Of </w:t>
      </w:r>
      <w:r w:rsidR="004243F7">
        <w:t>note</w:t>
      </w:r>
      <w:r>
        <w:t xml:space="preserve"> from Table 1.1 is that between VCM 17 and VCM 19 the Company revised its cost estimate upward but to “maintain project momentum”</w:t>
      </w:r>
      <w:r>
        <w:rPr>
          <w:rStyle w:val="FootnoteReference"/>
        </w:rPr>
        <w:footnoteReference w:id="6"/>
      </w:r>
      <w:r>
        <w:t xml:space="preserve"> ha</w:t>
      </w:r>
      <w:r w:rsidR="00A005D1">
        <w:t>d</w:t>
      </w:r>
      <w:r>
        <w:t xml:space="preserve"> agreed not to seek recovery of $ 0.694 billion.  Therefore, there </w:t>
      </w:r>
      <w:r w:rsidR="00A005D1">
        <w:t>is</w:t>
      </w:r>
      <w:r>
        <w:t xml:space="preserve"> $ </w:t>
      </w:r>
      <w:r w:rsidR="00A005D1">
        <w:t>0</w:t>
      </w:r>
      <w:r>
        <w:t xml:space="preserve">.694 </w:t>
      </w:r>
      <w:r w:rsidR="00CF3D9D">
        <w:t>billion</w:t>
      </w:r>
      <w:r>
        <w:t xml:space="preserve"> of actual Project costs which are not accruing toward </w:t>
      </w:r>
      <w:r w:rsidR="007C0064">
        <w:t>the</w:t>
      </w:r>
      <w:r>
        <w:t xml:space="preserve"> $ 7.3 billion.  Also, in the Company’s VCM 19 Reprojection of the cost estimate, it eliminated the GPC portion of Construction Contingency of $ 0.366 billion</w:t>
      </w:r>
      <w:r w:rsidR="00D16E18">
        <w:t xml:space="preserve"> from Table </w:t>
      </w:r>
      <w:proofErr w:type="spellStart"/>
      <w:proofErr w:type="gramStart"/>
      <w:r w:rsidR="00D16E18">
        <w:t>1.1,but</w:t>
      </w:r>
      <w:proofErr w:type="spellEnd"/>
      <w:proofErr w:type="gramEnd"/>
      <w:r w:rsidR="00D16E18">
        <w:t xml:space="preserve"> stated in the footnotes to the Table that the $ 0.366 billion is being reserved for future consideration by the Commission</w:t>
      </w:r>
      <w:r>
        <w:t>.</w:t>
      </w:r>
    </w:p>
    <w:p w14:paraId="26C5420E" w14:textId="77777777" w:rsidR="00D16E18" w:rsidRDefault="00D16E18">
      <w:r>
        <w:br w:type="page"/>
      </w:r>
    </w:p>
    <w:p w14:paraId="792693C4" w14:textId="77777777" w:rsidR="002F1B4C" w:rsidRDefault="002F1B4C" w:rsidP="001207EC">
      <w:pPr>
        <w:jc w:val="both"/>
      </w:pPr>
    </w:p>
    <w:p w14:paraId="571D31C6" w14:textId="77777777" w:rsidR="001207EC" w:rsidRDefault="001207EC" w:rsidP="002F1B4C">
      <w:pPr>
        <w:jc w:val="center"/>
      </w:pPr>
    </w:p>
    <w:tbl>
      <w:tblPr>
        <w:tblW w:w="9180" w:type="dxa"/>
        <w:jc w:val="center"/>
        <w:tblLook w:val="04A0" w:firstRow="1" w:lastRow="0" w:firstColumn="1" w:lastColumn="0" w:noHBand="0" w:noVBand="1"/>
      </w:tblPr>
      <w:tblGrid>
        <w:gridCol w:w="1880"/>
        <w:gridCol w:w="1440"/>
        <w:gridCol w:w="1220"/>
        <w:gridCol w:w="4640"/>
      </w:tblGrid>
      <w:tr w:rsidR="008F1E8D" w:rsidRPr="008F1E8D" w14:paraId="1BD3BF4C" w14:textId="77777777" w:rsidTr="0004383B">
        <w:trPr>
          <w:trHeight w:val="1140"/>
          <w:jc w:val="center"/>
        </w:trPr>
        <w:tc>
          <w:tcPr>
            <w:tcW w:w="9180" w:type="dxa"/>
            <w:gridSpan w:val="4"/>
            <w:tcBorders>
              <w:top w:val="single" w:sz="8" w:space="0" w:color="auto"/>
              <w:left w:val="single" w:sz="8" w:space="0" w:color="auto"/>
              <w:bottom w:val="single" w:sz="8" w:space="0" w:color="auto"/>
              <w:right w:val="single" w:sz="8" w:space="0" w:color="000000"/>
            </w:tcBorders>
            <w:shd w:val="clear" w:color="000000" w:fill="DDEBF7"/>
            <w:vAlign w:val="center"/>
            <w:hideMark/>
          </w:tcPr>
          <w:p w14:paraId="77087DEC" w14:textId="060A1DC4" w:rsidR="008F1E8D" w:rsidRPr="008F1E8D" w:rsidRDefault="008F1E8D" w:rsidP="008F1E8D">
            <w:pPr>
              <w:jc w:val="center"/>
              <w:rPr>
                <w:rFonts w:ascii="Calibri" w:hAnsi="Calibri" w:cs="Calibri"/>
                <w:b/>
                <w:bCs/>
                <w:color w:val="000000"/>
                <w:szCs w:val="24"/>
              </w:rPr>
            </w:pPr>
            <w:r w:rsidRPr="008F1E8D">
              <w:rPr>
                <w:rFonts w:ascii="Calibri" w:hAnsi="Calibri" w:cs="Calibri"/>
                <w:b/>
                <w:bCs/>
                <w:color w:val="000000"/>
                <w:szCs w:val="24"/>
              </w:rPr>
              <w:t>Table 1.1-1; Vogtle 3 &amp; 4 Forecasted Capital Construction Costs per GPSC Order VCM 17 (dated January 2018)</w:t>
            </w:r>
            <w:r w:rsidR="0004383B">
              <w:rPr>
                <w:rFonts w:ascii="Calibri" w:hAnsi="Calibri" w:cs="Calibri"/>
                <w:b/>
                <w:bCs/>
                <w:color w:val="000000"/>
                <w:szCs w:val="24"/>
              </w:rPr>
              <w:t xml:space="preserve"> then Reprojected in VCM 19</w:t>
            </w:r>
          </w:p>
        </w:tc>
      </w:tr>
      <w:tr w:rsidR="008F1E8D" w:rsidRPr="008F1E8D" w14:paraId="7B85901A" w14:textId="77777777" w:rsidTr="0004383B">
        <w:trPr>
          <w:trHeight w:val="744"/>
          <w:jc w:val="center"/>
        </w:trPr>
        <w:tc>
          <w:tcPr>
            <w:tcW w:w="1880" w:type="dxa"/>
            <w:tcBorders>
              <w:top w:val="nil"/>
              <w:left w:val="single" w:sz="8" w:space="0" w:color="auto"/>
              <w:bottom w:val="single" w:sz="8" w:space="0" w:color="auto"/>
              <w:right w:val="single" w:sz="8" w:space="0" w:color="auto"/>
            </w:tcBorders>
            <w:shd w:val="clear" w:color="000000" w:fill="FCE4D6"/>
            <w:noWrap/>
            <w:vAlign w:val="center"/>
            <w:hideMark/>
          </w:tcPr>
          <w:p w14:paraId="255E8421"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Cost Categories</w:t>
            </w:r>
          </w:p>
        </w:tc>
        <w:tc>
          <w:tcPr>
            <w:tcW w:w="1440" w:type="dxa"/>
            <w:tcBorders>
              <w:top w:val="nil"/>
              <w:left w:val="nil"/>
              <w:bottom w:val="single" w:sz="8" w:space="0" w:color="auto"/>
              <w:right w:val="single" w:sz="8" w:space="0" w:color="auto"/>
            </w:tcBorders>
            <w:shd w:val="clear" w:color="000000" w:fill="FCE4D6"/>
            <w:vAlign w:val="center"/>
            <w:hideMark/>
          </w:tcPr>
          <w:p w14:paraId="35FF9E56"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TPC @ 100% Equity</w:t>
            </w:r>
          </w:p>
        </w:tc>
        <w:tc>
          <w:tcPr>
            <w:tcW w:w="1220" w:type="dxa"/>
            <w:tcBorders>
              <w:top w:val="nil"/>
              <w:left w:val="nil"/>
              <w:bottom w:val="single" w:sz="8" w:space="0" w:color="auto"/>
              <w:right w:val="single" w:sz="8" w:space="0" w:color="auto"/>
            </w:tcBorders>
            <w:shd w:val="clear" w:color="000000" w:fill="FCE4D6"/>
            <w:vAlign w:val="center"/>
            <w:hideMark/>
          </w:tcPr>
          <w:p w14:paraId="2A6A137F"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GPC @ 45.7%</w:t>
            </w:r>
          </w:p>
        </w:tc>
        <w:tc>
          <w:tcPr>
            <w:tcW w:w="4640" w:type="dxa"/>
            <w:tcBorders>
              <w:top w:val="nil"/>
              <w:left w:val="nil"/>
              <w:bottom w:val="single" w:sz="8" w:space="0" w:color="auto"/>
              <w:right w:val="single" w:sz="8" w:space="0" w:color="auto"/>
            </w:tcBorders>
            <w:shd w:val="clear" w:color="000000" w:fill="FCE4D6"/>
            <w:noWrap/>
            <w:vAlign w:val="center"/>
            <w:hideMark/>
          </w:tcPr>
          <w:p w14:paraId="427AC933"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Remarks</w:t>
            </w:r>
          </w:p>
        </w:tc>
      </w:tr>
      <w:tr w:rsidR="008F1E8D" w:rsidRPr="008F1E8D" w14:paraId="0041C8F2" w14:textId="77777777" w:rsidTr="0004383B">
        <w:trPr>
          <w:trHeight w:val="636"/>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DF628D6"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Total Shareable Costs</w:t>
            </w:r>
          </w:p>
        </w:tc>
        <w:tc>
          <w:tcPr>
            <w:tcW w:w="1440" w:type="dxa"/>
            <w:tcBorders>
              <w:top w:val="nil"/>
              <w:left w:val="nil"/>
              <w:bottom w:val="single" w:sz="8" w:space="0" w:color="auto"/>
              <w:right w:val="single" w:sz="8" w:space="0" w:color="auto"/>
            </w:tcBorders>
            <w:shd w:val="clear" w:color="auto" w:fill="auto"/>
            <w:noWrap/>
            <w:vAlign w:val="center"/>
            <w:hideMark/>
          </w:tcPr>
          <w:p w14:paraId="77896917"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$17.104 B</w:t>
            </w:r>
          </w:p>
        </w:tc>
        <w:tc>
          <w:tcPr>
            <w:tcW w:w="1220" w:type="dxa"/>
            <w:tcBorders>
              <w:top w:val="nil"/>
              <w:left w:val="nil"/>
              <w:bottom w:val="single" w:sz="8" w:space="0" w:color="auto"/>
              <w:right w:val="single" w:sz="8" w:space="0" w:color="auto"/>
            </w:tcBorders>
            <w:shd w:val="clear" w:color="auto" w:fill="auto"/>
            <w:noWrap/>
            <w:vAlign w:val="center"/>
            <w:hideMark/>
          </w:tcPr>
          <w:p w14:paraId="6D917EE7"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$ 7.816</w:t>
            </w:r>
            <w:r w:rsidRPr="008F1E8D">
              <w:rPr>
                <w:color w:val="000000"/>
                <w:sz w:val="16"/>
                <w:szCs w:val="16"/>
              </w:rPr>
              <w:t>  </w:t>
            </w:r>
            <w:r w:rsidRPr="008F1E8D">
              <w:rPr>
                <w:rFonts w:ascii="Calibri" w:hAnsi="Calibri" w:cs="Calibri"/>
                <w:color w:val="000000"/>
                <w:szCs w:val="24"/>
              </w:rPr>
              <w:t xml:space="preserve"> B</w:t>
            </w:r>
          </w:p>
        </w:tc>
        <w:tc>
          <w:tcPr>
            <w:tcW w:w="4640" w:type="dxa"/>
            <w:tcBorders>
              <w:top w:val="nil"/>
              <w:left w:val="nil"/>
              <w:bottom w:val="single" w:sz="8" w:space="0" w:color="auto"/>
              <w:right w:val="single" w:sz="8" w:space="0" w:color="auto"/>
            </w:tcBorders>
            <w:shd w:val="clear" w:color="auto" w:fill="auto"/>
            <w:vAlign w:val="center"/>
            <w:hideMark/>
          </w:tcPr>
          <w:p w14:paraId="01BE6553"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Includes Construction Contingencies (TPC @ $ .800 B, W/GPC portion @ $ .366 B)</w:t>
            </w:r>
          </w:p>
        </w:tc>
      </w:tr>
      <w:tr w:rsidR="008F1E8D" w:rsidRPr="008F1E8D" w14:paraId="16D85280" w14:textId="77777777" w:rsidTr="0004383B">
        <w:trPr>
          <w:trHeight w:val="636"/>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6C68A56"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Non-Shareable GPC Costs</w:t>
            </w:r>
          </w:p>
        </w:tc>
        <w:tc>
          <w:tcPr>
            <w:tcW w:w="1440" w:type="dxa"/>
            <w:tcBorders>
              <w:top w:val="nil"/>
              <w:left w:val="nil"/>
              <w:bottom w:val="single" w:sz="8" w:space="0" w:color="auto"/>
              <w:right w:val="single" w:sz="8" w:space="0" w:color="auto"/>
            </w:tcBorders>
            <w:shd w:val="clear" w:color="auto" w:fill="auto"/>
            <w:noWrap/>
            <w:vAlign w:val="center"/>
            <w:hideMark/>
          </w:tcPr>
          <w:p w14:paraId="39B5EC57"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1220" w:type="dxa"/>
            <w:tcBorders>
              <w:top w:val="nil"/>
              <w:left w:val="nil"/>
              <w:bottom w:val="single" w:sz="8" w:space="0" w:color="auto"/>
              <w:right w:val="single" w:sz="8" w:space="0" w:color="auto"/>
            </w:tcBorders>
            <w:shd w:val="clear" w:color="auto" w:fill="auto"/>
            <w:noWrap/>
            <w:vAlign w:val="center"/>
            <w:hideMark/>
          </w:tcPr>
          <w:p w14:paraId="13388CDE"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4640" w:type="dxa"/>
            <w:tcBorders>
              <w:top w:val="nil"/>
              <w:left w:val="nil"/>
              <w:bottom w:val="single" w:sz="8" w:space="0" w:color="auto"/>
              <w:right w:val="single" w:sz="8" w:space="0" w:color="auto"/>
            </w:tcBorders>
            <w:shd w:val="clear" w:color="auto" w:fill="auto"/>
            <w:noWrap/>
            <w:vAlign w:val="center"/>
            <w:hideMark/>
          </w:tcPr>
          <w:p w14:paraId="7B80CA28"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r>
      <w:tr w:rsidR="008F1E8D" w:rsidRPr="008F1E8D" w14:paraId="313AC233" w14:textId="77777777" w:rsidTr="0004383B">
        <w:trPr>
          <w:trHeight w:val="324"/>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03E1B69F"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xml:space="preserve">   Owners Costs</w:t>
            </w:r>
          </w:p>
        </w:tc>
        <w:tc>
          <w:tcPr>
            <w:tcW w:w="1440" w:type="dxa"/>
            <w:tcBorders>
              <w:top w:val="nil"/>
              <w:left w:val="nil"/>
              <w:bottom w:val="single" w:sz="8" w:space="0" w:color="auto"/>
              <w:right w:val="single" w:sz="8" w:space="0" w:color="auto"/>
            </w:tcBorders>
            <w:shd w:val="clear" w:color="auto" w:fill="auto"/>
            <w:noWrap/>
            <w:vAlign w:val="center"/>
            <w:hideMark/>
          </w:tcPr>
          <w:p w14:paraId="05279522"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1220" w:type="dxa"/>
            <w:tcBorders>
              <w:top w:val="nil"/>
              <w:left w:val="nil"/>
              <w:bottom w:val="single" w:sz="8" w:space="0" w:color="auto"/>
              <w:right w:val="single" w:sz="8" w:space="0" w:color="auto"/>
            </w:tcBorders>
            <w:shd w:val="clear" w:color="auto" w:fill="auto"/>
            <w:noWrap/>
            <w:vAlign w:val="center"/>
            <w:hideMark/>
          </w:tcPr>
          <w:p w14:paraId="5A90E2A3"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$ 1,173 B</w:t>
            </w:r>
          </w:p>
        </w:tc>
        <w:tc>
          <w:tcPr>
            <w:tcW w:w="4640" w:type="dxa"/>
            <w:tcBorders>
              <w:top w:val="nil"/>
              <w:left w:val="nil"/>
              <w:bottom w:val="single" w:sz="8" w:space="0" w:color="auto"/>
              <w:right w:val="single" w:sz="8" w:space="0" w:color="auto"/>
            </w:tcBorders>
            <w:shd w:val="clear" w:color="auto" w:fill="auto"/>
            <w:noWrap/>
            <w:vAlign w:val="center"/>
            <w:hideMark/>
          </w:tcPr>
          <w:p w14:paraId="03536448"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r>
      <w:tr w:rsidR="008F1E8D" w:rsidRPr="008F1E8D" w14:paraId="73195780" w14:textId="77777777" w:rsidTr="0004383B">
        <w:trPr>
          <w:trHeight w:val="324"/>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638E02B"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xml:space="preserve">   Ad Valorem Tax</w:t>
            </w:r>
          </w:p>
        </w:tc>
        <w:tc>
          <w:tcPr>
            <w:tcW w:w="1440" w:type="dxa"/>
            <w:tcBorders>
              <w:top w:val="nil"/>
              <w:left w:val="nil"/>
              <w:bottom w:val="single" w:sz="8" w:space="0" w:color="auto"/>
              <w:right w:val="single" w:sz="8" w:space="0" w:color="auto"/>
            </w:tcBorders>
            <w:shd w:val="clear" w:color="auto" w:fill="auto"/>
            <w:noWrap/>
            <w:vAlign w:val="center"/>
            <w:hideMark/>
          </w:tcPr>
          <w:p w14:paraId="3EFCA099"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1220" w:type="dxa"/>
            <w:tcBorders>
              <w:top w:val="nil"/>
              <w:left w:val="nil"/>
              <w:bottom w:val="single" w:sz="8" w:space="0" w:color="auto"/>
              <w:right w:val="single" w:sz="8" w:space="0" w:color="auto"/>
            </w:tcBorders>
            <w:shd w:val="clear" w:color="auto" w:fill="auto"/>
            <w:noWrap/>
            <w:vAlign w:val="center"/>
            <w:hideMark/>
          </w:tcPr>
          <w:p w14:paraId="7CA9D24A"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 .273 B</w:t>
            </w:r>
          </w:p>
        </w:tc>
        <w:tc>
          <w:tcPr>
            <w:tcW w:w="4640" w:type="dxa"/>
            <w:tcBorders>
              <w:top w:val="nil"/>
              <w:left w:val="nil"/>
              <w:bottom w:val="single" w:sz="8" w:space="0" w:color="auto"/>
              <w:right w:val="single" w:sz="8" w:space="0" w:color="auto"/>
            </w:tcBorders>
            <w:shd w:val="clear" w:color="auto" w:fill="auto"/>
            <w:noWrap/>
            <w:vAlign w:val="center"/>
            <w:hideMark/>
          </w:tcPr>
          <w:p w14:paraId="19F55061"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r>
      <w:tr w:rsidR="008F1E8D" w:rsidRPr="008F1E8D" w14:paraId="5B9EA15B" w14:textId="77777777" w:rsidTr="0004383B">
        <w:trPr>
          <w:trHeight w:val="324"/>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E3EC788"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xml:space="preserve">   Toshiba Refund</w:t>
            </w:r>
          </w:p>
        </w:tc>
        <w:tc>
          <w:tcPr>
            <w:tcW w:w="1440" w:type="dxa"/>
            <w:tcBorders>
              <w:top w:val="nil"/>
              <w:left w:val="nil"/>
              <w:bottom w:val="single" w:sz="8" w:space="0" w:color="auto"/>
              <w:right w:val="single" w:sz="8" w:space="0" w:color="auto"/>
            </w:tcBorders>
            <w:shd w:val="clear" w:color="auto" w:fill="auto"/>
            <w:noWrap/>
            <w:vAlign w:val="center"/>
            <w:hideMark/>
          </w:tcPr>
          <w:p w14:paraId="397973F7"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1220" w:type="dxa"/>
            <w:tcBorders>
              <w:top w:val="nil"/>
              <w:left w:val="nil"/>
              <w:bottom w:val="single" w:sz="8" w:space="0" w:color="auto"/>
              <w:right w:val="single" w:sz="8" w:space="0" w:color="auto"/>
            </w:tcBorders>
            <w:shd w:val="clear" w:color="auto" w:fill="auto"/>
            <w:noWrap/>
            <w:vAlign w:val="center"/>
            <w:hideMark/>
          </w:tcPr>
          <w:p w14:paraId="0362901E" w14:textId="77777777" w:rsidR="008F1E8D" w:rsidRPr="008F1E8D" w:rsidRDefault="008F1E8D" w:rsidP="008F1E8D">
            <w:pPr>
              <w:jc w:val="center"/>
              <w:rPr>
                <w:rFonts w:ascii="Calibri" w:hAnsi="Calibri" w:cs="Calibri"/>
                <w:color w:val="000000"/>
                <w:sz w:val="22"/>
                <w:szCs w:val="22"/>
              </w:rPr>
            </w:pPr>
            <w:r w:rsidRPr="008F1E8D">
              <w:rPr>
                <w:rFonts w:ascii="Calibri" w:hAnsi="Calibri" w:cs="Calibri"/>
                <w:color w:val="000000"/>
                <w:sz w:val="22"/>
                <w:szCs w:val="22"/>
              </w:rPr>
              <w:t>$ (1,493 B)</w:t>
            </w:r>
          </w:p>
        </w:tc>
        <w:tc>
          <w:tcPr>
            <w:tcW w:w="4640" w:type="dxa"/>
            <w:tcBorders>
              <w:top w:val="nil"/>
              <w:left w:val="nil"/>
              <w:bottom w:val="single" w:sz="8" w:space="0" w:color="auto"/>
              <w:right w:val="single" w:sz="8" w:space="0" w:color="auto"/>
            </w:tcBorders>
            <w:shd w:val="clear" w:color="auto" w:fill="auto"/>
            <w:noWrap/>
            <w:vAlign w:val="center"/>
            <w:hideMark/>
          </w:tcPr>
          <w:p w14:paraId="773F8A04"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r>
      <w:tr w:rsidR="008F1E8D" w:rsidRPr="008F1E8D" w14:paraId="0DA62729" w14:textId="77777777" w:rsidTr="0004383B">
        <w:trPr>
          <w:trHeight w:val="636"/>
          <w:jc w:val="center"/>
        </w:trPr>
        <w:tc>
          <w:tcPr>
            <w:tcW w:w="1880" w:type="dxa"/>
            <w:tcBorders>
              <w:top w:val="nil"/>
              <w:left w:val="single" w:sz="8" w:space="0" w:color="auto"/>
              <w:bottom w:val="single" w:sz="8" w:space="0" w:color="auto"/>
              <w:right w:val="single" w:sz="8" w:space="0" w:color="auto"/>
            </w:tcBorders>
            <w:shd w:val="clear" w:color="auto" w:fill="auto"/>
            <w:vAlign w:val="bottom"/>
            <w:hideMark/>
          </w:tcPr>
          <w:p w14:paraId="6FA0FB18"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xml:space="preserve">   Absorbed by GPC</w:t>
            </w:r>
          </w:p>
        </w:tc>
        <w:tc>
          <w:tcPr>
            <w:tcW w:w="1440" w:type="dxa"/>
            <w:tcBorders>
              <w:top w:val="nil"/>
              <w:left w:val="nil"/>
              <w:bottom w:val="single" w:sz="8" w:space="0" w:color="auto"/>
              <w:right w:val="single" w:sz="8" w:space="0" w:color="auto"/>
            </w:tcBorders>
            <w:shd w:val="clear" w:color="auto" w:fill="auto"/>
            <w:noWrap/>
            <w:vAlign w:val="center"/>
            <w:hideMark/>
          </w:tcPr>
          <w:p w14:paraId="0DCDBC29"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1220" w:type="dxa"/>
            <w:tcBorders>
              <w:top w:val="nil"/>
              <w:left w:val="nil"/>
              <w:bottom w:val="single" w:sz="8" w:space="0" w:color="auto"/>
              <w:right w:val="single" w:sz="8" w:space="0" w:color="auto"/>
            </w:tcBorders>
            <w:shd w:val="clear" w:color="auto" w:fill="auto"/>
            <w:noWrap/>
            <w:vAlign w:val="center"/>
            <w:hideMark/>
          </w:tcPr>
          <w:p w14:paraId="28B82EDD"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 .694 B)</w:t>
            </w:r>
          </w:p>
        </w:tc>
        <w:tc>
          <w:tcPr>
            <w:tcW w:w="4640" w:type="dxa"/>
            <w:tcBorders>
              <w:top w:val="nil"/>
              <w:left w:val="nil"/>
              <w:bottom w:val="single" w:sz="8" w:space="0" w:color="auto"/>
              <w:right w:val="single" w:sz="8" w:space="0" w:color="auto"/>
            </w:tcBorders>
            <w:shd w:val="clear" w:color="auto" w:fill="auto"/>
            <w:noWrap/>
            <w:vAlign w:val="center"/>
            <w:hideMark/>
          </w:tcPr>
          <w:p w14:paraId="3CEA9014" w14:textId="59266E35" w:rsidR="008F1E8D" w:rsidRPr="008F1E8D" w:rsidRDefault="008F1E8D" w:rsidP="0004383B">
            <w:pPr>
              <w:jc w:val="center"/>
              <w:rPr>
                <w:rFonts w:ascii="Calibri" w:hAnsi="Calibri" w:cs="Calibri"/>
                <w:color w:val="000000"/>
                <w:szCs w:val="24"/>
              </w:rPr>
            </w:pPr>
            <w:r w:rsidRPr="008F1E8D">
              <w:rPr>
                <w:rFonts w:ascii="Calibri" w:hAnsi="Calibri" w:cs="Calibri"/>
                <w:color w:val="000000"/>
                <w:szCs w:val="24"/>
              </w:rPr>
              <w:t>Write off</w:t>
            </w:r>
          </w:p>
        </w:tc>
      </w:tr>
      <w:tr w:rsidR="008F1E8D" w:rsidRPr="008F1E8D" w14:paraId="77570B6E" w14:textId="77777777" w:rsidTr="0004383B">
        <w:trPr>
          <w:trHeight w:val="126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A3905D8"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xml:space="preserve">   Deduct GPC Portion of Construction Contingency</w:t>
            </w:r>
          </w:p>
        </w:tc>
        <w:tc>
          <w:tcPr>
            <w:tcW w:w="1440" w:type="dxa"/>
            <w:tcBorders>
              <w:top w:val="nil"/>
              <w:left w:val="nil"/>
              <w:bottom w:val="single" w:sz="8" w:space="0" w:color="auto"/>
              <w:right w:val="single" w:sz="8" w:space="0" w:color="auto"/>
            </w:tcBorders>
            <w:shd w:val="clear" w:color="auto" w:fill="auto"/>
            <w:noWrap/>
            <w:vAlign w:val="center"/>
            <w:hideMark/>
          </w:tcPr>
          <w:p w14:paraId="38A200EB"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1220" w:type="dxa"/>
            <w:tcBorders>
              <w:top w:val="nil"/>
              <w:left w:val="nil"/>
              <w:bottom w:val="single" w:sz="8" w:space="0" w:color="auto"/>
              <w:right w:val="single" w:sz="8" w:space="0" w:color="auto"/>
            </w:tcBorders>
            <w:shd w:val="clear" w:color="auto" w:fill="auto"/>
            <w:noWrap/>
            <w:vAlign w:val="center"/>
            <w:hideMark/>
          </w:tcPr>
          <w:p w14:paraId="3A09FBDB"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 .366 B)</w:t>
            </w:r>
          </w:p>
        </w:tc>
        <w:tc>
          <w:tcPr>
            <w:tcW w:w="4640" w:type="dxa"/>
            <w:tcBorders>
              <w:top w:val="nil"/>
              <w:left w:val="nil"/>
              <w:bottom w:val="single" w:sz="8" w:space="0" w:color="auto"/>
              <w:right w:val="single" w:sz="8" w:space="0" w:color="auto"/>
            </w:tcBorders>
            <w:shd w:val="clear" w:color="auto" w:fill="auto"/>
            <w:vAlign w:val="center"/>
            <w:hideMark/>
          </w:tcPr>
          <w:p w14:paraId="2C0FDB26" w14:textId="325EC6CA"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Write off</w:t>
            </w:r>
            <w:r w:rsidR="0004383B">
              <w:rPr>
                <w:rFonts w:ascii="Calibri" w:hAnsi="Calibri" w:cs="Calibri"/>
                <w:color w:val="000000"/>
                <w:szCs w:val="24"/>
              </w:rPr>
              <w:t>,</w:t>
            </w:r>
            <w:r w:rsidRPr="008F1E8D">
              <w:rPr>
                <w:rFonts w:ascii="Calibri" w:hAnsi="Calibri" w:cs="Calibri"/>
                <w:color w:val="000000"/>
                <w:szCs w:val="24"/>
              </w:rPr>
              <w:t xml:space="preserve"> but reserved to bring back to the commission</w:t>
            </w:r>
          </w:p>
        </w:tc>
      </w:tr>
      <w:tr w:rsidR="008F1E8D" w:rsidRPr="008F1E8D" w14:paraId="6BEC1C56" w14:textId="77777777" w:rsidTr="0004383B">
        <w:trPr>
          <w:trHeight w:val="1056"/>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15E77DD"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Total GPC Capital Construction Cost</w:t>
            </w:r>
          </w:p>
        </w:tc>
        <w:tc>
          <w:tcPr>
            <w:tcW w:w="1440" w:type="dxa"/>
            <w:tcBorders>
              <w:top w:val="nil"/>
              <w:left w:val="nil"/>
              <w:bottom w:val="single" w:sz="8" w:space="0" w:color="auto"/>
              <w:right w:val="single" w:sz="8" w:space="0" w:color="auto"/>
            </w:tcBorders>
            <w:shd w:val="clear" w:color="auto" w:fill="auto"/>
            <w:noWrap/>
            <w:vAlign w:val="center"/>
            <w:hideMark/>
          </w:tcPr>
          <w:p w14:paraId="002951B3" w14:textId="7777777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t>
            </w:r>
          </w:p>
        </w:tc>
        <w:tc>
          <w:tcPr>
            <w:tcW w:w="1220" w:type="dxa"/>
            <w:tcBorders>
              <w:top w:val="nil"/>
              <w:left w:val="nil"/>
              <w:bottom w:val="single" w:sz="8" w:space="0" w:color="auto"/>
              <w:right w:val="single" w:sz="8" w:space="0" w:color="auto"/>
            </w:tcBorders>
            <w:shd w:val="clear" w:color="auto" w:fill="auto"/>
            <w:noWrap/>
            <w:vAlign w:val="center"/>
            <w:hideMark/>
          </w:tcPr>
          <w:p w14:paraId="4C2FEF88" w14:textId="77777777" w:rsidR="008F1E8D" w:rsidRPr="008F1E8D" w:rsidRDefault="008F1E8D" w:rsidP="008F1E8D">
            <w:pPr>
              <w:jc w:val="center"/>
              <w:rPr>
                <w:rFonts w:ascii="Calibri" w:hAnsi="Calibri" w:cs="Calibri"/>
                <w:color w:val="000000"/>
                <w:szCs w:val="24"/>
              </w:rPr>
            </w:pPr>
            <w:r w:rsidRPr="008F1E8D">
              <w:rPr>
                <w:rFonts w:ascii="Calibri" w:hAnsi="Calibri" w:cs="Calibri"/>
                <w:color w:val="000000"/>
                <w:szCs w:val="24"/>
              </w:rPr>
              <w:t>$ 7.300 B</w:t>
            </w:r>
          </w:p>
        </w:tc>
        <w:tc>
          <w:tcPr>
            <w:tcW w:w="4640" w:type="dxa"/>
            <w:tcBorders>
              <w:top w:val="nil"/>
              <w:left w:val="nil"/>
              <w:bottom w:val="single" w:sz="8" w:space="0" w:color="auto"/>
              <w:right w:val="single" w:sz="8" w:space="0" w:color="auto"/>
            </w:tcBorders>
            <w:shd w:val="clear" w:color="auto" w:fill="auto"/>
            <w:vAlign w:val="center"/>
            <w:hideMark/>
          </w:tcPr>
          <w:p w14:paraId="66051464" w14:textId="4420A647" w:rsidR="008F1E8D" w:rsidRPr="008F1E8D" w:rsidRDefault="008F1E8D" w:rsidP="008F1E8D">
            <w:pPr>
              <w:rPr>
                <w:rFonts w:ascii="Calibri" w:hAnsi="Calibri" w:cs="Calibri"/>
                <w:color w:val="000000"/>
                <w:szCs w:val="24"/>
              </w:rPr>
            </w:pPr>
            <w:r w:rsidRPr="008F1E8D">
              <w:rPr>
                <w:rFonts w:ascii="Calibri" w:hAnsi="Calibri" w:cs="Calibri"/>
                <w:color w:val="000000"/>
                <w:szCs w:val="24"/>
              </w:rPr>
              <w:t> With the above adjustments</w:t>
            </w:r>
            <w:r>
              <w:rPr>
                <w:rFonts w:ascii="Calibri" w:hAnsi="Calibri" w:cs="Calibri"/>
                <w:color w:val="000000"/>
                <w:szCs w:val="24"/>
              </w:rPr>
              <w:t>,</w:t>
            </w:r>
            <w:r w:rsidRPr="008F1E8D">
              <w:rPr>
                <w:rFonts w:ascii="Calibri" w:hAnsi="Calibri" w:cs="Calibri"/>
                <w:color w:val="000000"/>
                <w:szCs w:val="24"/>
              </w:rPr>
              <w:t xml:space="preserve"> the $ 7.3 B specified in the Commission’s Order VCM dated January 2018 did not change.</w:t>
            </w:r>
          </w:p>
        </w:tc>
      </w:tr>
    </w:tbl>
    <w:p w14:paraId="1BF89E86" w14:textId="77777777" w:rsidR="007B7DBE" w:rsidRDefault="007B7DBE" w:rsidP="002F1B4C">
      <w:pPr>
        <w:jc w:val="center"/>
      </w:pPr>
    </w:p>
    <w:p w14:paraId="198CB482" w14:textId="77777777" w:rsidR="002F1B4C" w:rsidRDefault="002F1B4C" w:rsidP="002F1B4C">
      <w:pPr>
        <w:jc w:val="center"/>
      </w:pPr>
    </w:p>
    <w:p w14:paraId="408F85D6" w14:textId="4C4EF799" w:rsidR="00AA4E90" w:rsidRPr="00DF352A" w:rsidRDefault="00AA4E90" w:rsidP="00AA4E90">
      <w:pPr>
        <w:jc w:val="both"/>
      </w:pPr>
      <w:r>
        <w:t xml:space="preserve">Going back to the inception of the </w:t>
      </w:r>
      <w:r w:rsidR="00E320EB">
        <w:t>P</w:t>
      </w:r>
      <w:r>
        <w:t>roject,</w:t>
      </w:r>
      <w:r w:rsidRPr="00DF352A" w:rsidDel="001678FA">
        <w:t xml:space="preserve"> </w:t>
      </w:r>
      <w:r>
        <w:t>d</w:t>
      </w:r>
      <w:r w:rsidRPr="00DF352A">
        <w:t xml:space="preserve">uring the </w:t>
      </w:r>
      <w:r w:rsidR="004243F7" w:rsidRPr="00DF352A">
        <w:t>period</w:t>
      </w:r>
      <w:r w:rsidRPr="00DF352A">
        <w:t xml:space="preserve"> of roughly 2006 – 2012 there was talk of a “Nuclear Renaissance”, and </w:t>
      </w:r>
      <w:r>
        <w:t xml:space="preserve">it was during this </w:t>
      </w:r>
      <w:r w:rsidR="009F22AD">
        <w:t xml:space="preserve">period </w:t>
      </w:r>
      <w:r>
        <w:t>in 2008 that</w:t>
      </w:r>
      <w:r w:rsidRPr="00DF352A">
        <w:t xml:space="preserve"> an EPC contract was negotiated between </w:t>
      </w:r>
      <w:r w:rsidR="00D16E18">
        <w:t>the Co-</w:t>
      </w:r>
      <w:r w:rsidR="00015472">
        <w:t xml:space="preserve">Owners </w:t>
      </w:r>
      <w:r w:rsidR="00015472" w:rsidRPr="00DF352A">
        <w:t>and</w:t>
      </w:r>
      <w:r w:rsidRPr="00DF352A">
        <w:t xml:space="preserve"> the EPC Contractor (WEC).  The initial </w:t>
      </w:r>
      <w:r>
        <w:t xml:space="preserve">total Project Cost (100% equity shared cost, i.e., TPC) was forecast at roughly $ 10 billion </w:t>
      </w:r>
      <w:r w:rsidRPr="00DF352A">
        <w:t>with CODs forecast for</w:t>
      </w:r>
      <w:r>
        <w:t xml:space="preserve"> April 2016/ April 2017 (for U-3 and U-4, respectively)</w:t>
      </w:r>
      <w:r w:rsidRPr="00DF352A">
        <w:t xml:space="preserve">.  </w:t>
      </w:r>
      <w:r>
        <w:t xml:space="preserve">Further, </w:t>
      </w:r>
      <w:r w:rsidR="004243F7">
        <w:t>considering</w:t>
      </w:r>
      <w:r>
        <w:t xml:space="preserve"> a fixed/firm price EPC contract, the risk for </w:t>
      </w:r>
      <w:r w:rsidR="00D16E18">
        <w:t>P</w:t>
      </w:r>
      <w:r>
        <w:t xml:space="preserve">roject over-runs was borne primarily by the Consortium. </w:t>
      </w:r>
    </w:p>
    <w:p w14:paraId="5D0E2E1F" w14:textId="77777777" w:rsidR="00AA4E90" w:rsidRDefault="00AA4E90" w:rsidP="00AA4E90">
      <w:pPr>
        <w:jc w:val="both"/>
      </w:pPr>
    </w:p>
    <w:p w14:paraId="0C731DF7" w14:textId="14EF0E9B" w:rsidR="00EB64E3" w:rsidRDefault="002741EB" w:rsidP="00AA4E90">
      <w:pPr>
        <w:jc w:val="both"/>
      </w:pPr>
      <w:r>
        <w:t xml:space="preserve">What is important is that during the </w:t>
      </w:r>
      <w:r w:rsidR="004243F7">
        <w:t>time</w:t>
      </w:r>
      <w:r>
        <w:t xml:space="preserve"> of 2007 – 2009 license applications were submitted to the NRC for seven new dual unit AP 1000 plants</w:t>
      </w:r>
      <w:r w:rsidR="008A76F8">
        <w:t xml:space="preserve"> (which accounts 14 total new plants), the costs of which were being based on numerous “bases of estimate” assumptions which had been used in developing the cost estimates.  </w:t>
      </w:r>
      <w:r w:rsidR="00EB64E3">
        <w:t>Starting in 2013, however, License Applications started being suspended or withdrawn, and b</w:t>
      </w:r>
      <w:r w:rsidR="008A76F8">
        <w:t xml:space="preserve">y the time </w:t>
      </w:r>
      <w:r w:rsidR="008A76F8">
        <w:lastRenderedPageBreak/>
        <w:t xml:space="preserve">WEC went bankrupt in March 2017, followed by the cancellation of the VC Sumer project in July 2017, the Vogtle Project was the only remaining </w:t>
      </w:r>
      <w:r w:rsidR="004243F7">
        <w:t xml:space="preserve">dual unit </w:t>
      </w:r>
      <w:r w:rsidR="008A76F8">
        <w:t>AP 1000 project.  The spreading of costs (be it engineering, development and maintenance</w:t>
      </w:r>
      <w:r w:rsidR="009F22AD">
        <w:t>/ operation</w:t>
      </w:r>
      <w:r w:rsidR="008A76F8">
        <w:t xml:space="preserve"> of the modular facility, and other elements of cost) which were assumed in the initial development of cost and schedule estimates </w:t>
      </w:r>
      <w:r w:rsidR="00D16E18">
        <w:t xml:space="preserve">by WEC </w:t>
      </w:r>
      <w:r w:rsidR="008A76F8">
        <w:t>w</w:t>
      </w:r>
      <w:r w:rsidR="00EB64E3">
        <w:t>as</w:t>
      </w:r>
      <w:r w:rsidR="008A76F8">
        <w:t xml:space="preserve"> no longer achievable.  Other bases of estimate assumptions included having a qualified nuclear work force; however, with the drop in AP 1000 projects, together with the stoppage of another 14 new US Reactor Plants (of different designs), that assumption also went by the boards</w:t>
      </w:r>
      <w:r w:rsidR="00EB64E3">
        <w:t>, and the cost and schedule risks had increased dramatically.</w:t>
      </w:r>
      <w:r w:rsidR="008A76F8">
        <w:t xml:space="preserve">  </w:t>
      </w:r>
      <w:r w:rsidR="00EB64E3">
        <w:t>And compounding the problem was mismanagement by WEC</w:t>
      </w:r>
      <w:r w:rsidR="009F22AD">
        <w:t xml:space="preserve"> (e.g., with an impeding bankruptcy, it is reasonable to assume that </w:t>
      </w:r>
      <w:r w:rsidR="00971BC8">
        <w:t xml:space="preserve">still in process engineering efforts were slowed or curtailed, </w:t>
      </w:r>
      <w:r w:rsidR="009F22AD">
        <w:t xml:space="preserve">quality records were lacking, components installed early in the plants or sitting </w:t>
      </w:r>
      <w:r w:rsidR="00A005D1">
        <w:t xml:space="preserve">in </w:t>
      </w:r>
      <w:r w:rsidR="009F22AD">
        <w:t xml:space="preserve">the warehouse were not being properly maintained, etc.) </w:t>
      </w:r>
      <w:r w:rsidR="00EB64E3">
        <w:t xml:space="preserve"> </w:t>
      </w:r>
    </w:p>
    <w:p w14:paraId="41BFB15D" w14:textId="2CAB1141" w:rsidR="00AA4E90" w:rsidRDefault="00AA4E90" w:rsidP="00AA4E90"/>
    <w:p w14:paraId="184F8052" w14:textId="745F921A" w:rsidR="00971BC8" w:rsidRDefault="00971BC8" w:rsidP="00971BC8">
      <w:pPr>
        <w:pStyle w:val="ListParagraph"/>
        <w:ind w:left="0"/>
      </w:pPr>
      <w:r w:rsidRPr="00223F1D">
        <w:rPr>
          <w:b/>
          <w:szCs w:val="24"/>
        </w:rPr>
        <w:t xml:space="preserve">1.2. </w:t>
      </w:r>
      <w:r w:rsidR="00CE004F" w:rsidRPr="00D94F68">
        <w:rPr>
          <w:b/>
          <w:bCs/>
        </w:rPr>
        <w:t xml:space="preserve">Cost Estimates for New </w:t>
      </w:r>
      <w:proofErr w:type="spellStart"/>
      <w:r w:rsidR="00CE004F" w:rsidRPr="00D94F68">
        <w:rPr>
          <w:b/>
          <w:bCs/>
        </w:rPr>
        <w:t>AP1000</w:t>
      </w:r>
      <w:proofErr w:type="spellEnd"/>
      <w:r w:rsidR="00CE004F" w:rsidRPr="00D94F68">
        <w:rPr>
          <w:b/>
          <w:bCs/>
        </w:rPr>
        <w:t xml:space="preserve"> Dual Unit Sites:  </w:t>
      </w:r>
      <w:r w:rsidR="00CE004F" w:rsidRPr="000A543C">
        <w:t xml:space="preserve">Several VMG personnel participated in efforts to independently validate cost and schedule estimates for 3 dual unit AP 1000 sites (i.e., William Lee, Turkey Point, and VC Summer).  </w:t>
      </w:r>
      <w:r w:rsidRPr="000A543C">
        <w:t xml:space="preserve">In addition, </w:t>
      </w:r>
      <w:r>
        <w:t xml:space="preserve">both </w:t>
      </w:r>
      <w:r w:rsidRPr="000A543C">
        <w:t>Southern Company</w:t>
      </w:r>
      <w:r>
        <w:t xml:space="preserve"> and Bechtel</w:t>
      </w:r>
      <w:r w:rsidRPr="000A543C">
        <w:t xml:space="preserve"> participated in</w:t>
      </w:r>
      <w:r>
        <w:t xml:space="preserve"> </w:t>
      </w:r>
      <w:r w:rsidRPr="000A543C">
        <w:t xml:space="preserve">efforts to evaluate the cost </w:t>
      </w:r>
      <w:r>
        <w:t xml:space="preserve">and schedule </w:t>
      </w:r>
      <w:r w:rsidRPr="000A543C">
        <w:t xml:space="preserve">of AP 1000 dual unit </w:t>
      </w:r>
      <w:r w:rsidRPr="00F92FE3">
        <w:t>sites.</w:t>
      </w:r>
      <w:r w:rsidRPr="000A543C">
        <w:t xml:space="preserve"> </w:t>
      </w:r>
      <w:r>
        <w:t xml:space="preserve"> </w:t>
      </w:r>
      <w:r w:rsidR="00CE004F" w:rsidRPr="000A543C">
        <w:t xml:space="preserve">The “basis of estimate” assumptions used in developing these cost and schedule estimates included the five items listed </w:t>
      </w:r>
      <w:r w:rsidR="00D94F68">
        <w:t>below</w:t>
      </w:r>
      <w:r w:rsidR="00CE004F" w:rsidRPr="000A543C">
        <w:t xml:space="preserve">, </w:t>
      </w:r>
      <w:r>
        <w:t xml:space="preserve">but certainly did not account for the increased costs per plant due to stopping of all the other AP 1000 projects and </w:t>
      </w:r>
      <w:proofErr w:type="gramStart"/>
      <w:r>
        <w:t>all of</w:t>
      </w:r>
      <w:proofErr w:type="gramEnd"/>
      <w:r>
        <w:t xml:space="preserve"> the other risks that came with the WEC bankruptcy.</w:t>
      </w:r>
      <w:r w:rsidR="00CE004F" w:rsidRPr="000A543C">
        <w:t xml:space="preserve"> </w:t>
      </w:r>
    </w:p>
    <w:p w14:paraId="5884DE05" w14:textId="5DB24B9F" w:rsidR="00CE004F" w:rsidRDefault="00CE004F" w:rsidP="00223F1D">
      <w:pPr>
        <w:pStyle w:val="ListParagraph"/>
        <w:ind w:left="0"/>
      </w:pPr>
      <w:r w:rsidRPr="000A543C">
        <w:t xml:space="preserve"> </w:t>
      </w:r>
    </w:p>
    <w:p w14:paraId="605594FB" w14:textId="77777777" w:rsidR="00D94F68" w:rsidRPr="00131F53" w:rsidRDefault="00D94F68" w:rsidP="00D94F68">
      <w:pPr>
        <w:pStyle w:val="ListParagraph"/>
        <w:numPr>
          <w:ilvl w:val="0"/>
          <w:numId w:val="51"/>
        </w:numPr>
        <w:ind w:left="720"/>
        <w:contextualSpacing/>
      </w:pPr>
      <w:r w:rsidRPr="00131F53">
        <w:t xml:space="preserve">Changing the process for the licensing of new plants to provide greater certainty in the process and to avoid “mid-stream” design </w:t>
      </w:r>
      <w:r>
        <w:t xml:space="preserve">and construction </w:t>
      </w:r>
      <w:r w:rsidRPr="00131F53">
        <w:t>changes.</w:t>
      </w:r>
    </w:p>
    <w:p w14:paraId="4E4143F0" w14:textId="77777777" w:rsidR="00D94F68" w:rsidRPr="00131F53" w:rsidRDefault="00D94F68" w:rsidP="00D94F68">
      <w:pPr>
        <w:pStyle w:val="ListParagraph"/>
        <w:numPr>
          <w:ilvl w:val="0"/>
          <w:numId w:val="51"/>
        </w:numPr>
        <w:ind w:left="720"/>
        <w:contextualSpacing/>
        <w:jc w:val="both"/>
      </w:pPr>
      <w:r w:rsidRPr="00131F53">
        <w:t>Simplifying the design to rely on “natural forces” such as gravity for safety systems and thereby decreasing the number of “active components” (such as large pumps and valves and associated “safety grade” power supplies).</w:t>
      </w:r>
    </w:p>
    <w:p w14:paraId="38D83776" w14:textId="77777777" w:rsidR="00D94F68" w:rsidRPr="00131F53" w:rsidRDefault="00D94F68" w:rsidP="00D94F68">
      <w:pPr>
        <w:pStyle w:val="ListParagraph"/>
        <w:numPr>
          <w:ilvl w:val="0"/>
          <w:numId w:val="51"/>
        </w:numPr>
        <w:ind w:left="720"/>
        <w:contextualSpacing/>
        <w:jc w:val="both"/>
      </w:pPr>
      <w:r w:rsidRPr="00131F53">
        <w:t xml:space="preserve">Taking a more “modular approach” to design and construction where much of the construction </w:t>
      </w:r>
      <w:r>
        <w:t>w</w:t>
      </w:r>
      <w:r w:rsidRPr="00131F53">
        <w:t xml:space="preserve">ould be done in a </w:t>
      </w:r>
      <w:r>
        <w:t xml:space="preserve">production line </w:t>
      </w:r>
      <w:r w:rsidRPr="00131F53">
        <w:t xml:space="preserve">factory </w:t>
      </w:r>
      <w:r>
        <w:t xml:space="preserve">and </w:t>
      </w:r>
      <w:r w:rsidRPr="00131F53">
        <w:t>thereby achiev</w:t>
      </w:r>
      <w:r>
        <w:t>e</w:t>
      </w:r>
      <w:r w:rsidRPr="00131F53">
        <w:t xml:space="preserve"> greater construction efficiencies and </w:t>
      </w:r>
      <w:r>
        <w:t xml:space="preserve">better, more consistent </w:t>
      </w:r>
      <w:r w:rsidRPr="00131F53">
        <w:t>quality.</w:t>
      </w:r>
    </w:p>
    <w:p w14:paraId="59D48B93" w14:textId="77777777" w:rsidR="00D94F68" w:rsidRPr="00131F53" w:rsidRDefault="00D94F68" w:rsidP="00D94F68">
      <w:pPr>
        <w:pStyle w:val="ListParagraph"/>
        <w:numPr>
          <w:ilvl w:val="0"/>
          <w:numId w:val="51"/>
        </w:numPr>
        <w:ind w:left="720"/>
        <w:contextualSpacing/>
        <w:jc w:val="both"/>
      </w:pPr>
      <w:r w:rsidRPr="00131F53">
        <w:t xml:space="preserve">Utilizing </w:t>
      </w:r>
      <w:r>
        <w:t xml:space="preserve">state of the art </w:t>
      </w:r>
      <w:r w:rsidRPr="00131F53">
        <w:t>computer aided design techniques to help in the planning and execution of the construction effort and improving the maintainability of the plants once they are operational.</w:t>
      </w:r>
    </w:p>
    <w:p w14:paraId="13310DF1" w14:textId="7634AECE" w:rsidR="00D94F68" w:rsidRPr="000A543C" w:rsidRDefault="00D94F68" w:rsidP="000C4482">
      <w:pPr>
        <w:pStyle w:val="ListParagraph"/>
        <w:numPr>
          <w:ilvl w:val="0"/>
          <w:numId w:val="51"/>
        </w:numPr>
        <w:tabs>
          <w:tab w:val="left" w:pos="6557"/>
        </w:tabs>
        <w:ind w:left="720"/>
        <w:jc w:val="both"/>
      </w:pPr>
      <w:r>
        <w:t>I</w:t>
      </w:r>
      <w:r w:rsidRPr="00131F53">
        <w:t>t was assumed that with the employment opportunities that this would provide</w:t>
      </w:r>
      <w:r w:rsidR="00B072E5">
        <w:t>,</w:t>
      </w:r>
      <w:r w:rsidRPr="00131F53">
        <w:t xml:space="preserve"> greater numbers of people would become qualified to work in the demanding nuclear environment.</w:t>
      </w:r>
    </w:p>
    <w:p w14:paraId="72FBCC1D" w14:textId="77777777" w:rsidR="00971BC8" w:rsidRDefault="00971BC8" w:rsidP="00CE004F">
      <w:pPr>
        <w:tabs>
          <w:tab w:val="left" w:pos="6557"/>
        </w:tabs>
        <w:jc w:val="both"/>
      </w:pPr>
    </w:p>
    <w:p w14:paraId="465300B8" w14:textId="77777777" w:rsidR="00971BC8" w:rsidRPr="000A543C" w:rsidRDefault="00971BC8" w:rsidP="00CE004F">
      <w:pPr>
        <w:tabs>
          <w:tab w:val="left" w:pos="6557"/>
        </w:tabs>
        <w:jc w:val="both"/>
      </w:pPr>
    </w:p>
    <w:p w14:paraId="2D69A8B0" w14:textId="7EECCC4F" w:rsidR="00CE004F" w:rsidRDefault="00CE004F" w:rsidP="00CE004F">
      <w:pPr>
        <w:tabs>
          <w:tab w:val="left" w:pos="6557"/>
        </w:tabs>
        <w:jc w:val="both"/>
      </w:pPr>
      <w:r>
        <w:t>1.2.</w:t>
      </w:r>
      <w:r w:rsidRPr="00EF7723">
        <w:rPr>
          <w:u w:val="single"/>
        </w:rPr>
        <w:t>1 Cost Estimate Exclusive of Financing</w:t>
      </w:r>
      <w:r>
        <w:t xml:space="preserve">:  </w:t>
      </w:r>
      <w:r w:rsidRPr="000A543C">
        <w:t>VMG</w:t>
      </w:r>
      <w:r>
        <w:t xml:space="preserve"> personnel, through past and current efforts,</w:t>
      </w:r>
      <w:r w:rsidRPr="000A543C">
        <w:t xml:space="preserve"> ha</w:t>
      </w:r>
      <w:r>
        <w:t>ve</w:t>
      </w:r>
      <w:r w:rsidRPr="000A543C">
        <w:t xml:space="preserve"> reviewed the</w:t>
      </w:r>
      <w:r>
        <w:t xml:space="preserve"> </w:t>
      </w:r>
      <w:r w:rsidRPr="000A543C">
        <w:t xml:space="preserve">cost </w:t>
      </w:r>
      <w:r>
        <w:t>estimates</w:t>
      </w:r>
      <w:r w:rsidRPr="000A543C">
        <w:t xml:space="preserve"> for Vogtle, and </w:t>
      </w:r>
      <w:r>
        <w:t>3</w:t>
      </w:r>
      <w:r w:rsidR="00F2594A">
        <w:t xml:space="preserve"> </w:t>
      </w:r>
      <w:r>
        <w:t xml:space="preserve">other </w:t>
      </w:r>
      <w:r w:rsidRPr="000A543C">
        <w:t xml:space="preserve">dual unit AP 1000 sites and </w:t>
      </w:r>
      <w:proofErr w:type="gramStart"/>
      <w:r w:rsidRPr="000A543C">
        <w:t>has</w:t>
      </w:r>
      <w:proofErr w:type="gramEnd"/>
      <w:r w:rsidRPr="000A543C">
        <w:t xml:space="preserve"> found the</w:t>
      </w:r>
      <w:r>
        <w:t xml:space="preserve"> </w:t>
      </w:r>
      <w:r w:rsidRPr="000A543C">
        <w:t>cost</w:t>
      </w:r>
      <w:r>
        <w:t xml:space="preserve"> estimates</w:t>
      </w:r>
      <w:r w:rsidRPr="000A543C">
        <w:t xml:space="preserve"> to be relatively consistent.  </w:t>
      </w:r>
      <w:r>
        <w:t xml:space="preserve">This is demonstrated by the cost estimates provided in Table 1.2-1 below, titled “Cost Estimates of dual unit AP 1000 Plants.”  </w:t>
      </w:r>
    </w:p>
    <w:p w14:paraId="45856CC8" w14:textId="5FF39E5E" w:rsidR="00B072E5" w:rsidRDefault="00B072E5">
      <w:r>
        <w:br w:type="page"/>
      </w:r>
    </w:p>
    <w:p w14:paraId="3C9A479D" w14:textId="77777777" w:rsidR="009F22AD" w:rsidRDefault="009F22AD" w:rsidP="00B072E5">
      <w:pPr>
        <w:rPr>
          <w:b/>
          <w:szCs w:val="24"/>
          <w:highlight w:val="yellow"/>
        </w:rPr>
      </w:pPr>
    </w:p>
    <w:tbl>
      <w:tblPr>
        <w:tblW w:w="8860" w:type="dxa"/>
        <w:jc w:val="center"/>
        <w:tblLook w:val="04A0" w:firstRow="1" w:lastRow="0" w:firstColumn="1" w:lastColumn="0" w:noHBand="0" w:noVBand="1"/>
      </w:tblPr>
      <w:tblGrid>
        <w:gridCol w:w="2300"/>
        <w:gridCol w:w="1700"/>
        <w:gridCol w:w="1700"/>
        <w:gridCol w:w="3160"/>
      </w:tblGrid>
      <w:tr w:rsidR="001161BF" w:rsidRPr="001161BF" w14:paraId="3583B49E" w14:textId="77777777" w:rsidTr="001161BF">
        <w:trPr>
          <w:trHeight w:val="624"/>
          <w:jc w:val="center"/>
        </w:trPr>
        <w:tc>
          <w:tcPr>
            <w:tcW w:w="8860" w:type="dxa"/>
            <w:gridSpan w:val="4"/>
            <w:tcBorders>
              <w:top w:val="single" w:sz="8" w:space="0" w:color="auto"/>
              <w:left w:val="single" w:sz="8" w:space="0" w:color="auto"/>
              <w:bottom w:val="single" w:sz="4" w:space="0" w:color="auto"/>
              <w:right w:val="single" w:sz="8" w:space="0" w:color="000000"/>
            </w:tcBorders>
            <w:shd w:val="clear" w:color="000000" w:fill="FFF2CC"/>
            <w:vAlign w:val="center"/>
            <w:hideMark/>
          </w:tcPr>
          <w:p w14:paraId="16758533" w14:textId="77777777" w:rsidR="001161BF" w:rsidRPr="001161BF" w:rsidRDefault="001161BF" w:rsidP="001161BF">
            <w:pPr>
              <w:jc w:val="center"/>
              <w:rPr>
                <w:b/>
                <w:bCs/>
                <w:color w:val="000000"/>
                <w:szCs w:val="24"/>
              </w:rPr>
            </w:pPr>
            <w:r w:rsidRPr="001161BF">
              <w:rPr>
                <w:b/>
                <w:bCs/>
                <w:color w:val="000000"/>
                <w:szCs w:val="24"/>
              </w:rPr>
              <w:t>Table 1.2-1, Cost Estimates (excluding financing) of AP 1000 Dual Unit Sites</w:t>
            </w:r>
          </w:p>
        </w:tc>
      </w:tr>
      <w:tr w:rsidR="001161BF" w:rsidRPr="001161BF" w14:paraId="0DF7894E" w14:textId="77777777" w:rsidTr="001161BF">
        <w:trPr>
          <w:trHeight w:val="708"/>
          <w:jc w:val="center"/>
        </w:trPr>
        <w:tc>
          <w:tcPr>
            <w:tcW w:w="2300" w:type="dxa"/>
            <w:tcBorders>
              <w:top w:val="nil"/>
              <w:left w:val="single" w:sz="8" w:space="0" w:color="auto"/>
              <w:bottom w:val="single" w:sz="4" w:space="0" w:color="auto"/>
              <w:right w:val="single" w:sz="4" w:space="0" w:color="auto"/>
            </w:tcBorders>
            <w:shd w:val="clear" w:color="000000" w:fill="D9E1F2"/>
            <w:vAlign w:val="center"/>
            <w:hideMark/>
          </w:tcPr>
          <w:p w14:paraId="18B4E8FE" w14:textId="77777777" w:rsidR="001161BF" w:rsidRPr="001161BF" w:rsidRDefault="001161BF" w:rsidP="001161BF">
            <w:pPr>
              <w:jc w:val="center"/>
              <w:rPr>
                <w:color w:val="000000"/>
                <w:szCs w:val="24"/>
              </w:rPr>
            </w:pPr>
            <w:r w:rsidRPr="001161BF">
              <w:rPr>
                <w:color w:val="000000"/>
                <w:szCs w:val="24"/>
              </w:rPr>
              <w:t>Site</w:t>
            </w:r>
          </w:p>
        </w:tc>
        <w:tc>
          <w:tcPr>
            <w:tcW w:w="1700" w:type="dxa"/>
            <w:tcBorders>
              <w:top w:val="nil"/>
              <w:left w:val="nil"/>
              <w:bottom w:val="single" w:sz="4" w:space="0" w:color="auto"/>
              <w:right w:val="single" w:sz="4" w:space="0" w:color="auto"/>
            </w:tcBorders>
            <w:shd w:val="clear" w:color="000000" w:fill="D9E1F2"/>
            <w:vAlign w:val="center"/>
            <w:hideMark/>
          </w:tcPr>
          <w:p w14:paraId="6F5B18B6" w14:textId="77777777" w:rsidR="001161BF" w:rsidRPr="001161BF" w:rsidRDefault="001161BF" w:rsidP="001161BF">
            <w:pPr>
              <w:jc w:val="center"/>
              <w:rPr>
                <w:color w:val="000000"/>
                <w:szCs w:val="24"/>
              </w:rPr>
            </w:pPr>
            <w:r w:rsidRPr="001161BF">
              <w:rPr>
                <w:color w:val="000000"/>
                <w:szCs w:val="24"/>
              </w:rPr>
              <w:t>Cost Estimate</w:t>
            </w:r>
          </w:p>
        </w:tc>
        <w:tc>
          <w:tcPr>
            <w:tcW w:w="1700" w:type="dxa"/>
            <w:tcBorders>
              <w:top w:val="nil"/>
              <w:left w:val="nil"/>
              <w:bottom w:val="single" w:sz="4" w:space="0" w:color="auto"/>
              <w:right w:val="single" w:sz="4" w:space="0" w:color="auto"/>
            </w:tcBorders>
            <w:shd w:val="clear" w:color="000000" w:fill="D9E1F2"/>
            <w:vAlign w:val="center"/>
            <w:hideMark/>
          </w:tcPr>
          <w:p w14:paraId="14CFE00D" w14:textId="77777777" w:rsidR="001161BF" w:rsidRPr="001161BF" w:rsidRDefault="001161BF" w:rsidP="001161BF">
            <w:pPr>
              <w:jc w:val="center"/>
              <w:rPr>
                <w:color w:val="000000"/>
                <w:szCs w:val="24"/>
              </w:rPr>
            </w:pPr>
            <w:r w:rsidRPr="001161BF">
              <w:rPr>
                <w:color w:val="000000"/>
                <w:szCs w:val="24"/>
              </w:rPr>
              <w:t>Assumed CODs</w:t>
            </w:r>
          </w:p>
        </w:tc>
        <w:tc>
          <w:tcPr>
            <w:tcW w:w="3160" w:type="dxa"/>
            <w:tcBorders>
              <w:top w:val="nil"/>
              <w:left w:val="nil"/>
              <w:bottom w:val="single" w:sz="4" w:space="0" w:color="auto"/>
              <w:right w:val="single" w:sz="8" w:space="0" w:color="auto"/>
            </w:tcBorders>
            <w:shd w:val="clear" w:color="000000" w:fill="D9E1F2"/>
            <w:vAlign w:val="center"/>
            <w:hideMark/>
          </w:tcPr>
          <w:p w14:paraId="05D315CA" w14:textId="77777777" w:rsidR="001161BF" w:rsidRPr="001161BF" w:rsidRDefault="001161BF" w:rsidP="001161BF">
            <w:pPr>
              <w:jc w:val="center"/>
              <w:rPr>
                <w:color w:val="000000"/>
                <w:szCs w:val="24"/>
              </w:rPr>
            </w:pPr>
            <w:r w:rsidRPr="001161BF">
              <w:rPr>
                <w:color w:val="000000"/>
                <w:szCs w:val="24"/>
              </w:rPr>
              <w:t>Cost Escalated / De-escalated to 2021/2022 CODs</w:t>
            </w:r>
          </w:p>
        </w:tc>
      </w:tr>
      <w:tr w:rsidR="001161BF" w:rsidRPr="001161BF" w14:paraId="0FD6133A" w14:textId="77777777" w:rsidTr="001161BF">
        <w:trPr>
          <w:trHeight w:val="336"/>
          <w:jc w:val="center"/>
        </w:trPr>
        <w:tc>
          <w:tcPr>
            <w:tcW w:w="2300" w:type="dxa"/>
            <w:tcBorders>
              <w:top w:val="nil"/>
              <w:left w:val="single" w:sz="8" w:space="0" w:color="auto"/>
              <w:bottom w:val="single" w:sz="4" w:space="0" w:color="auto"/>
              <w:right w:val="single" w:sz="4" w:space="0" w:color="auto"/>
            </w:tcBorders>
            <w:shd w:val="clear" w:color="auto" w:fill="auto"/>
            <w:vAlign w:val="center"/>
            <w:hideMark/>
          </w:tcPr>
          <w:p w14:paraId="6C5B1B2C" w14:textId="5D66F154" w:rsidR="001161BF" w:rsidRPr="001161BF" w:rsidRDefault="00B8512F" w:rsidP="001161BF">
            <w:pPr>
              <w:jc w:val="both"/>
              <w:rPr>
                <w:rFonts w:ascii="Calibri" w:hAnsi="Calibri" w:cs="Calibri"/>
                <w:sz w:val="22"/>
                <w:szCs w:val="22"/>
              </w:rPr>
            </w:pPr>
            <w:r w:rsidRPr="000C4482">
              <w:rPr>
                <w:szCs w:val="24"/>
              </w:rPr>
              <w:footnoteReference w:customMarkFollows="1" w:id="7"/>
              <w:t>Willia</w:t>
            </w:r>
            <w:r>
              <w:rPr>
                <w:szCs w:val="24"/>
              </w:rPr>
              <w:t>m</w:t>
            </w:r>
            <w:r w:rsidRPr="000C4482">
              <w:rPr>
                <w:szCs w:val="24"/>
              </w:rPr>
              <w:t xml:space="preserve"> </w:t>
            </w:r>
            <w:r w:rsidR="001161BF" w:rsidRPr="000C4482">
              <w:rPr>
                <w:szCs w:val="24"/>
              </w:rPr>
              <w:t>Lee</w:t>
            </w:r>
            <w:r w:rsidR="001161BF">
              <w:rPr>
                <w:rStyle w:val="FootnoteReference"/>
                <w:rFonts w:ascii="Calibri" w:hAnsi="Calibri" w:cs="Calibri"/>
                <w:sz w:val="22"/>
                <w:szCs w:val="22"/>
              </w:rPr>
              <w:footnoteReference w:id="8"/>
            </w:r>
          </w:p>
        </w:tc>
        <w:tc>
          <w:tcPr>
            <w:tcW w:w="1700" w:type="dxa"/>
            <w:tcBorders>
              <w:top w:val="nil"/>
              <w:left w:val="nil"/>
              <w:bottom w:val="single" w:sz="4" w:space="0" w:color="auto"/>
              <w:right w:val="single" w:sz="4" w:space="0" w:color="auto"/>
            </w:tcBorders>
            <w:shd w:val="clear" w:color="auto" w:fill="auto"/>
            <w:vAlign w:val="center"/>
            <w:hideMark/>
          </w:tcPr>
          <w:p w14:paraId="7E2E5CC5" w14:textId="77777777" w:rsidR="001161BF" w:rsidRPr="001161BF" w:rsidRDefault="001161BF" w:rsidP="001161BF">
            <w:pPr>
              <w:jc w:val="center"/>
              <w:rPr>
                <w:color w:val="000000"/>
                <w:szCs w:val="24"/>
              </w:rPr>
            </w:pPr>
            <w:r w:rsidRPr="001161BF">
              <w:rPr>
                <w:color w:val="000000"/>
                <w:szCs w:val="24"/>
              </w:rPr>
              <w:t xml:space="preserve"> $ 9.56 B</w:t>
            </w:r>
          </w:p>
        </w:tc>
        <w:tc>
          <w:tcPr>
            <w:tcW w:w="1700" w:type="dxa"/>
            <w:tcBorders>
              <w:top w:val="nil"/>
              <w:left w:val="nil"/>
              <w:bottom w:val="single" w:sz="4" w:space="0" w:color="auto"/>
              <w:right w:val="single" w:sz="4" w:space="0" w:color="auto"/>
            </w:tcBorders>
            <w:shd w:val="clear" w:color="auto" w:fill="auto"/>
            <w:vAlign w:val="center"/>
            <w:hideMark/>
          </w:tcPr>
          <w:p w14:paraId="53A9E016" w14:textId="190ED7A9" w:rsidR="001161BF" w:rsidRPr="001161BF" w:rsidRDefault="001161BF" w:rsidP="001161BF">
            <w:pPr>
              <w:jc w:val="center"/>
              <w:rPr>
                <w:color w:val="000000"/>
                <w:szCs w:val="24"/>
              </w:rPr>
            </w:pPr>
            <w:r w:rsidRPr="001161BF">
              <w:rPr>
                <w:color w:val="000000"/>
                <w:szCs w:val="24"/>
              </w:rPr>
              <w:t>2016</w:t>
            </w:r>
            <w:r w:rsidR="00C128F6">
              <w:rPr>
                <w:color w:val="000000"/>
                <w:szCs w:val="24"/>
              </w:rPr>
              <w:t xml:space="preserve"> </w:t>
            </w:r>
            <w:r w:rsidRPr="001161BF">
              <w:rPr>
                <w:color w:val="000000"/>
                <w:szCs w:val="24"/>
              </w:rPr>
              <w:t>/</w:t>
            </w:r>
            <w:r w:rsidR="00C128F6">
              <w:rPr>
                <w:color w:val="000000"/>
                <w:szCs w:val="24"/>
              </w:rPr>
              <w:t xml:space="preserve"> </w:t>
            </w:r>
            <w:r w:rsidRPr="001161BF">
              <w:rPr>
                <w:color w:val="000000"/>
                <w:szCs w:val="24"/>
              </w:rPr>
              <w:t>2018</w:t>
            </w:r>
          </w:p>
        </w:tc>
        <w:tc>
          <w:tcPr>
            <w:tcW w:w="3160" w:type="dxa"/>
            <w:tcBorders>
              <w:top w:val="nil"/>
              <w:left w:val="nil"/>
              <w:bottom w:val="single" w:sz="4" w:space="0" w:color="auto"/>
              <w:right w:val="single" w:sz="8" w:space="0" w:color="auto"/>
            </w:tcBorders>
            <w:shd w:val="clear" w:color="auto" w:fill="auto"/>
            <w:vAlign w:val="center"/>
            <w:hideMark/>
          </w:tcPr>
          <w:p w14:paraId="370682D6" w14:textId="77777777" w:rsidR="001161BF" w:rsidRPr="001161BF" w:rsidRDefault="001161BF" w:rsidP="001161BF">
            <w:pPr>
              <w:jc w:val="center"/>
              <w:rPr>
                <w:color w:val="000000"/>
                <w:szCs w:val="24"/>
              </w:rPr>
            </w:pPr>
            <w:r w:rsidRPr="001161BF">
              <w:rPr>
                <w:color w:val="000000"/>
                <w:szCs w:val="24"/>
              </w:rPr>
              <w:t>$ 11.1 B</w:t>
            </w:r>
          </w:p>
        </w:tc>
      </w:tr>
      <w:tr w:rsidR="001161BF" w:rsidRPr="001161BF" w14:paraId="609E23DE" w14:textId="77777777" w:rsidTr="001161BF">
        <w:trPr>
          <w:trHeight w:val="324"/>
          <w:jc w:val="center"/>
        </w:trPr>
        <w:tc>
          <w:tcPr>
            <w:tcW w:w="2300" w:type="dxa"/>
            <w:tcBorders>
              <w:top w:val="nil"/>
              <w:left w:val="single" w:sz="8" w:space="0" w:color="auto"/>
              <w:bottom w:val="single" w:sz="4" w:space="0" w:color="auto"/>
              <w:right w:val="single" w:sz="4" w:space="0" w:color="auto"/>
            </w:tcBorders>
            <w:shd w:val="clear" w:color="auto" w:fill="auto"/>
            <w:vAlign w:val="center"/>
            <w:hideMark/>
          </w:tcPr>
          <w:p w14:paraId="22AC567D" w14:textId="77777777" w:rsidR="001161BF" w:rsidRPr="001161BF" w:rsidRDefault="001161BF" w:rsidP="001161BF">
            <w:pPr>
              <w:jc w:val="both"/>
              <w:rPr>
                <w:color w:val="000000"/>
                <w:szCs w:val="24"/>
              </w:rPr>
            </w:pPr>
            <w:r w:rsidRPr="001161BF">
              <w:rPr>
                <w:color w:val="000000"/>
                <w:szCs w:val="24"/>
              </w:rPr>
              <w:t>Turkey Point</w:t>
            </w:r>
          </w:p>
        </w:tc>
        <w:tc>
          <w:tcPr>
            <w:tcW w:w="1700" w:type="dxa"/>
            <w:tcBorders>
              <w:top w:val="nil"/>
              <w:left w:val="nil"/>
              <w:bottom w:val="single" w:sz="4" w:space="0" w:color="auto"/>
              <w:right w:val="single" w:sz="4" w:space="0" w:color="auto"/>
            </w:tcBorders>
            <w:shd w:val="clear" w:color="auto" w:fill="auto"/>
            <w:vAlign w:val="center"/>
            <w:hideMark/>
          </w:tcPr>
          <w:p w14:paraId="487EB8A6" w14:textId="77777777" w:rsidR="001161BF" w:rsidRPr="001161BF" w:rsidRDefault="001161BF" w:rsidP="001161BF">
            <w:pPr>
              <w:jc w:val="center"/>
              <w:rPr>
                <w:color w:val="000000"/>
                <w:szCs w:val="24"/>
              </w:rPr>
            </w:pPr>
            <w:r w:rsidRPr="001161BF">
              <w:rPr>
                <w:color w:val="000000"/>
                <w:szCs w:val="24"/>
              </w:rPr>
              <w:t>$ 12.00 B</w:t>
            </w:r>
          </w:p>
        </w:tc>
        <w:tc>
          <w:tcPr>
            <w:tcW w:w="1700" w:type="dxa"/>
            <w:tcBorders>
              <w:top w:val="nil"/>
              <w:left w:val="nil"/>
              <w:bottom w:val="single" w:sz="4" w:space="0" w:color="auto"/>
              <w:right w:val="single" w:sz="4" w:space="0" w:color="auto"/>
            </w:tcBorders>
            <w:shd w:val="clear" w:color="auto" w:fill="auto"/>
            <w:vAlign w:val="center"/>
            <w:hideMark/>
          </w:tcPr>
          <w:p w14:paraId="407E9DD5" w14:textId="77777777" w:rsidR="001161BF" w:rsidRPr="001161BF" w:rsidRDefault="001161BF" w:rsidP="001161BF">
            <w:pPr>
              <w:jc w:val="center"/>
              <w:rPr>
                <w:color w:val="000000"/>
                <w:szCs w:val="24"/>
              </w:rPr>
            </w:pPr>
            <w:r w:rsidRPr="001161BF">
              <w:rPr>
                <w:color w:val="000000"/>
                <w:szCs w:val="24"/>
              </w:rPr>
              <w:t>2022 / 2023</w:t>
            </w:r>
          </w:p>
        </w:tc>
        <w:tc>
          <w:tcPr>
            <w:tcW w:w="3160" w:type="dxa"/>
            <w:tcBorders>
              <w:top w:val="nil"/>
              <w:left w:val="nil"/>
              <w:bottom w:val="single" w:sz="4" w:space="0" w:color="auto"/>
              <w:right w:val="single" w:sz="8" w:space="0" w:color="auto"/>
            </w:tcBorders>
            <w:shd w:val="clear" w:color="auto" w:fill="auto"/>
            <w:vAlign w:val="center"/>
            <w:hideMark/>
          </w:tcPr>
          <w:p w14:paraId="5479D2F0" w14:textId="77777777" w:rsidR="001161BF" w:rsidRPr="001161BF" w:rsidRDefault="001161BF" w:rsidP="001161BF">
            <w:pPr>
              <w:jc w:val="center"/>
              <w:rPr>
                <w:color w:val="000000"/>
                <w:szCs w:val="24"/>
              </w:rPr>
            </w:pPr>
            <w:r w:rsidRPr="001161BF">
              <w:rPr>
                <w:color w:val="000000"/>
                <w:szCs w:val="24"/>
              </w:rPr>
              <w:t>$ 11.6 B</w:t>
            </w:r>
          </w:p>
        </w:tc>
      </w:tr>
      <w:tr w:rsidR="001161BF" w:rsidRPr="001161BF" w14:paraId="7078F571" w14:textId="77777777" w:rsidTr="001161BF">
        <w:trPr>
          <w:trHeight w:val="324"/>
          <w:jc w:val="center"/>
        </w:trPr>
        <w:tc>
          <w:tcPr>
            <w:tcW w:w="2300" w:type="dxa"/>
            <w:tcBorders>
              <w:top w:val="nil"/>
              <w:left w:val="single" w:sz="8" w:space="0" w:color="auto"/>
              <w:bottom w:val="single" w:sz="8" w:space="0" w:color="auto"/>
              <w:right w:val="single" w:sz="4" w:space="0" w:color="auto"/>
            </w:tcBorders>
            <w:shd w:val="clear" w:color="auto" w:fill="auto"/>
            <w:vAlign w:val="center"/>
            <w:hideMark/>
          </w:tcPr>
          <w:p w14:paraId="2DD2DDF5" w14:textId="77777777" w:rsidR="001161BF" w:rsidRPr="001161BF" w:rsidRDefault="001161BF" w:rsidP="001161BF">
            <w:pPr>
              <w:jc w:val="both"/>
              <w:rPr>
                <w:color w:val="000000"/>
                <w:szCs w:val="24"/>
              </w:rPr>
            </w:pPr>
            <w:r w:rsidRPr="001161BF">
              <w:rPr>
                <w:color w:val="000000"/>
                <w:szCs w:val="24"/>
              </w:rPr>
              <w:t>VC Summer</w:t>
            </w:r>
          </w:p>
        </w:tc>
        <w:tc>
          <w:tcPr>
            <w:tcW w:w="1700" w:type="dxa"/>
            <w:tcBorders>
              <w:top w:val="nil"/>
              <w:left w:val="nil"/>
              <w:bottom w:val="single" w:sz="8" w:space="0" w:color="auto"/>
              <w:right w:val="single" w:sz="4" w:space="0" w:color="auto"/>
            </w:tcBorders>
            <w:shd w:val="clear" w:color="auto" w:fill="auto"/>
            <w:vAlign w:val="center"/>
            <w:hideMark/>
          </w:tcPr>
          <w:p w14:paraId="0D99BF79" w14:textId="77777777" w:rsidR="001161BF" w:rsidRPr="001161BF" w:rsidRDefault="001161BF" w:rsidP="001161BF">
            <w:pPr>
              <w:jc w:val="center"/>
              <w:rPr>
                <w:color w:val="000000"/>
                <w:szCs w:val="24"/>
              </w:rPr>
            </w:pPr>
            <w:r w:rsidRPr="001161BF">
              <w:rPr>
                <w:color w:val="000000"/>
                <w:szCs w:val="24"/>
              </w:rPr>
              <w:t>$ 9.80 B</w:t>
            </w:r>
          </w:p>
        </w:tc>
        <w:tc>
          <w:tcPr>
            <w:tcW w:w="1700" w:type="dxa"/>
            <w:tcBorders>
              <w:top w:val="nil"/>
              <w:left w:val="nil"/>
              <w:bottom w:val="single" w:sz="8" w:space="0" w:color="auto"/>
              <w:right w:val="single" w:sz="4" w:space="0" w:color="auto"/>
            </w:tcBorders>
            <w:shd w:val="clear" w:color="auto" w:fill="auto"/>
            <w:vAlign w:val="center"/>
            <w:hideMark/>
          </w:tcPr>
          <w:p w14:paraId="5E5332A9" w14:textId="77777777" w:rsidR="001161BF" w:rsidRPr="001161BF" w:rsidRDefault="001161BF" w:rsidP="001161BF">
            <w:pPr>
              <w:jc w:val="center"/>
              <w:rPr>
                <w:color w:val="000000"/>
                <w:szCs w:val="24"/>
              </w:rPr>
            </w:pPr>
            <w:r w:rsidRPr="001161BF">
              <w:rPr>
                <w:color w:val="000000"/>
                <w:szCs w:val="24"/>
              </w:rPr>
              <w:t>2016 / 2018</w:t>
            </w:r>
          </w:p>
        </w:tc>
        <w:tc>
          <w:tcPr>
            <w:tcW w:w="3160" w:type="dxa"/>
            <w:tcBorders>
              <w:top w:val="nil"/>
              <w:left w:val="nil"/>
              <w:bottom w:val="single" w:sz="8" w:space="0" w:color="auto"/>
              <w:right w:val="single" w:sz="8" w:space="0" w:color="auto"/>
            </w:tcBorders>
            <w:shd w:val="clear" w:color="auto" w:fill="auto"/>
            <w:vAlign w:val="center"/>
            <w:hideMark/>
          </w:tcPr>
          <w:p w14:paraId="38CB75F4" w14:textId="77777777" w:rsidR="001161BF" w:rsidRPr="001161BF" w:rsidRDefault="001161BF" w:rsidP="001161BF">
            <w:pPr>
              <w:jc w:val="center"/>
              <w:rPr>
                <w:color w:val="000000"/>
                <w:szCs w:val="24"/>
              </w:rPr>
            </w:pPr>
            <w:r w:rsidRPr="001161BF">
              <w:rPr>
                <w:color w:val="000000"/>
                <w:szCs w:val="24"/>
              </w:rPr>
              <w:t>$ 11.4 B</w:t>
            </w:r>
          </w:p>
        </w:tc>
      </w:tr>
    </w:tbl>
    <w:p w14:paraId="4E2D28EC" w14:textId="77777777" w:rsidR="00600E30" w:rsidRDefault="00600E30" w:rsidP="00CE004F">
      <w:pPr>
        <w:jc w:val="center"/>
        <w:rPr>
          <w:b/>
          <w:szCs w:val="24"/>
          <w:highlight w:val="yellow"/>
        </w:rPr>
      </w:pPr>
    </w:p>
    <w:p w14:paraId="3063CDA7" w14:textId="4119DC7D" w:rsidR="00A25604" w:rsidRDefault="00A25604" w:rsidP="00A25604">
      <w:pPr>
        <w:tabs>
          <w:tab w:val="left" w:pos="6557"/>
        </w:tabs>
        <w:jc w:val="both"/>
      </w:pPr>
      <w:r>
        <w:t xml:space="preserve">From Table 1.2-1 </w:t>
      </w:r>
      <w:r w:rsidR="00971BC8">
        <w:t>the</w:t>
      </w:r>
      <w:r>
        <w:t xml:space="preserve"> cost estimates are relatively consistent, </w:t>
      </w:r>
      <w:r w:rsidR="00F92FE3">
        <w:t>and</w:t>
      </w:r>
      <w:r>
        <w:t xml:space="preserve"> they all fall $ 5.5 billion or more below $ 17.1 billion, which then represents a nearly 50% increase of the TPC.  </w:t>
      </w:r>
      <w:r w:rsidR="00971BC8">
        <w:t xml:space="preserve">Further, it is reasonable to conclude that </w:t>
      </w:r>
      <w:r>
        <w:t xml:space="preserve">this roughly 50% increase of the TPC </w:t>
      </w:r>
      <w:r w:rsidR="00204ECA">
        <w:t>was sufficient</w:t>
      </w:r>
      <w:r>
        <w:t xml:space="preserve"> to cover the increased risks associated with the </w:t>
      </w:r>
      <w:proofErr w:type="spellStart"/>
      <w:r w:rsidR="007963C3">
        <w:t>WEC’s</w:t>
      </w:r>
      <w:proofErr w:type="spellEnd"/>
      <w:r w:rsidR="007963C3">
        <w:t xml:space="preserve"> prior mismanagement.</w:t>
      </w:r>
      <w:r>
        <w:t xml:space="preserve">  More noteworthy among these increased risks was the modular facility had been abandoned, attracting qualified numbers of required construction craft would be more challenging, ensuring proper maintenance and documentation of warehoused materials would present more challenges, obtaining necessary spares would be more challenging due to a less reliable nuclear qualified supply chain, as would ensuring complete quality control documentation for all aspects of the Project.  SNC and the Company and </w:t>
      </w:r>
      <w:r w:rsidR="00D84656">
        <w:t>the</w:t>
      </w:r>
      <w:r>
        <w:t xml:space="preserve"> </w:t>
      </w:r>
      <w:r w:rsidR="00D84656">
        <w:t>C</w:t>
      </w:r>
      <w:r>
        <w:t>o-owners</w:t>
      </w:r>
      <w:r w:rsidR="00D84656">
        <w:t>,</w:t>
      </w:r>
      <w:r>
        <w:t xml:space="preserve"> when considering the remaining “to go” work and the increased risks apparently considered a TPC of $ 17.1 billion at </w:t>
      </w:r>
      <w:r w:rsidR="00D84656">
        <w:t>P</w:t>
      </w:r>
      <w:r>
        <w:t>roject completion would be sufficient</w:t>
      </w:r>
      <w:r w:rsidR="00D84656">
        <w:t>.</w:t>
      </w:r>
      <w:r>
        <w:rPr>
          <w:rStyle w:val="FootnoteReference"/>
        </w:rPr>
        <w:footnoteReference w:id="9"/>
      </w:r>
    </w:p>
    <w:p w14:paraId="7FD54798" w14:textId="77777777" w:rsidR="00A25604" w:rsidRDefault="00A25604" w:rsidP="00A25604">
      <w:pPr>
        <w:tabs>
          <w:tab w:val="left" w:pos="6557"/>
        </w:tabs>
        <w:jc w:val="both"/>
      </w:pPr>
    </w:p>
    <w:p w14:paraId="3428A0CF" w14:textId="77777777" w:rsidR="00A25604" w:rsidRDefault="00A25604" w:rsidP="00A25604">
      <w:pPr>
        <w:tabs>
          <w:tab w:val="left" w:pos="6557"/>
        </w:tabs>
        <w:jc w:val="both"/>
      </w:pPr>
      <w:r>
        <w:t xml:space="preserve">Also worthy of note is the following:  </w:t>
      </w:r>
    </w:p>
    <w:p w14:paraId="15ADF227" w14:textId="77777777" w:rsidR="00A25604" w:rsidRDefault="00A25604" w:rsidP="00A25604">
      <w:pPr>
        <w:tabs>
          <w:tab w:val="left" w:pos="6557"/>
        </w:tabs>
        <w:jc w:val="both"/>
      </w:pPr>
    </w:p>
    <w:p w14:paraId="4D2F8A8C" w14:textId="77777777" w:rsidR="00A25604" w:rsidRPr="008D187D" w:rsidRDefault="00A25604" w:rsidP="00A25604">
      <w:pPr>
        <w:pStyle w:val="ListParagraph"/>
        <w:numPr>
          <w:ilvl w:val="0"/>
          <w:numId w:val="38"/>
        </w:numPr>
        <w:tabs>
          <w:tab w:val="left" w:pos="6557"/>
        </w:tabs>
        <w:contextualSpacing/>
        <w:jc w:val="both"/>
      </w:pPr>
      <w:r>
        <w:t>As an effort to support validation of the $ 17.1 billion TPC (i.e., and therefore the GPC Capital Construction Cost of $ 7.3 billion), t</w:t>
      </w:r>
      <w:r w:rsidRPr="008D187D">
        <w:t>he Company, per direction of the Commission</w:t>
      </w:r>
      <w:r>
        <w:t xml:space="preserve"> </w:t>
      </w:r>
      <w:r w:rsidRPr="008D187D">
        <w:t xml:space="preserve">via the VCM 17 Order to “verify quantities”, </w:t>
      </w:r>
      <w:r>
        <w:t>did so verify</w:t>
      </w:r>
      <w:r w:rsidRPr="008D187D">
        <w:t xml:space="preserve"> as part of VCM 18 and the April 2019 </w:t>
      </w:r>
      <w:proofErr w:type="spellStart"/>
      <w:r w:rsidRPr="008D187D">
        <w:t>rebaselining</w:t>
      </w:r>
      <w:proofErr w:type="spellEnd"/>
      <w:r>
        <w:t>.</w:t>
      </w:r>
    </w:p>
    <w:p w14:paraId="33E30888" w14:textId="77777777" w:rsidR="00A25604" w:rsidRDefault="00A25604" w:rsidP="00A25604">
      <w:pPr>
        <w:tabs>
          <w:tab w:val="left" w:pos="6557"/>
        </w:tabs>
        <w:jc w:val="both"/>
      </w:pPr>
    </w:p>
    <w:p w14:paraId="27CB23EC" w14:textId="1D8BAD90" w:rsidR="00A25604" w:rsidRDefault="00A25604" w:rsidP="00A25604">
      <w:pPr>
        <w:pStyle w:val="ListParagraph"/>
        <w:numPr>
          <w:ilvl w:val="0"/>
          <w:numId w:val="38"/>
        </w:numPr>
        <w:tabs>
          <w:tab w:val="left" w:pos="6557"/>
        </w:tabs>
        <w:contextualSpacing/>
        <w:jc w:val="both"/>
      </w:pPr>
      <w:r w:rsidRPr="008D187D">
        <w:t xml:space="preserve">Per VCM 19, the </w:t>
      </w:r>
      <w:r w:rsidR="00D84656">
        <w:t>C</w:t>
      </w:r>
      <w:r w:rsidRPr="008D187D">
        <w:t xml:space="preserve">ompany developed a “reprojection of the cost” wherein it agreed to absorb $0.694 </w:t>
      </w:r>
      <w:r>
        <w:t>billion</w:t>
      </w:r>
      <w:r w:rsidRPr="008D187D">
        <w:t xml:space="preserve"> worth of costs (which are incurred costs, but do not accrue </w:t>
      </w:r>
      <w:r w:rsidRPr="001678FA">
        <w:t xml:space="preserve">to </w:t>
      </w:r>
      <w:r w:rsidRPr="008D187D">
        <w:t xml:space="preserve">the GPC Capital Construction Cost of $ 7.3 </w:t>
      </w:r>
      <w:r>
        <w:t>billion</w:t>
      </w:r>
      <w:r w:rsidRPr="008D187D">
        <w:t xml:space="preserve">); </w:t>
      </w:r>
      <w:r>
        <w:t xml:space="preserve">and wrote off an additional $366 million </w:t>
      </w:r>
      <w:r w:rsidR="00D84656">
        <w:t xml:space="preserve">contingency </w:t>
      </w:r>
      <w:r>
        <w:t>which the Company reserved the right to come back to the Commission to request approval at an appropriate time.</w:t>
      </w:r>
    </w:p>
    <w:p w14:paraId="0848BDE1" w14:textId="77777777" w:rsidR="00223F1D" w:rsidRDefault="00223F1D" w:rsidP="00A25604">
      <w:pPr>
        <w:tabs>
          <w:tab w:val="left" w:pos="6557"/>
        </w:tabs>
        <w:jc w:val="both"/>
      </w:pPr>
    </w:p>
    <w:p w14:paraId="74D3755A" w14:textId="6A175799" w:rsidR="00A25604" w:rsidRDefault="00204ECA" w:rsidP="00A25604">
      <w:pPr>
        <w:tabs>
          <w:tab w:val="left" w:pos="6557"/>
        </w:tabs>
        <w:jc w:val="both"/>
      </w:pPr>
      <w:r w:rsidDel="00204ECA">
        <w:t xml:space="preserve"> </w:t>
      </w:r>
      <w:r w:rsidR="00A25604">
        <w:t xml:space="preserve"> </w:t>
      </w:r>
    </w:p>
    <w:p w14:paraId="6F49F5A7" w14:textId="77777777" w:rsidR="00A25604" w:rsidRPr="00CB2C12" w:rsidRDefault="00A25604" w:rsidP="00A25604">
      <w:pPr>
        <w:tabs>
          <w:tab w:val="left" w:pos="6557"/>
        </w:tabs>
        <w:jc w:val="both"/>
        <w:rPr>
          <w:sz w:val="18"/>
          <w:szCs w:val="18"/>
        </w:rPr>
      </w:pPr>
    </w:p>
    <w:p w14:paraId="03620088" w14:textId="1C88656C" w:rsidR="00A25604" w:rsidRDefault="00A25604" w:rsidP="00A25604">
      <w:pPr>
        <w:tabs>
          <w:tab w:val="left" w:pos="6557"/>
        </w:tabs>
        <w:jc w:val="both"/>
      </w:pPr>
      <w:r>
        <w:t xml:space="preserve">1.2.2 </w:t>
      </w:r>
      <w:r w:rsidRPr="00EB447D">
        <w:rPr>
          <w:u w:val="single"/>
        </w:rPr>
        <w:t>Cost Estimate Inclusive of Financing</w:t>
      </w:r>
      <w:r>
        <w:t xml:space="preserve">:  Given that financing costs are highly dependent on the schedule, one must then assess the credibility of the </w:t>
      </w:r>
      <w:r w:rsidR="00204ECA">
        <w:t xml:space="preserve">SNC’s CODs approved by the </w:t>
      </w:r>
      <w:r w:rsidR="0066678F">
        <w:t>Commission</w:t>
      </w:r>
      <w:r>
        <w:t xml:space="preserve">. </w:t>
      </w:r>
    </w:p>
    <w:p w14:paraId="61BB146E" w14:textId="77777777" w:rsidR="00A25604" w:rsidRDefault="00A25604" w:rsidP="00A25604">
      <w:pPr>
        <w:tabs>
          <w:tab w:val="left" w:pos="6557"/>
        </w:tabs>
        <w:jc w:val="both"/>
      </w:pPr>
    </w:p>
    <w:p w14:paraId="5E3D0C4B" w14:textId="77777777" w:rsidR="00D657B8" w:rsidRPr="00CB2C12" w:rsidRDefault="00D657B8" w:rsidP="00A25604">
      <w:pPr>
        <w:tabs>
          <w:tab w:val="left" w:pos="6557"/>
        </w:tabs>
        <w:jc w:val="both"/>
      </w:pPr>
    </w:p>
    <w:p w14:paraId="610BB48C" w14:textId="30A58705" w:rsidR="00A25604" w:rsidRDefault="00A25604" w:rsidP="00A25604">
      <w:pPr>
        <w:tabs>
          <w:tab w:val="left" w:pos="6557"/>
        </w:tabs>
        <w:jc w:val="both"/>
      </w:pPr>
      <w:r>
        <w:rPr>
          <w:b/>
          <w:bCs/>
        </w:rPr>
        <w:t xml:space="preserve">1.3 Schedule Forecasts for Vogtle:  </w:t>
      </w:r>
      <w:r w:rsidRPr="00EA51DC">
        <w:t>VMG</w:t>
      </w:r>
      <w:r>
        <w:rPr>
          <w:b/>
          <w:bCs/>
        </w:rPr>
        <w:t>’s</w:t>
      </w:r>
      <w:r>
        <w:t xml:space="preserve"> initial review of the Vogtle schedule in the spring of 2018 quickly concluded that at best (i.e., with little to no schedule contingency) the CODs would likely be a year or more later than the</w:t>
      </w:r>
      <w:r w:rsidR="0066678F">
        <w:t xml:space="preserve"> Commission</w:t>
      </w:r>
      <w:r>
        <w:t xml:space="preserve"> Approved CODs of November 2021/ 2022.  This review was conducted over a limited </w:t>
      </w:r>
      <w:proofErr w:type="gramStart"/>
      <w:r>
        <w:t>time period</w:t>
      </w:r>
      <w:proofErr w:type="gramEnd"/>
      <w:r>
        <w:t xml:space="preserve"> of roughly 3 months and was based on the very limited </w:t>
      </w:r>
      <w:r w:rsidR="007963C3">
        <w:t xml:space="preserve">and questionable </w:t>
      </w:r>
      <w:r>
        <w:t>information that was available at that time</w:t>
      </w:r>
      <w:r w:rsidR="007963C3">
        <w:t xml:space="preserve"> (for example, it included </w:t>
      </w:r>
      <w:r w:rsidR="0066678F">
        <w:t xml:space="preserve">a </w:t>
      </w:r>
      <w:r w:rsidR="007963C3">
        <w:t xml:space="preserve">review of only </w:t>
      </w:r>
      <w:r w:rsidR="006871E3">
        <w:t xml:space="preserve">the </w:t>
      </w:r>
      <w:r w:rsidR="007963C3">
        <w:t>Site Work Plan)</w:t>
      </w:r>
      <w:r w:rsidR="0066678F">
        <w:t>.</w:t>
      </w:r>
      <w:r>
        <w:t xml:space="preserve">  </w:t>
      </w:r>
      <w:r w:rsidR="007963C3">
        <w:t>To further illustrate, at this time</w:t>
      </w:r>
      <w:r w:rsidR="0066678F">
        <w:t xml:space="preserve"> the</w:t>
      </w:r>
      <w:r>
        <w:t xml:space="preserve"> April 2018 re-baselined schedule was still being developed.   </w:t>
      </w:r>
      <w:r w:rsidRPr="00EC35E3">
        <w:rPr>
          <w:u w:val="single"/>
        </w:rPr>
        <w:t xml:space="preserve">A summary table from </w:t>
      </w:r>
      <w:r>
        <w:rPr>
          <w:u w:val="single"/>
        </w:rPr>
        <w:t xml:space="preserve">VMG’s initial </w:t>
      </w:r>
      <w:r w:rsidRPr="00EC35E3">
        <w:rPr>
          <w:u w:val="single"/>
        </w:rPr>
        <w:t>analysis has been reproduced as Table 1.3</w:t>
      </w:r>
      <w:r>
        <w:rPr>
          <w:u w:val="single"/>
        </w:rPr>
        <w:t>-</w:t>
      </w:r>
      <w:r w:rsidRPr="00586D04">
        <w:rPr>
          <w:u w:val="single"/>
        </w:rPr>
        <w:t>1</w:t>
      </w:r>
      <w:r w:rsidRPr="00B304C9">
        <w:rPr>
          <w:u w:val="single"/>
        </w:rPr>
        <w:t xml:space="preserve"> below</w:t>
      </w:r>
      <w:r>
        <w:t>.</w:t>
      </w:r>
    </w:p>
    <w:p w14:paraId="6184BF73" w14:textId="69A91A5B" w:rsidR="00223F1D" w:rsidRDefault="00A25604" w:rsidP="00223F1D">
      <w:pPr>
        <w:tabs>
          <w:tab w:val="left" w:pos="6557"/>
        </w:tabs>
        <w:jc w:val="both"/>
      </w:pPr>
      <w:r>
        <w:t xml:space="preserve">  </w:t>
      </w:r>
    </w:p>
    <w:p w14:paraId="1A18F218" w14:textId="77777777" w:rsidR="00223F1D" w:rsidRPr="00223F1D" w:rsidRDefault="00223F1D" w:rsidP="00223F1D">
      <w:pPr>
        <w:tabs>
          <w:tab w:val="left" w:pos="6557"/>
        </w:tabs>
        <w:jc w:val="both"/>
      </w:pPr>
    </w:p>
    <w:p w14:paraId="04411F77" w14:textId="77777777" w:rsidR="00223F1D" w:rsidRDefault="00223F1D" w:rsidP="00A25604">
      <w:pPr>
        <w:tabs>
          <w:tab w:val="left" w:pos="6557"/>
        </w:tabs>
        <w:jc w:val="center"/>
        <w:rPr>
          <w:b/>
          <w:bCs/>
        </w:rPr>
      </w:pPr>
    </w:p>
    <w:p w14:paraId="7E82F19A" w14:textId="77777777" w:rsidR="00CF654C" w:rsidRDefault="00CF654C" w:rsidP="00A25604">
      <w:pPr>
        <w:tabs>
          <w:tab w:val="left" w:pos="6557"/>
        </w:tabs>
        <w:jc w:val="center"/>
        <w:rPr>
          <w:b/>
          <w:bCs/>
        </w:rPr>
      </w:pPr>
    </w:p>
    <w:p w14:paraId="21A152CD" w14:textId="2B4B3026" w:rsidR="00A25604" w:rsidRDefault="00A25604" w:rsidP="00A25604">
      <w:pPr>
        <w:tabs>
          <w:tab w:val="left" w:pos="6557"/>
        </w:tabs>
        <w:jc w:val="center"/>
        <w:rPr>
          <w:b/>
          <w:bCs/>
        </w:rPr>
      </w:pPr>
      <w:r>
        <w:rPr>
          <w:b/>
          <w:bCs/>
        </w:rPr>
        <w:t>Table 1.3-1, Summary of CPT’s Preliminary (June 2018) Review of the Project Schedule.</w:t>
      </w:r>
    </w:p>
    <w:p w14:paraId="44F23CFE" w14:textId="77777777" w:rsidR="00A25604" w:rsidRPr="00CB2629" w:rsidRDefault="00A25604" w:rsidP="00A25604">
      <w:pPr>
        <w:tabs>
          <w:tab w:val="left" w:pos="6557"/>
        </w:tabs>
        <w:jc w:val="center"/>
        <w:rPr>
          <w:b/>
          <w:bCs/>
        </w:rPr>
      </w:pPr>
      <w:r>
        <w:rPr>
          <w:b/>
          <w:bCs/>
        </w:rPr>
        <w:t>(AS COPY/ PASTED (through note 2) FROM THAT REVIEW)</w:t>
      </w:r>
    </w:p>
    <w:p w14:paraId="13C97E1A" w14:textId="77777777" w:rsidR="00600E30" w:rsidRDefault="00600E30" w:rsidP="00CE004F">
      <w:pPr>
        <w:jc w:val="center"/>
        <w:rPr>
          <w:b/>
          <w:szCs w:val="24"/>
          <w:highlight w:val="yellow"/>
        </w:rPr>
      </w:pPr>
    </w:p>
    <w:tbl>
      <w:tblPr>
        <w:tblStyle w:val="TableGrid"/>
        <w:tblW w:w="9810" w:type="dxa"/>
        <w:jc w:val="center"/>
        <w:tblLook w:val="04A0" w:firstRow="1" w:lastRow="0" w:firstColumn="1" w:lastColumn="0" w:noHBand="0" w:noVBand="1"/>
      </w:tblPr>
      <w:tblGrid>
        <w:gridCol w:w="1530"/>
        <w:gridCol w:w="1980"/>
        <w:gridCol w:w="2790"/>
        <w:gridCol w:w="3510"/>
      </w:tblGrid>
      <w:tr w:rsidR="00157C00" w:rsidRPr="007466DA" w14:paraId="71B3575B" w14:textId="77777777" w:rsidTr="00151927">
        <w:trPr>
          <w:jc w:val="center"/>
        </w:trPr>
        <w:tc>
          <w:tcPr>
            <w:tcW w:w="1530" w:type="dxa"/>
            <w:shd w:val="clear" w:color="auto" w:fill="DBE5F1" w:themeFill="accent1" w:themeFillTint="33"/>
          </w:tcPr>
          <w:p w14:paraId="634D43A8" w14:textId="77777777" w:rsidR="00157C00" w:rsidRPr="007466DA" w:rsidRDefault="00157C00" w:rsidP="003D4826">
            <w:pPr>
              <w:jc w:val="center"/>
            </w:pPr>
            <w:r w:rsidRPr="007466DA">
              <w:t>Commercial Operations Dates (COD’s)</w:t>
            </w:r>
          </w:p>
        </w:tc>
        <w:tc>
          <w:tcPr>
            <w:tcW w:w="1980" w:type="dxa"/>
            <w:shd w:val="clear" w:color="auto" w:fill="DBE5F1" w:themeFill="accent1" w:themeFillTint="33"/>
          </w:tcPr>
          <w:p w14:paraId="262967C3" w14:textId="77777777" w:rsidR="00157C00" w:rsidRPr="007466DA" w:rsidRDefault="00157C00" w:rsidP="003D4826">
            <w:pPr>
              <w:jc w:val="center"/>
            </w:pPr>
            <w:r w:rsidRPr="007466DA">
              <w:t>COD’s</w:t>
            </w:r>
          </w:p>
          <w:p w14:paraId="1D7E749D" w14:textId="77777777" w:rsidR="00157C00" w:rsidRPr="007466DA" w:rsidRDefault="00157C00" w:rsidP="003D4826">
            <w:pPr>
              <w:jc w:val="center"/>
            </w:pPr>
            <w:r w:rsidRPr="007466DA">
              <w:t>Per Commission Order 17 (Approved Dates)</w:t>
            </w:r>
          </w:p>
        </w:tc>
        <w:tc>
          <w:tcPr>
            <w:tcW w:w="2790" w:type="dxa"/>
            <w:shd w:val="clear" w:color="auto" w:fill="DBE5F1" w:themeFill="accent1" w:themeFillTint="33"/>
          </w:tcPr>
          <w:p w14:paraId="174C7D89" w14:textId="77777777" w:rsidR="00157C00" w:rsidRPr="007466DA" w:rsidRDefault="00157C00" w:rsidP="003D4826">
            <w:pPr>
              <w:jc w:val="center"/>
            </w:pPr>
            <w:r w:rsidRPr="007466DA">
              <w:t>Per + 23 “Target Schedule” (i.e., Order 17, less 6 months “Schedule Contingency”)</w:t>
            </w:r>
          </w:p>
        </w:tc>
        <w:tc>
          <w:tcPr>
            <w:tcW w:w="3510" w:type="dxa"/>
            <w:shd w:val="clear" w:color="auto" w:fill="DBE5F1" w:themeFill="accent1" w:themeFillTint="33"/>
          </w:tcPr>
          <w:p w14:paraId="6C78A3B8" w14:textId="77777777" w:rsidR="00157C00" w:rsidRPr="007466DA" w:rsidRDefault="00157C00" w:rsidP="003D4826">
            <w:pPr>
              <w:jc w:val="center"/>
            </w:pPr>
            <w:r w:rsidRPr="007466DA">
              <w:t xml:space="preserve">CPT’s </w:t>
            </w:r>
            <w:r w:rsidRPr="007466DA">
              <w:rPr>
                <w:b/>
              </w:rPr>
              <w:t>Preliminary</w:t>
            </w:r>
            <w:r w:rsidRPr="007466DA">
              <w:t xml:space="preserve"> View</w:t>
            </w:r>
          </w:p>
          <w:p w14:paraId="6B2DB776" w14:textId="77777777" w:rsidR="00157C00" w:rsidRPr="007466DA" w:rsidRDefault="00157C00" w:rsidP="003D4826">
            <w:pPr>
              <w:jc w:val="center"/>
            </w:pPr>
            <w:r w:rsidRPr="007466DA">
              <w:t>(Current Estimate with No Schedule Contingency and</w:t>
            </w:r>
          </w:p>
          <w:p w14:paraId="53E4202E" w14:textId="77777777" w:rsidR="00157C00" w:rsidRPr="007466DA" w:rsidRDefault="00157C00" w:rsidP="003D4826">
            <w:pPr>
              <w:jc w:val="center"/>
            </w:pPr>
            <w:r w:rsidRPr="007466DA">
              <w:t>includes 1</w:t>
            </w:r>
            <w:r>
              <w:t>5</w:t>
            </w:r>
            <w:r w:rsidRPr="007466DA">
              <w:t>–19-month slip f</w:t>
            </w:r>
            <w:r>
              <w:t>rom</w:t>
            </w:r>
            <w:r w:rsidRPr="007466DA">
              <w:t xml:space="preserve"> </w:t>
            </w:r>
            <w:r>
              <w:t xml:space="preserve">Site Work Plan </w:t>
            </w:r>
            <w:r w:rsidRPr="007466DA">
              <w:t>Targets)</w:t>
            </w:r>
          </w:p>
        </w:tc>
      </w:tr>
      <w:tr w:rsidR="00157C00" w:rsidRPr="007466DA" w14:paraId="4AF552BE" w14:textId="77777777" w:rsidTr="00792F98">
        <w:trPr>
          <w:jc w:val="center"/>
        </w:trPr>
        <w:tc>
          <w:tcPr>
            <w:tcW w:w="1530" w:type="dxa"/>
          </w:tcPr>
          <w:p w14:paraId="082B2550" w14:textId="77777777" w:rsidR="00157C00" w:rsidRPr="007466DA" w:rsidRDefault="00157C00" w:rsidP="003D4826">
            <w:pPr>
              <w:jc w:val="center"/>
            </w:pPr>
            <w:r w:rsidRPr="007466DA">
              <w:t>Unit 3 COD</w:t>
            </w:r>
          </w:p>
        </w:tc>
        <w:tc>
          <w:tcPr>
            <w:tcW w:w="1980" w:type="dxa"/>
          </w:tcPr>
          <w:p w14:paraId="7A432D39" w14:textId="77777777" w:rsidR="00157C00" w:rsidRPr="007466DA" w:rsidRDefault="00157C00" w:rsidP="003D4826">
            <w:pPr>
              <w:jc w:val="center"/>
            </w:pPr>
            <w:r w:rsidRPr="007466DA">
              <w:t>Nov 2021</w:t>
            </w:r>
          </w:p>
        </w:tc>
        <w:tc>
          <w:tcPr>
            <w:tcW w:w="2790" w:type="dxa"/>
          </w:tcPr>
          <w:p w14:paraId="7E2AE8A0" w14:textId="77777777" w:rsidR="00157C00" w:rsidRPr="007466DA" w:rsidRDefault="00157C00" w:rsidP="003D4826">
            <w:pPr>
              <w:jc w:val="center"/>
            </w:pPr>
            <w:r w:rsidRPr="007466DA">
              <w:t>May 2021</w:t>
            </w:r>
          </w:p>
        </w:tc>
        <w:tc>
          <w:tcPr>
            <w:tcW w:w="3510" w:type="dxa"/>
          </w:tcPr>
          <w:p w14:paraId="4F2B4B51" w14:textId="77777777" w:rsidR="00157C00" w:rsidRPr="007466DA" w:rsidRDefault="00157C00" w:rsidP="003D4826">
            <w:pPr>
              <w:jc w:val="center"/>
            </w:pPr>
            <w:r w:rsidRPr="007466DA">
              <w:t>Aug 2022 – Dec 202</w:t>
            </w:r>
            <w:r>
              <w:t>2</w:t>
            </w:r>
          </w:p>
        </w:tc>
      </w:tr>
      <w:tr w:rsidR="00157C00" w:rsidRPr="007466DA" w14:paraId="6CB517E3" w14:textId="77777777" w:rsidTr="00792F98">
        <w:trPr>
          <w:jc w:val="center"/>
        </w:trPr>
        <w:tc>
          <w:tcPr>
            <w:tcW w:w="1530" w:type="dxa"/>
          </w:tcPr>
          <w:p w14:paraId="40742794" w14:textId="77777777" w:rsidR="00157C00" w:rsidRPr="007466DA" w:rsidRDefault="00157C00" w:rsidP="003D4826">
            <w:pPr>
              <w:jc w:val="center"/>
            </w:pPr>
            <w:r w:rsidRPr="007466DA">
              <w:t>Unit 4 COD</w:t>
            </w:r>
          </w:p>
        </w:tc>
        <w:tc>
          <w:tcPr>
            <w:tcW w:w="1980" w:type="dxa"/>
          </w:tcPr>
          <w:p w14:paraId="431F2977" w14:textId="77777777" w:rsidR="00157C00" w:rsidRPr="007466DA" w:rsidRDefault="00157C00" w:rsidP="003D4826">
            <w:pPr>
              <w:jc w:val="center"/>
            </w:pPr>
            <w:r w:rsidRPr="007466DA">
              <w:t>Nov 2022</w:t>
            </w:r>
          </w:p>
        </w:tc>
        <w:tc>
          <w:tcPr>
            <w:tcW w:w="2790" w:type="dxa"/>
          </w:tcPr>
          <w:p w14:paraId="1D8685C3" w14:textId="77777777" w:rsidR="00157C00" w:rsidRPr="007466DA" w:rsidRDefault="00157C00" w:rsidP="003D4826">
            <w:pPr>
              <w:jc w:val="center"/>
            </w:pPr>
            <w:r w:rsidRPr="007466DA">
              <w:t>May 2022</w:t>
            </w:r>
          </w:p>
        </w:tc>
        <w:tc>
          <w:tcPr>
            <w:tcW w:w="3510" w:type="dxa"/>
          </w:tcPr>
          <w:p w14:paraId="4CC640E9" w14:textId="77777777" w:rsidR="00157C00" w:rsidRPr="007466DA" w:rsidRDefault="00157C00" w:rsidP="003D4826">
            <w:pPr>
              <w:jc w:val="center"/>
            </w:pPr>
            <w:r w:rsidRPr="007466DA">
              <w:t>Aug 2023 – Dec 202</w:t>
            </w:r>
            <w:r>
              <w:t>3</w:t>
            </w:r>
          </w:p>
        </w:tc>
      </w:tr>
      <w:tr w:rsidR="00157C00" w:rsidRPr="007466DA" w14:paraId="2A05BFFE" w14:textId="77777777" w:rsidTr="00792F98">
        <w:trPr>
          <w:jc w:val="center"/>
        </w:trPr>
        <w:tc>
          <w:tcPr>
            <w:tcW w:w="9810" w:type="dxa"/>
            <w:gridSpan w:val="4"/>
          </w:tcPr>
          <w:p w14:paraId="7A625938" w14:textId="77777777" w:rsidR="00157C00" w:rsidRPr="007466DA" w:rsidRDefault="00157C00" w:rsidP="003D4826">
            <w:pPr>
              <w:jc w:val="both"/>
            </w:pPr>
            <w:r w:rsidRPr="007466DA">
              <w:t>NOTE 1:  As indicated previously</w:t>
            </w:r>
            <w:r>
              <w:t xml:space="preserve">, CPT </w:t>
            </w:r>
            <w:r w:rsidRPr="007466DA">
              <w:t xml:space="preserve">focused its analysis on the +23 Target Schedule and assessed probable delays in that schedule of 15 to 19 months. </w:t>
            </w:r>
          </w:p>
        </w:tc>
      </w:tr>
      <w:tr w:rsidR="00157C00" w:rsidRPr="007466DA" w14:paraId="456E0A43" w14:textId="77777777" w:rsidTr="00792F98">
        <w:trPr>
          <w:jc w:val="center"/>
        </w:trPr>
        <w:tc>
          <w:tcPr>
            <w:tcW w:w="9810" w:type="dxa"/>
            <w:gridSpan w:val="4"/>
          </w:tcPr>
          <w:p w14:paraId="39A3367C" w14:textId="3A1F4F21" w:rsidR="00157C00" w:rsidRPr="00EF180F" w:rsidRDefault="00157C00" w:rsidP="003D4826">
            <w:pPr>
              <w:jc w:val="both"/>
            </w:pPr>
            <w:r w:rsidRPr="00EF180F">
              <w:t xml:space="preserve">NOTE 2:  </w:t>
            </w:r>
            <w:r w:rsidRPr="00EF180F">
              <w:rPr>
                <w:b/>
                <w:bCs/>
              </w:rPr>
              <w:t>CPT’s “Preliminary View” as shown above has no schedule contingency</w:t>
            </w:r>
            <w:r w:rsidRPr="00B304C9">
              <w:rPr>
                <w:b/>
                <w:bCs/>
              </w:rPr>
              <w:t>.</w:t>
            </w:r>
            <w:r w:rsidRPr="00EF180F">
              <w:t xml:space="preserve">  Further, First-of-a-Kind (</w:t>
            </w:r>
            <w:proofErr w:type="spellStart"/>
            <w:r w:rsidRPr="00EF180F">
              <w:t>FOAK</w:t>
            </w:r>
            <w:proofErr w:type="spellEnd"/>
            <w:r w:rsidRPr="00EF180F">
              <w:t>) projects normally have “unexpected/ currently unknown” issues that arise to further delay the schedule.  Industry refers to these as “known/ unknowns”.  CPT’s</w:t>
            </w:r>
            <w:r w:rsidRPr="00B304C9">
              <w:t xml:space="preserve"> </w:t>
            </w:r>
            <w:r w:rsidRPr="00EF180F">
              <w:t>“Preliminary View”, therefore, represents our Rough Order of Magnitude (ROM) estimate of the forecast schedule ranges based on “what is known” in terms of risks and their potential impacts</w:t>
            </w:r>
            <w:r w:rsidRPr="00B304C9">
              <w:t xml:space="preserve"> </w:t>
            </w:r>
            <w:r w:rsidRPr="00EF180F">
              <w:t xml:space="preserve">but does not account for “known/ unknowns” and may therefore </w:t>
            </w:r>
            <w:r>
              <w:t>be</w:t>
            </w:r>
            <w:r w:rsidRPr="00EF180F">
              <w:t xml:space="preserve"> a somewhat optimistic early schedule </w:t>
            </w:r>
            <w:r>
              <w:t>r</w:t>
            </w:r>
            <w:r w:rsidRPr="00EF180F">
              <w:t>ange</w:t>
            </w:r>
            <w:r>
              <w:t>.</w:t>
            </w:r>
          </w:p>
        </w:tc>
      </w:tr>
      <w:tr w:rsidR="00157C00" w:rsidRPr="001678FA" w14:paraId="7B0EDCEF" w14:textId="77777777" w:rsidTr="00792F98">
        <w:trPr>
          <w:trHeight w:val="278"/>
          <w:jc w:val="center"/>
        </w:trPr>
        <w:tc>
          <w:tcPr>
            <w:tcW w:w="9810" w:type="dxa"/>
            <w:gridSpan w:val="4"/>
          </w:tcPr>
          <w:p w14:paraId="117CC7EF" w14:textId="7570BA49" w:rsidR="00157C00" w:rsidRDefault="00157C00" w:rsidP="00223F1D">
            <w:pPr>
              <w:jc w:val="center"/>
            </w:pPr>
            <w:r>
              <w:t>Above is from VMG June 2018 review of Company’s incomplete IPS</w:t>
            </w:r>
            <w:r w:rsidR="0066678F">
              <w:t>, while notes 3, 4, and 5 on the next page have been subsequently added.</w:t>
            </w:r>
          </w:p>
        </w:tc>
      </w:tr>
      <w:tr w:rsidR="00157C00" w:rsidRPr="001678FA" w14:paraId="7503716E" w14:textId="77777777" w:rsidTr="00792F98">
        <w:trPr>
          <w:trHeight w:val="584"/>
          <w:jc w:val="center"/>
        </w:trPr>
        <w:tc>
          <w:tcPr>
            <w:tcW w:w="9810" w:type="dxa"/>
            <w:gridSpan w:val="4"/>
          </w:tcPr>
          <w:p w14:paraId="043EB71C" w14:textId="04A897F3" w:rsidR="00157C00" w:rsidRDefault="00157C00" w:rsidP="003D4826">
            <w:pPr>
              <w:jc w:val="both"/>
            </w:pPr>
            <w:r>
              <w:t xml:space="preserve">NOTE 3:  Shortly after being engaged as “CPT”, the </w:t>
            </w:r>
            <w:r w:rsidR="00A767CA">
              <w:t>C</w:t>
            </w:r>
            <w:r>
              <w:t xml:space="preserve">ompany changed to “VMG” with the key personnel reconstituted within VMG. </w:t>
            </w:r>
          </w:p>
        </w:tc>
      </w:tr>
      <w:tr w:rsidR="00157C00" w:rsidRPr="001678FA" w14:paraId="0B4CA4DF" w14:textId="77777777" w:rsidTr="00792F98">
        <w:trPr>
          <w:trHeight w:val="584"/>
          <w:jc w:val="center"/>
        </w:trPr>
        <w:tc>
          <w:tcPr>
            <w:tcW w:w="9810" w:type="dxa"/>
            <w:gridSpan w:val="4"/>
          </w:tcPr>
          <w:p w14:paraId="20237503" w14:textId="19ABD039" w:rsidR="00157C00" w:rsidRPr="00EA51DC" w:rsidRDefault="00157C00" w:rsidP="003D4826">
            <w:pPr>
              <w:jc w:val="both"/>
            </w:pPr>
            <w:r>
              <w:t>NOTE 4:  A</w:t>
            </w:r>
            <w:r w:rsidRPr="00EF180F">
              <w:t xml:space="preserve">ssuming a schedule contingency of 6 to 8 months applied to the </w:t>
            </w:r>
            <w:r w:rsidR="005C2D7E">
              <w:t xml:space="preserve">“Preliminary Review” </w:t>
            </w:r>
            <w:r w:rsidRPr="00EF180F">
              <w:t>early dates would slip these dates to February 2023 – April 2023 (U-3) and February – April 2024 (U-4).</w:t>
            </w:r>
          </w:p>
        </w:tc>
      </w:tr>
      <w:tr w:rsidR="00157C00" w:rsidRPr="001678FA" w14:paraId="250246A9" w14:textId="77777777" w:rsidTr="00792F98">
        <w:trPr>
          <w:trHeight w:val="584"/>
          <w:jc w:val="center"/>
        </w:trPr>
        <w:tc>
          <w:tcPr>
            <w:tcW w:w="9810" w:type="dxa"/>
            <w:gridSpan w:val="4"/>
          </w:tcPr>
          <w:p w14:paraId="165DBC02" w14:textId="00A774F0" w:rsidR="00157C00" w:rsidRPr="00EA51DC" w:rsidRDefault="00157C00" w:rsidP="003D4826">
            <w:pPr>
              <w:jc w:val="both"/>
            </w:pPr>
            <w:r w:rsidRPr="00EA51DC">
              <w:t xml:space="preserve">NOTE </w:t>
            </w:r>
            <w:r>
              <w:t>5</w:t>
            </w:r>
            <w:r w:rsidRPr="00EA51DC">
              <w:t xml:space="preserve">:  Also, as is demonstrated in Section 3 of this report, the “Basis </w:t>
            </w:r>
            <w:r w:rsidR="0066678F" w:rsidRPr="00EA51DC">
              <w:t>of</w:t>
            </w:r>
            <w:r w:rsidRPr="00EA51DC">
              <w:t xml:space="preserve"> Estimate” (BOE) upon which the </w:t>
            </w:r>
            <w:r>
              <w:t xml:space="preserve">subsequent </w:t>
            </w:r>
            <w:r w:rsidRPr="00EA51DC">
              <w:t xml:space="preserve">April 2019 Baseline was </w:t>
            </w:r>
            <w:r w:rsidR="0066678F">
              <w:t xml:space="preserve">developed was </w:t>
            </w:r>
            <w:r w:rsidRPr="00EA51DC">
              <w:t xml:space="preserve">unrealistic and could not be counted </w:t>
            </w:r>
            <w:r w:rsidRPr="00EA51DC">
              <w:lastRenderedPageBreak/>
              <w:t xml:space="preserve">on to provide reliable forecasts of the ever-changing forecast TPC Estimate at Completion (TPC </w:t>
            </w:r>
            <w:proofErr w:type="spellStart"/>
            <w:r w:rsidRPr="00EA51DC">
              <w:t>EAC</w:t>
            </w:r>
            <w:proofErr w:type="spellEnd"/>
            <w:r w:rsidRPr="00EA51DC">
              <w:t>) and CODs.</w:t>
            </w:r>
          </w:p>
        </w:tc>
      </w:tr>
    </w:tbl>
    <w:p w14:paraId="209D41E9" w14:textId="77777777" w:rsidR="00A25604" w:rsidRDefault="00A25604" w:rsidP="00CE004F">
      <w:pPr>
        <w:jc w:val="center"/>
        <w:rPr>
          <w:b/>
          <w:szCs w:val="24"/>
          <w:highlight w:val="yellow"/>
        </w:rPr>
      </w:pPr>
    </w:p>
    <w:p w14:paraId="31A5ECA0" w14:textId="333DDCC0" w:rsidR="007F08A0" w:rsidRDefault="007F08A0" w:rsidP="007F08A0">
      <w:pPr>
        <w:jc w:val="both"/>
        <w:rPr>
          <w:bCs/>
        </w:rPr>
      </w:pPr>
      <w:r>
        <w:rPr>
          <w:bCs/>
        </w:rPr>
        <w:t xml:space="preserve">Another way VMG looked at the schedule was to assume a level of schedule contingency within each of the major construction activities versus adding a larger contingency to the entire effort.  In doing this </w:t>
      </w:r>
      <w:r w:rsidR="001D46C0">
        <w:rPr>
          <w:bCs/>
        </w:rPr>
        <w:t>the delays</w:t>
      </w:r>
      <w:r>
        <w:rPr>
          <w:bCs/>
        </w:rPr>
        <w:t xml:space="preserve"> of the following activities were estimated and used as an alternative means of analyzing the forecast CODs.  The results of this analysis </w:t>
      </w:r>
      <w:r w:rsidR="0066678F">
        <w:rPr>
          <w:bCs/>
        </w:rPr>
        <w:t xml:space="preserve">of the efforts </w:t>
      </w:r>
      <w:r>
        <w:rPr>
          <w:bCs/>
        </w:rPr>
        <w:t xml:space="preserve">are indicated below and yield a similar result as was derived from the approach shown in table 1.3-1.  </w:t>
      </w:r>
    </w:p>
    <w:p w14:paraId="457387DF" w14:textId="77777777" w:rsidR="007F08A0" w:rsidRPr="008D187D" w:rsidRDefault="007F08A0" w:rsidP="007F08A0">
      <w:pPr>
        <w:jc w:val="both"/>
        <w:rPr>
          <w:bCs/>
          <w:sz w:val="16"/>
          <w:szCs w:val="16"/>
        </w:rPr>
      </w:pPr>
    </w:p>
    <w:p w14:paraId="7C30565E" w14:textId="77777777" w:rsidR="007F08A0" w:rsidRPr="008D187D" w:rsidRDefault="007F08A0" w:rsidP="007F08A0">
      <w:pPr>
        <w:pStyle w:val="ListParagraph"/>
        <w:numPr>
          <w:ilvl w:val="0"/>
          <w:numId w:val="40"/>
        </w:numPr>
        <w:contextualSpacing/>
        <w:jc w:val="both"/>
        <w:rPr>
          <w:bCs/>
        </w:rPr>
      </w:pPr>
      <w:r w:rsidRPr="008D187D">
        <w:rPr>
          <w:bCs/>
        </w:rPr>
        <w:t xml:space="preserve">Bulk Mechanical Installations:  Were already </w:t>
      </w:r>
      <w:r w:rsidRPr="00EA51DC">
        <w:rPr>
          <w:bCs/>
        </w:rPr>
        <w:t>2</w:t>
      </w:r>
      <w:r w:rsidRPr="008D187D">
        <w:rPr>
          <w:bCs/>
        </w:rPr>
        <w:t xml:space="preserve"> months behind the overly aggressive/ non-achievable plans.</w:t>
      </w:r>
    </w:p>
    <w:p w14:paraId="656E449D" w14:textId="77777777" w:rsidR="007F08A0" w:rsidRPr="008D187D" w:rsidRDefault="007F08A0" w:rsidP="007F08A0">
      <w:pPr>
        <w:jc w:val="both"/>
        <w:rPr>
          <w:bCs/>
          <w:sz w:val="16"/>
          <w:szCs w:val="16"/>
        </w:rPr>
      </w:pPr>
    </w:p>
    <w:p w14:paraId="524B2D9A" w14:textId="474A6A7C" w:rsidR="007F08A0" w:rsidRPr="008D187D" w:rsidRDefault="007F08A0" w:rsidP="007F08A0">
      <w:pPr>
        <w:pStyle w:val="ListParagraph"/>
        <w:numPr>
          <w:ilvl w:val="0"/>
          <w:numId w:val="40"/>
        </w:numPr>
        <w:contextualSpacing/>
        <w:jc w:val="both"/>
        <w:rPr>
          <w:bCs/>
        </w:rPr>
      </w:pPr>
      <w:r w:rsidRPr="008D187D">
        <w:rPr>
          <w:bCs/>
        </w:rPr>
        <w:t xml:space="preserve">Bulk Electrical Installations:  Were already </w:t>
      </w:r>
      <w:r w:rsidRPr="00CB2629">
        <w:rPr>
          <w:bCs/>
        </w:rPr>
        <w:t xml:space="preserve">2 </w:t>
      </w:r>
      <w:r w:rsidRPr="008D187D">
        <w:rPr>
          <w:bCs/>
        </w:rPr>
        <w:t xml:space="preserve">months behind the overly aggressive/ non-achievable plans.  Also note that to a certain extent, these installations must follow the mechanical installations, and as such another time lag of </w:t>
      </w:r>
      <w:r w:rsidRPr="00CB2629">
        <w:rPr>
          <w:bCs/>
        </w:rPr>
        <w:t>2</w:t>
      </w:r>
      <w:r w:rsidRPr="008D187D">
        <w:rPr>
          <w:bCs/>
        </w:rPr>
        <w:t xml:space="preserve"> months should be added from Mechanical Bulk Completion to electrical and Instrumentation and Controls (</w:t>
      </w:r>
      <w:proofErr w:type="spellStart"/>
      <w:r w:rsidRPr="008D187D">
        <w:rPr>
          <w:bCs/>
        </w:rPr>
        <w:t>I&amp;C</w:t>
      </w:r>
      <w:proofErr w:type="spellEnd"/>
      <w:r w:rsidRPr="008D187D">
        <w:rPr>
          <w:bCs/>
        </w:rPr>
        <w:t xml:space="preserve">) </w:t>
      </w:r>
      <w:r>
        <w:rPr>
          <w:bCs/>
        </w:rPr>
        <w:t xml:space="preserve">completion (resulting in an additional </w:t>
      </w:r>
      <w:r w:rsidRPr="00EA51DC">
        <w:rPr>
          <w:bCs/>
        </w:rPr>
        <w:t>4</w:t>
      </w:r>
      <w:r>
        <w:rPr>
          <w:bCs/>
        </w:rPr>
        <w:t>-month delay)</w:t>
      </w:r>
      <w:r w:rsidR="003C0AA3">
        <w:rPr>
          <w:bCs/>
        </w:rPr>
        <w:t>.</w:t>
      </w:r>
    </w:p>
    <w:p w14:paraId="29213C5F" w14:textId="77777777" w:rsidR="007F08A0" w:rsidRDefault="007F08A0" w:rsidP="007F08A0">
      <w:pPr>
        <w:pStyle w:val="ListParagraph"/>
        <w:rPr>
          <w:bCs/>
          <w:sz w:val="16"/>
          <w:szCs w:val="16"/>
        </w:rPr>
      </w:pPr>
    </w:p>
    <w:p w14:paraId="7B15D0AA" w14:textId="77777777" w:rsidR="007F08A0" w:rsidRPr="008D187D" w:rsidRDefault="007F08A0" w:rsidP="007F08A0">
      <w:pPr>
        <w:jc w:val="both"/>
        <w:rPr>
          <w:bCs/>
          <w:sz w:val="16"/>
          <w:szCs w:val="16"/>
        </w:rPr>
      </w:pPr>
    </w:p>
    <w:p w14:paraId="0EF306E4" w14:textId="77777777" w:rsidR="007F08A0" w:rsidRPr="008D187D" w:rsidRDefault="007F08A0" w:rsidP="007F08A0">
      <w:pPr>
        <w:pStyle w:val="ListParagraph"/>
        <w:numPr>
          <w:ilvl w:val="0"/>
          <w:numId w:val="40"/>
        </w:numPr>
        <w:contextualSpacing/>
        <w:jc w:val="both"/>
        <w:rPr>
          <w:bCs/>
        </w:rPr>
      </w:pPr>
      <w:r w:rsidRPr="008D187D">
        <w:rPr>
          <w:bCs/>
        </w:rPr>
        <w:t xml:space="preserve">Over-all Bulk Installations:  Were already </w:t>
      </w:r>
      <w:r w:rsidRPr="00CB2629">
        <w:rPr>
          <w:bCs/>
        </w:rPr>
        <w:t>4</w:t>
      </w:r>
      <w:r w:rsidRPr="008D187D">
        <w:rPr>
          <w:bCs/>
        </w:rPr>
        <w:t xml:space="preserve"> months behind the overly aggressive/ non-achievable plans; plus, VMG forecasted another </w:t>
      </w:r>
      <w:r w:rsidRPr="00EA51DC">
        <w:rPr>
          <w:bCs/>
        </w:rPr>
        <w:t>3</w:t>
      </w:r>
      <w:r w:rsidRPr="00CB2629">
        <w:rPr>
          <w:b/>
        </w:rPr>
        <w:t xml:space="preserve"> </w:t>
      </w:r>
      <w:r w:rsidRPr="008D187D">
        <w:rPr>
          <w:bCs/>
        </w:rPr>
        <w:t xml:space="preserve">months were needed </w:t>
      </w:r>
      <w:r>
        <w:rPr>
          <w:bCs/>
        </w:rPr>
        <w:t xml:space="preserve">(for a total of </w:t>
      </w:r>
      <w:r w:rsidRPr="00CB2629">
        <w:rPr>
          <w:b/>
        </w:rPr>
        <w:t xml:space="preserve">7 </w:t>
      </w:r>
      <w:r>
        <w:rPr>
          <w:bCs/>
        </w:rPr>
        <w:t xml:space="preserve">months) </w:t>
      </w:r>
      <w:r w:rsidRPr="008D187D">
        <w:rPr>
          <w:bCs/>
        </w:rPr>
        <w:t>to complete bulk installation of piping plus others as well</w:t>
      </w:r>
      <w:r>
        <w:rPr>
          <w:bCs/>
        </w:rPr>
        <w:t>, with these extended time periods also based on actual vs planned rates of installation.</w:t>
      </w:r>
    </w:p>
    <w:p w14:paraId="1C5C197E" w14:textId="77777777" w:rsidR="007F08A0" w:rsidRDefault="007F08A0" w:rsidP="007F08A0">
      <w:pPr>
        <w:pStyle w:val="ListParagraph"/>
        <w:rPr>
          <w:bCs/>
          <w:sz w:val="16"/>
          <w:szCs w:val="16"/>
        </w:rPr>
      </w:pPr>
    </w:p>
    <w:p w14:paraId="144AC740" w14:textId="77777777" w:rsidR="007F08A0" w:rsidRPr="008D187D" w:rsidRDefault="007F08A0" w:rsidP="007F08A0">
      <w:pPr>
        <w:jc w:val="both"/>
        <w:rPr>
          <w:bCs/>
          <w:sz w:val="16"/>
          <w:szCs w:val="16"/>
        </w:rPr>
      </w:pPr>
    </w:p>
    <w:p w14:paraId="13CA98E0" w14:textId="77777777" w:rsidR="007F08A0" w:rsidRPr="008D187D" w:rsidRDefault="007F08A0" w:rsidP="007F08A0">
      <w:pPr>
        <w:pStyle w:val="ListParagraph"/>
        <w:numPr>
          <w:ilvl w:val="0"/>
          <w:numId w:val="40"/>
        </w:numPr>
        <w:contextualSpacing/>
        <w:jc w:val="both"/>
        <w:rPr>
          <w:bCs/>
        </w:rPr>
      </w:pPr>
      <w:r w:rsidRPr="008D187D">
        <w:rPr>
          <w:bCs/>
        </w:rPr>
        <w:t xml:space="preserve">System Turnovers to ITP:  </w:t>
      </w:r>
      <w:r>
        <w:rPr>
          <w:bCs/>
        </w:rPr>
        <w:t>VMG f</w:t>
      </w:r>
      <w:r w:rsidRPr="008D187D">
        <w:rPr>
          <w:bCs/>
        </w:rPr>
        <w:t>orecaste</w:t>
      </w:r>
      <w:r>
        <w:rPr>
          <w:bCs/>
        </w:rPr>
        <w:t>d</w:t>
      </w:r>
      <w:r w:rsidRPr="008D187D">
        <w:rPr>
          <w:bCs/>
        </w:rPr>
        <w:t xml:space="preserve"> another </w:t>
      </w:r>
      <w:r w:rsidRPr="00EA51DC">
        <w:rPr>
          <w:bCs/>
        </w:rPr>
        <w:t>5</w:t>
      </w:r>
      <w:r w:rsidRPr="008D187D">
        <w:rPr>
          <w:bCs/>
        </w:rPr>
        <w:t xml:space="preserve"> months would be required (due to the delayed completion of work </w:t>
      </w:r>
      <w:r>
        <w:rPr>
          <w:bCs/>
        </w:rPr>
        <w:t xml:space="preserve">and testing </w:t>
      </w:r>
      <w:r w:rsidRPr="008D187D">
        <w:rPr>
          <w:bCs/>
        </w:rPr>
        <w:t>that must be done before system turnovers</w:t>
      </w:r>
      <w:r>
        <w:rPr>
          <w:bCs/>
        </w:rPr>
        <w:t xml:space="preserve"> can start, and the actual vs planned rate of turnovers</w:t>
      </w:r>
      <w:r w:rsidRPr="008D187D">
        <w:rPr>
          <w:bCs/>
        </w:rPr>
        <w:t>).</w:t>
      </w:r>
    </w:p>
    <w:p w14:paraId="5E578CCF" w14:textId="77777777" w:rsidR="007F08A0" w:rsidRDefault="007F08A0" w:rsidP="007F08A0">
      <w:pPr>
        <w:pStyle w:val="ListParagraph"/>
        <w:rPr>
          <w:bCs/>
          <w:sz w:val="16"/>
          <w:szCs w:val="16"/>
        </w:rPr>
      </w:pPr>
    </w:p>
    <w:p w14:paraId="5FC1CD52" w14:textId="77777777" w:rsidR="007F08A0" w:rsidRPr="008D187D" w:rsidRDefault="007F08A0" w:rsidP="007F08A0">
      <w:pPr>
        <w:rPr>
          <w:bCs/>
          <w:sz w:val="16"/>
          <w:szCs w:val="16"/>
        </w:rPr>
      </w:pPr>
    </w:p>
    <w:p w14:paraId="28EEA0C0" w14:textId="7AFECC29" w:rsidR="007F08A0" w:rsidRPr="008D187D" w:rsidRDefault="007F08A0" w:rsidP="007F08A0">
      <w:pPr>
        <w:pStyle w:val="ListParagraph"/>
        <w:numPr>
          <w:ilvl w:val="0"/>
          <w:numId w:val="40"/>
        </w:numPr>
        <w:contextualSpacing/>
        <w:jc w:val="both"/>
        <w:rPr>
          <w:bCs/>
        </w:rPr>
      </w:pPr>
      <w:r w:rsidRPr="008D187D">
        <w:rPr>
          <w:bCs/>
        </w:rPr>
        <w:t>Although not a First of a Kind (</w:t>
      </w:r>
      <w:proofErr w:type="spellStart"/>
      <w:r w:rsidRPr="008D187D">
        <w:rPr>
          <w:bCs/>
        </w:rPr>
        <w:t>FOAK</w:t>
      </w:r>
      <w:proofErr w:type="spellEnd"/>
      <w:r w:rsidRPr="008D187D">
        <w:rPr>
          <w:bCs/>
        </w:rPr>
        <w:t xml:space="preserve">) </w:t>
      </w:r>
      <w:r w:rsidR="00204ECA">
        <w:rPr>
          <w:bCs/>
        </w:rPr>
        <w:t>P</w:t>
      </w:r>
      <w:r w:rsidRPr="008D187D">
        <w:rPr>
          <w:bCs/>
        </w:rPr>
        <w:t xml:space="preserve">roject from a technological standpoint (note: Westinghouse Pressurized Water Reactors have been </w:t>
      </w:r>
      <w:r w:rsidR="00C94261">
        <w:rPr>
          <w:bCs/>
        </w:rPr>
        <w:t>deployed</w:t>
      </w:r>
      <w:r w:rsidR="00C94261" w:rsidRPr="008D187D">
        <w:rPr>
          <w:bCs/>
        </w:rPr>
        <w:t xml:space="preserve"> </w:t>
      </w:r>
      <w:r w:rsidRPr="008D187D">
        <w:rPr>
          <w:bCs/>
        </w:rPr>
        <w:t xml:space="preserve">for roughly 70 years), </w:t>
      </w:r>
      <w:r>
        <w:rPr>
          <w:bCs/>
        </w:rPr>
        <w:t xml:space="preserve">since this is a significantly different design and approach to construction, </w:t>
      </w:r>
      <w:r w:rsidRPr="008D187D">
        <w:rPr>
          <w:bCs/>
        </w:rPr>
        <w:t xml:space="preserve">the “benchmark” time period of 12 months from the start of Hot Functional Testing (HFT) to COD should </w:t>
      </w:r>
      <w:r>
        <w:rPr>
          <w:bCs/>
        </w:rPr>
        <w:t xml:space="preserve">(at a minimum for U-3) </w:t>
      </w:r>
      <w:r w:rsidRPr="008D187D">
        <w:rPr>
          <w:bCs/>
        </w:rPr>
        <w:t xml:space="preserve">be increased from 12 months to 16 months, i.e., </w:t>
      </w:r>
      <w:r>
        <w:rPr>
          <w:bCs/>
        </w:rPr>
        <w:t xml:space="preserve">a </w:t>
      </w:r>
      <w:r w:rsidRPr="008D187D">
        <w:rPr>
          <w:bCs/>
        </w:rPr>
        <w:t xml:space="preserve">delay of </w:t>
      </w:r>
      <w:r>
        <w:rPr>
          <w:bCs/>
        </w:rPr>
        <w:t xml:space="preserve">another </w:t>
      </w:r>
      <w:r w:rsidRPr="00EA51DC">
        <w:rPr>
          <w:bCs/>
        </w:rPr>
        <w:t>4</w:t>
      </w:r>
      <w:r w:rsidRPr="008D187D">
        <w:rPr>
          <w:b/>
        </w:rPr>
        <w:t xml:space="preserve"> </w:t>
      </w:r>
      <w:r w:rsidRPr="008D187D">
        <w:rPr>
          <w:bCs/>
        </w:rPr>
        <w:t>months.</w:t>
      </w:r>
    </w:p>
    <w:p w14:paraId="6599B70C" w14:textId="77777777" w:rsidR="007F08A0" w:rsidRDefault="007F08A0" w:rsidP="007F08A0">
      <w:pPr>
        <w:pStyle w:val="ListParagraph"/>
        <w:rPr>
          <w:bCs/>
          <w:sz w:val="16"/>
          <w:szCs w:val="16"/>
        </w:rPr>
      </w:pPr>
    </w:p>
    <w:p w14:paraId="55102445" w14:textId="77777777" w:rsidR="007F08A0" w:rsidRPr="008D187D" w:rsidRDefault="007F08A0" w:rsidP="007F08A0">
      <w:pPr>
        <w:jc w:val="both"/>
        <w:rPr>
          <w:bCs/>
          <w:sz w:val="16"/>
          <w:szCs w:val="16"/>
        </w:rPr>
      </w:pPr>
    </w:p>
    <w:p w14:paraId="674C4DE5" w14:textId="77777777" w:rsidR="007F08A0" w:rsidRDefault="007F08A0" w:rsidP="007F08A0">
      <w:pPr>
        <w:jc w:val="both"/>
        <w:rPr>
          <w:b/>
        </w:rPr>
      </w:pPr>
      <w:r>
        <w:rPr>
          <w:bCs/>
        </w:rPr>
        <w:t xml:space="preserve">In total, therefore, when adding these delays, the cumulative effect is a delay of </w:t>
      </w:r>
      <w:r w:rsidRPr="00EA51DC">
        <w:rPr>
          <w:bCs/>
        </w:rPr>
        <w:t>22</w:t>
      </w:r>
      <w:r w:rsidRPr="00CB2629">
        <w:rPr>
          <w:b/>
        </w:rPr>
        <w:t xml:space="preserve"> </w:t>
      </w:r>
      <w:r>
        <w:rPr>
          <w:bCs/>
        </w:rPr>
        <w:t xml:space="preserve">months (from the SWP assumed COD of May 2021 for U-3, and May 2022 for U-4), which when added to these dates results in a forecast COD of March 2023 for U-3 and March 2024 for U-4. </w:t>
      </w:r>
    </w:p>
    <w:p w14:paraId="75553A6E" w14:textId="77777777" w:rsidR="007F08A0" w:rsidRPr="008D187D" w:rsidRDefault="007F08A0" w:rsidP="007F08A0">
      <w:pPr>
        <w:rPr>
          <w:bCs/>
        </w:rPr>
      </w:pPr>
    </w:p>
    <w:p w14:paraId="61AF91E8" w14:textId="5FA66041" w:rsidR="007F08A0" w:rsidRPr="00223F1D" w:rsidRDefault="007F08A0" w:rsidP="007F08A0">
      <w:pPr>
        <w:tabs>
          <w:tab w:val="left" w:pos="6557"/>
        </w:tabs>
        <w:jc w:val="both"/>
        <w:rPr>
          <w:b/>
          <w:bCs/>
        </w:rPr>
      </w:pPr>
      <w:r>
        <w:rPr>
          <w:b/>
          <w:bCs/>
        </w:rPr>
        <w:t>1.4</w:t>
      </w:r>
      <w:r>
        <w:t xml:space="preserve">.  </w:t>
      </w:r>
      <w:r w:rsidRPr="00B302D7">
        <w:rPr>
          <w:b/>
          <w:bCs/>
        </w:rPr>
        <w:t>Company Commitment to the Regulatory Approved Cost and Schedule:</w:t>
      </w:r>
      <w:r>
        <w:t xml:space="preserve">    The Company and Co-owners</w:t>
      </w:r>
      <w:r w:rsidRPr="000A543C">
        <w:t xml:space="preserve"> decided to go forward, and in doing so</w:t>
      </w:r>
      <w:r w:rsidR="00C94261">
        <w:t>,</w:t>
      </w:r>
      <w:r w:rsidRPr="000A543C">
        <w:t xml:space="preserve"> </w:t>
      </w:r>
      <w:r w:rsidR="000917DC">
        <w:t xml:space="preserve">GPC </w:t>
      </w:r>
      <w:r w:rsidRPr="000A543C">
        <w:t>committed to</w:t>
      </w:r>
      <w:r>
        <w:t xml:space="preserve"> a Capital Construction Cost of $ 7.3 billion (which corresponded to a TPC of $ 17.1 billion) </w:t>
      </w:r>
      <w:r w:rsidRPr="000A543C">
        <w:t xml:space="preserve">and </w:t>
      </w:r>
      <w:r w:rsidR="000917DC">
        <w:t>Commission</w:t>
      </w:r>
      <w:r w:rsidRPr="000A543C">
        <w:t xml:space="preserve"> Approved CODs of November 2021/ November 2022.  Further, with the April 2019 re-baselining of the </w:t>
      </w:r>
      <w:r>
        <w:t>P</w:t>
      </w:r>
      <w:r w:rsidRPr="000A543C">
        <w:t>roject</w:t>
      </w:r>
      <w:r>
        <w:t xml:space="preserve"> (and 2 years after having taken over the Project)</w:t>
      </w:r>
      <w:r w:rsidRPr="000A543C">
        <w:t xml:space="preserve">, they reported having verified the “to go” construction quantities and continued with their commitment to meet the </w:t>
      </w:r>
      <w:r>
        <w:t xml:space="preserve">Capital Construction Cost of $ 7.3 billion and </w:t>
      </w:r>
      <w:r w:rsidRPr="000A543C">
        <w:t xml:space="preserve">November 2021/ </w:t>
      </w:r>
      <w:r w:rsidRPr="000A543C">
        <w:lastRenderedPageBreak/>
        <w:t xml:space="preserve">November 2022 CODs.  </w:t>
      </w:r>
      <w:r>
        <w:rPr>
          <w:b/>
          <w:bCs/>
        </w:rPr>
        <w:t xml:space="preserve">This, plus the fact that </w:t>
      </w:r>
      <w:r w:rsidR="00204ECA">
        <w:rPr>
          <w:b/>
          <w:bCs/>
        </w:rPr>
        <w:t xml:space="preserve">$ 7.3 billion and </w:t>
      </w:r>
      <w:r w:rsidR="00204ECA" w:rsidRPr="00204ECA">
        <w:rPr>
          <w:b/>
          <w:bCs/>
        </w:rPr>
        <w:t>November 2021/ November 2022 CODs</w:t>
      </w:r>
      <w:r w:rsidR="00204ECA" w:rsidRPr="00204ECA" w:rsidDel="00204ECA">
        <w:rPr>
          <w:b/>
          <w:bCs/>
        </w:rPr>
        <w:t xml:space="preserve"> </w:t>
      </w:r>
      <w:r>
        <w:rPr>
          <w:b/>
          <w:bCs/>
        </w:rPr>
        <w:t xml:space="preserve">was the basis </w:t>
      </w:r>
      <w:r w:rsidR="00715E2A">
        <w:rPr>
          <w:b/>
          <w:bCs/>
        </w:rPr>
        <w:t>for</w:t>
      </w:r>
      <w:r>
        <w:rPr>
          <w:b/>
          <w:bCs/>
        </w:rPr>
        <w:t xml:space="preserve"> the Commission to approve continuation of the </w:t>
      </w:r>
      <w:r w:rsidR="00C94261">
        <w:rPr>
          <w:b/>
          <w:bCs/>
        </w:rPr>
        <w:t>P</w:t>
      </w:r>
      <w:r>
        <w:rPr>
          <w:b/>
          <w:bCs/>
        </w:rPr>
        <w:t xml:space="preserve">roject, the Company </w:t>
      </w:r>
      <w:r w:rsidRPr="00EB447D">
        <w:rPr>
          <w:b/>
          <w:bCs/>
        </w:rPr>
        <w:t xml:space="preserve">needs to be </w:t>
      </w:r>
      <w:r>
        <w:rPr>
          <w:b/>
          <w:bCs/>
        </w:rPr>
        <w:t xml:space="preserve">held to </w:t>
      </w:r>
      <w:r w:rsidRPr="00EB447D">
        <w:rPr>
          <w:b/>
          <w:bCs/>
        </w:rPr>
        <w:t>a high degree of accountability for their actual performance versus these commitments.</w:t>
      </w:r>
      <w:r w:rsidRPr="000A543C">
        <w:t xml:space="preserve">  </w:t>
      </w:r>
      <w:r w:rsidR="001D46C0">
        <w:rPr>
          <w:b/>
          <w:bCs/>
        </w:rPr>
        <w:t>In effect, one could view this cost and schedule as a “non-binding contract” between the Commission and the Company.</w:t>
      </w:r>
    </w:p>
    <w:p w14:paraId="277D6C8A" w14:textId="77777777" w:rsidR="007F08A0" w:rsidRDefault="007F08A0" w:rsidP="007F08A0">
      <w:pPr>
        <w:tabs>
          <w:tab w:val="left" w:pos="6557"/>
        </w:tabs>
        <w:jc w:val="both"/>
      </w:pPr>
    </w:p>
    <w:p w14:paraId="11B9BC42" w14:textId="6E5F6B42" w:rsidR="007F08A0" w:rsidRDefault="007F08A0" w:rsidP="007F08A0">
      <w:pPr>
        <w:tabs>
          <w:tab w:val="left" w:pos="6557"/>
        </w:tabs>
        <w:jc w:val="both"/>
        <w:rPr>
          <w:b/>
          <w:bCs/>
          <w:sz w:val="28"/>
          <w:szCs w:val="28"/>
        </w:rPr>
      </w:pPr>
      <w:r>
        <w:rPr>
          <w:b/>
          <w:bCs/>
        </w:rPr>
        <w:t xml:space="preserve">1.5 </w:t>
      </w:r>
      <w:r w:rsidR="00C94261">
        <w:rPr>
          <w:b/>
          <w:bCs/>
        </w:rPr>
        <w:t>Deficient</w:t>
      </w:r>
      <w:r>
        <w:rPr>
          <w:b/>
          <w:bCs/>
        </w:rPr>
        <w:t xml:space="preserve"> Schedule and Cost</w:t>
      </w:r>
      <w:r w:rsidR="00C94261">
        <w:rPr>
          <w:b/>
          <w:bCs/>
        </w:rPr>
        <w:t xml:space="preserve"> Forecasting</w:t>
      </w:r>
      <w:r>
        <w:rPr>
          <w:b/>
          <w:bCs/>
        </w:rPr>
        <w:t xml:space="preserve">:  </w:t>
      </w:r>
      <w:r>
        <w:t>After having taken over the Project in April 2017, SNC kept using unrealistic assumptions that served as the Basis of Schedule Estimates for their re-baselined schedules.</w:t>
      </w:r>
      <w:r>
        <w:rPr>
          <w:rStyle w:val="FootnoteReference"/>
        </w:rPr>
        <w:footnoteReference w:id="10"/>
      </w:r>
      <w:r>
        <w:t xml:space="preserve">  Shortly after each re-baselining of the schedule they fell further behind and therefore took increasingly imprudent </w:t>
      </w:r>
      <w:r w:rsidR="00715E2A">
        <w:t>measures</w:t>
      </w:r>
      <w:r>
        <w:t xml:space="preserve"> to try and improve.  These imprudent measures included (a) prematurely switch</w:t>
      </w:r>
      <w:r w:rsidR="00FB215E">
        <w:t>ed</w:t>
      </w:r>
      <w:r>
        <w:t xml:space="preserve"> from bulk commodity installations into a piecemeal approach to meet intermediate milestones that create the perception that the Project was on or near schedule and was supporting the Integrated Test  Program (ITP), (b) increased staffing beyond efficient levels, (c) deferred quality control required inspections, while taking credit for completed work, which upon subsequent inspections was </w:t>
      </w:r>
      <w:r w:rsidR="00904A2A">
        <w:t xml:space="preserve">also </w:t>
      </w:r>
      <w:r>
        <w:t>found to be deficient and required rework, (d) divided systems into numerous subsystems and then (e) took “technical exceptions” within these sub-systems again to support testing work to be performed by the ITP group.  Although some degree of taking these actions in some cases may be warranted, the extent to which they were used was excessive which then both served to defer originally scheduled work and created additional “emergent rework” resulting in a bow wave of an ever-increased future work.  This only served to further complicate the planning and execution of the remaining work and resulted in an enormous amount of unpredictable rework and further costs increases (to where the forecast TPC is now roughly $ 4 billion greater than the $ 17.1 billion)</w:t>
      </w:r>
      <w:r>
        <w:rPr>
          <w:rStyle w:val="FootnoteReference"/>
        </w:rPr>
        <w:footnoteReference w:id="11"/>
      </w:r>
      <w:r>
        <w:t xml:space="preserve">.  At the same time, their reporting of progress tended to cloud awareness of the problems in that they continued to talk in terms of having “schedule margin” between the dates of the unrealistic Site Work Plan and the November 2021/ 2022 dates (ref: Section 3).  Section 2 of this report (Imprudent Management Practices) provides a more detailed discussion of the imprudent management practices SNC implemented </w:t>
      </w:r>
      <w:r w:rsidR="001D46C0">
        <w:t>to</w:t>
      </w:r>
      <w:r>
        <w:t xml:space="preserve"> shorten the schedule but instead negatively impacted both the cost and schedule.   Section 3 provides greater detail regarding the inadequacies of the Project reporting practices </w:t>
      </w:r>
      <w:r w:rsidR="001D46C0">
        <w:t>and</w:t>
      </w:r>
      <w:r>
        <w:t xml:space="preserve"> includes a discussion of the approach to risk management and establishing contingencies.  Following that, Section 4 provides an integrated time phased discussion of the various phases of the U-3 portion of the Project and a macro analysis of the $4 billion increase in the TPC and the actual 20-month (U-3) and forecast 16-month (U-4) slips of the </w:t>
      </w:r>
      <w:r w:rsidR="005C2D7E">
        <w:t xml:space="preserve">Commission </w:t>
      </w:r>
      <w:r>
        <w:t>Approved November 2021/ November 2022 CODs.</w:t>
      </w:r>
      <w:r>
        <w:rPr>
          <w:rStyle w:val="FootnoteReference"/>
        </w:rPr>
        <w:footnoteReference w:id="12"/>
      </w:r>
      <w:r>
        <w:t xml:space="preserve">  </w:t>
      </w:r>
    </w:p>
    <w:p w14:paraId="4B1996B2" w14:textId="77777777" w:rsidR="009C0F08" w:rsidRDefault="009C0F08" w:rsidP="00223F1D">
      <w:pPr>
        <w:rPr>
          <w:b/>
          <w:bCs/>
          <w:sz w:val="28"/>
          <w:szCs w:val="28"/>
        </w:rPr>
      </w:pPr>
    </w:p>
    <w:p w14:paraId="1BD0A5A4" w14:textId="56E5DB44" w:rsidR="007F08A0" w:rsidRPr="00A54D2C" w:rsidRDefault="007F08A0" w:rsidP="007F08A0">
      <w:pPr>
        <w:jc w:val="center"/>
        <w:rPr>
          <w:b/>
          <w:bCs/>
          <w:sz w:val="28"/>
          <w:szCs w:val="28"/>
        </w:rPr>
      </w:pPr>
      <w:r w:rsidRPr="00A54D2C">
        <w:rPr>
          <w:b/>
          <w:bCs/>
          <w:sz w:val="28"/>
          <w:szCs w:val="28"/>
        </w:rPr>
        <w:t>2.  IMPRUDENT MANAGEMENT PRACTICES</w:t>
      </w:r>
    </w:p>
    <w:p w14:paraId="2E6F5294" w14:textId="77777777" w:rsidR="007F08A0" w:rsidRDefault="007F08A0" w:rsidP="007F08A0">
      <w:pPr>
        <w:jc w:val="center"/>
        <w:rPr>
          <w:b/>
          <w:bCs/>
        </w:rPr>
      </w:pPr>
    </w:p>
    <w:p w14:paraId="7FBFD4F9" w14:textId="596CBF20" w:rsidR="007F08A0" w:rsidRPr="00A54D2C" w:rsidRDefault="007F08A0" w:rsidP="007F08A0">
      <w:pPr>
        <w:jc w:val="both"/>
      </w:pPr>
      <w:r w:rsidRPr="00A54D2C">
        <w:t xml:space="preserve">VMG has concluded that when taken collectively these practices can be shown to account for </w:t>
      </w:r>
      <w:r>
        <w:t xml:space="preserve">nearly </w:t>
      </w:r>
      <w:r w:rsidRPr="00A54D2C">
        <w:t xml:space="preserve">all </w:t>
      </w:r>
      <w:r>
        <w:t xml:space="preserve">(i.e., all but COVID related impacts) of </w:t>
      </w:r>
      <w:r w:rsidRPr="00A54D2C">
        <w:t xml:space="preserve">TPC expenditures </w:t>
      </w:r>
      <w:r w:rsidR="001D46C0" w:rsidRPr="00A54D2C">
        <w:t>more than</w:t>
      </w:r>
      <w:r w:rsidRPr="00A54D2C">
        <w:t xml:space="preserve"> </w:t>
      </w:r>
      <w:r>
        <w:t xml:space="preserve">what VMG considers having been a </w:t>
      </w:r>
      <w:r w:rsidRPr="00A54D2C">
        <w:t xml:space="preserve">realistic TPC of $ 17.1 </w:t>
      </w:r>
      <w:r>
        <w:t>billion</w:t>
      </w:r>
      <w:r w:rsidRPr="00A54D2C">
        <w:t>.</w:t>
      </w:r>
      <w:r w:rsidRPr="00A54D2C">
        <w:rPr>
          <w:rStyle w:val="FootnoteReference"/>
        </w:rPr>
        <w:footnoteReference w:id="13"/>
      </w:r>
      <w:r w:rsidRPr="00A54D2C">
        <w:rPr>
          <w:vertAlign w:val="superscript"/>
        </w:rPr>
        <w:t>,</w:t>
      </w:r>
      <w:r w:rsidRPr="00A54D2C">
        <w:rPr>
          <w:rStyle w:val="FootnoteReference"/>
        </w:rPr>
        <w:footnoteReference w:id="14"/>
      </w:r>
      <w:r w:rsidRPr="00A54D2C">
        <w:t xml:space="preserve">  Before discussing each of these practices, VMG believes it is important to review what may have led </w:t>
      </w:r>
      <w:r>
        <w:t>SNC t</w:t>
      </w:r>
      <w:r w:rsidRPr="00A54D2C">
        <w:t>o pursue them.</w:t>
      </w:r>
      <w:r>
        <w:t xml:space="preserve">  Finally, the reporting that follows applies to the entirety of the U-3 effort and partially to the U-4 effort.  For U-4, many of the imprudent practices were corrected, which has then led to a more effective execution of the remainder of the Project and more credible reporting of the U-4 progress. </w:t>
      </w:r>
    </w:p>
    <w:p w14:paraId="7D5A5328" w14:textId="77777777" w:rsidR="007F08A0" w:rsidRPr="00A54D2C" w:rsidRDefault="007F08A0" w:rsidP="007F08A0"/>
    <w:p w14:paraId="0D352BBB" w14:textId="3BED1ECB" w:rsidR="007F08A0" w:rsidRPr="00A54D2C" w:rsidRDefault="007F08A0" w:rsidP="007F08A0">
      <w:pPr>
        <w:jc w:val="both"/>
      </w:pPr>
      <w:r w:rsidRPr="00A54D2C">
        <w:rPr>
          <w:b/>
          <w:bCs/>
        </w:rPr>
        <w:t xml:space="preserve">2.1 Root Cause that Led to Imprudent Management Practices, i.e., </w:t>
      </w:r>
      <w:r>
        <w:rPr>
          <w:b/>
          <w:bCs/>
        </w:rPr>
        <w:t xml:space="preserve">The pursuit at all costs to meet </w:t>
      </w:r>
      <w:r w:rsidRPr="00A54D2C">
        <w:rPr>
          <w:b/>
          <w:bCs/>
        </w:rPr>
        <w:t>Unrealistic Schedules</w:t>
      </w:r>
      <w:r>
        <w:rPr>
          <w:b/>
          <w:bCs/>
        </w:rPr>
        <w:t xml:space="preserve"> and more precisely unachievable intermediate milestone schedules</w:t>
      </w:r>
      <w:r w:rsidRPr="00A54D2C">
        <w:rPr>
          <w:b/>
          <w:bCs/>
        </w:rPr>
        <w:t xml:space="preserve">:  </w:t>
      </w:r>
      <w:r w:rsidRPr="00A54D2C">
        <w:rPr>
          <w:u w:val="single"/>
        </w:rPr>
        <w:t>The primary “root cause” contributor to the imprudent management practices stems from the Compan</w:t>
      </w:r>
      <w:r>
        <w:rPr>
          <w:u w:val="single"/>
        </w:rPr>
        <w:t xml:space="preserve">y </w:t>
      </w:r>
      <w:r w:rsidRPr="00A54D2C">
        <w:rPr>
          <w:u w:val="single"/>
        </w:rPr>
        <w:t xml:space="preserve">having established CODs </w:t>
      </w:r>
      <w:r>
        <w:rPr>
          <w:u w:val="single"/>
        </w:rPr>
        <w:t xml:space="preserve">that </w:t>
      </w:r>
      <w:r w:rsidRPr="00A54D2C">
        <w:rPr>
          <w:u w:val="single"/>
        </w:rPr>
        <w:t xml:space="preserve">could </w:t>
      </w:r>
      <w:r>
        <w:rPr>
          <w:u w:val="single"/>
        </w:rPr>
        <w:t xml:space="preserve">never be </w:t>
      </w:r>
      <w:r w:rsidRPr="00A54D2C">
        <w:rPr>
          <w:u w:val="single"/>
        </w:rPr>
        <w:t>met.</w:t>
      </w:r>
      <w:r w:rsidRPr="00A54D2C">
        <w:t xml:space="preserve">  One must therefore ask why the</w:t>
      </w:r>
      <w:r w:rsidR="005A404C">
        <w:t xml:space="preserve"> Company continuously set unrealistic schedules </w:t>
      </w:r>
      <w:r>
        <w:t>after</w:t>
      </w:r>
      <w:r w:rsidRPr="00A54D2C">
        <w:t xml:space="preserve"> taking over the </w:t>
      </w:r>
      <w:r w:rsidR="00B13B57">
        <w:t>P</w:t>
      </w:r>
      <w:r w:rsidRPr="00A54D2C">
        <w:t xml:space="preserve">roject.  </w:t>
      </w:r>
    </w:p>
    <w:p w14:paraId="4BDB64B2" w14:textId="77777777" w:rsidR="007F08A0" w:rsidRPr="00A54D2C" w:rsidRDefault="007F08A0" w:rsidP="007F08A0"/>
    <w:p w14:paraId="3AB2F09C" w14:textId="3DEA8A72" w:rsidR="007F08A0" w:rsidRPr="00A54D2C" w:rsidRDefault="007F08A0" w:rsidP="007F08A0">
      <w:pPr>
        <w:jc w:val="both"/>
      </w:pPr>
      <w:r>
        <w:t>T</w:t>
      </w:r>
      <w:r w:rsidRPr="00A54D2C">
        <w:t>he need for having realistic project schedules is stressed by the Institute of Nuclear Power Operations (</w:t>
      </w:r>
      <w:proofErr w:type="spellStart"/>
      <w:r w:rsidRPr="00A54D2C">
        <w:t>INPO</w:t>
      </w:r>
      <w:proofErr w:type="spellEnd"/>
      <w:r w:rsidRPr="00A54D2C">
        <w:t>) in their “Principles for Excellence in Nuclear Power Construction” where Principle number 4. states the following:</w:t>
      </w:r>
    </w:p>
    <w:p w14:paraId="7DC55261" w14:textId="77777777" w:rsidR="007F08A0" w:rsidRPr="00A54D2C" w:rsidRDefault="007F08A0" w:rsidP="007F08A0"/>
    <w:p w14:paraId="15F65EE8" w14:textId="77777777" w:rsidR="007F08A0" w:rsidRPr="00A54D2C" w:rsidRDefault="007F08A0" w:rsidP="007F08A0">
      <w:pPr>
        <w:ind w:left="720"/>
        <w:jc w:val="both"/>
        <w:rPr>
          <w:u w:val="single"/>
        </w:rPr>
      </w:pPr>
      <w:r w:rsidRPr="00A54D2C">
        <w:t xml:space="preserve">Schedules are Realistic and Understood:  Effective project controls and detailed planning are key factors in the success of any large construction project.  </w:t>
      </w:r>
      <w:r w:rsidRPr="00A54D2C">
        <w:rPr>
          <w:u w:val="single"/>
        </w:rPr>
        <w:t>Unrealistic, uncoordinated, or obsolete schedules or insufficient resources can have a negative effect on construction quality and personnel safety, especially when inappropriate actions are taken to accelerate construction or reduce cost.</w:t>
      </w:r>
    </w:p>
    <w:p w14:paraId="27A3B3F0" w14:textId="77777777" w:rsidR="007F08A0" w:rsidRPr="00A54D2C" w:rsidRDefault="007F08A0" w:rsidP="007F08A0">
      <w:pPr>
        <w:rPr>
          <w:rFonts w:eastAsia="Arial"/>
        </w:rPr>
      </w:pPr>
    </w:p>
    <w:p w14:paraId="4E3AC6DE" w14:textId="63F050B9" w:rsidR="007F08A0" w:rsidRPr="00A54D2C" w:rsidRDefault="001D46C0" w:rsidP="007F08A0">
      <w:pPr>
        <w:jc w:val="both"/>
        <w:rPr>
          <w:rFonts w:eastAsia="Arial"/>
        </w:rPr>
      </w:pPr>
      <w:r w:rsidRPr="00A54D2C">
        <w:rPr>
          <w:rFonts w:eastAsia="Arial"/>
        </w:rPr>
        <w:t>After</w:t>
      </w:r>
      <w:r w:rsidR="007F08A0" w:rsidRPr="00A54D2C">
        <w:rPr>
          <w:rFonts w:eastAsia="Arial"/>
        </w:rPr>
        <w:t xml:space="preserve"> the WEC bankruptcy, it quickly became apparent that the </w:t>
      </w:r>
      <w:r w:rsidR="007F08A0">
        <w:rPr>
          <w:rFonts w:eastAsia="Arial"/>
        </w:rPr>
        <w:t>P</w:t>
      </w:r>
      <w:r w:rsidR="007F08A0" w:rsidRPr="00A54D2C">
        <w:rPr>
          <w:rFonts w:eastAsia="Arial"/>
        </w:rPr>
        <w:t xml:space="preserve">roject was continuing to fall behind schedule, and this led to a series of imprudent practices, all of which were made </w:t>
      </w:r>
      <w:r w:rsidRPr="00A54D2C">
        <w:rPr>
          <w:rFonts w:eastAsia="Arial"/>
        </w:rPr>
        <w:t>to</w:t>
      </w:r>
      <w:r w:rsidR="007F08A0" w:rsidRPr="00A54D2C">
        <w:rPr>
          <w:rFonts w:eastAsia="Arial"/>
        </w:rPr>
        <w:t xml:space="preserve"> improve the schedule</w:t>
      </w:r>
      <w:r w:rsidR="00B13B57">
        <w:rPr>
          <w:rFonts w:eastAsia="Arial"/>
        </w:rPr>
        <w:t>;</w:t>
      </w:r>
      <w:r w:rsidR="007F08A0" w:rsidRPr="00A54D2C">
        <w:rPr>
          <w:rFonts w:eastAsia="Arial"/>
        </w:rPr>
        <w:t xml:space="preserve"> </w:t>
      </w:r>
      <w:proofErr w:type="gramStart"/>
      <w:r w:rsidR="007F08A0" w:rsidRPr="00A54D2C">
        <w:rPr>
          <w:rFonts w:eastAsia="Arial"/>
        </w:rPr>
        <w:t>but in reality, only</w:t>
      </w:r>
      <w:proofErr w:type="gramEnd"/>
      <w:r w:rsidR="007F08A0" w:rsidRPr="00A54D2C">
        <w:rPr>
          <w:rFonts w:eastAsia="Arial"/>
        </w:rPr>
        <w:t xml:space="preserve"> served to increase the TPC and schedule well beyond what they would have been had they simply followed </w:t>
      </w:r>
      <w:r w:rsidR="00B13B57">
        <w:rPr>
          <w:rFonts w:eastAsia="Arial"/>
        </w:rPr>
        <w:t>industry standards</w:t>
      </w:r>
      <w:r w:rsidR="007F08A0" w:rsidRPr="00A54D2C">
        <w:rPr>
          <w:rFonts w:eastAsia="Arial"/>
        </w:rPr>
        <w:t>.</w:t>
      </w:r>
    </w:p>
    <w:p w14:paraId="3FEC13D5" w14:textId="77777777" w:rsidR="007F08A0" w:rsidRPr="00A54D2C" w:rsidRDefault="007F08A0" w:rsidP="007F08A0">
      <w:pPr>
        <w:jc w:val="both"/>
        <w:rPr>
          <w:rFonts w:eastAsia="Arial"/>
        </w:rPr>
      </w:pPr>
    </w:p>
    <w:p w14:paraId="5EC19C68" w14:textId="28F0114B" w:rsidR="007F08A0" w:rsidRPr="00EA51DC" w:rsidRDefault="007F08A0" w:rsidP="007F08A0">
      <w:pPr>
        <w:pStyle w:val="ListParagraph"/>
        <w:numPr>
          <w:ilvl w:val="1"/>
          <w:numId w:val="33"/>
        </w:numPr>
        <w:contextualSpacing/>
        <w:jc w:val="both"/>
        <w:rPr>
          <w:rFonts w:eastAsia="Arial"/>
        </w:rPr>
      </w:pPr>
      <w:r w:rsidRPr="00223F1D">
        <w:rPr>
          <w:rFonts w:eastAsia="Arial"/>
        </w:rPr>
        <w:t xml:space="preserve">Imprudent Management Practices:  </w:t>
      </w:r>
      <w:r w:rsidR="00591E8A" w:rsidRPr="00223F1D">
        <w:rPr>
          <w:rFonts w:eastAsia="Arial"/>
        </w:rPr>
        <w:t xml:space="preserve">Based on Bechtel’s reporting of cost and schedule performance it was always clear that production was not meeting plan, and instead of realistically addressing the root causes of the problem staff was </w:t>
      </w:r>
      <w:r w:rsidR="001D46C0">
        <w:rPr>
          <w:rFonts w:eastAsia="Arial"/>
        </w:rPr>
        <w:t xml:space="preserve">often </w:t>
      </w:r>
      <w:r w:rsidR="00591E8A" w:rsidRPr="00223F1D">
        <w:rPr>
          <w:rFonts w:eastAsia="Arial"/>
        </w:rPr>
        <w:t>added to make up for lost production, which only further exacerbated production efficiency.</w:t>
      </w:r>
      <w:r w:rsidR="00591E8A">
        <w:rPr>
          <w:rFonts w:eastAsia="Arial"/>
          <w:b/>
          <w:bCs/>
        </w:rPr>
        <w:t xml:space="preserve"> </w:t>
      </w:r>
      <w:r w:rsidRPr="00EA51DC">
        <w:rPr>
          <w:rFonts w:eastAsia="Arial"/>
        </w:rPr>
        <w:t xml:space="preserve">In addition, and instead of following a disciplined approach to </w:t>
      </w:r>
      <w:r w:rsidRPr="00EA51DC">
        <w:rPr>
          <w:rFonts w:eastAsia="Arial"/>
        </w:rPr>
        <w:lastRenderedPageBreak/>
        <w:t>completing originally planned work, and by attempting to prematurely force pieces of construction work over to ITP in response to ITP’s wanting to get an earlier start on testing activities</w:t>
      </w:r>
      <w:r w:rsidR="00591E8A">
        <w:rPr>
          <w:rFonts w:eastAsia="Arial"/>
        </w:rPr>
        <w:t xml:space="preserve"> (for example, through the “Partial Release for Test” process)</w:t>
      </w:r>
      <w:r w:rsidRPr="00EA51DC">
        <w:rPr>
          <w:rFonts w:eastAsia="Arial"/>
        </w:rPr>
        <w:t xml:space="preserve">, this only served to further change original plans and complicate and inhibit the efficient execution of work.  For further details on this, refer to section 3 titled “Deficient Project Planning, Risk and Contingency Management, and Reporting.”  </w:t>
      </w:r>
    </w:p>
    <w:p w14:paraId="2AF0B9DF" w14:textId="135DCAB2" w:rsidR="009C0F08" w:rsidRDefault="009C0F08" w:rsidP="007F08A0">
      <w:pPr>
        <w:jc w:val="both"/>
        <w:rPr>
          <w:rFonts w:eastAsia="Arial"/>
        </w:rPr>
      </w:pPr>
    </w:p>
    <w:p w14:paraId="69C8D5E9" w14:textId="50AD7F12" w:rsidR="007F08A0" w:rsidRPr="00EA51DC" w:rsidRDefault="007F08A0" w:rsidP="007F08A0">
      <w:pPr>
        <w:jc w:val="both"/>
      </w:pPr>
      <w:r w:rsidRPr="00EA51DC">
        <w:t>A further and more detailed discussion of imprudent management practices that were followed is provided below in terms of four categories, as follows:</w:t>
      </w:r>
    </w:p>
    <w:p w14:paraId="58C33DE9" w14:textId="77777777" w:rsidR="007F08A0" w:rsidRPr="00A54D2C" w:rsidRDefault="007F08A0" w:rsidP="007F08A0">
      <w:pPr>
        <w:jc w:val="both"/>
        <w:rPr>
          <w:rFonts w:eastAsia="Arial"/>
          <w:b/>
          <w:bCs/>
        </w:rPr>
      </w:pPr>
      <w:r>
        <w:rPr>
          <w:rFonts w:eastAsia="Arial"/>
        </w:rPr>
        <w:t xml:space="preserve">    </w:t>
      </w:r>
    </w:p>
    <w:p w14:paraId="552AED8F" w14:textId="77777777" w:rsidR="007F08A0" w:rsidRPr="00A54D2C" w:rsidRDefault="007F08A0" w:rsidP="007F08A0">
      <w:pPr>
        <w:jc w:val="both"/>
        <w:rPr>
          <w:rFonts w:eastAsia="Arial"/>
        </w:rPr>
      </w:pPr>
    </w:p>
    <w:p w14:paraId="6AE85F96" w14:textId="14BDE341" w:rsidR="007F08A0" w:rsidRPr="00EA51DC" w:rsidRDefault="007F08A0" w:rsidP="007F08A0">
      <w:pPr>
        <w:pStyle w:val="ListParagraph"/>
        <w:widowControl w:val="0"/>
        <w:numPr>
          <w:ilvl w:val="0"/>
          <w:numId w:val="39"/>
        </w:numPr>
        <w:autoSpaceDE w:val="0"/>
        <w:autoSpaceDN w:val="0"/>
        <w:jc w:val="both"/>
        <w:rPr>
          <w:rFonts w:eastAsia="Arial"/>
        </w:rPr>
      </w:pPr>
      <w:r w:rsidRPr="00EA51DC">
        <w:rPr>
          <w:rFonts w:eastAsia="Arial"/>
          <w:u w:val="single"/>
        </w:rPr>
        <w:t>Deferral of planned work</w:t>
      </w:r>
      <w:r w:rsidRPr="00EA51DC">
        <w:rPr>
          <w:rFonts w:eastAsia="Arial"/>
        </w:rPr>
        <w:t xml:space="preserve">:  This was done largely to accelerate the turnover of completed construction work </w:t>
      </w:r>
      <w:r>
        <w:rPr>
          <w:rFonts w:eastAsia="Arial"/>
        </w:rPr>
        <w:t xml:space="preserve">to </w:t>
      </w:r>
      <w:r w:rsidRPr="00EA51DC">
        <w:rPr>
          <w:rFonts w:eastAsia="Arial"/>
        </w:rPr>
        <w:t>the Integrated Test Program (ITP) group for purposes of ITP getting an earlier start on its testing activities.</w:t>
      </w:r>
      <w:r w:rsidRPr="00EA51DC">
        <w:rPr>
          <w:rStyle w:val="FootnoteReference"/>
          <w:rFonts w:eastAsia="Arial"/>
        </w:rPr>
        <w:footnoteReference w:id="15"/>
      </w:r>
      <w:r w:rsidRPr="00EA51DC">
        <w:rPr>
          <w:rFonts w:eastAsia="Arial"/>
        </w:rPr>
        <w:t xml:space="preserve">  </w:t>
      </w:r>
      <w:r>
        <w:rPr>
          <w:rFonts w:eastAsia="Arial"/>
        </w:rPr>
        <w:t>By pulling testing into the construction window earlier</w:t>
      </w:r>
      <w:r w:rsidR="00C05A8E">
        <w:rPr>
          <w:rFonts w:eastAsia="Arial"/>
        </w:rPr>
        <w:t xml:space="preserve"> than standard practices would dictate</w:t>
      </w:r>
      <w:r w:rsidRPr="00EA51DC">
        <w:rPr>
          <w:rFonts w:eastAsia="Arial"/>
        </w:rPr>
        <w:t xml:space="preserve">, then theoretically one could shorten the overall schedule to achieving COD.  </w:t>
      </w:r>
      <w:r>
        <w:rPr>
          <w:rFonts w:eastAsia="Arial"/>
        </w:rPr>
        <w:t>T</w:t>
      </w:r>
      <w:r w:rsidRPr="00EA51DC">
        <w:rPr>
          <w:rFonts w:eastAsia="Arial"/>
        </w:rPr>
        <w:t>his had the opposite effect</w:t>
      </w:r>
      <w:r w:rsidR="00C05A8E">
        <w:rPr>
          <w:rFonts w:eastAsia="Arial"/>
        </w:rPr>
        <w:t xml:space="preserve"> by</w:t>
      </w:r>
      <w:r w:rsidRPr="00EA51DC">
        <w:rPr>
          <w:rFonts w:eastAsia="Arial"/>
        </w:rPr>
        <w:t xml:space="preserve"> duplicating work efforts and incurring unnecessary additional </w:t>
      </w:r>
      <w:proofErr w:type="gramStart"/>
      <w:r w:rsidRPr="00EA51DC">
        <w:rPr>
          <w:rFonts w:eastAsia="Arial"/>
        </w:rPr>
        <w:t>cost</w:t>
      </w:r>
      <w:proofErr w:type="gramEnd"/>
      <w:r w:rsidRPr="00EA51DC">
        <w:rPr>
          <w:rFonts w:eastAsia="Arial"/>
        </w:rPr>
        <w:t>.  Examples of this include prematurely switching from construction of bulk</w:t>
      </w:r>
      <w:r>
        <w:rPr>
          <w:rFonts w:eastAsia="Arial"/>
        </w:rPr>
        <w:t>s</w:t>
      </w:r>
      <w:r w:rsidRPr="00EA51DC">
        <w:rPr>
          <w:rFonts w:eastAsia="Arial"/>
        </w:rPr>
        <w:t xml:space="preserve"> to individual </w:t>
      </w:r>
      <w:r w:rsidR="00C05A8E">
        <w:rPr>
          <w:rFonts w:eastAsia="Arial"/>
        </w:rPr>
        <w:t>components</w:t>
      </w:r>
      <w:r w:rsidRPr="00EA51DC">
        <w:rPr>
          <w:rFonts w:eastAsia="Arial"/>
        </w:rPr>
        <w:t xml:space="preserve">.  As a more detailed example, instead of doing bulk cable pulls, an individual cable would be pulled </w:t>
      </w:r>
      <w:r w:rsidR="00C05A8E">
        <w:rPr>
          <w:rFonts w:eastAsia="Arial"/>
        </w:rPr>
        <w:t xml:space="preserve">to a specific component </w:t>
      </w:r>
      <w:r w:rsidRPr="00EA51DC">
        <w:rPr>
          <w:rFonts w:eastAsia="Arial"/>
        </w:rPr>
        <w:t xml:space="preserve">to support </w:t>
      </w:r>
      <w:r w:rsidR="00C05A8E">
        <w:rPr>
          <w:rFonts w:eastAsia="Arial"/>
        </w:rPr>
        <w:t>the</w:t>
      </w:r>
      <w:r w:rsidRPr="00EA51DC">
        <w:rPr>
          <w:rFonts w:eastAsia="Arial"/>
        </w:rPr>
        <w:t xml:space="preserve"> test</w:t>
      </w:r>
      <w:r w:rsidR="00C05A8E">
        <w:rPr>
          <w:rFonts w:eastAsia="Arial"/>
        </w:rPr>
        <w:t xml:space="preserve"> of that component</w:t>
      </w:r>
      <w:r w:rsidRPr="00EA51DC">
        <w:rPr>
          <w:rFonts w:eastAsia="Arial"/>
        </w:rPr>
        <w:t xml:space="preserve">.  However, when the remainder of the cables were pulled, </w:t>
      </w:r>
      <w:r w:rsidR="001D46C0" w:rsidRPr="00EA51DC">
        <w:rPr>
          <w:rFonts w:eastAsia="Arial"/>
        </w:rPr>
        <w:t>often</w:t>
      </w:r>
      <w:r w:rsidRPr="00EA51DC">
        <w:rPr>
          <w:rFonts w:eastAsia="Arial"/>
        </w:rPr>
        <w:t xml:space="preserve"> there was damage caused to the original cable, </w:t>
      </w:r>
      <w:r w:rsidR="00C05A8E">
        <w:rPr>
          <w:rFonts w:eastAsia="Arial"/>
        </w:rPr>
        <w:t xml:space="preserve">penetration seals had to be breached, cable tray had to be re-worked, </w:t>
      </w:r>
      <w:r w:rsidRPr="00EA51DC">
        <w:rPr>
          <w:rFonts w:eastAsia="Arial"/>
        </w:rPr>
        <w:t xml:space="preserve">thus necessitating additional work.  In addition, given the number of non-compliances with IEEE-384 (see 3. </w:t>
      </w:r>
      <w:r w:rsidR="001D46C0" w:rsidRPr="00EA51DC">
        <w:rPr>
          <w:rFonts w:eastAsia="Arial"/>
        </w:rPr>
        <w:t>B</w:t>
      </w:r>
      <w:r w:rsidRPr="00EA51DC">
        <w:rPr>
          <w:rFonts w:eastAsia="Arial"/>
        </w:rPr>
        <w:t xml:space="preserve">elow), that also necessitated additional electrical work, which in total was a major contributor to the time duration from the start of HFT to the start of Fuel Load taking 18 months (vs the industry benchmark of 6 months).  Additional practices of deferring work include: (a) breaking systems down into sub-systems and focusing on the completion of certain </w:t>
      </w:r>
      <w:r w:rsidR="00C05A8E">
        <w:rPr>
          <w:rFonts w:eastAsia="Arial"/>
        </w:rPr>
        <w:t>partial systems or components</w:t>
      </w:r>
      <w:r w:rsidRPr="00EA51DC">
        <w:rPr>
          <w:rFonts w:eastAsia="Arial"/>
        </w:rPr>
        <w:t xml:space="preserve"> at the cost of delaying others, (b) doing “Partial Releases</w:t>
      </w:r>
      <w:r>
        <w:rPr>
          <w:rFonts w:eastAsia="Arial"/>
        </w:rPr>
        <w:t xml:space="preserve"> for Test</w:t>
      </w:r>
      <w:r w:rsidRPr="00EA51DC">
        <w:rPr>
          <w:rFonts w:eastAsia="Arial"/>
        </w:rPr>
        <w:t>” of a sub-system, again to “accelerate the start of testing,</w:t>
      </w:r>
      <w:r>
        <w:rPr>
          <w:rFonts w:eastAsia="Arial"/>
        </w:rPr>
        <w:t>”</w:t>
      </w:r>
      <w:r w:rsidRPr="00EA51DC">
        <w:rPr>
          <w:rFonts w:eastAsia="Arial"/>
        </w:rPr>
        <w:t xml:space="preserve"> </w:t>
      </w:r>
      <w:r>
        <w:rPr>
          <w:rFonts w:eastAsia="Arial"/>
        </w:rPr>
        <w:t xml:space="preserve">and </w:t>
      </w:r>
      <w:r w:rsidRPr="00EA51DC">
        <w:rPr>
          <w:rFonts w:eastAsia="Arial"/>
        </w:rPr>
        <w:t>(c) releasing scopes of work to ITP, but within ITP’s scope of work taking “technical exceptions” to what is to be done.</w:t>
      </w:r>
      <w:r w:rsidR="00E93B90">
        <w:rPr>
          <w:rStyle w:val="FootnoteReference"/>
          <w:rFonts w:eastAsia="Arial"/>
        </w:rPr>
        <w:footnoteReference w:id="16"/>
      </w:r>
      <w:r w:rsidRPr="00EA51DC">
        <w:rPr>
          <w:rFonts w:eastAsia="Arial"/>
        </w:rPr>
        <w:t xml:space="preserve">  Although some of these practices could in some cases be justified, the extent to which this was </w:t>
      </w:r>
      <w:r>
        <w:rPr>
          <w:rFonts w:eastAsia="Arial"/>
        </w:rPr>
        <w:t>used and</w:t>
      </w:r>
      <w:r w:rsidRPr="00EA51DC">
        <w:rPr>
          <w:rFonts w:eastAsia="Arial"/>
        </w:rPr>
        <w:t xml:space="preserve"> given the “rework” required by not complying with IEEE-384, greatly complicated the planning and execution of the remaining work. </w:t>
      </w:r>
    </w:p>
    <w:p w14:paraId="6FA7F91F" w14:textId="77777777" w:rsidR="007F08A0" w:rsidRPr="00FA36BE" w:rsidRDefault="007F08A0" w:rsidP="007F08A0">
      <w:pPr>
        <w:jc w:val="both"/>
        <w:rPr>
          <w:rFonts w:eastAsia="Arial"/>
        </w:rPr>
      </w:pPr>
    </w:p>
    <w:p w14:paraId="1A0D0F61" w14:textId="78477962" w:rsidR="007F08A0" w:rsidRPr="00EA51DC" w:rsidRDefault="007F08A0" w:rsidP="007F08A0">
      <w:pPr>
        <w:pStyle w:val="ListParagraph"/>
        <w:widowControl w:val="0"/>
        <w:numPr>
          <w:ilvl w:val="0"/>
          <w:numId w:val="39"/>
        </w:numPr>
        <w:autoSpaceDE w:val="0"/>
        <w:autoSpaceDN w:val="0"/>
        <w:jc w:val="both"/>
        <w:rPr>
          <w:rFonts w:eastAsia="Arial"/>
        </w:rPr>
      </w:pPr>
      <w:r w:rsidRPr="00EA51DC">
        <w:rPr>
          <w:rFonts w:eastAsia="Arial"/>
          <w:u w:val="single"/>
        </w:rPr>
        <w:t>Deferral of Inspections</w:t>
      </w:r>
      <w:r w:rsidRPr="00EA51DC">
        <w:rPr>
          <w:rFonts w:eastAsia="Arial"/>
        </w:rPr>
        <w:t xml:space="preserve">:  Quality Control required </w:t>
      </w:r>
      <w:r w:rsidR="00AF6BE1">
        <w:rPr>
          <w:rFonts w:eastAsia="Arial"/>
        </w:rPr>
        <w:t>i</w:t>
      </w:r>
      <w:r w:rsidRPr="00EA51DC">
        <w:rPr>
          <w:rFonts w:eastAsia="Arial"/>
        </w:rPr>
        <w:t xml:space="preserve">nspections of work for which construction was reported </w:t>
      </w:r>
      <w:r>
        <w:rPr>
          <w:rFonts w:eastAsia="Arial"/>
        </w:rPr>
        <w:t xml:space="preserve">to be </w:t>
      </w:r>
      <w:r w:rsidRPr="00EA51DC">
        <w:rPr>
          <w:rFonts w:eastAsia="Arial"/>
        </w:rPr>
        <w:t xml:space="preserve">complete were </w:t>
      </w:r>
      <w:r>
        <w:rPr>
          <w:rFonts w:eastAsia="Arial"/>
        </w:rPr>
        <w:t xml:space="preserve">not performed </w:t>
      </w:r>
      <w:r w:rsidRPr="00EA51DC">
        <w:rPr>
          <w:rFonts w:eastAsia="Arial"/>
        </w:rPr>
        <w:t>yet credit was taken for completion of th</w:t>
      </w:r>
      <w:r w:rsidR="00AF6BE1">
        <w:rPr>
          <w:rFonts w:eastAsia="Arial"/>
        </w:rPr>
        <w:t>e inspection</w:t>
      </w:r>
      <w:r w:rsidRPr="00EA51DC">
        <w:rPr>
          <w:rFonts w:eastAsia="Arial"/>
        </w:rPr>
        <w:t xml:space="preserve"> work.  Subsequently, </w:t>
      </w:r>
      <w:r w:rsidR="00AF6BE1" w:rsidRPr="00EA51DC">
        <w:rPr>
          <w:rFonts w:eastAsia="Arial"/>
        </w:rPr>
        <w:t>to</w:t>
      </w:r>
      <w:r w:rsidRPr="00EA51DC">
        <w:rPr>
          <w:rFonts w:eastAsia="Arial"/>
        </w:rPr>
        <w:t xml:space="preserve"> </w:t>
      </w:r>
      <w:r w:rsidR="001C5D61">
        <w:rPr>
          <w:rFonts w:eastAsia="Arial"/>
        </w:rPr>
        <w:t xml:space="preserve">support </w:t>
      </w:r>
      <w:r w:rsidRPr="00EA51DC">
        <w:rPr>
          <w:rFonts w:eastAsia="Arial"/>
        </w:rPr>
        <w:t>(a)</w:t>
      </w:r>
      <w:r w:rsidR="007A164D">
        <w:rPr>
          <w:rFonts w:eastAsia="Arial"/>
        </w:rPr>
        <w:t xml:space="preserve"> </w:t>
      </w:r>
      <w:r w:rsidRPr="00EA51DC">
        <w:rPr>
          <w:rFonts w:eastAsia="Arial"/>
        </w:rPr>
        <w:t xml:space="preserve">final turnover of a system, and/or (b) turnover of an area and/or </w:t>
      </w:r>
      <w:r w:rsidRPr="00EA51DC">
        <w:rPr>
          <w:rFonts w:eastAsia="Arial"/>
        </w:rPr>
        <w:lastRenderedPageBreak/>
        <w:t xml:space="preserve">(c) documented completion of an ITAAC – errors in construction were discovered. This occurred very late in the </w:t>
      </w:r>
      <w:r>
        <w:rPr>
          <w:rFonts w:eastAsia="Arial"/>
        </w:rPr>
        <w:t>P</w:t>
      </w:r>
      <w:r w:rsidRPr="00EA51DC">
        <w:rPr>
          <w:rFonts w:eastAsia="Arial"/>
        </w:rPr>
        <w:t xml:space="preserve">roject, and </w:t>
      </w:r>
      <w:proofErr w:type="gramStart"/>
      <w:r w:rsidR="007A164D" w:rsidRPr="00EA51DC">
        <w:rPr>
          <w:rFonts w:eastAsia="Arial"/>
        </w:rPr>
        <w:t>many</w:t>
      </w:r>
      <w:proofErr w:type="gramEnd"/>
      <w:r w:rsidRPr="00EA51DC">
        <w:rPr>
          <w:rFonts w:eastAsia="Arial"/>
        </w:rPr>
        <w:t xml:space="preserve"> the errors were the result of not meeting the separation requirements of IEEE-384. To further illustrate the magnitude of this problem, per the March 2022 MPR the </w:t>
      </w:r>
      <w:r>
        <w:rPr>
          <w:rFonts w:eastAsia="Arial"/>
        </w:rPr>
        <w:t>C</w:t>
      </w:r>
      <w:r w:rsidRPr="00EA51DC">
        <w:rPr>
          <w:rFonts w:eastAsia="Arial"/>
        </w:rPr>
        <w:t xml:space="preserve">ompany reported that the number of incomplete electrical inspection reports required to support the ITAAC completion notice (which would then lead to NRC review/ approval and issuance of the </w:t>
      </w:r>
      <w:proofErr w:type="spellStart"/>
      <w:r w:rsidRPr="00EA51DC">
        <w:rPr>
          <w:rFonts w:eastAsia="Arial"/>
        </w:rPr>
        <w:t>103.g</w:t>
      </w:r>
      <w:proofErr w:type="spellEnd"/>
      <w:r w:rsidRPr="00EA51DC">
        <w:rPr>
          <w:rFonts w:eastAsia="Arial"/>
        </w:rPr>
        <w:t xml:space="preserve">. letter) had increased from roughly 20,000 to over 25,000.  Further, </w:t>
      </w:r>
      <w:r w:rsidR="007A164D" w:rsidRPr="00EA51DC">
        <w:rPr>
          <w:rFonts w:eastAsia="Arial"/>
        </w:rPr>
        <w:t>because of</w:t>
      </w:r>
      <w:r w:rsidRPr="00EA51DC">
        <w:rPr>
          <w:rFonts w:eastAsia="Arial"/>
        </w:rPr>
        <w:t xml:space="preserve"> poor construction revealed by the completion of these required inspections, this created a large volume of emergent corrective work which was then very disruptive to the further planning and execution of the </w:t>
      </w:r>
      <w:r>
        <w:rPr>
          <w:rFonts w:eastAsia="Arial"/>
        </w:rPr>
        <w:t>P</w:t>
      </w:r>
      <w:r w:rsidRPr="00EA51DC">
        <w:rPr>
          <w:rFonts w:eastAsia="Arial"/>
        </w:rPr>
        <w:t xml:space="preserve">roject and greatly increased the TPC and slipped the CODs.  As an example, the US Nuclear Plant “benchmark” time from the start of Hot Functional Testing (HFT) to the start of Fuel Load is typically 6 months, yet for U-3 this duration was 18 months. </w:t>
      </w:r>
    </w:p>
    <w:p w14:paraId="0213AC1F" w14:textId="77777777" w:rsidR="007F08A0" w:rsidRPr="00EA51DC" w:rsidRDefault="007F08A0" w:rsidP="007F08A0">
      <w:pPr>
        <w:pStyle w:val="ListParagraph"/>
        <w:jc w:val="both"/>
        <w:rPr>
          <w:rFonts w:eastAsia="Arial"/>
        </w:rPr>
      </w:pPr>
    </w:p>
    <w:p w14:paraId="47BED75C" w14:textId="6C8BB961" w:rsidR="007F08A0" w:rsidRPr="00EA51DC" w:rsidRDefault="007F08A0" w:rsidP="007F08A0">
      <w:pPr>
        <w:pStyle w:val="ListParagraph"/>
        <w:widowControl w:val="0"/>
        <w:numPr>
          <w:ilvl w:val="0"/>
          <w:numId w:val="39"/>
        </w:numPr>
        <w:autoSpaceDE w:val="0"/>
        <w:autoSpaceDN w:val="0"/>
        <w:jc w:val="both"/>
        <w:rPr>
          <w:rFonts w:eastAsia="Arial"/>
        </w:rPr>
      </w:pPr>
      <w:r w:rsidRPr="00EA51DC">
        <w:rPr>
          <w:rFonts w:eastAsia="Arial"/>
          <w:u w:val="single"/>
        </w:rPr>
        <w:t>Increasing Staff Without a Sufficient Work Backlog</w:t>
      </w:r>
      <w:r w:rsidRPr="00EA51DC">
        <w:rPr>
          <w:rFonts w:eastAsia="Arial"/>
        </w:rPr>
        <w:t xml:space="preserve">:  The </w:t>
      </w:r>
      <w:r>
        <w:rPr>
          <w:rFonts w:eastAsia="Arial"/>
        </w:rPr>
        <w:t>P</w:t>
      </w:r>
      <w:r w:rsidRPr="00EA51DC">
        <w:rPr>
          <w:rFonts w:eastAsia="Arial"/>
        </w:rPr>
        <w:t xml:space="preserve">roject needed to have enough backlog of work </w:t>
      </w:r>
      <w:r w:rsidR="008F7E01">
        <w:rPr>
          <w:rFonts w:eastAsia="Arial"/>
        </w:rPr>
        <w:t xml:space="preserve">(i.e., work packages which are ready to turn over to construction) </w:t>
      </w:r>
      <w:r w:rsidRPr="00EA51DC">
        <w:rPr>
          <w:rFonts w:eastAsia="Arial"/>
        </w:rPr>
        <w:t xml:space="preserve">to keep craft productively engaged. </w:t>
      </w:r>
      <w:r w:rsidR="00AF6BE1">
        <w:rPr>
          <w:rFonts w:eastAsia="Arial"/>
        </w:rPr>
        <w:t>T</w:t>
      </w:r>
      <w:r>
        <w:rPr>
          <w:rFonts w:eastAsia="Arial"/>
        </w:rPr>
        <w:t xml:space="preserve">he goal was to have a </w:t>
      </w:r>
      <w:r w:rsidRPr="00EA51DC">
        <w:rPr>
          <w:rFonts w:eastAsia="Arial"/>
        </w:rPr>
        <w:t xml:space="preserve">13-week backlog </w:t>
      </w:r>
      <w:r>
        <w:rPr>
          <w:rFonts w:eastAsia="Arial"/>
        </w:rPr>
        <w:t>of work</w:t>
      </w:r>
      <w:r w:rsidR="00AF6BE1">
        <w:rPr>
          <w:rFonts w:eastAsia="Arial"/>
        </w:rPr>
        <w:t>, however</w:t>
      </w:r>
      <w:r>
        <w:rPr>
          <w:rFonts w:eastAsia="Arial"/>
        </w:rPr>
        <w:t xml:space="preserve"> </w:t>
      </w:r>
      <w:r w:rsidR="00AF6BE1">
        <w:rPr>
          <w:rFonts w:eastAsia="Arial"/>
        </w:rPr>
        <w:t>SNC</w:t>
      </w:r>
      <w:r>
        <w:rPr>
          <w:rFonts w:eastAsia="Arial"/>
        </w:rPr>
        <w:t xml:space="preserve"> could only achieve a </w:t>
      </w:r>
      <w:r w:rsidRPr="00EA51DC">
        <w:rPr>
          <w:rFonts w:eastAsia="Arial"/>
        </w:rPr>
        <w:t>3-to-6-week backlog.  Despite never having achieved the 13-week backlog goal</w:t>
      </w:r>
      <w:r>
        <w:rPr>
          <w:rFonts w:eastAsia="Arial"/>
        </w:rPr>
        <w:t>,</w:t>
      </w:r>
      <w:r w:rsidRPr="00EA51DC">
        <w:rPr>
          <w:rFonts w:eastAsia="Arial"/>
        </w:rPr>
        <w:t xml:space="preserve"> the </w:t>
      </w:r>
      <w:r>
        <w:rPr>
          <w:rFonts w:eastAsia="Arial"/>
        </w:rPr>
        <w:t>P</w:t>
      </w:r>
      <w:r w:rsidRPr="00EA51DC">
        <w:rPr>
          <w:rFonts w:eastAsia="Arial"/>
        </w:rPr>
        <w:t xml:space="preserve">roject kept increasing manpower to “catch up” to </w:t>
      </w:r>
      <w:r>
        <w:rPr>
          <w:rFonts w:eastAsia="Arial"/>
        </w:rPr>
        <w:t xml:space="preserve">the </w:t>
      </w:r>
      <w:r w:rsidRPr="00EA51DC">
        <w:rPr>
          <w:rFonts w:eastAsia="Arial"/>
        </w:rPr>
        <w:t>schedule</w:t>
      </w:r>
      <w:r>
        <w:rPr>
          <w:rFonts w:eastAsia="Arial"/>
        </w:rPr>
        <w:t>.</w:t>
      </w:r>
      <w:r w:rsidRPr="00EA51DC">
        <w:rPr>
          <w:rFonts w:eastAsia="Arial"/>
        </w:rPr>
        <w:t xml:space="preserve">  This practice to increase craft levels without sufficient backlog </w:t>
      </w:r>
      <w:r w:rsidR="00A604D6">
        <w:rPr>
          <w:rFonts w:eastAsia="Arial"/>
        </w:rPr>
        <w:t xml:space="preserve">then resulted in </w:t>
      </w:r>
      <w:r w:rsidRPr="00EA51DC">
        <w:rPr>
          <w:rFonts w:eastAsia="Arial"/>
        </w:rPr>
        <w:t>thousands of idle work hours by the craft as was evident by walk</w:t>
      </w:r>
      <w:r>
        <w:rPr>
          <w:rFonts w:eastAsia="Arial"/>
        </w:rPr>
        <w:t>ing</w:t>
      </w:r>
      <w:r w:rsidRPr="00EA51DC">
        <w:rPr>
          <w:rFonts w:eastAsia="Arial"/>
        </w:rPr>
        <w:t xml:space="preserve"> the site </w:t>
      </w:r>
      <w:r>
        <w:rPr>
          <w:rFonts w:eastAsia="Arial"/>
        </w:rPr>
        <w:t xml:space="preserve">down </w:t>
      </w:r>
      <w:r w:rsidRPr="00EA51DC">
        <w:rPr>
          <w:rFonts w:eastAsia="Arial"/>
        </w:rPr>
        <w:t>anytime and any day of the week</w:t>
      </w:r>
      <w:r w:rsidR="00A604D6">
        <w:rPr>
          <w:rFonts w:eastAsia="Arial"/>
        </w:rPr>
        <w:t xml:space="preserve"> and by the poor cost performance </w:t>
      </w:r>
      <w:proofErr w:type="gramStart"/>
      <w:r w:rsidR="00A604D6">
        <w:rPr>
          <w:rFonts w:eastAsia="Arial"/>
        </w:rPr>
        <w:t>indices</w:t>
      </w:r>
      <w:proofErr w:type="gramEnd"/>
    </w:p>
    <w:p w14:paraId="7F58C3CE" w14:textId="77777777" w:rsidR="007F08A0" w:rsidRPr="00FA36BE" w:rsidRDefault="007F08A0" w:rsidP="007F08A0">
      <w:pPr>
        <w:jc w:val="both"/>
        <w:rPr>
          <w:rFonts w:eastAsia="Arial"/>
        </w:rPr>
      </w:pPr>
    </w:p>
    <w:p w14:paraId="0B5CAF73" w14:textId="738662A7" w:rsidR="007F08A0" w:rsidRPr="00EA51DC" w:rsidRDefault="007F08A0" w:rsidP="007F08A0">
      <w:pPr>
        <w:pStyle w:val="ListParagraph"/>
        <w:widowControl w:val="0"/>
        <w:numPr>
          <w:ilvl w:val="0"/>
          <w:numId w:val="39"/>
        </w:numPr>
        <w:autoSpaceDE w:val="0"/>
        <w:autoSpaceDN w:val="0"/>
        <w:jc w:val="both"/>
        <w:rPr>
          <w:rFonts w:eastAsia="Arial"/>
        </w:rPr>
      </w:pPr>
      <w:r w:rsidRPr="00EA51DC">
        <w:rPr>
          <w:rFonts w:eastAsia="Arial"/>
          <w:u w:val="single"/>
        </w:rPr>
        <w:t>Inadequate Recognition of Risks and Not Implementing Plans for Mitigating:</w:t>
      </w:r>
      <w:r w:rsidRPr="00EA51DC">
        <w:rPr>
          <w:rFonts w:eastAsia="Arial"/>
        </w:rPr>
        <w:t xml:space="preserve">  The most significant of these was not recognizing the complexity of IEEE-384, and the need to properly train and qualify engineers, construction supervision and craft, Field Engineers, and Quality Control personnel well ahead of the construction work.  In addition, although VMG has not reviewed in detail, it appears that much more effort could have been invested in completing the detail design of electrical raceways prior to the start of construction.</w:t>
      </w:r>
      <w:r w:rsidRPr="00EA51DC">
        <w:rPr>
          <w:rStyle w:val="FootnoteReference"/>
          <w:rFonts w:eastAsia="Arial"/>
        </w:rPr>
        <w:footnoteReference w:id="17"/>
      </w:r>
      <w:r w:rsidRPr="00EA51DC">
        <w:rPr>
          <w:rFonts w:eastAsia="Arial"/>
          <w:vertAlign w:val="superscript"/>
        </w:rPr>
        <w:t xml:space="preserve">, </w:t>
      </w:r>
      <w:r w:rsidRPr="00EA51DC">
        <w:rPr>
          <w:rStyle w:val="FootnoteReference"/>
          <w:rFonts w:eastAsia="Arial"/>
        </w:rPr>
        <w:footnoteReference w:id="18"/>
      </w:r>
      <w:r w:rsidRPr="00EA51DC">
        <w:rPr>
          <w:rFonts w:eastAsia="Arial"/>
        </w:rPr>
        <w:t xml:space="preserve">As another example, attracting sufficient numbers of </w:t>
      </w:r>
      <w:r w:rsidRPr="00223F1D">
        <w:rPr>
          <w:rFonts w:eastAsia="Arial"/>
          <w:u w:val="single"/>
        </w:rPr>
        <w:t>qualified craft</w:t>
      </w:r>
      <w:r w:rsidRPr="00EA51DC">
        <w:rPr>
          <w:rFonts w:eastAsia="Arial"/>
        </w:rPr>
        <w:t xml:space="preserve"> was always recognized as a challenge  yet efforts to achieve planned levels were always delayed and (as was the case with IEEE-384) their qualifications were questionable. </w:t>
      </w:r>
    </w:p>
    <w:p w14:paraId="7DC37AC2" w14:textId="77777777" w:rsidR="007F08A0" w:rsidRPr="00EA51DC" w:rsidRDefault="007F08A0" w:rsidP="007F08A0">
      <w:pPr>
        <w:pStyle w:val="ListParagraph"/>
        <w:jc w:val="both"/>
        <w:rPr>
          <w:rFonts w:eastAsia="Arial"/>
        </w:rPr>
      </w:pPr>
    </w:p>
    <w:p w14:paraId="4F495638" w14:textId="480F29CF" w:rsidR="007F08A0" w:rsidRPr="0070119A" w:rsidRDefault="007F08A0" w:rsidP="007F08A0">
      <w:pPr>
        <w:pStyle w:val="ListParagraph"/>
        <w:widowControl w:val="0"/>
        <w:numPr>
          <w:ilvl w:val="0"/>
          <w:numId w:val="39"/>
        </w:numPr>
        <w:autoSpaceDE w:val="0"/>
        <w:autoSpaceDN w:val="0"/>
        <w:jc w:val="both"/>
      </w:pPr>
      <w:r w:rsidRPr="00EA51DC">
        <w:rPr>
          <w:rFonts w:eastAsia="Arial"/>
          <w:u w:val="single"/>
        </w:rPr>
        <w:t xml:space="preserve">Inadequate </w:t>
      </w:r>
      <w:r>
        <w:rPr>
          <w:rFonts w:eastAsia="Arial"/>
          <w:u w:val="single"/>
        </w:rPr>
        <w:t xml:space="preserve">Controls and </w:t>
      </w:r>
      <w:r w:rsidRPr="00EA51DC">
        <w:rPr>
          <w:rFonts w:eastAsia="Arial"/>
          <w:u w:val="single"/>
        </w:rPr>
        <w:t>Project Reporting</w:t>
      </w:r>
      <w:r w:rsidRPr="00EA51DC">
        <w:rPr>
          <w:rFonts w:eastAsia="Arial"/>
        </w:rPr>
        <w:t xml:space="preserve">: </w:t>
      </w:r>
      <w:r>
        <w:rPr>
          <w:rFonts w:eastAsia="Arial"/>
        </w:rPr>
        <w:t>T</w:t>
      </w:r>
      <w:r w:rsidRPr="00EA51DC">
        <w:rPr>
          <w:rFonts w:eastAsia="Arial"/>
        </w:rPr>
        <w:t xml:space="preserve">he </w:t>
      </w:r>
      <w:r>
        <w:rPr>
          <w:rFonts w:eastAsia="Arial"/>
        </w:rPr>
        <w:t>P</w:t>
      </w:r>
      <w:r w:rsidRPr="00EA51DC">
        <w:rPr>
          <w:rFonts w:eastAsia="Arial"/>
        </w:rPr>
        <w:t>roject never did establish what the Industry Standard ANS</w:t>
      </w:r>
      <w:r w:rsidR="00451623">
        <w:rPr>
          <w:rFonts w:eastAsia="Arial"/>
        </w:rPr>
        <w:t>I</w:t>
      </w:r>
      <w:r w:rsidRPr="00EA51DC">
        <w:rPr>
          <w:rFonts w:eastAsia="Arial"/>
        </w:rPr>
        <w:t xml:space="preserve"> 748 (titled Earned Value Management Systems Intent Guide) states with respect to having a “Resource Loaded Integrated Project Schedule</w:t>
      </w:r>
      <w:r>
        <w:rPr>
          <w:rFonts w:eastAsia="Arial"/>
        </w:rPr>
        <w:t>”</w:t>
      </w:r>
      <w:r w:rsidRPr="00EA51DC">
        <w:rPr>
          <w:rFonts w:eastAsia="Arial"/>
        </w:rPr>
        <w:t xml:space="preserve">.   The IPS that they did have (i.e., the Site Working Plan) had “budgeted values” which were only tied to the very high summary level activities of the schedule, and even if they had been tied to more detailed schedule activities the SWP schedules were so unrealistic that it still would have been difficult to effectively use the </w:t>
      </w:r>
      <w:r w:rsidR="00B03F4E">
        <w:rPr>
          <w:rFonts w:eastAsia="Arial"/>
        </w:rPr>
        <w:lastRenderedPageBreak/>
        <w:t>P</w:t>
      </w:r>
      <w:r w:rsidRPr="00EA51DC">
        <w:rPr>
          <w:rFonts w:eastAsia="Arial"/>
        </w:rPr>
        <w:t xml:space="preserve">roject </w:t>
      </w:r>
      <w:proofErr w:type="spellStart"/>
      <w:r w:rsidRPr="00EA51DC">
        <w:rPr>
          <w:rFonts w:eastAsia="Arial"/>
        </w:rPr>
        <w:t>EVMS</w:t>
      </w:r>
      <w:proofErr w:type="spellEnd"/>
      <w:r w:rsidRPr="00EA51DC">
        <w:rPr>
          <w:rFonts w:eastAsia="Arial"/>
        </w:rPr>
        <w:t xml:space="preserve"> (even in its “partial use” mode). As an example of this latter point, over the 13-month period of January 1, 2021, through February 28, 2022, over $ 2.6 </w:t>
      </w:r>
      <w:r>
        <w:rPr>
          <w:rFonts w:eastAsia="Arial"/>
        </w:rPr>
        <w:t>billion</w:t>
      </w:r>
      <w:r w:rsidRPr="00EA51DC">
        <w:rPr>
          <w:rFonts w:eastAsia="Arial"/>
        </w:rPr>
        <w:t xml:space="preserve"> was spent, yet 13 months later the Estimate to Complete (ETC) the </w:t>
      </w:r>
      <w:r w:rsidR="00B03F4E">
        <w:rPr>
          <w:rFonts w:eastAsia="Arial"/>
        </w:rPr>
        <w:t>P</w:t>
      </w:r>
      <w:r w:rsidRPr="00EA51DC">
        <w:rPr>
          <w:rFonts w:eastAsia="Arial"/>
        </w:rPr>
        <w:t xml:space="preserve">roject had grown an additional $ 0.2 </w:t>
      </w:r>
      <w:r>
        <w:rPr>
          <w:rFonts w:eastAsia="Arial"/>
        </w:rPr>
        <w:t>billion</w:t>
      </w:r>
      <w:r w:rsidRPr="00EA51DC">
        <w:rPr>
          <w:rFonts w:eastAsia="Arial"/>
        </w:rPr>
        <w:t>.  In other words, the impact of the “ever emerging and difficult to define rework” was that over this period a lot of money was spent yet the overall progress of the project was negative.</w:t>
      </w:r>
    </w:p>
    <w:p w14:paraId="4B7D71FE" w14:textId="77777777" w:rsidR="007F08A0" w:rsidRPr="0070119A" w:rsidRDefault="007F08A0" w:rsidP="007F08A0">
      <w:pPr>
        <w:pStyle w:val="ListParagraph"/>
      </w:pPr>
    </w:p>
    <w:p w14:paraId="268AFA56" w14:textId="77777777" w:rsidR="007F08A0" w:rsidRDefault="007F08A0" w:rsidP="007F08A0">
      <w:pPr>
        <w:pStyle w:val="ListParagraph"/>
        <w:widowControl w:val="0"/>
        <w:autoSpaceDE w:val="0"/>
        <w:autoSpaceDN w:val="0"/>
        <w:ind w:left="360"/>
        <w:jc w:val="both"/>
      </w:pPr>
      <w:r>
        <w:t>Further details on the inadequacies of the project controls and reporting system are provided in Section 3, and a chronological macro-analysis of the cost and schedule impacts of the imprudent practices is provided in Section 4.</w:t>
      </w:r>
    </w:p>
    <w:p w14:paraId="3CB27FA6" w14:textId="77777777" w:rsidR="007F08A0" w:rsidRDefault="007F08A0" w:rsidP="007F08A0">
      <w:pPr>
        <w:pStyle w:val="ListParagraph"/>
        <w:widowControl w:val="0"/>
        <w:autoSpaceDE w:val="0"/>
        <w:autoSpaceDN w:val="0"/>
        <w:ind w:left="360"/>
        <w:jc w:val="both"/>
      </w:pPr>
    </w:p>
    <w:p w14:paraId="1689704D" w14:textId="77777777" w:rsidR="007F08A0" w:rsidRDefault="007F08A0" w:rsidP="00CE004F">
      <w:pPr>
        <w:jc w:val="center"/>
        <w:rPr>
          <w:b/>
          <w:szCs w:val="24"/>
          <w:highlight w:val="yellow"/>
        </w:rPr>
      </w:pPr>
    </w:p>
    <w:p w14:paraId="7EB1C8BE" w14:textId="77777777" w:rsidR="009C0F08" w:rsidRDefault="009C0F08" w:rsidP="00223F1D">
      <w:pPr>
        <w:rPr>
          <w:b/>
          <w:bCs/>
          <w:sz w:val="28"/>
          <w:szCs w:val="28"/>
        </w:rPr>
      </w:pPr>
    </w:p>
    <w:p w14:paraId="72ED7E7F" w14:textId="056F1C49" w:rsidR="00D311B7" w:rsidRDefault="00D311B7" w:rsidP="0004383B">
      <w:pPr>
        <w:jc w:val="center"/>
        <w:rPr>
          <w:b/>
          <w:bCs/>
          <w:sz w:val="28"/>
          <w:szCs w:val="28"/>
        </w:rPr>
      </w:pPr>
      <w:r>
        <w:rPr>
          <w:b/>
          <w:bCs/>
          <w:sz w:val="28"/>
          <w:szCs w:val="28"/>
        </w:rPr>
        <w:t>3.  DEFICIENT PROJECT PLANNING, REPORTING, AND</w:t>
      </w:r>
    </w:p>
    <w:p w14:paraId="1C1AD323" w14:textId="77777777" w:rsidR="00D311B7" w:rsidRDefault="00D311B7" w:rsidP="00D311B7">
      <w:pPr>
        <w:jc w:val="center"/>
        <w:rPr>
          <w:b/>
          <w:bCs/>
          <w:sz w:val="28"/>
          <w:szCs w:val="28"/>
        </w:rPr>
      </w:pPr>
      <w:r>
        <w:rPr>
          <w:b/>
          <w:bCs/>
          <w:sz w:val="28"/>
          <w:szCs w:val="28"/>
        </w:rPr>
        <w:t xml:space="preserve"> RISK ANALYSES / CONTINGENCY MANAGEMENT</w:t>
      </w:r>
    </w:p>
    <w:p w14:paraId="4C22A913" w14:textId="77777777" w:rsidR="00D311B7" w:rsidRDefault="00D311B7" w:rsidP="00D311B7">
      <w:pPr>
        <w:jc w:val="both"/>
      </w:pPr>
    </w:p>
    <w:p w14:paraId="68BD230E" w14:textId="4753B527" w:rsidR="00D311B7" w:rsidRDefault="00D311B7" w:rsidP="00D311B7">
      <w:pPr>
        <w:jc w:val="both"/>
      </w:pPr>
      <w:r>
        <w:t>This section of the report deals with Project planning and reporting and will start with a major ANSI 748 (</w:t>
      </w:r>
      <w:proofErr w:type="spellStart"/>
      <w:r>
        <w:t>EVMS</w:t>
      </w:r>
      <w:proofErr w:type="spellEnd"/>
      <w:r>
        <w:t xml:space="preserve"> Guidelines) requirement which the Project has never met, i.e., having a “resource loaded Integrated Project Schedule” (IPS).  This requirement serves as an underlying basis upon which to create a meaningful and reliable system for planning, executing, and reporting on the status of the Project, and without it the </w:t>
      </w:r>
      <w:proofErr w:type="spellStart"/>
      <w:r>
        <w:t>EVMS</w:t>
      </w:r>
      <w:proofErr w:type="spellEnd"/>
      <w:r>
        <w:t xml:space="preserve"> </w:t>
      </w:r>
      <w:r w:rsidR="002816B0">
        <w:t xml:space="preserve">and IPS </w:t>
      </w:r>
      <w:r>
        <w:t xml:space="preserve">cannot be considered reliable.  </w:t>
      </w:r>
    </w:p>
    <w:p w14:paraId="3AF6B22B" w14:textId="77777777" w:rsidR="00D311B7" w:rsidRPr="004A55BC" w:rsidRDefault="00D311B7" w:rsidP="00D311B7">
      <w:pPr>
        <w:jc w:val="center"/>
        <w:rPr>
          <w:b/>
          <w:bCs/>
        </w:rPr>
      </w:pPr>
    </w:p>
    <w:p w14:paraId="251DEC8C" w14:textId="37D176BD" w:rsidR="00D311B7" w:rsidRDefault="00D311B7" w:rsidP="00D311B7">
      <w:pPr>
        <w:jc w:val="both"/>
      </w:pPr>
      <w:r w:rsidRPr="002E5FFA">
        <w:rPr>
          <w:b/>
          <w:bCs/>
        </w:rPr>
        <w:t xml:space="preserve">3.1 </w:t>
      </w:r>
      <w:r>
        <w:rPr>
          <w:b/>
          <w:bCs/>
        </w:rPr>
        <w:t xml:space="preserve">Major Deficiencies of </w:t>
      </w:r>
      <w:proofErr w:type="spellStart"/>
      <w:r>
        <w:rPr>
          <w:b/>
          <w:bCs/>
        </w:rPr>
        <w:t>EVMS</w:t>
      </w:r>
      <w:proofErr w:type="spellEnd"/>
      <w:r>
        <w:rPr>
          <w:b/>
          <w:bCs/>
        </w:rPr>
        <w:t xml:space="preserve"> and </w:t>
      </w:r>
      <w:r w:rsidRPr="002E5FFA">
        <w:rPr>
          <w:b/>
          <w:bCs/>
        </w:rPr>
        <w:t>Integrated</w:t>
      </w:r>
      <w:r w:rsidRPr="004A55BC">
        <w:rPr>
          <w:b/>
          <w:bCs/>
          <w:u w:val="single"/>
        </w:rPr>
        <w:t xml:space="preserve"> </w:t>
      </w:r>
      <w:r w:rsidRPr="002E5FFA">
        <w:rPr>
          <w:b/>
          <w:bCs/>
        </w:rPr>
        <w:t xml:space="preserve">Project Schedule (IPS):  </w:t>
      </w:r>
      <w:r>
        <w:t xml:space="preserve">The software used for planning and reporting the status of the planned project activities is state of the art and is known as Primavera.  It is the software of choice for many large projects such as Vogtle 3 &amp; 4.  Its advantages are largely that it provides the platform to plan, to earn against the plan and to load actuals against the earn at cost account levels such that it generates progress reports whereby cost and schedule variances are reported automatically in a consistent manner. Assigned Cost Account Managers can </w:t>
      </w:r>
      <w:r w:rsidR="002816B0">
        <w:t xml:space="preserve">then </w:t>
      </w:r>
      <w:r>
        <w:t xml:space="preserve">be held accountable for performance, and the system can be used as a consistent and reliable means for reporting the status of a Project. Based on Project performance to date, and the cost and schedule risks going forward, it then also provides a reliable forecasting tool to better estimate the Project completion date and the estimated actual cost when completed. </w:t>
      </w:r>
    </w:p>
    <w:p w14:paraId="080870EF" w14:textId="77777777" w:rsidR="00D311B7" w:rsidRDefault="00D311B7" w:rsidP="00D311B7"/>
    <w:p w14:paraId="46E12B89" w14:textId="77777777" w:rsidR="00D311B7" w:rsidRDefault="00D311B7" w:rsidP="00D311B7">
      <w:pPr>
        <w:jc w:val="both"/>
      </w:pPr>
      <w:r>
        <w:t xml:space="preserve">With respect to being “resource loaded”, this means that most of the activities within the IPS have “budgeted values” associated with them.  Further, the sum of the activity based “budgeted values” then equals the “total planned value” for the project work.  In the case of the Project, the budgeted value of the activities are all the activities as represented by the “Site Working Plan”.  In addition to the budgeted values of the SWP, the Project TPC </w:t>
      </w:r>
      <w:proofErr w:type="spellStart"/>
      <w:r>
        <w:t>EAC</w:t>
      </w:r>
      <w:proofErr w:type="spellEnd"/>
      <w:r>
        <w:t xml:space="preserve"> then also includes contingency dollars which theoretically are based on a Company assessment of the probability and potential cost impact of various risk events that are not included in the SWP.  </w:t>
      </w:r>
    </w:p>
    <w:p w14:paraId="474FEEC7" w14:textId="77777777" w:rsidR="00D311B7" w:rsidRDefault="00D311B7" w:rsidP="00D311B7">
      <w:pPr>
        <w:jc w:val="both"/>
      </w:pPr>
    </w:p>
    <w:p w14:paraId="6088111F" w14:textId="77777777" w:rsidR="00D311B7" w:rsidRDefault="00D311B7" w:rsidP="00D311B7">
      <w:pPr>
        <w:jc w:val="both"/>
      </w:pPr>
      <w:r>
        <w:t xml:space="preserve">SNC chose to load resources only for construction craft into the IPS; and, the IPS has no resources in it for Engineering, Procurement, SNC Labor, Field Non-Manuals, Field Distributable and ITP.  Even for construction craft, SNC was selective and only resource loaded craft hours at very high levels in the IPS </w:t>
      </w:r>
      <w:r>
        <w:lastRenderedPageBreak/>
        <w:t xml:space="preserve">where it did not utilize the Primavera based IPS to earn against these tasks. Instead, and again for craft hours only, systems apart from Primavera such as excel spreadsheets were utilized to measure and report performance in hours.  </w:t>
      </w:r>
    </w:p>
    <w:p w14:paraId="5F05C161" w14:textId="77777777" w:rsidR="00D311B7" w:rsidRDefault="00D311B7" w:rsidP="00D311B7">
      <w:pPr>
        <w:jc w:val="both"/>
      </w:pPr>
    </w:p>
    <w:p w14:paraId="7AD88E63" w14:textId="71596511" w:rsidR="00D311B7" w:rsidRDefault="00D311B7" w:rsidP="00D311B7">
      <w:pPr>
        <w:jc w:val="both"/>
      </w:pPr>
      <w:r>
        <w:t xml:space="preserve">For the Project, a primary project status reporting tool that was used is the QURR (Quantity and Unit Rate Report).   The QURR, developed and maintained by Bechtel, identifies quantities (e.g., cu ft of concrete, feet of cable, etc.) to be constructed and reports on planned quantities, actual quantities, and actual effort expended.  Variances are calculated (both Cost Performance Indices, and Schedule Performance Indices) based on actual, planned, and completed efforts (all expressed in man-hours).  The variance reports cover both the most recently completed </w:t>
      </w:r>
      <w:r w:rsidR="00447DCB">
        <w:t>period</w:t>
      </w:r>
      <w:r>
        <w:t xml:space="preserve"> (i.e., a week), and cumulatively to date, and by various topical areas (e.g., by type of material, by building, etc.).  </w:t>
      </w:r>
    </w:p>
    <w:p w14:paraId="60DB583C" w14:textId="77777777" w:rsidR="00D311B7" w:rsidRDefault="00D311B7" w:rsidP="00D311B7">
      <w:pPr>
        <w:jc w:val="both"/>
      </w:pPr>
    </w:p>
    <w:p w14:paraId="59D4E1C4" w14:textId="08C3BAC0" w:rsidR="00D311B7" w:rsidRDefault="00D311B7" w:rsidP="00D311B7">
      <w:pPr>
        <w:jc w:val="both"/>
      </w:pPr>
      <w:r>
        <w:rPr>
          <w:u w:val="single"/>
        </w:rPr>
        <w:t xml:space="preserve">Although the QURR is a beneficial tool, at the time of the April 2019 Baseline it represented only about 30% of the </w:t>
      </w:r>
      <w:r w:rsidR="002816B0">
        <w:rPr>
          <w:u w:val="single"/>
        </w:rPr>
        <w:t>TPC</w:t>
      </w:r>
      <w:r>
        <w:rPr>
          <w:u w:val="single"/>
        </w:rPr>
        <w:t xml:space="preserve">.  </w:t>
      </w:r>
      <w:r>
        <w:t xml:space="preserve">In addition, instead of utilizing Primavera as the tool for generating reports, </w:t>
      </w:r>
      <w:r w:rsidRPr="00E80811">
        <w:rPr>
          <w:u w:val="single"/>
        </w:rPr>
        <w:t xml:space="preserve">numerous reports </w:t>
      </w:r>
      <w:r>
        <w:rPr>
          <w:u w:val="single"/>
        </w:rPr>
        <w:t xml:space="preserve">were </w:t>
      </w:r>
      <w:r w:rsidRPr="00E80811">
        <w:rPr>
          <w:u w:val="single"/>
        </w:rPr>
        <w:t>generated “offline” via a combination of excel spreadsheets and other tools</w:t>
      </w:r>
      <w:r>
        <w:t xml:space="preserve">.  </w:t>
      </w:r>
    </w:p>
    <w:p w14:paraId="56E61297" w14:textId="77777777" w:rsidR="00D311B7" w:rsidRDefault="00D311B7" w:rsidP="00D311B7">
      <w:pPr>
        <w:jc w:val="both"/>
      </w:pPr>
    </w:p>
    <w:p w14:paraId="53640465" w14:textId="0D873D75" w:rsidR="00D311B7" w:rsidRDefault="00D311B7" w:rsidP="00D311B7">
      <w:pPr>
        <w:jc w:val="both"/>
        <w:rPr>
          <w:rFonts w:eastAsia="Arial"/>
        </w:rPr>
      </w:pPr>
      <w:r w:rsidRPr="00EA51DC">
        <w:rPr>
          <w:rFonts w:eastAsia="Arial"/>
        </w:rPr>
        <w:t xml:space="preserve">When properly resource loaded, the software provides meaningful and consistent means of calculating the project percent complete plus revised cost estimates at completion and revised forecast completion dates.  Also, when </w:t>
      </w:r>
      <w:proofErr w:type="gramStart"/>
      <w:r w:rsidRPr="00EA51DC">
        <w:rPr>
          <w:rFonts w:eastAsia="Arial"/>
        </w:rPr>
        <w:t>resource</w:t>
      </w:r>
      <w:proofErr w:type="gramEnd"/>
      <w:r w:rsidRPr="00EA51DC">
        <w:rPr>
          <w:rFonts w:eastAsia="Arial"/>
        </w:rPr>
        <w:t xml:space="preserve"> loaded (i.e., preferably with dollars), there should be a relatively close correlation between the reported project percent complete and the percent of the Estimated Cost at Completion.  However, this correlation never existed, and is </w:t>
      </w:r>
      <w:r w:rsidR="00447DCB" w:rsidRPr="00EA51DC">
        <w:rPr>
          <w:rFonts w:eastAsia="Arial"/>
        </w:rPr>
        <w:t>because</w:t>
      </w:r>
      <w:r w:rsidRPr="00EA51DC">
        <w:rPr>
          <w:rFonts w:eastAsia="Arial"/>
        </w:rPr>
        <w:t xml:space="preserve"> with each re-baselining of the </w:t>
      </w:r>
      <w:r>
        <w:rPr>
          <w:rFonts w:eastAsia="Arial"/>
        </w:rPr>
        <w:t>P</w:t>
      </w:r>
      <w:r w:rsidRPr="00EA51DC">
        <w:rPr>
          <w:rFonts w:eastAsia="Arial"/>
        </w:rPr>
        <w:t xml:space="preserve">roject, the </w:t>
      </w:r>
      <w:r>
        <w:rPr>
          <w:rFonts w:eastAsia="Arial"/>
        </w:rPr>
        <w:t>C</w:t>
      </w:r>
      <w:r w:rsidRPr="00EA51DC">
        <w:rPr>
          <w:rFonts w:eastAsia="Arial"/>
        </w:rPr>
        <w:t xml:space="preserve">ompany’s reporting of percent complete was not baselined correctly as </w:t>
      </w:r>
      <w:proofErr w:type="spellStart"/>
      <w:r w:rsidRPr="00EA51DC">
        <w:rPr>
          <w:rFonts w:eastAsia="Arial"/>
        </w:rPr>
        <w:t>EVMS</w:t>
      </w:r>
      <w:proofErr w:type="spellEnd"/>
      <w:r w:rsidRPr="00EA51DC">
        <w:rPr>
          <w:rFonts w:eastAsia="Arial"/>
        </w:rPr>
        <w:t xml:space="preserve"> guidelines dictate.  That is, with each re-baselining, one sets the past Budgeted Cost of Work Scheduled = to the Budgeted Cost of Work Performed = to the Actual Cost of Work Performed (</w:t>
      </w:r>
      <w:proofErr w:type="spellStart"/>
      <w:r w:rsidRPr="00EA51DC">
        <w:rPr>
          <w:rFonts w:eastAsia="Arial"/>
        </w:rPr>
        <w:t>BCWS</w:t>
      </w:r>
      <w:proofErr w:type="spellEnd"/>
      <w:r w:rsidRPr="00EA51DC">
        <w:rPr>
          <w:rFonts w:eastAsia="Arial"/>
        </w:rPr>
        <w:t xml:space="preserve"> = </w:t>
      </w:r>
      <w:proofErr w:type="spellStart"/>
      <w:r w:rsidRPr="00EA51DC">
        <w:rPr>
          <w:rFonts w:eastAsia="Arial"/>
        </w:rPr>
        <w:t>BCWP</w:t>
      </w:r>
      <w:proofErr w:type="spellEnd"/>
      <w:r w:rsidRPr="00EA51DC">
        <w:rPr>
          <w:rFonts w:eastAsia="Arial"/>
        </w:rPr>
        <w:t xml:space="preserve">= </w:t>
      </w:r>
      <w:proofErr w:type="spellStart"/>
      <w:r w:rsidRPr="00EA51DC">
        <w:rPr>
          <w:rFonts w:eastAsia="Arial"/>
        </w:rPr>
        <w:t>ACWP</w:t>
      </w:r>
      <w:proofErr w:type="spellEnd"/>
      <w:r w:rsidRPr="00EA51DC">
        <w:rPr>
          <w:rFonts w:eastAsia="Arial"/>
        </w:rPr>
        <w:t xml:space="preserve">). At the point of re-baselining, therefore, actual costs as a percentage of the </w:t>
      </w:r>
      <w:proofErr w:type="spellStart"/>
      <w:r w:rsidRPr="00EA51DC">
        <w:rPr>
          <w:rFonts w:eastAsia="Arial"/>
        </w:rPr>
        <w:t>EAC</w:t>
      </w:r>
      <w:proofErr w:type="spellEnd"/>
      <w:r w:rsidRPr="00EA51DC">
        <w:rPr>
          <w:rFonts w:eastAsia="Arial"/>
        </w:rPr>
        <w:t xml:space="preserve"> would represent the project percent complete.  That this was not done with the April 2019 re-baselining </w:t>
      </w:r>
      <w:r>
        <w:rPr>
          <w:rFonts w:eastAsia="Arial"/>
        </w:rPr>
        <w:t xml:space="preserve">as </w:t>
      </w:r>
      <w:r w:rsidRPr="00EA51DC">
        <w:rPr>
          <w:rFonts w:eastAsia="Arial"/>
        </w:rPr>
        <w:t xml:space="preserve">demonstrated by Table </w:t>
      </w:r>
      <w:r>
        <w:rPr>
          <w:rFonts w:eastAsia="Arial"/>
        </w:rPr>
        <w:t>3.1-1</w:t>
      </w:r>
      <w:r w:rsidRPr="00EA51DC">
        <w:rPr>
          <w:rFonts w:eastAsia="Arial"/>
        </w:rPr>
        <w:t>, belo</w:t>
      </w:r>
      <w:r>
        <w:rPr>
          <w:rFonts w:eastAsia="Arial"/>
        </w:rPr>
        <w:t>w.</w:t>
      </w:r>
    </w:p>
    <w:p w14:paraId="36DAB679" w14:textId="77777777" w:rsidR="00E9559D" w:rsidRDefault="00E9559D" w:rsidP="00D311B7">
      <w:pPr>
        <w:jc w:val="both"/>
      </w:pPr>
    </w:p>
    <w:p w14:paraId="3F0972DB" w14:textId="77777777" w:rsidR="00D311B7" w:rsidRDefault="00D311B7" w:rsidP="00D311B7">
      <w:pPr>
        <w:jc w:val="both"/>
      </w:pPr>
    </w:p>
    <w:tbl>
      <w:tblPr>
        <w:tblW w:w="9580" w:type="dxa"/>
        <w:jc w:val="center"/>
        <w:tblLook w:val="04A0" w:firstRow="1" w:lastRow="0" w:firstColumn="1" w:lastColumn="0" w:noHBand="0" w:noVBand="1"/>
      </w:tblPr>
      <w:tblGrid>
        <w:gridCol w:w="1420"/>
        <w:gridCol w:w="1180"/>
        <w:gridCol w:w="1220"/>
        <w:gridCol w:w="1360"/>
        <w:gridCol w:w="1800"/>
        <w:gridCol w:w="2600"/>
      </w:tblGrid>
      <w:tr w:rsidR="009B2903" w:rsidRPr="009B2903" w14:paraId="16879DB2" w14:textId="77777777" w:rsidTr="009B2903">
        <w:trPr>
          <w:trHeight w:val="636"/>
          <w:jc w:val="center"/>
        </w:trPr>
        <w:tc>
          <w:tcPr>
            <w:tcW w:w="9580" w:type="dxa"/>
            <w:gridSpan w:val="6"/>
            <w:tcBorders>
              <w:top w:val="single" w:sz="8" w:space="0" w:color="auto"/>
              <w:left w:val="single" w:sz="8" w:space="0" w:color="auto"/>
              <w:bottom w:val="single" w:sz="8" w:space="0" w:color="auto"/>
              <w:right w:val="single" w:sz="8" w:space="0" w:color="000000"/>
            </w:tcBorders>
            <w:shd w:val="clear" w:color="000000" w:fill="DDEBF7"/>
            <w:vAlign w:val="center"/>
            <w:hideMark/>
          </w:tcPr>
          <w:p w14:paraId="6F7C81AC" w14:textId="77777777" w:rsidR="009B2903" w:rsidRPr="009B2903" w:rsidRDefault="009B2903" w:rsidP="009B2903">
            <w:pPr>
              <w:jc w:val="center"/>
              <w:rPr>
                <w:rFonts w:ascii="Calibri" w:hAnsi="Calibri" w:cs="Calibri"/>
                <w:b/>
                <w:bCs/>
                <w:color w:val="000000"/>
                <w:szCs w:val="24"/>
              </w:rPr>
            </w:pPr>
            <w:r w:rsidRPr="009B2903">
              <w:rPr>
                <w:rFonts w:ascii="Calibri" w:hAnsi="Calibri" w:cs="Calibri"/>
                <w:b/>
                <w:bCs/>
                <w:color w:val="000000"/>
                <w:szCs w:val="24"/>
              </w:rPr>
              <w:t xml:space="preserve">Table 3.1.-1; Total Project Cost Based Project % Complete, vs Company Reported % Complete </w:t>
            </w:r>
            <w:proofErr w:type="gramStart"/>
            <w:r w:rsidRPr="009B2903">
              <w:rPr>
                <w:rFonts w:ascii="Calibri" w:hAnsi="Calibri" w:cs="Calibri"/>
                <w:b/>
                <w:bCs/>
                <w:color w:val="000000"/>
                <w:szCs w:val="24"/>
              </w:rPr>
              <w:t>At</w:t>
            </w:r>
            <w:proofErr w:type="gramEnd"/>
            <w:r w:rsidRPr="009B2903">
              <w:rPr>
                <w:rFonts w:ascii="Calibri" w:hAnsi="Calibri" w:cs="Calibri"/>
                <w:b/>
                <w:bCs/>
                <w:color w:val="000000"/>
                <w:szCs w:val="24"/>
              </w:rPr>
              <w:t xml:space="preserve"> Validated April 2019 Baseline</w:t>
            </w:r>
          </w:p>
        </w:tc>
      </w:tr>
      <w:tr w:rsidR="009B2903" w:rsidRPr="009B2903" w14:paraId="2A044FE4" w14:textId="77777777" w:rsidTr="009B2903">
        <w:trPr>
          <w:trHeight w:val="1032"/>
          <w:jc w:val="center"/>
        </w:trPr>
        <w:tc>
          <w:tcPr>
            <w:tcW w:w="1420" w:type="dxa"/>
            <w:tcBorders>
              <w:top w:val="nil"/>
              <w:left w:val="single" w:sz="8" w:space="0" w:color="auto"/>
              <w:bottom w:val="single" w:sz="8" w:space="0" w:color="auto"/>
              <w:right w:val="single" w:sz="8" w:space="0" w:color="auto"/>
            </w:tcBorders>
            <w:shd w:val="clear" w:color="000000" w:fill="FCE4D6"/>
            <w:noWrap/>
            <w:vAlign w:val="center"/>
            <w:hideMark/>
          </w:tcPr>
          <w:p w14:paraId="6BB97307"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Data Source</w:t>
            </w:r>
          </w:p>
        </w:tc>
        <w:tc>
          <w:tcPr>
            <w:tcW w:w="1180" w:type="dxa"/>
            <w:tcBorders>
              <w:top w:val="nil"/>
              <w:left w:val="nil"/>
              <w:bottom w:val="single" w:sz="8" w:space="0" w:color="auto"/>
              <w:right w:val="single" w:sz="8" w:space="0" w:color="auto"/>
            </w:tcBorders>
            <w:shd w:val="clear" w:color="000000" w:fill="FCE4D6"/>
            <w:vAlign w:val="center"/>
            <w:hideMark/>
          </w:tcPr>
          <w:p w14:paraId="447ECAAE"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 xml:space="preserve">(a) Forecast </w:t>
            </w:r>
            <w:proofErr w:type="spellStart"/>
            <w:r w:rsidRPr="009B2903">
              <w:rPr>
                <w:rFonts w:ascii="Calibri" w:hAnsi="Calibri" w:cs="Calibri"/>
                <w:color w:val="000000"/>
                <w:szCs w:val="24"/>
              </w:rPr>
              <w:t>EAC</w:t>
            </w:r>
            <w:proofErr w:type="spellEnd"/>
          </w:p>
        </w:tc>
        <w:tc>
          <w:tcPr>
            <w:tcW w:w="1220" w:type="dxa"/>
            <w:tcBorders>
              <w:top w:val="nil"/>
              <w:left w:val="nil"/>
              <w:bottom w:val="single" w:sz="8" w:space="0" w:color="auto"/>
              <w:right w:val="single" w:sz="8" w:space="0" w:color="auto"/>
            </w:tcBorders>
            <w:shd w:val="clear" w:color="000000" w:fill="FCE4D6"/>
            <w:vAlign w:val="center"/>
            <w:hideMark/>
          </w:tcPr>
          <w:p w14:paraId="4F3247DB"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(b) ETC (April 2019 to Finish)</w:t>
            </w:r>
          </w:p>
        </w:tc>
        <w:tc>
          <w:tcPr>
            <w:tcW w:w="1360" w:type="dxa"/>
            <w:tcBorders>
              <w:top w:val="nil"/>
              <w:left w:val="nil"/>
              <w:bottom w:val="single" w:sz="8" w:space="0" w:color="auto"/>
              <w:right w:val="single" w:sz="8" w:space="0" w:color="auto"/>
            </w:tcBorders>
            <w:shd w:val="clear" w:color="000000" w:fill="FCE4D6"/>
            <w:vAlign w:val="center"/>
            <w:hideMark/>
          </w:tcPr>
          <w:p w14:paraId="56FB83CF"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 xml:space="preserve">  (c) Prior Actuals (a-b)</w:t>
            </w:r>
          </w:p>
        </w:tc>
        <w:tc>
          <w:tcPr>
            <w:tcW w:w="1800" w:type="dxa"/>
            <w:tcBorders>
              <w:top w:val="nil"/>
              <w:left w:val="nil"/>
              <w:bottom w:val="single" w:sz="8" w:space="0" w:color="auto"/>
              <w:right w:val="single" w:sz="8" w:space="0" w:color="auto"/>
            </w:tcBorders>
            <w:shd w:val="clear" w:color="000000" w:fill="FCE4D6"/>
            <w:vAlign w:val="center"/>
            <w:hideMark/>
          </w:tcPr>
          <w:p w14:paraId="09FC8195"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ANSI 748 Cost Based % Complete (c/a)</w:t>
            </w:r>
          </w:p>
        </w:tc>
        <w:tc>
          <w:tcPr>
            <w:tcW w:w="2600" w:type="dxa"/>
            <w:tcBorders>
              <w:top w:val="nil"/>
              <w:left w:val="nil"/>
              <w:bottom w:val="single" w:sz="8" w:space="0" w:color="auto"/>
              <w:right w:val="single" w:sz="8" w:space="0" w:color="auto"/>
            </w:tcBorders>
            <w:shd w:val="clear" w:color="000000" w:fill="FCE4D6"/>
            <w:vAlign w:val="center"/>
            <w:hideMark/>
          </w:tcPr>
          <w:p w14:paraId="3703DB64"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Company Reported % Complete</w:t>
            </w:r>
          </w:p>
        </w:tc>
      </w:tr>
      <w:tr w:rsidR="009B2903" w:rsidRPr="009B2903" w14:paraId="4F251705" w14:textId="77777777" w:rsidTr="009B2903">
        <w:trPr>
          <w:trHeight w:val="744"/>
          <w:jc w:val="center"/>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02799907"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 xml:space="preserve">April 29, 2019, </w:t>
            </w:r>
            <w:proofErr w:type="spellStart"/>
            <w:r w:rsidRPr="009B2903">
              <w:rPr>
                <w:rFonts w:ascii="Calibri" w:hAnsi="Calibri" w:cs="Calibri"/>
                <w:color w:val="000000"/>
                <w:szCs w:val="24"/>
              </w:rPr>
              <w:t>VPMB</w:t>
            </w:r>
            <w:proofErr w:type="spellEnd"/>
          </w:p>
        </w:tc>
        <w:tc>
          <w:tcPr>
            <w:tcW w:w="1180" w:type="dxa"/>
            <w:tcBorders>
              <w:top w:val="nil"/>
              <w:left w:val="nil"/>
              <w:bottom w:val="single" w:sz="8" w:space="0" w:color="auto"/>
              <w:right w:val="single" w:sz="8" w:space="0" w:color="auto"/>
            </w:tcBorders>
            <w:shd w:val="clear" w:color="auto" w:fill="auto"/>
            <w:noWrap/>
            <w:vAlign w:val="center"/>
            <w:hideMark/>
          </w:tcPr>
          <w:p w14:paraId="0DF041B1"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$ 17.1 B</w:t>
            </w:r>
          </w:p>
        </w:tc>
        <w:tc>
          <w:tcPr>
            <w:tcW w:w="1220" w:type="dxa"/>
            <w:tcBorders>
              <w:top w:val="nil"/>
              <w:left w:val="nil"/>
              <w:bottom w:val="single" w:sz="8" w:space="0" w:color="auto"/>
              <w:right w:val="single" w:sz="8" w:space="0" w:color="auto"/>
            </w:tcBorders>
            <w:shd w:val="clear" w:color="auto" w:fill="auto"/>
            <w:noWrap/>
            <w:vAlign w:val="center"/>
            <w:hideMark/>
          </w:tcPr>
          <w:p w14:paraId="5514D3DB"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$ 7.2 B</w:t>
            </w:r>
          </w:p>
        </w:tc>
        <w:tc>
          <w:tcPr>
            <w:tcW w:w="1360" w:type="dxa"/>
            <w:tcBorders>
              <w:top w:val="nil"/>
              <w:left w:val="nil"/>
              <w:bottom w:val="single" w:sz="8" w:space="0" w:color="auto"/>
              <w:right w:val="single" w:sz="8" w:space="0" w:color="auto"/>
            </w:tcBorders>
            <w:shd w:val="clear" w:color="auto" w:fill="auto"/>
            <w:noWrap/>
            <w:vAlign w:val="center"/>
            <w:hideMark/>
          </w:tcPr>
          <w:p w14:paraId="1B105E04"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$ 9.9 B</w:t>
            </w:r>
          </w:p>
        </w:tc>
        <w:tc>
          <w:tcPr>
            <w:tcW w:w="1800" w:type="dxa"/>
            <w:tcBorders>
              <w:top w:val="nil"/>
              <w:left w:val="nil"/>
              <w:bottom w:val="single" w:sz="8" w:space="0" w:color="auto"/>
              <w:right w:val="single" w:sz="8" w:space="0" w:color="auto"/>
            </w:tcBorders>
            <w:shd w:val="clear" w:color="auto" w:fill="auto"/>
            <w:noWrap/>
            <w:vAlign w:val="center"/>
            <w:hideMark/>
          </w:tcPr>
          <w:p w14:paraId="5DF370AE"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57.89%</w:t>
            </w:r>
          </w:p>
        </w:tc>
        <w:tc>
          <w:tcPr>
            <w:tcW w:w="2600" w:type="dxa"/>
            <w:tcBorders>
              <w:top w:val="nil"/>
              <w:left w:val="nil"/>
              <w:bottom w:val="single" w:sz="8" w:space="0" w:color="auto"/>
              <w:right w:val="single" w:sz="8" w:space="0" w:color="auto"/>
            </w:tcBorders>
            <w:shd w:val="clear" w:color="auto" w:fill="auto"/>
            <w:noWrap/>
            <w:vAlign w:val="center"/>
            <w:hideMark/>
          </w:tcPr>
          <w:p w14:paraId="5F36AA03" w14:textId="77777777" w:rsidR="009B2903" w:rsidRPr="009B2903" w:rsidRDefault="009B2903" w:rsidP="009B2903">
            <w:pPr>
              <w:jc w:val="center"/>
              <w:rPr>
                <w:rFonts w:ascii="Calibri" w:hAnsi="Calibri" w:cs="Calibri"/>
                <w:color w:val="000000"/>
                <w:szCs w:val="24"/>
              </w:rPr>
            </w:pPr>
            <w:r w:rsidRPr="009B2903">
              <w:rPr>
                <w:rFonts w:ascii="Calibri" w:hAnsi="Calibri" w:cs="Calibri"/>
                <w:color w:val="000000"/>
                <w:szCs w:val="24"/>
              </w:rPr>
              <w:t>77%</w:t>
            </w:r>
          </w:p>
        </w:tc>
      </w:tr>
    </w:tbl>
    <w:p w14:paraId="3F9E8F20" w14:textId="77777777" w:rsidR="005E3680" w:rsidRDefault="005E3680" w:rsidP="00CE004F">
      <w:pPr>
        <w:jc w:val="center"/>
        <w:rPr>
          <w:b/>
          <w:szCs w:val="24"/>
          <w:highlight w:val="yellow"/>
        </w:rPr>
      </w:pPr>
    </w:p>
    <w:p w14:paraId="3DA4E655" w14:textId="77777777" w:rsidR="00E9559D" w:rsidRDefault="00E9559D" w:rsidP="00E9559D">
      <w:pPr>
        <w:jc w:val="both"/>
      </w:pPr>
      <w:r w:rsidRPr="00595E2B">
        <w:rPr>
          <w:u w:val="single"/>
        </w:rPr>
        <w:t>What this data demonstrates is that the “off-line” means of project reporting is highly subject to manipulation and errors</w:t>
      </w:r>
      <w:r>
        <w:t xml:space="preserve">.   And the means for correcting this deficiency starts with having a “resource loaded IPS” which represents the entire scope of work and the TPC. It would </w:t>
      </w:r>
      <w:proofErr w:type="gramStart"/>
      <w:r>
        <w:t>be preferably</w:t>
      </w:r>
      <w:proofErr w:type="gramEnd"/>
      <w:r>
        <w:t xml:space="preserve"> in dollars, but hours if properly budgeted would also suffice.  Rather, this is something that the Project has never had, and instead scope and resources are integrated only at the highest levels, and certainly not at the lower-working-</w:t>
      </w:r>
      <w:r>
        <w:lastRenderedPageBreak/>
        <w:t xml:space="preserve">level Cost Accounts, and within Primavera there is no reporting of either cost variances, schedule variances, or a revised forecast of the </w:t>
      </w:r>
      <w:proofErr w:type="spellStart"/>
      <w:r>
        <w:t>EAC</w:t>
      </w:r>
      <w:proofErr w:type="spellEnd"/>
      <w:r>
        <w:t xml:space="preserve"> and completion date.   </w:t>
      </w:r>
    </w:p>
    <w:p w14:paraId="7A2522D7" w14:textId="77777777" w:rsidR="00E9559D" w:rsidRDefault="00E9559D" w:rsidP="00E9559D">
      <w:pPr>
        <w:jc w:val="both"/>
      </w:pPr>
    </w:p>
    <w:p w14:paraId="7DB69BBF" w14:textId="4C5F0F1B" w:rsidR="00E9559D" w:rsidRPr="00A13AD1" w:rsidRDefault="00E9559D" w:rsidP="00E9559D">
      <w:pPr>
        <w:widowControl w:val="0"/>
        <w:autoSpaceDE w:val="0"/>
        <w:autoSpaceDN w:val="0"/>
        <w:jc w:val="both"/>
        <w:rPr>
          <w:rFonts w:eastAsia="Arial"/>
        </w:rPr>
      </w:pPr>
      <w:r w:rsidRPr="00A13AD1">
        <w:rPr>
          <w:rFonts w:eastAsia="Arial"/>
        </w:rPr>
        <w:t xml:space="preserve">To further demonstrate the inadequacy of their Project reporting not being in accordance with </w:t>
      </w:r>
      <w:proofErr w:type="spellStart"/>
      <w:r w:rsidRPr="00A13AD1">
        <w:rPr>
          <w:rFonts w:eastAsia="Arial"/>
        </w:rPr>
        <w:t>EVMS</w:t>
      </w:r>
      <w:proofErr w:type="spellEnd"/>
      <w:r w:rsidRPr="00A13AD1">
        <w:rPr>
          <w:rFonts w:eastAsia="Arial"/>
        </w:rPr>
        <w:t xml:space="preserve"> principles, Table </w:t>
      </w:r>
      <w:r w:rsidR="006D5DC3">
        <w:rPr>
          <w:rFonts w:eastAsia="Arial"/>
        </w:rPr>
        <w:t>3</w:t>
      </w:r>
      <w:r w:rsidRPr="00A13AD1">
        <w:rPr>
          <w:rFonts w:eastAsia="Arial"/>
        </w:rPr>
        <w:t>.</w:t>
      </w:r>
      <w:r w:rsidR="006D5DC3">
        <w:rPr>
          <w:rFonts w:eastAsia="Arial"/>
        </w:rPr>
        <w:t>1</w:t>
      </w:r>
      <w:r w:rsidRPr="00A13AD1">
        <w:rPr>
          <w:rFonts w:eastAsia="Arial"/>
        </w:rPr>
        <w:t xml:space="preserve">-2 below shows how with having spent considerable money (roughly $ 2.4 billion), and with no decrease in the ETC (i.e., </w:t>
      </w:r>
      <w:r w:rsidRPr="00A13AD1">
        <w:rPr>
          <w:rFonts w:eastAsia="Arial"/>
          <w:u w:val="single"/>
        </w:rPr>
        <w:t xml:space="preserve">the </w:t>
      </w:r>
      <w:r w:rsidR="006A7925">
        <w:rPr>
          <w:rFonts w:eastAsia="Arial"/>
          <w:u w:val="single"/>
        </w:rPr>
        <w:t>P</w:t>
      </w:r>
      <w:r w:rsidRPr="00A13AD1">
        <w:rPr>
          <w:rFonts w:eastAsia="Arial"/>
          <w:u w:val="single"/>
        </w:rPr>
        <w:t>roject was not making any positive progress</w:t>
      </w:r>
      <w:r w:rsidRPr="00A13AD1">
        <w:rPr>
          <w:rFonts w:eastAsia="Arial"/>
        </w:rPr>
        <w:t xml:space="preserve">), </w:t>
      </w:r>
      <w:r w:rsidRPr="00A13AD1">
        <w:rPr>
          <w:rFonts w:eastAsia="Arial"/>
          <w:u w:val="single"/>
        </w:rPr>
        <w:t xml:space="preserve">yet the percent complete for various categories and the Project </w:t>
      </w:r>
      <w:proofErr w:type="gramStart"/>
      <w:r w:rsidRPr="00A13AD1">
        <w:rPr>
          <w:rFonts w:eastAsia="Arial"/>
          <w:u w:val="single"/>
        </w:rPr>
        <w:t>as a whole increased</w:t>
      </w:r>
      <w:proofErr w:type="gramEnd"/>
      <w:r w:rsidRPr="00A13AD1">
        <w:rPr>
          <w:rFonts w:eastAsia="Arial"/>
          <w:u w:val="single"/>
        </w:rPr>
        <w:t xml:space="preserve"> dramatically.</w:t>
      </w:r>
    </w:p>
    <w:p w14:paraId="10B9A672" w14:textId="77777777" w:rsidR="00512BF6" w:rsidRDefault="00512BF6" w:rsidP="00CE004F">
      <w:pPr>
        <w:jc w:val="center"/>
        <w:rPr>
          <w:b/>
          <w:szCs w:val="24"/>
          <w:highlight w:val="yellow"/>
        </w:rPr>
      </w:pPr>
    </w:p>
    <w:p w14:paraId="7DDDA515" w14:textId="77777777" w:rsidR="00B80AFC" w:rsidRDefault="00B80AFC" w:rsidP="00573360">
      <w:pPr>
        <w:rPr>
          <w:b/>
          <w:szCs w:val="24"/>
          <w:highlight w:val="yellow"/>
        </w:rPr>
      </w:pPr>
    </w:p>
    <w:p w14:paraId="479EF90C" w14:textId="77777777" w:rsidR="00C96A4E" w:rsidRDefault="00C96A4E" w:rsidP="00573360">
      <w:pPr>
        <w:rPr>
          <w:b/>
          <w:szCs w:val="24"/>
          <w:highlight w:val="yellow"/>
        </w:rPr>
      </w:pPr>
    </w:p>
    <w:tbl>
      <w:tblPr>
        <w:tblW w:w="9600" w:type="dxa"/>
        <w:jc w:val="center"/>
        <w:tblLook w:val="04A0" w:firstRow="1" w:lastRow="0" w:firstColumn="1" w:lastColumn="0" w:noHBand="0" w:noVBand="1"/>
      </w:tblPr>
      <w:tblGrid>
        <w:gridCol w:w="1152"/>
        <w:gridCol w:w="1084"/>
        <w:gridCol w:w="1371"/>
        <w:gridCol w:w="1471"/>
        <w:gridCol w:w="1372"/>
        <w:gridCol w:w="958"/>
        <w:gridCol w:w="893"/>
        <w:gridCol w:w="1477"/>
      </w:tblGrid>
      <w:tr w:rsidR="00893030" w:rsidRPr="00893030" w14:paraId="5D7934AE" w14:textId="77777777" w:rsidTr="00876177">
        <w:trPr>
          <w:trHeight w:val="324"/>
          <w:jc w:val="center"/>
        </w:trPr>
        <w:tc>
          <w:tcPr>
            <w:tcW w:w="9600"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6D110AA" w14:textId="77777777" w:rsidR="00893030" w:rsidRPr="00893030" w:rsidRDefault="00893030" w:rsidP="00893030">
            <w:pPr>
              <w:jc w:val="center"/>
              <w:rPr>
                <w:rFonts w:ascii="Calibri" w:hAnsi="Calibri" w:cs="Calibri"/>
                <w:b/>
                <w:bCs/>
                <w:color w:val="000000"/>
                <w:szCs w:val="24"/>
              </w:rPr>
            </w:pPr>
            <w:r w:rsidRPr="00893030">
              <w:rPr>
                <w:rFonts w:ascii="Calibri" w:hAnsi="Calibri" w:cs="Calibri"/>
                <w:b/>
                <w:bCs/>
                <w:color w:val="000000"/>
                <w:szCs w:val="24"/>
              </w:rPr>
              <w:t>Table 3.1-2; Company Reporting of % Complete</w:t>
            </w:r>
          </w:p>
        </w:tc>
      </w:tr>
      <w:tr w:rsidR="00893030" w:rsidRPr="00893030" w14:paraId="62B7DC51" w14:textId="77777777" w:rsidTr="00876177">
        <w:trPr>
          <w:trHeight w:val="624"/>
          <w:jc w:val="center"/>
        </w:trPr>
        <w:tc>
          <w:tcPr>
            <w:tcW w:w="2236" w:type="dxa"/>
            <w:gridSpan w:val="2"/>
            <w:tcBorders>
              <w:top w:val="single" w:sz="8" w:space="0" w:color="auto"/>
              <w:left w:val="single" w:sz="8" w:space="0" w:color="auto"/>
              <w:bottom w:val="single" w:sz="8" w:space="0" w:color="auto"/>
              <w:right w:val="single" w:sz="8" w:space="0" w:color="000000"/>
            </w:tcBorders>
            <w:shd w:val="clear" w:color="000000" w:fill="FFF2CC"/>
            <w:noWrap/>
            <w:vAlign w:val="center"/>
            <w:hideMark/>
          </w:tcPr>
          <w:p w14:paraId="0DE6D8C5"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 xml:space="preserve">Data Sources; </w:t>
            </w:r>
            <w:proofErr w:type="spellStart"/>
            <w:r w:rsidRPr="00893030">
              <w:rPr>
                <w:rFonts w:ascii="Calibri" w:hAnsi="Calibri" w:cs="Calibri"/>
                <w:color w:val="000000"/>
                <w:szCs w:val="24"/>
              </w:rPr>
              <w:t>VPMB</w:t>
            </w:r>
            <w:proofErr w:type="spellEnd"/>
          </w:p>
        </w:tc>
        <w:tc>
          <w:tcPr>
            <w:tcW w:w="4036" w:type="dxa"/>
            <w:gridSpan w:val="3"/>
            <w:tcBorders>
              <w:top w:val="single" w:sz="8" w:space="0" w:color="auto"/>
              <w:left w:val="nil"/>
              <w:bottom w:val="single" w:sz="8" w:space="0" w:color="auto"/>
              <w:right w:val="single" w:sz="8" w:space="0" w:color="000000"/>
            </w:tcBorders>
            <w:shd w:val="clear" w:color="000000" w:fill="FFF2CC"/>
            <w:noWrap/>
            <w:vAlign w:val="center"/>
            <w:hideMark/>
          </w:tcPr>
          <w:p w14:paraId="6C16C412"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Reported Percent Complete</w:t>
            </w:r>
          </w:p>
        </w:tc>
        <w:tc>
          <w:tcPr>
            <w:tcW w:w="958"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06CE3D2"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 xml:space="preserve">Co </w:t>
            </w:r>
            <w:proofErr w:type="spellStart"/>
            <w:r w:rsidRPr="00893030">
              <w:rPr>
                <w:rFonts w:ascii="Calibri" w:hAnsi="Calibri" w:cs="Calibri"/>
                <w:color w:val="000000"/>
                <w:szCs w:val="24"/>
              </w:rPr>
              <w:t>Fcst</w:t>
            </w:r>
            <w:proofErr w:type="spellEnd"/>
            <w:r w:rsidRPr="00893030">
              <w:rPr>
                <w:rFonts w:ascii="Calibri" w:hAnsi="Calibri" w:cs="Calibri"/>
                <w:color w:val="000000"/>
                <w:szCs w:val="24"/>
              </w:rPr>
              <w:t xml:space="preserve"> TPC/ </w:t>
            </w:r>
            <w:proofErr w:type="spellStart"/>
            <w:r w:rsidRPr="00893030">
              <w:rPr>
                <w:rFonts w:ascii="Calibri" w:hAnsi="Calibri" w:cs="Calibri"/>
                <w:color w:val="000000"/>
                <w:szCs w:val="24"/>
              </w:rPr>
              <w:t>EAC</w:t>
            </w:r>
            <w:proofErr w:type="spellEnd"/>
          </w:p>
        </w:tc>
        <w:tc>
          <w:tcPr>
            <w:tcW w:w="2370" w:type="dxa"/>
            <w:gridSpan w:val="2"/>
            <w:tcBorders>
              <w:top w:val="single" w:sz="8" w:space="0" w:color="auto"/>
              <w:left w:val="nil"/>
              <w:bottom w:val="single" w:sz="8" w:space="0" w:color="auto"/>
              <w:right w:val="single" w:sz="8" w:space="0" w:color="000000"/>
            </w:tcBorders>
            <w:shd w:val="clear" w:color="000000" w:fill="FFF2CC"/>
            <w:vAlign w:val="center"/>
            <w:hideMark/>
          </w:tcPr>
          <w:p w14:paraId="2C6CBDBE"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Company ETC Forecast</w:t>
            </w:r>
          </w:p>
        </w:tc>
      </w:tr>
      <w:tr w:rsidR="00893030" w:rsidRPr="00893030" w14:paraId="179393A5" w14:textId="77777777" w:rsidTr="00876177">
        <w:trPr>
          <w:trHeight w:val="324"/>
          <w:jc w:val="center"/>
        </w:trPr>
        <w:tc>
          <w:tcPr>
            <w:tcW w:w="1152" w:type="dxa"/>
            <w:tcBorders>
              <w:top w:val="nil"/>
              <w:left w:val="single" w:sz="8" w:space="0" w:color="auto"/>
              <w:bottom w:val="single" w:sz="8" w:space="0" w:color="auto"/>
              <w:right w:val="single" w:sz="8" w:space="0" w:color="auto"/>
            </w:tcBorders>
            <w:shd w:val="clear" w:color="000000" w:fill="FFF2CC"/>
            <w:noWrap/>
            <w:vAlign w:val="center"/>
            <w:hideMark/>
          </w:tcPr>
          <w:p w14:paraId="428BF567"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Dated</w:t>
            </w:r>
          </w:p>
        </w:tc>
        <w:tc>
          <w:tcPr>
            <w:tcW w:w="1084" w:type="dxa"/>
            <w:tcBorders>
              <w:top w:val="nil"/>
              <w:left w:val="nil"/>
              <w:bottom w:val="single" w:sz="8" w:space="0" w:color="auto"/>
              <w:right w:val="single" w:sz="8" w:space="0" w:color="auto"/>
            </w:tcBorders>
            <w:shd w:val="clear" w:color="000000" w:fill="FFF2CC"/>
            <w:noWrap/>
            <w:vAlign w:val="center"/>
            <w:hideMark/>
          </w:tcPr>
          <w:p w14:paraId="0E52526D"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Data Date</w:t>
            </w:r>
          </w:p>
        </w:tc>
        <w:tc>
          <w:tcPr>
            <w:tcW w:w="1278" w:type="dxa"/>
            <w:tcBorders>
              <w:top w:val="nil"/>
              <w:left w:val="nil"/>
              <w:bottom w:val="single" w:sz="8" w:space="0" w:color="auto"/>
              <w:right w:val="single" w:sz="8" w:space="0" w:color="auto"/>
            </w:tcBorders>
            <w:shd w:val="clear" w:color="000000" w:fill="FFF2CC"/>
            <w:noWrap/>
            <w:vAlign w:val="center"/>
            <w:hideMark/>
          </w:tcPr>
          <w:p w14:paraId="0730E98E" w14:textId="77777777" w:rsidR="00893030" w:rsidRPr="00893030" w:rsidRDefault="00893030" w:rsidP="00893030">
            <w:pPr>
              <w:rPr>
                <w:rFonts w:ascii="Calibri" w:hAnsi="Calibri" w:cs="Calibri"/>
                <w:color w:val="000000"/>
                <w:szCs w:val="24"/>
              </w:rPr>
            </w:pPr>
            <w:r w:rsidRPr="00893030">
              <w:rPr>
                <w:rFonts w:ascii="Calibri" w:hAnsi="Calibri" w:cs="Calibri"/>
                <w:color w:val="000000"/>
                <w:szCs w:val="24"/>
              </w:rPr>
              <w:t>Engineering</w:t>
            </w:r>
          </w:p>
        </w:tc>
        <w:tc>
          <w:tcPr>
            <w:tcW w:w="1386" w:type="dxa"/>
            <w:tcBorders>
              <w:top w:val="nil"/>
              <w:left w:val="nil"/>
              <w:bottom w:val="single" w:sz="8" w:space="0" w:color="auto"/>
              <w:right w:val="single" w:sz="8" w:space="0" w:color="auto"/>
            </w:tcBorders>
            <w:shd w:val="clear" w:color="000000" w:fill="FFF2CC"/>
            <w:noWrap/>
            <w:vAlign w:val="center"/>
            <w:hideMark/>
          </w:tcPr>
          <w:p w14:paraId="7A7CAAC6" w14:textId="77777777" w:rsidR="00893030" w:rsidRPr="00893030" w:rsidRDefault="00893030" w:rsidP="00893030">
            <w:pPr>
              <w:rPr>
                <w:rFonts w:ascii="Calibri" w:hAnsi="Calibri" w:cs="Calibri"/>
                <w:color w:val="000000"/>
                <w:szCs w:val="24"/>
              </w:rPr>
            </w:pPr>
            <w:r w:rsidRPr="00893030">
              <w:rPr>
                <w:rFonts w:ascii="Calibri" w:hAnsi="Calibri" w:cs="Calibri"/>
                <w:color w:val="000000"/>
                <w:szCs w:val="24"/>
              </w:rPr>
              <w:t>Construction</w:t>
            </w:r>
          </w:p>
        </w:tc>
        <w:tc>
          <w:tcPr>
            <w:tcW w:w="1372" w:type="dxa"/>
            <w:tcBorders>
              <w:top w:val="nil"/>
              <w:left w:val="nil"/>
              <w:bottom w:val="single" w:sz="8" w:space="0" w:color="auto"/>
              <w:right w:val="single" w:sz="8" w:space="0" w:color="auto"/>
            </w:tcBorders>
            <w:shd w:val="clear" w:color="000000" w:fill="FFF2CC"/>
            <w:noWrap/>
            <w:vAlign w:val="center"/>
            <w:hideMark/>
          </w:tcPr>
          <w:p w14:paraId="1BB064FE"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Total Project</w:t>
            </w:r>
          </w:p>
        </w:tc>
        <w:tc>
          <w:tcPr>
            <w:tcW w:w="958" w:type="dxa"/>
            <w:vMerge/>
            <w:tcBorders>
              <w:top w:val="nil"/>
              <w:left w:val="single" w:sz="8" w:space="0" w:color="auto"/>
              <w:bottom w:val="single" w:sz="8" w:space="0" w:color="000000"/>
              <w:right w:val="single" w:sz="8" w:space="0" w:color="auto"/>
            </w:tcBorders>
            <w:vAlign w:val="center"/>
            <w:hideMark/>
          </w:tcPr>
          <w:p w14:paraId="591F2FE0" w14:textId="77777777" w:rsidR="00893030" w:rsidRPr="00893030" w:rsidRDefault="00893030" w:rsidP="00893030">
            <w:pPr>
              <w:rPr>
                <w:rFonts w:ascii="Calibri" w:hAnsi="Calibri" w:cs="Calibri"/>
                <w:color w:val="000000"/>
                <w:szCs w:val="24"/>
              </w:rPr>
            </w:pPr>
          </w:p>
        </w:tc>
        <w:tc>
          <w:tcPr>
            <w:tcW w:w="893" w:type="dxa"/>
            <w:tcBorders>
              <w:top w:val="nil"/>
              <w:left w:val="nil"/>
              <w:bottom w:val="single" w:sz="8" w:space="0" w:color="auto"/>
              <w:right w:val="single" w:sz="8" w:space="0" w:color="auto"/>
            </w:tcBorders>
            <w:shd w:val="clear" w:color="000000" w:fill="FFF2CC"/>
            <w:vAlign w:val="center"/>
            <w:hideMark/>
          </w:tcPr>
          <w:p w14:paraId="1C7C88C8"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 's</w:t>
            </w:r>
          </w:p>
        </w:tc>
        <w:tc>
          <w:tcPr>
            <w:tcW w:w="1477" w:type="dxa"/>
            <w:tcBorders>
              <w:top w:val="nil"/>
              <w:left w:val="nil"/>
              <w:bottom w:val="single" w:sz="8" w:space="0" w:color="auto"/>
              <w:right w:val="single" w:sz="8" w:space="0" w:color="auto"/>
            </w:tcBorders>
            <w:shd w:val="clear" w:color="000000" w:fill="FFF2CC"/>
            <w:noWrap/>
            <w:vAlign w:val="center"/>
            <w:hideMark/>
          </w:tcPr>
          <w:p w14:paraId="7098236A"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Fm __to end</w:t>
            </w:r>
          </w:p>
        </w:tc>
      </w:tr>
      <w:tr w:rsidR="00893030" w:rsidRPr="00893030" w14:paraId="15F48BA2" w14:textId="77777777" w:rsidTr="00876177">
        <w:trPr>
          <w:trHeight w:val="324"/>
          <w:jc w:val="center"/>
        </w:trPr>
        <w:tc>
          <w:tcPr>
            <w:tcW w:w="1152" w:type="dxa"/>
            <w:tcBorders>
              <w:top w:val="nil"/>
              <w:left w:val="single" w:sz="8" w:space="0" w:color="auto"/>
              <w:bottom w:val="single" w:sz="8" w:space="0" w:color="auto"/>
              <w:right w:val="single" w:sz="8" w:space="0" w:color="auto"/>
            </w:tcBorders>
            <w:shd w:val="clear" w:color="auto" w:fill="auto"/>
            <w:noWrap/>
            <w:vAlign w:val="center"/>
            <w:hideMark/>
          </w:tcPr>
          <w:p w14:paraId="1393D76B"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24-Feb-21</w:t>
            </w:r>
          </w:p>
        </w:tc>
        <w:tc>
          <w:tcPr>
            <w:tcW w:w="1084" w:type="dxa"/>
            <w:tcBorders>
              <w:top w:val="nil"/>
              <w:left w:val="nil"/>
              <w:bottom w:val="single" w:sz="8" w:space="0" w:color="auto"/>
              <w:right w:val="single" w:sz="8" w:space="0" w:color="auto"/>
            </w:tcBorders>
            <w:shd w:val="clear" w:color="auto" w:fill="auto"/>
            <w:noWrap/>
            <w:vAlign w:val="center"/>
            <w:hideMark/>
          </w:tcPr>
          <w:p w14:paraId="29BBD95F"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Jan-21</w:t>
            </w:r>
          </w:p>
        </w:tc>
        <w:tc>
          <w:tcPr>
            <w:tcW w:w="1278" w:type="dxa"/>
            <w:tcBorders>
              <w:top w:val="nil"/>
              <w:left w:val="nil"/>
              <w:bottom w:val="single" w:sz="8" w:space="0" w:color="auto"/>
              <w:right w:val="single" w:sz="8" w:space="0" w:color="auto"/>
            </w:tcBorders>
            <w:shd w:val="clear" w:color="auto" w:fill="auto"/>
            <w:noWrap/>
            <w:vAlign w:val="center"/>
            <w:hideMark/>
          </w:tcPr>
          <w:p w14:paraId="268EDF84"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100%</w:t>
            </w:r>
          </w:p>
        </w:tc>
        <w:tc>
          <w:tcPr>
            <w:tcW w:w="1386" w:type="dxa"/>
            <w:tcBorders>
              <w:top w:val="nil"/>
              <w:left w:val="nil"/>
              <w:bottom w:val="single" w:sz="8" w:space="0" w:color="auto"/>
              <w:right w:val="single" w:sz="8" w:space="0" w:color="auto"/>
            </w:tcBorders>
            <w:shd w:val="clear" w:color="auto" w:fill="auto"/>
            <w:noWrap/>
            <w:vAlign w:val="center"/>
            <w:hideMark/>
          </w:tcPr>
          <w:p w14:paraId="522181CD"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89.60%</w:t>
            </w:r>
          </w:p>
        </w:tc>
        <w:tc>
          <w:tcPr>
            <w:tcW w:w="1372" w:type="dxa"/>
            <w:tcBorders>
              <w:top w:val="nil"/>
              <w:left w:val="nil"/>
              <w:bottom w:val="single" w:sz="8" w:space="0" w:color="auto"/>
              <w:right w:val="single" w:sz="8" w:space="0" w:color="auto"/>
            </w:tcBorders>
            <w:shd w:val="clear" w:color="auto" w:fill="auto"/>
            <w:noWrap/>
            <w:vAlign w:val="center"/>
            <w:hideMark/>
          </w:tcPr>
          <w:p w14:paraId="6A7D6DD0"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90.90%</w:t>
            </w:r>
          </w:p>
        </w:tc>
        <w:tc>
          <w:tcPr>
            <w:tcW w:w="958" w:type="dxa"/>
            <w:tcBorders>
              <w:top w:val="nil"/>
              <w:left w:val="nil"/>
              <w:bottom w:val="single" w:sz="8" w:space="0" w:color="auto"/>
              <w:right w:val="single" w:sz="8" w:space="0" w:color="auto"/>
            </w:tcBorders>
            <w:shd w:val="clear" w:color="auto" w:fill="auto"/>
            <w:noWrap/>
            <w:vAlign w:val="center"/>
            <w:hideMark/>
          </w:tcPr>
          <w:p w14:paraId="68EAA452"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$ 17.8 B</w:t>
            </w:r>
          </w:p>
        </w:tc>
        <w:tc>
          <w:tcPr>
            <w:tcW w:w="893" w:type="dxa"/>
            <w:tcBorders>
              <w:top w:val="nil"/>
              <w:left w:val="nil"/>
              <w:bottom w:val="single" w:sz="8" w:space="0" w:color="auto"/>
              <w:right w:val="single" w:sz="8" w:space="0" w:color="auto"/>
            </w:tcBorders>
            <w:shd w:val="clear" w:color="auto" w:fill="auto"/>
            <w:noWrap/>
            <w:vAlign w:val="center"/>
            <w:hideMark/>
          </w:tcPr>
          <w:p w14:paraId="0CAEBCE0"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$ 2.7 B</w:t>
            </w:r>
          </w:p>
        </w:tc>
        <w:tc>
          <w:tcPr>
            <w:tcW w:w="1477" w:type="dxa"/>
            <w:tcBorders>
              <w:top w:val="nil"/>
              <w:left w:val="nil"/>
              <w:bottom w:val="single" w:sz="8" w:space="0" w:color="auto"/>
              <w:right w:val="single" w:sz="8" w:space="0" w:color="auto"/>
            </w:tcBorders>
            <w:shd w:val="clear" w:color="auto" w:fill="auto"/>
            <w:noWrap/>
            <w:vAlign w:val="center"/>
            <w:hideMark/>
          </w:tcPr>
          <w:p w14:paraId="2690A41C"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Feb-21</w:t>
            </w:r>
          </w:p>
        </w:tc>
      </w:tr>
      <w:tr w:rsidR="00893030" w:rsidRPr="00893030" w14:paraId="07B066B9" w14:textId="77777777" w:rsidTr="00876177">
        <w:trPr>
          <w:trHeight w:val="324"/>
          <w:jc w:val="center"/>
        </w:trPr>
        <w:tc>
          <w:tcPr>
            <w:tcW w:w="1152" w:type="dxa"/>
            <w:tcBorders>
              <w:top w:val="nil"/>
              <w:left w:val="single" w:sz="8" w:space="0" w:color="auto"/>
              <w:bottom w:val="single" w:sz="8" w:space="0" w:color="auto"/>
              <w:right w:val="single" w:sz="8" w:space="0" w:color="auto"/>
            </w:tcBorders>
            <w:shd w:val="clear" w:color="auto" w:fill="auto"/>
            <w:noWrap/>
            <w:vAlign w:val="center"/>
            <w:hideMark/>
          </w:tcPr>
          <w:p w14:paraId="619D87F0"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31-Mar-22</w:t>
            </w:r>
          </w:p>
        </w:tc>
        <w:tc>
          <w:tcPr>
            <w:tcW w:w="1084" w:type="dxa"/>
            <w:tcBorders>
              <w:top w:val="nil"/>
              <w:left w:val="nil"/>
              <w:bottom w:val="single" w:sz="8" w:space="0" w:color="auto"/>
              <w:right w:val="single" w:sz="8" w:space="0" w:color="auto"/>
            </w:tcBorders>
            <w:shd w:val="clear" w:color="auto" w:fill="auto"/>
            <w:noWrap/>
            <w:vAlign w:val="center"/>
            <w:hideMark/>
          </w:tcPr>
          <w:p w14:paraId="7374E3F7"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Jan-22</w:t>
            </w:r>
          </w:p>
        </w:tc>
        <w:tc>
          <w:tcPr>
            <w:tcW w:w="1278" w:type="dxa"/>
            <w:tcBorders>
              <w:top w:val="nil"/>
              <w:left w:val="nil"/>
              <w:bottom w:val="single" w:sz="8" w:space="0" w:color="auto"/>
              <w:right w:val="single" w:sz="8" w:space="0" w:color="auto"/>
            </w:tcBorders>
            <w:shd w:val="clear" w:color="auto" w:fill="auto"/>
            <w:noWrap/>
            <w:vAlign w:val="center"/>
            <w:hideMark/>
          </w:tcPr>
          <w:p w14:paraId="665A7C81"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100%</w:t>
            </w:r>
          </w:p>
        </w:tc>
        <w:tc>
          <w:tcPr>
            <w:tcW w:w="1386" w:type="dxa"/>
            <w:tcBorders>
              <w:top w:val="nil"/>
              <w:left w:val="nil"/>
              <w:bottom w:val="single" w:sz="8" w:space="0" w:color="auto"/>
              <w:right w:val="single" w:sz="8" w:space="0" w:color="auto"/>
            </w:tcBorders>
            <w:shd w:val="clear" w:color="auto" w:fill="auto"/>
            <w:noWrap/>
            <w:vAlign w:val="center"/>
            <w:hideMark/>
          </w:tcPr>
          <w:p w14:paraId="386751C8"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96.90%</w:t>
            </w:r>
          </w:p>
        </w:tc>
        <w:tc>
          <w:tcPr>
            <w:tcW w:w="1372" w:type="dxa"/>
            <w:tcBorders>
              <w:top w:val="nil"/>
              <w:left w:val="nil"/>
              <w:bottom w:val="single" w:sz="8" w:space="0" w:color="auto"/>
              <w:right w:val="single" w:sz="8" w:space="0" w:color="auto"/>
            </w:tcBorders>
            <w:shd w:val="clear" w:color="auto" w:fill="auto"/>
            <w:noWrap/>
            <w:vAlign w:val="center"/>
            <w:hideMark/>
          </w:tcPr>
          <w:p w14:paraId="6EB9353A"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96.10%</w:t>
            </w:r>
          </w:p>
        </w:tc>
        <w:tc>
          <w:tcPr>
            <w:tcW w:w="958" w:type="dxa"/>
            <w:tcBorders>
              <w:top w:val="nil"/>
              <w:left w:val="nil"/>
              <w:bottom w:val="single" w:sz="8" w:space="0" w:color="auto"/>
              <w:right w:val="single" w:sz="8" w:space="0" w:color="auto"/>
            </w:tcBorders>
            <w:shd w:val="clear" w:color="auto" w:fill="auto"/>
            <w:noWrap/>
            <w:vAlign w:val="center"/>
            <w:hideMark/>
          </w:tcPr>
          <w:p w14:paraId="523BEE87"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$ 20.5 B</w:t>
            </w:r>
          </w:p>
        </w:tc>
        <w:tc>
          <w:tcPr>
            <w:tcW w:w="893" w:type="dxa"/>
            <w:tcBorders>
              <w:top w:val="nil"/>
              <w:left w:val="nil"/>
              <w:bottom w:val="single" w:sz="8" w:space="0" w:color="auto"/>
              <w:right w:val="single" w:sz="8" w:space="0" w:color="auto"/>
            </w:tcBorders>
            <w:shd w:val="clear" w:color="auto" w:fill="auto"/>
            <w:noWrap/>
            <w:vAlign w:val="center"/>
            <w:hideMark/>
          </w:tcPr>
          <w:p w14:paraId="603A7FA4"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$ 2.7 B</w:t>
            </w:r>
          </w:p>
        </w:tc>
        <w:tc>
          <w:tcPr>
            <w:tcW w:w="1477" w:type="dxa"/>
            <w:tcBorders>
              <w:top w:val="nil"/>
              <w:left w:val="nil"/>
              <w:bottom w:val="single" w:sz="8" w:space="0" w:color="auto"/>
              <w:right w:val="single" w:sz="8" w:space="0" w:color="auto"/>
            </w:tcBorders>
            <w:shd w:val="clear" w:color="auto" w:fill="auto"/>
            <w:noWrap/>
            <w:vAlign w:val="center"/>
            <w:hideMark/>
          </w:tcPr>
          <w:p w14:paraId="3F3FA52C" w14:textId="77777777" w:rsidR="00893030" w:rsidRPr="00893030" w:rsidRDefault="00893030" w:rsidP="00893030">
            <w:pPr>
              <w:jc w:val="center"/>
              <w:rPr>
                <w:rFonts w:ascii="Calibri" w:hAnsi="Calibri" w:cs="Calibri"/>
                <w:color w:val="000000"/>
                <w:szCs w:val="24"/>
              </w:rPr>
            </w:pPr>
            <w:r w:rsidRPr="00893030">
              <w:rPr>
                <w:rFonts w:ascii="Calibri" w:hAnsi="Calibri" w:cs="Calibri"/>
                <w:color w:val="000000"/>
                <w:szCs w:val="24"/>
              </w:rPr>
              <w:t>Feb-22</w:t>
            </w:r>
          </w:p>
        </w:tc>
      </w:tr>
      <w:tr w:rsidR="00893030" w:rsidRPr="00893030" w14:paraId="59026DDB" w14:textId="77777777" w:rsidTr="00876177">
        <w:trPr>
          <w:trHeight w:val="936"/>
          <w:jc w:val="center"/>
        </w:trPr>
        <w:tc>
          <w:tcPr>
            <w:tcW w:w="960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561839A" w14:textId="77777777" w:rsidR="00893030" w:rsidRPr="00893030" w:rsidRDefault="00893030" w:rsidP="00893030">
            <w:pPr>
              <w:jc w:val="center"/>
              <w:rPr>
                <w:rFonts w:ascii="Calibri" w:hAnsi="Calibri" w:cs="Calibri"/>
                <w:b/>
                <w:bCs/>
                <w:color w:val="000000"/>
                <w:szCs w:val="24"/>
              </w:rPr>
            </w:pPr>
            <w:r w:rsidRPr="00893030">
              <w:rPr>
                <w:rFonts w:ascii="Calibri" w:hAnsi="Calibri" w:cs="Calibri"/>
                <w:b/>
                <w:bCs/>
                <w:color w:val="000000"/>
                <w:szCs w:val="24"/>
              </w:rPr>
              <w:t>Continued spending (roughly $ 2.4 billion) and no concurrent decrease in the Estimate to Complete (i.e., no progress), yet the reported Total Project % Complete Increased dramatically.</w:t>
            </w:r>
          </w:p>
        </w:tc>
      </w:tr>
    </w:tbl>
    <w:p w14:paraId="630CE168" w14:textId="77777777" w:rsidR="00B80AFC" w:rsidRDefault="00B80AFC" w:rsidP="002E03EB">
      <w:pPr>
        <w:jc w:val="center"/>
        <w:rPr>
          <w:b/>
          <w:szCs w:val="24"/>
          <w:highlight w:val="yellow"/>
        </w:rPr>
      </w:pPr>
    </w:p>
    <w:p w14:paraId="09C50AB5" w14:textId="77777777" w:rsidR="00E64D19" w:rsidRDefault="00E64D19" w:rsidP="00E64D19">
      <w:pPr>
        <w:widowControl w:val="0"/>
        <w:autoSpaceDE w:val="0"/>
        <w:autoSpaceDN w:val="0"/>
        <w:jc w:val="both"/>
        <w:rPr>
          <w:rFonts w:eastAsia="Arial"/>
        </w:rPr>
      </w:pPr>
      <w:r>
        <w:rPr>
          <w:rFonts w:eastAsia="Arial"/>
        </w:rPr>
        <w:t xml:space="preserve">Risk and Contingencies are discussed later in this section, but some discussion related to what has just been presented is warranted at this point and follows.  </w:t>
      </w:r>
    </w:p>
    <w:p w14:paraId="67387A66" w14:textId="77777777" w:rsidR="00E64D19" w:rsidRDefault="00E64D19" w:rsidP="00E64D19">
      <w:pPr>
        <w:widowControl w:val="0"/>
        <w:autoSpaceDE w:val="0"/>
        <w:autoSpaceDN w:val="0"/>
        <w:jc w:val="both"/>
        <w:rPr>
          <w:rFonts w:eastAsia="Arial"/>
        </w:rPr>
      </w:pPr>
    </w:p>
    <w:p w14:paraId="7CBC812E" w14:textId="5557810F" w:rsidR="00E64D19" w:rsidRPr="00A13AD1" w:rsidRDefault="005A404C" w:rsidP="00E64D19">
      <w:pPr>
        <w:widowControl w:val="0"/>
        <w:autoSpaceDE w:val="0"/>
        <w:autoSpaceDN w:val="0"/>
        <w:jc w:val="both"/>
        <w:rPr>
          <w:rFonts w:eastAsia="Arial"/>
        </w:rPr>
      </w:pPr>
      <w:r>
        <w:rPr>
          <w:rFonts w:eastAsia="Arial"/>
        </w:rPr>
        <w:t>As</w:t>
      </w:r>
      <w:r w:rsidR="00E64D19" w:rsidRPr="00A13AD1">
        <w:rPr>
          <w:rFonts w:eastAsia="Arial"/>
        </w:rPr>
        <w:t xml:space="preserve"> actual costs continued to grow and exceed planned costs, on an </w:t>
      </w:r>
      <w:proofErr w:type="gramStart"/>
      <w:r w:rsidR="00E64D19" w:rsidRPr="00A13AD1">
        <w:rPr>
          <w:rFonts w:eastAsia="Arial"/>
        </w:rPr>
        <w:t>after the fact</w:t>
      </w:r>
      <w:proofErr w:type="gramEnd"/>
      <w:r w:rsidR="00E64D19" w:rsidRPr="00A13AD1">
        <w:rPr>
          <w:rFonts w:eastAsia="Arial"/>
        </w:rPr>
        <w:t xml:space="preserve"> basis funds were simply taken out of </w:t>
      </w:r>
      <w:r w:rsidR="006A7925">
        <w:rPr>
          <w:rFonts w:eastAsia="Arial"/>
        </w:rPr>
        <w:t xml:space="preserve">unallocated </w:t>
      </w:r>
      <w:r w:rsidR="00E64D19" w:rsidRPr="00A13AD1">
        <w:rPr>
          <w:rFonts w:eastAsia="Arial"/>
        </w:rPr>
        <w:t>contingency and added to the existing budgets</w:t>
      </w:r>
      <w:r w:rsidR="006A7925">
        <w:rPr>
          <w:rFonts w:eastAsia="Arial"/>
        </w:rPr>
        <w:t xml:space="preserve"> </w:t>
      </w:r>
      <w:r w:rsidR="005D69DB">
        <w:rPr>
          <w:rFonts w:eastAsia="Arial"/>
        </w:rPr>
        <w:t>and</w:t>
      </w:r>
      <w:r w:rsidR="00E64D19" w:rsidRPr="00A13AD1">
        <w:rPr>
          <w:rFonts w:eastAsia="Arial"/>
        </w:rPr>
        <w:t xml:space="preserve"> </w:t>
      </w:r>
      <w:r w:rsidR="005D69DB">
        <w:rPr>
          <w:rFonts w:eastAsia="Arial"/>
        </w:rPr>
        <w:t>as</w:t>
      </w:r>
      <w:r w:rsidR="006A7925" w:rsidRPr="00A13AD1">
        <w:rPr>
          <w:rFonts w:eastAsia="Arial"/>
        </w:rPr>
        <w:t xml:space="preserve"> </w:t>
      </w:r>
      <w:r w:rsidR="00E64D19" w:rsidRPr="00A13AD1">
        <w:rPr>
          <w:rFonts w:eastAsia="Arial"/>
        </w:rPr>
        <w:t xml:space="preserve">contingency was drawn down it was periodically restored.  In a disciplined project controls system, contingency is only to be used for “added scope” and budgeted before it is spent, and actuals are then tracked on a pro-active (versus after the fact) basis.  Within the same actual Project scenario, as it was discovered that planned work was not complete (yet credit had already been taken for its completion), this led to “emergent corrective work” which instead of being charged to the originally budgeted scope was funded and charged separately thus causing Project Controls to report inaccurate information. and limit their ability to accurately forecast work to complete. With this method, the reasons for the past variances tend to be masked simply because there is an ever-increasing supply of contingency to cover past errors. As contingency approached zero the Project simply increased the TPC </w:t>
      </w:r>
      <w:proofErr w:type="spellStart"/>
      <w:r w:rsidR="00E64D19" w:rsidRPr="00A13AD1">
        <w:rPr>
          <w:rFonts w:eastAsia="Arial"/>
        </w:rPr>
        <w:t>EAC</w:t>
      </w:r>
      <w:proofErr w:type="spellEnd"/>
      <w:r w:rsidR="00E64D19" w:rsidRPr="00A13AD1">
        <w:rPr>
          <w:rFonts w:eastAsia="Arial"/>
        </w:rPr>
        <w:t xml:space="preserve"> by adding more money into contingency and the cycle kept repeating.</w:t>
      </w:r>
      <w:r w:rsidR="00E64D19">
        <w:rPr>
          <w:rStyle w:val="FootnoteReference"/>
          <w:rFonts w:eastAsia="Arial"/>
        </w:rPr>
        <w:footnoteReference w:id="19"/>
      </w:r>
    </w:p>
    <w:p w14:paraId="66B4B1A7" w14:textId="77777777" w:rsidR="00E64D19" w:rsidRDefault="00E64D19" w:rsidP="00E64D19"/>
    <w:p w14:paraId="3D103BE5" w14:textId="7E900578" w:rsidR="00E64D19" w:rsidRDefault="00E64D19" w:rsidP="00E64D19">
      <w:pPr>
        <w:jc w:val="both"/>
      </w:pPr>
      <w:r>
        <w:rPr>
          <w:b/>
          <w:bCs/>
        </w:rPr>
        <w:lastRenderedPageBreak/>
        <w:t xml:space="preserve">3.2  Deficiencies of the April 2019 Baseline; Assumed Bases of Estimate:  </w:t>
      </w:r>
      <w:r w:rsidRPr="00941501">
        <w:t>The main purposes of a new project baseline are to (a) establish a</w:t>
      </w:r>
      <w:r>
        <w:t xml:space="preserve">n improved/ informed </w:t>
      </w:r>
      <w:r w:rsidRPr="00941501">
        <w:t xml:space="preserve">plan for executing the remainder of the project scope, (b) establish a </w:t>
      </w:r>
      <w:r>
        <w:t xml:space="preserve">reliable </w:t>
      </w:r>
      <w:r w:rsidRPr="00941501">
        <w:t xml:space="preserve">basis for reporting on the progress of the </w:t>
      </w:r>
      <w:r>
        <w:t xml:space="preserve">remaining </w:t>
      </w:r>
      <w:r w:rsidRPr="00941501">
        <w:t>work, and (c) based on variances against the plan</w:t>
      </w:r>
      <w:r>
        <w:t>, for the remaining work</w:t>
      </w:r>
      <w:r w:rsidRPr="00941501">
        <w:t xml:space="preserve"> identify areas for possible improvement, and </w:t>
      </w:r>
      <w:r>
        <w:t xml:space="preserve">provide updated </w:t>
      </w:r>
      <w:r w:rsidRPr="00941501">
        <w:t>forecast</w:t>
      </w:r>
      <w:r>
        <w:t>s of</w:t>
      </w:r>
      <w:r w:rsidRPr="00941501">
        <w:t xml:space="preserve"> a Total Project Estimate at </w:t>
      </w:r>
      <w:r>
        <w:t xml:space="preserve">both </w:t>
      </w:r>
      <w:r w:rsidRPr="00941501">
        <w:t xml:space="preserve">Completion (TPC </w:t>
      </w:r>
      <w:proofErr w:type="spellStart"/>
      <w:r w:rsidRPr="00941501">
        <w:t>EAC</w:t>
      </w:r>
      <w:proofErr w:type="spellEnd"/>
      <w:r w:rsidRPr="00941501">
        <w:t>) and project completion date.</w:t>
      </w:r>
      <w:r>
        <w:rPr>
          <w:rStyle w:val="FootnoteReference"/>
        </w:rPr>
        <w:footnoteReference w:id="20"/>
      </w:r>
      <w:r>
        <w:t xml:space="preserve">  Also, when establishing a new baseline of such critical importance as the April 2019 baseline, all past variances are to be eliminated by taking the </w:t>
      </w:r>
      <w:proofErr w:type="spellStart"/>
      <w:r>
        <w:t>ACWP</w:t>
      </w:r>
      <w:proofErr w:type="spellEnd"/>
      <w:r>
        <w:t xml:space="preserve"> and setting both the </w:t>
      </w:r>
      <w:proofErr w:type="spellStart"/>
      <w:r>
        <w:t>BCWP</w:t>
      </w:r>
      <w:proofErr w:type="spellEnd"/>
      <w:r>
        <w:t xml:space="preserve"> and the </w:t>
      </w:r>
      <w:proofErr w:type="spellStart"/>
      <w:r>
        <w:t>BCWS</w:t>
      </w:r>
      <w:proofErr w:type="spellEnd"/>
      <w:r>
        <w:t xml:space="preserve"> to this same value (see footnote 19).  This then eliminates past variances and provides the opportunity to revisit and update the bases of estimates (now that the state of the engineering is over 70% complete and is at a relatively mature state, and achievable/ realistic production rates are known) to reflect a more realistic plan going forward that is no longer encumbered by past deficient planning assumptions.</w:t>
      </w:r>
    </w:p>
    <w:p w14:paraId="32D68D12" w14:textId="77777777" w:rsidR="00E64D19" w:rsidRDefault="00E64D19" w:rsidP="00E64D19"/>
    <w:p w14:paraId="6BEEACF3" w14:textId="77777777" w:rsidR="00E64D19" w:rsidRDefault="00E64D19" w:rsidP="00E64D19">
      <w:pPr>
        <w:jc w:val="both"/>
      </w:pPr>
      <w:r>
        <w:t>VMG reviewed the “Bases of Estimate” for the April 2019 Baseline and found many of the assumptions to be unrealistic/ deficient.  A summary of these deficiencies plus additional deficiencies associated with the April 2019 baseline are presented below.</w:t>
      </w:r>
    </w:p>
    <w:p w14:paraId="3E6DD612" w14:textId="77777777" w:rsidR="00E64D19" w:rsidRDefault="00E64D19" w:rsidP="00E64D19">
      <w:pPr>
        <w:jc w:val="both"/>
      </w:pPr>
    </w:p>
    <w:p w14:paraId="16BA4AAE" w14:textId="77777777" w:rsidR="00E64D19" w:rsidRDefault="00E64D19" w:rsidP="00E64D19">
      <w:pPr>
        <w:pStyle w:val="ListParagraph"/>
        <w:numPr>
          <w:ilvl w:val="0"/>
          <w:numId w:val="41"/>
        </w:numPr>
        <w:contextualSpacing/>
        <w:jc w:val="both"/>
      </w:pPr>
      <w:r>
        <w:t>The IPS does not represent the total scope, and it is only partially resource loaded (and only at the highest levels, and certainly not at the more detailed working levels).</w:t>
      </w:r>
    </w:p>
    <w:p w14:paraId="03CFBC66" w14:textId="77777777" w:rsidR="00E64D19" w:rsidRDefault="00E64D19" w:rsidP="00E64D19">
      <w:pPr>
        <w:pStyle w:val="ListParagraph"/>
        <w:numPr>
          <w:ilvl w:val="0"/>
          <w:numId w:val="41"/>
        </w:numPr>
        <w:contextualSpacing/>
        <w:jc w:val="both"/>
      </w:pPr>
      <w:r>
        <w:t>The assumed installation rates are much lower than experience would indicate as ever being achievable (</w:t>
      </w:r>
      <w:proofErr w:type="gramStart"/>
      <w:r>
        <w:t>and in particular, for</w:t>
      </w:r>
      <w:proofErr w:type="gramEnd"/>
      <w:r>
        <w:t xml:space="preserve"> pipe fitters and electricians).</w:t>
      </w:r>
    </w:p>
    <w:p w14:paraId="537B3799" w14:textId="77777777" w:rsidR="00E64D19" w:rsidRDefault="00E64D19" w:rsidP="00E64D19">
      <w:pPr>
        <w:pStyle w:val="ListParagraph"/>
        <w:numPr>
          <w:ilvl w:val="0"/>
          <w:numId w:val="41"/>
        </w:numPr>
        <w:contextualSpacing/>
        <w:jc w:val="both"/>
      </w:pPr>
      <w:r>
        <w:t>Given that unachievable/ unrealistic installation rates were used, the activity durations were artificially short (particularly with respect to bulk commodity installations).</w:t>
      </w:r>
    </w:p>
    <w:p w14:paraId="3910B84E" w14:textId="77777777" w:rsidR="00E64D19" w:rsidRDefault="00E64D19" w:rsidP="00E64D19">
      <w:pPr>
        <w:pStyle w:val="ListParagraph"/>
        <w:numPr>
          <w:ilvl w:val="0"/>
          <w:numId w:val="41"/>
        </w:numPr>
        <w:contextualSpacing/>
        <w:jc w:val="both"/>
      </w:pPr>
      <w:r>
        <w:t>Based on b) above, the total craft requirements that were developed significantly underestimated that required to achieve the required production; yet this is further compounded by the fact that already being over-staffed, with further increases of staff the production efficiencies deteriorated even further.</w:t>
      </w:r>
    </w:p>
    <w:p w14:paraId="517B6C5D" w14:textId="77777777" w:rsidR="00E64D19" w:rsidRDefault="00E64D19" w:rsidP="00E64D19">
      <w:pPr>
        <w:pStyle w:val="ListParagraph"/>
        <w:numPr>
          <w:ilvl w:val="0"/>
          <w:numId w:val="41"/>
        </w:numPr>
        <w:contextualSpacing/>
        <w:jc w:val="both"/>
      </w:pPr>
      <w:r>
        <w:t xml:space="preserve">Absenteeism was much higher (4 x higher) than industry standards and much higher than was assumed in the BOE assumptions, yet no allowance was made in the baseline planned staffing. So, when the Project was determining activity durations the higher absenteeism rate should have been incorporated. </w:t>
      </w:r>
    </w:p>
    <w:p w14:paraId="06F9186F" w14:textId="77777777" w:rsidR="00E64D19" w:rsidRDefault="00E64D19" w:rsidP="00E64D19">
      <w:pPr>
        <w:pStyle w:val="ListParagraph"/>
        <w:numPr>
          <w:ilvl w:val="0"/>
          <w:numId w:val="41"/>
        </w:numPr>
        <w:contextualSpacing/>
        <w:jc w:val="both"/>
      </w:pPr>
      <w:r>
        <w:t>Component testing failures were reported at over 60%</w:t>
      </w:r>
      <w:r>
        <w:rPr>
          <w:rStyle w:val="FootnoteReference"/>
        </w:rPr>
        <w:footnoteReference w:id="21"/>
      </w:r>
      <w:r>
        <w:t>, yet no rework plans or allowances were made for either cost or schedule.</w:t>
      </w:r>
    </w:p>
    <w:p w14:paraId="1D2B1C57" w14:textId="184D63C9" w:rsidR="00E64D19" w:rsidRDefault="00E64D19" w:rsidP="00E64D19">
      <w:pPr>
        <w:pStyle w:val="ListParagraph"/>
        <w:numPr>
          <w:ilvl w:val="0"/>
          <w:numId w:val="41"/>
        </w:numPr>
        <w:contextualSpacing/>
        <w:jc w:val="both"/>
      </w:pPr>
      <w:r>
        <w:t xml:space="preserve">When establishing a new baseline, </w:t>
      </w:r>
      <w:proofErr w:type="spellStart"/>
      <w:r>
        <w:t>ACWP</w:t>
      </w:r>
      <w:proofErr w:type="spellEnd"/>
      <w:r>
        <w:t xml:space="preserve">, </w:t>
      </w:r>
      <w:proofErr w:type="spellStart"/>
      <w:r>
        <w:t>BCWP</w:t>
      </w:r>
      <w:proofErr w:type="spellEnd"/>
      <w:r>
        <w:t xml:space="preserve">, and </w:t>
      </w:r>
      <w:proofErr w:type="spellStart"/>
      <w:r>
        <w:t>BCWS</w:t>
      </w:r>
      <w:proofErr w:type="spellEnd"/>
      <w:r>
        <w:t xml:space="preserve"> were not set equal; therefore, CPIs were not re-set to 1.0.  This is a significant inconsistency with the established guidelines.</w:t>
      </w:r>
    </w:p>
    <w:p w14:paraId="19EAEA0F" w14:textId="6BF9C4EC" w:rsidR="00E64D19" w:rsidRDefault="00E64D19" w:rsidP="00E64D19">
      <w:pPr>
        <w:pStyle w:val="ListParagraph"/>
        <w:numPr>
          <w:ilvl w:val="0"/>
          <w:numId w:val="41"/>
        </w:numPr>
        <w:contextualSpacing/>
      </w:pPr>
      <w:r>
        <w:t>Project percent complete was over reported (ref: Table 3.2</w:t>
      </w:r>
      <w:r w:rsidR="00D10FAA">
        <w:t>-</w:t>
      </w:r>
      <w:r>
        <w:t>1).</w:t>
      </w:r>
    </w:p>
    <w:p w14:paraId="6421FA9E" w14:textId="680486B2" w:rsidR="00E64D19" w:rsidRDefault="00E64D19" w:rsidP="00E64D19">
      <w:pPr>
        <w:pStyle w:val="ListParagraph"/>
        <w:numPr>
          <w:ilvl w:val="0"/>
          <w:numId w:val="41"/>
        </w:numPr>
        <w:contextualSpacing/>
        <w:jc w:val="both"/>
      </w:pPr>
      <w:r>
        <w:t xml:space="preserve">Risks either were not identified, or were not included in the schedule, or if identified, appropriate risk mitigation efforts were not identified (of </w:t>
      </w:r>
      <w:r w:rsidR="00D10FAA">
        <w:t>note</w:t>
      </w:r>
      <w:r>
        <w:t>, was the need to properly train personnel on IEEE-384).</w:t>
      </w:r>
    </w:p>
    <w:p w14:paraId="06986FF2" w14:textId="77777777" w:rsidR="00E64D19" w:rsidRDefault="00E64D19" w:rsidP="00E64D19">
      <w:pPr>
        <w:pStyle w:val="ListParagraph"/>
        <w:numPr>
          <w:ilvl w:val="0"/>
          <w:numId w:val="41"/>
        </w:numPr>
        <w:contextualSpacing/>
        <w:jc w:val="both"/>
      </w:pPr>
      <w:r>
        <w:lastRenderedPageBreak/>
        <w:t>Known delays of at least 6 months (such as was the case with bulk installations and system turnovers to ITP) were not incorporated into the schedule (rather, the CODs were slipped by only one month).</w:t>
      </w:r>
      <w:r>
        <w:rPr>
          <w:rStyle w:val="FootnoteReference"/>
        </w:rPr>
        <w:footnoteReference w:id="22"/>
      </w:r>
    </w:p>
    <w:p w14:paraId="210B43A6" w14:textId="10B04956" w:rsidR="00E64D19" w:rsidRDefault="00E64D19" w:rsidP="00E64D19">
      <w:pPr>
        <w:pStyle w:val="ListParagraph"/>
        <w:numPr>
          <w:ilvl w:val="0"/>
          <w:numId w:val="41"/>
        </w:numPr>
        <w:contextualSpacing/>
        <w:jc w:val="both"/>
      </w:pPr>
      <w:r>
        <w:t xml:space="preserve">For the major intermediate milestone of Integrated Flush, the milestone was modified to a start vs finish milestone, which violated their own procedures and was again misleading in that it indicated meeting a milestone which had </w:t>
      </w:r>
      <w:r w:rsidR="00D10FAA">
        <w:t>been</w:t>
      </w:r>
      <w:r>
        <w:t xml:space="preserve"> missed.</w:t>
      </w:r>
    </w:p>
    <w:p w14:paraId="482EFBA4" w14:textId="77777777" w:rsidR="00E64D19" w:rsidRDefault="00E64D19" w:rsidP="00E64D19">
      <w:pPr>
        <w:pStyle w:val="ListParagraph"/>
        <w:numPr>
          <w:ilvl w:val="0"/>
          <w:numId w:val="41"/>
        </w:numPr>
        <w:contextualSpacing/>
        <w:jc w:val="both"/>
      </w:pPr>
      <w:r>
        <w:t>Unrealistic assumptions made in the BOE were as follows:</w:t>
      </w:r>
    </w:p>
    <w:p w14:paraId="4D788F3B" w14:textId="77777777" w:rsidR="00E64D19" w:rsidRDefault="00E64D19" w:rsidP="00E64D19">
      <w:pPr>
        <w:pStyle w:val="ListParagraph"/>
        <w:numPr>
          <w:ilvl w:val="0"/>
          <w:numId w:val="42"/>
        </w:numPr>
        <w:contextualSpacing/>
        <w:jc w:val="both"/>
      </w:pPr>
      <w:r>
        <w:t>Construction will meet system turnover dates to ITP “with no exceptions”.</w:t>
      </w:r>
    </w:p>
    <w:p w14:paraId="251B9D4E" w14:textId="77777777" w:rsidR="00E64D19" w:rsidRDefault="00E64D19" w:rsidP="00E64D19">
      <w:pPr>
        <w:pStyle w:val="ListParagraph"/>
        <w:numPr>
          <w:ilvl w:val="0"/>
          <w:numId w:val="42"/>
        </w:numPr>
        <w:contextualSpacing/>
        <w:jc w:val="both"/>
      </w:pPr>
      <w:r>
        <w:t xml:space="preserve">No rework </w:t>
      </w:r>
      <w:proofErr w:type="gramStart"/>
      <w:r>
        <w:t>from</w:t>
      </w:r>
      <w:proofErr w:type="gramEnd"/>
      <w:r>
        <w:t xml:space="preserve"> Construction will be required (yet inspections were not being done as construction work was being reported as complete).</w:t>
      </w:r>
    </w:p>
    <w:p w14:paraId="2F6E8F21" w14:textId="77777777" w:rsidR="00E64D19" w:rsidRDefault="00E64D19" w:rsidP="00E64D19">
      <w:pPr>
        <w:pStyle w:val="ListParagraph"/>
        <w:numPr>
          <w:ilvl w:val="0"/>
          <w:numId w:val="42"/>
        </w:numPr>
        <w:contextualSpacing/>
        <w:jc w:val="both"/>
      </w:pPr>
      <w:r>
        <w:t>Parts will be procured to support testing work packages.</w:t>
      </w:r>
    </w:p>
    <w:p w14:paraId="3F75BE01" w14:textId="77777777" w:rsidR="00E64D19" w:rsidRDefault="00E64D19" w:rsidP="00E64D19">
      <w:pPr>
        <w:pStyle w:val="ListParagraph"/>
        <w:numPr>
          <w:ilvl w:val="0"/>
          <w:numId w:val="42"/>
        </w:numPr>
        <w:contextualSpacing/>
        <w:jc w:val="both"/>
      </w:pPr>
      <w:r>
        <w:t>Construction flushing and hydro will be complete prior to turnover.</w:t>
      </w:r>
    </w:p>
    <w:p w14:paraId="2306FE1D" w14:textId="77777777" w:rsidR="00E64D19" w:rsidRPr="00226E7E" w:rsidRDefault="00E64D19" w:rsidP="00E64D19">
      <w:pPr>
        <w:pStyle w:val="ListParagraph"/>
        <w:numPr>
          <w:ilvl w:val="0"/>
          <w:numId w:val="42"/>
        </w:numPr>
        <w:contextualSpacing/>
        <w:jc w:val="both"/>
      </w:pPr>
      <w:r>
        <w:t>All work packages will be planned and ready.</w:t>
      </w:r>
    </w:p>
    <w:p w14:paraId="5E4F5887" w14:textId="77777777" w:rsidR="00E64D19" w:rsidRDefault="00E64D19" w:rsidP="00E64D19"/>
    <w:p w14:paraId="25042383" w14:textId="55FA2695" w:rsidR="00E64D19" w:rsidRPr="00EF52B5" w:rsidRDefault="00E64D19" w:rsidP="00E64D19">
      <w:pPr>
        <w:jc w:val="both"/>
        <w:rPr>
          <w:u w:val="single"/>
        </w:rPr>
      </w:pPr>
      <w:r>
        <w:t>Given the above approach, one could assume that the risks identified above could be covered by an assessment of the probability of their occurring and their possible impacts.  However, whenever developing a “baseline”, one normally assumes a certain “confidence level” that the baseline plan can be achieved and depending on the desired/ pre-defined confidence level, one then would include in the baseline plan some level of “imbedded contingency” to cover these high probability risks.  However, in viewing the BOE assumptions for the April 2019 baseline, it is obvious that this was not done</w:t>
      </w:r>
      <w:r w:rsidRPr="00595E2B">
        <w:rPr>
          <w:u w:val="single"/>
        </w:rPr>
        <w:t xml:space="preserve">.  In other words, with the BOE assumptions that went into developing the April 2019 Baseline, it had (as </w:t>
      </w:r>
      <w:r w:rsidR="00D10FAA" w:rsidRPr="00595E2B">
        <w:rPr>
          <w:u w:val="single"/>
        </w:rPr>
        <w:t>all</w:t>
      </w:r>
      <w:r w:rsidRPr="00595E2B">
        <w:rPr>
          <w:u w:val="single"/>
        </w:rPr>
        <w:t xml:space="preserve"> the Company </w:t>
      </w:r>
      <w:proofErr w:type="spellStart"/>
      <w:r w:rsidRPr="00595E2B">
        <w:rPr>
          <w:u w:val="single"/>
        </w:rPr>
        <w:t>rebaselined</w:t>
      </w:r>
      <w:proofErr w:type="spellEnd"/>
      <w:r w:rsidRPr="00595E2B">
        <w:rPr>
          <w:u w:val="single"/>
        </w:rPr>
        <w:t xml:space="preserve"> plans have had) a zero percent chance of ever being achieved.</w:t>
      </w:r>
      <w:r>
        <w:t xml:space="preserve"> </w:t>
      </w:r>
    </w:p>
    <w:p w14:paraId="2AD324B8" w14:textId="77777777" w:rsidR="00E64D19" w:rsidRDefault="00E64D19" w:rsidP="00E64D19"/>
    <w:p w14:paraId="01346F4E" w14:textId="79167DAD" w:rsidR="00E64D19" w:rsidRPr="009C150D" w:rsidRDefault="00E64D19" w:rsidP="00E64D19">
      <w:pPr>
        <w:jc w:val="both"/>
      </w:pPr>
      <w:r>
        <w:t>In past testimony</w:t>
      </w:r>
      <w:r w:rsidR="006A7925">
        <w:t>,</w:t>
      </w:r>
      <w:r>
        <w:t xml:space="preserve"> VMG has acknowledged that SNC has been successful in managing </w:t>
      </w:r>
      <w:r w:rsidRPr="00F92FE3">
        <w:t>Refueling Outages</w:t>
      </w:r>
      <w:r>
        <w:t xml:space="preserve"> at its six operating nuclear plants.  Further, one might argue that depending on the specific project and most notably its duration, an approach such as has been taken by the Project might be acceptable.  For example, with an overly aggressive planned duration of say 2.5 to 4 weeks (such as what is done during a refueling outage (RFO) possibly extending to say 5 to 8 weeks does not have near the impact as a multi-billion-dollar project (with several orders of magnitude additional numbers of activities and associated risks) being extended by years. </w:t>
      </w:r>
      <w:r w:rsidRPr="009C150D">
        <w:t xml:space="preserve">To further illustrate, </w:t>
      </w:r>
      <w:r w:rsidRPr="00EF52B5">
        <w:t xml:space="preserve">there is very little comparison of what is required to successfully manage a Refueling Outage </w:t>
      </w:r>
      <w:r>
        <w:t>versus</w:t>
      </w:r>
      <w:r w:rsidRPr="00EF52B5">
        <w:t xml:space="preserve"> what is required to successfully manage the design and construction of a new nuclear power plant.  With a RFO the numerous plant systems have already been successfully operated at power in an integrated fashion, the design records are complete and represent the “as-built” plant, and maintenance records exist to document the performance of the systems and components within the systems.  All that needs to be done during the RFO is to make the planned “incremental changes” to an existing plant</w:t>
      </w:r>
      <w:r>
        <w:t xml:space="preserve"> and perform other routine tasks that are a part of normal business during refueling outages.</w:t>
      </w:r>
      <w:r w:rsidRPr="00EF52B5">
        <w:t xml:space="preserve">  This is very different to constructing a new plant from the ground up, especially in the case of Vogtle 3 &amp; 4 where many components were purchased long before they were needed, maintenance records were sometimes lacking, and the numerous systems have yet to</w:t>
      </w:r>
      <w:r>
        <w:t xml:space="preserve"> be </w:t>
      </w:r>
      <w:r w:rsidRPr="00EF52B5">
        <w:t>proven reliable and capable of operating at power in an integrated manner</w:t>
      </w:r>
      <w:r>
        <w:t>.</w:t>
      </w:r>
    </w:p>
    <w:p w14:paraId="539EA940" w14:textId="77777777" w:rsidR="00E64D19" w:rsidRDefault="00E64D19" w:rsidP="00E64D19">
      <w:pPr>
        <w:jc w:val="both"/>
      </w:pPr>
    </w:p>
    <w:p w14:paraId="08CFD2A6" w14:textId="77777777" w:rsidR="00E64D19" w:rsidRPr="009174FD" w:rsidRDefault="00E64D19" w:rsidP="00E64D19">
      <w:pPr>
        <w:rPr>
          <w:sz w:val="18"/>
          <w:szCs w:val="18"/>
        </w:rPr>
      </w:pPr>
    </w:p>
    <w:p w14:paraId="27D0D371" w14:textId="77777777" w:rsidR="00E64D19" w:rsidRPr="00803169" w:rsidRDefault="00E64D19" w:rsidP="00E64D19">
      <w:pPr>
        <w:jc w:val="both"/>
        <w:rPr>
          <w:b/>
          <w:bCs/>
        </w:rPr>
      </w:pPr>
      <w:r w:rsidRPr="00803169">
        <w:rPr>
          <w:b/>
          <w:bCs/>
        </w:rPr>
        <w:t xml:space="preserve">3.3 </w:t>
      </w:r>
      <w:r>
        <w:rPr>
          <w:b/>
          <w:bCs/>
        </w:rPr>
        <w:t xml:space="preserve">Over-Reporting of </w:t>
      </w:r>
      <w:r w:rsidRPr="00803169">
        <w:rPr>
          <w:b/>
          <w:bCs/>
        </w:rPr>
        <w:t>Project Status</w:t>
      </w:r>
    </w:p>
    <w:p w14:paraId="114C652E" w14:textId="77777777" w:rsidR="00E64D19" w:rsidRPr="009174FD" w:rsidRDefault="00E64D19" w:rsidP="00E64D19">
      <w:pPr>
        <w:jc w:val="both"/>
        <w:rPr>
          <w:b/>
          <w:bCs/>
          <w:sz w:val="18"/>
          <w:szCs w:val="18"/>
          <w:lang w:val="en-AU"/>
        </w:rPr>
      </w:pPr>
    </w:p>
    <w:p w14:paraId="3AD241FF" w14:textId="78A700C3" w:rsidR="00E64D19" w:rsidRDefault="00E64D19" w:rsidP="00E64D19">
      <w:pPr>
        <w:spacing w:after="160" w:line="259" w:lineRule="auto"/>
        <w:jc w:val="both"/>
        <w:rPr>
          <w:lang w:val="en-AU"/>
        </w:rPr>
      </w:pPr>
      <w:r w:rsidRPr="00226E7E">
        <w:rPr>
          <w:b/>
          <w:bCs/>
          <w:lang w:val="en-AU"/>
        </w:rPr>
        <w:t xml:space="preserve">3.3.1 Project Progress at the April 2019 Baseline was Significantly Over-stated:  </w:t>
      </w:r>
      <w:r>
        <w:rPr>
          <w:lang w:val="en-AU"/>
        </w:rPr>
        <w:t xml:space="preserve">As </w:t>
      </w:r>
      <w:r w:rsidRPr="00226E7E">
        <w:rPr>
          <w:lang w:val="en-AU"/>
        </w:rPr>
        <w:t xml:space="preserve">noted </w:t>
      </w:r>
      <w:r>
        <w:rPr>
          <w:lang w:val="en-AU"/>
        </w:rPr>
        <w:t xml:space="preserve">previously, </w:t>
      </w:r>
      <w:r w:rsidRPr="00226E7E">
        <w:rPr>
          <w:lang w:val="en-AU"/>
        </w:rPr>
        <w:t xml:space="preserve">given </w:t>
      </w:r>
      <w:r>
        <w:rPr>
          <w:lang w:val="en-AU"/>
        </w:rPr>
        <w:t xml:space="preserve">the </w:t>
      </w:r>
      <w:r w:rsidRPr="00226E7E">
        <w:rPr>
          <w:lang w:val="en-AU"/>
        </w:rPr>
        <w:t xml:space="preserve">increased risks </w:t>
      </w:r>
      <w:r>
        <w:rPr>
          <w:lang w:val="en-AU"/>
        </w:rPr>
        <w:t>following the</w:t>
      </w:r>
      <w:r w:rsidR="00D10FAA">
        <w:rPr>
          <w:lang w:val="en-AU"/>
        </w:rPr>
        <w:t xml:space="preserve"> cancellation of the other six dual unit AP 1000 projects and the subsequent WEC bankruptcy</w:t>
      </w:r>
      <w:r>
        <w:rPr>
          <w:lang w:val="en-AU"/>
        </w:rPr>
        <w:t xml:space="preserve">, the </w:t>
      </w:r>
      <w:r w:rsidRPr="00226E7E">
        <w:rPr>
          <w:lang w:val="en-AU"/>
        </w:rPr>
        <w:t xml:space="preserve">TPC </w:t>
      </w:r>
      <w:proofErr w:type="spellStart"/>
      <w:r w:rsidRPr="00226E7E">
        <w:rPr>
          <w:lang w:val="en-AU"/>
        </w:rPr>
        <w:t>EAC</w:t>
      </w:r>
      <w:proofErr w:type="spellEnd"/>
      <w:r w:rsidRPr="00226E7E">
        <w:rPr>
          <w:lang w:val="en-AU"/>
        </w:rPr>
        <w:t xml:space="preserve"> of $ 17.1 </w:t>
      </w:r>
      <w:r>
        <w:rPr>
          <w:lang w:val="en-AU"/>
        </w:rPr>
        <w:t>billion</w:t>
      </w:r>
      <w:r w:rsidRPr="00226E7E">
        <w:rPr>
          <w:lang w:val="en-AU"/>
        </w:rPr>
        <w:t xml:space="preserve"> was a “reasonable” estimate</w:t>
      </w:r>
      <w:r>
        <w:rPr>
          <w:lang w:val="en-AU"/>
        </w:rPr>
        <w:t xml:space="preserve"> for the TPC at project completion</w:t>
      </w:r>
      <w:r w:rsidRPr="00226E7E">
        <w:rPr>
          <w:lang w:val="en-AU"/>
        </w:rPr>
        <w:t xml:space="preserve">. </w:t>
      </w:r>
      <w:r>
        <w:rPr>
          <w:lang w:val="en-AU"/>
        </w:rPr>
        <w:t>If completed for this cost, this would then represent an “as spent Capital Construction Cost” (exclusive of financing) TPC of $ 17.1 billion.</w:t>
      </w:r>
    </w:p>
    <w:p w14:paraId="2F3A9487" w14:textId="2DA5B5AA" w:rsidR="00E64D19" w:rsidRDefault="00E64D19" w:rsidP="00E64D19">
      <w:pPr>
        <w:spacing w:after="160" w:line="259" w:lineRule="auto"/>
        <w:jc w:val="both"/>
        <w:rPr>
          <w:lang w:val="en-AU"/>
        </w:rPr>
      </w:pPr>
      <w:r>
        <w:rPr>
          <w:lang w:val="en-AU"/>
        </w:rPr>
        <w:t xml:space="preserve">When developing an updated baseline, industry practices dictate that all three primary measures (i.e., </w:t>
      </w:r>
      <w:proofErr w:type="spellStart"/>
      <w:r>
        <w:rPr>
          <w:lang w:val="en-AU"/>
        </w:rPr>
        <w:t>BCWS</w:t>
      </w:r>
      <w:proofErr w:type="spellEnd"/>
      <w:r>
        <w:rPr>
          <w:lang w:val="en-AU"/>
        </w:rPr>
        <w:t xml:space="preserve"> = </w:t>
      </w:r>
      <w:proofErr w:type="spellStart"/>
      <w:r>
        <w:rPr>
          <w:lang w:val="en-AU"/>
        </w:rPr>
        <w:t>ACWP</w:t>
      </w:r>
      <w:proofErr w:type="spellEnd"/>
      <w:r>
        <w:rPr>
          <w:lang w:val="en-AU"/>
        </w:rPr>
        <w:t xml:space="preserve"> = </w:t>
      </w:r>
      <w:proofErr w:type="spellStart"/>
      <w:r>
        <w:rPr>
          <w:lang w:val="en-AU"/>
        </w:rPr>
        <w:t>BCWP</w:t>
      </w:r>
      <w:proofErr w:type="spellEnd"/>
      <w:r>
        <w:rPr>
          <w:lang w:val="en-AU"/>
        </w:rPr>
        <w:t xml:space="preserve">) </w:t>
      </w:r>
      <w:r w:rsidR="000364CA">
        <w:rPr>
          <w:lang w:val="en-AU"/>
        </w:rPr>
        <w:t xml:space="preserve">are set to </w:t>
      </w:r>
      <w:r>
        <w:rPr>
          <w:lang w:val="en-AU"/>
        </w:rPr>
        <w:t xml:space="preserve">equal the </w:t>
      </w:r>
      <w:proofErr w:type="spellStart"/>
      <w:r>
        <w:rPr>
          <w:lang w:val="en-AU"/>
        </w:rPr>
        <w:t>ACWP</w:t>
      </w:r>
      <w:proofErr w:type="spellEnd"/>
      <w:r>
        <w:rPr>
          <w:lang w:val="en-AU"/>
        </w:rPr>
        <w:t xml:space="preserve">. </w:t>
      </w:r>
    </w:p>
    <w:p w14:paraId="7560BE0E" w14:textId="77777777" w:rsidR="00E64D19" w:rsidRDefault="00E64D19" w:rsidP="00E64D19">
      <w:pPr>
        <w:spacing w:after="160" w:line="259" w:lineRule="auto"/>
        <w:jc w:val="both"/>
        <w:rPr>
          <w:lang w:val="en-AU"/>
        </w:rPr>
      </w:pPr>
      <w:r>
        <w:rPr>
          <w:lang w:val="en-AU"/>
        </w:rPr>
        <w:t xml:space="preserve">SNC, through the April 2019 Baseline, established that the Project was 77% complete, whereas based on past as spent dollars and the $ 17.1 billion TPC </w:t>
      </w:r>
      <w:proofErr w:type="spellStart"/>
      <w:r>
        <w:rPr>
          <w:lang w:val="en-AU"/>
        </w:rPr>
        <w:t>EAC</w:t>
      </w:r>
      <w:proofErr w:type="spellEnd"/>
      <w:r>
        <w:rPr>
          <w:lang w:val="en-AU"/>
        </w:rPr>
        <w:t xml:space="preserve"> the percent complete should have been 57.89 %; i.e., an overstated % complete of 33 % (i.e., 77 %/ 57.89 %).  This over-reported status was previously highlighted in Table 3.1-1.</w:t>
      </w:r>
    </w:p>
    <w:p w14:paraId="1B681613" w14:textId="49371472" w:rsidR="00E64D19" w:rsidRDefault="00E64D19" w:rsidP="00E64D19">
      <w:pPr>
        <w:spacing w:after="160" w:line="259" w:lineRule="auto"/>
        <w:jc w:val="both"/>
        <w:rPr>
          <w:lang w:val="en-AU"/>
        </w:rPr>
      </w:pPr>
      <w:r>
        <w:rPr>
          <w:lang w:val="en-AU"/>
        </w:rPr>
        <w:t xml:space="preserve">SNC did not have, nor could it have obtained via its </w:t>
      </w:r>
      <w:proofErr w:type="spellStart"/>
      <w:r>
        <w:rPr>
          <w:lang w:val="en-AU"/>
        </w:rPr>
        <w:t>EVMS</w:t>
      </w:r>
      <w:proofErr w:type="spellEnd"/>
      <w:r>
        <w:rPr>
          <w:lang w:val="en-AU"/>
        </w:rPr>
        <w:t xml:space="preserve"> a clear status of the Project and an accurate </w:t>
      </w:r>
      <w:r w:rsidR="006A7925">
        <w:rPr>
          <w:lang w:val="en-AU"/>
        </w:rPr>
        <w:t>ETC</w:t>
      </w:r>
      <w:r>
        <w:rPr>
          <w:lang w:val="en-AU"/>
        </w:rPr>
        <w:t>.</w:t>
      </w:r>
    </w:p>
    <w:p w14:paraId="03239B77" w14:textId="39F3FFDF" w:rsidR="00E64D19" w:rsidRDefault="00E64D19" w:rsidP="00E64D19">
      <w:pPr>
        <w:spacing w:after="160" w:line="259" w:lineRule="auto"/>
        <w:jc w:val="both"/>
        <w:rPr>
          <w:i/>
          <w:iCs/>
          <w:lang w:val="en-AU"/>
        </w:rPr>
      </w:pPr>
      <w:r>
        <w:rPr>
          <w:b/>
          <w:bCs/>
          <w:lang w:val="en-AU"/>
        </w:rPr>
        <w:t xml:space="preserve">3.3.2. Post April 2019 Baseline:   </w:t>
      </w:r>
      <w:r>
        <w:rPr>
          <w:lang w:val="en-AU"/>
        </w:rPr>
        <w:t>An analysis of the over-reporting within the various categories of the Project effort is complicated by the fact that the Company</w:t>
      </w:r>
      <w:r w:rsidR="006A7925">
        <w:rPr>
          <w:lang w:val="en-AU"/>
        </w:rPr>
        <w:t>,</w:t>
      </w:r>
      <w:r>
        <w:rPr>
          <w:lang w:val="en-AU"/>
        </w:rPr>
        <w:t xml:space="preserve"> </w:t>
      </w:r>
      <w:r w:rsidR="006A7925">
        <w:rPr>
          <w:lang w:val="en-AU"/>
        </w:rPr>
        <w:t>prior to taking over the Project,</w:t>
      </w:r>
      <w:r w:rsidR="006A7925" w:rsidDel="006A7925">
        <w:rPr>
          <w:lang w:val="en-AU"/>
        </w:rPr>
        <w:t xml:space="preserve"> </w:t>
      </w:r>
      <w:r w:rsidR="006A7925">
        <w:rPr>
          <w:lang w:val="en-AU"/>
        </w:rPr>
        <w:t xml:space="preserve">did </w:t>
      </w:r>
      <w:r>
        <w:rPr>
          <w:lang w:val="en-AU"/>
        </w:rPr>
        <w:t>not allocat</w:t>
      </w:r>
      <w:r w:rsidR="006A7925">
        <w:rPr>
          <w:lang w:val="en-AU"/>
        </w:rPr>
        <w:t>e</w:t>
      </w:r>
      <w:r>
        <w:rPr>
          <w:lang w:val="en-AU"/>
        </w:rPr>
        <w:t xml:space="preserve"> the expenditures to the various Project categories.  However, starting with the April 2019 re-baseline the Company provided Estimates to Complete (</w:t>
      </w:r>
      <w:proofErr w:type="spellStart"/>
      <w:r>
        <w:rPr>
          <w:lang w:val="en-AU"/>
        </w:rPr>
        <w:t>ETCs</w:t>
      </w:r>
      <w:proofErr w:type="spellEnd"/>
      <w:r>
        <w:rPr>
          <w:lang w:val="en-AU"/>
        </w:rPr>
        <w:t xml:space="preserve">; </w:t>
      </w:r>
      <w:r>
        <w:rPr>
          <w:i/>
          <w:iCs/>
          <w:lang w:val="en-AU"/>
        </w:rPr>
        <w:t>which for both data dates provided in Table 3.3.2.-1 below is for</w:t>
      </w:r>
      <w:r w:rsidRPr="009174FD">
        <w:rPr>
          <w:i/>
          <w:iCs/>
          <w:lang w:val="en-AU"/>
        </w:rPr>
        <w:t xml:space="preserve"> the period starting in July 2017 to </w:t>
      </w:r>
      <w:r>
        <w:rPr>
          <w:i/>
          <w:iCs/>
          <w:lang w:val="en-AU"/>
        </w:rPr>
        <w:t>P</w:t>
      </w:r>
      <w:r w:rsidRPr="009174FD">
        <w:rPr>
          <w:i/>
          <w:iCs/>
          <w:lang w:val="en-AU"/>
        </w:rPr>
        <w:t>roject completio</w:t>
      </w:r>
      <w:r>
        <w:rPr>
          <w:i/>
          <w:iCs/>
          <w:lang w:val="en-AU"/>
        </w:rPr>
        <w:t>n).</w:t>
      </w:r>
      <w:r w:rsidRPr="009174FD">
        <w:rPr>
          <w:i/>
          <w:iCs/>
          <w:lang w:val="en-AU"/>
        </w:rPr>
        <w:t xml:space="preserve"> </w:t>
      </w:r>
      <w:r w:rsidRPr="00211235">
        <w:rPr>
          <w:i/>
          <w:iCs/>
          <w:lang w:val="en-AU"/>
        </w:rPr>
        <w:t xml:space="preserve"> </w:t>
      </w:r>
    </w:p>
    <w:p w14:paraId="63FB1F1B" w14:textId="087DDB05" w:rsidR="00E64D19" w:rsidRDefault="00E64D19" w:rsidP="00E64D19">
      <w:pPr>
        <w:spacing w:after="160" w:line="259" w:lineRule="auto"/>
        <w:jc w:val="both"/>
        <w:rPr>
          <w:lang w:val="en-AU"/>
        </w:rPr>
      </w:pPr>
      <w:r>
        <w:rPr>
          <w:lang w:val="en-AU"/>
        </w:rPr>
        <w:t>In the ETC budgets established in April 2019, the period covered by the budget therefore started in July 2017.  By April 20</w:t>
      </w:r>
      <w:r w:rsidR="003679FC">
        <w:rPr>
          <w:lang w:val="en-AU"/>
        </w:rPr>
        <w:t>1</w:t>
      </w:r>
      <w:r>
        <w:rPr>
          <w:lang w:val="en-AU"/>
        </w:rPr>
        <w:t xml:space="preserve">9, </w:t>
      </w:r>
      <w:r w:rsidRPr="00EA51DC">
        <w:rPr>
          <w:lang w:val="en-AU"/>
        </w:rPr>
        <w:t>of $127 million that had been budgeted for engineering $ 191 million had already been spent, and the percentage of engineering reported as being complete was 98.1%.</w:t>
      </w:r>
      <w:r>
        <w:rPr>
          <w:lang w:val="en-AU"/>
        </w:rPr>
        <w:t xml:space="preserve"> By January 2023, the </w:t>
      </w:r>
      <w:proofErr w:type="spellStart"/>
      <w:r>
        <w:rPr>
          <w:lang w:val="en-AU"/>
        </w:rPr>
        <w:t>EAC</w:t>
      </w:r>
      <w:proofErr w:type="spellEnd"/>
      <w:r>
        <w:rPr>
          <w:lang w:val="en-AU"/>
        </w:rPr>
        <w:t xml:space="preserve"> for engineering had increased to $ 293 million. </w:t>
      </w:r>
    </w:p>
    <w:p w14:paraId="09AB7D4E" w14:textId="1F6651AF" w:rsidR="009C0F08" w:rsidRDefault="00E64D19" w:rsidP="00573360">
      <w:pPr>
        <w:rPr>
          <w:lang w:val="en-AU"/>
        </w:rPr>
      </w:pPr>
      <w:r>
        <w:rPr>
          <w:lang w:val="en-AU"/>
        </w:rPr>
        <w:t xml:space="preserve">For Procurement, SNC Labor, </w:t>
      </w:r>
      <w:proofErr w:type="spellStart"/>
      <w:r w:rsidR="002703FA">
        <w:rPr>
          <w:lang w:val="en-AU"/>
        </w:rPr>
        <w:t>Distributables</w:t>
      </w:r>
      <w:proofErr w:type="spellEnd"/>
      <w:r>
        <w:rPr>
          <w:lang w:val="en-AU"/>
        </w:rPr>
        <w:t xml:space="preserve"> and Owners Cost baseline budgets as well as the additional</w:t>
      </w:r>
      <w:r w:rsidR="00F96EA0">
        <w:rPr>
          <w:lang w:val="en-AU"/>
        </w:rPr>
        <w:t xml:space="preserve"> </w:t>
      </w:r>
      <w:r>
        <w:rPr>
          <w:lang w:val="en-AU"/>
        </w:rPr>
        <w:t>budget growth no performance measurement was ever provided.</w:t>
      </w:r>
    </w:p>
    <w:p w14:paraId="6207E020" w14:textId="50DBC41A" w:rsidR="00715E2A" w:rsidRDefault="00715E2A">
      <w:pPr>
        <w:rPr>
          <w:lang w:val="en-AU"/>
        </w:rPr>
      </w:pPr>
      <w:r>
        <w:rPr>
          <w:lang w:val="en-AU"/>
        </w:rPr>
        <w:br w:type="page"/>
      </w:r>
    </w:p>
    <w:p w14:paraId="19FF0412" w14:textId="77777777" w:rsidR="00715E2A" w:rsidRDefault="00715E2A" w:rsidP="00573360">
      <w:pPr>
        <w:rPr>
          <w:b/>
          <w:szCs w:val="24"/>
          <w:highlight w:val="yellow"/>
        </w:rPr>
      </w:pPr>
    </w:p>
    <w:p w14:paraId="7CF60DA4" w14:textId="77777777" w:rsidR="00B80AFC" w:rsidRDefault="00B80AFC" w:rsidP="00066229">
      <w:pPr>
        <w:jc w:val="center"/>
        <w:rPr>
          <w:b/>
          <w:szCs w:val="24"/>
          <w:highlight w:val="yellow"/>
        </w:rPr>
      </w:pPr>
    </w:p>
    <w:tbl>
      <w:tblPr>
        <w:tblW w:w="9020" w:type="dxa"/>
        <w:jc w:val="center"/>
        <w:tblLook w:val="04A0" w:firstRow="1" w:lastRow="0" w:firstColumn="1" w:lastColumn="0" w:noHBand="0" w:noVBand="1"/>
      </w:tblPr>
      <w:tblGrid>
        <w:gridCol w:w="2946"/>
        <w:gridCol w:w="1302"/>
        <w:gridCol w:w="1772"/>
        <w:gridCol w:w="3000"/>
      </w:tblGrid>
      <w:tr w:rsidR="000D69A1" w:rsidRPr="000D69A1" w14:paraId="312E4A83" w14:textId="77777777" w:rsidTr="000D69A1">
        <w:trPr>
          <w:trHeight w:val="312"/>
          <w:jc w:val="center"/>
        </w:trPr>
        <w:tc>
          <w:tcPr>
            <w:tcW w:w="9020" w:type="dxa"/>
            <w:gridSpan w:val="4"/>
            <w:tcBorders>
              <w:top w:val="single" w:sz="8" w:space="0" w:color="auto"/>
              <w:left w:val="single" w:sz="8" w:space="0" w:color="auto"/>
              <w:bottom w:val="nil"/>
              <w:right w:val="single" w:sz="8" w:space="0" w:color="000000"/>
            </w:tcBorders>
            <w:shd w:val="clear" w:color="000000" w:fill="DDEBF7"/>
            <w:noWrap/>
            <w:vAlign w:val="center"/>
            <w:hideMark/>
          </w:tcPr>
          <w:p w14:paraId="79579CFB" w14:textId="77777777" w:rsidR="000D69A1" w:rsidRPr="000D69A1" w:rsidRDefault="000D69A1" w:rsidP="000D69A1">
            <w:pPr>
              <w:jc w:val="center"/>
              <w:rPr>
                <w:b/>
                <w:bCs/>
                <w:color w:val="000000"/>
                <w:szCs w:val="24"/>
              </w:rPr>
            </w:pPr>
            <w:r w:rsidRPr="000D69A1">
              <w:rPr>
                <w:b/>
                <w:bCs/>
                <w:color w:val="000000"/>
                <w:szCs w:val="24"/>
              </w:rPr>
              <w:t xml:space="preserve">Table 3.3.2-1, Budgeted Efforts % Growth, </w:t>
            </w:r>
          </w:p>
        </w:tc>
      </w:tr>
      <w:tr w:rsidR="000D69A1" w:rsidRPr="000D69A1" w14:paraId="455D36B5" w14:textId="77777777" w:rsidTr="000D69A1">
        <w:trPr>
          <w:trHeight w:val="324"/>
          <w:jc w:val="center"/>
        </w:trPr>
        <w:tc>
          <w:tcPr>
            <w:tcW w:w="9020" w:type="dxa"/>
            <w:gridSpan w:val="4"/>
            <w:tcBorders>
              <w:top w:val="nil"/>
              <w:left w:val="single" w:sz="8" w:space="0" w:color="auto"/>
              <w:bottom w:val="single" w:sz="8" w:space="0" w:color="auto"/>
              <w:right w:val="single" w:sz="8" w:space="0" w:color="000000"/>
            </w:tcBorders>
            <w:shd w:val="clear" w:color="000000" w:fill="DDEBF7"/>
            <w:noWrap/>
            <w:vAlign w:val="center"/>
            <w:hideMark/>
          </w:tcPr>
          <w:p w14:paraId="57ED4AD8" w14:textId="77777777" w:rsidR="000D69A1" w:rsidRPr="000D69A1" w:rsidRDefault="000D69A1" w:rsidP="000D69A1">
            <w:pPr>
              <w:jc w:val="center"/>
              <w:rPr>
                <w:b/>
                <w:bCs/>
                <w:color w:val="000000"/>
                <w:szCs w:val="24"/>
              </w:rPr>
            </w:pPr>
            <w:r w:rsidRPr="000D69A1">
              <w:rPr>
                <w:b/>
                <w:bCs/>
                <w:color w:val="000000"/>
                <w:szCs w:val="24"/>
              </w:rPr>
              <w:t>(</w:t>
            </w:r>
            <w:proofErr w:type="spellStart"/>
            <w:r w:rsidRPr="000D69A1">
              <w:rPr>
                <w:b/>
                <w:bCs/>
                <w:color w:val="000000"/>
                <w:szCs w:val="24"/>
              </w:rPr>
              <w:t>ETCs</w:t>
            </w:r>
            <w:proofErr w:type="spellEnd"/>
            <w:r w:rsidRPr="000D69A1">
              <w:rPr>
                <w:b/>
                <w:bCs/>
                <w:color w:val="000000"/>
                <w:szCs w:val="24"/>
              </w:rPr>
              <w:t xml:space="preserve"> from July 2017 </w:t>
            </w:r>
            <w:proofErr w:type="gramStart"/>
            <w:r w:rsidRPr="000D69A1">
              <w:rPr>
                <w:b/>
                <w:bCs/>
                <w:color w:val="000000"/>
                <w:szCs w:val="24"/>
              </w:rPr>
              <w:t>To</w:t>
            </w:r>
            <w:proofErr w:type="gramEnd"/>
            <w:r w:rsidRPr="000D69A1">
              <w:rPr>
                <w:b/>
                <w:bCs/>
                <w:color w:val="000000"/>
                <w:szCs w:val="24"/>
              </w:rPr>
              <w:t xml:space="preserve"> Project Completion.)</w:t>
            </w:r>
          </w:p>
        </w:tc>
      </w:tr>
      <w:tr w:rsidR="000D69A1" w:rsidRPr="000D69A1" w14:paraId="606B6B1E" w14:textId="77777777" w:rsidTr="000D69A1">
        <w:trPr>
          <w:trHeight w:val="601"/>
          <w:jc w:val="center"/>
        </w:trPr>
        <w:tc>
          <w:tcPr>
            <w:tcW w:w="2946"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2408895C"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Budget Category</w:t>
            </w:r>
          </w:p>
        </w:tc>
        <w:tc>
          <w:tcPr>
            <w:tcW w:w="3074" w:type="dxa"/>
            <w:gridSpan w:val="2"/>
            <w:tcBorders>
              <w:top w:val="single" w:sz="8" w:space="0" w:color="auto"/>
              <w:left w:val="nil"/>
              <w:bottom w:val="single" w:sz="8" w:space="0" w:color="auto"/>
              <w:right w:val="single" w:sz="8" w:space="0" w:color="000000"/>
            </w:tcBorders>
            <w:shd w:val="clear" w:color="000000" w:fill="FCE4D6"/>
            <w:vAlign w:val="center"/>
            <w:hideMark/>
          </w:tcPr>
          <w:p w14:paraId="768A4C76"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Budgeted $ M; Without Contingency; Est as of _____</w:t>
            </w:r>
          </w:p>
        </w:tc>
        <w:tc>
          <w:tcPr>
            <w:tcW w:w="3000"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32A433FE"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Budget Growth</w:t>
            </w:r>
          </w:p>
        </w:tc>
      </w:tr>
      <w:tr w:rsidR="000D69A1" w:rsidRPr="000D69A1" w14:paraId="26A61057" w14:textId="77777777" w:rsidTr="000D69A1">
        <w:trPr>
          <w:trHeight w:val="61"/>
          <w:jc w:val="center"/>
        </w:trPr>
        <w:tc>
          <w:tcPr>
            <w:tcW w:w="2946" w:type="dxa"/>
            <w:vMerge/>
            <w:tcBorders>
              <w:top w:val="nil"/>
              <w:left w:val="single" w:sz="8" w:space="0" w:color="auto"/>
              <w:bottom w:val="single" w:sz="8" w:space="0" w:color="000000"/>
              <w:right w:val="single" w:sz="8" w:space="0" w:color="auto"/>
            </w:tcBorders>
            <w:vAlign w:val="center"/>
            <w:hideMark/>
          </w:tcPr>
          <w:p w14:paraId="13F9418E" w14:textId="77777777" w:rsidR="000D69A1" w:rsidRPr="000D69A1" w:rsidRDefault="000D69A1" w:rsidP="000D69A1">
            <w:pPr>
              <w:rPr>
                <w:rFonts w:ascii="Calibri" w:hAnsi="Calibri" w:cs="Calibri"/>
                <w:color w:val="000000"/>
                <w:szCs w:val="24"/>
              </w:rPr>
            </w:pPr>
          </w:p>
        </w:tc>
        <w:tc>
          <w:tcPr>
            <w:tcW w:w="1302" w:type="dxa"/>
            <w:tcBorders>
              <w:top w:val="nil"/>
              <w:left w:val="nil"/>
              <w:bottom w:val="single" w:sz="8" w:space="0" w:color="auto"/>
              <w:right w:val="single" w:sz="8" w:space="0" w:color="auto"/>
            </w:tcBorders>
            <w:shd w:val="clear" w:color="000000" w:fill="FCE4D6"/>
            <w:noWrap/>
            <w:vAlign w:val="center"/>
            <w:hideMark/>
          </w:tcPr>
          <w:p w14:paraId="5C54AE64"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Apr-19</w:t>
            </w:r>
          </w:p>
        </w:tc>
        <w:tc>
          <w:tcPr>
            <w:tcW w:w="1772" w:type="dxa"/>
            <w:tcBorders>
              <w:top w:val="nil"/>
              <w:left w:val="nil"/>
              <w:bottom w:val="single" w:sz="8" w:space="0" w:color="auto"/>
              <w:right w:val="single" w:sz="8" w:space="0" w:color="auto"/>
            </w:tcBorders>
            <w:shd w:val="clear" w:color="000000" w:fill="FCE4D6"/>
            <w:noWrap/>
            <w:vAlign w:val="center"/>
            <w:hideMark/>
          </w:tcPr>
          <w:p w14:paraId="37B308F2"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Jan-23</w:t>
            </w:r>
          </w:p>
        </w:tc>
        <w:tc>
          <w:tcPr>
            <w:tcW w:w="3000" w:type="dxa"/>
            <w:vMerge/>
            <w:tcBorders>
              <w:top w:val="nil"/>
              <w:left w:val="single" w:sz="8" w:space="0" w:color="auto"/>
              <w:bottom w:val="single" w:sz="8" w:space="0" w:color="000000"/>
              <w:right w:val="single" w:sz="8" w:space="0" w:color="auto"/>
            </w:tcBorders>
            <w:vAlign w:val="center"/>
            <w:hideMark/>
          </w:tcPr>
          <w:p w14:paraId="6A6B04DA" w14:textId="77777777" w:rsidR="000D69A1" w:rsidRPr="000D69A1" w:rsidRDefault="000D69A1" w:rsidP="000D69A1">
            <w:pPr>
              <w:rPr>
                <w:rFonts w:ascii="Calibri" w:hAnsi="Calibri" w:cs="Calibri"/>
                <w:color w:val="000000"/>
                <w:szCs w:val="24"/>
              </w:rPr>
            </w:pPr>
          </w:p>
        </w:tc>
      </w:tr>
      <w:tr w:rsidR="000D69A1" w:rsidRPr="000D69A1" w14:paraId="093F6665"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4BCD97B8"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Engineering</w:t>
            </w:r>
          </w:p>
        </w:tc>
        <w:tc>
          <w:tcPr>
            <w:tcW w:w="1302" w:type="dxa"/>
            <w:tcBorders>
              <w:top w:val="nil"/>
              <w:left w:val="nil"/>
              <w:bottom w:val="single" w:sz="8" w:space="0" w:color="auto"/>
              <w:right w:val="single" w:sz="8" w:space="0" w:color="auto"/>
            </w:tcBorders>
            <w:shd w:val="clear" w:color="auto" w:fill="auto"/>
            <w:noWrap/>
            <w:vAlign w:val="center"/>
            <w:hideMark/>
          </w:tcPr>
          <w:p w14:paraId="29425DF0"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191</w:t>
            </w:r>
          </w:p>
        </w:tc>
        <w:tc>
          <w:tcPr>
            <w:tcW w:w="1772" w:type="dxa"/>
            <w:tcBorders>
              <w:top w:val="nil"/>
              <w:left w:val="nil"/>
              <w:bottom w:val="single" w:sz="8" w:space="0" w:color="auto"/>
              <w:right w:val="single" w:sz="8" w:space="0" w:color="auto"/>
            </w:tcBorders>
            <w:shd w:val="clear" w:color="auto" w:fill="auto"/>
            <w:noWrap/>
            <w:vAlign w:val="center"/>
            <w:hideMark/>
          </w:tcPr>
          <w:p w14:paraId="721A8FD5"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293</w:t>
            </w:r>
          </w:p>
        </w:tc>
        <w:tc>
          <w:tcPr>
            <w:tcW w:w="3000" w:type="dxa"/>
            <w:tcBorders>
              <w:top w:val="nil"/>
              <w:left w:val="nil"/>
              <w:bottom w:val="single" w:sz="8" w:space="0" w:color="auto"/>
              <w:right w:val="single" w:sz="8" w:space="0" w:color="auto"/>
            </w:tcBorders>
            <w:shd w:val="clear" w:color="auto" w:fill="auto"/>
            <w:noWrap/>
            <w:vAlign w:val="center"/>
            <w:hideMark/>
          </w:tcPr>
          <w:p w14:paraId="000CE1CF"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53.40%</w:t>
            </w:r>
          </w:p>
        </w:tc>
      </w:tr>
      <w:tr w:rsidR="000D69A1" w:rsidRPr="000D69A1" w14:paraId="1C221FBC"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6047D9E7"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Procurement</w:t>
            </w:r>
          </w:p>
        </w:tc>
        <w:tc>
          <w:tcPr>
            <w:tcW w:w="1302" w:type="dxa"/>
            <w:tcBorders>
              <w:top w:val="nil"/>
              <w:left w:val="nil"/>
              <w:bottom w:val="single" w:sz="8" w:space="0" w:color="auto"/>
              <w:right w:val="single" w:sz="8" w:space="0" w:color="auto"/>
            </w:tcBorders>
            <w:shd w:val="clear" w:color="auto" w:fill="auto"/>
            <w:noWrap/>
            <w:vAlign w:val="center"/>
            <w:hideMark/>
          </w:tcPr>
          <w:p w14:paraId="3F7F56AB"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514</w:t>
            </w:r>
          </w:p>
        </w:tc>
        <w:tc>
          <w:tcPr>
            <w:tcW w:w="1772" w:type="dxa"/>
            <w:tcBorders>
              <w:top w:val="nil"/>
              <w:left w:val="nil"/>
              <w:bottom w:val="single" w:sz="8" w:space="0" w:color="auto"/>
              <w:right w:val="single" w:sz="8" w:space="0" w:color="auto"/>
            </w:tcBorders>
            <w:shd w:val="clear" w:color="auto" w:fill="auto"/>
            <w:noWrap/>
            <w:vAlign w:val="center"/>
            <w:hideMark/>
          </w:tcPr>
          <w:p w14:paraId="132CA708"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811</w:t>
            </w:r>
          </w:p>
        </w:tc>
        <w:tc>
          <w:tcPr>
            <w:tcW w:w="3000" w:type="dxa"/>
            <w:tcBorders>
              <w:top w:val="nil"/>
              <w:left w:val="nil"/>
              <w:bottom w:val="single" w:sz="8" w:space="0" w:color="auto"/>
              <w:right w:val="single" w:sz="8" w:space="0" w:color="auto"/>
            </w:tcBorders>
            <w:shd w:val="clear" w:color="auto" w:fill="auto"/>
            <w:noWrap/>
            <w:vAlign w:val="center"/>
            <w:hideMark/>
          </w:tcPr>
          <w:p w14:paraId="33108745"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57.80%</w:t>
            </w:r>
          </w:p>
        </w:tc>
      </w:tr>
      <w:tr w:rsidR="000D69A1" w:rsidRPr="000D69A1" w14:paraId="568985F7"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64283594"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Construction</w:t>
            </w:r>
          </w:p>
        </w:tc>
        <w:tc>
          <w:tcPr>
            <w:tcW w:w="1302" w:type="dxa"/>
            <w:tcBorders>
              <w:top w:val="nil"/>
              <w:left w:val="nil"/>
              <w:bottom w:val="single" w:sz="8" w:space="0" w:color="auto"/>
              <w:right w:val="single" w:sz="8" w:space="0" w:color="auto"/>
            </w:tcBorders>
            <w:shd w:val="clear" w:color="auto" w:fill="auto"/>
            <w:noWrap/>
            <w:vAlign w:val="center"/>
            <w:hideMark/>
          </w:tcPr>
          <w:p w14:paraId="759C5723"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3,579</w:t>
            </w:r>
          </w:p>
        </w:tc>
        <w:tc>
          <w:tcPr>
            <w:tcW w:w="1772" w:type="dxa"/>
            <w:tcBorders>
              <w:top w:val="nil"/>
              <w:left w:val="nil"/>
              <w:bottom w:val="single" w:sz="8" w:space="0" w:color="auto"/>
              <w:right w:val="single" w:sz="8" w:space="0" w:color="auto"/>
            </w:tcBorders>
            <w:shd w:val="clear" w:color="auto" w:fill="auto"/>
            <w:noWrap/>
            <w:vAlign w:val="center"/>
            <w:hideMark/>
          </w:tcPr>
          <w:p w14:paraId="09C7DAE5"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5,652</w:t>
            </w:r>
          </w:p>
        </w:tc>
        <w:tc>
          <w:tcPr>
            <w:tcW w:w="3000" w:type="dxa"/>
            <w:tcBorders>
              <w:top w:val="nil"/>
              <w:left w:val="nil"/>
              <w:bottom w:val="single" w:sz="8" w:space="0" w:color="auto"/>
              <w:right w:val="single" w:sz="8" w:space="0" w:color="auto"/>
            </w:tcBorders>
            <w:shd w:val="clear" w:color="auto" w:fill="auto"/>
            <w:noWrap/>
            <w:vAlign w:val="center"/>
            <w:hideMark/>
          </w:tcPr>
          <w:p w14:paraId="53253C5C"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57.90%</w:t>
            </w:r>
          </w:p>
        </w:tc>
      </w:tr>
      <w:tr w:rsidR="000D69A1" w:rsidRPr="000D69A1" w14:paraId="3BE05AAF"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74E527D3"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ITP</w:t>
            </w:r>
          </w:p>
        </w:tc>
        <w:tc>
          <w:tcPr>
            <w:tcW w:w="1302" w:type="dxa"/>
            <w:tcBorders>
              <w:top w:val="nil"/>
              <w:left w:val="nil"/>
              <w:bottom w:val="single" w:sz="8" w:space="0" w:color="auto"/>
              <w:right w:val="single" w:sz="8" w:space="0" w:color="auto"/>
            </w:tcBorders>
            <w:shd w:val="clear" w:color="auto" w:fill="auto"/>
            <w:noWrap/>
            <w:vAlign w:val="center"/>
            <w:hideMark/>
          </w:tcPr>
          <w:p w14:paraId="1635B45A"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101</w:t>
            </w:r>
          </w:p>
        </w:tc>
        <w:tc>
          <w:tcPr>
            <w:tcW w:w="1772" w:type="dxa"/>
            <w:tcBorders>
              <w:top w:val="nil"/>
              <w:left w:val="nil"/>
              <w:bottom w:val="single" w:sz="8" w:space="0" w:color="auto"/>
              <w:right w:val="single" w:sz="8" w:space="0" w:color="auto"/>
            </w:tcBorders>
            <w:shd w:val="clear" w:color="auto" w:fill="auto"/>
            <w:noWrap/>
            <w:vAlign w:val="center"/>
            <w:hideMark/>
          </w:tcPr>
          <w:p w14:paraId="2554AD59"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169</w:t>
            </w:r>
          </w:p>
        </w:tc>
        <w:tc>
          <w:tcPr>
            <w:tcW w:w="3000" w:type="dxa"/>
            <w:tcBorders>
              <w:top w:val="nil"/>
              <w:left w:val="nil"/>
              <w:bottom w:val="single" w:sz="8" w:space="0" w:color="auto"/>
              <w:right w:val="single" w:sz="8" w:space="0" w:color="auto"/>
            </w:tcBorders>
            <w:shd w:val="clear" w:color="auto" w:fill="auto"/>
            <w:noWrap/>
            <w:vAlign w:val="center"/>
            <w:hideMark/>
          </w:tcPr>
          <w:p w14:paraId="3C8B0234"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67.30%</w:t>
            </w:r>
          </w:p>
        </w:tc>
      </w:tr>
      <w:tr w:rsidR="000D69A1" w:rsidRPr="000D69A1" w14:paraId="2A2CDF41"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2903C497"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SNC Labor</w:t>
            </w:r>
          </w:p>
        </w:tc>
        <w:tc>
          <w:tcPr>
            <w:tcW w:w="1302" w:type="dxa"/>
            <w:tcBorders>
              <w:top w:val="nil"/>
              <w:left w:val="nil"/>
              <w:bottom w:val="single" w:sz="8" w:space="0" w:color="auto"/>
              <w:right w:val="single" w:sz="8" w:space="0" w:color="auto"/>
            </w:tcBorders>
            <w:shd w:val="clear" w:color="auto" w:fill="auto"/>
            <w:noWrap/>
            <w:vAlign w:val="center"/>
            <w:hideMark/>
          </w:tcPr>
          <w:p w14:paraId="1099A69B"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1,337</w:t>
            </w:r>
          </w:p>
        </w:tc>
        <w:tc>
          <w:tcPr>
            <w:tcW w:w="1772" w:type="dxa"/>
            <w:tcBorders>
              <w:top w:val="nil"/>
              <w:left w:val="nil"/>
              <w:bottom w:val="single" w:sz="8" w:space="0" w:color="auto"/>
              <w:right w:val="single" w:sz="8" w:space="0" w:color="auto"/>
            </w:tcBorders>
            <w:shd w:val="clear" w:color="auto" w:fill="auto"/>
            <w:noWrap/>
            <w:vAlign w:val="center"/>
            <w:hideMark/>
          </w:tcPr>
          <w:p w14:paraId="7199424D"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2,794</w:t>
            </w:r>
          </w:p>
        </w:tc>
        <w:tc>
          <w:tcPr>
            <w:tcW w:w="3000" w:type="dxa"/>
            <w:tcBorders>
              <w:top w:val="nil"/>
              <w:left w:val="nil"/>
              <w:bottom w:val="single" w:sz="8" w:space="0" w:color="auto"/>
              <w:right w:val="single" w:sz="8" w:space="0" w:color="auto"/>
            </w:tcBorders>
            <w:shd w:val="clear" w:color="auto" w:fill="auto"/>
            <w:noWrap/>
            <w:vAlign w:val="center"/>
            <w:hideMark/>
          </w:tcPr>
          <w:p w14:paraId="1F917471"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109.00%</w:t>
            </w:r>
          </w:p>
        </w:tc>
      </w:tr>
      <w:tr w:rsidR="000D69A1" w:rsidRPr="000D69A1" w14:paraId="552F231C"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167D900A"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Subcontracts</w:t>
            </w:r>
          </w:p>
        </w:tc>
        <w:tc>
          <w:tcPr>
            <w:tcW w:w="1302" w:type="dxa"/>
            <w:tcBorders>
              <w:top w:val="nil"/>
              <w:left w:val="nil"/>
              <w:bottom w:val="single" w:sz="8" w:space="0" w:color="auto"/>
              <w:right w:val="single" w:sz="8" w:space="0" w:color="auto"/>
            </w:tcBorders>
            <w:shd w:val="clear" w:color="auto" w:fill="auto"/>
            <w:noWrap/>
            <w:vAlign w:val="center"/>
            <w:hideMark/>
          </w:tcPr>
          <w:p w14:paraId="6A0B97C9"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1,360</w:t>
            </w:r>
          </w:p>
        </w:tc>
        <w:tc>
          <w:tcPr>
            <w:tcW w:w="1772" w:type="dxa"/>
            <w:tcBorders>
              <w:top w:val="nil"/>
              <w:left w:val="nil"/>
              <w:bottom w:val="single" w:sz="8" w:space="0" w:color="auto"/>
              <w:right w:val="single" w:sz="8" w:space="0" w:color="auto"/>
            </w:tcBorders>
            <w:shd w:val="clear" w:color="auto" w:fill="auto"/>
            <w:noWrap/>
            <w:vAlign w:val="center"/>
            <w:hideMark/>
          </w:tcPr>
          <w:p w14:paraId="59CAF726"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1,849</w:t>
            </w:r>
          </w:p>
        </w:tc>
        <w:tc>
          <w:tcPr>
            <w:tcW w:w="3000" w:type="dxa"/>
            <w:tcBorders>
              <w:top w:val="nil"/>
              <w:left w:val="nil"/>
              <w:bottom w:val="single" w:sz="8" w:space="0" w:color="auto"/>
              <w:right w:val="single" w:sz="8" w:space="0" w:color="auto"/>
            </w:tcBorders>
            <w:shd w:val="clear" w:color="auto" w:fill="auto"/>
            <w:noWrap/>
            <w:vAlign w:val="center"/>
            <w:hideMark/>
          </w:tcPr>
          <w:p w14:paraId="5A7853AE"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36.00%</w:t>
            </w:r>
          </w:p>
        </w:tc>
      </w:tr>
      <w:tr w:rsidR="000D69A1" w:rsidRPr="000D69A1" w14:paraId="12CB993D"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0C62CE67" w14:textId="77777777" w:rsidR="000D69A1" w:rsidRPr="000D69A1" w:rsidRDefault="000D69A1" w:rsidP="000D69A1">
            <w:pPr>
              <w:rPr>
                <w:rFonts w:ascii="Calibri" w:hAnsi="Calibri" w:cs="Calibri"/>
                <w:color w:val="000000"/>
                <w:szCs w:val="24"/>
              </w:rPr>
            </w:pPr>
            <w:proofErr w:type="spellStart"/>
            <w:r w:rsidRPr="000D69A1">
              <w:rPr>
                <w:rFonts w:ascii="Calibri" w:hAnsi="Calibri" w:cs="Calibri"/>
                <w:color w:val="000000"/>
                <w:szCs w:val="24"/>
              </w:rPr>
              <w:t>Distributables</w:t>
            </w:r>
            <w:proofErr w:type="spellEnd"/>
          </w:p>
        </w:tc>
        <w:tc>
          <w:tcPr>
            <w:tcW w:w="1302" w:type="dxa"/>
            <w:tcBorders>
              <w:top w:val="nil"/>
              <w:left w:val="nil"/>
              <w:bottom w:val="single" w:sz="8" w:space="0" w:color="auto"/>
              <w:right w:val="single" w:sz="8" w:space="0" w:color="auto"/>
            </w:tcBorders>
            <w:shd w:val="clear" w:color="auto" w:fill="auto"/>
            <w:noWrap/>
            <w:vAlign w:val="center"/>
            <w:hideMark/>
          </w:tcPr>
          <w:p w14:paraId="4595081B"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208</w:t>
            </w:r>
          </w:p>
        </w:tc>
        <w:tc>
          <w:tcPr>
            <w:tcW w:w="1772" w:type="dxa"/>
            <w:tcBorders>
              <w:top w:val="nil"/>
              <w:left w:val="nil"/>
              <w:bottom w:val="single" w:sz="8" w:space="0" w:color="auto"/>
              <w:right w:val="single" w:sz="8" w:space="0" w:color="auto"/>
            </w:tcBorders>
            <w:shd w:val="clear" w:color="auto" w:fill="auto"/>
            <w:noWrap/>
            <w:vAlign w:val="center"/>
            <w:hideMark/>
          </w:tcPr>
          <w:p w14:paraId="0164C09D"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330</w:t>
            </w:r>
          </w:p>
        </w:tc>
        <w:tc>
          <w:tcPr>
            <w:tcW w:w="3000" w:type="dxa"/>
            <w:tcBorders>
              <w:top w:val="nil"/>
              <w:left w:val="nil"/>
              <w:bottom w:val="single" w:sz="8" w:space="0" w:color="auto"/>
              <w:right w:val="single" w:sz="8" w:space="0" w:color="auto"/>
            </w:tcBorders>
            <w:shd w:val="clear" w:color="auto" w:fill="auto"/>
            <w:noWrap/>
            <w:vAlign w:val="center"/>
            <w:hideMark/>
          </w:tcPr>
          <w:p w14:paraId="113E017B"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58.70%</w:t>
            </w:r>
          </w:p>
        </w:tc>
      </w:tr>
      <w:tr w:rsidR="000D69A1" w:rsidRPr="000D69A1" w14:paraId="7073709B" w14:textId="77777777" w:rsidTr="000D69A1">
        <w:trPr>
          <w:trHeight w:val="324"/>
          <w:jc w:val="center"/>
        </w:trPr>
        <w:tc>
          <w:tcPr>
            <w:tcW w:w="2946" w:type="dxa"/>
            <w:tcBorders>
              <w:top w:val="nil"/>
              <w:left w:val="single" w:sz="8" w:space="0" w:color="auto"/>
              <w:bottom w:val="single" w:sz="8" w:space="0" w:color="auto"/>
              <w:right w:val="single" w:sz="8" w:space="0" w:color="auto"/>
            </w:tcBorders>
            <w:shd w:val="clear" w:color="auto" w:fill="auto"/>
            <w:noWrap/>
            <w:vAlign w:val="center"/>
            <w:hideMark/>
          </w:tcPr>
          <w:p w14:paraId="27C27810" w14:textId="77777777" w:rsidR="000D69A1" w:rsidRPr="000D69A1" w:rsidRDefault="000D69A1" w:rsidP="000D69A1">
            <w:pPr>
              <w:rPr>
                <w:rFonts w:ascii="Calibri" w:hAnsi="Calibri" w:cs="Calibri"/>
                <w:color w:val="000000"/>
                <w:szCs w:val="24"/>
              </w:rPr>
            </w:pPr>
            <w:r w:rsidRPr="000D69A1">
              <w:rPr>
                <w:rFonts w:ascii="Calibri" w:hAnsi="Calibri" w:cs="Calibri"/>
                <w:color w:val="000000"/>
                <w:szCs w:val="24"/>
              </w:rPr>
              <w:t>Owner's Cost</w:t>
            </w:r>
          </w:p>
        </w:tc>
        <w:tc>
          <w:tcPr>
            <w:tcW w:w="1302" w:type="dxa"/>
            <w:tcBorders>
              <w:top w:val="nil"/>
              <w:left w:val="nil"/>
              <w:bottom w:val="single" w:sz="8" w:space="0" w:color="auto"/>
              <w:right w:val="single" w:sz="8" w:space="0" w:color="auto"/>
            </w:tcBorders>
            <w:shd w:val="clear" w:color="auto" w:fill="auto"/>
            <w:noWrap/>
            <w:vAlign w:val="center"/>
            <w:hideMark/>
          </w:tcPr>
          <w:p w14:paraId="6A84D72A"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474</w:t>
            </w:r>
          </w:p>
        </w:tc>
        <w:tc>
          <w:tcPr>
            <w:tcW w:w="1772" w:type="dxa"/>
            <w:tcBorders>
              <w:top w:val="nil"/>
              <w:left w:val="nil"/>
              <w:bottom w:val="single" w:sz="8" w:space="0" w:color="auto"/>
              <w:right w:val="single" w:sz="8" w:space="0" w:color="auto"/>
            </w:tcBorders>
            <w:shd w:val="clear" w:color="auto" w:fill="auto"/>
            <w:noWrap/>
            <w:vAlign w:val="center"/>
            <w:hideMark/>
          </w:tcPr>
          <w:p w14:paraId="053F442F"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632</w:t>
            </w:r>
          </w:p>
        </w:tc>
        <w:tc>
          <w:tcPr>
            <w:tcW w:w="3000" w:type="dxa"/>
            <w:tcBorders>
              <w:top w:val="nil"/>
              <w:left w:val="nil"/>
              <w:bottom w:val="single" w:sz="8" w:space="0" w:color="auto"/>
              <w:right w:val="single" w:sz="8" w:space="0" w:color="auto"/>
            </w:tcBorders>
            <w:shd w:val="clear" w:color="auto" w:fill="auto"/>
            <w:noWrap/>
            <w:vAlign w:val="center"/>
            <w:hideMark/>
          </w:tcPr>
          <w:p w14:paraId="672779AB" w14:textId="77777777" w:rsidR="000D69A1" w:rsidRPr="000D69A1" w:rsidRDefault="000D69A1" w:rsidP="000D69A1">
            <w:pPr>
              <w:jc w:val="center"/>
              <w:rPr>
                <w:rFonts w:ascii="Calibri" w:hAnsi="Calibri" w:cs="Calibri"/>
                <w:color w:val="000000"/>
                <w:szCs w:val="24"/>
              </w:rPr>
            </w:pPr>
            <w:r w:rsidRPr="000D69A1">
              <w:rPr>
                <w:rFonts w:ascii="Calibri" w:hAnsi="Calibri" w:cs="Calibri"/>
                <w:color w:val="000000"/>
                <w:szCs w:val="24"/>
              </w:rPr>
              <w:t>33.30%</w:t>
            </w:r>
          </w:p>
        </w:tc>
      </w:tr>
    </w:tbl>
    <w:p w14:paraId="40F7D0CF" w14:textId="77777777" w:rsidR="00066229" w:rsidRDefault="00066229" w:rsidP="00066229">
      <w:pPr>
        <w:jc w:val="center"/>
        <w:rPr>
          <w:b/>
          <w:szCs w:val="24"/>
          <w:highlight w:val="yellow"/>
        </w:rPr>
      </w:pPr>
    </w:p>
    <w:p w14:paraId="15EFCC97" w14:textId="77777777" w:rsidR="005A3094" w:rsidRDefault="005A3094" w:rsidP="005A3094">
      <w:pPr>
        <w:spacing w:after="160" w:line="259" w:lineRule="auto"/>
        <w:jc w:val="both"/>
        <w:rPr>
          <w:lang w:val="en-AU"/>
        </w:rPr>
      </w:pPr>
      <w:r>
        <w:rPr>
          <w:lang w:val="en-AU"/>
        </w:rPr>
        <w:t xml:space="preserve">For categories where some performance measurement was used none of the budget growth was re-planned or provided with a basis of where that scope could also be earned. </w:t>
      </w:r>
    </w:p>
    <w:p w14:paraId="2B886BC3" w14:textId="77777777" w:rsidR="005A3094" w:rsidRDefault="005A3094" w:rsidP="005A3094">
      <w:pPr>
        <w:spacing w:after="160" w:line="259" w:lineRule="auto"/>
        <w:jc w:val="both"/>
        <w:rPr>
          <w:lang w:val="en-AU"/>
        </w:rPr>
      </w:pPr>
      <w:r>
        <w:rPr>
          <w:lang w:val="en-AU"/>
        </w:rPr>
        <w:t xml:space="preserve">Construction and subcontracts were the two areas where </w:t>
      </w:r>
      <w:proofErr w:type="spellStart"/>
      <w:r>
        <w:rPr>
          <w:lang w:val="en-AU"/>
        </w:rPr>
        <w:t>EVMS</w:t>
      </w:r>
      <w:proofErr w:type="spellEnd"/>
      <w:r>
        <w:rPr>
          <w:lang w:val="en-AU"/>
        </w:rPr>
        <w:t xml:space="preserve"> guidelines were followed with deficiencies as highlighted elsewhere in this report.</w:t>
      </w:r>
    </w:p>
    <w:p w14:paraId="2B9AE671" w14:textId="744A8DFE" w:rsidR="005A3094" w:rsidRDefault="005A3094" w:rsidP="005A3094">
      <w:pPr>
        <w:spacing w:after="160" w:line="259" w:lineRule="auto"/>
        <w:jc w:val="both"/>
        <w:rPr>
          <w:b/>
          <w:bCs/>
          <w:lang w:val="en-AU"/>
        </w:rPr>
      </w:pPr>
    </w:p>
    <w:p w14:paraId="70874547" w14:textId="333EA3C9" w:rsidR="005A3094" w:rsidRDefault="005A3094" w:rsidP="005A3094">
      <w:pPr>
        <w:spacing w:after="160" w:line="259" w:lineRule="auto"/>
        <w:jc w:val="both"/>
        <w:rPr>
          <w:lang w:val="en-AU"/>
        </w:rPr>
      </w:pPr>
      <w:r>
        <w:rPr>
          <w:b/>
          <w:bCs/>
          <w:lang w:val="en-AU"/>
        </w:rPr>
        <w:t xml:space="preserve">3.3.3 Detailed Reporting of Over 100% Complete:  </w:t>
      </w:r>
      <w:r>
        <w:rPr>
          <w:lang w:val="en-AU"/>
        </w:rPr>
        <w:t xml:space="preserve">In addition to what has been discussed above in terms of over-reporting of progress after the April 2019 baseline, there is additional evidence of Project over-reporting.  To illustrate, </w:t>
      </w:r>
      <w:r w:rsidRPr="00226E7E">
        <w:rPr>
          <w:lang w:val="en-AU"/>
        </w:rPr>
        <w:t xml:space="preserve">individual earned value accounts were throughout the years overstating </w:t>
      </w:r>
      <w:r>
        <w:rPr>
          <w:lang w:val="en-AU"/>
        </w:rPr>
        <w:t xml:space="preserve">Project status at more than 100%, which with a properly administered </w:t>
      </w:r>
      <w:proofErr w:type="spellStart"/>
      <w:r>
        <w:rPr>
          <w:lang w:val="en-AU"/>
        </w:rPr>
        <w:t>EVMS</w:t>
      </w:r>
      <w:proofErr w:type="spellEnd"/>
      <w:r>
        <w:rPr>
          <w:lang w:val="en-AU"/>
        </w:rPr>
        <w:t xml:space="preserve"> should not be possible.  </w:t>
      </w:r>
      <w:r w:rsidR="00475691">
        <w:rPr>
          <w:lang w:val="en-AU"/>
        </w:rPr>
        <w:t xml:space="preserve">For </w:t>
      </w:r>
      <w:r>
        <w:rPr>
          <w:lang w:val="en-AU"/>
        </w:rPr>
        <w:t>ITP</w:t>
      </w:r>
      <w:r w:rsidR="00475691">
        <w:rPr>
          <w:lang w:val="en-AU"/>
        </w:rPr>
        <w:t>, as an example, the number of activities completed divided by the total number of activities</w:t>
      </w:r>
      <w:r>
        <w:rPr>
          <w:lang w:val="en-AU"/>
        </w:rPr>
        <w:t xml:space="preserve"> was used as a basis for reporting percent complete</w:t>
      </w:r>
      <w:r w:rsidR="00475691">
        <w:rPr>
          <w:lang w:val="en-AU"/>
        </w:rPr>
        <w:t xml:space="preserve">.  And although </w:t>
      </w:r>
      <w:proofErr w:type="spellStart"/>
      <w:r w:rsidR="00475691">
        <w:rPr>
          <w:lang w:val="en-AU"/>
        </w:rPr>
        <w:t>EVMS</w:t>
      </w:r>
      <w:proofErr w:type="spellEnd"/>
      <w:r w:rsidR="00475691">
        <w:rPr>
          <w:lang w:val="en-AU"/>
        </w:rPr>
        <w:t xml:space="preserve"> guidelines recommend using resource hours, if we accept this method the reporting (as reporting in paragraph (a) below) was deficient, as </w:t>
      </w:r>
      <w:proofErr w:type="gramStart"/>
      <w:r w:rsidR="00475691">
        <w:rPr>
          <w:lang w:val="en-AU"/>
        </w:rPr>
        <w:t>were</w:t>
      </w:r>
      <w:proofErr w:type="gramEnd"/>
      <w:r w:rsidR="00475691">
        <w:rPr>
          <w:lang w:val="en-AU"/>
        </w:rPr>
        <w:t xml:space="preserve"> other areas as are also explained below. </w:t>
      </w:r>
    </w:p>
    <w:p w14:paraId="1079B8E5" w14:textId="7339AAEC" w:rsidR="005A3094" w:rsidRDefault="005A3094" w:rsidP="005A3094">
      <w:pPr>
        <w:pStyle w:val="ListParagraph"/>
        <w:numPr>
          <w:ilvl w:val="0"/>
          <w:numId w:val="43"/>
        </w:numPr>
        <w:spacing w:after="160" w:line="259" w:lineRule="auto"/>
        <w:contextualSpacing/>
        <w:jc w:val="both"/>
        <w:rPr>
          <w:lang w:val="en-AU"/>
        </w:rPr>
      </w:pPr>
      <w:r>
        <w:rPr>
          <w:lang w:val="en-AU"/>
        </w:rPr>
        <w:t xml:space="preserve">For ITP, as scope was added (e.g., additional ITP activities were added in the IPS, from 46,000 at the 2019 Baseline to 52,000 soon thereafter) the Project earned against all activities old and new but used the original basis to calculate percent complete which resulted in over reporting percent complete.  So, as an example, if there were originally 100 ITP activities in the baseline, when 50 of these were completed, the project would correctly report 50% complete. However, assuming 100 activities were added, the IPS </w:t>
      </w:r>
      <w:r w:rsidR="00DD023C">
        <w:rPr>
          <w:lang w:val="en-AU"/>
        </w:rPr>
        <w:t xml:space="preserve">now </w:t>
      </w:r>
      <w:r>
        <w:rPr>
          <w:lang w:val="en-AU"/>
        </w:rPr>
        <w:t xml:space="preserve">has 200 activities, the percent complete of 50 activities completed should be reported as 25%.   </w:t>
      </w:r>
      <w:r w:rsidR="003C050B">
        <w:rPr>
          <w:lang w:val="en-AU"/>
        </w:rPr>
        <w:t>T</w:t>
      </w:r>
      <w:r w:rsidRPr="009925A7">
        <w:rPr>
          <w:lang w:val="en-AU"/>
        </w:rPr>
        <w:t xml:space="preserve">he </w:t>
      </w:r>
      <w:r>
        <w:rPr>
          <w:lang w:val="en-AU"/>
        </w:rPr>
        <w:t>P</w:t>
      </w:r>
      <w:r w:rsidRPr="009925A7">
        <w:rPr>
          <w:lang w:val="en-AU"/>
        </w:rPr>
        <w:t xml:space="preserve">roject continued to over report even after it was brought to their attention and only towards the end made the corrections. </w:t>
      </w:r>
    </w:p>
    <w:p w14:paraId="28B6E5A9" w14:textId="77777777" w:rsidR="005A3094" w:rsidRDefault="005A3094" w:rsidP="005A3094">
      <w:pPr>
        <w:pStyle w:val="ListParagraph"/>
        <w:spacing w:after="160" w:line="259" w:lineRule="auto"/>
        <w:ind w:left="1080"/>
        <w:jc w:val="both"/>
        <w:rPr>
          <w:lang w:val="en-AU"/>
        </w:rPr>
      </w:pPr>
    </w:p>
    <w:p w14:paraId="0B954E47" w14:textId="1A1BDDFB" w:rsidR="005A3094" w:rsidRDefault="005A3094" w:rsidP="005A3094">
      <w:pPr>
        <w:pStyle w:val="ListParagraph"/>
        <w:numPr>
          <w:ilvl w:val="0"/>
          <w:numId w:val="43"/>
        </w:numPr>
        <w:spacing w:after="160" w:line="259" w:lineRule="auto"/>
        <w:contextualSpacing/>
        <w:jc w:val="both"/>
        <w:rPr>
          <w:lang w:val="en-AU"/>
        </w:rPr>
      </w:pPr>
      <w:r w:rsidRPr="009925A7">
        <w:rPr>
          <w:lang w:val="en-AU"/>
        </w:rPr>
        <w:t xml:space="preserve">Construction Specific examples where progress has been over overstated can be seen from the March 2020 QURRs.  </w:t>
      </w:r>
      <w:r w:rsidRPr="00EA51DC">
        <w:rPr>
          <w:lang w:val="en-AU"/>
        </w:rPr>
        <w:t>These “detailed” over-</w:t>
      </w:r>
      <w:r w:rsidR="004B4FC2" w:rsidRPr="00EA51DC">
        <w:rPr>
          <w:lang w:val="en-AU"/>
        </w:rPr>
        <w:t>reporting’s</w:t>
      </w:r>
      <w:r w:rsidRPr="00EA51DC">
        <w:rPr>
          <w:lang w:val="en-AU"/>
        </w:rPr>
        <w:t xml:space="preserve"> would then contribute to an over-reporting of the </w:t>
      </w:r>
      <w:r>
        <w:rPr>
          <w:lang w:val="en-AU"/>
        </w:rPr>
        <w:t>Project</w:t>
      </w:r>
      <w:r w:rsidRPr="00EA51DC">
        <w:rPr>
          <w:lang w:val="en-AU"/>
        </w:rPr>
        <w:t>.</w:t>
      </w:r>
      <w:r w:rsidRPr="009925A7">
        <w:rPr>
          <w:lang w:val="en-AU"/>
        </w:rPr>
        <w:t xml:space="preserve"> </w:t>
      </w:r>
    </w:p>
    <w:p w14:paraId="79E8B103" w14:textId="77777777" w:rsidR="005A3094" w:rsidRPr="009925A7" w:rsidRDefault="005A3094" w:rsidP="005A3094">
      <w:pPr>
        <w:pStyle w:val="ListParagraph"/>
        <w:spacing w:after="160" w:line="259" w:lineRule="auto"/>
        <w:jc w:val="both"/>
        <w:rPr>
          <w:lang w:val="en-AU"/>
        </w:rPr>
      </w:pPr>
    </w:p>
    <w:p w14:paraId="6EDBBB45" w14:textId="6A14B9FD"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XXXXXXXXXXXXXXXXXXXXXXXXXXXXXXXXXXXXXXXXX</w:t>
      </w:r>
      <w:proofErr w:type="spellEnd"/>
    </w:p>
    <w:p w14:paraId="7EAC3794" w14:textId="0087ED29"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w:t>
      </w:r>
      <w:proofErr w:type="spellEnd"/>
    </w:p>
    <w:p w14:paraId="2FDD302A" w14:textId="5E8F46D0"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w:t>
      </w:r>
      <w:proofErr w:type="spellEnd"/>
    </w:p>
    <w:p w14:paraId="538D776D" w14:textId="30A89165"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w:t>
      </w:r>
      <w:proofErr w:type="spellEnd"/>
    </w:p>
    <w:p w14:paraId="752B64F7" w14:textId="09DB288E"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w:t>
      </w:r>
      <w:proofErr w:type="spellEnd"/>
    </w:p>
    <w:p w14:paraId="1CCD45CD" w14:textId="4CD3B2E1"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w:t>
      </w:r>
      <w:proofErr w:type="spellEnd"/>
    </w:p>
    <w:p w14:paraId="09FB9CDF" w14:textId="4916048D"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w:t>
      </w:r>
      <w:proofErr w:type="spellEnd"/>
    </w:p>
    <w:p w14:paraId="14BDD0DC" w14:textId="4509A451"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XXXXXXXXXXXXXXXXXXXXXXXXXXXXXXXXXXXXXX</w:t>
      </w:r>
      <w:proofErr w:type="spellEnd"/>
    </w:p>
    <w:p w14:paraId="51024417" w14:textId="6DEDFB72"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w:t>
      </w:r>
      <w:proofErr w:type="spellEnd"/>
    </w:p>
    <w:p w14:paraId="5EFAFAB9" w14:textId="7D70B778"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w:t>
      </w:r>
      <w:proofErr w:type="spellEnd"/>
    </w:p>
    <w:p w14:paraId="5D717946" w14:textId="32CCA406" w:rsidR="005A3094" w:rsidRPr="006D2FF2" w:rsidRDefault="006D2FF2" w:rsidP="005A3094">
      <w:pPr>
        <w:pStyle w:val="ListParagraph"/>
        <w:numPr>
          <w:ilvl w:val="0"/>
          <w:numId w:val="44"/>
        </w:numPr>
        <w:spacing w:after="160" w:line="259" w:lineRule="auto"/>
        <w:contextualSpacing/>
        <w:rPr>
          <w:highlight w:val="black"/>
          <w:u w:val="single"/>
          <w:lang w:val="en-AU"/>
        </w:rPr>
      </w:pPr>
      <w:proofErr w:type="spellStart"/>
      <w:r w:rsidRPr="006D2FF2">
        <w:rPr>
          <w:highlight w:val="black"/>
          <w:lang w:val="en-AU"/>
        </w:rPr>
        <w:t>XXXXXXXXXXXXXXXXXXXXXXXXXXXXXXXXXXXXXXXX</w:t>
      </w:r>
      <w:proofErr w:type="spellEnd"/>
    </w:p>
    <w:p w14:paraId="65466C1C" w14:textId="7DF60550"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w:t>
      </w:r>
      <w:proofErr w:type="spellEnd"/>
    </w:p>
    <w:p w14:paraId="59AE6DC6" w14:textId="02EFA0C1"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XXXXXXXXXXXXXXXXXXXXXXXXXXXXXXXXXXXXXX</w:t>
      </w:r>
      <w:proofErr w:type="spellEnd"/>
    </w:p>
    <w:p w14:paraId="13B62B96" w14:textId="63353EAB"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XXXXXXXXXXXXXXXXXXXXXXXXXXXXXXXXXXXXXXXX</w:t>
      </w:r>
      <w:proofErr w:type="spellEnd"/>
    </w:p>
    <w:p w14:paraId="4EB2C71F" w14:textId="48B45692"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XXXXXXXXXXXXXXXXXXXXXXXXXXXXXXXXXXX</w:t>
      </w:r>
      <w:proofErr w:type="spellEnd"/>
    </w:p>
    <w:p w14:paraId="3B8DE1DB" w14:textId="5B573CFB" w:rsidR="005A3094" w:rsidRPr="006D2FF2" w:rsidRDefault="006D2FF2" w:rsidP="005A3094">
      <w:pPr>
        <w:pStyle w:val="ListParagraph"/>
        <w:numPr>
          <w:ilvl w:val="0"/>
          <w:numId w:val="44"/>
        </w:numPr>
        <w:spacing w:after="160" w:line="259" w:lineRule="auto"/>
        <w:contextualSpacing/>
        <w:rPr>
          <w:highlight w:val="black"/>
          <w:lang w:val="en-AU"/>
        </w:rPr>
      </w:pPr>
      <w:proofErr w:type="spellStart"/>
      <w:r w:rsidRPr="006D2FF2">
        <w:rPr>
          <w:highlight w:val="black"/>
          <w:lang w:val="en-AU"/>
        </w:rPr>
        <w:t>XXXXXXXXXXXXXXXXXXXXXXXXXXXXXXXXX</w:t>
      </w:r>
      <w:proofErr w:type="spellEnd"/>
    </w:p>
    <w:p w14:paraId="4D1E501F" w14:textId="0AFE21C5" w:rsidR="005A3094" w:rsidRPr="006D2FF2" w:rsidRDefault="006D2FF2" w:rsidP="005A3094">
      <w:pPr>
        <w:pStyle w:val="ListParagraph"/>
        <w:numPr>
          <w:ilvl w:val="0"/>
          <w:numId w:val="44"/>
        </w:numPr>
        <w:spacing w:after="160" w:line="259" w:lineRule="auto"/>
        <w:contextualSpacing/>
        <w:rPr>
          <w:b/>
          <w:bCs/>
          <w:highlight w:val="black"/>
        </w:rPr>
      </w:pPr>
      <w:proofErr w:type="spellStart"/>
      <w:r w:rsidRPr="006D2FF2">
        <w:rPr>
          <w:highlight w:val="black"/>
          <w:lang w:val="en-AU"/>
        </w:rPr>
        <w:t>XXXXXXXXXXXXXXXXXXXXXXXXXXXXXXXXXXXXX</w:t>
      </w:r>
      <w:proofErr w:type="spellEnd"/>
    </w:p>
    <w:p w14:paraId="1EF48CA1" w14:textId="562F19F6" w:rsidR="005A3094" w:rsidRDefault="005A3094" w:rsidP="005A3094">
      <w:pPr>
        <w:jc w:val="both"/>
      </w:pPr>
      <w:r>
        <w:rPr>
          <w:b/>
          <w:bCs/>
        </w:rPr>
        <w:t xml:space="preserve">3.3.4 Reporting of “Non-Existent” Schedule Margin:  </w:t>
      </w:r>
      <w:r>
        <w:t xml:space="preserve">Even though the Project has always had an unachievable Site Work Plan, the Project schedule status was reported as “having margin between the SWP schedule and the </w:t>
      </w:r>
      <w:r w:rsidR="00475691">
        <w:t xml:space="preserve">Commission </w:t>
      </w:r>
      <w:r>
        <w:t xml:space="preserve">Regulatory Approved Schedule.”  If </w:t>
      </w:r>
      <w:proofErr w:type="gramStart"/>
      <w:r>
        <w:t>margin</w:t>
      </w:r>
      <w:proofErr w:type="gramEnd"/>
      <w:r>
        <w:t xml:space="preserve"> is to exist between an early date and a later date, this is true only if there is some measurable chance of the earlier date being achievable and that has never been the case.  Further, it was not until it became clear (e.g., as evidenced by the October 2021 MPR date </w:t>
      </w:r>
      <w:r w:rsidR="00475691">
        <w:t xml:space="preserve">entries </w:t>
      </w:r>
      <w:r>
        <w:t xml:space="preserve">in Table 3.3.4-1) that the regulatory dates could not be met (i.e., the alleged margin was approaching zero) did the Company start reporting in terms of the early SWP date, and the newly coined term “Risk Adjusted Schedule” (RAS) date.  As shown in Table 3.3.4-1, this latter reporting started in </w:t>
      </w:r>
      <w:r w:rsidRPr="00A739B2">
        <w:t xml:space="preserve">roughly </w:t>
      </w:r>
      <w:r>
        <w:t>October</w:t>
      </w:r>
      <w:r w:rsidRPr="00A739B2">
        <w:t xml:space="preserve"> 2021</w:t>
      </w:r>
      <w:r>
        <w:t xml:space="preserve"> (i.e., not until it was obvious that the November 2021 U-3 COD could not be achieved), yet as it happened was not achieved until July 2023).</w:t>
      </w:r>
    </w:p>
    <w:p w14:paraId="75598006" w14:textId="77777777" w:rsidR="009C0F08" w:rsidRDefault="009C0F08" w:rsidP="005A3094">
      <w:pPr>
        <w:jc w:val="both"/>
      </w:pPr>
    </w:p>
    <w:p w14:paraId="4AAE1AC5" w14:textId="77777777" w:rsidR="00715E2A" w:rsidRDefault="00715E2A" w:rsidP="005A3094">
      <w:pPr>
        <w:jc w:val="both"/>
      </w:pPr>
    </w:p>
    <w:p w14:paraId="22255E0F" w14:textId="77777777" w:rsidR="00715E2A" w:rsidRDefault="00715E2A" w:rsidP="005A3094">
      <w:pPr>
        <w:jc w:val="both"/>
      </w:pPr>
    </w:p>
    <w:p w14:paraId="42BF6DE4" w14:textId="4B8BD489" w:rsidR="00715E2A" w:rsidRDefault="00715E2A">
      <w:r>
        <w:br w:type="page"/>
      </w:r>
    </w:p>
    <w:p w14:paraId="4E656D8D" w14:textId="77777777" w:rsidR="00715E2A" w:rsidRDefault="00715E2A" w:rsidP="005A3094">
      <w:pPr>
        <w:jc w:val="both"/>
      </w:pPr>
    </w:p>
    <w:p w14:paraId="0E1324D2" w14:textId="77777777" w:rsidR="00066229" w:rsidRDefault="00066229" w:rsidP="00066229">
      <w:pPr>
        <w:jc w:val="center"/>
        <w:rPr>
          <w:b/>
          <w:szCs w:val="24"/>
          <w:highlight w:val="yellow"/>
        </w:rPr>
      </w:pPr>
    </w:p>
    <w:tbl>
      <w:tblPr>
        <w:tblW w:w="8800" w:type="dxa"/>
        <w:jc w:val="center"/>
        <w:tblLook w:val="04A0" w:firstRow="1" w:lastRow="0" w:firstColumn="1" w:lastColumn="0" w:noHBand="0" w:noVBand="1"/>
      </w:tblPr>
      <w:tblGrid>
        <w:gridCol w:w="1216"/>
        <w:gridCol w:w="931"/>
        <w:gridCol w:w="1265"/>
        <w:gridCol w:w="1430"/>
        <w:gridCol w:w="1204"/>
        <w:gridCol w:w="2754"/>
      </w:tblGrid>
      <w:tr w:rsidR="00C31E9C" w:rsidRPr="00C31E9C" w14:paraId="33A70CC0" w14:textId="77777777" w:rsidTr="00C31E9C">
        <w:trPr>
          <w:trHeight w:val="624"/>
          <w:jc w:val="center"/>
        </w:trPr>
        <w:tc>
          <w:tcPr>
            <w:tcW w:w="8800" w:type="dxa"/>
            <w:gridSpan w:val="6"/>
            <w:tcBorders>
              <w:top w:val="single" w:sz="8" w:space="0" w:color="auto"/>
              <w:left w:val="single" w:sz="8" w:space="0" w:color="auto"/>
              <w:bottom w:val="single" w:sz="8" w:space="0" w:color="auto"/>
              <w:right w:val="single" w:sz="8" w:space="0" w:color="000000"/>
            </w:tcBorders>
            <w:shd w:val="clear" w:color="000000" w:fill="DDEBF7"/>
            <w:vAlign w:val="center"/>
            <w:hideMark/>
          </w:tcPr>
          <w:p w14:paraId="71DC8353" w14:textId="77777777" w:rsidR="00C31E9C" w:rsidRPr="00C31E9C" w:rsidRDefault="00C31E9C" w:rsidP="00C31E9C">
            <w:pPr>
              <w:jc w:val="center"/>
              <w:rPr>
                <w:b/>
                <w:bCs/>
                <w:color w:val="000000"/>
                <w:szCs w:val="24"/>
              </w:rPr>
            </w:pPr>
            <w:r w:rsidRPr="00C31E9C">
              <w:rPr>
                <w:b/>
                <w:bCs/>
                <w:color w:val="000000"/>
                <w:szCs w:val="24"/>
              </w:rPr>
              <w:t>Table 3.3.4-1; Company Reporting of “U-3 &amp; U-4 Schedule Margin”</w:t>
            </w:r>
          </w:p>
        </w:tc>
      </w:tr>
      <w:tr w:rsidR="004C2FFF" w:rsidRPr="00C31E9C" w14:paraId="17E6680E" w14:textId="77777777" w:rsidTr="00C31E9C">
        <w:trPr>
          <w:trHeight w:val="612"/>
          <w:jc w:val="center"/>
        </w:trPr>
        <w:tc>
          <w:tcPr>
            <w:tcW w:w="2060" w:type="dxa"/>
            <w:gridSpan w:val="2"/>
            <w:tcBorders>
              <w:top w:val="single" w:sz="8" w:space="0" w:color="auto"/>
              <w:left w:val="single" w:sz="8" w:space="0" w:color="auto"/>
              <w:bottom w:val="single" w:sz="8" w:space="0" w:color="auto"/>
              <w:right w:val="single" w:sz="8" w:space="0" w:color="000000"/>
            </w:tcBorders>
            <w:shd w:val="clear" w:color="000000" w:fill="FFF2CC"/>
            <w:vAlign w:val="center"/>
            <w:hideMark/>
          </w:tcPr>
          <w:p w14:paraId="2AA0F67F" w14:textId="77777777" w:rsidR="00C31E9C" w:rsidRPr="00C31E9C" w:rsidRDefault="00C31E9C" w:rsidP="00C31E9C">
            <w:pPr>
              <w:jc w:val="center"/>
              <w:rPr>
                <w:color w:val="000000"/>
                <w:szCs w:val="24"/>
              </w:rPr>
            </w:pPr>
            <w:r w:rsidRPr="00C31E9C">
              <w:rPr>
                <w:color w:val="000000"/>
                <w:szCs w:val="24"/>
              </w:rPr>
              <w:t>Data Source</w:t>
            </w:r>
          </w:p>
        </w:tc>
        <w:tc>
          <w:tcPr>
            <w:tcW w:w="134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C1D2A51" w14:textId="77777777" w:rsidR="00C31E9C" w:rsidRPr="00C31E9C" w:rsidRDefault="00C31E9C" w:rsidP="00C31E9C">
            <w:pPr>
              <w:jc w:val="center"/>
              <w:rPr>
                <w:color w:val="000000"/>
                <w:szCs w:val="24"/>
              </w:rPr>
            </w:pPr>
            <w:r w:rsidRPr="00C31E9C">
              <w:rPr>
                <w:color w:val="000000"/>
                <w:szCs w:val="24"/>
              </w:rPr>
              <w:t>Site Work Plan COD</w:t>
            </w:r>
          </w:p>
        </w:tc>
        <w:tc>
          <w:tcPr>
            <w:tcW w:w="118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5ED70DF" w14:textId="051E139D" w:rsidR="00C31E9C" w:rsidRPr="00C31E9C" w:rsidRDefault="004C2FFF" w:rsidP="00C31E9C">
            <w:pPr>
              <w:jc w:val="center"/>
              <w:rPr>
                <w:color w:val="000000"/>
                <w:szCs w:val="24"/>
              </w:rPr>
            </w:pPr>
            <w:r>
              <w:rPr>
                <w:color w:val="000000"/>
                <w:szCs w:val="24"/>
              </w:rPr>
              <w:t xml:space="preserve">Commission </w:t>
            </w:r>
            <w:proofErr w:type="gramStart"/>
            <w:r>
              <w:rPr>
                <w:color w:val="000000"/>
                <w:szCs w:val="24"/>
              </w:rPr>
              <w:t xml:space="preserve">Approved </w:t>
            </w:r>
            <w:r w:rsidR="00C31E9C" w:rsidRPr="00C31E9C">
              <w:rPr>
                <w:color w:val="000000"/>
                <w:szCs w:val="24"/>
              </w:rPr>
              <w:t xml:space="preserve"> COD</w:t>
            </w:r>
            <w:proofErr w:type="gramEnd"/>
          </w:p>
        </w:tc>
        <w:tc>
          <w:tcPr>
            <w:tcW w:w="122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10FCFD7" w14:textId="77777777" w:rsidR="00C31E9C" w:rsidRPr="00C31E9C" w:rsidRDefault="00C31E9C" w:rsidP="00C31E9C">
            <w:pPr>
              <w:jc w:val="center"/>
              <w:rPr>
                <w:color w:val="000000"/>
                <w:szCs w:val="24"/>
              </w:rPr>
            </w:pPr>
            <w:r w:rsidRPr="00C31E9C">
              <w:rPr>
                <w:color w:val="000000"/>
                <w:szCs w:val="24"/>
              </w:rPr>
              <w:t>Risk Adjusted Schedule COD</w:t>
            </w:r>
          </w:p>
        </w:tc>
        <w:tc>
          <w:tcPr>
            <w:tcW w:w="300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6A520C1" w14:textId="77777777" w:rsidR="00C31E9C" w:rsidRPr="00C31E9C" w:rsidRDefault="00C31E9C" w:rsidP="00C31E9C">
            <w:pPr>
              <w:jc w:val="center"/>
              <w:rPr>
                <w:color w:val="000000"/>
                <w:szCs w:val="24"/>
              </w:rPr>
            </w:pPr>
            <w:r w:rsidRPr="00C31E9C">
              <w:rPr>
                <w:color w:val="000000"/>
                <w:szCs w:val="24"/>
              </w:rPr>
              <w:t>Reported Schedule Margin</w:t>
            </w:r>
          </w:p>
        </w:tc>
      </w:tr>
      <w:tr w:rsidR="004C2FFF" w:rsidRPr="00C31E9C" w14:paraId="49AC46A3"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000000" w:fill="FFF2CC"/>
            <w:vAlign w:val="center"/>
            <w:hideMark/>
          </w:tcPr>
          <w:p w14:paraId="7D329B27" w14:textId="77777777" w:rsidR="00C31E9C" w:rsidRPr="00C31E9C" w:rsidRDefault="00C31E9C" w:rsidP="00C31E9C">
            <w:pPr>
              <w:jc w:val="center"/>
              <w:rPr>
                <w:color w:val="000000"/>
                <w:szCs w:val="24"/>
              </w:rPr>
            </w:pPr>
            <w:r w:rsidRPr="00C31E9C">
              <w:rPr>
                <w:color w:val="000000"/>
                <w:szCs w:val="24"/>
              </w:rPr>
              <w:t>Document</w:t>
            </w:r>
          </w:p>
        </w:tc>
        <w:tc>
          <w:tcPr>
            <w:tcW w:w="960" w:type="dxa"/>
            <w:tcBorders>
              <w:top w:val="nil"/>
              <w:left w:val="nil"/>
              <w:bottom w:val="single" w:sz="8" w:space="0" w:color="auto"/>
              <w:right w:val="single" w:sz="8" w:space="0" w:color="auto"/>
            </w:tcBorders>
            <w:shd w:val="clear" w:color="000000" w:fill="FFF2CC"/>
            <w:vAlign w:val="center"/>
            <w:hideMark/>
          </w:tcPr>
          <w:p w14:paraId="19771E9B" w14:textId="77777777" w:rsidR="00C31E9C" w:rsidRPr="00C31E9C" w:rsidRDefault="00C31E9C" w:rsidP="00C31E9C">
            <w:pPr>
              <w:jc w:val="center"/>
              <w:rPr>
                <w:color w:val="000000"/>
                <w:szCs w:val="24"/>
              </w:rPr>
            </w:pPr>
            <w:r w:rsidRPr="00C31E9C">
              <w:rPr>
                <w:color w:val="000000"/>
                <w:szCs w:val="24"/>
              </w:rPr>
              <w:t>Date</w:t>
            </w:r>
          </w:p>
        </w:tc>
        <w:tc>
          <w:tcPr>
            <w:tcW w:w="1340" w:type="dxa"/>
            <w:vMerge/>
            <w:tcBorders>
              <w:top w:val="nil"/>
              <w:left w:val="single" w:sz="8" w:space="0" w:color="auto"/>
              <w:bottom w:val="single" w:sz="8" w:space="0" w:color="000000"/>
              <w:right w:val="single" w:sz="8" w:space="0" w:color="auto"/>
            </w:tcBorders>
            <w:vAlign w:val="center"/>
            <w:hideMark/>
          </w:tcPr>
          <w:p w14:paraId="09DDE878" w14:textId="77777777" w:rsidR="00C31E9C" w:rsidRPr="00C31E9C" w:rsidRDefault="00C31E9C" w:rsidP="00C31E9C">
            <w:pPr>
              <w:rPr>
                <w:color w:val="000000"/>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212BF400" w14:textId="77777777" w:rsidR="00C31E9C" w:rsidRPr="00C31E9C" w:rsidRDefault="00C31E9C" w:rsidP="00C31E9C">
            <w:pPr>
              <w:rPr>
                <w:color w:val="000000"/>
                <w:szCs w:val="24"/>
              </w:rPr>
            </w:pPr>
          </w:p>
        </w:tc>
        <w:tc>
          <w:tcPr>
            <w:tcW w:w="1220" w:type="dxa"/>
            <w:vMerge/>
            <w:tcBorders>
              <w:top w:val="nil"/>
              <w:left w:val="single" w:sz="8" w:space="0" w:color="auto"/>
              <w:bottom w:val="single" w:sz="8" w:space="0" w:color="000000"/>
              <w:right w:val="single" w:sz="8" w:space="0" w:color="auto"/>
            </w:tcBorders>
            <w:vAlign w:val="center"/>
            <w:hideMark/>
          </w:tcPr>
          <w:p w14:paraId="2E3C6484" w14:textId="77777777" w:rsidR="00C31E9C" w:rsidRPr="00C31E9C" w:rsidRDefault="00C31E9C" w:rsidP="00C31E9C">
            <w:pPr>
              <w:rPr>
                <w:color w:val="000000"/>
                <w:szCs w:val="24"/>
              </w:rPr>
            </w:pPr>
          </w:p>
        </w:tc>
        <w:tc>
          <w:tcPr>
            <w:tcW w:w="3000" w:type="dxa"/>
            <w:vMerge/>
            <w:tcBorders>
              <w:top w:val="nil"/>
              <w:left w:val="single" w:sz="8" w:space="0" w:color="auto"/>
              <w:bottom w:val="single" w:sz="8" w:space="0" w:color="000000"/>
              <w:right w:val="single" w:sz="8" w:space="0" w:color="auto"/>
            </w:tcBorders>
            <w:vAlign w:val="center"/>
            <w:hideMark/>
          </w:tcPr>
          <w:p w14:paraId="5DE8DE7D" w14:textId="77777777" w:rsidR="00C31E9C" w:rsidRPr="00C31E9C" w:rsidRDefault="00C31E9C" w:rsidP="00C31E9C">
            <w:pPr>
              <w:rPr>
                <w:color w:val="000000"/>
                <w:szCs w:val="24"/>
              </w:rPr>
            </w:pPr>
          </w:p>
        </w:tc>
      </w:tr>
      <w:tr w:rsidR="004C2FFF" w:rsidRPr="00C31E9C" w14:paraId="03494D7E"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711EC443" w14:textId="77777777" w:rsidR="00C31E9C" w:rsidRPr="00C31E9C" w:rsidRDefault="00C31E9C" w:rsidP="00C31E9C">
            <w:pPr>
              <w:jc w:val="center"/>
              <w:rPr>
                <w:color w:val="000000"/>
                <w:szCs w:val="24"/>
              </w:rPr>
            </w:pPr>
            <w:r w:rsidRPr="00C31E9C">
              <w:rPr>
                <w:color w:val="000000"/>
                <w:szCs w:val="24"/>
              </w:rPr>
              <w:t>Unit 3:</w:t>
            </w:r>
          </w:p>
        </w:tc>
        <w:tc>
          <w:tcPr>
            <w:tcW w:w="960" w:type="dxa"/>
            <w:tcBorders>
              <w:top w:val="nil"/>
              <w:left w:val="nil"/>
              <w:bottom w:val="single" w:sz="8" w:space="0" w:color="auto"/>
              <w:right w:val="single" w:sz="8" w:space="0" w:color="auto"/>
            </w:tcBorders>
            <w:shd w:val="clear" w:color="auto" w:fill="auto"/>
            <w:vAlign w:val="center"/>
            <w:hideMark/>
          </w:tcPr>
          <w:p w14:paraId="445C3181" w14:textId="77777777" w:rsidR="00C31E9C" w:rsidRPr="00C31E9C" w:rsidRDefault="00C31E9C" w:rsidP="00C31E9C">
            <w:pPr>
              <w:jc w:val="center"/>
              <w:rPr>
                <w:color w:val="000000"/>
                <w:szCs w:val="24"/>
              </w:rPr>
            </w:pPr>
            <w:r w:rsidRPr="00C31E9C">
              <w:rPr>
                <w:color w:val="000000"/>
                <w:szCs w:val="24"/>
              </w:rPr>
              <w:t> </w:t>
            </w:r>
          </w:p>
        </w:tc>
        <w:tc>
          <w:tcPr>
            <w:tcW w:w="1340" w:type="dxa"/>
            <w:tcBorders>
              <w:top w:val="nil"/>
              <w:left w:val="nil"/>
              <w:bottom w:val="single" w:sz="8" w:space="0" w:color="auto"/>
              <w:right w:val="single" w:sz="8" w:space="0" w:color="auto"/>
            </w:tcBorders>
            <w:shd w:val="clear" w:color="auto" w:fill="auto"/>
            <w:vAlign w:val="center"/>
            <w:hideMark/>
          </w:tcPr>
          <w:p w14:paraId="1FE402BF" w14:textId="77777777" w:rsidR="00C31E9C" w:rsidRPr="00C31E9C" w:rsidRDefault="00C31E9C" w:rsidP="00C31E9C">
            <w:pPr>
              <w:jc w:val="center"/>
              <w:rPr>
                <w:color w:val="000000"/>
                <w:szCs w:val="24"/>
              </w:rPr>
            </w:pPr>
            <w:r w:rsidRPr="00C31E9C">
              <w:rPr>
                <w:color w:val="000000"/>
                <w:szCs w:val="24"/>
              </w:rPr>
              <w:t> </w:t>
            </w:r>
          </w:p>
        </w:tc>
        <w:tc>
          <w:tcPr>
            <w:tcW w:w="1180" w:type="dxa"/>
            <w:tcBorders>
              <w:top w:val="nil"/>
              <w:left w:val="nil"/>
              <w:bottom w:val="single" w:sz="8" w:space="0" w:color="auto"/>
              <w:right w:val="single" w:sz="8" w:space="0" w:color="auto"/>
            </w:tcBorders>
            <w:shd w:val="clear" w:color="auto" w:fill="auto"/>
            <w:vAlign w:val="center"/>
            <w:hideMark/>
          </w:tcPr>
          <w:p w14:paraId="094A2DE9"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7DCFF2EC"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2DA7392D" w14:textId="77777777" w:rsidR="00C31E9C" w:rsidRPr="00C31E9C" w:rsidRDefault="00C31E9C" w:rsidP="00C31E9C">
            <w:pPr>
              <w:jc w:val="center"/>
              <w:rPr>
                <w:color w:val="000000"/>
                <w:szCs w:val="24"/>
              </w:rPr>
            </w:pPr>
            <w:r w:rsidRPr="00C31E9C">
              <w:rPr>
                <w:color w:val="000000"/>
                <w:szCs w:val="24"/>
              </w:rPr>
              <w:t> </w:t>
            </w:r>
          </w:p>
        </w:tc>
      </w:tr>
      <w:tr w:rsidR="004C2FFF" w:rsidRPr="00C31E9C" w14:paraId="24E64C52"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2E2E7B98"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48483F20" w14:textId="77777777" w:rsidR="00C31E9C" w:rsidRPr="00C31E9C" w:rsidRDefault="00C31E9C" w:rsidP="00C31E9C">
            <w:pPr>
              <w:jc w:val="center"/>
              <w:rPr>
                <w:color w:val="000000"/>
                <w:szCs w:val="24"/>
              </w:rPr>
            </w:pPr>
            <w:r w:rsidRPr="00C31E9C">
              <w:rPr>
                <w:color w:val="000000"/>
                <w:szCs w:val="24"/>
              </w:rPr>
              <w:t>Jan-21</w:t>
            </w:r>
          </w:p>
        </w:tc>
        <w:tc>
          <w:tcPr>
            <w:tcW w:w="1340" w:type="dxa"/>
            <w:tcBorders>
              <w:top w:val="nil"/>
              <w:left w:val="nil"/>
              <w:bottom w:val="single" w:sz="8" w:space="0" w:color="auto"/>
              <w:right w:val="single" w:sz="8" w:space="0" w:color="auto"/>
            </w:tcBorders>
            <w:shd w:val="clear" w:color="auto" w:fill="auto"/>
            <w:vAlign w:val="center"/>
            <w:hideMark/>
          </w:tcPr>
          <w:p w14:paraId="16AA955B" w14:textId="77777777" w:rsidR="00C31E9C" w:rsidRPr="00C31E9C" w:rsidRDefault="00C31E9C" w:rsidP="00C31E9C">
            <w:pPr>
              <w:jc w:val="center"/>
              <w:rPr>
                <w:color w:val="000000"/>
                <w:szCs w:val="24"/>
              </w:rPr>
            </w:pPr>
            <w:r w:rsidRPr="00C31E9C">
              <w:rPr>
                <w:color w:val="000000"/>
                <w:szCs w:val="24"/>
              </w:rPr>
              <w:t>Oct-21</w:t>
            </w:r>
          </w:p>
        </w:tc>
        <w:tc>
          <w:tcPr>
            <w:tcW w:w="1180" w:type="dxa"/>
            <w:tcBorders>
              <w:top w:val="nil"/>
              <w:left w:val="nil"/>
              <w:bottom w:val="single" w:sz="8" w:space="0" w:color="auto"/>
              <w:right w:val="single" w:sz="8" w:space="0" w:color="auto"/>
            </w:tcBorders>
            <w:shd w:val="clear" w:color="auto" w:fill="auto"/>
            <w:vAlign w:val="center"/>
            <w:hideMark/>
          </w:tcPr>
          <w:p w14:paraId="293078A9" w14:textId="77777777" w:rsidR="00C31E9C" w:rsidRPr="00C31E9C" w:rsidRDefault="00C31E9C" w:rsidP="00C31E9C">
            <w:pPr>
              <w:jc w:val="center"/>
              <w:rPr>
                <w:color w:val="000000"/>
                <w:szCs w:val="24"/>
              </w:rPr>
            </w:pPr>
            <w:r w:rsidRPr="00C31E9C">
              <w:rPr>
                <w:color w:val="000000"/>
                <w:szCs w:val="24"/>
              </w:rPr>
              <w:t>Nov-21</w:t>
            </w:r>
          </w:p>
        </w:tc>
        <w:tc>
          <w:tcPr>
            <w:tcW w:w="1220" w:type="dxa"/>
            <w:tcBorders>
              <w:top w:val="nil"/>
              <w:left w:val="nil"/>
              <w:bottom w:val="single" w:sz="8" w:space="0" w:color="auto"/>
              <w:right w:val="single" w:sz="8" w:space="0" w:color="auto"/>
            </w:tcBorders>
            <w:shd w:val="clear" w:color="auto" w:fill="auto"/>
            <w:vAlign w:val="center"/>
            <w:hideMark/>
          </w:tcPr>
          <w:p w14:paraId="4391B280"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4779C0CD" w14:textId="77777777" w:rsidR="00C31E9C" w:rsidRPr="00C31E9C" w:rsidRDefault="00C31E9C" w:rsidP="00C31E9C">
            <w:pPr>
              <w:jc w:val="center"/>
              <w:rPr>
                <w:color w:val="000000"/>
                <w:szCs w:val="24"/>
              </w:rPr>
            </w:pPr>
            <w:r w:rsidRPr="00C31E9C">
              <w:rPr>
                <w:color w:val="000000"/>
                <w:szCs w:val="24"/>
              </w:rPr>
              <w:t>1 ½ mos.</w:t>
            </w:r>
          </w:p>
        </w:tc>
      </w:tr>
      <w:tr w:rsidR="004C2FFF" w:rsidRPr="00C31E9C" w14:paraId="7755941E"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320AA315"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5D1F266F" w14:textId="77777777" w:rsidR="00C31E9C" w:rsidRPr="00C31E9C" w:rsidRDefault="00C31E9C" w:rsidP="00C31E9C">
            <w:pPr>
              <w:jc w:val="center"/>
              <w:rPr>
                <w:color w:val="000000"/>
                <w:szCs w:val="24"/>
              </w:rPr>
            </w:pPr>
            <w:r w:rsidRPr="00C31E9C">
              <w:rPr>
                <w:color w:val="000000"/>
                <w:szCs w:val="24"/>
              </w:rPr>
              <w:t>Feb-21</w:t>
            </w:r>
          </w:p>
        </w:tc>
        <w:tc>
          <w:tcPr>
            <w:tcW w:w="1340" w:type="dxa"/>
            <w:tcBorders>
              <w:top w:val="nil"/>
              <w:left w:val="nil"/>
              <w:bottom w:val="single" w:sz="8" w:space="0" w:color="auto"/>
              <w:right w:val="single" w:sz="8" w:space="0" w:color="auto"/>
            </w:tcBorders>
            <w:shd w:val="clear" w:color="auto" w:fill="auto"/>
            <w:vAlign w:val="center"/>
            <w:hideMark/>
          </w:tcPr>
          <w:p w14:paraId="0F1246F2" w14:textId="77777777" w:rsidR="00C31E9C" w:rsidRPr="00C31E9C" w:rsidRDefault="00C31E9C" w:rsidP="00C31E9C">
            <w:pPr>
              <w:jc w:val="center"/>
              <w:rPr>
                <w:color w:val="000000"/>
                <w:szCs w:val="24"/>
              </w:rPr>
            </w:pPr>
            <w:r w:rsidRPr="00C31E9C">
              <w:rPr>
                <w:color w:val="000000"/>
                <w:szCs w:val="24"/>
              </w:rPr>
              <w:t>Nov-21</w:t>
            </w:r>
          </w:p>
        </w:tc>
        <w:tc>
          <w:tcPr>
            <w:tcW w:w="1180" w:type="dxa"/>
            <w:tcBorders>
              <w:top w:val="nil"/>
              <w:left w:val="nil"/>
              <w:bottom w:val="single" w:sz="8" w:space="0" w:color="auto"/>
              <w:right w:val="single" w:sz="8" w:space="0" w:color="auto"/>
            </w:tcBorders>
            <w:shd w:val="clear" w:color="auto" w:fill="auto"/>
            <w:vAlign w:val="center"/>
            <w:hideMark/>
          </w:tcPr>
          <w:p w14:paraId="4B38647E" w14:textId="77777777" w:rsidR="00C31E9C" w:rsidRPr="00C31E9C" w:rsidRDefault="00C31E9C" w:rsidP="00C31E9C">
            <w:pPr>
              <w:jc w:val="center"/>
              <w:rPr>
                <w:color w:val="000000"/>
                <w:szCs w:val="24"/>
              </w:rPr>
            </w:pPr>
            <w:r w:rsidRPr="00C31E9C">
              <w:rPr>
                <w:color w:val="000000"/>
                <w:szCs w:val="24"/>
              </w:rPr>
              <w:t>Nov-21</w:t>
            </w:r>
          </w:p>
        </w:tc>
        <w:tc>
          <w:tcPr>
            <w:tcW w:w="1220" w:type="dxa"/>
            <w:tcBorders>
              <w:top w:val="nil"/>
              <w:left w:val="nil"/>
              <w:bottom w:val="single" w:sz="8" w:space="0" w:color="auto"/>
              <w:right w:val="single" w:sz="8" w:space="0" w:color="auto"/>
            </w:tcBorders>
            <w:shd w:val="clear" w:color="auto" w:fill="auto"/>
            <w:vAlign w:val="center"/>
            <w:hideMark/>
          </w:tcPr>
          <w:p w14:paraId="4D74008D"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764605B3" w14:textId="77777777" w:rsidR="00C31E9C" w:rsidRPr="00C31E9C" w:rsidRDefault="00C31E9C" w:rsidP="00C31E9C">
            <w:pPr>
              <w:jc w:val="center"/>
              <w:rPr>
                <w:color w:val="000000"/>
                <w:szCs w:val="24"/>
              </w:rPr>
            </w:pPr>
            <w:r w:rsidRPr="00C31E9C">
              <w:rPr>
                <w:color w:val="000000"/>
                <w:szCs w:val="24"/>
              </w:rPr>
              <w:t>&lt; I mos.</w:t>
            </w:r>
          </w:p>
        </w:tc>
      </w:tr>
      <w:tr w:rsidR="004C2FFF" w:rsidRPr="00C31E9C" w14:paraId="4EA74D93"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292038EA"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54341FC8" w14:textId="77777777" w:rsidR="00C31E9C" w:rsidRPr="00C31E9C" w:rsidRDefault="00C31E9C" w:rsidP="00C31E9C">
            <w:pPr>
              <w:jc w:val="center"/>
              <w:rPr>
                <w:color w:val="000000"/>
                <w:szCs w:val="24"/>
              </w:rPr>
            </w:pPr>
            <w:r w:rsidRPr="00C31E9C">
              <w:rPr>
                <w:color w:val="000000"/>
                <w:szCs w:val="24"/>
              </w:rPr>
              <w:t>May-21</w:t>
            </w:r>
          </w:p>
        </w:tc>
        <w:tc>
          <w:tcPr>
            <w:tcW w:w="1340" w:type="dxa"/>
            <w:tcBorders>
              <w:top w:val="nil"/>
              <w:left w:val="nil"/>
              <w:bottom w:val="single" w:sz="8" w:space="0" w:color="auto"/>
              <w:right w:val="single" w:sz="8" w:space="0" w:color="auto"/>
            </w:tcBorders>
            <w:shd w:val="clear" w:color="auto" w:fill="auto"/>
            <w:vAlign w:val="center"/>
            <w:hideMark/>
          </w:tcPr>
          <w:p w14:paraId="6EB40D07" w14:textId="77777777" w:rsidR="00C31E9C" w:rsidRPr="00C31E9C" w:rsidRDefault="00C31E9C" w:rsidP="00C31E9C">
            <w:pPr>
              <w:jc w:val="center"/>
              <w:rPr>
                <w:color w:val="000000"/>
                <w:szCs w:val="24"/>
              </w:rPr>
            </w:pPr>
            <w:r w:rsidRPr="00C31E9C">
              <w:rPr>
                <w:color w:val="000000"/>
                <w:szCs w:val="24"/>
              </w:rPr>
              <w:t>Dec-21</w:t>
            </w:r>
          </w:p>
        </w:tc>
        <w:tc>
          <w:tcPr>
            <w:tcW w:w="1180" w:type="dxa"/>
            <w:tcBorders>
              <w:top w:val="nil"/>
              <w:left w:val="nil"/>
              <w:bottom w:val="single" w:sz="8" w:space="0" w:color="auto"/>
              <w:right w:val="single" w:sz="8" w:space="0" w:color="auto"/>
            </w:tcBorders>
            <w:shd w:val="clear" w:color="auto" w:fill="auto"/>
            <w:vAlign w:val="center"/>
            <w:hideMark/>
          </w:tcPr>
          <w:p w14:paraId="0C64A96D" w14:textId="77777777" w:rsidR="00C31E9C" w:rsidRPr="00C31E9C" w:rsidRDefault="00C31E9C" w:rsidP="00C31E9C">
            <w:pPr>
              <w:jc w:val="center"/>
              <w:rPr>
                <w:color w:val="000000"/>
                <w:szCs w:val="24"/>
              </w:rPr>
            </w:pPr>
            <w:r w:rsidRPr="00C31E9C">
              <w:rPr>
                <w:color w:val="000000"/>
                <w:szCs w:val="24"/>
              </w:rPr>
              <w:t>Nov-21</w:t>
            </w:r>
          </w:p>
        </w:tc>
        <w:tc>
          <w:tcPr>
            <w:tcW w:w="1220" w:type="dxa"/>
            <w:tcBorders>
              <w:top w:val="nil"/>
              <w:left w:val="nil"/>
              <w:bottom w:val="single" w:sz="8" w:space="0" w:color="auto"/>
              <w:right w:val="single" w:sz="8" w:space="0" w:color="auto"/>
            </w:tcBorders>
            <w:shd w:val="clear" w:color="auto" w:fill="auto"/>
            <w:vAlign w:val="center"/>
            <w:hideMark/>
          </w:tcPr>
          <w:p w14:paraId="0CC47306"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677D5809" w14:textId="77777777" w:rsidR="00C31E9C" w:rsidRPr="00C31E9C" w:rsidRDefault="00C31E9C" w:rsidP="00C31E9C">
            <w:pPr>
              <w:jc w:val="center"/>
              <w:rPr>
                <w:color w:val="000000"/>
                <w:szCs w:val="24"/>
              </w:rPr>
            </w:pPr>
            <w:r w:rsidRPr="00C31E9C">
              <w:rPr>
                <w:color w:val="000000"/>
                <w:szCs w:val="24"/>
              </w:rPr>
              <w:t>- 1 mos.</w:t>
            </w:r>
          </w:p>
        </w:tc>
      </w:tr>
      <w:tr w:rsidR="004C2FFF" w:rsidRPr="00C31E9C" w14:paraId="4E1F1368"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0357E75C"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5E535790" w14:textId="77777777" w:rsidR="00C31E9C" w:rsidRPr="00C31E9C" w:rsidRDefault="00C31E9C" w:rsidP="00C31E9C">
            <w:pPr>
              <w:jc w:val="center"/>
              <w:rPr>
                <w:color w:val="000000"/>
                <w:szCs w:val="24"/>
              </w:rPr>
            </w:pPr>
            <w:r w:rsidRPr="00C31E9C">
              <w:rPr>
                <w:color w:val="000000"/>
                <w:szCs w:val="24"/>
              </w:rPr>
              <w:t>Jun-21</w:t>
            </w:r>
          </w:p>
        </w:tc>
        <w:tc>
          <w:tcPr>
            <w:tcW w:w="1340" w:type="dxa"/>
            <w:tcBorders>
              <w:top w:val="nil"/>
              <w:left w:val="nil"/>
              <w:bottom w:val="single" w:sz="8" w:space="0" w:color="auto"/>
              <w:right w:val="single" w:sz="8" w:space="0" w:color="auto"/>
            </w:tcBorders>
            <w:shd w:val="clear" w:color="auto" w:fill="auto"/>
            <w:vAlign w:val="center"/>
            <w:hideMark/>
          </w:tcPr>
          <w:p w14:paraId="3E53106C" w14:textId="77777777" w:rsidR="00C31E9C" w:rsidRPr="00C31E9C" w:rsidRDefault="00C31E9C" w:rsidP="00C31E9C">
            <w:pPr>
              <w:jc w:val="center"/>
              <w:rPr>
                <w:color w:val="000000"/>
                <w:szCs w:val="24"/>
              </w:rPr>
            </w:pPr>
            <w:r w:rsidRPr="00C31E9C">
              <w:rPr>
                <w:color w:val="000000"/>
                <w:szCs w:val="24"/>
              </w:rPr>
              <w:t>Feb-22</w:t>
            </w:r>
          </w:p>
        </w:tc>
        <w:tc>
          <w:tcPr>
            <w:tcW w:w="1180" w:type="dxa"/>
            <w:tcBorders>
              <w:top w:val="nil"/>
              <w:left w:val="nil"/>
              <w:bottom w:val="single" w:sz="8" w:space="0" w:color="auto"/>
              <w:right w:val="single" w:sz="8" w:space="0" w:color="auto"/>
            </w:tcBorders>
            <w:shd w:val="clear" w:color="auto" w:fill="auto"/>
            <w:vAlign w:val="center"/>
            <w:hideMark/>
          </w:tcPr>
          <w:p w14:paraId="13A9C24C" w14:textId="77777777" w:rsidR="00C31E9C" w:rsidRPr="00C31E9C" w:rsidRDefault="00C31E9C" w:rsidP="00C31E9C">
            <w:pPr>
              <w:jc w:val="center"/>
              <w:rPr>
                <w:color w:val="000000"/>
                <w:szCs w:val="24"/>
              </w:rPr>
            </w:pPr>
            <w:r w:rsidRPr="00C31E9C">
              <w:rPr>
                <w:color w:val="000000"/>
                <w:szCs w:val="24"/>
              </w:rPr>
              <w:t>Nov-21</w:t>
            </w:r>
          </w:p>
        </w:tc>
        <w:tc>
          <w:tcPr>
            <w:tcW w:w="1220" w:type="dxa"/>
            <w:tcBorders>
              <w:top w:val="nil"/>
              <w:left w:val="nil"/>
              <w:bottom w:val="single" w:sz="8" w:space="0" w:color="auto"/>
              <w:right w:val="single" w:sz="8" w:space="0" w:color="auto"/>
            </w:tcBorders>
            <w:shd w:val="clear" w:color="auto" w:fill="auto"/>
            <w:vAlign w:val="center"/>
            <w:hideMark/>
          </w:tcPr>
          <w:p w14:paraId="728FA6E3"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0C024509" w14:textId="77777777" w:rsidR="00C31E9C" w:rsidRPr="00C31E9C" w:rsidRDefault="00C31E9C" w:rsidP="00C31E9C">
            <w:pPr>
              <w:jc w:val="center"/>
              <w:rPr>
                <w:color w:val="000000"/>
                <w:szCs w:val="24"/>
              </w:rPr>
            </w:pPr>
            <w:r w:rsidRPr="00C31E9C">
              <w:rPr>
                <w:color w:val="000000"/>
                <w:szCs w:val="24"/>
              </w:rPr>
              <w:t>-</w:t>
            </w:r>
            <w:proofErr w:type="spellStart"/>
            <w:r w:rsidRPr="00C31E9C">
              <w:rPr>
                <w:color w:val="000000"/>
                <w:szCs w:val="24"/>
              </w:rPr>
              <w:t>3mos</w:t>
            </w:r>
            <w:proofErr w:type="spellEnd"/>
            <w:r w:rsidRPr="00C31E9C">
              <w:rPr>
                <w:color w:val="000000"/>
                <w:szCs w:val="24"/>
              </w:rPr>
              <w:t>.</w:t>
            </w:r>
          </w:p>
        </w:tc>
      </w:tr>
      <w:tr w:rsidR="004C2FFF" w:rsidRPr="00C31E9C" w14:paraId="5CB857AF"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19384BE9"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1FC4D5EE" w14:textId="77777777" w:rsidR="00C31E9C" w:rsidRPr="00C31E9C" w:rsidRDefault="00C31E9C" w:rsidP="00C31E9C">
            <w:pPr>
              <w:jc w:val="center"/>
              <w:rPr>
                <w:color w:val="000000"/>
                <w:szCs w:val="24"/>
              </w:rPr>
            </w:pPr>
            <w:r w:rsidRPr="00C31E9C">
              <w:rPr>
                <w:color w:val="000000"/>
                <w:szCs w:val="24"/>
              </w:rPr>
              <w:t>Oct-21</w:t>
            </w:r>
          </w:p>
        </w:tc>
        <w:tc>
          <w:tcPr>
            <w:tcW w:w="1340" w:type="dxa"/>
            <w:tcBorders>
              <w:top w:val="nil"/>
              <w:left w:val="nil"/>
              <w:bottom w:val="single" w:sz="8" w:space="0" w:color="auto"/>
              <w:right w:val="single" w:sz="8" w:space="0" w:color="auto"/>
            </w:tcBorders>
            <w:shd w:val="clear" w:color="auto" w:fill="auto"/>
            <w:vAlign w:val="center"/>
            <w:hideMark/>
          </w:tcPr>
          <w:p w14:paraId="5D4FCC59" w14:textId="77777777" w:rsidR="00C31E9C" w:rsidRPr="00C31E9C" w:rsidRDefault="00C31E9C" w:rsidP="00C31E9C">
            <w:pPr>
              <w:jc w:val="center"/>
              <w:rPr>
                <w:color w:val="000000"/>
                <w:szCs w:val="24"/>
              </w:rPr>
            </w:pPr>
            <w:r w:rsidRPr="00C31E9C">
              <w:rPr>
                <w:color w:val="000000"/>
                <w:szCs w:val="24"/>
              </w:rPr>
              <w:t>May-22</w:t>
            </w:r>
          </w:p>
        </w:tc>
        <w:tc>
          <w:tcPr>
            <w:tcW w:w="1180" w:type="dxa"/>
            <w:tcBorders>
              <w:top w:val="nil"/>
              <w:left w:val="nil"/>
              <w:bottom w:val="single" w:sz="8" w:space="0" w:color="auto"/>
              <w:right w:val="single" w:sz="8" w:space="0" w:color="auto"/>
            </w:tcBorders>
            <w:shd w:val="clear" w:color="auto" w:fill="auto"/>
            <w:vAlign w:val="center"/>
            <w:hideMark/>
          </w:tcPr>
          <w:p w14:paraId="595F57B5"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39B4B1BE" w14:textId="77777777" w:rsidR="00C31E9C" w:rsidRPr="00C31E9C" w:rsidRDefault="00C31E9C" w:rsidP="00C31E9C">
            <w:pPr>
              <w:jc w:val="center"/>
              <w:rPr>
                <w:color w:val="000000"/>
                <w:szCs w:val="24"/>
              </w:rPr>
            </w:pPr>
            <w:r w:rsidRPr="00C31E9C">
              <w:rPr>
                <w:color w:val="000000"/>
                <w:szCs w:val="24"/>
              </w:rPr>
              <w:t>Jun-22</w:t>
            </w:r>
          </w:p>
        </w:tc>
        <w:tc>
          <w:tcPr>
            <w:tcW w:w="3000" w:type="dxa"/>
            <w:tcBorders>
              <w:top w:val="nil"/>
              <w:left w:val="nil"/>
              <w:bottom w:val="single" w:sz="8" w:space="0" w:color="auto"/>
              <w:right w:val="single" w:sz="8" w:space="0" w:color="auto"/>
            </w:tcBorders>
            <w:shd w:val="clear" w:color="auto" w:fill="auto"/>
            <w:vAlign w:val="center"/>
            <w:hideMark/>
          </w:tcPr>
          <w:p w14:paraId="64138A95" w14:textId="77777777" w:rsidR="00C31E9C" w:rsidRPr="00C31E9C" w:rsidRDefault="00C31E9C" w:rsidP="00C31E9C">
            <w:pPr>
              <w:jc w:val="center"/>
              <w:rPr>
                <w:color w:val="000000"/>
                <w:szCs w:val="24"/>
              </w:rPr>
            </w:pPr>
            <w:r w:rsidRPr="00C31E9C">
              <w:rPr>
                <w:color w:val="000000"/>
                <w:szCs w:val="24"/>
              </w:rPr>
              <w:t>1 mo.</w:t>
            </w:r>
          </w:p>
        </w:tc>
      </w:tr>
      <w:tr w:rsidR="004C2FFF" w:rsidRPr="00C31E9C" w14:paraId="3EC2A40C"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2708C172"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15F20955" w14:textId="77777777" w:rsidR="00C31E9C" w:rsidRPr="00C31E9C" w:rsidRDefault="00C31E9C" w:rsidP="00C31E9C">
            <w:pPr>
              <w:jc w:val="center"/>
              <w:rPr>
                <w:color w:val="000000"/>
                <w:szCs w:val="24"/>
              </w:rPr>
            </w:pPr>
            <w:r w:rsidRPr="00C31E9C">
              <w:rPr>
                <w:color w:val="000000"/>
                <w:szCs w:val="24"/>
              </w:rPr>
              <w:t>Dec-21</w:t>
            </w:r>
          </w:p>
        </w:tc>
        <w:tc>
          <w:tcPr>
            <w:tcW w:w="1340" w:type="dxa"/>
            <w:tcBorders>
              <w:top w:val="nil"/>
              <w:left w:val="nil"/>
              <w:bottom w:val="single" w:sz="8" w:space="0" w:color="auto"/>
              <w:right w:val="single" w:sz="8" w:space="0" w:color="auto"/>
            </w:tcBorders>
            <w:shd w:val="clear" w:color="auto" w:fill="auto"/>
            <w:vAlign w:val="center"/>
            <w:hideMark/>
          </w:tcPr>
          <w:p w14:paraId="015CD055" w14:textId="77777777" w:rsidR="00C31E9C" w:rsidRPr="00C31E9C" w:rsidRDefault="00C31E9C" w:rsidP="00C31E9C">
            <w:pPr>
              <w:jc w:val="center"/>
              <w:rPr>
                <w:color w:val="000000"/>
                <w:szCs w:val="24"/>
              </w:rPr>
            </w:pPr>
            <w:r w:rsidRPr="00C31E9C">
              <w:rPr>
                <w:color w:val="000000"/>
                <w:szCs w:val="24"/>
              </w:rPr>
              <w:t>Jul-22</w:t>
            </w:r>
          </w:p>
        </w:tc>
        <w:tc>
          <w:tcPr>
            <w:tcW w:w="1180" w:type="dxa"/>
            <w:tcBorders>
              <w:top w:val="nil"/>
              <w:left w:val="nil"/>
              <w:bottom w:val="single" w:sz="8" w:space="0" w:color="auto"/>
              <w:right w:val="single" w:sz="8" w:space="0" w:color="auto"/>
            </w:tcBorders>
            <w:shd w:val="clear" w:color="auto" w:fill="auto"/>
            <w:vAlign w:val="center"/>
            <w:hideMark/>
          </w:tcPr>
          <w:p w14:paraId="60B1072C"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026D08F8" w14:textId="77777777" w:rsidR="00C31E9C" w:rsidRPr="00C31E9C" w:rsidRDefault="00C31E9C" w:rsidP="00C31E9C">
            <w:pPr>
              <w:jc w:val="center"/>
              <w:rPr>
                <w:color w:val="000000"/>
                <w:szCs w:val="24"/>
              </w:rPr>
            </w:pPr>
            <w:r w:rsidRPr="00C31E9C">
              <w:rPr>
                <w:color w:val="000000"/>
                <w:szCs w:val="24"/>
              </w:rPr>
              <w:t>Sep-22</w:t>
            </w:r>
          </w:p>
        </w:tc>
        <w:tc>
          <w:tcPr>
            <w:tcW w:w="3000" w:type="dxa"/>
            <w:tcBorders>
              <w:top w:val="nil"/>
              <w:left w:val="nil"/>
              <w:bottom w:val="single" w:sz="8" w:space="0" w:color="auto"/>
              <w:right w:val="single" w:sz="8" w:space="0" w:color="auto"/>
            </w:tcBorders>
            <w:shd w:val="clear" w:color="auto" w:fill="auto"/>
            <w:vAlign w:val="center"/>
            <w:hideMark/>
          </w:tcPr>
          <w:p w14:paraId="2BFDB2D7" w14:textId="77777777" w:rsidR="00C31E9C" w:rsidRPr="00C31E9C" w:rsidRDefault="00C31E9C" w:rsidP="00C31E9C">
            <w:pPr>
              <w:jc w:val="center"/>
              <w:rPr>
                <w:color w:val="000000"/>
                <w:szCs w:val="24"/>
              </w:rPr>
            </w:pPr>
            <w:r w:rsidRPr="00C31E9C">
              <w:rPr>
                <w:color w:val="000000"/>
                <w:szCs w:val="24"/>
              </w:rPr>
              <w:t>2 mos.</w:t>
            </w:r>
          </w:p>
        </w:tc>
      </w:tr>
      <w:tr w:rsidR="004C2FFF" w:rsidRPr="00C31E9C" w14:paraId="64433B34"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4C1C24D8"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6EBE4D0E" w14:textId="77777777" w:rsidR="00C31E9C" w:rsidRPr="00C31E9C" w:rsidRDefault="00C31E9C" w:rsidP="00C31E9C">
            <w:pPr>
              <w:jc w:val="center"/>
              <w:rPr>
                <w:color w:val="000000"/>
                <w:szCs w:val="24"/>
              </w:rPr>
            </w:pPr>
            <w:r w:rsidRPr="00C31E9C">
              <w:rPr>
                <w:color w:val="000000"/>
                <w:szCs w:val="24"/>
              </w:rPr>
              <w:t>Feb-22</w:t>
            </w:r>
          </w:p>
        </w:tc>
        <w:tc>
          <w:tcPr>
            <w:tcW w:w="1340" w:type="dxa"/>
            <w:tcBorders>
              <w:top w:val="nil"/>
              <w:left w:val="nil"/>
              <w:bottom w:val="single" w:sz="8" w:space="0" w:color="auto"/>
              <w:right w:val="single" w:sz="8" w:space="0" w:color="auto"/>
            </w:tcBorders>
            <w:shd w:val="clear" w:color="auto" w:fill="auto"/>
            <w:vAlign w:val="center"/>
            <w:hideMark/>
          </w:tcPr>
          <w:p w14:paraId="159F0315" w14:textId="77777777" w:rsidR="00C31E9C" w:rsidRPr="00C31E9C" w:rsidRDefault="00C31E9C" w:rsidP="00C31E9C">
            <w:pPr>
              <w:jc w:val="center"/>
              <w:rPr>
                <w:color w:val="000000"/>
                <w:szCs w:val="24"/>
              </w:rPr>
            </w:pPr>
            <w:r w:rsidRPr="00C31E9C">
              <w:rPr>
                <w:color w:val="000000"/>
                <w:szCs w:val="24"/>
              </w:rPr>
              <w:t>Sep-22</w:t>
            </w:r>
          </w:p>
        </w:tc>
        <w:tc>
          <w:tcPr>
            <w:tcW w:w="1180" w:type="dxa"/>
            <w:tcBorders>
              <w:top w:val="nil"/>
              <w:left w:val="nil"/>
              <w:bottom w:val="single" w:sz="8" w:space="0" w:color="auto"/>
              <w:right w:val="single" w:sz="8" w:space="0" w:color="auto"/>
            </w:tcBorders>
            <w:shd w:val="clear" w:color="auto" w:fill="auto"/>
            <w:vAlign w:val="center"/>
            <w:hideMark/>
          </w:tcPr>
          <w:p w14:paraId="1045ECD0"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659A932B" w14:textId="77777777" w:rsidR="00C31E9C" w:rsidRPr="00C31E9C" w:rsidRDefault="00C31E9C" w:rsidP="00C31E9C">
            <w:pPr>
              <w:jc w:val="center"/>
              <w:rPr>
                <w:color w:val="000000"/>
                <w:szCs w:val="24"/>
              </w:rPr>
            </w:pPr>
            <w:r w:rsidRPr="00C31E9C">
              <w:rPr>
                <w:color w:val="000000"/>
                <w:szCs w:val="24"/>
              </w:rPr>
              <w:t>Dec-22</w:t>
            </w:r>
          </w:p>
        </w:tc>
        <w:tc>
          <w:tcPr>
            <w:tcW w:w="3000" w:type="dxa"/>
            <w:tcBorders>
              <w:top w:val="nil"/>
              <w:left w:val="nil"/>
              <w:bottom w:val="single" w:sz="8" w:space="0" w:color="auto"/>
              <w:right w:val="single" w:sz="8" w:space="0" w:color="auto"/>
            </w:tcBorders>
            <w:shd w:val="clear" w:color="auto" w:fill="auto"/>
            <w:vAlign w:val="center"/>
            <w:hideMark/>
          </w:tcPr>
          <w:p w14:paraId="760CCDE2" w14:textId="77777777" w:rsidR="00C31E9C" w:rsidRPr="00C31E9C" w:rsidRDefault="00C31E9C" w:rsidP="00C31E9C">
            <w:pPr>
              <w:jc w:val="center"/>
              <w:rPr>
                <w:color w:val="000000"/>
                <w:szCs w:val="24"/>
              </w:rPr>
            </w:pPr>
            <w:r w:rsidRPr="00C31E9C">
              <w:rPr>
                <w:color w:val="000000"/>
                <w:szCs w:val="24"/>
              </w:rPr>
              <w:t>3 mos.</w:t>
            </w:r>
          </w:p>
        </w:tc>
      </w:tr>
      <w:tr w:rsidR="004C2FFF" w:rsidRPr="00C31E9C" w14:paraId="00F548E5"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02432D82"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6635921E" w14:textId="77777777" w:rsidR="00C31E9C" w:rsidRPr="00C31E9C" w:rsidRDefault="00C31E9C" w:rsidP="00C31E9C">
            <w:pPr>
              <w:jc w:val="center"/>
              <w:rPr>
                <w:color w:val="000000"/>
                <w:szCs w:val="24"/>
              </w:rPr>
            </w:pPr>
            <w:r w:rsidRPr="00C31E9C">
              <w:rPr>
                <w:color w:val="000000"/>
                <w:szCs w:val="24"/>
              </w:rPr>
              <w:t>Jul-22</w:t>
            </w:r>
          </w:p>
        </w:tc>
        <w:tc>
          <w:tcPr>
            <w:tcW w:w="1340" w:type="dxa"/>
            <w:tcBorders>
              <w:top w:val="nil"/>
              <w:left w:val="nil"/>
              <w:bottom w:val="single" w:sz="8" w:space="0" w:color="auto"/>
              <w:right w:val="single" w:sz="8" w:space="0" w:color="auto"/>
            </w:tcBorders>
            <w:shd w:val="clear" w:color="auto" w:fill="auto"/>
            <w:vAlign w:val="center"/>
            <w:hideMark/>
          </w:tcPr>
          <w:p w14:paraId="30336417" w14:textId="77777777" w:rsidR="00C31E9C" w:rsidRPr="00C31E9C" w:rsidRDefault="00C31E9C" w:rsidP="00C31E9C">
            <w:pPr>
              <w:jc w:val="center"/>
              <w:rPr>
                <w:color w:val="000000"/>
                <w:szCs w:val="24"/>
              </w:rPr>
            </w:pPr>
            <w:r w:rsidRPr="00C31E9C">
              <w:rPr>
                <w:color w:val="000000"/>
                <w:szCs w:val="24"/>
              </w:rPr>
              <w:t>Dec-22</w:t>
            </w:r>
          </w:p>
        </w:tc>
        <w:tc>
          <w:tcPr>
            <w:tcW w:w="1180" w:type="dxa"/>
            <w:tcBorders>
              <w:top w:val="nil"/>
              <w:left w:val="nil"/>
              <w:bottom w:val="single" w:sz="8" w:space="0" w:color="auto"/>
              <w:right w:val="single" w:sz="8" w:space="0" w:color="auto"/>
            </w:tcBorders>
            <w:shd w:val="clear" w:color="auto" w:fill="auto"/>
            <w:vAlign w:val="center"/>
            <w:hideMark/>
          </w:tcPr>
          <w:p w14:paraId="3E939302"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3E7B8699" w14:textId="77777777" w:rsidR="00C31E9C" w:rsidRPr="00C31E9C" w:rsidRDefault="00C31E9C" w:rsidP="00C31E9C">
            <w:pPr>
              <w:jc w:val="center"/>
              <w:rPr>
                <w:color w:val="000000"/>
                <w:szCs w:val="24"/>
              </w:rPr>
            </w:pPr>
            <w:r w:rsidRPr="00C31E9C">
              <w:rPr>
                <w:color w:val="000000"/>
                <w:szCs w:val="24"/>
              </w:rPr>
              <w:t>Mar-23</w:t>
            </w:r>
          </w:p>
        </w:tc>
        <w:tc>
          <w:tcPr>
            <w:tcW w:w="3000" w:type="dxa"/>
            <w:tcBorders>
              <w:top w:val="nil"/>
              <w:left w:val="nil"/>
              <w:bottom w:val="single" w:sz="8" w:space="0" w:color="auto"/>
              <w:right w:val="single" w:sz="8" w:space="0" w:color="auto"/>
            </w:tcBorders>
            <w:shd w:val="clear" w:color="auto" w:fill="auto"/>
            <w:vAlign w:val="center"/>
            <w:hideMark/>
          </w:tcPr>
          <w:p w14:paraId="23E77161" w14:textId="77777777" w:rsidR="00C31E9C" w:rsidRPr="00C31E9C" w:rsidRDefault="00C31E9C" w:rsidP="00C31E9C">
            <w:pPr>
              <w:jc w:val="center"/>
              <w:rPr>
                <w:color w:val="000000"/>
                <w:szCs w:val="24"/>
              </w:rPr>
            </w:pPr>
            <w:r w:rsidRPr="00C31E9C">
              <w:rPr>
                <w:color w:val="000000"/>
                <w:szCs w:val="24"/>
              </w:rPr>
              <w:t>3 mos.</w:t>
            </w:r>
          </w:p>
        </w:tc>
      </w:tr>
      <w:tr w:rsidR="004C2FFF" w:rsidRPr="00C31E9C" w14:paraId="06C2FBB9"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5CFA2493"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0359FBC4" w14:textId="77777777" w:rsidR="00C31E9C" w:rsidRPr="00C31E9C" w:rsidRDefault="00C31E9C" w:rsidP="00C31E9C">
            <w:pPr>
              <w:jc w:val="center"/>
              <w:rPr>
                <w:color w:val="000000"/>
                <w:szCs w:val="24"/>
              </w:rPr>
            </w:pPr>
            <w:r w:rsidRPr="00C31E9C">
              <w:rPr>
                <w:color w:val="000000"/>
                <w:szCs w:val="24"/>
              </w:rPr>
              <w:t>Jan-23</w:t>
            </w:r>
          </w:p>
        </w:tc>
        <w:tc>
          <w:tcPr>
            <w:tcW w:w="1340" w:type="dxa"/>
            <w:tcBorders>
              <w:top w:val="nil"/>
              <w:left w:val="nil"/>
              <w:bottom w:val="single" w:sz="8" w:space="0" w:color="auto"/>
              <w:right w:val="single" w:sz="8" w:space="0" w:color="auto"/>
            </w:tcBorders>
            <w:shd w:val="clear" w:color="auto" w:fill="auto"/>
            <w:vAlign w:val="center"/>
            <w:hideMark/>
          </w:tcPr>
          <w:p w14:paraId="2E1C3D69" w14:textId="77777777" w:rsidR="00C31E9C" w:rsidRPr="00C31E9C" w:rsidRDefault="00C31E9C" w:rsidP="00C31E9C">
            <w:pPr>
              <w:jc w:val="center"/>
              <w:rPr>
                <w:color w:val="000000"/>
                <w:szCs w:val="24"/>
              </w:rPr>
            </w:pPr>
            <w:r w:rsidRPr="00C31E9C">
              <w:rPr>
                <w:color w:val="000000"/>
                <w:szCs w:val="24"/>
              </w:rPr>
              <w:t>Mar-23</w:t>
            </w:r>
          </w:p>
        </w:tc>
        <w:tc>
          <w:tcPr>
            <w:tcW w:w="1180" w:type="dxa"/>
            <w:tcBorders>
              <w:top w:val="nil"/>
              <w:left w:val="nil"/>
              <w:bottom w:val="single" w:sz="8" w:space="0" w:color="auto"/>
              <w:right w:val="single" w:sz="8" w:space="0" w:color="auto"/>
            </w:tcBorders>
            <w:shd w:val="clear" w:color="auto" w:fill="auto"/>
            <w:vAlign w:val="center"/>
            <w:hideMark/>
          </w:tcPr>
          <w:p w14:paraId="0C6CA942"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3FA600B9" w14:textId="77777777" w:rsidR="00C31E9C" w:rsidRPr="00C31E9C" w:rsidRDefault="00C31E9C" w:rsidP="00C31E9C">
            <w:pPr>
              <w:jc w:val="center"/>
              <w:rPr>
                <w:color w:val="000000"/>
                <w:szCs w:val="24"/>
              </w:rPr>
            </w:pPr>
            <w:r w:rsidRPr="00C31E9C">
              <w:rPr>
                <w:color w:val="000000"/>
                <w:szCs w:val="24"/>
              </w:rPr>
              <w:t>Apr-23</w:t>
            </w:r>
          </w:p>
        </w:tc>
        <w:tc>
          <w:tcPr>
            <w:tcW w:w="3000" w:type="dxa"/>
            <w:tcBorders>
              <w:top w:val="nil"/>
              <w:left w:val="nil"/>
              <w:bottom w:val="single" w:sz="8" w:space="0" w:color="auto"/>
              <w:right w:val="single" w:sz="8" w:space="0" w:color="auto"/>
            </w:tcBorders>
            <w:shd w:val="clear" w:color="auto" w:fill="auto"/>
            <w:vAlign w:val="center"/>
            <w:hideMark/>
          </w:tcPr>
          <w:p w14:paraId="5E769870" w14:textId="77777777" w:rsidR="00C31E9C" w:rsidRPr="00C31E9C" w:rsidRDefault="00C31E9C" w:rsidP="00C31E9C">
            <w:pPr>
              <w:jc w:val="center"/>
              <w:rPr>
                <w:color w:val="000000"/>
                <w:szCs w:val="24"/>
              </w:rPr>
            </w:pPr>
            <w:r w:rsidRPr="00C31E9C">
              <w:rPr>
                <w:color w:val="000000"/>
                <w:szCs w:val="24"/>
              </w:rPr>
              <w:t>1 mo.</w:t>
            </w:r>
          </w:p>
        </w:tc>
      </w:tr>
      <w:tr w:rsidR="004C2FFF" w:rsidRPr="00C31E9C" w14:paraId="02F0500E"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013FA56D"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01BA0970" w14:textId="77777777" w:rsidR="00C31E9C" w:rsidRPr="00C31E9C" w:rsidRDefault="00C31E9C" w:rsidP="00C31E9C">
            <w:pPr>
              <w:jc w:val="center"/>
              <w:rPr>
                <w:color w:val="000000"/>
                <w:szCs w:val="24"/>
              </w:rPr>
            </w:pPr>
            <w:r w:rsidRPr="00C31E9C">
              <w:rPr>
                <w:color w:val="000000"/>
                <w:szCs w:val="24"/>
              </w:rPr>
              <w:t>Feb-23</w:t>
            </w:r>
          </w:p>
        </w:tc>
        <w:tc>
          <w:tcPr>
            <w:tcW w:w="1340" w:type="dxa"/>
            <w:tcBorders>
              <w:top w:val="nil"/>
              <w:left w:val="nil"/>
              <w:bottom w:val="single" w:sz="8" w:space="0" w:color="auto"/>
              <w:right w:val="single" w:sz="8" w:space="0" w:color="auto"/>
            </w:tcBorders>
            <w:shd w:val="clear" w:color="auto" w:fill="auto"/>
            <w:vAlign w:val="center"/>
            <w:hideMark/>
          </w:tcPr>
          <w:p w14:paraId="5908C210" w14:textId="77777777" w:rsidR="00C31E9C" w:rsidRPr="00C31E9C" w:rsidRDefault="00C31E9C" w:rsidP="00C31E9C">
            <w:pPr>
              <w:jc w:val="center"/>
              <w:rPr>
                <w:color w:val="000000"/>
                <w:szCs w:val="24"/>
              </w:rPr>
            </w:pPr>
            <w:r w:rsidRPr="00C31E9C">
              <w:rPr>
                <w:color w:val="000000"/>
                <w:szCs w:val="24"/>
              </w:rPr>
              <w:t>Apr-23</w:t>
            </w:r>
          </w:p>
        </w:tc>
        <w:tc>
          <w:tcPr>
            <w:tcW w:w="1180" w:type="dxa"/>
            <w:tcBorders>
              <w:top w:val="nil"/>
              <w:left w:val="nil"/>
              <w:bottom w:val="single" w:sz="8" w:space="0" w:color="auto"/>
              <w:right w:val="single" w:sz="8" w:space="0" w:color="auto"/>
            </w:tcBorders>
            <w:shd w:val="clear" w:color="auto" w:fill="auto"/>
            <w:vAlign w:val="center"/>
            <w:hideMark/>
          </w:tcPr>
          <w:p w14:paraId="4009C3E1"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51AC54B8" w14:textId="77777777" w:rsidR="00C31E9C" w:rsidRPr="00C31E9C" w:rsidRDefault="00C31E9C" w:rsidP="00C31E9C">
            <w:pPr>
              <w:jc w:val="center"/>
              <w:rPr>
                <w:color w:val="000000"/>
                <w:szCs w:val="24"/>
              </w:rPr>
            </w:pPr>
            <w:r w:rsidRPr="00C31E9C">
              <w:rPr>
                <w:color w:val="000000"/>
                <w:szCs w:val="24"/>
              </w:rPr>
              <w:t>Jun-23</w:t>
            </w:r>
          </w:p>
        </w:tc>
        <w:tc>
          <w:tcPr>
            <w:tcW w:w="3000" w:type="dxa"/>
            <w:tcBorders>
              <w:top w:val="nil"/>
              <w:left w:val="nil"/>
              <w:bottom w:val="single" w:sz="8" w:space="0" w:color="auto"/>
              <w:right w:val="single" w:sz="8" w:space="0" w:color="auto"/>
            </w:tcBorders>
            <w:shd w:val="clear" w:color="auto" w:fill="auto"/>
            <w:vAlign w:val="center"/>
            <w:hideMark/>
          </w:tcPr>
          <w:p w14:paraId="5B3B09B5" w14:textId="77777777" w:rsidR="00C31E9C" w:rsidRPr="00C31E9C" w:rsidRDefault="00C31E9C" w:rsidP="00C31E9C">
            <w:pPr>
              <w:jc w:val="center"/>
              <w:rPr>
                <w:color w:val="000000"/>
                <w:szCs w:val="24"/>
              </w:rPr>
            </w:pPr>
            <w:proofErr w:type="spellStart"/>
            <w:r w:rsidRPr="00C31E9C">
              <w:rPr>
                <w:color w:val="000000"/>
                <w:szCs w:val="24"/>
              </w:rPr>
              <w:t>2.2mos</w:t>
            </w:r>
            <w:proofErr w:type="spellEnd"/>
            <w:r w:rsidRPr="00C31E9C">
              <w:rPr>
                <w:color w:val="000000"/>
                <w:szCs w:val="24"/>
              </w:rPr>
              <w:t>. (</w:t>
            </w:r>
            <w:proofErr w:type="spellStart"/>
            <w:r w:rsidRPr="00C31E9C">
              <w:rPr>
                <w:color w:val="000000"/>
                <w:szCs w:val="24"/>
              </w:rPr>
              <w:t>68days</w:t>
            </w:r>
            <w:proofErr w:type="spellEnd"/>
            <w:r w:rsidRPr="00C31E9C">
              <w:rPr>
                <w:color w:val="000000"/>
                <w:szCs w:val="24"/>
              </w:rPr>
              <w:t>)</w:t>
            </w:r>
          </w:p>
        </w:tc>
      </w:tr>
      <w:tr w:rsidR="004C2FFF" w:rsidRPr="00C31E9C" w14:paraId="231CE13E" w14:textId="77777777" w:rsidTr="00223F1D">
        <w:trPr>
          <w:trHeight w:val="80"/>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583BE0C2" w14:textId="77777777" w:rsidR="00C31E9C" w:rsidRPr="00C31E9C" w:rsidRDefault="00C31E9C" w:rsidP="00C31E9C">
            <w:pPr>
              <w:jc w:val="center"/>
              <w:rPr>
                <w:color w:val="000000"/>
                <w:szCs w:val="24"/>
              </w:rPr>
            </w:pPr>
            <w:r w:rsidRPr="00C31E9C">
              <w:rPr>
                <w:color w:val="000000"/>
                <w:szCs w:val="24"/>
              </w:rPr>
              <w:t> </w:t>
            </w:r>
          </w:p>
        </w:tc>
        <w:tc>
          <w:tcPr>
            <w:tcW w:w="960" w:type="dxa"/>
            <w:tcBorders>
              <w:top w:val="nil"/>
              <w:left w:val="nil"/>
              <w:bottom w:val="single" w:sz="8" w:space="0" w:color="auto"/>
              <w:right w:val="single" w:sz="8" w:space="0" w:color="auto"/>
            </w:tcBorders>
            <w:shd w:val="clear" w:color="auto" w:fill="auto"/>
            <w:vAlign w:val="center"/>
            <w:hideMark/>
          </w:tcPr>
          <w:p w14:paraId="0C2A4ABF" w14:textId="77777777" w:rsidR="00C31E9C" w:rsidRPr="00C31E9C" w:rsidRDefault="00C31E9C" w:rsidP="00C31E9C">
            <w:pPr>
              <w:jc w:val="center"/>
              <w:rPr>
                <w:color w:val="000000"/>
                <w:szCs w:val="24"/>
              </w:rPr>
            </w:pPr>
            <w:r w:rsidRPr="00C31E9C">
              <w:rPr>
                <w:color w:val="000000"/>
                <w:szCs w:val="24"/>
              </w:rPr>
              <w:t> </w:t>
            </w:r>
          </w:p>
        </w:tc>
        <w:tc>
          <w:tcPr>
            <w:tcW w:w="1340" w:type="dxa"/>
            <w:tcBorders>
              <w:top w:val="nil"/>
              <w:left w:val="nil"/>
              <w:bottom w:val="single" w:sz="8" w:space="0" w:color="auto"/>
              <w:right w:val="single" w:sz="8" w:space="0" w:color="auto"/>
            </w:tcBorders>
            <w:shd w:val="clear" w:color="auto" w:fill="auto"/>
            <w:vAlign w:val="center"/>
            <w:hideMark/>
          </w:tcPr>
          <w:p w14:paraId="4D824AD1" w14:textId="77777777" w:rsidR="00C31E9C" w:rsidRPr="00C31E9C" w:rsidRDefault="00C31E9C" w:rsidP="00C31E9C">
            <w:pPr>
              <w:jc w:val="center"/>
              <w:rPr>
                <w:color w:val="000000"/>
                <w:szCs w:val="24"/>
              </w:rPr>
            </w:pPr>
            <w:r w:rsidRPr="00C31E9C">
              <w:rPr>
                <w:color w:val="000000"/>
                <w:szCs w:val="24"/>
              </w:rPr>
              <w:t> </w:t>
            </w:r>
          </w:p>
        </w:tc>
        <w:tc>
          <w:tcPr>
            <w:tcW w:w="1180" w:type="dxa"/>
            <w:tcBorders>
              <w:top w:val="nil"/>
              <w:left w:val="nil"/>
              <w:bottom w:val="single" w:sz="8" w:space="0" w:color="auto"/>
              <w:right w:val="single" w:sz="8" w:space="0" w:color="auto"/>
            </w:tcBorders>
            <w:shd w:val="clear" w:color="auto" w:fill="auto"/>
            <w:vAlign w:val="center"/>
            <w:hideMark/>
          </w:tcPr>
          <w:p w14:paraId="1A7D0E11"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4A91695B"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4783B754" w14:textId="77777777" w:rsidR="00C31E9C" w:rsidRPr="00C31E9C" w:rsidRDefault="00C31E9C" w:rsidP="00C31E9C">
            <w:pPr>
              <w:jc w:val="center"/>
              <w:rPr>
                <w:color w:val="000000"/>
                <w:szCs w:val="24"/>
              </w:rPr>
            </w:pPr>
            <w:r w:rsidRPr="00C31E9C">
              <w:rPr>
                <w:color w:val="000000"/>
                <w:szCs w:val="24"/>
              </w:rPr>
              <w:t> </w:t>
            </w:r>
          </w:p>
        </w:tc>
      </w:tr>
      <w:tr w:rsidR="004C2FFF" w:rsidRPr="00C31E9C" w14:paraId="5678B074"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25F9C531" w14:textId="77777777" w:rsidR="00C31E9C" w:rsidRPr="00C31E9C" w:rsidRDefault="00C31E9C" w:rsidP="00C31E9C">
            <w:pPr>
              <w:jc w:val="center"/>
              <w:rPr>
                <w:color w:val="000000"/>
                <w:szCs w:val="24"/>
              </w:rPr>
            </w:pPr>
            <w:r w:rsidRPr="00C31E9C">
              <w:rPr>
                <w:color w:val="000000"/>
                <w:szCs w:val="24"/>
              </w:rPr>
              <w:t>Unit 4:</w:t>
            </w:r>
          </w:p>
        </w:tc>
        <w:tc>
          <w:tcPr>
            <w:tcW w:w="960" w:type="dxa"/>
            <w:tcBorders>
              <w:top w:val="nil"/>
              <w:left w:val="nil"/>
              <w:bottom w:val="single" w:sz="8" w:space="0" w:color="auto"/>
              <w:right w:val="single" w:sz="8" w:space="0" w:color="auto"/>
            </w:tcBorders>
            <w:shd w:val="clear" w:color="auto" w:fill="auto"/>
            <w:vAlign w:val="center"/>
            <w:hideMark/>
          </w:tcPr>
          <w:p w14:paraId="7A0EAF15" w14:textId="77777777" w:rsidR="00C31E9C" w:rsidRPr="00C31E9C" w:rsidRDefault="00C31E9C" w:rsidP="00C31E9C">
            <w:pPr>
              <w:jc w:val="center"/>
              <w:rPr>
                <w:color w:val="000000"/>
                <w:szCs w:val="24"/>
              </w:rPr>
            </w:pPr>
            <w:r w:rsidRPr="00C31E9C">
              <w:rPr>
                <w:color w:val="000000"/>
                <w:szCs w:val="24"/>
              </w:rPr>
              <w:t> </w:t>
            </w:r>
          </w:p>
        </w:tc>
        <w:tc>
          <w:tcPr>
            <w:tcW w:w="1340" w:type="dxa"/>
            <w:tcBorders>
              <w:top w:val="nil"/>
              <w:left w:val="nil"/>
              <w:bottom w:val="single" w:sz="8" w:space="0" w:color="auto"/>
              <w:right w:val="single" w:sz="8" w:space="0" w:color="auto"/>
            </w:tcBorders>
            <w:shd w:val="clear" w:color="auto" w:fill="auto"/>
            <w:vAlign w:val="center"/>
            <w:hideMark/>
          </w:tcPr>
          <w:p w14:paraId="205FA102" w14:textId="77777777" w:rsidR="00C31E9C" w:rsidRPr="00C31E9C" w:rsidRDefault="00C31E9C" w:rsidP="00C31E9C">
            <w:pPr>
              <w:jc w:val="center"/>
              <w:rPr>
                <w:color w:val="000000"/>
                <w:szCs w:val="24"/>
              </w:rPr>
            </w:pPr>
            <w:r w:rsidRPr="00C31E9C">
              <w:rPr>
                <w:color w:val="000000"/>
                <w:szCs w:val="24"/>
              </w:rPr>
              <w:t> </w:t>
            </w:r>
          </w:p>
        </w:tc>
        <w:tc>
          <w:tcPr>
            <w:tcW w:w="1180" w:type="dxa"/>
            <w:tcBorders>
              <w:top w:val="nil"/>
              <w:left w:val="nil"/>
              <w:bottom w:val="single" w:sz="8" w:space="0" w:color="auto"/>
              <w:right w:val="single" w:sz="8" w:space="0" w:color="auto"/>
            </w:tcBorders>
            <w:shd w:val="clear" w:color="auto" w:fill="auto"/>
            <w:vAlign w:val="center"/>
            <w:hideMark/>
          </w:tcPr>
          <w:p w14:paraId="0FB07E41"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00E843C2"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697C092B" w14:textId="77777777" w:rsidR="00C31E9C" w:rsidRPr="00C31E9C" w:rsidRDefault="00C31E9C" w:rsidP="00C31E9C">
            <w:pPr>
              <w:jc w:val="center"/>
              <w:rPr>
                <w:color w:val="000000"/>
                <w:szCs w:val="24"/>
              </w:rPr>
            </w:pPr>
            <w:r w:rsidRPr="00C31E9C">
              <w:rPr>
                <w:color w:val="000000"/>
                <w:szCs w:val="24"/>
              </w:rPr>
              <w:t> </w:t>
            </w:r>
          </w:p>
        </w:tc>
      </w:tr>
      <w:tr w:rsidR="004C2FFF" w:rsidRPr="00C31E9C" w14:paraId="10958E41"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6F1644C7"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4459830C" w14:textId="77777777" w:rsidR="00C31E9C" w:rsidRPr="00C31E9C" w:rsidRDefault="00C31E9C" w:rsidP="00C31E9C">
            <w:pPr>
              <w:jc w:val="center"/>
              <w:rPr>
                <w:color w:val="000000"/>
                <w:szCs w:val="24"/>
              </w:rPr>
            </w:pPr>
            <w:r w:rsidRPr="00C31E9C">
              <w:rPr>
                <w:color w:val="000000"/>
                <w:szCs w:val="24"/>
              </w:rPr>
              <w:t>Mar-21</w:t>
            </w:r>
          </w:p>
        </w:tc>
        <w:tc>
          <w:tcPr>
            <w:tcW w:w="1340" w:type="dxa"/>
            <w:tcBorders>
              <w:top w:val="nil"/>
              <w:left w:val="nil"/>
              <w:bottom w:val="single" w:sz="8" w:space="0" w:color="auto"/>
              <w:right w:val="single" w:sz="8" w:space="0" w:color="auto"/>
            </w:tcBorders>
            <w:shd w:val="clear" w:color="auto" w:fill="auto"/>
            <w:vAlign w:val="center"/>
            <w:hideMark/>
          </w:tcPr>
          <w:p w14:paraId="39054DD5" w14:textId="77777777" w:rsidR="00C31E9C" w:rsidRPr="00C31E9C" w:rsidRDefault="00C31E9C" w:rsidP="00C31E9C">
            <w:pPr>
              <w:jc w:val="center"/>
              <w:rPr>
                <w:color w:val="000000"/>
                <w:szCs w:val="24"/>
              </w:rPr>
            </w:pPr>
            <w:r w:rsidRPr="00C31E9C">
              <w:rPr>
                <w:color w:val="000000"/>
                <w:szCs w:val="24"/>
              </w:rPr>
              <w:t>Aug-22</w:t>
            </w:r>
          </w:p>
        </w:tc>
        <w:tc>
          <w:tcPr>
            <w:tcW w:w="1180" w:type="dxa"/>
            <w:tcBorders>
              <w:top w:val="nil"/>
              <w:left w:val="nil"/>
              <w:bottom w:val="single" w:sz="8" w:space="0" w:color="auto"/>
              <w:right w:val="single" w:sz="8" w:space="0" w:color="auto"/>
            </w:tcBorders>
            <w:shd w:val="clear" w:color="auto" w:fill="auto"/>
            <w:vAlign w:val="center"/>
            <w:hideMark/>
          </w:tcPr>
          <w:p w14:paraId="1B87C27E" w14:textId="77777777" w:rsidR="00C31E9C" w:rsidRPr="00C31E9C" w:rsidRDefault="00C31E9C" w:rsidP="00C31E9C">
            <w:pPr>
              <w:jc w:val="center"/>
              <w:rPr>
                <w:color w:val="000000"/>
                <w:szCs w:val="24"/>
              </w:rPr>
            </w:pPr>
            <w:r w:rsidRPr="00C31E9C">
              <w:rPr>
                <w:color w:val="000000"/>
                <w:szCs w:val="24"/>
              </w:rPr>
              <w:t>Nov-22</w:t>
            </w:r>
          </w:p>
        </w:tc>
        <w:tc>
          <w:tcPr>
            <w:tcW w:w="1220" w:type="dxa"/>
            <w:tcBorders>
              <w:top w:val="nil"/>
              <w:left w:val="nil"/>
              <w:bottom w:val="single" w:sz="8" w:space="0" w:color="auto"/>
              <w:right w:val="single" w:sz="8" w:space="0" w:color="auto"/>
            </w:tcBorders>
            <w:shd w:val="clear" w:color="auto" w:fill="auto"/>
            <w:vAlign w:val="center"/>
            <w:hideMark/>
          </w:tcPr>
          <w:p w14:paraId="423D14A5"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3C4DD29C" w14:textId="77777777" w:rsidR="00C31E9C" w:rsidRPr="00C31E9C" w:rsidRDefault="00C31E9C" w:rsidP="00C31E9C">
            <w:pPr>
              <w:jc w:val="center"/>
              <w:rPr>
                <w:color w:val="000000"/>
                <w:szCs w:val="24"/>
              </w:rPr>
            </w:pPr>
            <w:r w:rsidRPr="00C31E9C">
              <w:rPr>
                <w:color w:val="000000"/>
                <w:szCs w:val="24"/>
              </w:rPr>
              <w:t>4 mos.</w:t>
            </w:r>
          </w:p>
        </w:tc>
      </w:tr>
      <w:tr w:rsidR="004C2FFF" w:rsidRPr="00C31E9C" w14:paraId="3646155F"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547F1673"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2A8D1484" w14:textId="77777777" w:rsidR="00C31E9C" w:rsidRPr="00C31E9C" w:rsidRDefault="00C31E9C" w:rsidP="00C31E9C">
            <w:pPr>
              <w:jc w:val="center"/>
              <w:rPr>
                <w:color w:val="000000"/>
                <w:szCs w:val="24"/>
              </w:rPr>
            </w:pPr>
            <w:r w:rsidRPr="00C31E9C">
              <w:rPr>
                <w:color w:val="000000"/>
                <w:szCs w:val="24"/>
              </w:rPr>
              <w:t>Apr-21</w:t>
            </w:r>
          </w:p>
        </w:tc>
        <w:tc>
          <w:tcPr>
            <w:tcW w:w="1340" w:type="dxa"/>
            <w:tcBorders>
              <w:top w:val="nil"/>
              <w:left w:val="nil"/>
              <w:bottom w:val="single" w:sz="8" w:space="0" w:color="auto"/>
              <w:right w:val="single" w:sz="8" w:space="0" w:color="auto"/>
            </w:tcBorders>
            <w:shd w:val="clear" w:color="auto" w:fill="auto"/>
            <w:vAlign w:val="center"/>
            <w:hideMark/>
          </w:tcPr>
          <w:p w14:paraId="0158E486" w14:textId="77777777" w:rsidR="00C31E9C" w:rsidRPr="00C31E9C" w:rsidRDefault="00C31E9C" w:rsidP="00C31E9C">
            <w:pPr>
              <w:jc w:val="center"/>
              <w:rPr>
                <w:color w:val="000000"/>
                <w:szCs w:val="24"/>
              </w:rPr>
            </w:pPr>
            <w:r w:rsidRPr="00C31E9C">
              <w:rPr>
                <w:color w:val="000000"/>
                <w:szCs w:val="24"/>
              </w:rPr>
              <w:t>Dec-22</w:t>
            </w:r>
          </w:p>
        </w:tc>
        <w:tc>
          <w:tcPr>
            <w:tcW w:w="1180" w:type="dxa"/>
            <w:tcBorders>
              <w:top w:val="nil"/>
              <w:left w:val="nil"/>
              <w:bottom w:val="single" w:sz="8" w:space="0" w:color="auto"/>
              <w:right w:val="single" w:sz="8" w:space="0" w:color="auto"/>
            </w:tcBorders>
            <w:shd w:val="clear" w:color="auto" w:fill="auto"/>
            <w:vAlign w:val="center"/>
            <w:hideMark/>
          </w:tcPr>
          <w:p w14:paraId="4A43909E" w14:textId="77777777" w:rsidR="00C31E9C" w:rsidRPr="00C31E9C" w:rsidRDefault="00C31E9C" w:rsidP="00C31E9C">
            <w:pPr>
              <w:jc w:val="center"/>
              <w:rPr>
                <w:color w:val="000000"/>
                <w:szCs w:val="24"/>
              </w:rPr>
            </w:pPr>
            <w:r w:rsidRPr="00C31E9C">
              <w:rPr>
                <w:color w:val="000000"/>
                <w:szCs w:val="24"/>
              </w:rPr>
              <w:t>Nov-22</w:t>
            </w:r>
          </w:p>
        </w:tc>
        <w:tc>
          <w:tcPr>
            <w:tcW w:w="1220" w:type="dxa"/>
            <w:tcBorders>
              <w:top w:val="nil"/>
              <w:left w:val="nil"/>
              <w:bottom w:val="single" w:sz="8" w:space="0" w:color="auto"/>
              <w:right w:val="single" w:sz="8" w:space="0" w:color="auto"/>
            </w:tcBorders>
            <w:shd w:val="clear" w:color="auto" w:fill="auto"/>
            <w:vAlign w:val="center"/>
            <w:hideMark/>
          </w:tcPr>
          <w:p w14:paraId="1D0FD01F" w14:textId="77777777" w:rsidR="00C31E9C" w:rsidRPr="00C31E9C" w:rsidRDefault="00C31E9C" w:rsidP="00C31E9C">
            <w:pPr>
              <w:jc w:val="center"/>
              <w:rPr>
                <w:color w:val="000000"/>
                <w:szCs w:val="24"/>
              </w:rPr>
            </w:pPr>
            <w:r w:rsidRPr="00C31E9C">
              <w:rPr>
                <w:color w:val="000000"/>
                <w:szCs w:val="24"/>
              </w:rPr>
              <w:t> </w:t>
            </w:r>
          </w:p>
        </w:tc>
        <w:tc>
          <w:tcPr>
            <w:tcW w:w="3000" w:type="dxa"/>
            <w:tcBorders>
              <w:top w:val="nil"/>
              <w:left w:val="nil"/>
              <w:bottom w:val="single" w:sz="8" w:space="0" w:color="auto"/>
              <w:right w:val="single" w:sz="8" w:space="0" w:color="auto"/>
            </w:tcBorders>
            <w:shd w:val="clear" w:color="auto" w:fill="auto"/>
            <w:vAlign w:val="center"/>
            <w:hideMark/>
          </w:tcPr>
          <w:p w14:paraId="02B00896" w14:textId="77777777" w:rsidR="00C31E9C" w:rsidRPr="00C31E9C" w:rsidRDefault="00C31E9C" w:rsidP="00C31E9C">
            <w:pPr>
              <w:jc w:val="center"/>
              <w:rPr>
                <w:color w:val="000000"/>
                <w:szCs w:val="24"/>
              </w:rPr>
            </w:pPr>
            <w:r w:rsidRPr="00C31E9C">
              <w:rPr>
                <w:color w:val="000000"/>
                <w:szCs w:val="24"/>
              </w:rPr>
              <w:t>- 1 mos.</w:t>
            </w:r>
          </w:p>
        </w:tc>
      </w:tr>
      <w:tr w:rsidR="004C2FFF" w:rsidRPr="00C31E9C" w14:paraId="1FE8A7D9"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39AE9DCE"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7AE8AC78" w14:textId="77777777" w:rsidR="00C31E9C" w:rsidRPr="00C31E9C" w:rsidRDefault="00C31E9C" w:rsidP="00C31E9C">
            <w:pPr>
              <w:jc w:val="center"/>
              <w:rPr>
                <w:color w:val="000000"/>
                <w:szCs w:val="24"/>
              </w:rPr>
            </w:pPr>
            <w:r w:rsidRPr="00C31E9C">
              <w:rPr>
                <w:color w:val="000000"/>
                <w:szCs w:val="24"/>
              </w:rPr>
              <w:t>Nov-22</w:t>
            </w:r>
          </w:p>
        </w:tc>
        <w:tc>
          <w:tcPr>
            <w:tcW w:w="1340" w:type="dxa"/>
            <w:tcBorders>
              <w:top w:val="nil"/>
              <w:left w:val="nil"/>
              <w:bottom w:val="single" w:sz="8" w:space="0" w:color="auto"/>
              <w:right w:val="single" w:sz="8" w:space="0" w:color="auto"/>
            </w:tcBorders>
            <w:shd w:val="clear" w:color="auto" w:fill="auto"/>
            <w:vAlign w:val="center"/>
            <w:hideMark/>
          </w:tcPr>
          <w:p w14:paraId="4B2D601E" w14:textId="77777777" w:rsidR="00C31E9C" w:rsidRPr="00C31E9C" w:rsidRDefault="00C31E9C" w:rsidP="00C31E9C">
            <w:pPr>
              <w:jc w:val="center"/>
              <w:rPr>
                <w:color w:val="000000"/>
                <w:szCs w:val="24"/>
              </w:rPr>
            </w:pPr>
            <w:r w:rsidRPr="00C31E9C">
              <w:rPr>
                <w:color w:val="000000"/>
                <w:szCs w:val="24"/>
              </w:rPr>
              <w:t>Sep-23</w:t>
            </w:r>
          </w:p>
        </w:tc>
        <w:tc>
          <w:tcPr>
            <w:tcW w:w="1180" w:type="dxa"/>
            <w:tcBorders>
              <w:top w:val="nil"/>
              <w:left w:val="nil"/>
              <w:bottom w:val="single" w:sz="8" w:space="0" w:color="auto"/>
              <w:right w:val="single" w:sz="8" w:space="0" w:color="auto"/>
            </w:tcBorders>
            <w:shd w:val="clear" w:color="auto" w:fill="auto"/>
            <w:vAlign w:val="center"/>
            <w:hideMark/>
          </w:tcPr>
          <w:p w14:paraId="26CD47BA"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2C456278" w14:textId="77777777" w:rsidR="00C31E9C" w:rsidRPr="00C31E9C" w:rsidRDefault="00C31E9C" w:rsidP="00C31E9C">
            <w:pPr>
              <w:jc w:val="center"/>
              <w:rPr>
                <w:color w:val="000000"/>
                <w:szCs w:val="24"/>
              </w:rPr>
            </w:pPr>
            <w:r w:rsidRPr="00C31E9C">
              <w:rPr>
                <w:color w:val="000000"/>
                <w:szCs w:val="24"/>
              </w:rPr>
              <w:t>Dec-23</w:t>
            </w:r>
          </w:p>
        </w:tc>
        <w:tc>
          <w:tcPr>
            <w:tcW w:w="3000" w:type="dxa"/>
            <w:tcBorders>
              <w:top w:val="nil"/>
              <w:left w:val="nil"/>
              <w:bottom w:val="single" w:sz="8" w:space="0" w:color="auto"/>
              <w:right w:val="single" w:sz="8" w:space="0" w:color="auto"/>
            </w:tcBorders>
            <w:shd w:val="clear" w:color="auto" w:fill="auto"/>
            <w:vAlign w:val="center"/>
            <w:hideMark/>
          </w:tcPr>
          <w:p w14:paraId="7CDF5C66" w14:textId="77777777" w:rsidR="00C31E9C" w:rsidRPr="00C31E9C" w:rsidRDefault="00C31E9C" w:rsidP="00C31E9C">
            <w:pPr>
              <w:jc w:val="center"/>
              <w:rPr>
                <w:color w:val="000000"/>
                <w:szCs w:val="24"/>
              </w:rPr>
            </w:pPr>
            <w:r w:rsidRPr="00C31E9C">
              <w:rPr>
                <w:color w:val="000000"/>
                <w:szCs w:val="24"/>
              </w:rPr>
              <w:t>3 mos.</w:t>
            </w:r>
          </w:p>
        </w:tc>
      </w:tr>
      <w:tr w:rsidR="004C2FFF" w:rsidRPr="00C31E9C" w14:paraId="7F008095" w14:textId="77777777" w:rsidTr="00C31E9C">
        <w:trPr>
          <w:trHeight w:val="324"/>
          <w:jc w:val="center"/>
        </w:trPr>
        <w:tc>
          <w:tcPr>
            <w:tcW w:w="1100" w:type="dxa"/>
            <w:tcBorders>
              <w:top w:val="nil"/>
              <w:left w:val="single" w:sz="8" w:space="0" w:color="auto"/>
              <w:bottom w:val="single" w:sz="8" w:space="0" w:color="auto"/>
              <w:right w:val="single" w:sz="8" w:space="0" w:color="auto"/>
            </w:tcBorders>
            <w:shd w:val="clear" w:color="auto" w:fill="auto"/>
            <w:vAlign w:val="center"/>
            <w:hideMark/>
          </w:tcPr>
          <w:p w14:paraId="3B7BEDCC" w14:textId="77777777" w:rsidR="00C31E9C" w:rsidRPr="00C31E9C" w:rsidRDefault="00C31E9C" w:rsidP="00C31E9C">
            <w:pPr>
              <w:jc w:val="center"/>
              <w:rPr>
                <w:color w:val="000000"/>
                <w:szCs w:val="24"/>
              </w:rPr>
            </w:pPr>
            <w:r w:rsidRPr="00C31E9C">
              <w:rPr>
                <w:color w:val="000000"/>
                <w:szCs w:val="24"/>
              </w:rPr>
              <w:t>MPR</w:t>
            </w:r>
          </w:p>
        </w:tc>
        <w:tc>
          <w:tcPr>
            <w:tcW w:w="960" w:type="dxa"/>
            <w:tcBorders>
              <w:top w:val="nil"/>
              <w:left w:val="nil"/>
              <w:bottom w:val="single" w:sz="8" w:space="0" w:color="auto"/>
              <w:right w:val="single" w:sz="8" w:space="0" w:color="auto"/>
            </w:tcBorders>
            <w:shd w:val="clear" w:color="auto" w:fill="auto"/>
            <w:vAlign w:val="center"/>
            <w:hideMark/>
          </w:tcPr>
          <w:p w14:paraId="1C5E8D45" w14:textId="77777777" w:rsidR="00C31E9C" w:rsidRPr="00C31E9C" w:rsidRDefault="00C31E9C" w:rsidP="00C31E9C">
            <w:pPr>
              <w:jc w:val="center"/>
              <w:rPr>
                <w:color w:val="000000"/>
                <w:szCs w:val="24"/>
              </w:rPr>
            </w:pPr>
            <w:r w:rsidRPr="00C31E9C">
              <w:rPr>
                <w:color w:val="000000"/>
                <w:szCs w:val="24"/>
              </w:rPr>
              <w:t>Feb-23</w:t>
            </w:r>
          </w:p>
        </w:tc>
        <w:tc>
          <w:tcPr>
            <w:tcW w:w="1340" w:type="dxa"/>
            <w:tcBorders>
              <w:top w:val="nil"/>
              <w:left w:val="nil"/>
              <w:bottom w:val="single" w:sz="8" w:space="0" w:color="auto"/>
              <w:right w:val="single" w:sz="8" w:space="0" w:color="auto"/>
            </w:tcBorders>
            <w:shd w:val="clear" w:color="auto" w:fill="auto"/>
            <w:vAlign w:val="center"/>
            <w:hideMark/>
          </w:tcPr>
          <w:p w14:paraId="725E4197" w14:textId="77777777" w:rsidR="00C31E9C" w:rsidRPr="00C31E9C" w:rsidRDefault="00C31E9C" w:rsidP="00C31E9C">
            <w:pPr>
              <w:jc w:val="center"/>
              <w:rPr>
                <w:color w:val="000000"/>
                <w:szCs w:val="24"/>
              </w:rPr>
            </w:pPr>
            <w:r w:rsidRPr="00C31E9C">
              <w:rPr>
                <w:color w:val="000000"/>
                <w:szCs w:val="24"/>
              </w:rPr>
              <w:t>Oct-23</w:t>
            </w:r>
          </w:p>
        </w:tc>
        <w:tc>
          <w:tcPr>
            <w:tcW w:w="1180" w:type="dxa"/>
            <w:tcBorders>
              <w:top w:val="nil"/>
              <w:left w:val="nil"/>
              <w:bottom w:val="single" w:sz="8" w:space="0" w:color="auto"/>
              <w:right w:val="single" w:sz="8" w:space="0" w:color="auto"/>
            </w:tcBorders>
            <w:shd w:val="clear" w:color="auto" w:fill="auto"/>
            <w:vAlign w:val="center"/>
            <w:hideMark/>
          </w:tcPr>
          <w:p w14:paraId="25074088" w14:textId="77777777" w:rsidR="00C31E9C" w:rsidRPr="00C31E9C" w:rsidRDefault="00C31E9C" w:rsidP="00C31E9C">
            <w:pPr>
              <w:jc w:val="center"/>
              <w:rPr>
                <w:color w:val="000000"/>
                <w:szCs w:val="24"/>
              </w:rPr>
            </w:pPr>
            <w:r w:rsidRPr="00C31E9C">
              <w:rPr>
                <w:color w:val="000000"/>
                <w:szCs w:val="24"/>
              </w:rPr>
              <w:t> </w:t>
            </w:r>
          </w:p>
        </w:tc>
        <w:tc>
          <w:tcPr>
            <w:tcW w:w="1220" w:type="dxa"/>
            <w:tcBorders>
              <w:top w:val="nil"/>
              <w:left w:val="nil"/>
              <w:bottom w:val="single" w:sz="8" w:space="0" w:color="auto"/>
              <w:right w:val="single" w:sz="8" w:space="0" w:color="auto"/>
            </w:tcBorders>
            <w:shd w:val="clear" w:color="auto" w:fill="auto"/>
            <w:vAlign w:val="center"/>
            <w:hideMark/>
          </w:tcPr>
          <w:p w14:paraId="224372DB" w14:textId="77777777" w:rsidR="00C31E9C" w:rsidRPr="00C31E9C" w:rsidRDefault="00C31E9C" w:rsidP="00C31E9C">
            <w:pPr>
              <w:jc w:val="center"/>
              <w:rPr>
                <w:color w:val="000000"/>
                <w:szCs w:val="24"/>
              </w:rPr>
            </w:pPr>
            <w:r w:rsidRPr="00C31E9C">
              <w:rPr>
                <w:color w:val="000000"/>
                <w:szCs w:val="24"/>
              </w:rPr>
              <w:t>Mar-24</w:t>
            </w:r>
          </w:p>
        </w:tc>
        <w:tc>
          <w:tcPr>
            <w:tcW w:w="3000" w:type="dxa"/>
            <w:tcBorders>
              <w:top w:val="nil"/>
              <w:left w:val="nil"/>
              <w:bottom w:val="single" w:sz="8" w:space="0" w:color="auto"/>
              <w:right w:val="single" w:sz="8" w:space="0" w:color="auto"/>
            </w:tcBorders>
            <w:shd w:val="clear" w:color="auto" w:fill="auto"/>
            <w:vAlign w:val="center"/>
            <w:hideMark/>
          </w:tcPr>
          <w:p w14:paraId="109A000C" w14:textId="77777777" w:rsidR="00C31E9C" w:rsidRPr="00C31E9C" w:rsidRDefault="00C31E9C" w:rsidP="00C31E9C">
            <w:pPr>
              <w:jc w:val="center"/>
              <w:rPr>
                <w:color w:val="000000"/>
                <w:szCs w:val="24"/>
              </w:rPr>
            </w:pPr>
            <w:r w:rsidRPr="00C31E9C">
              <w:rPr>
                <w:color w:val="000000"/>
                <w:szCs w:val="24"/>
              </w:rPr>
              <w:t>5 mos.</w:t>
            </w:r>
          </w:p>
        </w:tc>
      </w:tr>
    </w:tbl>
    <w:p w14:paraId="03D101F5" w14:textId="77777777" w:rsidR="00B80AFC" w:rsidRDefault="00B80AFC" w:rsidP="00303DFF">
      <w:pPr>
        <w:jc w:val="center"/>
        <w:rPr>
          <w:b/>
          <w:szCs w:val="24"/>
          <w:highlight w:val="yellow"/>
        </w:rPr>
      </w:pPr>
    </w:p>
    <w:p w14:paraId="2BA421BD" w14:textId="77777777" w:rsidR="005B0C17" w:rsidRDefault="005B0C17" w:rsidP="00865B3B">
      <w:pPr>
        <w:jc w:val="both"/>
      </w:pPr>
    </w:p>
    <w:p w14:paraId="106CFBE2" w14:textId="6E5AC77E" w:rsidR="00865B3B" w:rsidRDefault="00865B3B" w:rsidP="00865B3B">
      <w:pPr>
        <w:jc w:val="both"/>
      </w:pPr>
      <w:r>
        <w:t xml:space="preserve">As U-3 approached the start of HFT, and to compound the schedule reporting issue discussed above, and as the alleged “schedule margin” started to disappear (and even beyond when it became clear that the Regulatory Approved  CODs could not be met) the Company started to claim that their originally planned durations of 6 months from HFT to Fuel Load, and another 6 months between Fuel Load and COD, had imbedded “schedule margin”.  The changes made in this regard are demonstrated by table 3.3.4-2.     </w:t>
      </w:r>
    </w:p>
    <w:p w14:paraId="3E123BFC" w14:textId="77777777" w:rsidR="005B0C17" w:rsidRDefault="005B0C17" w:rsidP="00865B3B">
      <w:pPr>
        <w:rPr>
          <w:b/>
          <w:szCs w:val="24"/>
          <w:highlight w:val="yellow"/>
        </w:rPr>
      </w:pPr>
    </w:p>
    <w:p w14:paraId="5BB4CB2C" w14:textId="77777777" w:rsidR="006B2C69" w:rsidRDefault="006B2C69" w:rsidP="00865B3B">
      <w:pPr>
        <w:rPr>
          <w:b/>
          <w:szCs w:val="24"/>
          <w:highlight w:val="yellow"/>
        </w:rPr>
      </w:pPr>
    </w:p>
    <w:p w14:paraId="1136B751" w14:textId="656B63F6" w:rsidR="006B2C69" w:rsidRDefault="006B2C69">
      <w:pPr>
        <w:rPr>
          <w:b/>
          <w:szCs w:val="24"/>
          <w:highlight w:val="yellow"/>
        </w:rPr>
      </w:pPr>
      <w:r>
        <w:rPr>
          <w:b/>
          <w:szCs w:val="24"/>
          <w:highlight w:val="yellow"/>
        </w:rPr>
        <w:br w:type="page"/>
      </w:r>
    </w:p>
    <w:p w14:paraId="63E6D219" w14:textId="77777777" w:rsidR="006B2C69" w:rsidRDefault="006B2C69" w:rsidP="00865B3B">
      <w:pPr>
        <w:rPr>
          <w:b/>
          <w:szCs w:val="24"/>
          <w:highlight w:val="yellow"/>
        </w:rPr>
      </w:pPr>
    </w:p>
    <w:tbl>
      <w:tblPr>
        <w:tblW w:w="9740" w:type="dxa"/>
        <w:jc w:val="center"/>
        <w:tblLook w:val="04A0" w:firstRow="1" w:lastRow="0" w:firstColumn="1" w:lastColumn="0" w:noHBand="0" w:noVBand="1"/>
      </w:tblPr>
      <w:tblGrid>
        <w:gridCol w:w="1380"/>
        <w:gridCol w:w="1220"/>
        <w:gridCol w:w="2320"/>
        <w:gridCol w:w="2380"/>
        <w:gridCol w:w="2440"/>
      </w:tblGrid>
      <w:tr w:rsidR="00570019" w:rsidRPr="00570019" w14:paraId="131FBAFF" w14:textId="77777777" w:rsidTr="00570019">
        <w:trPr>
          <w:trHeight w:val="624"/>
          <w:jc w:val="center"/>
        </w:trPr>
        <w:tc>
          <w:tcPr>
            <w:tcW w:w="9740" w:type="dxa"/>
            <w:gridSpan w:val="5"/>
            <w:tcBorders>
              <w:top w:val="single" w:sz="8" w:space="0" w:color="auto"/>
              <w:left w:val="single" w:sz="8" w:space="0" w:color="auto"/>
              <w:bottom w:val="single" w:sz="8" w:space="0" w:color="auto"/>
              <w:right w:val="single" w:sz="8" w:space="0" w:color="000000"/>
            </w:tcBorders>
            <w:shd w:val="clear" w:color="000000" w:fill="DDEBF7"/>
            <w:vAlign w:val="center"/>
            <w:hideMark/>
          </w:tcPr>
          <w:p w14:paraId="35BBE670" w14:textId="77777777" w:rsidR="00570019" w:rsidRDefault="00570019" w:rsidP="00570019">
            <w:pPr>
              <w:jc w:val="center"/>
              <w:rPr>
                <w:b/>
                <w:bCs/>
                <w:color w:val="000000"/>
                <w:szCs w:val="24"/>
              </w:rPr>
            </w:pPr>
            <w:r w:rsidRPr="00570019">
              <w:rPr>
                <w:b/>
                <w:bCs/>
                <w:color w:val="000000"/>
                <w:szCs w:val="24"/>
              </w:rPr>
              <w:t>Table 3.3.4-2, Site Work Plan, Planned Durations</w:t>
            </w:r>
          </w:p>
          <w:p w14:paraId="4DE6322D" w14:textId="4DEAE960" w:rsidR="00F81FF9" w:rsidRPr="00223F1D" w:rsidRDefault="00F81FF9" w:rsidP="00570019">
            <w:pPr>
              <w:jc w:val="center"/>
              <w:rPr>
                <w:color w:val="000000"/>
                <w:szCs w:val="24"/>
              </w:rPr>
            </w:pPr>
            <w:r>
              <w:rPr>
                <w:color w:val="000000"/>
                <w:szCs w:val="24"/>
              </w:rPr>
              <w:t>(where “F” indicates Forecast, and “A” indicates Actual)</w:t>
            </w:r>
          </w:p>
        </w:tc>
      </w:tr>
      <w:tr w:rsidR="00570019" w:rsidRPr="00570019" w14:paraId="66126476" w14:textId="77777777" w:rsidTr="00570019">
        <w:trPr>
          <w:trHeight w:val="432"/>
          <w:jc w:val="center"/>
        </w:trPr>
        <w:tc>
          <w:tcPr>
            <w:tcW w:w="2600" w:type="dxa"/>
            <w:gridSpan w:val="2"/>
            <w:tcBorders>
              <w:top w:val="single" w:sz="8" w:space="0" w:color="auto"/>
              <w:left w:val="single" w:sz="8" w:space="0" w:color="auto"/>
              <w:bottom w:val="single" w:sz="8" w:space="0" w:color="auto"/>
              <w:right w:val="single" w:sz="8" w:space="0" w:color="000000"/>
            </w:tcBorders>
            <w:shd w:val="clear" w:color="000000" w:fill="FFF2CC"/>
            <w:vAlign w:val="center"/>
            <w:hideMark/>
          </w:tcPr>
          <w:p w14:paraId="43558986" w14:textId="77777777" w:rsidR="00570019" w:rsidRPr="00570019" w:rsidRDefault="00570019" w:rsidP="00570019">
            <w:pPr>
              <w:jc w:val="center"/>
              <w:rPr>
                <w:color w:val="000000"/>
                <w:szCs w:val="24"/>
              </w:rPr>
            </w:pPr>
            <w:r w:rsidRPr="00570019">
              <w:rPr>
                <w:color w:val="000000"/>
                <w:szCs w:val="24"/>
              </w:rPr>
              <w:t>Data Source</w:t>
            </w:r>
          </w:p>
        </w:tc>
        <w:tc>
          <w:tcPr>
            <w:tcW w:w="4700" w:type="dxa"/>
            <w:gridSpan w:val="2"/>
            <w:tcBorders>
              <w:top w:val="single" w:sz="8" w:space="0" w:color="auto"/>
              <w:left w:val="nil"/>
              <w:bottom w:val="single" w:sz="8" w:space="0" w:color="auto"/>
              <w:right w:val="single" w:sz="8" w:space="0" w:color="000000"/>
            </w:tcBorders>
            <w:shd w:val="clear" w:color="000000" w:fill="FFF2CC"/>
            <w:vAlign w:val="center"/>
            <w:hideMark/>
          </w:tcPr>
          <w:p w14:paraId="4389BF0F" w14:textId="77777777" w:rsidR="00570019" w:rsidRPr="00570019" w:rsidRDefault="00570019" w:rsidP="00570019">
            <w:pPr>
              <w:jc w:val="center"/>
              <w:rPr>
                <w:color w:val="000000"/>
                <w:szCs w:val="24"/>
              </w:rPr>
            </w:pPr>
            <w:r w:rsidRPr="00570019">
              <w:rPr>
                <w:color w:val="000000"/>
                <w:szCs w:val="24"/>
              </w:rPr>
              <w:t>U-3, Planned Duration, From ___ to ____</w:t>
            </w:r>
          </w:p>
        </w:tc>
        <w:tc>
          <w:tcPr>
            <w:tcW w:w="244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16737313" w14:textId="77777777" w:rsidR="00570019" w:rsidRPr="00570019" w:rsidRDefault="00570019" w:rsidP="00570019">
            <w:pPr>
              <w:jc w:val="center"/>
              <w:rPr>
                <w:color w:val="000000"/>
                <w:szCs w:val="24"/>
              </w:rPr>
            </w:pPr>
            <w:r w:rsidRPr="00570019">
              <w:rPr>
                <w:color w:val="000000"/>
                <w:szCs w:val="24"/>
              </w:rPr>
              <w:t>Remarks</w:t>
            </w:r>
          </w:p>
        </w:tc>
      </w:tr>
      <w:tr w:rsidR="00570019" w:rsidRPr="00570019" w14:paraId="433C2016" w14:textId="77777777" w:rsidTr="00570019">
        <w:trPr>
          <w:trHeight w:val="552"/>
          <w:jc w:val="center"/>
        </w:trPr>
        <w:tc>
          <w:tcPr>
            <w:tcW w:w="1380" w:type="dxa"/>
            <w:tcBorders>
              <w:top w:val="nil"/>
              <w:left w:val="single" w:sz="8" w:space="0" w:color="auto"/>
              <w:bottom w:val="single" w:sz="8" w:space="0" w:color="auto"/>
              <w:right w:val="single" w:sz="8" w:space="0" w:color="auto"/>
            </w:tcBorders>
            <w:shd w:val="clear" w:color="000000" w:fill="FFF2CC"/>
            <w:vAlign w:val="center"/>
            <w:hideMark/>
          </w:tcPr>
          <w:p w14:paraId="6AA4E46C" w14:textId="77777777" w:rsidR="00570019" w:rsidRPr="00570019" w:rsidRDefault="00570019" w:rsidP="00570019">
            <w:pPr>
              <w:jc w:val="center"/>
              <w:rPr>
                <w:color w:val="000000"/>
                <w:szCs w:val="24"/>
              </w:rPr>
            </w:pPr>
            <w:r w:rsidRPr="00570019">
              <w:rPr>
                <w:color w:val="000000"/>
                <w:szCs w:val="24"/>
              </w:rPr>
              <w:t>Document</w:t>
            </w:r>
          </w:p>
        </w:tc>
        <w:tc>
          <w:tcPr>
            <w:tcW w:w="1220" w:type="dxa"/>
            <w:tcBorders>
              <w:top w:val="nil"/>
              <w:left w:val="nil"/>
              <w:bottom w:val="single" w:sz="8" w:space="0" w:color="auto"/>
              <w:right w:val="single" w:sz="8" w:space="0" w:color="auto"/>
            </w:tcBorders>
            <w:shd w:val="clear" w:color="000000" w:fill="FFF2CC"/>
            <w:vAlign w:val="center"/>
            <w:hideMark/>
          </w:tcPr>
          <w:p w14:paraId="52DBF01B" w14:textId="77777777" w:rsidR="00570019" w:rsidRPr="00570019" w:rsidRDefault="00570019" w:rsidP="00570019">
            <w:pPr>
              <w:jc w:val="center"/>
              <w:rPr>
                <w:color w:val="000000"/>
                <w:szCs w:val="24"/>
              </w:rPr>
            </w:pPr>
            <w:r w:rsidRPr="00570019">
              <w:rPr>
                <w:color w:val="000000"/>
                <w:szCs w:val="24"/>
              </w:rPr>
              <w:t>Date</w:t>
            </w:r>
          </w:p>
        </w:tc>
        <w:tc>
          <w:tcPr>
            <w:tcW w:w="2320" w:type="dxa"/>
            <w:tcBorders>
              <w:top w:val="nil"/>
              <w:left w:val="nil"/>
              <w:bottom w:val="single" w:sz="8" w:space="0" w:color="auto"/>
              <w:right w:val="single" w:sz="8" w:space="0" w:color="auto"/>
            </w:tcBorders>
            <w:shd w:val="clear" w:color="000000" w:fill="FFF2CC"/>
            <w:vAlign w:val="center"/>
            <w:hideMark/>
          </w:tcPr>
          <w:p w14:paraId="5A9712B9" w14:textId="77777777" w:rsidR="00570019" w:rsidRPr="00570019" w:rsidRDefault="00570019" w:rsidP="00570019">
            <w:pPr>
              <w:jc w:val="center"/>
              <w:rPr>
                <w:color w:val="000000"/>
                <w:szCs w:val="24"/>
              </w:rPr>
            </w:pPr>
            <w:r w:rsidRPr="00570019">
              <w:rPr>
                <w:color w:val="000000"/>
                <w:szCs w:val="24"/>
              </w:rPr>
              <w:t>HFT to Start Fuel Load</w:t>
            </w:r>
          </w:p>
        </w:tc>
        <w:tc>
          <w:tcPr>
            <w:tcW w:w="2380" w:type="dxa"/>
            <w:tcBorders>
              <w:top w:val="nil"/>
              <w:left w:val="nil"/>
              <w:bottom w:val="single" w:sz="8" w:space="0" w:color="auto"/>
              <w:right w:val="single" w:sz="8" w:space="0" w:color="auto"/>
            </w:tcBorders>
            <w:shd w:val="clear" w:color="000000" w:fill="FFF2CC"/>
            <w:vAlign w:val="center"/>
            <w:hideMark/>
          </w:tcPr>
          <w:p w14:paraId="70B63805" w14:textId="77777777" w:rsidR="00570019" w:rsidRPr="00570019" w:rsidRDefault="00570019" w:rsidP="00570019">
            <w:pPr>
              <w:jc w:val="center"/>
              <w:rPr>
                <w:color w:val="000000"/>
                <w:szCs w:val="24"/>
              </w:rPr>
            </w:pPr>
            <w:r w:rsidRPr="00570019">
              <w:rPr>
                <w:color w:val="000000"/>
                <w:szCs w:val="24"/>
              </w:rPr>
              <w:t>Start Fuel Load to COD</w:t>
            </w:r>
          </w:p>
        </w:tc>
        <w:tc>
          <w:tcPr>
            <w:tcW w:w="2440" w:type="dxa"/>
            <w:vMerge/>
            <w:tcBorders>
              <w:top w:val="nil"/>
              <w:left w:val="single" w:sz="8" w:space="0" w:color="auto"/>
              <w:bottom w:val="single" w:sz="8" w:space="0" w:color="000000"/>
              <w:right w:val="single" w:sz="8" w:space="0" w:color="auto"/>
            </w:tcBorders>
            <w:vAlign w:val="center"/>
            <w:hideMark/>
          </w:tcPr>
          <w:p w14:paraId="198FF87A" w14:textId="77777777" w:rsidR="00570019" w:rsidRPr="00570019" w:rsidRDefault="00570019" w:rsidP="00570019">
            <w:pPr>
              <w:rPr>
                <w:color w:val="000000"/>
                <w:szCs w:val="24"/>
              </w:rPr>
            </w:pPr>
          </w:p>
        </w:tc>
      </w:tr>
      <w:tr w:rsidR="00570019" w:rsidRPr="00570019" w14:paraId="425A20C7" w14:textId="77777777" w:rsidTr="00570019">
        <w:trPr>
          <w:trHeight w:val="420"/>
          <w:jc w:val="center"/>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4A7B592" w14:textId="77777777" w:rsidR="00570019" w:rsidRPr="00570019" w:rsidRDefault="00570019" w:rsidP="00570019">
            <w:pPr>
              <w:jc w:val="both"/>
              <w:rPr>
                <w:color w:val="000000"/>
                <w:szCs w:val="24"/>
              </w:rPr>
            </w:pPr>
            <w:r w:rsidRPr="00570019">
              <w:rPr>
                <w:color w:val="000000"/>
                <w:szCs w:val="24"/>
              </w:rPr>
              <w:t>STF 90-1</w:t>
            </w:r>
          </w:p>
        </w:tc>
        <w:tc>
          <w:tcPr>
            <w:tcW w:w="1220" w:type="dxa"/>
            <w:tcBorders>
              <w:top w:val="nil"/>
              <w:left w:val="nil"/>
              <w:bottom w:val="single" w:sz="8" w:space="0" w:color="auto"/>
              <w:right w:val="single" w:sz="8" w:space="0" w:color="auto"/>
            </w:tcBorders>
            <w:shd w:val="clear" w:color="auto" w:fill="auto"/>
            <w:vAlign w:val="center"/>
            <w:hideMark/>
          </w:tcPr>
          <w:p w14:paraId="60ED8A1D" w14:textId="77777777" w:rsidR="00570019" w:rsidRPr="00570019" w:rsidRDefault="00570019" w:rsidP="00570019">
            <w:pPr>
              <w:jc w:val="both"/>
              <w:rPr>
                <w:color w:val="000000"/>
                <w:szCs w:val="24"/>
              </w:rPr>
            </w:pPr>
            <w:r w:rsidRPr="00570019">
              <w:rPr>
                <w:color w:val="000000"/>
                <w:szCs w:val="24"/>
              </w:rPr>
              <w:t>Feb-19</w:t>
            </w:r>
          </w:p>
        </w:tc>
        <w:tc>
          <w:tcPr>
            <w:tcW w:w="2320" w:type="dxa"/>
            <w:tcBorders>
              <w:top w:val="nil"/>
              <w:left w:val="nil"/>
              <w:bottom w:val="single" w:sz="8" w:space="0" w:color="auto"/>
              <w:right w:val="single" w:sz="8" w:space="0" w:color="auto"/>
            </w:tcBorders>
            <w:shd w:val="clear" w:color="auto" w:fill="auto"/>
            <w:vAlign w:val="center"/>
            <w:hideMark/>
          </w:tcPr>
          <w:p w14:paraId="13D85FEB" w14:textId="77777777" w:rsidR="00570019" w:rsidRPr="00570019" w:rsidRDefault="00570019" w:rsidP="00570019">
            <w:pPr>
              <w:jc w:val="center"/>
              <w:rPr>
                <w:color w:val="000000"/>
                <w:szCs w:val="24"/>
              </w:rPr>
            </w:pPr>
            <w:r w:rsidRPr="00570019">
              <w:rPr>
                <w:color w:val="000000"/>
                <w:szCs w:val="24"/>
              </w:rPr>
              <w:t>6 ½ mos. (F)</w:t>
            </w:r>
          </w:p>
        </w:tc>
        <w:tc>
          <w:tcPr>
            <w:tcW w:w="2380" w:type="dxa"/>
            <w:tcBorders>
              <w:top w:val="nil"/>
              <w:left w:val="nil"/>
              <w:bottom w:val="single" w:sz="8" w:space="0" w:color="auto"/>
              <w:right w:val="single" w:sz="8" w:space="0" w:color="auto"/>
            </w:tcBorders>
            <w:shd w:val="clear" w:color="auto" w:fill="auto"/>
            <w:vAlign w:val="center"/>
            <w:hideMark/>
          </w:tcPr>
          <w:p w14:paraId="6EE464A1" w14:textId="77777777" w:rsidR="00570019" w:rsidRPr="00570019" w:rsidRDefault="00570019" w:rsidP="00570019">
            <w:pPr>
              <w:jc w:val="center"/>
              <w:rPr>
                <w:color w:val="000000"/>
                <w:szCs w:val="24"/>
              </w:rPr>
            </w:pPr>
            <w:r w:rsidRPr="00570019">
              <w:rPr>
                <w:color w:val="000000"/>
                <w:szCs w:val="24"/>
              </w:rPr>
              <w:t>6 mos. (F)</w:t>
            </w:r>
          </w:p>
        </w:tc>
        <w:tc>
          <w:tcPr>
            <w:tcW w:w="2440" w:type="dxa"/>
            <w:tcBorders>
              <w:top w:val="nil"/>
              <w:left w:val="nil"/>
              <w:bottom w:val="single" w:sz="8" w:space="0" w:color="auto"/>
              <w:right w:val="single" w:sz="8" w:space="0" w:color="auto"/>
            </w:tcBorders>
            <w:shd w:val="clear" w:color="auto" w:fill="auto"/>
            <w:vAlign w:val="center"/>
            <w:hideMark/>
          </w:tcPr>
          <w:p w14:paraId="4AF55F69" w14:textId="77777777" w:rsidR="00570019" w:rsidRPr="00570019" w:rsidRDefault="00570019" w:rsidP="00570019">
            <w:pPr>
              <w:jc w:val="both"/>
              <w:rPr>
                <w:color w:val="000000"/>
                <w:szCs w:val="24"/>
              </w:rPr>
            </w:pPr>
            <w:r w:rsidRPr="00570019">
              <w:rPr>
                <w:color w:val="000000"/>
                <w:szCs w:val="24"/>
              </w:rPr>
              <w:t> </w:t>
            </w:r>
          </w:p>
        </w:tc>
      </w:tr>
      <w:tr w:rsidR="00570019" w:rsidRPr="00570019" w14:paraId="26464912" w14:textId="77777777" w:rsidTr="00570019">
        <w:trPr>
          <w:trHeight w:val="468"/>
          <w:jc w:val="center"/>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16A83FC6" w14:textId="77777777" w:rsidR="00570019" w:rsidRPr="00570019" w:rsidRDefault="00570019" w:rsidP="00570019">
            <w:pPr>
              <w:jc w:val="both"/>
              <w:rPr>
                <w:color w:val="000000"/>
                <w:szCs w:val="24"/>
              </w:rPr>
            </w:pPr>
            <w:r w:rsidRPr="00570019">
              <w:rPr>
                <w:color w:val="000000"/>
                <w:szCs w:val="24"/>
              </w:rPr>
              <w:t>Baseline</w:t>
            </w:r>
          </w:p>
        </w:tc>
        <w:tc>
          <w:tcPr>
            <w:tcW w:w="1220" w:type="dxa"/>
            <w:tcBorders>
              <w:top w:val="nil"/>
              <w:left w:val="nil"/>
              <w:bottom w:val="single" w:sz="8" w:space="0" w:color="auto"/>
              <w:right w:val="single" w:sz="8" w:space="0" w:color="auto"/>
            </w:tcBorders>
            <w:shd w:val="clear" w:color="auto" w:fill="auto"/>
            <w:vAlign w:val="center"/>
            <w:hideMark/>
          </w:tcPr>
          <w:p w14:paraId="4FA33B5D" w14:textId="77777777" w:rsidR="00570019" w:rsidRPr="00570019" w:rsidRDefault="00570019" w:rsidP="00570019">
            <w:pPr>
              <w:jc w:val="both"/>
              <w:rPr>
                <w:color w:val="000000"/>
                <w:szCs w:val="24"/>
              </w:rPr>
            </w:pPr>
            <w:r w:rsidRPr="00570019">
              <w:rPr>
                <w:color w:val="000000"/>
                <w:szCs w:val="24"/>
              </w:rPr>
              <w:t>Apr-19</w:t>
            </w:r>
          </w:p>
        </w:tc>
        <w:tc>
          <w:tcPr>
            <w:tcW w:w="2320" w:type="dxa"/>
            <w:tcBorders>
              <w:top w:val="nil"/>
              <w:left w:val="nil"/>
              <w:bottom w:val="single" w:sz="8" w:space="0" w:color="auto"/>
              <w:right w:val="single" w:sz="8" w:space="0" w:color="auto"/>
            </w:tcBorders>
            <w:shd w:val="clear" w:color="auto" w:fill="auto"/>
            <w:vAlign w:val="center"/>
            <w:hideMark/>
          </w:tcPr>
          <w:p w14:paraId="44292D9C" w14:textId="77777777" w:rsidR="00570019" w:rsidRPr="00570019" w:rsidRDefault="00570019" w:rsidP="00570019">
            <w:pPr>
              <w:jc w:val="center"/>
              <w:rPr>
                <w:color w:val="000000"/>
                <w:szCs w:val="24"/>
              </w:rPr>
            </w:pPr>
            <w:r w:rsidRPr="00570019">
              <w:rPr>
                <w:color w:val="000000"/>
                <w:szCs w:val="24"/>
              </w:rPr>
              <w:t>5.25 mos. (F)</w:t>
            </w:r>
          </w:p>
        </w:tc>
        <w:tc>
          <w:tcPr>
            <w:tcW w:w="2380" w:type="dxa"/>
            <w:tcBorders>
              <w:top w:val="nil"/>
              <w:left w:val="nil"/>
              <w:bottom w:val="single" w:sz="8" w:space="0" w:color="auto"/>
              <w:right w:val="single" w:sz="8" w:space="0" w:color="auto"/>
            </w:tcBorders>
            <w:shd w:val="clear" w:color="auto" w:fill="auto"/>
            <w:vAlign w:val="center"/>
            <w:hideMark/>
          </w:tcPr>
          <w:p w14:paraId="7AC796CE" w14:textId="77777777" w:rsidR="00570019" w:rsidRPr="00570019" w:rsidRDefault="00570019" w:rsidP="00570019">
            <w:pPr>
              <w:jc w:val="center"/>
              <w:rPr>
                <w:color w:val="000000"/>
                <w:szCs w:val="24"/>
              </w:rPr>
            </w:pPr>
            <w:r w:rsidRPr="00570019">
              <w:rPr>
                <w:color w:val="000000"/>
                <w:szCs w:val="24"/>
              </w:rPr>
              <w:t>6 mos.(F)</w:t>
            </w:r>
          </w:p>
        </w:tc>
        <w:tc>
          <w:tcPr>
            <w:tcW w:w="2440" w:type="dxa"/>
            <w:tcBorders>
              <w:top w:val="nil"/>
              <w:left w:val="nil"/>
              <w:bottom w:val="single" w:sz="8" w:space="0" w:color="auto"/>
              <w:right w:val="single" w:sz="8" w:space="0" w:color="auto"/>
            </w:tcBorders>
            <w:shd w:val="clear" w:color="auto" w:fill="auto"/>
            <w:vAlign w:val="center"/>
            <w:hideMark/>
          </w:tcPr>
          <w:p w14:paraId="55F15492" w14:textId="77777777" w:rsidR="00570019" w:rsidRPr="00570019" w:rsidRDefault="00570019" w:rsidP="00570019">
            <w:pPr>
              <w:jc w:val="both"/>
              <w:rPr>
                <w:color w:val="000000"/>
                <w:szCs w:val="24"/>
              </w:rPr>
            </w:pPr>
            <w:r w:rsidRPr="00570019">
              <w:rPr>
                <w:color w:val="000000"/>
                <w:szCs w:val="24"/>
              </w:rPr>
              <w:t> </w:t>
            </w:r>
          </w:p>
        </w:tc>
      </w:tr>
      <w:tr w:rsidR="00570019" w:rsidRPr="00570019" w14:paraId="58FD616D" w14:textId="77777777" w:rsidTr="00570019">
        <w:trPr>
          <w:trHeight w:val="432"/>
          <w:jc w:val="center"/>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16DFDD2" w14:textId="77777777" w:rsidR="00570019" w:rsidRPr="00570019" w:rsidRDefault="00570019" w:rsidP="00570019">
            <w:pPr>
              <w:jc w:val="both"/>
              <w:rPr>
                <w:color w:val="000000"/>
                <w:szCs w:val="24"/>
              </w:rPr>
            </w:pPr>
            <w:r w:rsidRPr="00570019">
              <w:rPr>
                <w:color w:val="000000"/>
                <w:szCs w:val="24"/>
              </w:rPr>
              <w:t>MPR</w:t>
            </w:r>
          </w:p>
        </w:tc>
        <w:tc>
          <w:tcPr>
            <w:tcW w:w="1220" w:type="dxa"/>
            <w:tcBorders>
              <w:top w:val="nil"/>
              <w:left w:val="nil"/>
              <w:bottom w:val="single" w:sz="8" w:space="0" w:color="auto"/>
              <w:right w:val="single" w:sz="8" w:space="0" w:color="auto"/>
            </w:tcBorders>
            <w:shd w:val="clear" w:color="auto" w:fill="auto"/>
            <w:vAlign w:val="center"/>
            <w:hideMark/>
          </w:tcPr>
          <w:p w14:paraId="23AF49AB" w14:textId="77777777" w:rsidR="00570019" w:rsidRPr="00570019" w:rsidRDefault="00570019" w:rsidP="00570019">
            <w:pPr>
              <w:jc w:val="both"/>
              <w:rPr>
                <w:color w:val="000000"/>
                <w:szCs w:val="24"/>
              </w:rPr>
            </w:pPr>
            <w:r w:rsidRPr="00570019">
              <w:rPr>
                <w:color w:val="000000"/>
                <w:szCs w:val="24"/>
              </w:rPr>
              <w:t>Jan-21</w:t>
            </w:r>
          </w:p>
        </w:tc>
        <w:tc>
          <w:tcPr>
            <w:tcW w:w="2320" w:type="dxa"/>
            <w:tcBorders>
              <w:top w:val="nil"/>
              <w:left w:val="nil"/>
              <w:bottom w:val="single" w:sz="8" w:space="0" w:color="auto"/>
              <w:right w:val="single" w:sz="8" w:space="0" w:color="auto"/>
            </w:tcBorders>
            <w:shd w:val="clear" w:color="auto" w:fill="auto"/>
            <w:vAlign w:val="center"/>
            <w:hideMark/>
          </w:tcPr>
          <w:p w14:paraId="16A9D9A6" w14:textId="77777777" w:rsidR="00570019" w:rsidRPr="00570019" w:rsidRDefault="00570019" w:rsidP="00570019">
            <w:pPr>
              <w:jc w:val="center"/>
              <w:rPr>
                <w:color w:val="000000"/>
                <w:szCs w:val="24"/>
              </w:rPr>
            </w:pPr>
            <w:r w:rsidRPr="00570019">
              <w:rPr>
                <w:color w:val="000000"/>
                <w:szCs w:val="24"/>
              </w:rPr>
              <w:t>3.75 mos. (F)</w:t>
            </w:r>
          </w:p>
        </w:tc>
        <w:tc>
          <w:tcPr>
            <w:tcW w:w="2380" w:type="dxa"/>
            <w:tcBorders>
              <w:top w:val="nil"/>
              <w:left w:val="nil"/>
              <w:bottom w:val="single" w:sz="8" w:space="0" w:color="auto"/>
              <w:right w:val="single" w:sz="8" w:space="0" w:color="auto"/>
            </w:tcBorders>
            <w:shd w:val="clear" w:color="auto" w:fill="auto"/>
            <w:vAlign w:val="center"/>
            <w:hideMark/>
          </w:tcPr>
          <w:p w14:paraId="0D0F7572" w14:textId="77777777" w:rsidR="00570019" w:rsidRPr="00570019" w:rsidRDefault="00570019" w:rsidP="00570019">
            <w:pPr>
              <w:jc w:val="center"/>
              <w:rPr>
                <w:color w:val="000000"/>
                <w:szCs w:val="24"/>
              </w:rPr>
            </w:pPr>
            <w:r w:rsidRPr="00570019">
              <w:rPr>
                <w:color w:val="000000"/>
                <w:szCs w:val="24"/>
              </w:rPr>
              <w:t>3.5 mos. (F)</w:t>
            </w:r>
          </w:p>
        </w:tc>
        <w:tc>
          <w:tcPr>
            <w:tcW w:w="2440" w:type="dxa"/>
            <w:tcBorders>
              <w:top w:val="nil"/>
              <w:left w:val="nil"/>
              <w:bottom w:val="single" w:sz="8" w:space="0" w:color="auto"/>
              <w:right w:val="single" w:sz="8" w:space="0" w:color="auto"/>
            </w:tcBorders>
            <w:shd w:val="clear" w:color="auto" w:fill="auto"/>
            <w:vAlign w:val="center"/>
            <w:hideMark/>
          </w:tcPr>
          <w:p w14:paraId="25195C79" w14:textId="77777777" w:rsidR="00570019" w:rsidRPr="00570019" w:rsidRDefault="00570019" w:rsidP="00570019">
            <w:pPr>
              <w:jc w:val="both"/>
              <w:rPr>
                <w:color w:val="000000"/>
                <w:szCs w:val="24"/>
              </w:rPr>
            </w:pPr>
            <w:r w:rsidRPr="00570019">
              <w:rPr>
                <w:color w:val="000000"/>
                <w:szCs w:val="24"/>
              </w:rPr>
              <w:t> </w:t>
            </w:r>
          </w:p>
        </w:tc>
      </w:tr>
      <w:tr w:rsidR="00570019" w:rsidRPr="00570019" w14:paraId="60001E09" w14:textId="77777777" w:rsidTr="00570019">
        <w:trPr>
          <w:trHeight w:val="564"/>
          <w:jc w:val="center"/>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B8F79C7" w14:textId="77777777" w:rsidR="00570019" w:rsidRPr="00570019" w:rsidRDefault="00570019" w:rsidP="00570019">
            <w:pPr>
              <w:jc w:val="both"/>
              <w:rPr>
                <w:color w:val="000000"/>
                <w:szCs w:val="24"/>
              </w:rPr>
            </w:pPr>
            <w:r w:rsidRPr="00570019">
              <w:rPr>
                <w:color w:val="000000"/>
                <w:szCs w:val="24"/>
              </w:rPr>
              <w:t>Actuals</w:t>
            </w:r>
          </w:p>
        </w:tc>
        <w:tc>
          <w:tcPr>
            <w:tcW w:w="1220" w:type="dxa"/>
            <w:tcBorders>
              <w:top w:val="nil"/>
              <w:left w:val="nil"/>
              <w:bottom w:val="single" w:sz="8" w:space="0" w:color="auto"/>
              <w:right w:val="single" w:sz="8" w:space="0" w:color="auto"/>
            </w:tcBorders>
            <w:shd w:val="clear" w:color="auto" w:fill="auto"/>
            <w:vAlign w:val="center"/>
            <w:hideMark/>
          </w:tcPr>
          <w:p w14:paraId="1A3F7F58" w14:textId="77777777" w:rsidR="00570019" w:rsidRPr="00570019" w:rsidRDefault="00570019" w:rsidP="00570019">
            <w:pPr>
              <w:jc w:val="both"/>
              <w:rPr>
                <w:color w:val="000000"/>
                <w:szCs w:val="24"/>
              </w:rPr>
            </w:pPr>
            <w:r w:rsidRPr="00570019">
              <w:rPr>
                <w:color w:val="000000"/>
                <w:szCs w:val="24"/>
              </w:rPr>
              <w:t> </w:t>
            </w:r>
          </w:p>
        </w:tc>
        <w:tc>
          <w:tcPr>
            <w:tcW w:w="2320" w:type="dxa"/>
            <w:tcBorders>
              <w:top w:val="nil"/>
              <w:left w:val="nil"/>
              <w:bottom w:val="single" w:sz="8" w:space="0" w:color="auto"/>
              <w:right w:val="single" w:sz="8" w:space="0" w:color="auto"/>
            </w:tcBorders>
            <w:shd w:val="clear" w:color="auto" w:fill="auto"/>
            <w:vAlign w:val="center"/>
            <w:hideMark/>
          </w:tcPr>
          <w:p w14:paraId="1105015A" w14:textId="77777777" w:rsidR="00570019" w:rsidRPr="00570019" w:rsidRDefault="00570019" w:rsidP="00570019">
            <w:pPr>
              <w:jc w:val="center"/>
              <w:rPr>
                <w:color w:val="000000"/>
                <w:szCs w:val="24"/>
              </w:rPr>
            </w:pPr>
            <w:r w:rsidRPr="00570019">
              <w:rPr>
                <w:color w:val="000000"/>
                <w:szCs w:val="24"/>
              </w:rPr>
              <w:t>18 mos. (A)</w:t>
            </w:r>
          </w:p>
        </w:tc>
        <w:tc>
          <w:tcPr>
            <w:tcW w:w="2380" w:type="dxa"/>
            <w:tcBorders>
              <w:top w:val="nil"/>
              <w:left w:val="nil"/>
              <w:bottom w:val="single" w:sz="8" w:space="0" w:color="auto"/>
              <w:right w:val="single" w:sz="8" w:space="0" w:color="auto"/>
            </w:tcBorders>
            <w:shd w:val="clear" w:color="auto" w:fill="auto"/>
            <w:vAlign w:val="center"/>
            <w:hideMark/>
          </w:tcPr>
          <w:p w14:paraId="08119DE2" w14:textId="77777777" w:rsidR="00570019" w:rsidRPr="00570019" w:rsidRDefault="00570019" w:rsidP="00570019">
            <w:pPr>
              <w:jc w:val="center"/>
              <w:rPr>
                <w:color w:val="000000"/>
                <w:szCs w:val="24"/>
              </w:rPr>
            </w:pPr>
            <w:r w:rsidRPr="00570019">
              <w:rPr>
                <w:color w:val="000000"/>
                <w:szCs w:val="24"/>
              </w:rPr>
              <w:t>9 mos.(A)</w:t>
            </w:r>
          </w:p>
        </w:tc>
        <w:tc>
          <w:tcPr>
            <w:tcW w:w="2440" w:type="dxa"/>
            <w:tcBorders>
              <w:top w:val="nil"/>
              <w:left w:val="nil"/>
              <w:bottom w:val="single" w:sz="8" w:space="0" w:color="auto"/>
              <w:right w:val="single" w:sz="8" w:space="0" w:color="auto"/>
            </w:tcBorders>
            <w:shd w:val="clear" w:color="auto" w:fill="auto"/>
            <w:vAlign w:val="center"/>
            <w:hideMark/>
          </w:tcPr>
          <w:p w14:paraId="26E2A5D2" w14:textId="77777777" w:rsidR="00570019" w:rsidRPr="00570019" w:rsidRDefault="00570019" w:rsidP="00570019">
            <w:pPr>
              <w:jc w:val="both"/>
              <w:rPr>
                <w:color w:val="000000"/>
                <w:szCs w:val="24"/>
              </w:rPr>
            </w:pPr>
            <w:r w:rsidRPr="00570019">
              <w:rPr>
                <w:color w:val="000000"/>
                <w:szCs w:val="24"/>
              </w:rPr>
              <w:t>U-3 COD 7/31/2023 (A)</w:t>
            </w:r>
          </w:p>
        </w:tc>
      </w:tr>
    </w:tbl>
    <w:p w14:paraId="36AEE382" w14:textId="77777777" w:rsidR="005B0C17" w:rsidRDefault="005B0C17" w:rsidP="0004383B">
      <w:pPr>
        <w:rPr>
          <w:b/>
          <w:szCs w:val="24"/>
          <w:highlight w:val="yellow"/>
        </w:rPr>
      </w:pPr>
    </w:p>
    <w:p w14:paraId="4AC47364" w14:textId="77777777" w:rsidR="00BC09F5" w:rsidRPr="00DA0436" w:rsidRDefault="00BC09F5" w:rsidP="00BC09F5">
      <w:pPr>
        <w:jc w:val="both"/>
        <w:rPr>
          <w:color w:val="FF0000"/>
        </w:rPr>
      </w:pPr>
      <w:r>
        <w:rPr>
          <w:u w:val="single"/>
        </w:rPr>
        <w:t xml:space="preserve">In summary, this is just another example of how </w:t>
      </w:r>
      <w:r w:rsidRPr="008F453D">
        <w:rPr>
          <w:u w:val="single"/>
        </w:rPr>
        <w:t xml:space="preserve">the </w:t>
      </w:r>
      <w:r>
        <w:rPr>
          <w:u w:val="single"/>
        </w:rPr>
        <w:t>Company’s reporting of the status of the Project was flawed,</w:t>
      </w:r>
      <w:r>
        <w:rPr>
          <w:rStyle w:val="FootnoteReference"/>
          <w:u w:val="single"/>
        </w:rPr>
        <w:footnoteReference w:id="23"/>
      </w:r>
      <w:r>
        <w:rPr>
          <w:u w:val="single"/>
        </w:rPr>
        <w:t xml:space="preserve"> and it appears that the Company </w:t>
      </w:r>
      <w:r w:rsidRPr="008F453D">
        <w:rPr>
          <w:u w:val="single"/>
        </w:rPr>
        <w:t xml:space="preserve">was always attempting to paint a picture of the </w:t>
      </w:r>
      <w:r>
        <w:rPr>
          <w:u w:val="single"/>
        </w:rPr>
        <w:t>P</w:t>
      </w:r>
      <w:r w:rsidRPr="008F453D">
        <w:rPr>
          <w:u w:val="single"/>
        </w:rPr>
        <w:t>roject status that was much more favorable than reality.</w:t>
      </w:r>
    </w:p>
    <w:p w14:paraId="6D8B9153" w14:textId="6DE32D59" w:rsidR="00BC09F5" w:rsidRDefault="00BC09F5" w:rsidP="00BC09F5">
      <w:pPr>
        <w:jc w:val="both"/>
      </w:pPr>
    </w:p>
    <w:p w14:paraId="1E5320BB" w14:textId="77777777" w:rsidR="00BC09F5" w:rsidRDefault="00BC09F5" w:rsidP="00BC09F5">
      <w:pPr>
        <w:jc w:val="both"/>
      </w:pPr>
      <w:r w:rsidRPr="008F453D">
        <w:rPr>
          <w:b/>
          <w:bCs/>
        </w:rPr>
        <w:t xml:space="preserve">3.4 </w:t>
      </w:r>
      <w:r>
        <w:rPr>
          <w:b/>
          <w:bCs/>
        </w:rPr>
        <w:t xml:space="preserve">Deficient </w:t>
      </w:r>
      <w:r w:rsidRPr="008F453D">
        <w:rPr>
          <w:b/>
          <w:bCs/>
        </w:rPr>
        <w:t>Risk Analysis and Contingency Management</w:t>
      </w:r>
      <w:r>
        <w:t xml:space="preserve">:  As was noted in prior sections, instead of defining new scope and using contingency to budget for the planning and execution of new scope, contingency was simply used on an “after the fact basis” to pump more money into activities for which monies were budgeted but would become seriously over-expended. </w:t>
      </w:r>
    </w:p>
    <w:p w14:paraId="761B57E8" w14:textId="77777777" w:rsidR="00BC09F5" w:rsidRDefault="00BC09F5" w:rsidP="00BC09F5">
      <w:pPr>
        <w:jc w:val="both"/>
      </w:pPr>
    </w:p>
    <w:p w14:paraId="12086568" w14:textId="36ECE6F9" w:rsidR="00BC09F5" w:rsidRPr="00EA51DC" w:rsidRDefault="00BC09F5" w:rsidP="00BC09F5">
      <w:pPr>
        <w:jc w:val="both"/>
      </w:pPr>
      <w:r>
        <w:t>One way of further explaining the Company’s deficiencies in this subject area is to first revisit the extent to which high probab</w:t>
      </w:r>
      <w:r w:rsidR="00DD023C">
        <w:t>ility/ high dollar</w:t>
      </w:r>
      <w:r>
        <w:t xml:space="preserve"> risk events were or were not included in the development of the Site Work Plan.  As has been noted in Section 3.2, these items not being included to any extent in the Site Work Plan </w:t>
      </w:r>
      <w:proofErr w:type="gramStart"/>
      <w:r>
        <w:t>is</w:t>
      </w:r>
      <w:proofErr w:type="gramEnd"/>
      <w:r>
        <w:t xml:space="preserve"> a serious deficiency.  </w:t>
      </w:r>
      <w:r w:rsidRPr="00EA51DC">
        <w:t>What this then resulted in was the Company creating excessive contingencies (schedule contingency, and direct work/ production efficiency related contingency</w:t>
      </w:r>
      <w:r w:rsidR="00DD023C">
        <w:t>).</w:t>
      </w:r>
    </w:p>
    <w:p w14:paraId="6726FFA6" w14:textId="77777777" w:rsidR="00BC09F5" w:rsidRDefault="00BC09F5" w:rsidP="00BC09F5">
      <w:r>
        <w:t xml:space="preserve"> </w:t>
      </w:r>
    </w:p>
    <w:p w14:paraId="5E2A7E56" w14:textId="77777777" w:rsidR="00BC09F5" w:rsidRDefault="00BC09F5" w:rsidP="00BC09F5">
      <w:pPr>
        <w:jc w:val="both"/>
      </w:pPr>
      <w:r>
        <w:t>In taking this analysis one step further, it is appropriate to look at industry norms/ benchmarks as to what percentage of budgeted work should be assumed to calculate the total contingency required to finish a project.  Good practice calls for looking at this at different stages of the project effort, with the required contingency (as a percentage of the ETC), where, as the project nears completion, the percentage would decrease (as the previously identified plus previously unknown risks either materialized and were added into the budgeted work or did not materialize).  For Industry norms/ benchmarks that help in this regard, versus what the Company has used, see Table 3.4.1 below.</w:t>
      </w:r>
    </w:p>
    <w:p w14:paraId="1F3D8CD3" w14:textId="77777777" w:rsidR="00BC09F5" w:rsidRDefault="00BC09F5" w:rsidP="00BC09F5">
      <w:pPr>
        <w:jc w:val="both"/>
      </w:pPr>
    </w:p>
    <w:p w14:paraId="17503D7E" w14:textId="3965BCF1" w:rsidR="00BC09F5" w:rsidRDefault="00BC09F5" w:rsidP="00BC09F5">
      <w:pPr>
        <w:jc w:val="both"/>
      </w:pPr>
      <w:r>
        <w:t xml:space="preserve">What is shown by the table is that the Company had chosen to under budget planned work by excluding high probability risk events (such as the Regulatory Schedule never being achievable, plus unrealistic unit </w:t>
      </w:r>
      <w:r>
        <w:lastRenderedPageBreak/>
        <w:t xml:space="preserve">rates, etc.) in the budgeting of the work, then including / attempting to cover the highly probable risks with contingency, and as work is over-spent simply adding funds to cover over expenditures.  </w:t>
      </w:r>
      <w:r w:rsidRPr="00EA51DC">
        <w:t xml:space="preserve">All the while, given the highly </w:t>
      </w:r>
      <w:r w:rsidRPr="004478E4">
        <w:t>probable contingencies</w:t>
      </w:r>
      <w:r w:rsidRPr="00EA51DC">
        <w:t xml:space="preserve">, </w:t>
      </w:r>
      <w:r w:rsidR="00B135DB">
        <w:t>the Company attempted</w:t>
      </w:r>
      <w:r w:rsidR="00B135DB" w:rsidRPr="00EA51DC">
        <w:t xml:space="preserve"> </w:t>
      </w:r>
      <w:r w:rsidRPr="00EA51DC">
        <w:t>to report margins to both schedule and cost in the budgeted plans.</w:t>
      </w:r>
      <w:r>
        <w:t xml:space="preserve">  </w:t>
      </w:r>
    </w:p>
    <w:p w14:paraId="7C53BF25" w14:textId="77777777" w:rsidR="00BC09F5" w:rsidRDefault="00BC09F5" w:rsidP="00BC09F5">
      <w:pPr>
        <w:jc w:val="both"/>
      </w:pPr>
    </w:p>
    <w:p w14:paraId="4BA8D517" w14:textId="77777777" w:rsidR="00BD2BD1" w:rsidRPr="00226E7E" w:rsidRDefault="00BD2BD1" w:rsidP="007B73EB">
      <w:pPr>
        <w:jc w:val="center"/>
        <w:rPr>
          <w:b/>
          <w:bCs/>
        </w:rPr>
      </w:pPr>
    </w:p>
    <w:tbl>
      <w:tblPr>
        <w:tblW w:w="10340" w:type="dxa"/>
        <w:jc w:val="center"/>
        <w:tblLook w:val="04A0" w:firstRow="1" w:lastRow="0" w:firstColumn="1" w:lastColumn="0" w:noHBand="0" w:noVBand="1"/>
      </w:tblPr>
      <w:tblGrid>
        <w:gridCol w:w="1462"/>
        <w:gridCol w:w="1163"/>
        <w:gridCol w:w="736"/>
        <w:gridCol w:w="1100"/>
        <w:gridCol w:w="1690"/>
        <w:gridCol w:w="912"/>
        <w:gridCol w:w="1099"/>
        <w:gridCol w:w="736"/>
        <w:gridCol w:w="1442"/>
      </w:tblGrid>
      <w:tr w:rsidR="00331560" w:rsidRPr="00331560" w14:paraId="41A9BFE3" w14:textId="77777777" w:rsidTr="00223F1D">
        <w:trPr>
          <w:trHeight w:val="420"/>
          <w:jc w:val="center"/>
        </w:trPr>
        <w:tc>
          <w:tcPr>
            <w:tcW w:w="10340" w:type="dxa"/>
            <w:gridSpan w:val="9"/>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3A64A20E" w14:textId="3F4F9BD4" w:rsidR="00331560" w:rsidRPr="00331560" w:rsidRDefault="00331560" w:rsidP="00331560">
            <w:pPr>
              <w:jc w:val="center"/>
              <w:rPr>
                <w:b/>
                <w:bCs/>
                <w:szCs w:val="24"/>
              </w:rPr>
            </w:pPr>
            <w:r w:rsidRPr="00331560">
              <w:rPr>
                <w:b/>
                <w:bCs/>
                <w:szCs w:val="24"/>
              </w:rPr>
              <w:t>Table 3.4</w:t>
            </w:r>
            <w:r w:rsidR="00986EC7">
              <w:rPr>
                <w:b/>
                <w:bCs/>
                <w:szCs w:val="24"/>
              </w:rPr>
              <w:t>-</w:t>
            </w:r>
            <w:r w:rsidRPr="00331560">
              <w:rPr>
                <w:b/>
                <w:bCs/>
                <w:szCs w:val="24"/>
              </w:rPr>
              <w:t>1; Company Contingencies vs Industry Norms</w:t>
            </w:r>
          </w:p>
        </w:tc>
      </w:tr>
      <w:tr w:rsidR="00223F1D" w:rsidRPr="00331560" w14:paraId="09F3973B" w14:textId="77777777" w:rsidTr="00087D4A">
        <w:trPr>
          <w:trHeight w:val="324"/>
          <w:jc w:val="center"/>
        </w:trPr>
        <w:tc>
          <w:tcPr>
            <w:tcW w:w="146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8334846" w14:textId="77777777" w:rsidR="00331560" w:rsidRPr="00331560" w:rsidRDefault="00331560" w:rsidP="00331560">
            <w:pPr>
              <w:jc w:val="center"/>
              <w:rPr>
                <w:rFonts w:ascii="Calibri" w:hAnsi="Calibri" w:cs="Calibri"/>
                <w:color w:val="000000"/>
                <w:szCs w:val="24"/>
              </w:rPr>
            </w:pPr>
            <w:proofErr w:type="spellStart"/>
            <w:r w:rsidRPr="00331560">
              <w:rPr>
                <w:rFonts w:ascii="Calibri" w:hAnsi="Calibri" w:cs="Calibri"/>
                <w:color w:val="000000"/>
                <w:szCs w:val="24"/>
              </w:rPr>
              <w:t>VPMB</w:t>
            </w:r>
            <w:proofErr w:type="spellEnd"/>
            <w:r w:rsidRPr="00331560">
              <w:rPr>
                <w:rFonts w:ascii="Calibri" w:hAnsi="Calibri" w:cs="Calibri"/>
                <w:color w:val="000000"/>
                <w:szCs w:val="24"/>
              </w:rPr>
              <w:t xml:space="preserve"> Source Dated</w:t>
            </w:r>
          </w:p>
        </w:tc>
        <w:tc>
          <w:tcPr>
            <w:tcW w:w="1163"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26872FB"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Co Reported % Complete</w:t>
            </w:r>
          </w:p>
        </w:tc>
        <w:tc>
          <w:tcPr>
            <w:tcW w:w="736"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C0FE0F4"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Co SWP ETC, $Bs</w:t>
            </w:r>
          </w:p>
        </w:tc>
        <w:tc>
          <w:tcPr>
            <w:tcW w:w="4801" w:type="dxa"/>
            <w:gridSpan w:val="4"/>
            <w:tcBorders>
              <w:top w:val="single" w:sz="8" w:space="0" w:color="auto"/>
              <w:left w:val="nil"/>
              <w:bottom w:val="single" w:sz="8" w:space="0" w:color="auto"/>
              <w:right w:val="single" w:sz="8" w:space="0" w:color="000000"/>
            </w:tcBorders>
            <w:shd w:val="clear" w:color="000000" w:fill="FFF2CC"/>
            <w:vAlign w:val="center"/>
            <w:hideMark/>
          </w:tcPr>
          <w:p w14:paraId="583594FB"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Company Reported Contingencies ($Bs)</w:t>
            </w:r>
          </w:p>
        </w:tc>
        <w:tc>
          <w:tcPr>
            <w:tcW w:w="736"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1AA13EB2" w14:textId="77777777" w:rsidR="00331560" w:rsidRPr="00331560" w:rsidRDefault="00331560" w:rsidP="00331560">
            <w:pPr>
              <w:jc w:val="center"/>
              <w:rPr>
                <w:rFonts w:ascii="Calibri" w:hAnsi="Calibri" w:cs="Calibri"/>
                <w:color w:val="000000"/>
                <w:szCs w:val="24"/>
              </w:rPr>
            </w:pPr>
            <w:proofErr w:type="spellStart"/>
            <w:r w:rsidRPr="00331560">
              <w:rPr>
                <w:rFonts w:ascii="Calibri" w:hAnsi="Calibri" w:cs="Calibri"/>
                <w:color w:val="000000"/>
                <w:szCs w:val="24"/>
              </w:rPr>
              <w:t>Cont</w:t>
            </w:r>
            <w:proofErr w:type="spellEnd"/>
            <w:r w:rsidRPr="00331560">
              <w:rPr>
                <w:rFonts w:ascii="Calibri" w:hAnsi="Calibri" w:cs="Calibri"/>
                <w:color w:val="000000"/>
                <w:szCs w:val="24"/>
              </w:rPr>
              <w:t xml:space="preserve"> as % of ETC</w:t>
            </w:r>
          </w:p>
        </w:tc>
        <w:tc>
          <w:tcPr>
            <w:tcW w:w="144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36EF0084"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Industry Norm (%)</w:t>
            </w:r>
          </w:p>
        </w:tc>
      </w:tr>
      <w:tr w:rsidR="00223F1D" w:rsidRPr="00331560" w14:paraId="0DDF554C" w14:textId="77777777" w:rsidTr="00087D4A">
        <w:trPr>
          <w:trHeight w:val="972"/>
          <w:jc w:val="center"/>
        </w:trPr>
        <w:tc>
          <w:tcPr>
            <w:tcW w:w="1462" w:type="dxa"/>
            <w:vMerge/>
            <w:tcBorders>
              <w:top w:val="nil"/>
              <w:left w:val="single" w:sz="8" w:space="0" w:color="auto"/>
              <w:bottom w:val="single" w:sz="8" w:space="0" w:color="000000"/>
              <w:right w:val="single" w:sz="8" w:space="0" w:color="auto"/>
            </w:tcBorders>
            <w:vAlign w:val="center"/>
            <w:hideMark/>
          </w:tcPr>
          <w:p w14:paraId="60FD6CA7" w14:textId="77777777" w:rsidR="00331560" w:rsidRPr="00331560" w:rsidRDefault="00331560" w:rsidP="00331560">
            <w:pPr>
              <w:rPr>
                <w:rFonts w:ascii="Calibri" w:hAnsi="Calibri" w:cs="Calibri"/>
                <w:color w:val="000000"/>
                <w:szCs w:val="24"/>
              </w:rPr>
            </w:pPr>
          </w:p>
        </w:tc>
        <w:tc>
          <w:tcPr>
            <w:tcW w:w="1163" w:type="dxa"/>
            <w:vMerge/>
            <w:tcBorders>
              <w:top w:val="nil"/>
              <w:left w:val="single" w:sz="8" w:space="0" w:color="auto"/>
              <w:bottom w:val="single" w:sz="8" w:space="0" w:color="000000"/>
              <w:right w:val="single" w:sz="8" w:space="0" w:color="auto"/>
            </w:tcBorders>
            <w:vAlign w:val="center"/>
            <w:hideMark/>
          </w:tcPr>
          <w:p w14:paraId="753E21AD" w14:textId="77777777" w:rsidR="00331560" w:rsidRPr="00331560" w:rsidRDefault="00331560" w:rsidP="00331560">
            <w:pPr>
              <w:rPr>
                <w:rFonts w:ascii="Calibri" w:hAnsi="Calibri" w:cs="Calibri"/>
                <w:color w:val="000000"/>
                <w:szCs w:val="24"/>
              </w:rPr>
            </w:pPr>
          </w:p>
        </w:tc>
        <w:tc>
          <w:tcPr>
            <w:tcW w:w="736" w:type="dxa"/>
            <w:vMerge/>
            <w:tcBorders>
              <w:top w:val="nil"/>
              <w:left w:val="single" w:sz="8" w:space="0" w:color="auto"/>
              <w:bottom w:val="single" w:sz="8" w:space="0" w:color="000000"/>
              <w:right w:val="single" w:sz="8" w:space="0" w:color="auto"/>
            </w:tcBorders>
            <w:vAlign w:val="center"/>
            <w:hideMark/>
          </w:tcPr>
          <w:p w14:paraId="6B9ECFF9" w14:textId="77777777" w:rsidR="00331560" w:rsidRPr="00331560" w:rsidRDefault="00331560" w:rsidP="00331560">
            <w:pPr>
              <w:rPr>
                <w:rFonts w:ascii="Calibri" w:hAnsi="Calibri" w:cs="Calibri"/>
                <w:color w:val="000000"/>
                <w:szCs w:val="24"/>
              </w:rPr>
            </w:pPr>
          </w:p>
        </w:tc>
        <w:tc>
          <w:tcPr>
            <w:tcW w:w="1100" w:type="dxa"/>
            <w:tcBorders>
              <w:top w:val="nil"/>
              <w:left w:val="nil"/>
              <w:bottom w:val="single" w:sz="8" w:space="0" w:color="auto"/>
              <w:right w:val="single" w:sz="8" w:space="0" w:color="auto"/>
            </w:tcBorders>
            <w:shd w:val="clear" w:color="000000" w:fill="FFF2CC"/>
            <w:noWrap/>
            <w:vAlign w:val="center"/>
            <w:hideMark/>
          </w:tcPr>
          <w:p w14:paraId="469D737A"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Schedule</w:t>
            </w:r>
          </w:p>
        </w:tc>
        <w:tc>
          <w:tcPr>
            <w:tcW w:w="1690" w:type="dxa"/>
            <w:tcBorders>
              <w:top w:val="nil"/>
              <w:left w:val="nil"/>
              <w:bottom w:val="single" w:sz="8" w:space="0" w:color="auto"/>
              <w:right w:val="single" w:sz="8" w:space="0" w:color="auto"/>
            </w:tcBorders>
            <w:shd w:val="clear" w:color="000000" w:fill="FFF2CC"/>
            <w:noWrap/>
            <w:vAlign w:val="center"/>
            <w:hideMark/>
          </w:tcPr>
          <w:p w14:paraId="2163D814"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SNC</w:t>
            </w:r>
          </w:p>
        </w:tc>
        <w:tc>
          <w:tcPr>
            <w:tcW w:w="912" w:type="dxa"/>
            <w:tcBorders>
              <w:top w:val="nil"/>
              <w:left w:val="nil"/>
              <w:bottom w:val="single" w:sz="8" w:space="0" w:color="auto"/>
              <w:right w:val="single" w:sz="8" w:space="0" w:color="auto"/>
            </w:tcBorders>
            <w:shd w:val="clear" w:color="000000" w:fill="FFF2CC"/>
            <w:noWrap/>
            <w:vAlign w:val="center"/>
            <w:hideMark/>
          </w:tcPr>
          <w:p w14:paraId="0E65390E"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 xml:space="preserve">Other </w:t>
            </w:r>
          </w:p>
        </w:tc>
        <w:tc>
          <w:tcPr>
            <w:tcW w:w="1099" w:type="dxa"/>
            <w:tcBorders>
              <w:top w:val="nil"/>
              <w:left w:val="nil"/>
              <w:bottom w:val="single" w:sz="8" w:space="0" w:color="auto"/>
              <w:right w:val="single" w:sz="8" w:space="0" w:color="auto"/>
            </w:tcBorders>
            <w:shd w:val="clear" w:color="000000" w:fill="FFF2CC"/>
            <w:noWrap/>
            <w:vAlign w:val="center"/>
            <w:hideMark/>
          </w:tcPr>
          <w:p w14:paraId="5C4A93FE" w14:textId="77777777" w:rsidR="00331560" w:rsidRPr="00331560" w:rsidRDefault="00331560" w:rsidP="00331560">
            <w:pPr>
              <w:jc w:val="center"/>
              <w:rPr>
                <w:rFonts w:ascii="Calibri" w:hAnsi="Calibri" w:cs="Calibri"/>
                <w:color w:val="000000"/>
                <w:szCs w:val="24"/>
              </w:rPr>
            </w:pPr>
            <w:r w:rsidRPr="00331560">
              <w:rPr>
                <w:rFonts w:ascii="Calibri" w:hAnsi="Calibri" w:cs="Calibri"/>
                <w:color w:val="000000"/>
                <w:szCs w:val="24"/>
              </w:rPr>
              <w:t>Total</w:t>
            </w:r>
          </w:p>
        </w:tc>
        <w:tc>
          <w:tcPr>
            <w:tcW w:w="736" w:type="dxa"/>
            <w:vMerge/>
            <w:tcBorders>
              <w:top w:val="nil"/>
              <w:left w:val="single" w:sz="8" w:space="0" w:color="auto"/>
              <w:bottom w:val="single" w:sz="8" w:space="0" w:color="000000"/>
              <w:right w:val="single" w:sz="8" w:space="0" w:color="auto"/>
            </w:tcBorders>
            <w:vAlign w:val="center"/>
            <w:hideMark/>
          </w:tcPr>
          <w:p w14:paraId="341C632C" w14:textId="77777777" w:rsidR="00331560" w:rsidRPr="00331560" w:rsidRDefault="00331560" w:rsidP="00331560">
            <w:pPr>
              <w:rPr>
                <w:rFonts w:ascii="Calibri" w:hAnsi="Calibri" w:cs="Calibri"/>
                <w:color w:val="000000"/>
                <w:szCs w:val="24"/>
              </w:rPr>
            </w:pPr>
          </w:p>
        </w:tc>
        <w:tc>
          <w:tcPr>
            <w:tcW w:w="1442" w:type="dxa"/>
            <w:vMerge/>
            <w:tcBorders>
              <w:top w:val="nil"/>
              <w:left w:val="single" w:sz="8" w:space="0" w:color="auto"/>
              <w:bottom w:val="single" w:sz="8" w:space="0" w:color="000000"/>
              <w:right w:val="single" w:sz="8" w:space="0" w:color="auto"/>
            </w:tcBorders>
            <w:vAlign w:val="center"/>
            <w:hideMark/>
          </w:tcPr>
          <w:p w14:paraId="4015580A" w14:textId="77777777" w:rsidR="00331560" w:rsidRPr="00331560" w:rsidRDefault="00331560" w:rsidP="00331560">
            <w:pPr>
              <w:rPr>
                <w:rFonts w:ascii="Calibri" w:hAnsi="Calibri" w:cs="Calibri"/>
                <w:color w:val="000000"/>
                <w:szCs w:val="24"/>
              </w:rPr>
            </w:pPr>
          </w:p>
        </w:tc>
      </w:tr>
      <w:tr w:rsidR="00087D4A" w:rsidRPr="00331560" w14:paraId="35AA0B85" w14:textId="77777777" w:rsidTr="00087D4A">
        <w:trPr>
          <w:trHeight w:val="324"/>
          <w:jc w:val="center"/>
        </w:trPr>
        <w:tc>
          <w:tcPr>
            <w:tcW w:w="1462" w:type="dxa"/>
            <w:tcBorders>
              <w:top w:val="nil"/>
              <w:left w:val="single" w:sz="8" w:space="0" w:color="auto"/>
              <w:bottom w:val="single" w:sz="8" w:space="0" w:color="auto"/>
              <w:right w:val="single" w:sz="8" w:space="0" w:color="auto"/>
            </w:tcBorders>
            <w:shd w:val="clear" w:color="auto" w:fill="auto"/>
            <w:vAlign w:val="center"/>
            <w:hideMark/>
          </w:tcPr>
          <w:p w14:paraId="4BD7FA08" w14:textId="5DDB0089"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8" w:space="0" w:color="auto"/>
              <w:right w:val="single" w:sz="8" w:space="0" w:color="auto"/>
            </w:tcBorders>
            <w:shd w:val="clear" w:color="auto" w:fill="auto"/>
            <w:vAlign w:val="center"/>
            <w:hideMark/>
          </w:tcPr>
          <w:p w14:paraId="379FF24D" w14:textId="097893B1" w:rsidR="00087D4A" w:rsidRPr="00087D4A" w:rsidRDefault="00087D4A" w:rsidP="00087D4A">
            <w:pPr>
              <w:jc w:val="center"/>
              <w:rPr>
                <w:color w:val="000000"/>
                <w:szCs w:val="24"/>
                <w:highlight w:val="black"/>
              </w:rPr>
            </w:pPr>
            <w:r w:rsidRPr="00087D4A">
              <w:rPr>
                <w:color w:val="000000"/>
                <w:szCs w:val="24"/>
                <w:highlight w:val="black"/>
              </w:rPr>
              <w:t>XX</w:t>
            </w:r>
          </w:p>
        </w:tc>
        <w:tc>
          <w:tcPr>
            <w:tcW w:w="736" w:type="dxa"/>
            <w:tcBorders>
              <w:top w:val="nil"/>
              <w:left w:val="nil"/>
              <w:bottom w:val="single" w:sz="8" w:space="0" w:color="auto"/>
              <w:right w:val="single" w:sz="8" w:space="0" w:color="auto"/>
            </w:tcBorders>
            <w:shd w:val="clear" w:color="auto" w:fill="auto"/>
            <w:vAlign w:val="center"/>
            <w:hideMark/>
          </w:tcPr>
          <w:p w14:paraId="0E1F554F" w14:textId="19543224" w:rsidR="00087D4A" w:rsidRPr="00087D4A" w:rsidRDefault="00087D4A" w:rsidP="00087D4A">
            <w:pPr>
              <w:jc w:val="center"/>
              <w:rPr>
                <w:color w:val="000000"/>
                <w:szCs w:val="24"/>
                <w:highlight w:val="black"/>
              </w:rPr>
            </w:pPr>
            <w:r w:rsidRPr="00087D4A">
              <w:rPr>
                <w:color w:val="000000"/>
                <w:szCs w:val="24"/>
                <w:highlight w:val="black"/>
              </w:rPr>
              <w:t>XXX</w:t>
            </w:r>
          </w:p>
        </w:tc>
        <w:tc>
          <w:tcPr>
            <w:tcW w:w="1100" w:type="dxa"/>
            <w:tcBorders>
              <w:top w:val="nil"/>
              <w:left w:val="nil"/>
              <w:bottom w:val="single" w:sz="8" w:space="0" w:color="auto"/>
              <w:right w:val="single" w:sz="8" w:space="0" w:color="auto"/>
            </w:tcBorders>
            <w:shd w:val="clear" w:color="auto" w:fill="auto"/>
            <w:vAlign w:val="center"/>
            <w:hideMark/>
          </w:tcPr>
          <w:p w14:paraId="6318694D" w14:textId="3C2425BD"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3A8C9241" w14:textId="33A56092"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3DD394F1" w14:textId="4B8F8749"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8" w:space="0" w:color="auto"/>
              <w:right w:val="single" w:sz="8" w:space="0" w:color="auto"/>
            </w:tcBorders>
            <w:shd w:val="clear" w:color="auto" w:fill="auto"/>
            <w:hideMark/>
          </w:tcPr>
          <w:p w14:paraId="7905A668" w14:textId="40828A2D"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hideMark/>
          </w:tcPr>
          <w:p w14:paraId="68CDE136" w14:textId="40A41062"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14:paraId="3D45B127" w14:textId="282E66F6" w:rsidR="00087D4A" w:rsidRPr="00331560" w:rsidRDefault="00087D4A" w:rsidP="00087D4A">
            <w:pPr>
              <w:jc w:val="center"/>
              <w:rPr>
                <w:rFonts w:ascii="Calibri" w:hAnsi="Calibri" w:cs="Calibri"/>
                <w:sz w:val="22"/>
                <w:szCs w:val="22"/>
              </w:rPr>
            </w:pPr>
            <w:r w:rsidRPr="00331560">
              <w:rPr>
                <w:rFonts w:ascii="Calibri" w:hAnsi="Calibri" w:cs="Calibri"/>
                <w:sz w:val="22"/>
                <w:szCs w:val="22"/>
              </w:rPr>
              <w:footnoteReference w:customMarkFollows="1" w:id="24"/>
              <w:t> At 70 % complete &amp; beyond, contingency as a % of the ETC should not exceed 5-10% &amp; should be decreasing</w:t>
            </w:r>
            <w:r>
              <w:rPr>
                <w:rStyle w:val="FootnoteReference"/>
                <w:rFonts w:ascii="Calibri" w:hAnsi="Calibri" w:cs="Calibri"/>
                <w:sz w:val="22"/>
                <w:szCs w:val="22"/>
              </w:rPr>
              <w:footnoteReference w:id="25"/>
            </w:r>
          </w:p>
        </w:tc>
      </w:tr>
      <w:tr w:rsidR="00087D4A" w:rsidRPr="00331560" w14:paraId="261AE426" w14:textId="77777777" w:rsidTr="00087D4A">
        <w:trPr>
          <w:trHeight w:val="324"/>
          <w:jc w:val="center"/>
        </w:trPr>
        <w:tc>
          <w:tcPr>
            <w:tcW w:w="1462" w:type="dxa"/>
            <w:tcBorders>
              <w:top w:val="nil"/>
              <w:left w:val="single" w:sz="8" w:space="0" w:color="auto"/>
              <w:bottom w:val="single" w:sz="8" w:space="0" w:color="auto"/>
              <w:right w:val="single" w:sz="8" w:space="0" w:color="auto"/>
            </w:tcBorders>
            <w:shd w:val="clear" w:color="auto" w:fill="auto"/>
            <w:vAlign w:val="center"/>
            <w:hideMark/>
          </w:tcPr>
          <w:p w14:paraId="5788CBCD" w14:textId="6654B6FE"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8" w:space="0" w:color="auto"/>
              <w:right w:val="single" w:sz="8" w:space="0" w:color="auto"/>
            </w:tcBorders>
            <w:shd w:val="clear" w:color="auto" w:fill="auto"/>
            <w:vAlign w:val="center"/>
            <w:hideMark/>
          </w:tcPr>
          <w:p w14:paraId="35FF5330" w14:textId="0FF9BEC1"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vAlign w:val="center"/>
            <w:hideMark/>
          </w:tcPr>
          <w:p w14:paraId="1F271881" w14:textId="5C4FD086" w:rsidR="00087D4A" w:rsidRPr="00087D4A" w:rsidRDefault="00087D4A" w:rsidP="00087D4A">
            <w:pPr>
              <w:jc w:val="center"/>
              <w:rPr>
                <w:color w:val="000000"/>
                <w:szCs w:val="24"/>
                <w:highlight w:val="black"/>
              </w:rPr>
            </w:pPr>
            <w:r w:rsidRPr="00087D4A">
              <w:rPr>
                <w:color w:val="000000"/>
                <w:szCs w:val="24"/>
                <w:highlight w:val="black"/>
              </w:rPr>
              <w:t>XXX</w:t>
            </w:r>
          </w:p>
        </w:tc>
        <w:tc>
          <w:tcPr>
            <w:tcW w:w="1100" w:type="dxa"/>
            <w:tcBorders>
              <w:top w:val="nil"/>
              <w:left w:val="nil"/>
              <w:bottom w:val="single" w:sz="8" w:space="0" w:color="auto"/>
              <w:right w:val="single" w:sz="8" w:space="0" w:color="auto"/>
            </w:tcBorders>
            <w:shd w:val="clear" w:color="auto" w:fill="auto"/>
            <w:hideMark/>
          </w:tcPr>
          <w:p w14:paraId="39E3CBF4" w14:textId="1634F851"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7314273B" w14:textId="6370F7CA"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6731E93C" w14:textId="7C3F914D"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8" w:space="0" w:color="auto"/>
              <w:right w:val="single" w:sz="8" w:space="0" w:color="auto"/>
            </w:tcBorders>
            <w:shd w:val="clear" w:color="auto" w:fill="auto"/>
            <w:hideMark/>
          </w:tcPr>
          <w:p w14:paraId="00CD84BB" w14:textId="564DB32B"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hideMark/>
          </w:tcPr>
          <w:p w14:paraId="6769BCEB" w14:textId="5A1DE0D8"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8" w:space="0" w:color="auto"/>
              <w:bottom w:val="single" w:sz="8" w:space="0" w:color="000000"/>
              <w:right w:val="single" w:sz="8" w:space="0" w:color="auto"/>
            </w:tcBorders>
            <w:vAlign w:val="center"/>
            <w:hideMark/>
          </w:tcPr>
          <w:p w14:paraId="5E816C0C" w14:textId="77777777" w:rsidR="00087D4A" w:rsidRPr="00331560" w:rsidRDefault="00087D4A" w:rsidP="00087D4A">
            <w:pPr>
              <w:rPr>
                <w:rFonts w:ascii="Calibri" w:hAnsi="Calibri" w:cs="Calibri"/>
                <w:sz w:val="22"/>
                <w:szCs w:val="22"/>
              </w:rPr>
            </w:pPr>
          </w:p>
        </w:tc>
      </w:tr>
      <w:tr w:rsidR="00087D4A" w:rsidRPr="00331560" w14:paraId="0BEF31D7" w14:textId="77777777" w:rsidTr="00087D4A">
        <w:trPr>
          <w:trHeight w:val="324"/>
          <w:jc w:val="center"/>
        </w:trPr>
        <w:tc>
          <w:tcPr>
            <w:tcW w:w="1462" w:type="dxa"/>
            <w:tcBorders>
              <w:top w:val="nil"/>
              <w:left w:val="single" w:sz="8" w:space="0" w:color="auto"/>
              <w:bottom w:val="single" w:sz="8" w:space="0" w:color="auto"/>
              <w:right w:val="single" w:sz="8" w:space="0" w:color="auto"/>
            </w:tcBorders>
            <w:shd w:val="clear" w:color="auto" w:fill="auto"/>
            <w:vAlign w:val="center"/>
            <w:hideMark/>
          </w:tcPr>
          <w:p w14:paraId="70AF4CD6" w14:textId="7B8C58CE"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8" w:space="0" w:color="auto"/>
              <w:right w:val="single" w:sz="8" w:space="0" w:color="auto"/>
            </w:tcBorders>
            <w:shd w:val="clear" w:color="auto" w:fill="auto"/>
            <w:vAlign w:val="center"/>
            <w:hideMark/>
          </w:tcPr>
          <w:p w14:paraId="10238F14" w14:textId="446D6F08"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vAlign w:val="center"/>
            <w:hideMark/>
          </w:tcPr>
          <w:p w14:paraId="3F34A3F2" w14:textId="2840BAD8" w:rsidR="00087D4A" w:rsidRPr="00087D4A" w:rsidRDefault="00087D4A" w:rsidP="00087D4A">
            <w:pPr>
              <w:jc w:val="center"/>
              <w:rPr>
                <w:color w:val="000000"/>
                <w:szCs w:val="24"/>
                <w:highlight w:val="black"/>
              </w:rPr>
            </w:pPr>
            <w:r w:rsidRPr="00087D4A">
              <w:rPr>
                <w:color w:val="000000"/>
                <w:szCs w:val="24"/>
                <w:highlight w:val="black"/>
              </w:rPr>
              <w:t>XXX</w:t>
            </w:r>
          </w:p>
        </w:tc>
        <w:tc>
          <w:tcPr>
            <w:tcW w:w="1100" w:type="dxa"/>
            <w:tcBorders>
              <w:top w:val="nil"/>
              <w:left w:val="nil"/>
              <w:bottom w:val="single" w:sz="8" w:space="0" w:color="auto"/>
              <w:right w:val="single" w:sz="8" w:space="0" w:color="auto"/>
            </w:tcBorders>
            <w:shd w:val="clear" w:color="auto" w:fill="auto"/>
            <w:vAlign w:val="center"/>
            <w:hideMark/>
          </w:tcPr>
          <w:p w14:paraId="61823ECC" w14:textId="36431E9B"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5CB007AD" w14:textId="2349CFAD"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68236371" w14:textId="402AE538"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8" w:space="0" w:color="auto"/>
              <w:right w:val="single" w:sz="8" w:space="0" w:color="auto"/>
            </w:tcBorders>
            <w:shd w:val="clear" w:color="auto" w:fill="auto"/>
            <w:hideMark/>
          </w:tcPr>
          <w:p w14:paraId="30AADFF6" w14:textId="7D98F172"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hideMark/>
          </w:tcPr>
          <w:p w14:paraId="265EA826" w14:textId="21F8515F"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8" w:space="0" w:color="auto"/>
              <w:bottom w:val="single" w:sz="8" w:space="0" w:color="000000"/>
              <w:right w:val="single" w:sz="8" w:space="0" w:color="auto"/>
            </w:tcBorders>
            <w:vAlign w:val="center"/>
            <w:hideMark/>
          </w:tcPr>
          <w:p w14:paraId="18659419" w14:textId="77777777" w:rsidR="00087D4A" w:rsidRPr="00331560" w:rsidRDefault="00087D4A" w:rsidP="00087D4A">
            <w:pPr>
              <w:rPr>
                <w:rFonts w:ascii="Calibri" w:hAnsi="Calibri" w:cs="Calibri"/>
                <w:sz w:val="22"/>
                <w:szCs w:val="22"/>
              </w:rPr>
            </w:pPr>
          </w:p>
        </w:tc>
      </w:tr>
      <w:tr w:rsidR="00087D4A" w:rsidRPr="00331560" w14:paraId="678FB251" w14:textId="77777777" w:rsidTr="00087D4A">
        <w:trPr>
          <w:trHeight w:val="324"/>
          <w:jc w:val="center"/>
        </w:trPr>
        <w:tc>
          <w:tcPr>
            <w:tcW w:w="1462" w:type="dxa"/>
            <w:tcBorders>
              <w:top w:val="nil"/>
              <w:left w:val="single" w:sz="8" w:space="0" w:color="auto"/>
              <w:bottom w:val="single" w:sz="8" w:space="0" w:color="auto"/>
              <w:right w:val="single" w:sz="8" w:space="0" w:color="auto"/>
            </w:tcBorders>
            <w:shd w:val="clear" w:color="auto" w:fill="auto"/>
            <w:vAlign w:val="center"/>
            <w:hideMark/>
          </w:tcPr>
          <w:p w14:paraId="7257C5C4" w14:textId="5B84ADB6"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8" w:space="0" w:color="auto"/>
              <w:right w:val="single" w:sz="8" w:space="0" w:color="auto"/>
            </w:tcBorders>
            <w:shd w:val="clear" w:color="auto" w:fill="auto"/>
            <w:vAlign w:val="center"/>
            <w:hideMark/>
          </w:tcPr>
          <w:p w14:paraId="2C4AE70A" w14:textId="1597A1C8"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vAlign w:val="center"/>
            <w:hideMark/>
          </w:tcPr>
          <w:p w14:paraId="508E47C5" w14:textId="10CA3FA2" w:rsidR="00087D4A" w:rsidRPr="00087D4A" w:rsidRDefault="00087D4A" w:rsidP="00087D4A">
            <w:pPr>
              <w:jc w:val="center"/>
              <w:rPr>
                <w:color w:val="000000"/>
                <w:szCs w:val="24"/>
                <w:highlight w:val="black"/>
              </w:rPr>
            </w:pPr>
            <w:r w:rsidRPr="00087D4A">
              <w:rPr>
                <w:color w:val="000000"/>
                <w:szCs w:val="24"/>
                <w:highlight w:val="black"/>
              </w:rPr>
              <w:t>XXX</w:t>
            </w:r>
          </w:p>
        </w:tc>
        <w:tc>
          <w:tcPr>
            <w:tcW w:w="1100" w:type="dxa"/>
            <w:tcBorders>
              <w:top w:val="nil"/>
              <w:left w:val="nil"/>
              <w:bottom w:val="single" w:sz="8" w:space="0" w:color="auto"/>
              <w:right w:val="single" w:sz="8" w:space="0" w:color="auto"/>
            </w:tcBorders>
            <w:shd w:val="clear" w:color="auto" w:fill="auto"/>
            <w:hideMark/>
          </w:tcPr>
          <w:p w14:paraId="7D6421EF" w14:textId="5D12490F"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0576D812" w14:textId="5803E4AF"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3B4BE2F6" w14:textId="7FFD9868"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8" w:space="0" w:color="auto"/>
              <w:right w:val="single" w:sz="8" w:space="0" w:color="auto"/>
            </w:tcBorders>
            <w:shd w:val="clear" w:color="auto" w:fill="auto"/>
            <w:hideMark/>
          </w:tcPr>
          <w:p w14:paraId="694EC896" w14:textId="430CCF51"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hideMark/>
          </w:tcPr>
          <w:p w14:paraId="0E721ECD" w14:textId="654244A9"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8" w:space="0" w:color="auto"/>
              <w:bottom w:val="single" w:sz="8" w:space="0" w:color="000000"/>
              <w:right w:val="single" w:sz="8" w:space="0" w:color="auto"/>
            </w:tcBorders>
            <w:vAlign w:val="center"/>
            <w:hideMark/>
          </w:tcPr>
          <w:p w14:paraId="4B145F0F" w14:textId="77777777" w:rsidR="00087D4A" w:rsidRPr="00331560" w:rsidRDefault="00087D4A" w:rsidP="00087D4A">
            <w:pPr>
              <w:rPr>
                <w:rFonts w:ascii="Calibri" w:hAnsi="Calibri" w:cs="Calibri"/>
                <w:sz w:val="22"/>
                <w:szCs w:val="22"/>
              </w:rPr>
            </w:pPr>
          </w:p>
        </w:tc>
      </w:tr>
      <w:tr w:rsidR="00087D4A" w:rsidRPr="00331560" w14:paraId="3B59AEC7" w14:textId="77777777" w:rsidTr="00087D4A">
        <w:trPr>
          <w:trHeight w:val="324"/>
          <w:jc w:val="center"/>
        </w:trPr>
        <w:tc>
          <w:tcPr>
            <w:tcW w:w="1462" w:type="dxa"/>
            <w:tcBorders>
              <w:top w:val="nil"/>
              <w:left w:val="single" w:sz="8" w:space="0" w:color="auto"/>
              <w:bottom w:val="single" w:sz="8" w:space="0" w:color="auto"/>
              <w:right w:val="single" w:sz="8" w:space="0" w:color="auto"/>
            </w:tcBorders>
            <w:shd w:val="clear" w:color="auto" w:fill="auto"/>
            <w:vAlign w:val="center"/>
            <w:hideMark/>
          </w:tcPr>
          <w:p w14:paraId="0EB8AE89" w14:textId="13B072FB"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8" w:space="0" w:color="auto"/>
              <w:right w:val="single" w:sz="8" w:space="0" w:color="auto"/>
            </w:tcBorders>
            <w:shd w:val="clear" w:color="auto" w:fill="auto"/>
            <w:vAlign w:val="center"/>
            <w:hideMark/>
          </w:tcPr>
          <w:p w14:paraId="5E0C80D4" w14:textId="70550914"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vAlign w:val="center"/>
            <w:hideMark/>
          </w:tcPr>
          <w:p w14:paraId="20B734A9" w14:textId="4D0929E5" w:rsidR="00087D4A" w:rsidRPr="00087D4A" w:rsidRDefault="00087D4A" w:rsidP="00087D4A">
            <w:pPr>
              <w:rPr>
                <w:color w:val="000000"/>
                <w:szCs w:val="24"/>
                <w:highlight w:val="black"/>
              </w:rPr>
            </w:pPr>
            <w:r w:rsidRPr="00087D4A">
              <w:rPr>
                <w:color w:val="000000"/>
                <w:szCs w:val="24"/>
                <w:highlight w:val="black"/>
              </w:rPr>
              <w:t>XXX</w:t>
            </w:r>
          </w:p>
        </w:tc>
        <w:tc>
          <w:tcPr>
            <w:tcW w:w="1100" w:type="dxa"/>
            <w:tcBorders>
              <w:top w:val="nil"/>
              <w:left w:val="nil"/>
              <w:bottom w:val="single" w:sz="8" w:space="0" w:color="auto"/>
              <w:right w:val="single" w:sz="8" w:space="0" w:color="auto"/>
            </w:tcBorders>
            <w:shd w:val="clear" w:color="auto" w:fill="auto"/>
            <w:hideMark/>
          </w:tcPr>
          <w:p w14:paraId="2F6C0399" w14:textId="3B6CE1CF"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5DD2D401" w14:textId="5EAD3AB5"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7C1C18E1" w14:textId="53182215"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8" w:space="0" w:color="auto"/>
              <w:right w:val="single" w:sz="8" w:space="0" w:color="auto"/>
            </w:tcBorders>
            <w:shd w:val="clear" w:color="auto" w:fill="auto"/>
            <w:hideMark/>
          </w:tcPr>
          <w:p w14:paraId="5CF36CDE" w14:textId="33A5F1DC"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hideMark/>
          </w:tcPr>
          <w:p w14:paraId="01A467AE" w14:textId="51864B4A"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8" w:space="0" w:color="auto"/>
              <w:bottom w:val="single" w:sz="8" w:space="0" w:color="000000"/>
              <w:right w:val="single" w:sz="8" w:space="0" w:color="auto"/>
            </w:tcBorders>
            <w:vAlign w:val="center"/>
            <w:hideMark/>
          </w:tcPr>
          <w:p w14:paraId="1B2A2853" w14:textId="77777777" w:rsidR="00087D4A" w:rsidRPr="00331560" w:rsidRDefault="00087D4A" w:rsidP="00087D4A">
            <w:pPr>
              <w:rPr>
                <w:rFonts w:ascii="Calibri" w:hAnsi="Calibri" w:cs="Calibri"/>
                <w:sz w:val="22"/>
                <w:szCs w:val="22"/>
              </w:rPr>
            </w:pPr>
          </w:p>
        </w:tc>
      </w:tr>
      <w:tr w:rsidR="00087D4A" w:rsidRPr="00331560" w14:paraId="04A9DF36" w14:textId="77777777" w:rsidTr="00087D4A">
        <w:trPr>
          <w:trHeight w:val="324"/>
          <w:jc w:val="center"/>
        </w:trPr>
        <w:tc>
          <w:tcPr>
            <w:tcW w:w="1462" w:type="dxa"/>
            <w:tcBorders>
              <w:top w:val="nil"/>
              <w:left w:val="single" w:sz="8" w:space="0" w:color="auto"/>
              <w:bottom w:val="single" w:sz="8" w:space="0" w:color="auto"/>
              <w:right w:val="single" w:sz="8" w:space="0" w:color="auto"/>
            </w:tcBorders>
            <w:shd w:val="clear" w:color="auto" w:fill="auto"/>
            <w:vAlign w:val="center"/>
            <w:hideMark/>
          </w:tcPr>
          <w:p w14:paraId="7A92D73A" w14:textId="00272D40"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8" w:space="0" w:color="auto"/>
              <w:right w:val="single" w:sz="8" w:space="0" w:color="auto"/>
            </w:tcBorders>
            <w:shd w:val="clear" w:color="auto" w:fill="auto"/>
            <w:vAlign w:val="center"/>
            <w:hideMark/>
          </w:tcPr>
          <w:p w14:paraId="6E57C6CD" w14:textId="1368C5A5"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vAlign w:val="center"/>
            <w:hideMark/>
          </w:tcPr>
          <w:p w14:paraId="387294B1" w14:textId="38EB48C4" w:rsidR="00087D4A" w:rsidRPr="00087D4A" w:rsidRDefault="00087D4A" w:rsidP="00087D4A">
            <w:pPr>
              <w:jc w:val="center"/>
              <w:rPr>
                <w:color w:val="000000"/>
                <w:szCs w:val="24"/>
                <w:highlight w:val="black"/>
              </w:rPr>
            </w:pPr>
            <w:r w:rsidRPr="00087D4A">
              <w:rPr>
                <w:color w:val="000000"/>
                <w:szCs w:val="24"/>
                <w:highlight w:val="black"/>
              </w:rPr>
              <w:t>XXX</w:t>
            </w:r>
          </w:p>
        </w:tc>
        <w:tc>
          <w:tcPr>
            <w:tcW w:w="1100" w:type="dxa"/>
            <w:tcBorders>
              <w:top w:val="nil"/>
              <w:left w:val="nil"/>
              <w:bottom w:val="single" w:sz="8" w:space="0" w:color="auto"/>
              <w:right w:val="single" w:sz="8" w:space="0" w:color="auto"/>
            </w:tcBorders>
            <w:shd w:val="clear" w:color="auto" w:fill="auto"/>
            <w:hideMark/>
          </w:tcPr>
          <w:p w14:paraId="1EBF2BA3" w14:textId="65A98933"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26F9BDD2" w14:textId="6B72E9D9"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55F3DE34" w14:textId="3DACB891"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8" w:space="0" w:color="auto"/>
              <w:right w:val="single" w:sz="8" w:space="0" w:color="auto"/>
            </w:tcBorders>
            <w:shd w:val="clear" w:color="auto" w:fill="auto"/>
            <w:hideMark/>
          </w:tcPr>
          <w:p w14:paraId="07A06495" w14:textId="24828DBE"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hideMark/>
          </w:tcPr>
          <w:p w14:paraId="2F3F6CFD" w14:textId="1C6A67F8"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8" w:space="0" w:color="auto"/>
              <w:bottom w:val="single" w:sz="8" w:space="0" w:color="000000"/>
              <w:right w:val="single" w:sz="8" w:space="0" w:color="auto"/>
            </w:tcBorders>
            <w:vAlign w:val="center"/>
            <w:hideMark/>
          </w:tcPr>
          <w:p w14:paraId="2F44FCFA" w14:textId="77777777" w:rsidR="00087D4A" w:rsidRPr="00331560" w:rsidRDefault="00087D4A" w:rsidP="00087D4A">
            <w:pPr>
              <w:rPr>
                <w:rFonts w:ascii="Calibri" w:hAnsi="Calibri" w:cs="Calibri"/>
                <w:sz w:val="22"/>
                <w:szCs w:val="22"/>
              </w:rPr>
            </w:pPr>
          </w:p>
        </w:tc>
      </w:tr>
      <w:tr w:rsidR="00087D4A" w:rsidRPr="00331560" w14:paraId="0462D9E1" w14:textId="77777777" w:rsidTr="00087D4A">
        <w:trPr>
          <w:trHeight w:val="324"/>
          <w:jc w:val="center"/>
        </w:trPr>
        <w:tc>
          <w:tcPr>
            <w:tcW w:w="1462" w:type="dxa"/>
            <w:tcBorders>
              <w:top w:val="nil"/>
              <w:left w:val="single" w:sz="8" w:space="0" w:color="auto"/>
              <w:bottom w:val="single" w:sz="8" w:space="0" w:color="auto"/>
              <w:right w:val="single" w:sz="8" w:space="0" w:color="auto"/>
            </w:tcBorders>
            <w:shd w:val="clear" w:color="auto" w:fill="auto"/>
            <w:vAlign w:val="center"/>
            <w:hideMark/>
          </w:tcPr>
          <w:p w14:paraId="03E4CCAC" w14:textId="3AB3DC8B"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8" w:space="0" w:color="auto"/>
              <w:right w:val="single" w:sz="8" w:space="0" w:color="auto"/>
            </w:tcBorders>
            <w:shd w:val="clear" w:color="auto" w:fill="auto"/>
            <w:vAlign w:val="center"/>
            <w:hideMark/>
          </w:tcPr>
          <w:p w14:paraId="7B8CA2D8" w14:textId="00AA244D"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vAlign w:val="center"/>
            <w:hideMark/>
          </w:tcPr>
          <w:p w14:paraId="5D5039CB" w14:textId="2394E996" w:rsidR="00087D4A" w:rsidRPr="00087D4A" w:rsidRDefault="00087D4A" w:rsidP="00087D4A">
            <w:pPr>
              <w:rPr>
                <w:color w:val="000000"/>
                <w:szCs w:val="24"/>
                <w:highlight w:val="black"/>
              </w:rPr>
            </w:pPr>
            <w:r w:rsidRPr="00087D4A">
              <w:rPr>
                <w:color w:val="000000"/>
                <w:szCs w:val="24"/>
                <w:highlight w:val="black"/>
              </w:rPr>
              <w:t>XXX</w:t>
            </w:r>
          </w:p>
        </w:tc>
        <w:tc>
          <w:tcPr>
            <w:tcW w:w="1100" w:type="dxa"/>
            <w:tcBorders>
              <w:top w:val="nil"/>
              <w:left w:val="nil"/>
              <w:bottom w:val="single" w:sz="8" w:space="0" w:color="auto"/>
              <w:right w:val="single" w:sz="8" w:space="0" w:color="auto"/>
            </w:tcBorders>
            <w:shd w:val="clear" w:color="auto" w:fill="auto"/>
            <w:hideMark/>
          </w:tcPr>
          <w:p w14:paraId="69C60E5D" w14:textId="34844524"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6E21FC05" w14:textId="451DBDD4"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28CE3DC9" w14:textId="50B83A27"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8" w:space="0" w:color="auto"/>
              <w:right w:val="single" w:sz="8" w:space="0" w:color="auto"/>
            </w:tcBorders>
            <w:shd w:val="clear" w:color="auto" w:fill="auto"/>
            <w:hideMark/>
          </w:tcPr>
          <w:p w14:paraId="0B250623" w14:textId="56BDADF8"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8" w:space="0" w:color="auto"/>
              <w:right w:val="single" w:sz="8" w:space="0" w:color="auto"/>
            </w:tcBorders>
            <w:shd w:val="clear" w:color="auto" w:fill="auto"/>
            <w:hideMark/>
          </w:tcPr>
          <w:p w14:paraId="26693672" w14:textId="1BC04266"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8" w:space="0" w:color="auto"/>
              <w:bottom w:val="single" w:sz="8" w:space="0" w:color="000000"/>
              <w:right w:val="single" w:sz="8" w:space="0" w:color="auto"/>
            </w:tcBorders>
            <w:vAlign w:val="center"/>
            <w:hideMark/>
          </w:tcPr>
          <w:p w14:paraId="2D5A8310" w14:textId="77777777" w:rsidR="00087D4A" w:rsidRPr="00331560" w:rsidRDefault="00087D4A" w:rsidP="00087D4A">
            <w:pPr>
              <w:rPr>
                <w:rFonts w:ascii="Calibri" w:hAnsi="Calibri" w:cs="Calibri"/>
                <w:sz w:val="22"/>
                <w:szCs w:val="22"/>
              </w:rPr>
            </w:pPr>
          </w:p>
        </w:tc>
      </w:tr>
      <w:tr w:rsidR="00087D4A" w:rsidRPr="00331560" w14:paraId="7C1AF3D0" w14:textId="77777777" w:rsidTr="00087D4A">
        <w:trPr>
          <w:trHeight w:val="324"/>
          <w:jc w:val="center"/>
        </w:trPr>
        <w:tc>
          <w:tcPr>
            <w:tcW w:w="1462" w:type="dxa"/>
            <w:tcBorders>
              <w:top w:val="nil"/>
              <w:left w:val="single" w:sz="8" w:space="0" w:color="auto"/>
              <w:bottom w:val="single" w:sz="4" w:space="0" w:color="auto"/>
              <w:right w:val="single" w:sz="8" w:space="0" w:color="auto"/>
            </w:tcBorders>
            <w:shd w:val="clear" w:color="auto" w:fill="auto"/>
            <w:vAlign w:val="center"/>
            <w:hideMark/>
          </w:tcPr>
          <w:p w14:paraId="5F4D30C7" w14:textId="75CFA762"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nil"/>
              <w:left w:val="nil"/>
              <w:bottom w:val="single" w:sz="4" w:space="0" w:color="auto"/>
              <w:right w:val="single" w:sz="8" w:space="0" w:color="auto"/>
            </w:tcBorders>
            <w:shd w:val="clear" w:color="auto" w:fill="auto"/>
            <w:vAlign w:val="center"/>
            <w:hideMark/>
          </w:tcPr>
          <w:p w14:paraId="2F552A4B" w14:textId="01995BC7" w:rsidR="00087D4A" w:rsidRPr="00087D4A" w:rsidRDefault="00087D4A" w:rsidP="00087D4A">
            <w:pPr>
              <w:jc w:val="center"/>
              <w:rPr>
                <w:color w:val="000000"/>
                <w:szCs w:val="24"/>
                <w:highlight w:val="black"/>
              </w:rPr>
            </w:pPr>
            <w:r w:rsidRPr="00087D4A">
              <w:rPr>
                <w:color w:val="000000"/>
                <w:szCs w:val="24"/>
                <w:highlight w:val="black"/>
              </w:rPr>
              <w:t>XX</w:t>
            </w:r>
          </w:p>
        </w:tc>
        <w:tc>
          <w:tcPr>
            <w:tcW w:w="736" w:type="dxa"/>
            <w:tcBorders>
              <w:top w:val="nil"/>
              <w:left w:val="nil"/>
              <w:bottom w:val="single" w:sz="4" w:space="0" w:color="auto"/>
              <w:right w:val="single" w:sz="8" w:space="0" w:color="auto"/>
            </w:tcBorders>
            <w:shd w:val="clear" w:color="auto" w:fill="auto"/>
            <w:vAlign w:val="center"/>
            <w:hideMark/>
          </w:tcPr>
          <w:p w14:paraId="71445D94" w14:textId="00D18F53" w:rsidR="00087D4A" w:rsidRPr="00087D4A" w:rsidRDefault="00087D4A" w:rsidP="00087D4A">
            <w:pPr>
              <w:jc w:val="center"/>
              <w:rPr>
                <w:color w:val="000000"/>
                <w:szCs w:val="24"/>
                <w:highlight w:val="black"/>
              </w:rPr>
            </w:pPr>
            <w:r w:rsidRPr="00087D4A">
              <w:rPr>
                <w:color w:val="000000"/>
                <w:szCs w:val="24"/>
                <w:highlight w:val="black"/>
              </w:rPr>
              <w:t>XXX</w:t>
            </w:r>
          </w:p>
        </w:tc>
        <w:tc>
          <w:tcPr>
            <w:tcW w:w="1100" w:type="dxa"/>
            <w:tcBorders>
              <w:top w:val="nil"/>
              <w:left w:val="nil"/>
              <w:bottom w:val="single" w:sz="4" w:space="0" w:color="auto"/>
              <w:right w:val="single" w:sz="8" w:space="0" w:color="auto"/>
            </w:tcBorders>
            <w:shd w:val="clear" w:color="auto" w:fill="auto"/>
            <w:hideMark/>
          </w:tcPr>
          <w:p w14:paraId="66C6EAE7" w14:textId="0442B6E0" w:rsidR="00087D4A" w:rsidRPr="00087D4A" w:rsidRDefault="00087D4A" w:rsidP="00087D4A">
            <w:pPr>
              <w:jc w:val="center"/>
              <w:rPr>
                <w:color w:val="000000"/>
                <w:szCs w:val="24"/>
                <w:highlight w:val="black"/>
              </w:rPr>
            </w:pPr>
            <w:r w:rsidRPr="00087D4A">
              <w:rPr>
                <w:color w:val="000000"/>
                <w:szCs w:val="24"/>
                <w:highlight w:val="black"/>
              </w:rPr>
              <w:t>XXX</w:t>
            </w:r>
          </w:p>
        </w:tc>
        <w:tc>
          <w:tcPr>
            <w:tcW w:w="1690" w:type="dxa"/>
            <w:tcBorders>
              <w:top w:val="nil"/>
              <w:left w:val="nil"/>
              <w:bottom w:val="single" w:sz="8" w:space="0" w:color="auto"/>
              <w:right w:val="single" w:sz="8" w:space="0" w:color="auto"/>
            </w:tcBorders>
            <w:shd w:val="clear" w:color="auto" w:fill="auto"/>
            <w:hideMark/>
          </w:tcPr>
          <w:p w14:paraId="782E8EBC" w14:textId="567FC54E" w:rsidR="00087D4A" w:rsidRPr="00087D4A" w:rsidRDefault="00087D4A" w:rsidP="00087D4A">
            <w:pPr>
              <w:jc w:val="center"/>
              <w:rPr>
                <w:color w:val="000000"/>
                <w:szCs w:val="24"/>
                <w:highlight w:val="black"/>
              </w:rPr>
            </w:pPr>
            <w:r w:rsidRPr="00087D4A">
              <w:rPr>
                <w:color w:val="000000"/>
                <w:szCs w:val="24"/>
                <w:highlight w:val="black"/>
              </w:rPr>
              <w:t>XXX</w:t>
            </w:r>
          </w:p>
        </w:tc>
        <w:tc>
          <w:tcPr>
            <w:tcW w:w="912" w:type="dxa"/>
            <w:tcBorders>
              <w:top w:val="nil"/>
              <w:left w:val="nil"/>
              <w:bottom w:val="single" w:sz="8" w:space="0" w:color="auto"/>
              <w:right w:val="single" w:sz="8" w:space="0" w:color="auto"/>
            </w:tcBorders>
            <w:shd w:val="clear" w:color="auto" w:fill="auto"/>
            <w:hideMark/>
          </w:tcPr>
          <w:p w14:paraId="2D26B4F0" w14:textId="5F488314"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nil"/>
              <w:left w:val="nil"/>
              <w:bottom w:val="single" w:sz="4" w:space="0" w:color="auto"/>
              <w:right w:val="single" w:sz="8" w:space="0" w:color="auto"/>
            </w:tcBorders>
            <w:shd w:val="clear" w:color="auto" w:fill="auto"/>
            <w:hideMark/>
          </w:tcPr>
          <w:p w14:paraId="40F831BB" w14:textId="20E93DB0"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nil"/>
              <w:left w:val="nil"/>
              <w:bottom w:val="single" w:sz="4" w:space="0" w:color="auto"/>
              <w:right w:val="single" w:sz="8" w:space="0" w:color="auto"/>
            </w:tcBorders>
            <w:shd w:val="clear" w:color="auto" w:fill="auto"/>
            <w:hideMark/>
          </w:tcPr>
          <w:p w14:paraId="0C98A4E9" w14:textId="18F09C93"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8" w:space="0" w:color="auto"/>
              <w:bottom w:val="single" w:sz="8" w:space="0" w:color="000000"/>
              <w:right w:val="single" w:sz="8" w:space="0" w:color="auto"/>
            </w:tcBorders>
            <w:vAlign w:val="center"/>
            <w:hideMark/>
          </w:tcPr>
          <w:p w14:paraId="56FB272E" w14:textId="77777777" w:rsidR="00087D4A" w:rsidRPr="00331560" w:rsidRDefault="00087D4A" w:rsidP="00087D4A">
            <w:pPr>
              <w:rPr>
                <w:rFonts w:ascii="Calibri" w:hAnsi="Calibri" w:cs="Calibri"/>
                <w:sz w:val="22"/>
                <w:szCs w:val="22"/>
              </w:rPr>
            </w:pPr>
          </w:p>
        </w:tc>
      </w:tr>
      <w:tr w:rsidR="00087D4A" w:rsidRPr="00331560" w14:paraId="556D3094" w14:textId="77777777" w:rsidTr="00087D4A">
        <w:trPr>
          <w:trHeight w:val="324"/>
          <w:jc w:val="center"/>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662E" w14:textId="15354D96" w:rsidR="00087D4A" w:rsidRPr="00087D4A" w:rsidRDefault="00087D4A" w:rsidP="00087D4A">
            <w:pPr>
              <w:jc w:val="center"/>
              <w:rPr>
                <w:color w:val="000000"/>
                <w:szCs w:val="24"/>
                <w:highlight w:val="black"/>
              </w:rPr>
            </w:pPr>
            <w:r w:rsidRPr="00087D4A">
              <w:rPr>
                <w:color w:val="000000"/>
                <w:szCs w:val="24"/>
                <w:highlight w:val="black"/>
              </w:rPr>
              <w:t>XXXX</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B0AE" w14:textId="47638CD7" w:rsidR="00087D4A" w:rsidRPr="00087D4A" w:rsidRDefault="00087D4A" w:rsidP="00087D4A">
            <w:pPr>
              <w:jc w:val="center"/>
              <w:rPr>
                <w:color w:val="000000"/>
                <w:szCs w:val="24"/>
                <w:highlight w:val="black"/>
              </w:rPr>
            </w:pPr>
            <w:r w:rsidRPr="00087D4A">
              <w:rPr>
                <w:color w:val="000000"/>
                <w:szCs w:val="24"/>
                <w:highlight w:val="black"/>
              </w:rPr>
              <w:t>XXX</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ABF01" w14:textId="55A6AFB2" w:rsidR="00087D4A" w:rsidRPr="00087D4A" w:rsidRDefault="00087D4A" w:rsidP="00087D4A">
            <w:pPr>
              <w:jc w:val="center"/>
              <w:rPr>
                <w:color w:val="000000"/>
                <w:szCs w:val="24"/>
                <w:highlight w:val="black"/>
              </w:rPr>
            </w:pPr>
            <w:r w:rsidRPr="00087D4A">
              <w:rPr>
                <w:color w:val="000000"/>
                <w:szCs w:val="24"/>
                <w:highlight w:val="black"/>
              </w:rPr>
              <w:t>XXX</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70BE6140" w14:textId="3A0CEB4D" w:rsidR="00087D4A" w:rsidRPr="00087D4A" w:rsidRDefault="00087D4A" w:rsidP="00087D4A">
            <w:pPr>
              <w:jc w:val="center"/>
              <w:rPr>
                <w:color w:val="000000"/>
                <w:szCs w:val="24"/>
                <w:highlight w:val="black"/>
              </w:rPr>
            </w:pPr>
            <w:r w:rsidRPr="00087D4A">
              <w:rPr>
                <w:color w:val="000000"/>
                <w:szCs w:val="24"/>
                <w:highlight w:val="black"/>
              </w:rPr>
              <w:t>XXX</w:t>
            </w:r>
          </w:p>
        </w:tc>
        <w:tc>
          <w:tcPr>
            <w:tcW w:w="2602"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52A5D6ED" w14:textId="7089148B" w:rsidR="00087D4A" w:rsidRPr="00087D4A" w:rsidRDefault="00087D4A" w:rsidP="00087D4A">
            <w:pPr>
              <w:jc w:val="center"/>
              <w:rPr>
                <w:color w:val="000000"/>
                <w:szCs w:val="24"/>
                <w:highlight w:val="black"/>
              </w:rPr>
            </w:pPr>
            <w:r w:rsidRPr="00087D4A">
              <w:rPr>
                <w:color w:val="000000"/>
                <w:szCs w:val="24"/>
                <w:highlight w:val="black"/>
              </w:rPr>
              <w:t>XXX</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138C" w14:textId="1CF8DE04" w:rsidR="00087D4A" w:rsidRPr="00087D4A" w:rsidRDefault="00087D4A" w:rsidP="00087D4A">
            <w:pPr>
              <w:jc w:val="center"/>
              <w:rPr>
                <w:color w:val="000000"/>
                <w:szCs w:val="24"/>
                <w:highlight w:val="black"/>
              </w:rPr>
            </w:pPr>
            <w:r w:rsidRPr="00087D4A">
              <w:rPr>
                <w:color w:val="000000"/>
                <w:szCs w:val="24"/>
                <w:highlight w:val="black"/>
              </w:rPr>
              <w:t xml:space="preserve">XXX </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2581A659" w14:textId="516CFEA1" w:rsidR="00087D4A" w:rsidRPr="00087D4A" w:rsidRDefault="00087D4A" w:rsidP="00087D4A">
            <w:pPr>
              <w:jc w:val="center"/>
              <w:rPr>
                <w:color w:val="000000"/>
                <w:szCs w:val="24"/>
                <w:highlight w:val="black"/>
              </w:rPr>
            </w:pPr>
            <w:r w:rsidRPr="00087D4A">
              <w:rPr>
                <w:color w:val="000000"/>
                <w:szCs w:val="24"/>
                <w:highlight w:val="black"/>
              </w:rPr>
              <w:t>XXX</w:t>
            </w:r>
          </w:p>
        </w:tc>
        <w:tc>
          <w:tcPr>
            <w:tcW w:w="1442" w:type="dxa"/>
            <w:vMerge/>
            <w:tcBorders>
              <w:top w:val="nil"/>
              <w:left w:val="single" w:sz="4" w:space="0" w:color="auto"/>
              <w:bottom w:val="single" w:sz="4" w:space="0" w:color="auto"/>
              <w:right w:val="single" w:sz="8" w:space="0" w:color="auto"/>
            </w:tcBorders>
            <w:vAlign w:val="center"/>
            <w:hideMark/>
          </w:tcPr>
          <w:p w14:paraId="79D7588E" w14:textId="77777777" w:rsidR="00087D4A" w:rsidRPr="00331560" w:rsidRDefault="00087D4A" w:rsidP="00087D4A">
            <w:pPr>
              <w:rPr>
                <w:rFonts w:ascii="Calibri" w:hAnsi="Calibri" w:cs="Calibri"/>
                <w:sz w:val="22"/>
                <w:szCs w:val="22"/>
              </w:rPr>
            </w:pPr>
          </w:p>
        </w:tc>
      </w:tr>
      <w:tr w:rsidR="00F81FF9" w:rsidRPr="00331560" w14:paraId="23FBD59A" w14:textId="77777777" w:rsidTr="00223F1D">
        <w:trPr>
          <w:trHeight w:val="324"/>
          <w:jc w:val="center"/>
        </w:trPr>
        <w:tc>
          <w:tcPr>
            <w:tcW w:w="103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67678A" w14:textId="79F2AC9D" w:rsidR="00F81FF9" w:rsidRPr="00331560" w:rsidRDefault="00B80D39" w:rsidP="00331560">
            <w:pPr>
              <w:rPr>
                <w:rFonts w:ascii="Calibri" w:hAnsi="Calibri" w:cs="Calibri"/>
                <w:sz w:val="22"/>
                <w:szCs w:val="22"/>
              </w:rPr>
            </w:pPr>
            <w:r>
              <w:rPr>
                <w:rFonts w:ascii="Calibri" w:hAnsi="Calibri" w:cs="Calibri"/>
                <w:sz w:val="22"/>
                <w:szCs w:val="22"/>
              </w:rPr>
              <w:t>Note 1: Data not available</w:t>
            </w:r>
          </w:p>
        </w:tc>
      </w:tr>
    </w:tbl>
    <w:p w14:paraId="7DB7806E" w14:textId="77777777" w:rsidR="00D925C7" w:rsidRDefault="00D925C7" w:rsidP="00BC09F5">
      <w:pPr>
        <w:jc w:val="center"/>
        <w:rPr>
          <w:b/>
          <w:szCs w:val="24"/>
          <w:highlight w:val="yellow"/>
        </w:rPr>
      </w:pPr>
    </w:p>
    <w:p w14:paraId="5B4CC662" w14:textId="77777777" w:rsidR="00B80AFC" w:rsidRDefault="00B80AFC" w:rsidP="00573360">
      <w:pPr>
        <w:rPr>
          <w:b/>
          <w:szCs w:val="24"/>
          <w:highlight w:val="yellow"/>
        </w:rPr>
      </w:pPr>
    </w:p>
    <w:p w14:paraId="24B13294" w14:textId="77777777" w:rsidR="004C75C3" w:rsidRPr="00226E7E" w:rsidRDefault="004C75C3" w:rsidP="004C75C3">
      <w:pPr>
        <w:jc w:val="both"/>
      </w:pPr>
      <w:r>
        <w:rPr>
          <w:b/>
          <w:bCs/>
        </w:rPr>
        <w:t xml:space="preserve">3.5 Additional Deficiencies of Company’s </w:t>
      </w:r>
      <w:proofErr w:type="spellStart"/>
      <w:r>
        <w:rPr>
          <w:b/>
          <w:bCs/>
        </w:rPr>
        <w:t>EVMS</w:t>
      </w:r>
      <w:proofErr w:type="spellEnd"/>
      <w:r>
        <w:rPr>
          <w:b/>
          <w:bCs/>
        </w:rPr>
        <w:t xml:space="preserve">:  </w:t>
      </w:r>
      <w:r w:rsidRPr="00226E7E">
        <w:t>The National Defense Industrial Association (NDIA) Integrated Program Management Division</w:t>
      </w:r>
      <w:r>
        <w:t xml:space="preserve"> </w:t>
      </w:r>
      <w:r w:rsidRPr="00226E7E">
        <w:t>(</w:t>
      </w:r>
      <w:proofErr w:type="spellStart"/>
      <w:r w:rsidRPr="00226E7E">
        <w:t>IPMD</w:t>
      </w:r>
      <w:proofErr w:type="spellEnd"/>
      <w:r w:rsidRPr="00226E7E">
        <w:t xml:space="preserve">) along with others (DOE 413.3 </w:t>
      </w:r>
      <w:proofErr w:type="spellStart"/>
      <w:r w:rsidRPr="00226E7E">
        <w:t>EVMS</w:t>
      </w:r>
      <w:proofErr w:type="spellEnd"/>
      <w:r w:rsidRPr="00226E7E">
        <w:t xml:space="preserve"> guide, DOD </w:t>
      </w:r>
      <w:proofErr w:type="spellStart"/>
      <w:r w:rsidRPr="00226E7E">
        <w:t>EVMSIG</w:t>
      </w:r>
      <w:proofErr w:type="spellEnd"/>
      <w:r>
        <w:t>, subsequently further evolved guides developed by the Project Management Institute,</w:t>
      </w:r>
      <w:r w:rsidRPr="00226E7E">
        <w:t xml:space="preserve"> etc.) created this Intent Guide to provide additional insight into the EIA-748 Standard for Earned Value Management Systems, </w:t>
      </w:r>
      <w:r>
        <w:t xml:space="preserve">and a means (via a compliance map) for </w:t>
      </w:r>
      <w:r w:rsidRPr="00226E7E">
        <w:t xml:space="preserve">documenting how an earned value management system complies with the 32 guidelines of the EIA-748 Standard. The objective of the compliance map is to demonstrate that a contractor has thought through each guideline and can describe how their process supports the guideline requirements. It is worth noting that </w:t>
      </w:r>
      <w:r>
        <w:t xml:space="preserve">the Company’s </w:t>
      </w:r>
      <w:proofErr w:type="spellStart"/>
      <w:r>
        <w:t>EVMS</w:t>
      </w:r>
      <w:proofErr w:type="spellEnd"/>
      <w:r>
        <w:t xml:space="preserve"> does not meet any of the 32 </w:t>
      </w:r>
      <w:r w:rsidRPr="00226E7E">
        <w:t>guideline</w:t>
      </w:r>
      <w:r>
        <w:t>s.  As examples of why not:</w:t>
      </w:r>
    </w:p>
    <w:p w14:paraId="3CEE2F22" w14:textId="77777777" w:rsidR="004C75C3" w:rsidRDefault="004C75C3" w:rsidP="004C75C3">
      <w:pPr>
        <w:jc w:val="both"/>
      </w:pPr>
    </w:p>
    <w:p w14:paraId="1892FD40" w14:textId="77777777" w:rsidR="004C75C3" w:rsidRPr="008D2741" w:rsidRDefault="004C75C3" w:rsidP="004C75C3">
      <w:pPr>
        <w:jc w:val="both"/>
      </w:pPr>
      <w:r w:rsidRPr="008D2741">
        <w:rPr>
          <w:u w:val="single"/>
        </w:rPr>
        <w:t>Guideline 1</w:t>
      </w:r>
      <w:r w:rsidRPr="008D2741">
        <w:t xml:space="preserve">: </w:t>
      </w:r>
      <w:r>
        <w:t>SNC</w:t>
      </w:r>
      <w:r w:rsidRPr="008D2741">
        <w:t xml:space="preserve"> failed to meet Guideline 1 – Define Work Scope (WBS): </w:t>
      </w:r>
    </w:p>
    <w:p w14:paraId="5A0A482E" w14:textId="77777777" w:rsidR="004C75C3" w:rsidRPr="008D2741" w:rsidRDefault="004C75C3" w:rsidP="004C75C3">
      <w:pPr>
        <w:pStyle w:val="ListParagraph"/>
        <w:numPr>
          <w:ilvl w:val="0"/>
          <w:numId w:val="45"/>
        </w:numPr>
        <w:contextualSpacing/>
        <w:jc w:val="both"/>
      </w:pPr>
      <w:r w:rsidRPr="008D2741">
        <w:t xml:space="preserve">The Work Breakdown Structure (WBS) was not used for the planning of </w:t>
      </w:r>
      <w:r w:rsidRPr="008D2741">
        <w:rPr>
          <w:b/>
          <w:bCs/>
          <w:i/>
          <w:iCs/>
          <w:u w:val="single"/>
        </w:rPr>
        <w:t xml:space="preserve">all </w:t>
      </w:r>
      <w:r w:rsidRPr="008D2741">
        <w:t>authorized work</w:t>
      </w:r>
      <w:r w:rsidRPr="008D2741">
        <w:rPr>
          <w:rStyle w:val="FootnoteReference"/>
        </w:rPr>
        <w:footnoteReference w:id="26"/>
      </w:r>
      <w:r w:rsidRPr="008D2741">
        <w:t xml:space="preserve">. </w:t>
      </w:r>
    </w:p>
    <w:p w14:paraId="577FF4EF" w14:textId="77777777" w:rsidR="004C75C3" w:rsidRPr="008D2741" w:rsidRDefault="004C75C3" w:rsidP="004C75C3">
      <w:pPr>
        <w:pStyle w:val="ListParagraph"/>
        <w:numPr>
          <w:ilvl w:val="0"/>
          <w:numId w:val="45"/>
        </w:numPr>
        <w:spacing w:after="160" w:line="259" w:lineRule="auto"/>
        <w:contextualSpacing/>
        <w:jc w:val="both"/>
      </w:pPr>
      <w:r w:rsidRPr="008D2741">
        <w:lastRenderedPageBreak/>
        <w:t xml:space="preserve">The WBS did not break down elements for budgeting and cost accounting. </w:t>
      </w:r>
    </w:p>
    <w:p w14:paraId="62E46810" w14:textId="77777777" w:rsidR="004C75C3" w:rsidRPr="00C25EE9" w:rsidRDefault="004C75C3" w:rsidP="004C75C3">
      <w:pPr>
        <w:pStyle w:val="ListParagraph"/>
        <w:numPr>
          <w:ilvl w:val="0"/>
          <w:numId w:val="45"/>
        </w:numPr>
        <w:spacing w:after="160" w:line="259" w:lineRule="auto"/>
        <w:contextualSpacing/>
        <w:jc w:val="both"/>
      </w:pPr>
      <w:proofErr w:type="spellStart"/>
      <w:r w:rsidRPr="00C25EE9">
        <w:t>EVMS</w:t>
      </w:r>
      <w:proofErr w:type="spellEnd"/>
      <w:r w:rsidRPr="00C25EE9">
        <w:t xml:space="preserve"> based Performance Measurement represented less than 30% of the total Budget</w:t>
      </w:r>
      <w:r>
        <w:t>.</w:t>
      </w:r>
      <w:r w:rsidRPr="00C25EE9">
        <w:t xml:space="preserve"> </w:t>
      </w:r>
    </w:p>
    <w:p w14:paraId="6F791596" w14:textId="77777777" w:rsidR="004C75C3" w:rsidRPr="008D2741" w:rsidRDefault="004C75C3" w:rsidP="004C75C3">
      <w:pPr>
        <w:pStyle w:val="ListParagraph"/>
        <w:numPr>
          <w:ilvl w:val="0"/>
          <w:numId w:val="45"/>
        </w:numPr>
        <w:spacing w:after="160" w:line="259" w:lineRule="auto"/>
        <w:contextualSpacing/>
        <w:jc w:val="both"/>
      </w:pPr>
      <w:r w:rsidRPr="008D2741">
        <w:t>The WBS did not consistently extend to the levels at which control accounts are established.</w:t>
      </w:r>
    </w:p>
    <w:p w14:paraId="133E0B4A" w14:textId="77777777" w:rsidR="004C75C3" w:rsidRPr="008D2741" w:rsidRDefault="004C75C3" w:rsidP="004C75C3">
      <w:pPr>
        <w:pStyle w:val="ListParagraph"/>
        <w:numPr>
          <w:ilvl w:val="0"/>
          <w:numId w:val="45"/>
        </w:numPr>
        <w:spacing w:after="160" w:line="259" w:lineRule="auto"/>
        <w:contextualSpacing/>
        <w:jc w:val="both"/>
      </w:pPr>
      <w:r w:rsidRPr="008D2741">
        <w:t xml:space="preserve">The WBS used did not include revisions for authorized changes and modifications. </w:t>
      </w:r>
    </w:p>
    <w:p w14:paraId="4E43C9A8" w14:textId="77777777" w:rsidR="004C75C3" w:rsidRPr="008D2741" w:rsidRDefault="004C75C3" w:rsidP="004C75C3">
      <w:pPr>
        <w:pStyle w:val="ListParagraph"/>
        <w:numPr>
          <w:ilvl w:val="0"/>
          <w:numId w:val="45"/>
        </w:numPr>
        <w:spacing w:after="160" w:line="259" w:lineRule="auto"/>
        <w:contextualSpacing/>
        <w:jc w:val="both"/>
      </w:pPr>
      <w:r w:rsidRPr="008D2741">
        <w:t>The WBS elements did not collectively provide a complete definition of work scope.</w:t>
      </w:r>
    </w:p>
    <w:p w14:paraId="199C1F94" w14:textId="77777777" w:rsidR="004C75C3" w:rsidRPr="008D2741" w:rsidRDefault="004C75C3" w:rsidP="004C75C3">
      <w:pPr>
        <w:pStyle w:val="ListParagraph"/>
        <w:numPr>
          <w:ilvl w:val="0"/>
          <w:numId w:val="45"/>
        </w:numPr>
        <w:spacing w:after="160" w:line="259" w:lineRule="auto"/>
        <w:contextualSpacing/>
        <w:jc w:val="both"/>
      </w:pPr>
      <w:r w:rsidRPr="00E13AF5">
        <w:t>As partial system turnovers were introduced, and more work packages were added, very little of that work scope was re</w:t>
      </w:r>
      <w:r>
        <w:t>-</w:t>
      </w:r>
      <w:r w:rsidRPr="00E13AF5">
        <w:t>planned or budgeted to monitor progress or report schedule and</w:t>
      </w:r>
      <w:r>
        <w:t>/</w:t>
      </w:r>
      <w:r w:rsidRPr="00E13AF5">
        <w:t xml:space="preserve"> or cost overruns.</w:t>
      </w:r>
    </w:p>
    <w:p w14:paraId="157439AC" w14:textId="77777777" w:rsidR="004C75C3" w:rsidRPr="00E13AF5" w:rsidRDefault="004C75C3" w:rsidP="004C75C3">
      <w:pPr>
        <w:jc w:val="both"/>
      </w:pPr>
      <w:r w:rsidRPr="008D2741">
        <w:rPr>
          <w:u w:val="single"/>
        </w:rPr>
        <w:t>Guideline 2:</w:t>
      </w:r>
      <w:r w:rsidRPr="008D2741">
        <w:t xml:space="preserve">  Define the Project Organization (via an Organizational Breakdown Structure</w:t>
      </w:r>
      <w:r>
        <w:t xml:space="preserve"> (OBS)</w:t>
      </w:r>
      <w:r w:rsidRPr="008D2741">
        <w:t xml:space="preserve">):  </w:t>
      </w:r>
      <w:r>
        <w:t>SNC</w:t>
      </w:r>
      <w:r w:rsidRPr="00E13AF5">
        <w:t xml:space="preserve"> failed to meet this criterion in the following ways:</w:t>
      </w:r>
    </w:p>
    <w:p w14:paraId="26D54B36" w14:textId="77777777" w:rsidR="004C75C3" w:rsidRPr="00E13AF5" w:rsidRDefault="004C75C3" w:rsidP="004C75C3">
      <w:pPr>
        <w:pStyle w:val="ListParagraph"/>
        <w:numPr>
          <w:ilvl w:val="0"/>
          <w:numId w:val="46"/>
        </w:numPr>
        <w:spacing w:after="160" w:line="259" w:lineRule="auto"/>
        <w:contextualSpacing/>
        <w:jc w:val="both"/>
      </w:pPr>
      <w:r w:rsidRPr="00E13AF5">
        <w:t xml:space="preserve">For </w:t>
      </w:r>
      <w:proofErr w:type="gramStart"/>
      <w:r w:rsidRPr="00E13AF5">
        <w:t xml:space="preserve">the </w:t>
      </w:r>
      <w:r>
        <w:t>roughly</w:t>
      </w:r>
      <w:proofErr w:type="gramEnd"/>
      <w:r>
        <w:t xml:space="preserve"> 30</w:t>
      </w:r>
      <w:r w:rsidRPr="00E13AF5">
        <w:t xml:space="preserve">% of </w:t>
      </w:r>
      <w:r>
        <w:t xml:space="preserve">the </w:t>
      </w:r>
      <w:r w:rsidRPr="00E13AF5">
        <w:t xml:space="preserve">scope that </w:t>
      </w:r>
      <w:proofErr w:type="spellStart"/>
      <w:r w:rsidRPr="00E13AF5">
        <w:t>EVMS</w:t>
      </w:r>
      <w:proofErr w:type="spellEnd"/>
      <w:r w:rsidRPr="00E13AF5">
        <w:t xml:space="preserve"> was used</w:t>
      </w:r>
      <w:r>
        <w:t>,</w:t>
      </w:r>
      <w:r w:rsidRPr="00E13AF5">
        <w:t xml:space="preserve"> the OBS was identified. Not All authorized work was assigned to organizational elements.</w:t>
      </w:r>
    </w:p>
    <w:p w14:paraId="5FB31448" w14:textId="77777777" w:rsidR="004C75C3" w:rsidRPr="00E13AF5" w:rsidRDefault="004C75C3" w:rsidP="004C75C3">
      <w:pPr>
        <w:pStyle w:val="ListParagraph"/>
        <w:numPr>
          <w:ilvl w:val="0"/>
          <w:numId w:val="46"/>
        </w:numPr>
        <w:spacing w:after="160" w:line="259" w:lineRule="auto"/>
        <w:contextualSpacing/>
        <w:jc w:val="both"/>
      </w:pPr>
      <w:r w:rsidRPr="00E13AF5">
        <w:t>Major subcontractor work efforts as well as major project functions such as Engineering, Procurement</w:t>
      </w:r>
      <w:r>
        <w:t>,</w:t>
      </w:r>
      <w:r w:rsidRPr="00E13AF5">
        <w:t xml:space="preserve"> SNC Labor, </w:t>
      </w:r>
      <w:proofErr w:type="spellStart"/>
      <w:r w:rsidRPr="00E13AF5">
        <w:t>Distributables</w:t>
      </w:r>
      <w:proofErr w:type="spellEnd"/>
      <w:r w:rsidRPr="00E13AF5">
        <w:t xml:space="preserve"> were not integrated into the </w:t>
      </w:r>
      <w:r>
        <w:t>P</w:t>
      </w:r>
      <w:r w:rsidRPr="00E13AF5">
        <w:t xml:space="preserve">roject structure, but </w:t>
      </w:r>
      <w:r>
        <w:t xml:space="preserve">rather </w:t>
      </w:r>
      <w:r w:rsidRPr="00E13AF5">
        <w:t>a few were segregated, and monitored individually.</w:t>
      </w:r>
    </w:p>
    <w:p w14:paraId="741DFACD" w14:textId="77777777" w:rsidR="004C75C3" w:rsidRPr="00E13AF5" w:rsidRDefault="004C75C3" w:rsidP="004C75C3">
      <w:pPr>
        <w:jc w:val="both"/>
      </w:pPr>
      <w:r w:rsidRPr="00E13AF5">
        <w:rPr>
          <w:u w:val="single"/>
        </w:rPr>
        <w:t>Guideline 3:</w:t>
      </w:r>
      <w:r w:rsidRPr="00E13AF5">
        <w:t xml:space="preserve"> Integration of Processes</w:t>
      </w:r>
      <w:r>
        <w:t>:</w:t>
      </w:r>
      <w:r w:rsidRPr="00E13AF5">
        <w:t xml:space="preserve"> </w:t>
      </w:r>
      <w:r>
        <w:t>SNC</w:t>
      </w:r>
      <w:r w:rsidRPr="00E13AF5">
        <w:t xml:space="preserve"> has failed to meet this criterion in the following ways:</w:t>
      </w:r>
    </w:p>
    <w:p w14:paraId="3D2B72D9" w14:textId="77777777" w:rsidR="004C75C3" w:rsidRPr="00E13AF5" w:rsidRDefault="004C75C3" w:rsidP="004C75C3">
      <w:pPr>
        <w:pStyle w:val="ListParagraph"/>
        <w:numPr>
          <w:ilvl w:val="0"/>
          <w:numId w:val="47"/>
        </w:numPr>
        <w:contextualSpacing/>
        <w:jc w:val="both"/>
      </w:pPr>
      <w:r w:rsidRPr="00E13AF5">
        <w:t xml:space="preserve">Integrated master schedule. The master schedule frequently used constraints dates (in the thousands) rather than logical ties and integration </w:t>
      </w:r>
      <w:proofErr w:type="gramStart"/>
      <w:r w:rsidRPr="00E13AF5">
        <w:t>was</w:t>
      </w:r>
      <w:proofErr w:type="gramEnd"/>
      <w:r w:rsidRPr="00E13AF5">
        <w:t xml:space="preserve"> not a functioning reliable option.</w:t>
      </w:r>
    </w:p>
    <w:p w14:paraId="46E1C9B8" w14:textId="77777777" w:rsidR="004C75C3" w:rsidRPr="00E13AF5" w:rsidRDefault="004C75C3" w:rsidP="004C75C3">
      <w:pPr>
        <w:pStyle w:val="ListParagraph"/>
        <w:numPr>
          <w:ilvl w:val="0"/>
          <w:numId w:val="47"/>
        </w:numPr>
        <w:contextualSpacing/>
        <w:jc w:val="both"/>
      </w:pPr>
      <w:r w:rsidRPr="00E13AF5">
        <w:t>Manufacturing/Enterprise Resource Planning (M/ERP) operational schedules</w:t>
      </w:r>
      <w:r>
        <w:t>, and o</w:t>
      </w:r>
      <w:r w:rsidRPr="00E13AF5">
        <w:t xml:space="preserve">ther tools were in use, but none </w:t>
      </w:r>
      <w:r>
        <w:t xml:space="preserve">were </w:t>
      </w:r>
      <w:r w:rsidRPr="00E13AF5">
        <w:t>integrated with the IPS.</w:t>
      </w:r>
    </w:p>
    <w:p w14:paraId="5F047E58" w14:textId="77777777" w:rsidR="004C75C3" w:rsidRPr="00E13AF5" w:rsidRDefault="004C75C3" w:rsidP="004C75C3">
      <w:pPr>
        <w:pStyle w:val="ListParagraph"/>
        <w:numPr>
          <w:ilvl w:val="0"/>
          <w:numId w:val="47"/>
        </w:numPr>
        <w:contextualSpacing/>
        <w:jc w:val="both"/>
      </w:pPr>
      <w:r w:rsidRPr="00E13AF5">
        <w:t xml:space="preserve">Management performance reports by WBS and OBS were available but </w:t>
      </w:r>
      <w:r>
        <w:t>only</w:t>
      </w:r>
      <w:r w:rsidRPr="00E13AF5">
        <w:t xml:space="preserve"> representing </w:t>
      </w:r>
      <w:r>
        <w:t>a</w:t>
      </w:r>
      <w:r w:rsidRPr="00E13AF5">
        <w:t xml:space="preserve"> small portion of the total </w:t>
      </w:r>
      <w:r>
        <w:t>P</w:t>
      </w:r>
      <w:r w:rsidRPr="00E13AF5">
        <w:t>roject.</w:t>
      </w:r>
    </w:p>
    <w:p w14:paraId="4A6FE264" w14:textId="77777777" w:rsidR="004C75C3" w:rsidRPr="00E13AF5" w:rsidRDefault="004C75C3" w:rsidP="004C75C3"/>
    <w:p w14:paraId="414CE9CC" w14:textId="77777777" w:rsidR="004C75C3" w:rsidRPr="00E13AF5" w:rsidRDefault="004C75C3" w:rsidP="004C75C3">
      <w:pPr>
        <w:jc w:val="both"/>
      </w:pPr>
      <w:r w:rsidRPr="00E13AF5">
        <w:rPr>
          <w:u w:val="single"/>
        </w:rPr>
        <w:t>Guideline 4</w:t>
      </w:r>
      <w:r w:rsidRPr="00E13AF5">
        <w:t xml:space="preserve"> – Identify Overhead Managemen</w:t>
      </w:r>
      <w:r>
        <w:t>t:</w:t>
      </w:r>
      <w:r w:rsidRPr="00E13AF5">
        <w:t xml:space="preserve"> </w:t>
      </w:r>
      <w:r>
        <w:t>SNC</w:t>
      </w:r>
      <w:r w:rsidRPr="00E13AF5">
        <w:t xml:space="preserve"> failed to meet this criterion entirely since No Overhead Management was represented in the </w:t>
      </w:r>
      <w:proofErr w:type="spellStart"/>
      <w:r w:rsidRPr="00E13AF5">
        <w:t>EVMS</w:t>
      </w:r>
      <w:proofErr w:type="spellEnd"/>
      <w:r w:rsidRPr="00E13AF5">
        <w:t xml:space="preserve"> </w:t>
      </w:r>
      <w:r>
        <w:t>environment</w:t>
      </w:r>
      <w:r w:rsidRPr="00E13AF5">
        <w:t xml:space="preserve">. The </w:t>
      </w:r>
      <w:r>
        <w:t>P</w:t>
      </w:r>
      <w:r w:rsidRPr="00E13AF5">
        <w:t xml:space="preserve">roject separately </w:t>
      </w:r>
      <w:r>
        <w:t xml:space="preserve">monitored </w:t>
      </w:r>
      <w:r w:rsidRPr="00E13AF5">
        <w:t xml:space="preserve">overhead (indirect costs) as part of their accounting system. </w:t>
      </w:r>
    </w:p>
    <w:p w14:paraId="3EB21E49" w14:textId="77777777" w:rsidR="004C75C3" w:rsidRDefault="004C75C3" w:rsidP="004C75C3">
      <w:pPr>
        <w:jc w:val="both"/>
      </w:pPr>
    </w:p>
    <w:p w14:paraId="5240B4EE" w14:textId="6C19EE74" w:rsidR="004C75C3" w:rsidRPr="00EA51DC" w:rsidRDefault="004C75C3" w:rsidP="004C75C3">
      <w:pPr>
        <w:jc w:val="both"/>
      </w:pPr>
      <w:r w:rsidRPr="00EA51DC">
        <w:rPr>
          <w:u w:val="single"/>
        </w:rPr>
        <w:t>Guideline 7</w:t>
      </w:r>
      <w:r w:rsidRPr="00EA51DC">
        <w:t xml:space="preserve"> – Identify Products and Milestones for Progress Assessment:  This guideline states the following: “Identify objective interim performance measures within control accounts or lower-level tasks/activities that align with how technical performance will be accomplished and enable accurate performance assessment each month.” The integrated master schedule includes key </w:t>
      </w:r>
      <w:proofErr w:type="gramStart"/>
      <w:r w:rsidRPr="00EA51DC">
        <w:t>project</w:t>
      </w:r>
      <w:proofErr w:type="gramEnd"/>
      <w:r w:rsidRPr="00EA51DC">
        <w:t xml:space="preserve"> and contractual requirements.   What VMG observed, however, </w:t>
      </w:r>
      <w:r>
        <w:t xml:space="preserve">was </w:t>
      </w:r>
      <w:r w:rsidRPr="00EA51DC">
        <w:t xml:space="preserve">that 16 of 20 </w:t>
      </w:r>
      <w:r>
        <w:t>U-</w:t>
      </w:r>
      <w:r w:rsidRPr="00EA51DC">
        <w:t xml:space="preserve">3 intermediate major milestones (and 17 out of 20 milestones for </w:t>
      </w:r>
      <w:r>
        <w:t>U-4</w:t>
      </w:r>
      <w:r w:rsidRPr="00EA51DC">
        <w:t xml:space="preserve">) were start milestones which even </w:t>
      </w:r>
      <w:r>
        <w:t xml:space="preserve">under the </w:t>
      </w:r>
      <w:r w:rsidRPr="00EA51DC">
        <w:t xml:space="preserve">best circumstances </w:t>
      </w:r>
      <w:r w:rsidRPr="006E7B7B">
        <w:t>do</w:t>
      </w:r>
      <w:r w:rsidRPr="00EA51DC">
        <w:t xml:space="preserve"> not meet the intent as briefly described above. </w:t>
      </w:r>
      <w:r>
        <w:t xml:space="preserve"> Additionally, SNC</w:t>
      </w:r>
      <w:r w:rsidRPr="00EA51DC">
        <w:t xml:space="preserve"> decided to defer significant work </w:t>
      </w:r>
      <w:r w:rsidR="00097CE1" w:rsidRPr="00EA51DC">
        <w:t>to</w:t>
      </w:r>
      <w:r w:rsidRPr="00EA51DC">
        <w:t xml:space="preserve"> interpret the start of the milestone as representing success. </w:t>
      </w:r>
    </w:p>
    <w:p w14:paraId="1769E335" w14:textId="77777777" w:rsidR="004C75C3" w:rsidRDefault="004C75C3" w:rsidP="004C75C3">
      <w:pPr>
        <w:jc w:val="both"/>
      </w:pPr>
    </w:p>
    <w:p w14:paraId="543E2C70" w14:textId="77777777" w:rsidR="004C75C3" w:rsidRDefault="004C75C3" w:rsidP="004C75C3">
      <w:pPr>
        <w:jc w:val="both"/>
      </w:pPr>
      <w:proofErr w:type="spellStart"/>
      <w:r>
        <w:rPr>
          <w:u w:val="single"/>
        </w:rPr>
        <w:t>EVMS</w:t>
      </w:r>
      <w:proofErr w:type="spellEnd"/>
      <w:r>
        <w:rPr>
          <w:u w:val="single"/>
        </w:rPr>
        <w:t xml:space="preserve"> Earning Rules (Rules of Credit)</w:t>
      </w:r>
      <w:r>
        <w:t xml:space="preserve">:  In addition to the above, there are guidelines which govern how earning rules (when met) help assure accuracy and consistency for how work is planned, </w:t>
      </w:r>
      <w:proofErr w:type="gramStart"/>
      <w:r>
        <w:t>costed</w:t>
      </w:r>
      <w:proofErr w:type="gramEnd"/>
      <w:r>
        <w:t>, and earned.  To this end, examples of non-compliances are provided below.</w:t>
      </w:r>
    </w:p>
    <w:p w14:paraId="703BA9C3" w14:textId="77777777" w:rsidR="004C75C3" w:rsidRDefault="004C75C3" w:rsidP="004C75C3">
      <w:pPr>
        <w:jc w:val="both"/>
      </w:pPr>
    </w:p>
    <w:p w14:paraId="3BEC9F51" w14:textId="1E657A81" w:rsidR="004C75C3" w:rsidRPr="00FE5617" w:rsidRDefault="004C75C3" w:rsidP="004C75C3">
      <w:pPr>
        <w:pStyle w:val="ListParagraph"/>
        <w:numPr>
          <w:ilvl w:val="0"/>
          <w:numId w:val="48"/>
        </w:numPr>
        <w:contextualSpacing/>
        <w:jc w:val="both"/>
      </w:pPr>
      <w:r w:rsidRPr="00FE5617">
        <w:t xml:space="preserve">Procurement:  At the April 2019 </w:t>
      </w:r>
      <w:r>
        <w:t>Re-b</w:t>
      </w:r>
      <w:r w:rsidRPr="00FE5617">
        <w:t xml:space="preserve">aseline, </w:t>
      </w:r>
      <w:r>
        <w:t xml:space="preserve">SNC reported Procurement to be </w:t>
      </w:r>
      <w:r w:rsidRPr="00FE5617">
        <w:t>94.0 % complete with the remaining 6% of the budget to be earned as “spent</w:t>
      </w:r>
      <w:r>
        <w:t xml:space="preserve">”. </w:t>
      </w:r>
      <w:r w:rsidRPr="00FE5617">
        <w:t xml:space="preserve"> This type of rule of credit only applies </w:t>
      </w:r>
      <w:r w:rsidRPr="00FE5617">
        <w:lastRenderedPageBreak/>
        <w:t>to fix</w:t>
      </w:r>
      <w:r>
        <w:t>ed</w:t>
      </w:r>
      <w:r w:rsidRPr="00FE5617">
        <w:t xml:space="preserve"> price contracts and in this case, it is a major </w:t>
      </w:r>
      <w:r>
        <w:t>non-compliance</w:t>
      </w:r>
      <w:r w:rsidRPr="00FE5617">
        <w:t xml:space="preserve">. No plan, </w:t>
      </w:r>
      <w:r>
        <w:t xml:space="preserve">and </w:t>
      </w:r>
      <w:r w:rsidR="00097CE1" w:rsidRPr="00FE5617">
        <w:t>no</w:t>
      </w:r>
      <w:r w:rsidRPr="00FE5617">
        <w:t xml:space="preserve"> earned, just spent</w:t>
      </w:r>
      <w:r>
        <w:t>,</w:t>
      </w:r>
      <w:r w:rsidRPr="00FE5617">
        <w:t xml:space="preserve"> does little to provide for any trend in both schedul</w:t>
      </w:r>
      <w:r>
        <w:t>e</w:t>
      </w:r>
      <w:r w:rsidRPr="00FE5617">
        <w:t xml:space="preserve"> and budget forecasts. As</w:t>
      </w:r>
      <w:r>
        <w:t xml:space="preserve"> </w:t>
      </w:r>
      <w:r w:rsidRPr="00FE5617">
        <w:t xml:space="preserve">discussed, </w:t>
      </w:r>
      <w:r>
        <w:t>and shown previously in Table 3.2</w:t>
      </w:r>
      <w:r w:rsidR="00097CE1">
        <w:t>-</w:t>
      </w:r>
      <w:r>
        <w:t xml:space="preserve">2, </w:t>
      </w:r>
      <w:r w:rsidRPr="00FE5617">
        <w:t xml:space="preserve">Procurement grew by 58% </w:t>
      </w:r>
      <w:r>
        <w:t xml:space="preserve">between the </w:t>
      </w:r>
      <w:r w:rsidRPr="00FE5617">
        <w:t>April 2019 Baseline</w:t>
      </w:r>
      <w:r>
        <w:t xml:space="preserve"> and January 2023, yet the percent complete was prematurely (at the time of the April 2019 Baseline) reported as being 94.0 % complete.</w:t>
      </w:r>
      <w:r w:rsidRPr="00FE5617">
        <w:t xml:space="preserve"> </w:t>
      </w:r>
    </w:p>
    <w:p w14:paraId="7FA8BB77" w14:textId="77777777" w:rsidR="004C75C3" w:rsidRDefault="004C75C3" w:rsidP="004C75C3">
      <w:pPr>
        <w:pStyle w:val="ListParagraph"/>
        <w:jc w:val="both"/>
      </w:pPr>
    </w:p>
    <w:p w14:paraId="072CCAA8" w14:textId="77777777" w:rsidR="004C75C3" w:rsidRPr="008D2741" w:rsidRDefault="004C75C3" w:rsidP="004C75C3">
      <w:pPr>
        <w:pStyle w:val="ListParagraph"/>
        <w:numPr>
          <w:ilvl w:val="0"/>
          <w:numId w:val="48"/>
        </w:numPr>
        <w:contextualSpacing/>
        <w:jc w:val="both"/>
      </w:pPr>
      <w:r>
        <w:t xml:space="preserve">Construction:  There are numerous examples of where thousands of hours were earned, yet nothing was reported as spent.  There are also numerous examples of where the spent was significantly more than earned which suggests that the scope worked on was not planned.  An example of this would be re-work. </w:t>
      </w:r>
    </w:p>
    <w:p w14:paraId="57BC9BDF" w14:textId="77777777" w:rsidR="009C0F08" w:rsidRDefault="009C0F08" w:rsidP="00573360">
      <w:pPr>
        <w:rPr>
          <w:b/>
          <w:szCs w:val="24"/>
          <w:highlight w:val="yellow"/>
        </w:rPr>
      </w:pPr>
    </w:p>
    <w:p w14:paraId="7F4AF3F4" w14:textId="77777777" w:rsidR="0004383B" w:rsidRDefault="0004383B" w:rsidP="00573360">
      <w:pPr>
        <w:rPr>
          <w:b/>
          <w:szCs w:val="24"/>
          <w:highlight w:val="yellow"/>
        </w:rPr>
      </w:pPr>
    </w:p>
    <w:p w14:paraId="1A4FEDAB" w14:textId="77777777" w:rsidR="00636DFF" w:rsidRPr="00223F1D" w:rsidRDefault="00636DFF" w:rsidP="0004383B">
      <w:pPr>
        <w:jc w:val="center"/>
        <w:rPr>
          <w:b/>
          <w:bCs/>
          <w:sz w:val="28"/>
          <w:szCs w:val="28"/>
        </w:rPr>
      </w:pPr>
      <w:r w:rsidRPr="00223F1D">
        <w:rPr>
          <w:b/>
          <w:bCs/>
          <w:sz w:val="28"/>
          <w:szCs w:val="28"/>
        </w:rPr>
        <w:t>4.  COST AND SCHEDULE IMPACTS OF</w:t>
      </w:r>
    </w:p>
    <w:p w14:paraId="075D66E8" w14:textId="77777777" w:rsidR="00636DFF" w:rsidRPr="00223F1D" w:rsidRDefault="00636DFF" w:rsidP="00636DFF">
      <w:pPr>
        <w:jc w:val="center"/>
        <w:rPr>
          <w:b/>
          <w:bCs/>
          <w:sz w:val="28"/>
          <w:szCs w:val="28"/>
        </w:rPr>
      </w:pPr>
      <w:r w:rsidRPr="00223F1D">
        <w:rPr>
          <w:b/>
          <w:bCs/>
          <w:sz w:val="28"/>
          <w:szCs w:val="28"/>
        </w:rPr>
        <w:t>IMPRUDENT MANAGEMENT PRACTICES</w:t>
      </w:r>
    </w:p>
    <w:p w14:paraId="25418516" w14:textId="77777777" w:rsidR="00636DFF" w:rsidRDefault="00636DFF" w:rsidP="00636DFF">
      <w:pPr>
        <w:jc w:val="center"/>
        <w:rPr>
          <w:b/>
          <w:bCs/>
        </w:rPr>
      </w:pPr>
    </w:p>
    <w:p w14:paraId="5D9B5650" w14:textId="02FD0173" w:rsidR="00636DFF" w:rsidRPr="0020391F" w:rsidRDefault="00636DFF" w:rsidP="00636DFF">
      <w:pPr>
        <w:jc w:val="both"/>
      </w:pPr>
      <w:proofErr w:type="gramStart"/>
      <w:r>
        <w:t>In spite of</w:t>
      </w:r>
      <w:proofErr w:type="gramEnd"/>
      <w:r>
        <w:t xml:space="preserve"> what VMG has identified as imprudent actions on the part of SNC, VMG respects GPC’s holding to the $ 7.3 billion GPC Capital Construction limit (adjusted primarily due to COVID to $ 7.562 billion).  Also, given that the </w:t>
      </w:r>
      <w:r w:rsidR="004C2FFF">
        <w:t xml:space="preserve">Commission Approved </w:t>
      </w:r>
      <w:r>
        <w:t xml:space="preserve">CODs were established at VCM 17 </w:t>
      </w:r>
      <w:r w:rsidR="00B618AD">
        <w:t xml:space="preserve">as </w:t>
      </w:r>
      <w:r>
        <w:t>November 2021/ November 2022, for purposes of computing financing costs</w:t>
      </w:r>
      <w:r w:rsidR="00B618AD">
        <w:t>,</w:t>
      </w:r>
      <w:r>
        <w:t xml:space="preserve"> VMG has suggested developing a funding profile based on the $ 7.562 billion with an assumed slip of these CODs by </w:t>
      </w:r>
      <w:r w:rsidR="007B2729">
        <w:t>4</w:t>
      </w:r>
      <w:r>
        <w:t xml:space="preserve"> months (to account for COVID delays) to May 20222/ May 2023.</w:t>
      </w:r>
    </w:p>
    <w:p w14:paraId="2B4B132E" w14:textId="77777777" w:rsidR="00636DFF" w:rsidRDefault="00636DFF" w:rsidP="00636DFF">
      <w:pPr>
        <w:jc w:val="both"/>
      </w:pPr>
    </w:p>
    <w:p w14:paraId="7A2B9690" w14:textId="3B0A33DE" w:rsidR="00636DFF" w:rsidRDefault="0015160F" w:rsidP="00636DFF">
      <w:pPr>
        <w:jc w:val="both"/>
      </w:pPr>
      <w:r>
        <w:t xml:space="preserve">The following is </w:t>
      </w:r>
      <w:r w:rsidR="00636DFF">
        <w:t xml:space="preserve">offered to help provide a clearer picture of how the </w:t>
      </w:r>
      <w:r w:rsidR="00B618AD">
        <w:t>M</w:t>
      </w:r>
      <w:r w:rsidR="00636DFF">
        <w:t xml:space="preserve">anagement of the </w:t>
      </w:r>
      <w:r w:rsidR="00B618AD">
        <w:t>P</w:t>
      </w:r>
      <w:r w:rsidR="00636DFF">
        <w:t xml:space="preserve">roject resulted in the TPC of $ 17.1 billion being exceeded by roughly $ 4 billion, and the CODs having slipped by 20 months for U-3 (from November 2021 to August 2023) and now forecast for U-4 by 16 months (from November 2022 to the current RAS date of March 2024).  </w:t>
      </w:r>
    </w:p>
    <w:p w14:paraId="753BFDC2" w14:textId="77777777" w:rsidR="00636DFF" w:rsidRDefault="00636DFF" w:rsidP="00636DFF">
      <w:pPr>
        <w:jc w:val="both"/>
      </w:pPr>
    </w:p>
    <w:p w14:paraId="1982E79A" w14:textId="50AF82B6" w:rsidR="00636DFF" w:rsidRDefault="00636DFF" w:rsidP="00636DFF">
      <w:pPr>
        <w:jc w:val="both"/>
      </w:pPr>
      <w:r>
        <w:rPr>
          <w:b/>
          <w:bCs/>
        </w:rPr>
        <w:t xml:space="preserve">Schedule Delays and Associated Schedule Delay Costs:  </w:t>
      </w:r>
      <w:r w:rsidR="00A34361">
        <w:rPr>
          <w:b/>
          <w:bCs/>
        </w:rPr>
        <w:t>As indicated by their identification of schedule contingency, t</w:t>
      </w:r>
      <w:r>
        <w:t xml:space="preserve">he Company has </w:t>
      </w:r>
      <w:r w:rsidR="00A34361">
        <w:t>historically estimated</w:t>
      </w:r>
      <w:r>
        <w:t xml:space="preserve"> the Hotel Load (</w:t>
      </w:r>
      <w:proofErr w:type="spellStart"/>
      <w:r>
        <w:t>Distributables</w:t>
      </w:r>
      <w:proofErr w:type="spellEnd"/>
      <w:r>
        <w:t xml:space="preserve">, SNC Controlled Labor, etc.) cost of the delayed completion of both U-3 and U-4 to be roughly $ 100 million/ month, and </w:t>
      </w:r>
      <w:r w:rsidR="00A34361">
        <w:t xml:space="preserve">as part of their </w:t>
      </w:r>
      <w:proofErr w:type="spellStart"/>
      <w:r w:rsidR="00A34361">
        <w:t>VPMB</w:t>
      </w:r>
      <w:proofErr w:type="spellEnd"/>
      <w:r w:rsidR="00A34361">
        <w:t xml:space="preserve"> presentations has estimated </w:t>
      </w:r>
      <w:r>
        <w:t xml:space="preserve">a singular unit delayed COD </w:t>
      </w:r>
      <w:r w:rsidR="00A34361">
        <w:t xml:space="preserve">at </w:t>
      </w:r>
      <w:r>
        <w:t xml:space="preserve"> cost of roughly $ 30</w:t>
      </w:r>
      <w:r w:rsidR="00A34361">
        <w:t xml:space="preserve"> to $ 40</w:t>
      </w:r>
      <w:r>
        <w:t xml:space="preserve"> million / month.  For example, if the CODs for both units were to be delayed by one year from November 2021/ 2022 to November 2022/ 2023, the schedule delay related costs would amount to $ 1.2 billion (i.e., $ 100 million x 12 months = $ 1.2 billion)</w:t>
      </w:r>
      <w:r>
        <w:rPr>
          <w:rStyle w:val="FootnoteReference"/>
        </w:rPr>
        <w:footnoteReference w:id="27"/>
      </w:r>
      <w:r>
        <w:t xml:space="preserve">.  Also, this does not include the increased financing costs associated with schedule delays; therefore, wanting to keep the schedule as short as possible was certainly a desirable goal.  Finally, the $ 17.1 billion TPC was composed of the SWP Budgeted Costs, and schedule contingency (which if used would account for November 2021/ November 2022 CODs), but per Table ES-1 had no production contingency. </w:t>
      </w:r>
    </w:p>
    <w:p w14:paraId="4DFBB69E" w14:textId="77777777" w:rsidR="00636DFF" w:rsidRDefault="00636DFF" w:rsidP="00636DFF">
      <w:pPr>
        <w:jc w:val="both"/>
      </w:pPr>
    </w:p>
    <w:p w14:paraId="3B198405" w14:textId="56964FA7" w:rsidR="00A005D1" w:rsidRDefault="00636DFF" w:rsidP="009C0F08">
      <w:pPr>
        <w:jc w:val="both"/>
        <w:rPr>
          <w:b/>
          <w:bCs/>
        </w:rPr>
      </w:pPr>
      <w:r>
        <w:lastRenderedPageBreak/>
        <w:t>U</w:t>
      </w:r>
      <w:r w:rsidRPr="00B7650D">
        <w:rPr>
          <w:b/>
          <w:bCs/>
        </w:rPr>
        <w:t xml:space="preserve">sing </w:t>
      </w:r>
      <w:r>
        <w:rPr>
          <w:b/>
          <w:bCs/>
        </w:rPr>
        <w:t>the C</w:t>
      </w:r>
      <w:r w:rsidRPr="00B7650D">
        <w:rPr>
          <w:b/>
          <w:bCs/>
        </w:rPr>
        <w:t>ompany</w:t>
      </w:r>
      <w:r>
        <w:rPr>
          <w:b/>
          <w:bCs/>
        </w:rPr>
        <w:t>’s</w:t>
      </w:r>
      <w:r w:rsidRPr="00B7650D">
        <w:rPr>
          <w:b/>
          <w:bCs/>
        </w:rPr>
        <w:t xml:space="preserve"> </w:t>
      </w:r>
      <w:r>
        <w:rPr>
          <w:b/>
          <w:bCs/>
        </w:rPr>
        <w:t>hotel load delay costs of $ 100 million/ month for both units, and a roughly $ 30 million/ month cost delay for just one unit, VMG calculates the schedule delay costs as roughly $ 1.720 B (see Table 4.1-1 below).</w:t>
      </w:r>
    </w:p>
    <w:p w14:paraId="3B00E94E" w14:textId="77777777" w:rsidR="0004383B" w:rsidRPr="009C0F08" w:rsidRDefault="0004383B" w:rsidP="009C0F08">
      <w:pPr>
        <w:jc w:val="both"/>
        <w:rPr>
          <w:b/>
          <w:bCs/>
        </w:rPr>
      </w:pPr>
    </w:p>
    <w:tbl>
      <w:tblPr>
        <w:tblW w:w="9780" w:type="dxa"/>
        <w:jc w:val="center"/>
        <w:tblCellMar>
          <w:top w:w="15" w:type="dxa"/>
        </w:tblCellMar>
        <w:tblLook w:val="04A0" w:firstRow="1" w:lastRow="0" w:firstColumn="1" w:lastColumn="0" w:noHBand="0" w:noVBand="1"/>
      </w:tblPr>
      <w:tblGrid>
        <w:gridCol w:w="943"/>
        <w:gridCol w:w="2102"/>
        <w:gridCol w:w="1794"/>
        <w:gridCol w:w="1844"/>
        <w:gridCol w:w="2875"/>
        <w:gridCol w:w="222"/>
      </w:tblGrid>
      <w:tr w:rsidR="00034FF3" w:rsidRPr="00034FF3" w14:paraId="10693520" w14:textId="77777777" w:rsidTr="00034FF3">
        <w:trPr>
          <w:gridAfter w:val="1"/>
          <w:wAfter w:w="91" w:type="dxa"/>
          <w:trHeight w:val="496"/>
          <w:jc w:val="center"/>
        </w:trPr>
        <w:tc>
          <w:tcPr>
            <w:tcW w:w="9689" w:type="dxa"/>
            <w:gridSpan w:val="5"/>
            <w:tcBorders>
              <w:top w:val="single" w:sz="8" w:space="0" w:color="auto"/>
              <w:left w:val="single" w:sz="8" w:space="0" w:color="auto"/>
              <w:bottom w:val="single" w:sz="8" w:space="0" w:color="auto"/>
              <w:right w:val="single" w:sz="8" w:space="0" w:color="000000"/>
            </w:tcBorders>
            <w:shd w:val="clear" w:color="000000" w:fill="DDEBF7"/>
            <w:vAlign w:val="center"/>
            <w:hideMark/>
          </w:tcPr>
          <w:p w14:paraId="3D3409D0" w14:textId="34DE7443" w:rsidR="00034FF3" w:rsidRPr="00034FF3" w:rsidRDefault="00034FF3" w:rsidP="00034FF3">
            <w:pPr>
              <w:jc w:val="center"/>
              <w:rPr>
                <w:b/>
                <w:bCs/>
                <w:color w:val="000000"/>
                <w:szCs w:val="24"/>
              </w:rPr>
            </w:pPr>
            <w:r w:rsidRPr="00034FF3">
              <w:rPr>
                <w:b/>
                <w:bCs/>
                <w:color w:val="000000"/>
                <w:szCs w:val="24"/>
              </w:rPr>
              <w:t>Table 4.1-1 Schedule Delay Costs (as currently forecast by VMG)</w:t>
            </w:r>
          </w:p>
        </w:tc>
      </w:tr>
      <w:tr w:rsidR="00034FF3" w:rsidRPr="00034FF3" w14:paraId="030CD071" w14:textId="77777777" w:rsidTr="00034FF3">
        <w:trPr>
          <w:gridAfter w:val="1"/>
          <w:wAfter w:w="91" w:type="dxa"/>
          <w:trHeight w:val="312"/>
          <w:jc w:val="center"/>
        </w:trPr>
        <w:tc>
          <w:tcPr>
            <w:tcW w:w="95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F27C7D2" w14:textId="77777777" w:rsidR="00034FF3" w:rsidRPr="00034FF3" w:rsidRDefault="00034FF3" w:rsidP="00034FF3">
            <w:pPr>
              <w:jc w:val="center"/>
              <w:rPr>
                <w:b/>
                <w:bCs/>
                <w:color w:val="000000"/>
                <w:szCs w:val="24"/>
              </w:rPr>
            </w:pPr>
            <w:r w:rsidRPr="00034FF3">
              <w:rPr>
                <w:b/>
                <w:bCs/>
                <w:color w:val="000000"/>
                <w:szCs w:val="24"/>
              </w:rPr>
              <w:t>Unit</w:t>
            </w:r>
          </w:p>
        </w:tc>
        <w:tc>
          <w:tcPr>
            <w:tcW w:w="2124"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42989CC" w14:textId="77777777" w:rsidR="00034FF3" w:rsidRPr="00034FF3" w:rsidRDefault="00034FF3" w:rsidP="00034FF3">
            <w:pPr>
              <w:jc w:val="center"/>
              <w:rPr>
                <w:b/>
                <w:bCs/>
                <w:color w:val="000000"/>
                <w:szCs w:val="24"/>
              </w:rPr>
            </w:pPr>
            <w:r w:rsidRPr="00034FF3">
              <w:rPr>
                <w:b/>
                <w:bCs/>
                <w:color w:val="000000"/>
                <w:szCs w:val="24"/>
              </w:rPr>
              <w:t>Regulatory Approved COD</w:t>
            </w:r>
          </w:p>
        </w:tc>
        <w:tc>
          <w:tcPr>
            <w:tcW w:w="1821" w:type="dxa"/>
            <w:vMerge w:val="restart"/>
            <w:tcBorders>
              <w:top w:val="nil"/>
              <w:left w:val="single" w:sz="8" w:space="0" w:color="auto"/>
              <w:bottom w:val="nil"/>
              <w:right w:val="single" w:sz="8" w:space="0" w:color="auto"/>
            </w:tcBorders>
            <w:shd w:val="clear" w:color="000000" w:fill="FFF2CC"/>
            <w:vAlign w:val="center"/>
            <w:hideMark/>
          </w:tcPr>
          <w:p w14:paraId="68982E06" w14:textId="77777777" w:rsidR="00034FF3" w:rsidRPr="00034FF3" w:rsidRDefault="00034FF3" w:rsidP="00034FF3">
            <w:pPr>
              <w:jc w:val="center"/>
              <w:rPr>
                <w:b/>
                <w:bCs/>
                <w:color w:val="000000"/>
                <w:szCs w:val="24"/>
              </w:rPr>
            </w:pPr>
            <w:r w:rsidRPr="00034FF3">
              <w:rPr>
                <w:b/>
                <w:bCs/>
                <w:color w:val="000000"/>
                <w:szCs w:val="24"/>
              </w:rPr>
              <w:t xml:space="preserve">Actual COD, i.e. (A) </w:t>
            </w:r>
          </w:p>
        </w:tc>
        <w:tc>
          <w:tcPr>
            <w:tcW w:w="1865"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312A90FE" w14:textId="77777777" w:rsidR="00034FF3" w:rsidRPr="00034FF3" w:rsidRDefault="00034FF3" w:rsidP="00034FF3">
            <w:pPr>
              <w:jc w:val="center"/>
              <w:rPr>
                <w:b/>
                <w:bCs/>
                <w:color w:val="000000"/>
                <w:szCs w:val="24"/>
              </w:rPr>
            </w:pPr>
            <w:r w:rsidRPr="00034FF3">
              <w:rPr>
                <w:b/>
                <w:bCs/>
                <w:color w:val="000000"/>
                <w:szCs w:val="24"/>
              </w:rPr>
              <w:t>Schedule Slip</w:t>
            </w:r>
          </w:p>
        </w:tc>
        <w:tc>
          <w:tcPr>
            <w:tcW w:w="2927"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90940EE" w14:textId="77777777" w:rsidR="00034FF3" w:rsidRPr="00034FF3" w:rsidRDefault="00034FF3" w:rsidP="00034FF3">
            <w:pPr>
              <w:jc w:val="center"/>
              <w:rPr>
                <w:b/>
                <w:bCs/>
                <w:color w:val="000000"/>
                <w:szCs w:val="24"/>
              </w:rPr>
            </w:pPr>
            <w:r w:rsidRPr="00034FF3">
              <w:rPr>
                <w:b/>
                <w:bCs/>
                <w:color w:val="000000"/>
                <w:szCs w:val="24"/>
              </w:rPr>
              <w:t>Schedule Delay Cost Impact</w:t>
            </w:r>
          </w:p>
        </w:tc>
      </w:tr>
      <w:tr w:rsidR="00034FF3" w:rsidRPr="00034FF3" w14:paraId="78DDBE8B" w14:textId="77777777" w:rsidTr="00034FF3">
        <w:trPr>
          <w:trHeight w:val="336"/>
          <w:jc w:val="center"/>
        </w:trPr>
        <w:tc>
          <w:tcPr>
            <w:tcW w:w="952" w:type="dxa"/>
            <w:vMerge/>
            <w:tcBorders>
              <w:top w:val="nil"/>
              <w:left w:val="single" w:sz="8" w:space="0" w:color="auto"/>
              <w:bottom w:val="single" w:sz="8" w:space="0" w:color="000000"/>
              <w:right w:val="single" w:sz="8" w:space="0" w:color="auto"/>
            </w:tcBorders>
            <w:vAlign w:val="center"/>
            <w:hideMark/>
          </w:tcPr>
          <w:p w14:paraId="1DA53AB2" w14:textId="77777777" w:rsidR="00034FF3" w:rsidRPr="00034FF3" w:rsidRDefault="00034FF3" w:rsidP="00034FF3">
            <w:pPr>
              <w:rPr>
                <w:b/>
                <w:bCs/>
                <w:color w:val="000000"/>
                <w:szCs w:val="24"/>
              </w:rPr>
            </w:pPr>
          </w:p>
        </w:tc>
        <w:tc>
          <w:tcPr>
            <w:tcW w:w="2124" w:type="dxa"/>
            <w:vMerge/>
            <w:tcBorders>
              <w:top w:val="nil"/>
              <w:left w:val="single" w:sz="8" w:space="0" w:color="auto"/>
              <w:bottom w:val="single" w:sz="8" w:space="0" w:color="000000"/>
              <w:right w:val="single" w:sz="8" w:space="0" w:color="auto"/>
            </w:tcBorders>
            <w:vAlign w:val="center"/>
            <w:hideMark/>
          </w:tcPr>
          <w:p w14:paraId="66C9889E" w14:textId="77777777" w:rsidR="00034FF3" w:rsidRPr="00034FF3" w:rsidRDefault="00034FF3" w:rsidP="00034FF3">
            <w:pPr>
              <w:rPr>
                <w:b/>
                <w:bCs/>
                <w:color w:val="000000"/>
                <w:szCs w:val="24"/>
              </w:rPr>
            </w:pPr>
          </w:p>
        </w:tc>
        <w:tc>
          <w:tcPr>
            <w:tcW w:w="1821" w:type="dxa"/>
            <w:vMerge/>
            <w:tcBorders>
              <w:top w:val="nil"/>
              <w:left w:val="single" w:sz="8" w:space="0" w:color="auto"/>
              <w:bottom w:val="nil"/>
              <w:right w:val="single" w:sz="8" w:space="0" w:color="auto"/>
            </w:tcBorders>
            <w:vAlign w:val="center"/>
            <w:hideMark/>
          </w:tcPr>
          <w:p w14:paraId="5C8B10F4" w14:textId="77777777" w:rsidR="00034FF3" w:rsidRPr="00034FF3" w:rsidRDefault="00034FF3" w:rsidP="00034FF3">
            <w:pPr>
              <w:rPr>
                <w:b/>
                <w:bCs/>
                <w:color w:val="000000"/>
                <w:szCs w:val="24"/>
              </w:rPr>
            </w:pPr>
          </w:p>
        </w:tc>
        <w:tc>
          <w:tcPr>
            <w:tcW w:w="1865" w:type="dxa"/>
            <w:vMerge/>
            <w:tcBorders>
              <w:top w:val="nil"/>
              <w:left w:val="single" w:sz="8" w:space="0" w:color="auto"/>
              <w:bottom w:val="single" w:sz="8" w:space="0" w:color="000000"/>
              <w:right w:val="single" w:sz="8" w:space="0" w:color="auto"/>
            </w:tcBorders>
            <w:vAlign w:val="center"/>
            <w:hideMark/>
          </w:tcPr>
          <w:p w14:paraId="5E164EA2" w14:textId="77777777" w:rsidR="00034FF3" w:rsidRPr="00034FF3" w:rsidRDefault="00034FF3" w:rsidP="00034FF3">
            <w:pPr>
              <w:rPr>
                <w:b/>
                <w:bCs/>
                <w:color w:val="000000"/>
                <w:szCs w:val="24"/>
              </w:rPr>
            </w:pPr>
          </w:p>
        </w:tc>
        <w:tc>
          <w:tcPr>
            <w:tcW w:w="2927" w:type="dxa"/>
            <w:vMerge/>
            <w:tcBorders>
              <w:top w:val="nil"/>
              <w:left w:val="single" w:sz="8" w:space="0" w:color="auto"/>
              <w:bottom w:val="single" w:sz="8" w:space="0" w:color="000000"/>
              <w:right w:val="single" w:sz="8" w:space="0" w:color="auto"/>
            </w:tcBorders>
            <w:vAlign w:val="center"/>
            <w:hideMark/>
          </w:tcPr>
          <w:p w14:paraId="18D38F92" w14:textId="77777777" w:rsidR="00034FF3" w:rsidRPr="00034FF3" w:rsidRDefault="00034FF3" w:rsidP="00034FF3">
            <w:pPr>
              <w:rPr>
                <w:b/>
                <w:bCs/>
                <w:color w:val="000000"/>
                <w:szCs w:val="24"/>
              </w:rPr>
            </w:pPr>
          </w:p>
        </w:tc>
        <w:tc>
          <w:tcPr>
            <w:tcW w:w="91" w:type="dxa"/>
            <w:tcBorders>
              <w:top w:val="nil"/>
              <w:left w:val="nil"/>
              <w:bottom w:val="nil"/>
              <w:right w:val="nil"/>
            </w:tcBorders>
            <w:shd w:val="clear" w:color="auto" w:fill="auto"/>
            <w:noWrap/>
            <w:vAlign w:val="bottom"/>
            <w:hideMark/>
          </w:tcPr>
          <w:p w14:paraId="07378B0A" w14:textId="77777777" w:rsidR="00034FF3" w:rsidRPr="00034FF3" w:rsidRDefault="00034FF3" w:rsidP="00034FF3">
            <w:pPr>
              <w:jc w:val="center"/>
              <w:rPr>
                <w:b/>
                <w:bCs/>
                <w:color w:val="000000"/>
                <w:szCs w:val="24"/>
              </w:rPr>
            </w:pPr>
          </w:p>
        </w:tc>
      </w:tr>
      <w:tr w:rsidR="00034FF3" w:rsidRPr="00034FF3" w14:paraId="6AE1664E" w14:textId="77777777" w:rsidTr="00034FF3">
        <w:trPr>
          <w:trHeight w:val="648"/>
          <w:jc w:val="center"/>
        </w:trPr>
        <w:tc>
          <w:tcPr>
            <w:tcW w:w="952" w:type="dxa"/>
            <w:vMerge/>
            <w:tcBorders>
              <w:top w:val="nil"/>
              <w:left w:val="single" w:sz="8" w:space="0" w:color="auto"/>
              <w:bottom w:val="single" w:sz="8" w:space="0" w:color="000000"/>
              <w:right w:val="single" w:sz="8" w:space="0" w:color="auto"/>
            </w:tcBorders>
            <w:vAlign w:val="center"/>
            <w:hideMark/>
          </w:tcPr>
          <w:p w14:paraId="6DE3D860" w14:textId="77777777" w:rsidR="00034FF3" w:rsidRPr="00034FF3" w:rsidRDefault="00034FF3" w:rsidP="00034FF3">
            <w:pPr>
              <w:rPr>
                <w:b/>
                <w:bCs/>
                <w:color w:val="000000"/>
                <w:szCs w:val="24"/>
              </w:rPr>
            </w:pPr>
          </w:p>
        </w:tc>
        <w:tc>
          <w:tcPr>
            <w:tcW w:w="2124" w:type="dxa"/>
            <w:vMerge/>
            <w:tcBorders>
              <w:top w:val="nil"/>
              <w:left w:val="single" w:sz="8" w:space="0" w:color="auto"/>
              <w:bottom w:val="single" w:sz="8" w:space="0" w:color="000000"/>
              <w:right w:val="single" w:sz="8" w:space="0" w:color="auto"/>
            </w:tcBorders>
            <w:vAlign w:val="center"/>
            <w:hideMark/>
          </w:tcPr>
          <w:p w14:paraId="58F0BAB5" w14:textId="77777777" w:rsidR="00034FF3" w:rsidRPr="00034FF3" w:rsidRDefault="00034FF3" w:rsidP="00034FF3">
            <w:pPr>
              <w:rPr>
                <w:b/>
                <w:bCs/>
                <w:color w:val="000000"/>
                <w:szCs w:val="24"/>
              </w:rPr>
            </w:pPr>
          </w:p>
        </w:tc>
        <w:tc>
          <w:tcPr>
            <w:tcW w:w="1821" w:type="dxa"/>
            <w:tcBorders>
              <w:top w:val="nil"/>
              <w:left w:val="nil"/>
              <w:bottom w:val="single" w:sz="8" w:space="0" w:color="auto"/>
              <w:right w:val="single" w:sz="8" w:space="0" w:color="auto"/>
            </w:tcBorders>
            <w:shd w:val="clear" w:color="000000" w:fill="FFF2CC"/>
            <w:vAlign w:val="center"/>
            <w:hideMark/>
          </w:tcPr>
          <w:p w14:paraId="263797E2" w14:textId="77777777" w:rsidR="00034FF3" w:rsidRPr="00034FF3" w:rsidRDefault="00034FF3" w:rsidP="00034FF3">
            <w:pPr>
              <w:jc w:val="center"/>
              <w:rPr>
                <w:b/>
                <w:bCs/>
                <w:color w:val="000000"/>
                <w:szCs w:val="24"/>
              </w:rPr>
            </w:pPr>
            <w:r w:rsidRPr="00034FF3">
              <w:rPr>
                <w:b/>
                <w:bCs/>
                <w:color w:val="000000"/>
                <w:szCs w:val="24"/>
              </w:rPr>
              <w:t>&amp; RAS COD, i.e. (F)</w:t>
            </w:r>
          </w:p>
        </w:tc>
        <w:tc>
          <w:tcPr>
            <w:tcW w:w="1865" w:type="dxa"/>
            <w:vMerge/>
            <w:tcBorders>
              <w:top w:val="nil"/>
              <w:left w:val="single" w:sz="8" w:space="0" w:color="auto"/>
              <w:bottom w:val="single" w:sz="8" w:space="0" w:color="000000"/>
              <w:right w:val="single" w:sz="8" w:space="0" w:color="auto"/>
            </w:tcBorders>
            <w:vAlign w:val="center"/>
            <w:hideMark/>
          </w:tcPr>
          <w:p w14:paraId="3DCA82AE" w14:textId="77777777" w:rsidR="00034FF3" w:rsidRPr="00034FF3" w:rsidRDefault="00034FF3" w:rsidP="00034FF3">
            <w:pPr>
              <w:rPr>
                <w:b/>
                <w:bCs/>
                <w:color w:val="000000"/>
                <w:szCs w:val="24"/>
              </w:rPr>
            </w:pPr>
          </w:p>
        </w:tc>
        <w:tc>
          <w:tcPr>
            <w:tcW w:w="2927" w:type="dxa"/>
            <w:vMerge/>
            <w:tcBorders>
              <w:top w:val="nil"/>
              <w:left w:val="single" w:sz="8" w:space="0" w:color="auto"/>
              <w:bottom w:val="single" w:sz="8" w:space="0" w:color="000000"/>
              <w:right w:val="single" w:sz="8" w:space="0" w:color="auto"/>
            </w:tcBorders>
            <w:vAlign w:val="center"/>
            <w:hideMark/>
          </w:tcPr>
          <w:p w14:paraId="1D04354A" w14:textId="77777777" w:rsidR="00034FF3" w:rsidRPr="00034FF3" w:rsidRDefault="00034FF3" w:rsidP="00034FF3">
            <w:pPr>
              <w:rPr>
                <w:b/>
                <w:bCs/>
                <w:color w:val="000000"/>
                <w:szCs w:val="24"/>
              </w:rPr>
            </w:pPr>
          </w:p>
        </w:tc>
        <w:tc>
          <w:tcPr>
            <w:tcW w:w="91" w:type="dxa"/>
            <w:vAlign w:val="center"/>
            <w:hideMark/>
          </w:tcPr>
          <w:p w14:paraId="457D16D3" w14:textId="77777777" w:rsidR="00034FF3" w:rsidRPr="00034FF3" w:rsidRDefault="00034FF3" w:rsidP="00034FF3">
            <w:pPr>
              <w:rPr>
                <w:sz w:val="20"/>
              </w:rPr>
            </w:pPr>
          </w:p>
        </w:tc>
      </w:tr>
      <w:tr w:rsidR="00034FF3" w:rsidRPr="00034FF3" w14:paraId="5A92662A" w14:textId="77777777" w:rsidTr="00034FF3">
        <w:trPr>
          <w:trHeight w:val="529"/>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641EAD61" w14:textId="77777777" w:rsidR="00034FF3" w:rsidRPr="00034FF3" w:rsidRDefault="00034FF3" w:rsidP="00034FF3">
            <w:pPr>
              <w:jc w:val="center"/>
              <w:rPr>
                <w:b/>
                <w:bCs/>
                <w:color w:val="000000"/>
                <w:szCs w:val="24"/>
              </w:rPr>
            </w:pPr>
            <w:r w:rsidRPr="00034FF3">
              <w:rPr>
                <w:b/>
                <w:bCs/>
                <w:color w:val="000000"/>
                <w:szCs w:val="24"/>
              </w:rPr>
              <w:t>U-3</w:t>
            </w:r>
          </w:p>
        </w:tc>
        <w:tc>
          <w:tcPr>
            <w:tcW w:w="2124" w:type="dxa"/>
            <w:tcBorders>
              <w:top w:val="nil"/>
              <w:left w:val="nil"/>
              <w:bottom w:val="single" w:sz="8" w:space="0" w:color="auto"/>
              <w:right w:val="single" w:sz="8" w:space="0" w:color="auto"/>
            </w:tcBorders>
            <w:shd w:val="clear" w:color="auto" w:fill="auto"/>
            <w:vAlign w:val="center"/>
            <w:hideMark/>
          </w:tcPr>
          <w:p w14:paraId="07EE4393" w14:textId="77777777" w:rsidR="00034FF3" w:rsidRPr="00034FF3" w:rsidRDefault="00034FF3" w:rsidP="00034FF3">
            <w:pPr>
              <w:jc w:val="center"/>
              <w:rPr>
                <w:b/>
                <w:bCs/>
                <w:color w:val="000000"/>
                <w:szCs w:val="24"/>
              </w:rPr>
            </w:pPr>
            <w:r w:rsidRPr="00034FF3">
              <w:rPr>
                <w:b/>
                <w:bCs/>
                <w:color w:val="000000"/>
                <w:szCs w:val="24"/>
              </w:rPr>
              <w:t>Nov-21</w:t>
            </w:r>
          </w:p>
        </w:tc>
        <w:tc>
          <w:tcPr>
            <w:tcW w:w="1821" w:type="dxa"/>
            <w:tcBorders>
              <w:top w:val="nil"/>
              <w:left w:val="nil"/>
              <w:bottom w:val="single" w:sz="8" w:space="0" w:color="auto"/>
              <w:right w:val="single" w:sz="8" w:space="0" w:color="auto"/>
            </w:tcBorders>
            <w:shd w:val="clear" w:color="auto" w:fill="auto"/>
            <w:vAlign w:val="center"/>
            <w:hideMark/>
          </w:tcPr>
          <w:p w14:paraId="5AA31001" w14:textId="77777777" w:rsidR="00034FF3" w:rsidRPr="00034FF3" w:rsidRDefault="00034FF3" w:rsidP="00034FF3">
            <w:pPr>
              <w:jc w:val="center"/>
              <w:rPr>
                <w:b/>
                <w:bCs/>
                <w:color w:val="000000"/>
                <w:szCs w:val="24"/>
              </w:rPr>
            </w:pPr>
            <w:r w:rsidRPr="00034FF3">
              <w:rPr>
                <w:b/>
                <w:bCs/>
                <w:color w:val="000000"/>
                <w:szCs w:val="24"/>
              </w:rPr>
              <w:t>July 2023 (A)</w:t>
            </w:r>
          </w:p>
        </w:tc>
        <w:tc>
          <w:tcPr>
            <w:tcW w:w="1865" w:type="dxa"/>
            <w:tcBorders>
              <w:top w:val="nil"/>
              <w:left w:val="nil"/>
              <w:bottom w:val="single" w:sz="8" w:space="0" w:color="auto"/>
              <w:right w:val="single" w:sz="8" w:space="0" w:color="auto"/>
            </w:tcBorders>
            <w:shd w:val="clear" w:color="auto" w:fill="auto"/>
            <w:vAlign w:val="center"/>
            <w:hideMark/>
          </w:tcPr>
          <w:p w14:paraId="3CA9D9A5" w14:textId="77777777" w:rsidR="00034FF3" w:rsidRPr="00034FF3" w:rsidRDefault="00034FF3" w:rsidP="00034FF3">
            <w:pPr>
              <w:jc w:val="center"/>
              <w:rPr>
                <w:b/>
                <w:bCs/>
                <w:color w:val="000000"/>
                <w:szCs w:val="24"/>
              </w:rPr>
            </w:pPr>
            <w:r w:rsidRPr="00034FF3">
              <w:rPr>
                <w:b/>
                <w:bCs/>
                <w:color w:val="000000"/>
                <w:szCs w:val="24"/>
              </w:rPr>
              <w:t>20 months</w:t>
            </w:r>
          </w:p>
        </w:tc>
        <w:tc>
          <w:tcPr>
            <w:tcW w:w="2927" w:type="dxa"/>
            <w:vMerge w:val="restart"/>
            <w:tcBorders>
              <w:top w:val="nil"/>
              <w:left w:val="single" w:sz="8" w:space="0" w:color="auto"/>
              <w:bottom w:val="single" w:sz="8" w:space="0" w:color="000000"/>
              <w:right w:val="single" w:sz="8" w:space="0" w:color="auto"/>
            </w:tcBorders>
            <w:shd w:val="clear" w:color="auto" w:fill="auto"/>
            <w:vAlign w:val="center"/>
            <w:hideMark/>
          </w:tcPr>
          <w:p w14:paraId="5B0F5C44" w14:textId="77777777" w:rsidR="00034FF3" w:rsidRPr="00034FF3" w:rsidRDefault="00034FF3" w:rsidP="00034FF3">
            <w:pPr>
              <w:jc w:val="both"/>
              <w:rPr>
                <w:b/>
                <w:bCs/>
                <w:color w:val="000000"/>
                <w:szCs w:val="24"/>
              </w:rPr>
            </w:pPr>
            <w:r w:rsidRPr="00034FF3">
              <w:rPr>
                <w:b/>
                <w:bCs/>
                <w:color w:val="000000"/>
                <w:szCs w:val="24"/>
              </w:rPr>
              <w:t>Both Units: 16 mos. x $ 0.1 B/mo. = $1.600 B; Plus 4 mos. just 1 unit, 4 x $ .03 B/mo. = .120 B</w:t>
            </w:r>
          </w:p>
        </w:tc>
        <w:tc>
          <w:tcPr>
            <w:tcW w:w="91" w:type="dxa"/>
            <w:vAlign w:val="center"/>
            <w:hideMark/>
          </w:tcPr>
          <w:p w14:paraId="775387EC" w14:textId="77777777" w:rsidR="00034FF3" w:rsidRPr="00034FF3" w:rsidRDefault="00034FF3" w:rsidP="00034FF3">
            <w:pPr>
              <w:rPr>
                <w:sz w:val="20"/>
              </w:rPr>
            </w:pPr>
          </w:p>
        </w:tc>
      </w:tr>
      <w:tr w:rsidR="00034FF3" w:rsidRPr="00034FF3" w14:paraId="7B3A5B3E" w14:textId="77777777" w:rsidTr="00034FF3">
        <w:trPr>
          <w:trHeight w:val="288"/>
          <w:jc w:val="center"/>
        </w:trPr>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3D6635CB" w14:textId="77777777" w:rsidR="00034FF3" w:rsidRPr="00034FF3" w:rsidRDefault="00034FF3" w:rsidP="00034FF3">
            <w:pPr>
              <w:jc w:val="center"/>
              <w:rPr>
                <w:b/>
                <w:bCs/>
                <w:color w:val="000000"/>
                <w:szCs w:val="24"/>
              </w:rPr>
            </w:pPr>
            <w:r w:rsidRPr="00034FF3">
              <w:rPr>
                <w:b/>
                <w:bCs/>
                <w:color w:val="000000"/>
                <w:szCs w:val="24"/>
              </w:rPr>
              <w:t>U-4</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52A931A" w14:textId="77777777" w:rsidR="00034FF3" w:rsidRPr="00034FF3" w:rsidRDefault="00034FF3" w:rsidP="00034FF3">
            <w:pPr>
              <w:jc w:val="center"/>
              <w:rPr>
                <w:b/>
                <w:bCs/>
                <w:color w:val="000000"/>
                <w:szCs w:val="24"/>
              </w:rPr>
            </w:pPr>
            <w:r w:rsidRPr="00034FF3">
              <w:rPr>
                <w:b/>
                <w:bCs/>
                <w:color w:val="000000"/>
                <w:szCs w:val="24"/>
              </w:rPr>
              <w:t>Nov-22</w:t>
            </w:r>
          </w:p>
        </w:tc>
        <w:tc>
          <w:tcPr>
            <w:tcW w:w="1821" w:type="dxa"/>
            <w:vMerge w:val="restart"/>
            <w:tcBorders>
              <w:top w:val="nil"/>
              <w:left w:val="single" w:sz="8" w:space="0" w:color="auto"/>
              <w:bottom w:val="single" w:sz="8" w:space="0" w:color="000000"/>
              <w:right w:val="single" w:sz="8" w:space="0" w:color="auto"/>
            </w:tcBorders>
            <w:shd w:val="clear" w:color="auto" w:fill="auto"/>
            <w:vAlign w:val="center"/>
            <w:hideMark/>
          </w:tcPr>
          <w:p w14:paraId="1D5A0492" w14:textId="77777777" w:rsidR="00034FF3" w:rsidRPr="00034FF3" w:rsidRDefault="00034FF3" w:rsidP="00034FF3">
            <w:pPr>
              <w:jc w:val="center"/>
              <w:rPr>
                <w:b/>
                <w:bCs/>
                <w:color w:val="000000"/>
                <w:szCs w:val="24"/>
              </w:rPr>
            </w:pPr>
            <w:r w:rsidRPr="00034FF3">
              <w:rPr>
                <w:b/>
                <w:bCs/>
                <w:color w:val="000000"/>
                <w:szCs w:val="24"/>
              </w:rPr>
              <w:t>Mar 2024 (F)</w:t>
            </w:r>
          </w:p>
        </w:tc>
        <w:tc>
          <w:tcPr>
            <w:tcW w:w="1865" w:type="dxa"/>
            <w:vMerge w:val="restart"/>
            <w:tcBorders>
              <w:top w:val="nil"/>
              <w:left w:val="single" w:sz="8" w:space="0" w:color="auto"/>
              <w:bottom w:val="single" w:sz="8" w:space="0" w:color="000000"/>
              <w:right w:val="single" w:sz="8" w:space="0" w:color="auto"/>
            </w:tcBorders>
            <w:shd w:val="clear" w:color="auto" w:fill="auto"/>
            <w:vAlign w:val="center"/>
            <w:hideMark/>
          </w:tcPr>
          <w:p w14:paraId="216E0A64" w14:textId="77777777" w:rsidR="00034FF3" w:rsidRPr="00034FF3" w:rsidRDefault="00034FF3" w:rsidP="00034FF3">
            <w:pPr>
              <w:jc w:val="center"/>
              <w:rPr>
                <w:b/>
                <w:bCs/>
                <w:color w:val="000000"/>
                <w:szCs w:val="24"/>
              </w:rPr>
            </w:pPr>
            <w:r w:rsidRPr="00034FF3">
              <w:rPr>
                <w:b/>
                <w:bCs/>
                <w:color w:val="000000"/>
                <w:szCs w:val="24"/>
              </w:rPr>
              <w:t>16 months</w:t>
            </w:r>
          </w:p>
        </w:tc>
        <w:tc>
          <w:tcPr>
            <w:tcW w:w="2927" w:type="dxa"/>
            <w:vMerge/>
            <w:tcBorders>
              <w:top w:val="nil"/>
              <w:left w:val="single" w:sz="8" w:space="0" w:color="auto"/>
              <w:bottom w:val="single" w:sz="8" w:space="0" w:color="000000"/>
              <w:right w:val="single" w:sz="8" w:space="0" w:color="auto"/>
            </w:tcBorders>
            <w:vAlign w:val="center"/>
            <w:hideMark/>
          </w:tcPr>
          <w:p w14:paraId="15915E65" w14:textId="77777777" w:rsidR="00034FF3" w:rsidRPr="00034FF3" w:rsidRDefault="00034FF3" w:rsidP="00034FF3">
            <w:pPr>
              <w:rPr>
                <w:b/>
                <w:bCs/>
                <w:color w:val="000000"/>
                <w:szCs w:val="24"/>
              </w:rPr>
            </w:pPr>
          </w:p>
        </w:tc>
        <w:tc>
          <w:tcPr>
            <w:tcW w:w="91" w:type="dxa"/>
            <w:vAlign w:val="center"/>
            <w:hideMark/>
          </w:tcPr>
          <w:p w14:paraId="04DF07C9" w14:textId="77777777" w:rsidR="00034FF3" w:rsidRPr="00034FF3" w:rsidRDefault="00034FF3" w:rsidP="00034FF3">
            <w:pPr>
              <w:rPr>
                <w:sz w:val="20"/>
              </w:rPr>
            </w:pPr>
          </w:p>
        </w:tc>
      </w:tr>
      <w:tr w:rsidR="00034FF3" w:rsidRPr="00034FF3" w14:paraId="381CD06D" w14:textId="77777777" w:rsidTr="00034FF3">
        <w:trPr>
          <w:trHeight w:val="300"/>
          <w:jc w:val="center"/>
        </w:trPr>
        <w:tc>
          <w:tcPr>
            <w:tcW w:w="952" w:type="dxa"/>
            <w:vMerge/>
            <w:tcBorders>
              <w:top w:val="nil"/>
              <w:left w:val="single" w:sz="8" w:space="0" w:color="auto"/>
              <w:bottom w:val="single" w:sz="8" w:space="0" w:color="000000"/>
              <w:right w:val="single" w:sz="8" w:space="0" w:color="auto"/>
            </w:tcBorders>
            <w:vAlign w:val="center"/>
            <w:hideMark/>
          </w:tcPr>
          <w:p w14:paraId="08CB66B1" w14:textId="77777777" w:rsidR="00034FF3" w:rsidRPr="00034FF3" w:rsidRDefault="00034FF3" w:rsidP="00034FF3">
            <w:pPr>
              <w:rPr>
                <w:b/>
                <w:bCs/>
                <w:color w:val="000000"/>
                <w:szCs w:val="24"/>
              </w:rPr>
            </w:pPr>
          </w:p>
        </w:tc>
        <w:tc>
          <w:tcPr>
            <w:tcW w:w="2124" w:type="dxa"/>
            <w:vMerge/>
            <w:tcBorders>
              <w:top w:val="nil"/>
              <w:left w:val="single" w:sz="8" w:space="0" w:color="auto"/>
              <w:bottom w:val="single" w:sz="8" w:space="0" w:color="000000"/>
              <w:right w:val="single" w:sz="8" w:space="0" w:color="auto"/>
            </w:tcBorders>
            <w:vAlign w:val="center"/>
            <w:hideMark/>
          </w:tcPr>
          <w:p w14:paraId="7E2F4FDE" w14:textId="77777777" w:rsidR="00034FF3" w:rsidRPr="00034FF3" w:rsidRDefault="00034FF3" w:rsidP="00034FF3">
            <w:pPr>
              <w:rPr>
                <w:b/>
                <w:bCs/>
                <w:color w:val="000000"/>
                <w:szCs w:val="24"/>
              </w:rPr>
            </w:pPr>
          </w:p>
        </w:tc>
        <w:tc>
          <w:tcPr>
            <w:tcW w:w="1821" w:type="dxa"/>
            <w:vMerge/>
            <w:tcBorders>
              <w:top w:val="nil"/>
              <w:left w:val="single" w:sz="8" w:space="0" w:color="auto"/>
              <w:bottom w:val="single" w:sz="8" w:space="0" w:color="000000"/>
              <w:right w:val="single" w:sz="8" w:space="0" w:color="auto"/>
            </w:tcBorders>
            <w:vAlign w:val="center"/>
            <w:hideMark/>
          </w:tcPr>
          <w:p w14:paraId="7817E0FF" w14:textId="77777777" w:rsidR="00034FF3" w:rsidRPr="00034FF3" w:rsidRDefault="00034FF3" w:rsidP="00034FF3">
            <w:pPr>
              <w:rPr>
                <w:b/>
                <w:bCs/>
                <w:color w:val="000000"/>
                <w:szCs w:val="24"/>
              </w:rPr>
            </w:pPr>
          </w:p>
        </w:tc>
        <w:tc>
          <w:tcPr>
            <w:tcW w:w="1865" w:type="dxa"/>
            <w:vMerge/>
            <w:tcBorders>
              <w:top w:val="nil"/>
              <w:left w:val="single" w:sz="8" w:space="0" w:color="auto"/>
              <w:bottom w:val="single" w:sz="8" w:space="0" w:color="000000"/>
              <w:right w:val="single" w:sz="8" w:space="0" w:color="auto"/>
            </w:tcBorders>
            <w:vAlign w:val="center"/>
            <w:hideMark/>
          </w:tcPr>
          <w:p w14:paraId="471F7F76" w14:textId="77777777" w:rsidR="00034FF3" w:rsidRPr="00034FF3" w:rsidRDefault="00034FF3" w:rsidP="00034FF3">
            <w:pPr>
              <w:rPr>
                <w:b/>
                <w:bCs/>
                <w:color w:val="000000"/>
                <w:szCs w:val="24"/>
              </w:rPr>
            </w:pPr>
          </w:p>
        </w:tc>
        <w:tc>
          <w:tcPr>
            <w:tcW w:w="2927" w:type="dxa"/>
            <w:vMerge/>
            <w:tcBorders>
              <w:top w:val="nil"/>
              <w:left w:val="single" w:sz="8" w:space="0" w:color="auto"/>
              <w:bottom w:val="single" w:sz="8" w:space="0" w:color="000000"/>
              <w:right w:val="single" w:sz="8" w:space="0" w:color="auto"/>
            </w:tcBorders>
            <w:vAlign w:val="center"/>
            <w:hideMark/>
          </w:tcPr>
          <w:p w14:paraId="1E69B034" w14:textId="77777777" w:rsidR="00034FF3" w:rsidRPr="00034FF3" w:rsidRDefault="00034FF3" w:rsidP="00034FF3">
            <w:pPr>
              <w:rPr>
                <w:b/>
                <w:bCs/>
                <w:color w:val="000000"/>
                <w:szCs w:val="24"/>
              </w:rPr>
            </w:pPr>
          </w:p>
        </w:tc>
        <w:tc>
          <w:tcPr>
            <w:tcW w:w="91" w:type="dxa"/>
            <w:tcBorders>
              <w:top w:val="nil"/>
              <w:left w:val="nil"/>
              <w:bottom w:val="nil"/>
              <w:right w:val="nil"/>
            </w:tcBorders>
            <w:shd w:val="clear" w:color="auto" w:fill="auto"/>
            <w:noWrap/>
            <w:vAlign w:val="bottom"/>
            <w:hideMark/>
          </w:tcPr>
          <w:p w14:paraId="579988AA" w14:textId="77777777" w:rsidR="00034FF3" w:rsidRPr="00034FF3" w:rsidRDefault="00034FF3" w:rsidP="00034FF3">
            <w:pPr>
              <w:jc w:val="center"/>
              <w:rPr>
                <w:b/>
                <w:bCs/>
                <w:color w:val="000000"/>
                <w:szCs w:val="24"/>
              </w:rPr>
            </w:pPr>
          </w:p>
        </w:tc>
      </w:tr>
    </w:tbl>
    <w:p w14:paraId="184A46BD" w14:textId="77777777" w:rsidR="00636DFF" w:rsidRDefault="00636DFF" w:rsidP="00034FF3">
      <w:pPr>
        <w:jc w:val="center"/>
        <w:rPr>
          <w:b/>
          <w:szCs w:val="24"/>
          <w:highlight w:val="yellow"/>
        </w:rPr>
      </w:pPr>
    </w:p>
    <w:p w14:paraId="12DBBAFB" w14:textId="77777777" w:rsidR="00034FF3" w:rsidRDefault="00034FF3" w:rsidP="00034FF3">
      <w:pPr>
        <w:jc w:val="center"/>
        <w:rPr>
          <w:b/>
          <w:szCs w:val="24"/>
          <w:highlight w:val="yellow"/>
        </w:rPr>
      </w:pPr>
    </w:p>
    <w:p w14:paraId="1C456A1A" w14:textId="77777777" w:rsidR="0011742D" w:rsidRDefault="0011742D" w:rsidP="0011742D">
      <w:pPr>
        <w:jc w:val="both"/>
      </w:pPr>
      <w:r>
        <w:t>This approximately accounts for $ 1.720 billion (i.e., $ 1.6 billion plus $ .120 billion) of the roughly $ 4 billion over-run of the TPC.</w:t>
      </w:r>
    </w:p>
    <w:p w14:paraId="36785E26" w14:textId="77777777" w:rsidR="0011742D" w:rsidRDefault="0011742D" w:rsidP="0011742D">
      <w:pPr>
        <w:jc w:val="both"/>
        <w:rPr>
          <w:b/>
          <w:bCs/>
        </w:rPr>
      </w:pPr>
    </w:p>
    <w:p w14:paraId="42C0B28B" w14:textId="77777777" w:rsidR="0011742D" w:rsidRPr="00B7650D" w:rsidRDefault="0011742D" w:rsidP="0011742D">
      <w:pPr>
        <w:jc w:val="both"/>
        <w:rPr>
          <w:b/>
          <w:bCs/>
        </w:rPr>
      </w:pPr>
      <w:r>
        <w:rPr>
          <w:b/>
          <w:bCs/>
        </w:rPr>
        <w:t>4.2 Production Errors and Inefficiency Related Cost Increases Due to Imprudent Management</w:t>
      </w:r>
      <w:r>
        <w:rPr>
          <w:rStyle w:val="FootnoteReference"/>
          <w:b/>
          <w:bCs/>
        </w:rPr>
        <w:footnoteReference w:id="28"/>
      </w:r>
    </w:p>
    <w:p w14:paraId="758E570F" w14:textId="77777777" w:rsidR="0011742D" w:rsidRDefault="0011742D" w:rsidP="0011742D">
      <w:pPr>
        <w:jc w:val="both"/>
      </w:pPr>
    </w:p>
    <w:p w14:paraId="70AECF1C" w14:textId="77777777" w:rsidR="0011742D" w:rsidRDefault="0011742D" w:rsidP="0011742D">
      <w:pPr>
        <w:jc w:val="both"/>
      </w:pPr>
      <w:r>
        <w:t xml:space="preserve">In addition to “hotel load” cost increases (discussed above in section 4.1), a second category of cost impacts of imprudent management are related to the craft inefficiency SNC experienced in executing the required scope of work.  Hereafter, </w:t>
      </w:r>
      <w:r w:rsidRPr="00EA51DC">
        <w:t>we will use the term “production inefficiencies” to address this issue.</w:t>
      </w:r>
      <w:r w:rsidRPr="000246B9">
        <w:rPr>
          <w:i/>
          <w:iCs/>
        </w:rPr>
        <w:t xml:space="preserve"> </w:t>
      </w:r>
      <w:r>
        <w:t xml:space="preserve">  These production inefficiencies can be further broken down to consider the actual craft labor hours required to complete work versus the planned (i.e., budgeted) labor hours, and the poor quality of work which then necessitated emergent re-work. The corrective actions required to remediate the poor initial quality also added complexity to the planning and execution (and therefore also to the cost) of the Project.</w:t>
      </w:r>
    </w:p>
    <w:p w14:paraId="7D4C5E54" w14:textId="77777777" w:rsidR="0011742D" w:rsidRPr="00DF6FFE" w:rsidRDefault="0011742D" w:rsidP="0011742D">
      <w:pPr>
        <w:jc w:val="both"/>
        <w:rPr>
          <w:sz w:val="18"/>
          <w:szCs w:val="18"/>
        </w:rPr>
      </w:pPr>
    </w:p>
    <w:p w14:paraId="75CBB1C7" w14:textId="77777777" w:rsidR="0011742D" w:rsidRDefault="0011742D" w:rsidP="0011742D">
      <w:pPr>
        <w:jc w:val="both"/>
      </w:pPr>
      <w:r>
        <w:t xml:space="preserve">It was previously mentioned, that from January 2021 through February 2022 (a period of 13 months) that $ 2.6 billion had been spent, yet the Estimate to Complete had increased by $ 0.2 billion.  Over this 13-month period VMG concludes that the TPC had increased by $ 2.8 billion.  Also, by late February (as reported in the February 28, 2022, </w:t>
      </w:r>
      <w:proofErr w:type="spellStart"/>
      <w:r>
        <w:t>VPMB</w:t>
      </w:r>
      <w:proofErr w:type="spellEnd"/>
      <w:r>
        <w:t>) the CODs for U-3 and U-4 had been reforecast as September 2022, and February 2023, respectively.</w:t>
      </w:r>
    </w:p>
    <w:p w14:paraId="22700379" w14:textId="77777777" w:rsidR="0011742D" w:rsidRPr="00DF6FFE" w:rsidRDefault="0011742D" w:rsidP="0011742D">
      <w:pPr>
        <w:jc w:val="both"/>
        <w:rPr>
          <w:sz w:val="18"/>
          <w:szCs w:val="18"/>
        </w:rPr>
      </w:pPr>
    </w:p>
    <w:p w14:paraId="3E420D40" w14:textId="28FC2A2D" w:rsidR="0011742D" w:rsidRDefault="0011742D" w:rsidP="0011742D">
      <w:pPr>
        <w:jc w:val="both"/>
      </w:pPr>
      <w:r>
        <w:t>In looking at the $ 2.8 billion increase of the TPC, and by extracting the schedule delay portion (Section 4.1), a rough estimate of the production inefficiencies that the Project was experienced</w:t>
      </w:r>
      <w:r w:rsidR="00E12992">
        <w:t>,</w:t>
      </w:r>
      <w:r>
        <w:t xml:space="preserve"> was $2.3 billion as shown on Table 4</w:t>
      </w:r>
      <w:r w:rsidR="0004383B">
        <w:t>.2-1.</w:t>
      </w:r>
    </w:p>
    <w:p w14:paraId="410CE855" w14:textId="77777777" w:rsidR="00E12992" w:rsidRDefault="00E12992" w:rsidP="0011742D">
      <w:pPr>
        <w:jc w:val="both"/>
      </w:pPr>
    </w:p>
    <w:p w14:paraId="0AB0A897" w14:textId="77777777" w:rsidR="0011742D" w:rsidRDefault="0011742D" w:rsidP="0011742D">
      <w:pPr>
        <w:jc w:val="both"/>
      </w:pPr>
    </w:p>
    <w:tbl>
      <w:tblPr>
        <w:tblW w:w="9060" w:type="dxa"/>
        <w:jc w:val="center"/>
        <w:tblLook w:val="04A0" w:firstRow="1" w:lastRow="0" w:firstColumn="1" w:lastColumn="0" w:noHBand="0" w:noVBand="1"/>
      </w:tblPr>
      <w:tblGrid>
        <w:gridCol w:w="1857"/>
        <w:gridCol w:w="2144"/>
        <w:gridCol w:w="1943"/>
        <w:gridCol w:w="2939"/>
        <w:gridCol w:w="222"/>
      </w:tblGrid>
      <w:tr w:rsidR="008D2ADC" w:rsidRPr="008D2ADC" w14:paraId="35C644C1" w14:textId="77777777" w:rsidTr="008D2ADC">
        <w:trPr>
          <w:gridAfter w:val="1"/>
          <w:wAfter w:w="91" w:type="dxa"/>
          <w:trHeight w:val="480"/>
          <w:jc w:val="center"/>
        </w:trPr>
        <w:tc>
          <w:tcPr>
            <w:tcW w:w="8969" w:type="dxa"/>
            <w:gridSpan w:val="4"/>
            <w:tcBorders>
              <w:top w:val="single" w:sz="8" w:space="0" w:color="auto"/>
              <w:left w:val="single" w:sz="8" w:space="0" w:color="auto"/>
              <w:bottom w:val="single" w:sz="8" w:space="0" w:color="auto"/>
              <w:right w:val="single" w:sz="8" w:space="0" w:color="000000"/>
            </w:tcBorders>
            <w:shd w:val="clear" w:color="000000" w:fill="DDEBF7"/>
            <w:vAlign w:val="center"/>
            <w:hideMark/>
          </w:tcPr>
          <w:p w14:paraId="02E8BDCE" w14:textId="05D45995" w:rsidR="008D2ADC" w:rsidRPr="008D2ADC" w:rsidRDefault="008D2ADC" w:rsidP="008D2ADC">
            <w:pPr>
              <w:jc w:val="center"/>
              <w:rPr>
                <w:b/>
                <w:bCs/>
                <w:color w:val="000000"/>
                <w:szCs w:val="24"/>
              </w:rPr>
            </w:pPr>
            <w:r w:rsidRPr="008D2ADC">
              <w:rPr>
                <w:b/>
                <w:bCs/>
                <w:color w:val="000000"/>
                <w:szCs w:val="24"/>
              </w:rPr>
              <w:lastRenderedPageBreak/>
              <w:t>Table 4.2-1</w:t>
            </w:r>
            <w:r w:rsidR="0079013A">
              <w:rPr>
                <w:b/>
                <w:bCs/>
                <w:color w:val="000000"/>
                <w:szCs w:val="24"/>
              </w:rPr>
              <w:t xml:space="preserve">  </w:t>
            </w:r>
            <w:r w:rsidRPr="008D2ADC">
              <w:rPr>
                <w:b/>
                <w:bCs/>
                <w:color w:val="000000"/>
                <w:szCs w:val="24"/>
              </w:rPr>
              <w:t xml:space="preserve"> Schedule Delay Costs (as reflected by February 28, 2022, </w:t>
            </w:r>
            <w:proofErr w:type="spellStart"/>
            <w:r w:rsidRPr="008D2ADC">
              <w:rPr>
                <w:b/>
                <w:bCs/>
                <w:color w:val="000000"/>
                <w:szCs w:val="24"/>
              </w:rPr>
              <w:t>VPMB</w:t>
            </w:r>
            <w:proofErr w:type="spellEnd"/>
            <w:r w:rsidRPr="008D2ADC">
              <w:rPr>
                <w:b/>
                <w:bCs/>
                <w:color w:val="000000"/>
                <w:szCs w:val="24"/>
              </w:rPr>
              <w:t>)</w:t>
            </w:r>
          </w:p>
        </w:tc>
      </w:tr>
      <w:tr w:rsidR="008D2ADC" w:rsidRPr="008D2ADC" w14:paraId="70AB9A65" w14:textId="77777777" w:rsidTr="008D2ADC">
        <w:trPr>
          <w:gridAfter w:val="1"/>
          <w:wAfter w:w="91" w:type="dxa"/>
          <w:trHeight w:val="924"/>
          <w:jc w:val="center"/>
        </w:trPr>
        <w:tc>
          <w:tcPr>
            <w:tcW w:w="1857"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12486D72" w14:textId="77777777" w:rsidR="008D2ADC" w:rsidRPr="008D2ADC" w:rsidRDefault="008D2ADC" w:rsidP="008D2ADC">
            <w:pPr>
              <w:jc w:val="center"/>
              <w:rPr>
                <w:b/>
                <w:bCs/>
                <w:color w:val="000000"/>
                <w:szCs w:val="24"/>
              </w:rPr>
            </w:pPr>
            <w:r w:rsidRPr="008D2ADC">
              <w:rPr>
                <w:b/>
                <w:bCs/>
                <w:color w:val="000000"/>
                <w:szCs w:val="24"/>
              </w:rPr>
              <w:t>Unit</w:t>
            </w:r>
          </w:p>
        </w:tc>
        <w:tc>
          <w:tcPr>
            <w:tcW w:w="2144"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F9B63E9" w14:textId="77777777" w:rsidR="008D2ADC" w:rsidRPr="008D2ADC" w:rsidRDefault="008D2ADC" w:rsidP="008D2ADC">
            <w:pPr>
              <w:jc w:val="center"/>
              <w:rPr>
                <w:b/>
                <w:bCs/>
                <w:color w:val="000000"/>
                <w:szCs w:val="24"/>
              </w:rPr>
            </w:pPr>
            <w:r w:rsidRPr="008D2ADC">
              <w:rPr>
                <w:b/>
                <w:bCs/>
                <w:color w:val="000000"/>
                <w:szCs w:val="24"/>
              </w:rPr>
              <w:t>Regulatory Approved COD</w:t>
            </w:r>
          </w:p>
        </w:tc>
        <w:tc>
          <w:tcPr>
            <w:tcW w:w="1943"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754D603" w14:textId="77777777" w:rsidR="008D2ADC" w:rsidRPr="008D2ADC" w:rsidRDefault="008D2ADC" w:rsidP="008D2ADC">
            <w:pPr>
              <w:jc w:val="center"/>
              <w:rPr>
                <w:b/>
                <w:bCs/>
                <w:color w:val="000000"/>
                <w:szCs w:val="24"/>
              </w:rPr>
            </w:pPr>
            <w:r w:rsidRPr="008D2ADC">
              <w:rPr>
                <w:b/>
                <w:bCs/>
                <w:color w:val="000000"/>
                <w:szCs w:val="24"/>
              </w:rPr>
              <w:t xml:space="preserve">Forecast CODs per Feb 28, </w:t>
            </w:r>
            <w:proofErr w:type="gramStart"/>
            <w:r w:rsidRPr="008D2ADC">
              <w:rPr>
                <w:b/>
                <w:bCs/>
                <w:color w:val="000000"/>
                <w:szCs w:val="24"/>
              </w:rPr>
              <w:t>2022</w:t>
            </w:r>
            <w:proofErr w:type="gramEnd"/>
            <w:r w:rsidRPr="008D2ADC">
              <w:rPr>
                <w:b/>
                <w:bCs/>
                <w:color w:val="000000"/>
                <w:szCs w:val="24"/>
              </w:rPr>
              <w:t xml:space="preserve"> </w:t>
            </w:r>
            <w:proofErr w:type="spellStart"/>
            <w:r w:rsidRPr="008D2ADC">
              <w:rPr>
                <w:b/>
                <w:bCs/>
                <w:color w:val="000000"/>
                <w:szCs w:val="24"/>
              </w:rPr>
              <w:t>VPMB</w:t>
            </w:r>
            <w:proofErr w:type="spellEnd"/>
          </w:p>
        </w:tc>
        <w:tc>
          <w:tcPr>
            <w:tcW w:w="3025"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CA2E803" w14:textId="77777777" w:rsidR="008D2ADC" w:rsidRPr="008D2ADC" w:rsidRDefault="008D2ADC" w:rsidP="008D2ADC">
            <w:pPr>
              <w:jc w:val="center"/>
              <w:rPr>
                <w:b/>
                <w:bCs/>
                <w:color w:val="000000"/>
                <w:szCs w:val="24"/>
              </w:rPr>
            </w:pPr>
            <w:r w:rsidRPr="008D2ADC">
              <w:rPr>
                <w:b/>
                <w:bCs/>
                <w:color w:val="000000"/>
                <w:szCs w:val="24"/>
              </w:rPr>
              <w:t>Schedule Slip</w:t>
            </w:r>
          </w:p>
        </w:tc>
      </w:tr>
      <w:tr w:rsidR="008D2ADC" w:rsidRPr="008D2ADC" w14:paraId="7B389290" w14:textId="77777777" w:rsidTr="008D2ADC">
        <w:trPr>
          <w:trHeight w:val="24"/>
          <w:jc w:val="center"/>
        </w:trPr>
        <w:tc>
          <w:tcPr>
            <w:tcW w:w="1857" w:type="dxa"/>
            <w:vMerge/>
            <w:tcBorders>
              <w:top w:val="nil"/>
              <w:left w:val="single" w:sz="8" w:space="0" w:color="auto"/>
              <w:bottom w:val="single" w:sz="8" w:space="0" w:color="000000"/>
              <w:right w:val="single" w:sz="8" w:space="0" w:color="auto"/>
            </w:tcBorders>
            <w:vAlign w:val="center"/>
            <w:hideMark/>
          </w:tcPr>
          <w:p w14:paraId="024F16B2" w14:textId="77777777" w:rsidR="008D2ADC" w:rsidRPr="008D2ADC" w:rsidRDefault="008D2ADC" w:rsidP="008D2ADC">
            <w:pPr>
              <w:rPr>
                <w:b/>
                <w:bCs/>
                <w:color w:val="000000"/>
                <w:szCs w:val="24"/>
              </w:rPr>
            </w:pPr>
          </w:p>
        </w:tc>
        <w:tc>
          <w:tcPr>
            <w:tcW w:w="2144" w:type="dxa"/>
            <w:vMerge/>
            <w:tcBorders>
              <w:top w:val="nil"/>
              <w:left w:val="single" w:sz="8" w:space="0" w:color="auto"/>
              <w:bottom w:val="single" w:sz="8" w:space="0" w:color="000000"/>
              <w:right w:val="single" w:sz="8" w:space="0" w:color="auto"/>
            </w:tcBorders>
            <w:vAlign w:val="center"/>
            <w:hideMark/>
          </w:tcPr>
          <w:p w14:paraId="2F2663D6" w14:textId="77777777" w:rsidR="008D2ADC" w:rsidRPr="008D2ADC" w:rsidRDefault="008D2ADC" w:rsidP="008D2ADC">
            <w:pPr>
              <w:rPr>
                <w:b/>
                <w:bCs/>
                <w:color w:val="000000"/>
                <w:szCs w:val="24"/>
              </w:rPr>
            </w:pPr>
          </w:p>
        </w:tc>
        <w:tc>
          <w:tcPr>
            <w:tcW w:w="1943" w:type="dxa"/>
            <w:vMerge/>
            <w:tcBorders>
              <w:top w:val="nil"/>
              <w:left w:val="single" w:sz="8" w:space="0" w:color="auto"/>
              <w:bottom w:val="single" w:sz="8" w:space="0" w:color="000000"/>
              <w:right w:val="single" w:sz="8" w:space="0" w:color="auto"/>
            </w:tcBorders>
            <w:vAlign w:val="center"/>
            <w:hideMark/>
          </w:tcPr>
          <w:p w14:paraId="6ED0D2EC" w14:textId="77777777" w:rsidR="008D2ADC" w:rsidRPr="008D2ADC" w:rsidRDefault="008D2ADC" w:rsidP="008D2ADC">
            <w:pPr>
              <w:rPr>
                <w:b/>
                <w:bCs/>
                <w:color w:val="000000"/>
                <w:szCs w:val="24"/>
              </w:rPr>
            </w:pPr>
          </w:p>
        </w:tc>
        <w:tc>
          <w:tcPr>
            <w:tcW w:w="3025" w:type="dxa"/>
            <w:vMerge/>
            <w:tcBorders>
              <w:top w:val="nil"/>
              <w:left w:val="single" w:sz="8" w:space="0" w:color="auto"/>
              <w:bottom w:val="single" w:sz="8" w:space="0" w:color="000000"/>
              <w:right w:val="single" w:sz="8" w:space="0" w:color="auto"/>
            </w:tcBorders>
            <w:vAlign w:val="center"/>
            <w:hideMark/>
          </w:tcPr>
          <w:p w14:paraId="5C3891D5" w14:textId="77777777" w:rsidR="008D2ADC" w:rsidRPr="008D2ADC" w:rsidRDefault="008D2ADC" w:rsidP="008D2ADC">
            <w:pPr>
              <w:rPr>
                <w:b/>
                <w:bCs/>
                <w:color w:val="000000"/>
                <w:szCs w:val="24"/>
              </w:rPr>
            </w:pPr>
          </w:p>
        </w:tc>
        <w:tc>
          <w:tcPr>
            <w:tcW w:w="91" w:type="dxa"/>
            <w:tcBorders>
              <w:top w:val="nil"/>
              <w:left w:val="nil"/>
              <w:bottom w:val="nil"/>
              <w:right w:val="nil"/>
            </w:tcBorders>
            <w:shd w:val="clear" w:color="auto" w:fill="auto"/>
            <w:noWrap/>
            <w:vAlign w:val="bottom"/>
            <w:hideMark/>
          </w:tcPr>
          <w:p w14:paraId="013F7A04" w14:textId="77777777" w:rsidR="008D2ADC" w:rsidRPr="008D2ADC" w:rsidRDefault="008D2ADC" w:rsidP="008D2ADC">
            <w:pPr>
              <w:jc w:val="center"/>
              <w:rPr>
                <w:b/>
                <w:bCs/>
                <w:color w:val="000000"/>
                <w:szCs w:val="24"/>
              </w:rPr>
            </w:pPr>
          </w:p>
        </w:tc>
      </w:tr>
      <w:tr w:rsidR="008D2ADC" w:rsidRPr="008D2ADC" w14:paraId="1E249134" w14:textId="77777777" w:rsidTr="008D2ADC">
        <w:trPr>
          <w:trHeight w:val="324"/>
          <w:jc w:val="center"/>
        </w:trPr>
        <w:tc>
          <w:tcPr>
            <w:tcW w:w="1857" w:type="dxa"/>
            <w:tcBorders>
              <w:top w:val="nil"/>
              <w:left w:val="single" w:sz="8" w:space="0" w:color="auto"/>
              <w:bottom w:val="single" w:sz="8" w:space="0" w:color="auto"/>
              <w:right w:val="single" w:sz="8" w:space="0" w:color="auto"/>
            </w:tcBorders>
            <w:shd w:val="clear" w:color="auto" w:fill="auto"/>
            <w:vAlign w:val="center"/>
            <w:hideMark/>
          </w:tcPr>
          <w:p w14:paraId="445B9779" w14:textId="77777777" w:rsidR="008D2ADC" w:rsidRPr="008D2ADC" w:rsidRDefault="008D2ADC" w:rsidP="008D2ADC">
            <w:pPr>
              <w:jc w:val="center"/>
              <w:rPr>
                <w:b/>
                <w:bCs/>
                <w:color w:val="000000"/>
                <w:szCs w:val="24"/>
              </w:rPr>
            </w:pPr>
            <w:r w:rsidRPr="008D2ADC">
              <w:rPr>
                <w:b/>
                <w:bCs/>
                <w:color w:val="000000"/>
                <w:szCs w:val="24"/>
              </w:rPr>
              <w:t>U-3</w:t>
            </w:r>
          </w:p>
        </w:tc>
        <w:tc>
          <w:tcPr>
            <w:tcW w:w="2144" w:type="dxa"/>
            <w:tcBorders>
              <w:top w:val="nil"/>
              <w:left w:val="nil"/>
              <w:bottom w:val="single" w:sz="8" w:space="0" w:color="auto"/>
              <w:right w:val="single" w:sz="8" w:space="0" w:color="auto"/>
            </w:tcBorders>
            <w:shd w:val="clear" w:color="auto" w:fill="auto"/>
            <w:vAlign w:val="center"/>
            <w:hideMark/>
          </w:tcPr>
          <w:p w14:paraId="08CED766" w14:textId="77777777" w:rsidR="008D2ADC" w:rsidRPr="008D2ADC" w:rsidRDefault="008D2ADC" w:rsidP="008D2ADC">
            <w:pPr>
              <w:jc w:val="center"/>
              <w:rPr>
                <w:b/>
                <w:bCs/>
                <w:color w:val="000000"/>
                <w:szCs w:val="24"/>
              </w:rPr>
            </w:pPr>
            <w:r w:rsidRPr="008D2ADC">
              <w:rPr>
                <w:b/>
                <w:bCs/>
                <w:color w:val="000000"/>
                <w:szCs w:val="24"/>
              </w:rPr>
              <w:t>Nov-21</w:t>
            </w:r>
          </w:p>
        </w:tc>
        <w:tc>
          <w:tcPr>
            <w:tcW w:w="1943" w:type="dxa"/>
            <w:tcBorders>
              <w:top w:val="nil"/>
              <w:left w:val="nil"/>
              <w:bottom w:val="single" w:sz="8" w:space="0" w:color="auto"/>
              <w:right w:val="single" w:sz="8" w:space="0" w:color="auto"/>
            </w:tcBorders>
            <w:shd w:val="clear" w:color="auto" w:fill="auto"/>
            <w:vAlign w:val="center"/>
            <w:hideMark/>
          </w:tcPr>
          <w:p w14:paraId="022A20C0" w14:textId="77777777" w:rsidR="008D2ADC" w:rsidRPr="008D2ADC" w:rsidRDefault="008D2ADC" w:rsidP="008D2ADC">
            <w:pPr>
              <w:jc w:val="center"/>
              <w:rPr>
                <w:b/>
                <w:bCs/>
                <w:color w:val="000000"/>
                <w:szCs w:val="24"/>
              </w:rPr>
            </w:pPr>
            <w:r w:rsidRPr="008D2ADC">
              <w:rPr>
                <w:b/>
                <w:bCs/>
                <w:color w:val="000000"/>
                <w:szCs w:val="24"/>
              </w:rPr>
              <w:t>Sep-22</w:t>
            </w:r>
          </w:p>
        </w:tc>
        <w:tc>
          <w:tcPr>
            <w:tcW w:w="3025" w:type="dxa"/>
            <w:tcBorders>
              <w:top w:val="nil"/>
              <w:left w:val="nil"/>
              <w:bottom w:val="single" w:sz="8" w:space="0" w:color="auto"/>
              <w:right w:val="single" w:sz="8" w:space="0" w:color="auto"/>
            </w:tcBorders>
            <w:shd w:val="clear" w:color="auto" w:fill="auto"/>
            <w:vAlign w:val="center"/>
            <w:hideMark/>
          </w:tcPr>
          <w:p w14:paraId="25371E2C" w14:textId="77777777" w:rsidR="008D2ADC" w:rsidRPr="008D2ADC" w:rsidRDefault="008D2ADC" w:rsidP="008D2ADC">
            <w:pPr>
              <w:jc w:val="center"/>
              <w:rPr>
                <w:b/>
                <w:bCs/>
                <w:color w:val="000000"/>
                <w:szCs w:val="24"/>
              </w:rPr>
            </w:pPr>
            <w:r w:rsidRPr="008D2ADC">
              <w:rPr>
                <w:b/>
                <w:bCs/>
                <w:color w:val="000000"/>
                <w:szCs w:val="24"/>
              </w:rPr>
              <w:t>10 months</w:t>
            </w:r>
          </w:p>
        </w:tc>
        <w:tc>
          <w:tcPr>
            <w:tcW w:w="91" w:type="dxa"/>
            <w:vAlign w:val="center"/>
            <w:hideMark/>
          </w:tcPr>
          <w:p w14:paraId="4E8D4F35" w14:textId="77777777" w:rsidR="008D2ADC" w:rsidRPr="008D2ADC" w:rsidRDefault="008D2ADC" w:rsidP="008D2ADC">
            <w:pPr>
              <w:rPr>
                <w:sz w:val="20"/>
              </w:rPr>
            </w:pPr>
          </w:p>
        </w:tc>
      </w:tr>
      <w:tr w:rsidR="008D2ADC" w:rsidRPr="008D2ADC" w14:paraId="7FFA3FF9" w14:textId="77777777" w:rsidTr="008D2ADC">
        <w:trPr>
          <w:trHeight w:val="420"/>
          <w:jc w:val="center"/>
        </w:trPr>
        <w:tc>
          <w:tcPr>
            <w:tcW w:w="1857" w:type="dxa"/>
            <w:tcBorders>
              <w:top w:val="nil"/>
              <w:left w:val="single" w:sz="8" w:space="0" w:color="auto"/>
              <w:bottom w:val="single" w:sz="8" w:space="0" w:color="auto"/>
              <w:right w:val="single" w:sz="8" w:space="0" w:color="auto"/>
            </w:tcBorders>
            <w:shd w:val="clear" w:color="auto" w:fill="auto"/>
            <w:vAlign w:val="center"/>
            <w:hideMark/>
          </w:tcPr>
          <w:p w14:paraId="7BE32F69" w14:textId="77777777" w:rsidR="008D2ADC" w:rsidRPr="008D2ADC" w:rsidRDefault="008D2ADC" w:rsidP="008D2ADC">
            <w:pPr>
              <w:jc w:val="center"/>
              <w:rPr>
                <w:b/>
                <w:bCs/>
                <w:color w:val="000000"/>
                <w:szCs w:val="24"/>
              </w:rPr>
            </w:pPr>
            <w:r w:rsidRPr="008D2ADC">
              <w:rPr>
                <w:b/>
                <w:bCs/>
                <w:color w:val="000000"/>
                <w:szCs w:val="24"/>
              </w:rPr>
              <w:t>U-4</w:t>
            </w:r>
          </w:p>
        </w:tc>
        <w:tc>
          <w:tcPr>
            <w:tcW w:w="2144" w:type="dxa"/>
            <w:tcBorders>
              <w:top w:val="nil"/>
              <w:left w:val="nil"/>
              <w:bottom w:val="single" w:sz="8" w:space="0" w:color="auto"/>
              <w:right w:val="single" w:sz="8" w:space="0" w:color="auto"/>
            </w:tcBorders>
            <w:shd w:val="clear" w:color="auto" w:fill="auto"/>
            <w:vAlign w:val="center"/>
            <w:hideMark/>
          </w:tcPr>
          <w:p w14:paraId="559EBFD6" w14:textId="77777777" w:rsidR="008D2ADC" w:rsidRPr="008D2ADC" w:rsidRDefault="008D2ADC" w:rsidP="008D2ADC">
            <w:pPr>
              <w:jc w:val="center"/>
              <w:rPr>
                <w:b/>
                <w:bCs/>
                <w:color w:val="000000"/>
                <w:szCs w:val="24"/>
              </w:rPr>
            </w:pPr>
            <w:r w:rsidRPr="008D2ADC">
              <w:rPr>
                <w:b/>
                <w:bCs/>
                <w:color w:val="000000"/>
                <w:szCs w:val="24"/>
              </w:rPr>
              <w:t>Nov-22</w:t>
            </w:r>
          </w:p>
        </w:tc>
        <w:tc>
          <w:tcPr>
            <w:tcW w:w="1943" w:type="dxa"/>
            <w:tcBorders>
              <w:top w:val="nil"/>
              <w:left w:val="nil"/>
              <w:bottom w:val="single" w:sz="8" w:space="0" w:color="auto"/>
              <w:right w:val="single" w:sz="8" w:space="0" w:color="auto"/>
            </w:tcBorders>
            <w:shd w:val="clear" w:color="auto" w:fill="auto"/>
            <w:vAlign w:val="center"/>
            <w:hideMark/>
          </w:tcPr>
          <w:p w14:paraId="463255C6" w14:textId="77777777" w:rsidR="008D2ADC" w:rsidRPr="008D2ADC" w:rsidRDefault="008D2ADC" w:rsidP="008D2ADC">
            <w:pPr>
              <w:jc w:val="center"/>
              <w:rPr>
                <w:b/>
                <w:bCs/>
                <w:color w:val="000000"/>
                <w:szCs w:val="24"/>
              </w:rPr>
            </w:pPr>
            <w:r w:rsidRPr="008D2ADC">
              <w:rPr>
                <w:b/>
                <w:bCs/>
                <w:color w:val="000000"/>
                <w:szCs w:val="24"/>
              </w:rPr>
              <w:t>Feb-23</w:t>
            </w:r>
          </w:p>
        </w:tc>
        <w:tc>
          <w:tcPr>
            <w:tcW w:w="3025" w:type="dxa"/>
            <w:tcBorders>
              <w:top w:val="nil"/>
              <w:left w:val="nil"/>
              <w:bottom w:val="single" w:sz="8" w:space="0" w:color="auto"/>
              <w:right w:val="single" w:sz="8" w:space="0" w:color="auto"/>
            </w:tcBorders>
            <w:shd w:val="clear" w:color="auto" w:fill="auto"/>
            <w:vAlign w:val="center"/>
            <w:hideMark/>
          </w:tcPr>
          <w:p w14:paraId="14116F63" w14:textId="77777777" w:rsidR="008D2ADC" w:rsidRPr="008D2ADC" w:rsidRDefault="008D2ADC" w:rsidP="008D2ADC">
            <w:pPr>
              <w:jc w:val="center"/>
              <w:rPr>
                <w:b/>
                <w:bCs/>
                <w:color w:val="000000"/>
                <w:szCs w:val="24"/>
              </w:rPr>
            </w:pPr>
            <w:r w:rsidRPr="008D2ADC">
              <w:rPr>
                <w:b/>
                <w:bCs/>
                <w:color w:val="000000"/>
                <w:szCs w:val="24"/>
              </w:rPr>
              <w:t>3 months</w:t>
            </w:r>
          </w:p>
        </w:tc>
        <w:tc>
          <w:tcPr>
            <w:tcW w:w="91" w:type="dxa"/>
            <w:vAlign w:val="center"/>
            <w:hideMark/>
          </w:tcPr>
          <w:p w14:paraId="7BEAF65D" w14:textId="77777777" w:rsidR="008D2ADC" w:rsidRPr="008D2ADC" w:rsidRDefault="008D2ADC" w:rsidP="008D2ADC">
            <w:pPr>
              <w:rPr>
                <w:sz w:val="20"/>
              </w:rPr>
            </w:pPr>
          </w:p>
        </w:tc>
      </w:tr>
      <w:tr w:rsidR="008D2ADC" w:rsidRPr="008D2ADC" w14:paraId="1DC9B37F" w14:textId="77777777" w:rsidTr="008D2ADC">
        <w:trPr>
          <w:trHeight w:val="396"/>
          <w:jc w:val="center"/>
        </w:trPr>
        <w:tc>
          <w:tcPr>
            <w:tcW w:w="89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E752CC4" w14:textId="5D26959A" w:rsidR="008D2ADC" w:rsidRPr="00087D4A" w:rsidRDefault="00087D4A" w:rsidP="008D2ADC">
            <w:pPr>
              <w:jc w:val="both"/>
              <w:rPr>
                <w:b/>
                <w:bCs/>
                <w:color w:val="000000"/>
                <w:szCs w:val="24"/>
                <w:highlight w:val="black"/>
              </w:rPr>
            </w:pPr>
            <w:proofErr w:type="spellStart"/>
            <w:r w:rsidRPr="00087D4A">
              <w:rPr>
                <w:b/>
                <w:bCs/>
                <w:color w:val="000000"/>
                <w:szCs w:val="24"/>
                <w:highlight w:val="black"/>
              </w:rPr>
              <w:t>XXXXXXXXXXXXXXXXXXXXXXXXXXXXXXXXXXXXXXXXXXXXXXXXXX</w:t>
            </w:r>
            <w:proofErr w:type="spellEnd"/>
          </w:p>
        </w:tc>
        <w:tc>
          <w:tcPr>
            <w:tcW w:w="91" w:type="dxa"/>
            <w:vAlign w:val="center"/>
            <w:hideMark/>
          </w:tcPr>
          <w:p w14:paraId="3043380A" w14:textId="77777777" w:rsidR="008D2ADC" w:rsidRPr="008D2ADC" w:rsidRDefault="008D2ADC" w:rsidP="008D2ADC">
            <w:pPr>
              <w:rPr>
                <w:sz w:val="20"/>
              </w:rPr>
            </w:pPr>
          </w:p>
        </w:tc>
      </w:tr>
      <w:tr w:rsidR="008D2ADC" w:rsidRPr="008D2ADC" w14:paraId="498BB070" w14:textId="77777777" w:rsidTr="008D2ADC">
        <w:trPr>
          <w:trHeight w:val="348"/>
          <w:jc w:val="center"/>
        </w:trPr>
        <w:tc>
          <w:tcPr>
            <w:tcW w:w="89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DF7DD23" w14:textId="2DE94138" w:rsidR="008D2ADC" w:rsidRPr="00087D4A" w:rsidRDefault="00087D4A" w:rsidP="008D2ADC">
            <w:pPr>
              <w:jc w:val="both"/>
              <w:rPr>
                <w:b/>
                <w:bCs/>
                <w:color w:val="000000"/>
                <w:szCs w:val="24"/>
                <w:highlight w:val="black"/>
              </w:rPr>
            </w:pPr>
            <w:proofErr w:type="spellStart"/>
            <w:r w:rsidRPr="00087D4A">
              <w:rPr>
                <w:b/>
                <w:bCs/>
                <w:color w:val="000000"/>
                <w:szCs w:val="24"/>
                <w:highlight w:val="black"/>
              </w:rPr>
              <w:t>XXXXXXXXXXXXXXXXXXXXXXXXXXXXXXXXXXXXXXXXXXXXXXXXXX</w:t>
            </w:r>
            <w:proofErr w:type="spellEnd"/>
          </w:p>
        </w:tc>
        <w:tc>
          <w:tcPr>
            <w:tcW w:w="91" w:type="dxa"/>
            <w:vAlign w:val="center"/>
            <w:hideMark/>
          </w:tcPr>
          <w:p w14:paraId="08EB64EE" w14:textId="77777777" w:rsidR="008D2ADC" w:rsidRPr="008D2ADC" w:rsidRDefault="008D2ADC" w:rsidP="008D2ADC">
            <w:pPr>
              <w:rPr>
                <w:sz w:val="20"/>
              </w:rPr>
            </w:pPr>
          </w:p>
        </w:tc>
      </w:tr>
    </w:tbl>
    <w:p w14:paraId="5BC195F7" w14:textId="77777777" w:rsidR="0011742D" w:rsidRDefault="0011742D" w:rsidP="0011742D">
      <w:pPr>
        <w:jc w:val="center"/>
      </w:pPr>
    </w:p>
    <w:p w14:paraId="033AC647" w14:textId="5F7A9082" w:rsidR="005273CA" w:rsidRDefault="005273CA" w:rsidP="005273CA">
      <w:pPr>
        <w:jc w:val="both"/>
      </w:pPr>
      <w:r>
        <w:t xml:space="preserve">Therefore, the over-all schedule delay cost of $ 1.720 billion, and the production inefficiency cost of $ 2.3 billion, can be shown to account for </w:t>
      </w:r>
      <w:r w:rsidR="007B2729">
        <w:t>all</w:t>
      </w:r>
      <w:r>
        <w:t xml:space="preserve"> the $ 4 billion cost over-run of the TPC.  </w:t>
      </w:r>
    </w:p>
    <w:p w14:paraId="00D536D0" w14:textId="77777777" w:rsidR="005273CA" w:rsidRDefault="005273CA" w:rsidP="005273CA">
      <w:pPr>
        <w:jc w:val="both"/>
      </w:pPr>
    </w:p>
    <w:p w14:paraId="2F3FEE1D" w14:textId="194CD609" w:rsidR="00C81F6C" w:rsidRDefault="005273CA" w:rsidP="00A7697A">
      <w:pPr>
        <w:jc w:val="both"/>
      </w:pPr>
      <w:r>
        <w:rPr>
          <w:b/>
          <w:bCs/>
        </w:rPr>
        <w:t>4.3</w:t>
      </w:r>
      <w:r>
        <w:rPr>
          <w:b/>
          <w:bCs/>
        </w:rPr>
        <w:tab/>
        <w:t xml:space="preserve">Summary </w:t>
      </w:r>
      <w:proofErr w:type="gramStart"/>
      <w:r>
        <w:rPr>
          <w:b/>
          <w:bCs/>
        </w:rPr>
        <w:t>Over-view</w:t>
      </w:r>
      <w:proofErr w:type="gramEnd"/>
      <w:r>
        <w:rPr>
          <w:b/>
          <w:bCs/>
        </w:rPr>
        <w:t xml:space="preserve"> of Negative Cost and Schedule Impacts Caused by Imprudent Management Practices:  </w:t>
      </w:r>
      <w:r>
        <w:t xml:space="preserve">Table 4.3-1 provides a summary history of the reforecast of both TPC and </w:t>
      </w:r>
      <w:proofErr w:type="spellStart"/>
      <w:r>
        <w:t>EAC</w:t>
      </w:r>
      <w:proofErr w:type="spellEnd"/>
      <w:r>
        <w:t xml:space="preserve"> up through April 2023. </w:t>
      </w:r>
    </w:p>
    <w:p w14:paraId="40E34E35" w14:textId="77777777" w:rsidR="0004383B" w:rsidRDefault="0004383B" w:rsidP="00A7697A">
      <w:pPr>
        <w:jc w:val="both"/>
      </w:pPr>
    </w:p>
    <w:p w14:paraId="725D0884" w14:textId="77777777" w:rsidR="00D31F37" w:rsidRPr="00015B9E" w:rsidRDefault="00D31F37">
      <w:pPr>
        <w:rPr>
          <w:b/>
          <w:bCs/>
        </w:rPr>
      </w:pPr>
    </w:p>
    <w:tbl>
      <w:tblPr>
        <w:tblW w:w="10080" w:type="dxa"/>
        <w:tblLook w:val="04A0" w:firstRow="1" w:lastRow="0" w:firstColumn="1" w:lastColumn="0" w:noHBand="0" w:noVBand="1"/>
      </w:tblPr>
      <w:tblGrid>
        <w:gridCol w:w="1300"/>
        <w:gridCol w:w="940"/>
        <w:gridCol w:w="990"/>
        <w:gridCol w:w="681"/>
        <w:gridCol w:w="6220"/>
      </w:tblGrid>
      <w:tr w:rsidR="007C75D1" w:rsidRPr="007C75D1" w14:paraId="7CB5FC39" w14:textId="77777777" w:rsidTr="007C75D1">
        <w:trPr>
          <w:trHeight w:val="300"/>
        </w:trPr>
        <w:tc>
          <w:tcPr>
            <w:tcW w:w="10080" w:type="dxa"/>
            <w:gridSpan w:val="5"/>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43D3F66" w14:textId="0B2CD3A4" w:rsidR="007C75D1" w:rsidRPr="007C75D1" w:rsidRDefault="00385C88" w:rsidP="007C75D1">
            <w:pPr>
              <w:jc w:val="center"/>
              <w:rPr>
                <w:rFonts w:ascii="Calibri" w:hAnsi="Calibri" w:cs="Calibri"/>
                <w:b/>
                <w:bCs/>
                <w:color w:val="000000"/>
                <w:sz w:val="20"/>
              </w:rPr>
            </w:pPr>
            <w:r>
              <w:rPr>
                <w:rFonts w:ascii="Calibri" w:hAnsi="Calibri" w:cs="Calibri"/>
                <w:b/>
                <w:bCs/>
                <w:color w:val="000000"/>
                <w:sz w:val="20"/>
              </w:rPr>
              <w:t xml:space="preserve">Table </w:t>
            </w:r>
            <w:r w:rsidR="002F4778">
              <w:rPr>
                <w:rFonts w:ascii="Calibri" w:hAnsi="Calibri" w:cs="Calibri"/>
                <w:b/>
                <w:bCs/>
                <w:color w:val="000000"/>
                <w:sz w:val="20"/>
              </w:rPr>
              <w:t xml:space="preserve">4.3-1   </w:t>
            </w:r>
            <w:r w:rsidR="007C75D1" w:rsidRPr="007C75D1">
              <w:rPr>
                <w:rFonts w:ascii="Calibri" w:hAnsi="Calibri" w:cs="Calibri"/>
                <w:b/>
                <w:bCs/>
                <w:color w:val="000000"/>
                <w:sz w:val="20"/>
              </w:rPr>
              <w:t>Total Project Cost (TPC) and Forecast COD History, VCM 17 Order (dated January 2018) to April 2023</w:t>
            </w:r>
          </w:p>
        </w:tc>
      </w:tr>
      <w:tr w:rsidR="007C75D1" w:rsidRPr="007C75D1" w14:paraId="1AE7790B" w14:textId="77777777" w:rsidTr="00DD3DF1">
        <w:trPr>
          <w:trHeight w:val="372"/>
        </w:trPr>
        <w:tc>
          <w:tcPr>
            <w:tcW w:w="130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6C9A248B" w14:textId="77777777" w:rsidR="007C75D1" w:rsidRPr="007C75D1" w:rsidRDefault="007C75D1" w:rsidP="007C75D1">
            <w:pPr>
              <w:jc w:val="center"/>
              <w:rPr>
                <w:color w:val="000000"/>
                <w:sz w:val="22"/>
                <w:szCs w:val="22"/>
              </w:rPr>
            </w:pPr>
            <w:r w:rsidRPr="007C75D1">
              <w:rPr>
                <w:color w:val="000000"/>
                <w:sz w:val="22"/>
                <w:szCs w:val="22"/>
              </w:rPr>
              <w:t>Company Data Source</w:t>
            </w:r>
          </w:p>
        </w:tc>
        <w:tc>
          <w:tcPr>
            <w:tcW w:w="1930" w:type="dxa"/>
            <w:gridSpan w:val="2"/>
            <w:tcBorders>
              <w:top w:val="single" w:sz="8" w:space="0" w:color="auto"/>
              <w:left w:val="nil"/>
              <w:bottom w:val="single" w:sz="8" w:space="0" w:color="auto"/>
              <w:right w:val="single" w:sz="8" w:space="0" w:color="000000"/>
            </w:tcBorders>
            <w:shd w:val="clear" w:color="000000" w:fill="FFF2CC"/>
            <w:noWrap/>
            <w:vAlign w:val="center"/>
            <w:hideMark/>
          </w:tcPr>
          <w:p w14:paraId="7078E2DA" w14:textId="0B243DFF" w:rsidR="007C75D1" w:rsidRPr="007C75D1" w:rsidRDefault="00857C05" w:rsidP="00223F1D">
            <w:pPr>
              <w:rPr>
                <w:rFonts w:ascii="Calibri" w:hAnsi="Calibri" w:cs="Calibri"/>
                <w:sz w:val="22"/>
                <w:szCs w:val="22"/>
              </w:rPr>
            </w:pPr>
            <w:proofErr w:type="spellStart"/>
            <w:r>
              <w:rPr>
                <w:rFonts w:ascii="Calibri" w:hAnsi="Calibri" w:cs="Calibri"/>
                <w:sz w:val="22"/>
                <w:szCs w:val="22"/>
              </w:rPr>
              <w:t>CA’d</w:t>
            </w:r>
            <w:proofErr w:type="spellEnd"/>
            <w:r w:rsidR="007C75D1" w:rsidRPr="007C75D1">
              <w:rPr>
                <w:rFonts w:ascii="Calibri" w:hAnsi="Calibri" w:cs="Calibri"/>
                <w:sz w:val="22"/>
                <w:szCs w:val="22"/>
              </w:rPr>
              <w:t>/ RAS CODs</w:t>
            </w:r>
            <w:r w:rsidR="00A005D1">
              <w:rPr>
                <w:rStyle w:val="FootnoteReference"/>
                <w:rFonts w:ascii="Calibri" w:hAnsi="Calibri" w:cs="Calibri"/>
                <w:sz w:val="22"/>
                <w:szCs w:val="22"/>
              </w:rPr>
              <w:footnoteReference w:id="29"/>
            </w:r>
          </w:p>
        </w:tc>
        <w:tc>
          <w:tcPr>
            <w:tcW w:w="63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68A3B6DC" w14:textId="77777777" w:rsidR="007C75D1" w:rsidRPr="007C75D1" w:rsidRDefault="007C75D1" w:rsidP="007C75D1">
            <w:pPr>
              <w:jc w:val="center"/>
              <w:rPr>
                <w:color w:val="000000"/>
                <w:sz w:val="22"/>
                <w:szCs w:val="22"/>
              </w:rPr>
            </w:pPr>
            <w:r w:rsidRPr="007C75D1">
              <w:rPr>
                <w:color w:val="000000"/>
                <w:sz w:val="22"/>
                <w:szCs w:val="22"/>
              </w:rPr>
              <w:t>Total TPC</w:t>
            </w:r>
          </w:p>
        </w:tc>
        <w:tc>
          <w:tcPr>
            <w:tcW w:w="6220" w:type="dxa"/>
            <w:vMerge w:val="restart"/>
            <w:tcBorders>
              <w:top w:val="nil"/>
              <w:left w:val="single" w:sz="8" w:space="0" w:color="auto"/>
              <w:bottom w:val="single" w:sz="8" w:space="0" w:color="000000"/>
              <w:right w:val="single" w:sz="8" w:space="0" w:color="auto"/>
            </w:tcBorders>
            <w:shd w:val="clear" w:color="000000" w:fill="FFF2CC"/>
            <w:noWrap/>
            <w:vAlign w:val="center"/>
            <w:hideMark/>
          </w:tcPr>
          <w:p w14:paraId="6BAB04E3" w14:textId="77777777" w:rsidR="007C75D1" w:rsidRPr="007C75D1" w:rsidRDefault="007C75D1" w:rsidP="007C75D1">
            <w:pPr>
              <w:jc w:val="center"/>
              <w:rPr>
                <w:color w:val="000000"/>
                <w:sz w:val="22"/>
                <w:szCs w:val="22"/>
              </w:rPr>
            </w:pPr>
            <w:r w:rsidRPr="007C75D1">
              <w:rPr>
                <w:color w:val="000000"/>
                <w:sz w:val="22"/>
                <w:szCs w:val="22"/>
              </w:rPr>
              <w:t>Remarks</w:t>
            </w:r>
          </w:p>
        </w:tc>
      </w:tr>
      <w:tr w:rsidR="007C75D1" w:rsidRPr="007C75D1" w14:paraId="3AB781B8" w14:textId="77777777" w:rsidTr="00DD3DF1">
        <w:trPr>
          <w:trHeight w:val="187"/>
        </w:trPr>
        <w:tc>
          <w:tcPr>
            <w:tcW w:w="1300" w:type="dxa"/>
            <w:vMerge/>
            <w:tcBorders>
              <w:top w:val="nil"/>
              <w:left w:val="single" w:sz="8" w:space="0" w:color="auto"/>
              <w:bottom w:val="single" w:sz="8" w:space="0" w:color="000000"/>
              <w:right w:val="single" w:sz="8" w:space="0" w:color="auto"/>
            </w:tcBorders>
            <w:vAlign w:val="center"/>
            <w:hideMark/>
          </w:tcPr>
          <w:p w14:paraId="3D1B6926" w14:textId="77777777" w:rsidR="007C75D1" w:rsidRPr="007C75D1" w:rsidRDefault="007C75D1" w:rsidP="007C75D1">
            <w:pPr>
              <w:rPr>
                <w:color w:val="000000"/>
                <w:sz w:val="22"/>
                <w:szCs w:val="22"/>
              </w:rPr>
            </w:pPr>
          </w:p>
        </w:tc>
        <w:tc>
          <w:tcPr>
            <w:tcW w:w="940" w:type="dxa"/>
            <w:tcBorders>
              <w:top w:val="nil"/>
              <w:left w:val="nil"/>
              <w:bottom w:val="single" w:sz="8" w:space="0" w:color="auto"/>
              <w:right w:val="single" w:sz="8" w:space="0" w:color="auto"/>
            </w:tcBorders>
            <w:shd w:val="clear" w:color="000000" w:fill="FFF2CC"/>
            <w:noWrap/>
            <w:vAlign w:val="center"/>
            <w:hideMark/>
          </w:tcPr>
          <w:p w14:paraId="5F9D9B96" w14:textId="77777777" w:rsidR="007C75D1" w:rsidRPr="007C75D1" w:rsidRDefault="007C75D1" w:rsidP="007C75D1">
            <w:pPr>
              <w:jc w:val="center"/>
              <w:rPr>
                <w:color w:val="000000"/>
                <w:sz w:val="22"/>
                <w:szCs w:val="22"/>
              </w:rPr>
            </w:pPr>
            <w:r w:rsidRPr="007C75D1">
              <w:rPr>
                <w:color w:val="000000"/>
                <w:sz w:val="22"/>
                <w:szCs w:val="22"/>
              </w:rPr>
              <w:t>U-3</w:t>
            </w:r>
          </w:p>
        </w:tc>
        <w:tc>
          <w:tcPr>
            <w:tcW w:w="990" w:type="dxa"/>
            <w:tcBorders>
              <w:top w:val="nil"/>
              <w:left w:val="nil"/>
              <w:bottom w:val="single" w:sz="8" w:space="0" w:color="auto"/>
              <w:right w:val="single" w:sz="8" w:space="0" w:color="auto"/>
            </w:tcBorders>
            <w:shd w:val="clear" w:color="000000" w:fill="FFF2CC"/>
            <w:noWrap/>
            <w:vAlign w:val="center"/>
            <w:hideMark/>
          </w:tcPr>
          <w:p w14:paraId="3C66BFF4" w14:textId="77777777" w:rsidR="007C75D1" w:rsidRPr="007C75D1" w:rsidRDefault="007C75D1" w:rsidP="007C75D1">
            <w:pPr>
              <w:jc w:val="center"/>
              <w:rPr>
                <w:color w:val="000000"/>
                <w:sz w:val="22"/>
                <w:szCs w:val="22"/>
              </w:rPr>
            </w:pPr>
            <w:r w:rsidRPr="007C75D1">
              <w:rPr>
                <w:color w:val="000000"/>
                <w:sz w:val="22"/>
                <w:szCs w:val="22"/>
              </w:rPr>
              <w:t>U-4</w:t>
            </w:r>
          </w:p>
        </w:tc>
        <w:tc>
          <w:tcPr>
            <w:tcW w:w="630" w:type="dxa"/>
            <w:vMerge/>
            <w:tcBorders>
              <w:top w:val="nil"/>
              <w:left w:val="single" w:sz="8" w:space="0" w:color="auto"/>
              <w:bottom w:val="single" w:sz="8" w:space="0" w:color="000000"/>
              <w:right w:val="single" w:sz="8" w:space="0" w:color="auto"/>
            </w:tcBorders>
            <w:vAlign w:val="center"/>
            <w:hideMark/>
          </w:tcPr>
          <w:p w14:paraId="4CDED426" w14:textId="77777777" w:rsidR="007C75D1" w:rsidRPr="007C75D1" w:rsidRDefault="007C75D1" w:rsidP="007C75D1">
            <w:pPr>
              <w:rPr>
                <w:color w:val="000000"/>
                <w:sz w:val="22"/>
                <w:szCs w:val="22"/>
              </w:rPr>
            </w:pPr>
          </w:p>
        </w:tc>
        <w:tc>
          <w:tcPr>
            <w:tcW w:w="6220" w:type="dxa"/>
            <w:vMerge/>
            <w:tcBorders>
              <w:top w:val="nil"/>
              <w:left w:val="single" w:sz="8" w:space="0" w:color="auto"/>
              <w:bottom w:val="single" w:sz="8" w:space="0" w:color="000000"/>
              <w:right w:val="single" w:sz="8" w:space="0" w:color="auto"/>
            </w:tcBorders>
            <w:vAlign w:val="center"/>
            <w:hideMark/>
          </w:tcPr>
          <w:p w14:paraId="1B7D8DD9" w14:textId="77777777" w:rsidR="007C75D1" w:rsidRPr="007C75D1" w:rsidRDefault="007C75D1" w:rsidP="007C75D1">
            <w:pPr>
              <w:rPr>
                <w:color w:val="000000"/>
                <w:sz w:val="22"/>
                <w:szCs w:val="22"/>
              </w:rPr>
            </w:pPr>
          </w:p>
        </w:tc>
      </w:tr>
      <w:tr w:rsidR="007C75D1" w:rsidRPr="007C75D1" w14:paraId="1098AACA" w14:textId="77777777" w:rsidTr="00DD3DF1">
        <w:trPr>
          <w:trHeight w:val="300"/>
        </w:trPr>
        <w:tc>
          <w:tcPr>
            <w:tcW w:w="1300" w:type="dxa"/>
            <w:tcBorders>
              <w:top w:val="nil"/>
              <w:left w:val="single" w:sz="8" w:space="0" w:color="auto"/>
              <w:bottom w:val="single" w:sz="8" w:space="0" w:color="auto"/>
              <w:right w:val="single" w:sz="8" w:space="0" w:color="auto"/>
            </w:tcBorders>
            <w:shd w:val="clear" w:color="000000" w:fill="FFF2CC"/>
            <w:noWrap/>
            <w:vAlign w:val="center"/>
            <w:hideMark/>
          </w:tcPr>
          <w:p w14:paraId="2CF8390D" w14:textId="77777777" w:rsidR="007C75D1" w:rsidRPr="007C75D1" w:rsidRDefault="007C75D1" w:rsidP="007C75D1">
            <w:pPr>
              <w:jc w:val="center"/>
              <w:rPr>
                <w:color w:val="000000"/>
                <w:sz w:val="22"/>
                <w:szCs w:val="22"/>
              </w:rPr>
            </w:pPr>
            <w:r w:rsidRPr="007C75D1">
              <w:rPr>
                <w:color w:val="000000"/>
                <w:sz w:val="22"/>
                <w:szCs w:val="22"/>
              </w:rPr>
              <w:t>See Remarks</w:t>
            </w:r>
          </w:p>
        </w:tc>
        <w:tc>
          <w:tcPr>
            <w:tcW w:w="940" w:type="dxa"/>
            <w:tcBorders>
              <w:top w:val="nil"/>
              <w:left w:val="nil"/>
              <w:bottom w:val="single" w:sz="8" w:space="0" w:color="auto"/>
              <w:right w:val="single" w:sz="8" w:space="0" w:color="auto"/>
            </w:tcBorders>
            <w:shd w:val="clear" w:color="000000" w:fill="FFF2CC"/>
            <w:vAlign w:val="center"/>
            <w:hideMark/>
          </w:tcPr>
          <w:p w14:paraId="49B16CF5" w14:textId="77777777" w:rsidR="007C75D1" w:rsidRPr="007C75D1" w:rsidRDefault="007C75D1" w:rsidP="007C75D1">
            <w:pPr>
              <w:jc w:val="center"/>
              <w:rPr>
                <w:color w:val="000000"/>
                <w:sz w:val="22"/>
                <w:szCs w:val="22"/>
              </w:rPr>
            </w:pPr>
            <w:r w:rsidRPr="007C75D1">
              <w:rPr>
                <w:color w:val="000000"/>
                <w:sz w:val="22"/>
                <w:szCs w:val="22"/>
              </w:rPr>
              <w:t>Nov-21</w:t>
            </w:r>
          </w:p>
        </w:tc>
        <w:tc>
          <w:tcPr>
            <w:tcW w:w="990" w:type="dxa"/>
            <w:tcBorders>
              <w:top w:val="nil"/>
              <w:left w:val="nil"/>
              <w:bottom w:val="single" w:sz="8" w:space="0" w:color="auto"/>
              <w:right w:val="single" w:sz="8" w:space="0" w:color="auto"/>
            </w:tcBorders>
            <w:shd w:val="clear" w:color="000000" w:fill="FFF2CC"/>
            <w:vAlign w:val="center"/>
            <w:hideMark/>
          </w:tcPr>
          <w:p w14:paraId="36ADC68D" w14:textId="77777777" w:rsidR="007C75D1" w:rsidRPr="007C75D1" w:rsidRDefault="007C75D1" w:rsidP="007C75D1">
            <w:pPr>
              <w:jc w:val="center"/>
              <w:rPr>
                <w:color w:val="000000"/>
                <w:sz w:val="22"/>
                <w:szCs w:val="22"/>
              </w:rPr>
            </w:pPr>
            <w:r w:rsidRPr="007C75D1">
              <w:rPr>
                <w:color w:val="000000"/>
                <w:sz w:val="22"/>
                <w:szCs w:val="22"/>
              </w:rPr>
              <w:t>Nov-22</w:t>
            </w:r>
          </w:p>
        </w:tc>
        <w:tc>
          <w:tcPr>
            <w:tcW w:w="630" w:type="dxa"/>
            <w:tcBorders>
              <w:top w:val="nil"/>
              <w:left w:val="nil"/>
              <w:bottom w:val="single" w:sz="8" w:space="0" w:color="auto"/>
              <w:right w:val="single" w:sz="8" w:space="0" w:color="auto"/>
            </w:tcBorders>
            <w:shd w:val="clear" w:color="000000" w:fill="FFF2CC"/>
            <w:noWrap/>
            <w:vAlign w:val="center"/>
            <w:hideMark/>
          </w:tcPr>
          <w:p w14:paraId="43A6D701" w14:textId="77777777" w:rsidR="007C75D1" w:rsidRPr="007C75D1" w:rsidRDefault="007C75D1" w:rsidP="007C75D1">
            <w:pPr>
              <w:jc w:val="center"/>
              <w:rPr>
                <w:color w:val="000000"/>
                <w:sz w:val="22"/>
                <w:szCs w:val="22"/>
              </w:rPr>
            </w:pPr>
            <w:r w:rsidRPr="007C75D1">
              <w:rPr>
                <w:color w:val="000000"/>
                <w:sz w:val="22"/>
                <w:szCs w:val="22"/>
              </w:rPr>
              <w:t>17.1</w:t>
            </w:r>
          </w:p>
        </w:tc>
        <w:tc>
          <w:tcPr>
            <w:tcW w:w="6220" w:type="dxa"/>
            <w:tcBorders>
              <w:top w:val="nil"/>
              <w:left w:val="nil"/>
              <w:bottom w:val="single" w:sz="8" w:space="0" w:color="auto"/>
              <w:right w:val="single" w:sz="8" w:space="0" w:color="auto"/>
            </w:tcBorders>
            <w:shd w:val="clear" w:color="000000" w:fill="FFF2CC"/>
            <w:noWrap/>
            <w:vAlign w:val="center"/>
            <w:hideMark/>
          </w:tcPr>
          <w:p w14:paraId="72931BA6" w14:textId="77777777" w:rsidR="007C75D1" w:rsidRPr="007C75D1" w:rsidRDefault="007C75D1" w:rsidP="007C75D1">
            <w:pPr>
              <w:jc w:val="center"/>
              <w:rPr>
                <w:b/>
                <w:bCs/>
                <w:color w:val="000000"/>
                <w:sz w:val="22"/>
                <w:szCs w:val="22"/>
              </w:rPr>
            </w:pPr>
            <w:r w:rsidRPr="007C75D1">
              <w:rPr>
                <w:b/>
                <w:bCs/>
                <w:color w:val="000000"/>
                <w:sz w:val="22"/>
                <w:szCs w:val="22"/>
              </w:rPr>
              <w:t>Starting point is VCM Order 17, dated Jan 2018</w:t>
            </w:r>
          </w:p>
        </w:tc>
      </w:tr>
      <w:tr w:rsidR="007C75D1" w:rsidRPr="007C75D1" w14:paraId="440AEC1A" w14:textId="77777777" w:rsidTr="00DD3DF1">
        <w:trPr>
          <w:trHeight w:val="2244"/>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4BDCC80C" w14:textId="77777777" w:rsidR="007C75D1" w:rsidRPr="007C75D1" w:rsidRDefault="007C75D1" w:rsidP="007C75D1">
            <w:pPr>
              <w:jc w:val="center"/>
              <w:rPr>
                <w:color w:val="000000"/>
                <w:sz w:val="22"/>
                <w:szCs w:val="22"/>
              </w:rPr>
            </w:pPr>
            <w:r w:rsidRPr="007C75D1">
              <w:rPr>
                <w:color w:val="000000"/>
                <w:sz w:val="22"/>
                <w:szCs w:val="22"/>
              </w:rPr>
              <w:t xml:space="preserve">Apr 2019 </w:t>
            </w:r>
            <w:proofErr w:type="spellStart"/>
            <w:r w:rsidRPr="007C75D1">
              <w:rPr>
                <w:color w:val="000000"/>
                <w:sz w:val="22"/>
                <w:szCs w:val="22"/>
              </w:rPr>
              <w:t>VPMB</w:t>
            </w:r>
            <w:proofErr w:type="spellEnd"/>
            <w:r w:rsidRPr="007C75D1">
              <w:rPr>
                <w:color w:val="000000"/>
                <w:sz w:val="22"/>
                <w:szCs w:val="22"/>
              </w:rPr>
              <w:t xml:space="preserve"> &amp; Baseline</w:t>
            </w:r>
          </w:p>
        </w:tc>
        <w:tc>
          <w:tcPr>
            <w:tcW w:w="940" w:type="dxa"/>
            <w:tcBorders>
              <w:top w:val="nil"/>
              <w:left w:val="nil"/>
              <w:bottom w:val="single" w:sz="8" w:space="0" w:color="auto"/>
              <w:right w:val="single" w:sz="8" w:space="0" w:color="auto"/>
            </w:tcBorders>
            <w:shd w:val="clear" w:color="auto" w:fill="auto"/>
            <w:vAlign w:val="center"/>
            <w:hideMark/>
          </w:tcPr>
          <w:p w14:paraId="6FF344D4" w14:textId="77777777" w:rsidR="007C75D1" w:rsidRPr="007C75D1" w:rsidRDefault="007C75D1" w:rsidP="007C75D1">
            <w:pPr>
              <w:jc w:val="center"/>
              <w:rPr>
                <w:color w:val="000000"/>
                <w:sz w:val="22"/>
                <w:szCs w:val="22"/>
              </w:rPr>
            </w:pPr>
            <w:r w:rsidRPr="007C75D1">
              <w:rPr>
                <w:color w:val="000000"/>
                <w:sz w:val="22"/>
                <w:szCs w:val="22"/>
              </w:rPr>
              <w:t>Nov-21</w:t>
            </w:r>
          </w:p>
        </w:tc>
        <w:tc>
          <w:tcPr>
            <w:tcW w:w="990" w:type="dxa"/>
            <w:tcBorders>
              <w:top w:val="nil"/>
              <w:left w:val="nil"/>
              <w:bottom w:val="single" w:sz="8" w:space="0" w:color="auto"/>
              <w:right w:val="single" w:sz="8" w:space="0" w:color="auto"/>
            </w:tcBorders>
            <w:shd w:val="clear" w:color="auto" w:fill="auto"/>
            <w:vAlign w:val="center"/>
            <w:hideMark/>
          </w:tcPr>
          <w:p w14:paraId="62A47C5D" w14:textId="77777777" w:rsidR="007C75D1" w:rsidRPr="007C75D1" w:rsidRDefault="007C75D1" w:rsidP="007C75D1">
            <w:pPr>
              <w:jc w:val="center"/>
              <w:rPr>
                <w:color w:val="000000"/>
                <w:sz w:val="22"/>
                <w:szCs w:val="22"/>
              </w:rPr>
            </w:pPr>
            <w:r w:rsidRPr="007C75D1">
              <w:rPr>
                <w:color w:val="000000"/>
                <w:sz w:val="22"/>
                <w:szCs w:val="22"/>
              </w:rPr>
              <w:t>Nov-22</w:t>
            </w:r>
          </w:p>
        </w:tc>
        <w:tc>
          <w:tcPr>
            <w:tcW w:w="630" w:type="dxa"/>
            <w:tcBorders>
              <w:top w:val="nil"/>
              <w:left w:val="nil"/>
              <w:bottom w:val="single" w:sz="8" w:space="0" w:color="auto"/>
              <w:right w:val="single" w:sz="8" w:space="0" w:color="auto"/>
            </w:tcBorders>
            <w:shd w:val="clear" w:color="auto" w:fill="auto"/>
            <w:noWrap/>
            <w:vAlign w:val="center"/>
            <w:hideMark/>
          </w:tcPr>
          <w:p w14:paraId="5B43E5A8" w14:textId="77777777" w:rsidR="007C75D1" w:rsidRPr="007C75D1" w:rsidRDefault="007C75D1" w:rsidP="007C75D1">
            <w:pPr>
              <w:jc w:val="center"/>
              <w:rPr>
                <w:color w:val="000000"/>
                <w:sz w:val="22"/>
                <w:szCs w:val="22"/>
              </w:rPr>
            </w:pPr>
            <w:r w:rsidRPr="007C75D1">
              <w:rPr>
                <w:color w:val="000000"/>
                <w:sz w:val="22"/>
                <w:szCs w:val="22"/>
              </w:rPr>
              <w:t>17.1</w:t>
            </w:r>
          </w:p>
        </w:tc>
        <w:tc>
          <w:tcPr>
            <w:tcW w:w="6220" w:type="dxa"/>
            <w:tcBorders>
              <w:top w:val="nil"/>
              <w:left w:val="nil"/>
              <w:bottom w:val="single" w:sz="8" w:space="0" w:color="auto"/>
              <w:right w:val="single" w:sz="8" w:space="0" w:color="auto"/>
            </w:tcBorders>
            <w:shd w:val="clear" w:color="auto" w:fill="auto"/>
            <w:vAlign w:val="center"/>
            <w:hideMark/>
          </w:tcPr>
          <w:p w14:paraId="56CE511F" w14:textId="6BDC00E6" w:rsidR="007C75D1" w:rsidRPr="007C75D1" w:rsidRDefault="007C75D1" w:rsidP="007C75D1">
            <w:pPr>
              <w:jc w:val="both"/>
              <w:rPr>
                <w:color w:val="000000"/>
                <w:sz w:val="22"/>
                <w:szCs w:val="22"/>
              </w:rPr>
            </w:pPr>
            <w:r w:rsidRPr="007C75D1">
              <w:rPr>
                <w:color w:val="000000"/>
                <w:sz w:val="22"/>
                <w:szCs w:val="22"/>
              </w:rPr>
              <w:t>Basis of Estimate (BOE) for SWP</w:t>
            </w:r>
            <w:r w:rsidR="00B618AD">
              <w:rPr>
                <w:color w:val="000000"/>
                <w:sz w:val="22"/>
                <w:szCs w:val="22"/>
              </w:rPr>
              <w:t>s</w:t>
            </w:r>
            <w:r w:rsidRPr="007C75D1">
              <w:rPr>
                <w:color w:val="000000"/>
                <w:sz w:val="22"/>
                <w:szCs w:val="22"/>
              </w:rPr>
              <w:t xml:space="preserve"> </w:t>
            </w:r>
            <w:r w:rsidR="00B618AD">
              <w:rPr>
                <w:color w:val="000000"/>
                <w:sz w:val="22"/>
                <w:szCs w:val="22"/>
              </w:rPr>
              <w:t>were</w:t>
            </w:r>
            <w:r w:rsidR="00B618AD" w:rsidRPr="007C75D1">
              <w:rPr>
                <w:color w:val="000000"/>
                <w:sz w:val="22"/>
                <w:szCs w:val="22"/>
              </w:rPr>
              <w:t xml:space="preserve"> </w:t>
            </w:r>
            <w:r w:rsidRPr="007C75D1">
              <w:rPr>
                <w:color w:val="000000"/>
                <w:sz w:val="22"/>
                <w:szCs w:val="22"/>
              </w:rPr>
              <w:t xml:space="preserve">flawed such that a “false margin” existed between the SWP and </w:t>
            </w:r>
            <w:r w:rsidR="00B618AD" w:rsidRPr="007C75D1">
              <w:rPr>
                <w:color w:val="000000"/>
                <w:sz w:val="22"/>
                <w:szCs w:val="22"/>
              </w:rPr>
              <w:t>R</w:t>
            </w:r>
            <w:r w:rsidR="00B618AD">
              <w:rPr>
                <w:color w:val="000000"/>
                <w:sz w:val="22"/>
                <w:szCs w:val="22"/>
              </w:rPr>
              <w:t>A</w:t>
            </w:r>
            <w:r w:rsidR="00B618AD" w:rsidRPr="007C75D1">
              <w:rPr>
                <w:color w:val="000000"/>
                <w:sz w:val="22"/>
                <w:szCs w:val="22"/>
              </w:rPr>
              <w:t xml:space="preserve"> </w:t>
            </w:r>
            <w:r w:rsidRPr="007C75D1">
              <w:rPr>
                <w:color w:val="000000"/>
                <w:sz w:val="22"/>
                <w:szCs w:val="22"/>
              </w:rPr>
              <w:t xml:space="preserve">CODs, and company should have known better.  </w:t>
            </w:r>
            <w:proofErr w:type="gramStart"/>
            <w:r w:rsidRPr="007C75D1">
              <w:rPr>
                <w:color w:val="000000"/>
                <w:sz w:val="22"/>
                <w:szCs w:val="22"/>
              </w:rPr>
              <w:t>Company</w:t>
            </w:r>
            <w:proofErr w:type="gramEnd"/>
            <w:r w:rsidRPr="007C75D1">
              <w:rPr>
                <w:color w:val="000000"/>
                <w:sz w:val="22"/>
                <w:szCs w:val="22"/>
              </w:rPr>
              <w:t xml:space="preserve"> attempting to cover the going forward risks with unplanned/ large contingencies and unrealistic improvements.  Yet, the </w:t>
            </w:r>
            <w:r w:rsidR="00B618AD">
              <w:rPr>
                <w:color w:val="000000"/>
                <w:sz w:val="22"/>
                <w:szCs w:val="22"/>
              </w:rPr>
              <w:t>C</w:t>
            </w:r>
            <w:r w:rsidRPr="007C75D1">
              <w:rPr>
                <w:color w:val="000000"/>
                <w:sz w:val="22"/>
                <w:szCs w:val="22"/>
              </w:rPr>
              <w:t xml:space="preserve">ompany was directed to (and did) validate quantities and committed to this TPC and </w:t>
            </w:r>
            <w:proofErr w:type="spellStart"/>
            <w:r w:rsidRPr="007C75D1">
              <w:rPr>
                <w:color w:val="000000"/>
                <w:sz w:val="22"/>
                <w:szCs w:val="22"/>
              </w:rPr>
              <w:t>R</w:t>
            </w:r>
            <w:r w:rsidR="00B618AD">
              <w:rPr>
                <w:color w:val="000000"/>
                <w:sz w:val="22"/>
                <w:szCs w:val="22"/>
              </w:rPr>
              <w:t>A</w:t>
            </w:r>
            <w:r w:rsidRPr="007C75D1">
              <w:rPr>
                <w:color w:val="000000"/>
                <w:sz w:val="22"/>
                <w:szCs w:val="22"/>
              </w:rPr>
              <w:t>’d</w:t>
            </w:r>
            <w:proofErr w:type="spellEnd"/>
            <w:r w:rsidRPr="007C75D1">
              <w:rPr>
                <w:color w:val="000000"/>
                <w:sz w:val="22"/>
                <w:szCs w:val="22"/>
              </w:rPr>
              <w:t xml:space="preserve"> CODs, </w:t>
            </w:r>
            <w:r w:rsidRPr="007C75D1">
              <w:rPr>
                <w:b/>
                <w:bCs/>
                <w:color w:val="000000"/>
                <w:sz w:val="22"/>
                <w:szCs w:val="22"/>
              </w:rPr>
              <w:t xml:space="preserve">therefore, these CODs and TPC should be treated </w:t>
            </w:r>
            <w:r w:rsidR="002B0E5B">
              <w:rPr>
                <w:b/>
                <w:bCs/>
                <w:color w:val="000000"/>
                <w:sz w:val="22"/>
                <w:szCs w:val="22"/>
              </w:rPr>
              <w:t xml:space="preserve">in a sense </w:t>
            </w:r>
            <w:r w:rsidRPr="007C75D1">
              <w:rPr>
                <w:b/>
                <w:bCs/>
                <w:color w:val="000000"/>
                <w:sz w:val="22"/>
                <w:szCs w:val="22"/>
              </w:rPr>
              <w:t xml:space="preserve">as </w:t>
            </w:r>
            <w:r w:rsidR="002B0E5B">
              <w:rPr>
                <w:b/>
                <w:bCs/>
                <w:color w:val="000000"/>
                <w:sz w:val="22"/>
                <w:szCs w:val="22"/>
              </w:rPr>
              <w:t xml:space="preserve">contractual requirements </w:t>
            </w:r>
            <w:r w:rsidRPr="007C75D1">
              <w:rPr>
                <w:b/>
                <w:bCs/>
                <w:color w:val="000000"/>
                <w:sz w:val="22"/>
                <w:szCs w:val="22"/>
              </w:rPr>
              <w:t xml:space="preserve">beyond which </w:t>
            </w:r>
            <w:r w:rsidR="002B0E5B">
              <w:rPr>
                <w:b/>
                <w:bCs/>
                <w:color w:val="000000"/>
                <w:sz w:val="22"/>
                <w:szCs w:val="22"/>
              </w:rPr>
              <w:t xml:space="preserve">(in the absence of uncontrollable events) </w:t>
            </w:r>
            <w:r w:rsidRPr="007C75D1">
              <w:rPr>
                <w:b/>
                <w:bCs/>
                <w:color w:val="000000"/>
                <w:sz w:val="22"/>
                <w:szCs w:val="22"/>
              </w:rPr>
              <w:t>the company is held financially accountable.</w:t>
            </w:r>
          </w:p>
        </w:tc>
      </w:tr>
      <w:tr w:rsidR="007C75D1" w:rsidRPr="007C75D1" w14:paraId="03CDF0E2" w14:textId="77777777" w:rsidTr="00DD3DF1">
        <w:trPr>
          <w:trHeight w:val="1321"/>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7210731D" w14:textId="77777777" w:rsidR="007C75D1" w:rsidRPr="007C75D1" w:rsidRDefault="007C75D1" w:rsidP="007C75D1">
            <w:pPr>
              <w:jc w:val="center"/>
              <w:rPr>
                <w:color w:val="000000"/>
                <w:sz w:val="22"/>
                <w:szCs w:val="22"/>
              </w:rPr>
            </w:pPr>
            <w:r w:rsidRPr="007C75D1">
              <w:rPr>
                <w:color w:val="000000"/>
                <w:sz w:val="22"/>
                <w:szCs w:val="22"/>
              </w:rPr>
              <w:t xml:space="preserve">Feb 2021 </w:t>
            </w:r>
            <w:proofErr w:type="spellStart"/>
            <w:r w:rsidRPr="007C75D1">
              <w:rPr>
                <w:color w:val="000000"/>
                <w:sz w:val="22"/>
                <w:szCs w:val="22"/>
              </w:rPr>
              <w:t>VPMB</w:t>
            </w:r>
            <w:proofErr w:type="spellEnd"/>
          </w:p>
        </w:tc>
        <w:tc>
          <w:tcPr>
            <w:tcW w:w="940" w:type="dxa"/>
            <w:tcBorders>
              <w:top w:val="nil"/>
              <w:left w:val="nil"/>
              <w:bottom w:val="single" w:sz="8" w:space="0" w:color="auto"/>
              <w:right w:val="single" w:sz="8" w:space="0" w:color="auto"/>
            </w:tcBorders>
            <w:shd w:val="clear" w:color="auto" w:fill="auto"/>
            <w:vAlign w:val="center"/>
            <w:hideMark/>
          </w:tcPr>
          <w:p w14:paraId="7C1D1F49" w14:textId="77777777" w:rsidR="007C75D1" w:rsidRPr="007C75D1" w:rsidRDefault="007C75D1" w:rsidP="007C75D1">
            <w:pPr>
              <w:jc w:val="center"/>
              <w:rPr>
                <w:color w:val="000000"/>
                <w:sz w:val="22"/>
                <w:szCs w:val="22"/>
              </w:rPr>
            </w:pPr>
            <w:r w:rsidRPr="007C75D1">
              <w:rPr>
                <w:color w:val="000000"/>
                <w:sz w:val="22"/>
                <w:szCs w:val="22"/>
              </w:rPr>
              <w:t>Nov-21</w:t>
            </w:r>
          </w:p>
        </w:tc>
        <w:tc>
          <w:tcPr>
            <w:tcW w:w="990" w:type="dxa"/>
            <w:tcBorders>
              <w:top w:val="nil"/>
              <w:left w:val="nil"/>
              <w:bottom w:val="single" w:sz="8" w:space="0" w:color="auto"/>
              <w:right w:val="single" w:sz="8" w:space="0" w:color="auto"/>
            </w:tcBorders>
            <w:shd w:val="clear" w:color="auto" w:fill="auto"/>
            <w:vAlign w:val="center"/>
            <w:hideMark/>
          </w:tcPr>
          <w:p w14:paraId="04462830" w14:textId="77777777" w:rsidR="007C75D1" w:rsidRPr="007C75D1" w:rsidRDefault="007C75D1" w:rsidP="007C75D1">
            <w:pPr>
              <w:jc w:val="center"/>
              <w:rPr>
                <w:color w:val="000000"/>
                <w:sz w:val="22"/>
                <w:szCs w:val="22"/>
              </w:rPr>
            </w:pPr>
            <w:r w:rsidRPr="007C75D1">
              <w:rPr>
                <w:color w:val="000000"/>
                <w:sz w:val="22"/>
                <w:szCs w:val="22"/>
              </w:rPr>
              <w:t>Nov-22</w:t>
            </w:r>
          </w:p>
        </w:tc>
        <w:tc>
          <w:tcPr>
            <w:tcW w:w="630" w:type="dxa"/>
            <w:tcBorders>
              <w:top w:val="nil"/>
              <w:left w:val="nil"/>
              <w:bottom w:val="single" w:sz="8" w:space="0" w:color="auto"/>
              <w:right w:val="single" w:sz="8" w:space="0" w:color="auto"/>
            </w:tcBorders>
            <w:shd w:val="clear" w:color="auto" w:fill="auto"/>
            <w:noWrap/>
            <w:vAlign w:val="center"/>
            <w:hideMark/>
          </w:tcPr>
          <w:p w14:paraId="128065E0" w14:textId="77777777" w:rsidR="007C75D1" w:rsidRPr="007C75D1" w:rsidRDefault="007C75D1" w:rsidP="007C75D1">
            <w:pPr>
              <w:jc w:val="center"/>
              <w:rPr>
                <w:color w:val="000000"/>
                <w:sz w:val="22"/>
                <w:szCs w:val="22"/>
              </w:rPr>
            </w:pPr>
            <w:r w:rsidRPr="007C75D1">
              <w:rPr>
                <w:color w:val="000000"/>
                <w:sz w:val="22"/>
                <w:szCs w:val="22"/>
              </w:rPr>
              <w:t>17.8</w:t>
            </w:r>
          </w:p>
        </w:tc>
        <w:tc>
          <w:tcPr>
            <w:tcW w:w="6220" w:type="dxa"/>
            <w:tcBorders>
              <w:top w:val="nil"/>
              <w:left w:val="nil"/>
              <w:bottom w:val="single" w:sz="8" w:space="0" w:color="auto"/>
              <w:right w:val="single" w:sz="8" w:space="0" w:color="auto"/>
            </w:tcBorders>
            <w:shd w:val="clear" w:color="auto" w:fill="auto"/>
            <w:vAlign w:val="center"/>
            <w:hideMark/>
          </w:tcPr>
          <w:p w14:paraId="62D0EAD6" w14:textId="77777777" w:rsidR="007C75D1" w:rsidRPr="007C75D1" w:rsidRDefault="007C75D1" w:rsidP="007C75D1">
            <w:pPr>
              <w:jc w:val="both"/>
              <w:rPr>
                <w:color w:val="000000"/>
                <w:sz w:val="22"/>
                <w:szCs w:val="22"/>
              </w:rPr>
            </w:pPr>
            <w:proofErr w:type="gramStart"/>
            <w:r w:rsidRPr="007C75D1">
              <w:rPr>
                <w:color w:val="000000"/>
                <w:sz w:val="22"/>
                <w:szCs w:val="22"/>
              </w:rPr>
              <w:t>Company</w:t>
            </w:r>
            <w:proofErr w:type="gramEnd"/>
            <w:r w:rsidRPr="007C75D1">
              <w:rPr>
                <w:color w:val="000000"/>
                <w:sz w:val="22"/>
                <w:szCs w:val="22"/>
              </w:rPr>
              <w:t xml:space="preserve"> has now taken credit for achieving all U-3 start milestones through Cold Hydro (see “U-3 SWP Major Milestones”).  However, </w:t>
            </w:r>
            <w:r w:rsidRPr="007C75D1">
              <w:rPr>
                <w:b/>
                <w:bCs/>
                <w:color w:val="000000"/>
                <w:sz w:val="22"/>
                <w:szCs w:val="22"/>
              </w:rPr>
              <w:t>to get there they deferred significant work, and started accumulating problems</w:t>
            </w:r>
            <w:r w:rsidRPr="007C75D1">
              <w:rPr>
                <w:color w:val="000000"/>
                <w:sz w:val="22"/>
                <w:szCs w:val="22"/>
              </w:rPr>
              <w:t xml:space="preserve"> (</w:t>
            </w:r>
            <w:proofErr w:type="gramStart"/>
            <w:r w:rsidRPr="007C75D1">
              <w:rPr>
                <w:color w:val="000000"/>
                <w:sz w:val="22"/>
                <w:szCs w:val="22"/>
              </w:rPr>
              <w:t>costed</w:t>
            </w:r>
            <w:proofErr w:type="gramEnd"/>
            <w:r w:rsidRPr="007C75D1">
              <w:rPr>
                <w:color w:val="000000"/>
                <w:sz w:val="22"/>
                <w:szCs w:val="22"/>
              </w:rPr>
              <w:t xml:space="preserve"> per this table by company at roughly $ 0.7 </w:t>
            </w:r>
            <w:proofErr w:type="gramStart"/>
            <w:r w:rsidRPr="007C75D1">
              <w:rPr>
                <w:color w:val="000000"/>
                <w:sz w:val="22"/>
                <w:szCs w:val="22"/>
              </w:rPr>
              <w:t>B;</w:t>
            </w:r>
            <w:proofErr w:type="gramEnd"/>
            <w:r w:rsidRPr="007C75D1">
              <w:rPr>
                <w:color w:val="000000"/>
                <w:sz w:val="22"/>
                <w:szCs w:val="22"/>
              </w:rPr>
              <w:t xml:space="preserve"> i.e., 17.8-17.1). </w:t>
            </w:r>
          </w:p>
        </w:tc>
      </w:tr>
      <w:tr w:rsidR="007C75D1" w:rsidRPr="007C75D1" w14:paraId="2DF25298" w14:textId="77777777" w:rsidTr="00DD3DF1">
        <w:trPr>
          <w:trHeight w:val="1771"/>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0E9EB91D" w14:textId="77777777" w:rsidR="007C75D1" w:rsidRPr="007C75D1" w:rsidRDefault="007C75D1" w:rsidP="007C75D1">
            <w:pPr>
              <w:jc w:val="center"/>
              <w:rPr>
                <w:color w:val="000000"/>
                <w:sz w:val="22"/>
                <w:szCs w:val="22"/>
              </w:rPr>
            </w:pPr>
            <w:r w:rsidRPr="007C75D1">
              <w:rPr>
                <w:color w:val="000000"/>
                <w:sz w:val="22"/>
                <w:szCs w:val="22"/>
              </w:rPr>
              <w:lastRenderedPageBreak/>
              <w:t xml:space="preserve">Jun 2021 </w:t>
            </w:r>
            <w:proofErr w:type="spellStart"/>
            <w:r w:rsidRPr="007C75D1">
              <w:rPr>
                <w:color w:val="000000"/>
                <w:sz w:val="22"/>
                <w:szCs w:val="22"/>
              </w:rPr>
              <w:t>VPMB</w:t>
            </w:r>
            <w:proofErr w:type="spellEnd"/>
          </w:p>
        </w:tc>
        <w:tc>
          <w:tcPr>
            <w:tcW w:w="940" w:type="dxa"/>
            <w:tcBorders>
              <w:top w:val="nil"/>
              <w:left w:val="nil"/>
              <w:bottom w:val="single" w:sz="8" w:space="0" w:color="auto"/>
              <w:right w:val="single" w:sz="8" w:space="0" w:color="auto"/>
            </w:tcBorders>
            <w:shd w:val="clear" w:color="auto" w:fill="auto"/>
            <w:vAlign w:val="center"/>
            <w:hideMark/>
          </w:tcPr>
          <w:p w14:paraId="7A304B0C" w14:textId="77777777" w:rsidR="007C75D1" w:rsidRPr="007C75D1" w:rsidRDefault="007C75D1" w:rsidP="007C75D1">
            <w:pPr>
              <w:jc w:val="center"/>
              <w:rPr>
                <w:color w:val="000000"/>
                <w:sz w:val="22"/>
                <w:szCs w:val="22"/>
              </w:rPr>
            </w:pPr>
            <w:r w:rsidRPr="007C75D1">
              <w:rPr>
                <w:color w:val="000000"/>
                <w:sz w:val="22"/>
                <w:szCs w:val="22"/>
              </w:rPr>
              <w:t>Nov-21</w:t>
            </w:r>
          </w:p>
        </w:tc>
        <w:tc>
          <w:tcPr>
            <w:tcW w:w="990" w:type="dxa"/>
            <w:tcBorders>
              <w:top w:val="nil"/>
              <w:left w:val="nil"/>
              <w:bottom w:val="single" w:sz="8" w:space="0" w:color="auto"/>
              <w:right w:val="single" w:sz="8" w:space="0" w:color="auto"/>
            </w:tcBorders>
            <w:shd w:val="clear" w:color="auto" w:fill="auto"/>
            <w:vAlign w:val="center"/>
            <w:hideMark/>
          </w:tcPr>
          <w:p w14:paraId="29BC106F" w14:textId="77777777" w:rsidR="007C75D1" w:rsidRPr="007C75D1" w:rsidRDefault="007C75D1" w:rsidP="007C75D1">
            <w:pPr>
              <w:jc w:val="center"/>
              <w:rPr>
                <w:color w:val="000000"/>
                <w:sz w:val="22"/>
                <w:szCs w:val="22"/>
              </w:rPr>
            </w:pPr>
            <w:r w:rsidRPr="007C75D1">
              <w:rPr>
                <w:color w:val="000000"/>
                <w:sz w:val="22"/>
                <w:szCs w:val="22"/>
              </w:rPr>
              <w:t>Nov-22</w:t>
            </w:r>
          </w:p>
        </w:tc>
        <w:tc>
          <w:tcPr>
            <w:tcW w:w="630" w:type="dxa"/>
            <w:tcBorders>
              <w:top w:val="nil"/>
              <w:left w:val="nil"/>
              <w:bottom w:val="single" w:sz="8" w:space="0" w:color="auto"/>
              <w:right w:val="single" w:sz="8" w:space="0" w:color="auto"/>
            </w:tcBorders>
            <w:shd w:val="clear" w:color="auto" w:fill="auto"/>
            <w:noWrap/>
            <w:vAlign w:val="center"/>
            <w:hideMark/>
          </w:tcPr>
          <w:p w14:paraId="2ECF3C94" w14:textId="77777777" w:rsidR="007C75D1" w:rsidRPr="007C75D1" w:rsidRDefault="007C75D1" w:rsidP="007C75D1">
            <w:pPr>
              <w:jc w:val="center"/>
              <w:rPr>
                <w:color w:val="000000"/>
                <w:sz w:val="22"/>
                <w:szCs w:val="22"/>
              </w:rPr>
            </w:pPr>
            <w:r w:rsidRPr="007C75D1">
              <w:rPr>
                <w:color w:val="000000"/>
                <w:sz w:val="22"/>
                <w:szCs w:val="22"/>
              </w:rPr>
              <w:t>17.9</w:t>
            </w:r>
          </w:p>
        </w:tc>
        <w:tc>
          <w:tcPr>
            <w:tcW w:w="6220" w:type="dxa"/>
            <w:tcBorders>
              <w:top w:val="nil"/>
              <w:left w:val="nil"/>
              <w:bottom w:val="single" w:sz="8" w:space="0" w:color="auto"/>
              <w:right w:val="single" w:sz="8" w:space="0" w:color="auto"/>
            </w:tcBorders>
            <w:shd w:val="clear" w:color="auto" w:fill="auto"/>
            <w:vAlign w:val="center"/>
            <w:hideMark/>
          </w:tcPr>
          <w:p w14:paraId="5F53D3D4" w14:textId="4AA1EEEC" w:rsidR="007C75D1" w:rsidRPr="007C75D1" w:rsidRDefault="007C75D1" w:rsidP="007C75D1">
            <w:pPr>
              <w:jc w:val="both"/>
              <w:rPr>
                <w:b/>
                <w:bCs/>
                <w:color w:val="000000"/>
                <w:sz w:val="22"/>
                <w:szCs w:val="22"/>
              </w:rPr>
            </w:pPr>
            <w:r w:rsidRPr="007C75D1">
              <w:rPr>
                <w:b/>
                <w:bCs/>
                <w:color w:val="000000"/>
                <w:sz w:val="22"/>
                <w:szCs w:val="22"/>
              </w:rPr>
              <w:t xml:space="preserve">Still holding on to </w:t>
            </w:r>
            <w:r w:rsidR="00B618AD" w:rsidRPr="007C75D1">
              <w:rPr>
                <w:b/>
                <w:bCs/>
                <w:color w:val="000000"/>
                <w:sz w:val="22"/>
                <w:szCs w:val="22"/>
              </w:rPr>
              <w:t>R</w:t>
            </w:r>
            <w:r w:rsidR="00B618AD">
              <w:rPr>
                <w:b/>
                <w:bCs/>
                <w:color w:val="000000"/>
                <w:sz w:val="22"/>
                <w:szCs w:val="22"/>
              </w:rPr>
              <w:t>A</w:t>
            </w:r>
            <w:r w:rsidR="00B618AD" w:rsidRPr="007C75D1">
              <w:rPr>
                <w:b/>
                <w:bCs/>
                <w:color w:val="000000"/>
                <w:sz w:val="22"/>
                <w:szCs w:val="22"/>
              </w:rPr>
              <w:t xml:space="preserve">’s </w:t>
            </w:r>
            <w:r w:rsidRPr="007C75D1">
              <w:rPr>
                <w:b/>
                <w:bCs/>
                <w:color w:val="000000"/>
                <w:sz w:val="22"/>
                <w:szCs w:val="22"/>
              </w:rPr>
              <w:t>dates while TPC is clearly trending upward.  Company’s awareness of the seriousness of the IEEE-384 issue is starting to set in as the NRC commences their “Special Investigation” in June 2021, the results of which result in increased regulatory oversight; however, the company has no clue yet as to the amount of rework that will be required, and the impacts to the over-all schedule.</w:t>
            </w:r>
          </w:p>
        </w:tc>
      </w:tr>
      <w:tr w:rsidR="007C75D1" w:rsidRPr="007C75D1" w14:paraId="0BCC64E5" w14:textId="77777777" w:rsidTr="00DD3DF1">
        <w:trPr>
          <w:trHeight w:val="1519"/>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44575E3F" w14:textId="77777777" w:rsidR="007C75D1" w:rsidRPr="007C75D1" w:rsidRDefault="007C75D1" w:rsidP="007C75D1">
            <w:pPr>
              <w:jc w:val="center"/>
              <w:rPr>
                <w:color w:val="000000"/>
                <w:sz w:val="22"/>
                <w:szCs w:val="22"/>
              </w:rPr>
            </w:pPr>
            <w:r w:rsidRPr="007C75D1">
              <w:rPr>
                <w:color w:val="000000"/>
                <w:sz w:val="22"/>
                <w:szCs w:val="22"/>
              </w:rPr>
              <w:t xml:space="preserve">Aug 2021 </w:t>
            </w:r>
            <w:proofErr w:type="spellStart"/>
            <w:r w:rsidRPr="007C75D1">
              <w:rPr>
                <w:color w:val="000000"/>
                <w:sz w:val="22"/>
                <w:szCs w:val="22"/>
              </w:rPr>
              <w:t>VPMB</w:t>
            </w:r>
            <w:proofErr w:type="spellEnd"/>
          </w:p>
        </w:tc>
        <w:tc>
          <w:tcPr>
            <w:tcW w:w="940" w:type="dxa"/>
            <w:tcBorders>
              <w:top w:val="nil"/>
              <w:left w:val="nil"/>
              <w:bottom w:val="single" w:sz="8" w:space="0" w:color="auto"/>
              <w:right w:val="single" w:sz="8" w:space="0" w:color="auto"/>
            </w:tcBorders>
            <w:shd w:val="clear" w:color="auto" w:fill="auto"/>
            <w:vAlign w:val="center"/>
            <w:hideMark/>
          </w:tcPr>
          <w:p w14:paraId="66C7663C" w14:textId="77777777" w:rsidR="007C75D1" w:rsidRPr="007C75D1" w:rsidRDefault="007C75D1" w:rsidP="007C75D1">
            <w:pPr>
              <w:jc w:val="center"/>
              <w:rPr>
                <w:color w:val="000000"/>
                <w:sz w:val="22"/>
                <w:szCs w:val="22"/>
              </w:rPr>
            </w:pPr>
            <w:r w:rsidRPr="007C75D1">
              <w:rPr>
                <w:color w:val="000000"/>
                <w:sz w:val="22"/>
                <w:szCs w:val="22"/>
              </w:rPr>
              <w:t>Jun-22</w:t>
            </w:r>
          </w:p>
        </w:tc>
        <w:tc>
          <w:tcPr>
            <w:tcW w:w="990" w:type="dxa"/>
            <w:tcBorders>
              <w:top w:val="nil"/>
              <w:left w:val="nil"/>
              <w:bottom w:val="single" w:sz="8" w:space="0" w:color="auto"/>
              <w:right w:val="single" w:sz="8" w:space="0" w:color="auto"/>
            </w:tcBorders>
            <w:shd w:val="clear" w:color="auto" w:fill="auto"/>
            <w:vAlign w:val="center"/>
            <w:hideMark/>
          </w:tcPr>
          <w:p w14:paraId="0AA9F35A" w14:textId="77777777" w:rsidR="007C75D1" w:rsidRPr="007C75D1" w:rsidRDefault="007C75D1" w:rsidP="007C75D1">
            <w:pPr>
              <w:jc w:val="center"/>
              <w:rPr>
                <w:color w:val="000000"/>
                <w:sz w:val="22"/>
                <w:szCs w:val="22"/>
              </w:rPr>
            </w:pPr>
            <w:r w:rsidRPr="007C75D1">
              <w:rPr>
                <w:color w:val="000000"/>
                <w:sz w:val="22"/>
                <w:szCs w:val="22"/>
              </w:rPr>
              <w:t>Mar-23</w:t>
            </w:r>
          </w:p>
        </w:tc>
        <w:tc>
          <w:tcPr>
            <w:tcW w:w="630" w:type="dxa"/>
            <w:tcBorders>
              <w:top w:val="nil"/>
              <w:left w:val="nil"/>
              <w:bottom w:val="single" w:sz="8" w:space="0" w:color="auto"/>
              <w:right w:val="single" w:sz="8" w:space="0" w:color="auto"/>
            </w:tcBorders>
            <w:shd w:val="clear" w:color="auto" w:fill="auto"/>
            <w:noWrap/>
            <w:vAlign w:val="center"/>
            <w:hideMark/>
          </w:tcPr>
          <w:p w14:paraId="34E97839" w14:textId="77777777" w:rsidR="007C75D1" w:rsidRPr="007C75D1" w:rsidRDefault="007C75D1" w:rsidP="007C75D1">
            <w:pPr>
              <w:jc w:val="center"/>
              <w:rPr>
                <w:color w:val="000000"/>
                <w:sz w:val="22"/>
                <w:szCs w:val="22"/>
              </w:rPr>
            </w:pPr>
            <w:r w:rsidRPr="007C75D1">
              <w:rPr>
                <w:color w:val="000000"/>
                <w:sz w:val="22"/>
                <w:szCs w:val="22"/>
              </w:rPr>
              <w:t>18.9</w:t>
            </w:r>
          </w:p>
        </w:tc>
        <w:tc>
          <w:tcPr>
            <w:tcW w:w="6220" w:type="dxa"/>
            <w:tcBorders>
              <w:top w:val="nil"/>
              <w:left w:val="nil"/>
              <w:bottom w:val="single" w:sz="8" w:space="0" w:color="auto"/>
              <w:right w:val="single" w:sz="8" w:space="0" w:color="auto"/>
            </w:tcBorders>
            <w:shd w:val="clear" w:color="auto" w:fill="auto"/>
            <w:vAlign w:val="center"/>
            <w:hideMark/>
          </w:tcPr>
          <w:p w14:paraId="7BB5E2D8" w14:textId="77777777" w:rsidR="007C75D1" w:rsidRPr="007C75D1" w:rsidRDefault="007C75D1" w:rsidP="007C75D1">
            <w:pPr>
              <w:jc w:val="both"/>
              <w:rPr>
                <w:color w:val="000000"/>
                <w:sz w:val="22"/>
                <w:szCs w:val="22"/>
              </w:rPr>
            </w:pPr>
            <w:r w:rsidRPr="007C75D1">
              <w:rPr>
                <w:color w:val="000000"/>
                <w:sz w:val="22"/>
                <w:szCs w:val="22"/>
              </w:rPr>
              <w:t xml:space="preserve">With the prematurely “declared start” of HFT in April 2021, the company experiences numerous problems and is still grappling with the amount of required rework and over-all schedule impacts. As expenses approach their TPC they recognize the need for immediate funds relief </w:t>
            </w:r>
            <w:r w:rsidRPr="007C75D1">
              <w:rPr>
                <w:b/>
                <w:bCs/>
                <w:color w:val="000000"/>
                <w:sz w:val="22"/>
                <w:szCs w:val="22"/>
              </w:rPr>
              <w:t>(Note $ 1 B increase in 2 months yet still grappling with the total impact)</w:t>
            </w:r>
          </w:p>
        </w:tc>
      </w:tr>
      <w:tr w:rsidR="007C75D1" w:rsidRPr="007C75D1" w14:paraId="1132AB2D" w14:textId="77777777" w:rsidTr="00DD3DF1">
        <w:trPr>
          <w:trHeight w:val="114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3B475260" w14:textId="77777777" w:rsidR="007C75D1" w:rsidRPr="007C75D1" w:rsidRDefault="007C75D1" w:rsidP="007C75D1">
            <w:pPr>
              <w:jc w:val="center"/>
              <w:rPr>
                <w:color w:val="000000"/>
                <w:sz w:val="22"/>
                <w:szCs w:val="22"/>
              </w:rPr>
            </w:pPr>
            <w:r w:rsidRPr="007C75D1">
              <w:rPr>
                <w:color w:val="000000"/>
                <w:sz w:val="22"/>
                <w:szCs w:val="22"/>
              </w:rPr>
              <w:t xml:space="preserve">Feb 2022 </w:t>
            </w:r>
            <w:proofErr w:type="spellStart"/>
            <w:r w:rsidRPr="007C75D1">
              <w:rPr>
                <w:color w:val="000000"/>
                <w:sz w:val="22"/>
                <w:szCs w:val="22"/>
              </w:rPr>
              <w:t>VPMB</w:t>
            </w:r>
            <w:proofErr w:type="spellEnd"/>
          </w:p>
        </w:tc>
        <w:tc>
          <w:tcPr>
            <w:tcW w:w="940" w:type="dxa"/>
            <w:tcBorders>
              <w:top w:val="nil"/>
              <w:left w:val="nil"/>
              <w:bottom w:val="single" w:sz="8" w:space="0" w:color="auto"/>
              <w:right w:val="single" w:sz="8" w:space="0" w:color="auto"/>
            </w:tcBorders>
            <w:shd w:val="clear" w:color="auto" w:fill="auto"/>
            <w:vAlign w:val="center"/>
            <w:hideMark/>
          </w:tcPr>
          <w:p w14:paraId="3A2FF4A8" w14:textId="77777777" w:rsidR="007C75D1" w:rsidRPr="007C75D1" w:rsidRDefault="007C75D1" w:rsidP="007C75D1">
            <w:pPr>
              <w:jc w:val="center"/>
              <w:rPr>
                <w:color w:val="000000"/>
                <w:sz w:val="22"/>
                <w:szCs w:val="22"/>
              </w:rPr>
            </w:pPr>
            <w:r w:rsidRPr="007C75D1">
              <w:rPr>
                <w:color w:val="000000"/>
                <w:sz w:val="22"/>
                <w:szCs w:val="22"/>
              </w:rPr>
              <w:t>Mar-23</w:t>
            </w:r>
          </w:p>
        </w:tc>
        <w:tc>
          <w:tcPr>
            <w:tcW w:w="990" w:type="dxa"/>
            <w:tcBorders>
              <w:top w:val="nil"/>
              <w:left w:val="nil"/>
              <w:bottom w:val="single" w:sz="8" w:space="0" w:color="auto"/>
              <w:right w:val="single" w:sz="8" w:space="0" w:color="auto"/>
            </w:tcBorders>
            <w:shd w:val="clear" w:color="auto" w:fill="auto"/>
            <w:vAlign w:val="center"/>
            <w:hideMark/>
          </w:tcPr>
          <w:p w14:paraId="5CC9AB52" w14:textId="77777777" w:rsidR="007C75D1" w:rsidRPr="007C75D1" w:rsidRDefault="007C75D1" w:rsidP="007C75D1">
            <w:pPr>
              <w:jc w:val="center"/>
              <w:rPr>
                <w:color w:val="000000"/>
                <w:sz w:val="22"/>
                <w:szCs w:val="22"/>
              </w:rPr>
            </w:pPr>
            <w:r w:rsidRPr="007C75D1">
              <w:rPr>
                <w:color w:val="000000"/>
                <w:sz w:val="22"/>
                <w:szCs w:val="22"/>
              </w:rPr>
              <w:t>Sep-23</w:t>
            </w:r>
          </w:p>
        </w:tc>
        <w:tc>
          <w:tcPr>
            <w:tcW w:w="630" w:type="dxa"/>
            <w:tcBorders>
              <w:top w:val="nil"/>
              <w:left w:val="nil"/>
              <w:bottom w:val="single" w:sz="8" w:space="0" w:color="auto"/>
              <w:right w:val="single" w:sz="8" w:space="0" w:color="auto"/>
            </w:tcBorders>
            <w:shd w:val="clear" w:color="auto" w:fill="auto"/>
            <w:noWrap/>
            <w:vAlign w:val="center"/>
            <w:hideMark/>
          </w:tcPr>
          <w:p w14:paraId="3FBE3DE8" w14:textId="77777777" w:rsidR="007C75D1" w:rsidRPr="007C75D1" w:rsidRDefault="007C75D1" w:rsidP="007C75D1">
            <w:pPr>
              <w:jc w:val="center"/>
              <w:rPr>
                <w:color w:val="000000"/>
                <w:sz w:val="22"/>
                <w:szCs w:val="22"/>
              </w:rPr>
            </w:pPr>
            <w:r w:rsidRPr="007C75D1">
              <w:rPr>
                <w:color w:val="000000"/>
                <w:sz w:val="22"/>
                <w:szCs w:val="22"/>
              </w:rPr>
              <w:t>20.6</w:t>
            </w:r>
          </w:p>
        </w:tc>
        <w:tc>
          <w:tcPr>
            <w:tcW w:w="6220" w:type="dxa"/>
            <w:tcBorders>
              <w:top w:val="nil"/>
              <w:left w:val="nil"/>
              <w:bottom w:val="single" w:sz="8" w:space="0" w:color="auto"/>
              <w:right w:val="single" w:sz="8" w:space="0" w:color="auto"/>
            </w:tcBorders>
            <w:shd w:val="clear" w:color="auto" w:fill="auto"/>
            <w:vAlign w:val="center"/>
            <w:hideMark/>
          </w:tcPr>
          <w:p w14:paraId="0059D450" w14:textId="4157A3D5" w:rsidR="007C75D1" w:rsidRPr="007C75D1" w:rsidRDefault="007C75D1" w:rsidP="007C75D1">
            <w:pPr>
              <w:jc w:val="both"/>
              <w:rPr>
                <w:b/>
                <w:bCs/>
                <w:color w:val="000000"/>
                <w:sz w:val="22"/>
                <w:szCs w:val="22"/>
              </w:rPr>
            </w:pPr>
            <w:r w:rsidRPr="007C75D1">
              <w:rPr>
                <w:b/>
                <w:bCs/>
                <w:color w:val="000000"/>
                <w:sz w:val="22"/>
                <w:szCs w:val="22"/>
              </w:rPr>
              <w:t xml:space="preserve">Between Jan 2021 through Feb 2022 </w:t>
            </w:r>
            <w:r w:rsidR="00B618AD">
              <w:rPr>
                <w:b/>
                <w:bCs/>
                <w:color w:val="000000"/>
                <w:sz w:val="22"/>
                <w:szCs w:val="22"/>
              </w:rPr>
              <w:t>C</w:t>
            </w:r>
            <w:r w:rsidRPr="007C75D1">
              <w:rPr>
                <w:b/>
                <w:bCs/>
                <w:color w:val="000000"/>
                <w:sz w:val="22"/>
                <w:szCs w:val="22"/>
              </w:rPr>
              <w:t xml:space="preserve">ompany spends $ 2.6 B, yet the ETC has increased by $ 0.2 B.  </w:t>
            </w:r>
            <w:proofErr w:type="gramStart"/>
            <w:r w:rsidRPr="007C75D1">
              <w:rPr>
                <w:b/>
                <w:bCs/>
                <w:color w:val="000000"/>
                <w:sz w:val="22"/>
                <w:szCs w:val="22"/>
              </w:rPr>
              <w:t>All of</w:t>
            </w:r>
            <w:proofErr w:type="gramEnd"/>
            <w:r w:rsidRPr="007C75D1">
              <w:rPr>
                <w:b/>
                <w:bCs/>
                <w:color w:val="000000"/>
                <w:sz w:val="22"/>
                <w:szCs w:val="22"/>
              </w:rPr>
              <w:t xml:space="preserve"> the past sins have come home to roost and the company can no longer ignore what has been going on.</w:t>
            </w:r>
          </w:p>
        </w:tc>
      </w:tr>
    </w:tbl>
    <w:p w14:paraId="718E95C1" w14:textId="5E44521E" w:rsidR="007B2729" w:rsidRDefault="007B2729">
      <w:pPr>
        <w:rPr>
          <w:b/>
          <w:bCs/>
        </w:rPr>
      </w:pPr>
    </w:p>
    <w:p w14:paraId="7D0F13C3" w14:textId="77777777" w:rsidR="007B2729" w:rsidRDefault="007B2729">
      <w:pPr>
        <w:rPr>
          <w:b/>
          <w:bCs/>
        </w:rPr>
      </w:pPr>
    </w:p>
    <w:p w14:paraId="27204022" w14:textId="43614615" w:rsidR="00531D25" w:rsidRPr="00223F1D" w:rsidRDefault="00531D25" w:rsidP="00A005D1">
      <w:pPr>
        <w:jc w:val="center"/>
        <w:rPr>
          <w:b/>
          <w:bCs/>
          <w:sz w:val="28"/>
          <w:szCs w:val="28"/>
        </w:rPr>
      </w:pPr>
      <w:r w:rsidRPr="00223F1D">
        <w:rPr>
          <w:b/>
          <w:bCs/>
          <w:sz w:val="28"/>
          <w:szCs w:val="28"/>
        </w:rPr>
        <w:t xml:space="preserve">5. SUMMARY </w:t>
      </w:r>
      <w:r w:rsidR="00222059" w:rsidRPr="00223F1D">
        <w:rPr>
          <w:b/>
          <w:bCs/>
          <w:sz w:val="28"/>
          <w:szCs w:val="28"/>
        </w:rPr>
        <w:t xml:space="preserve">OF </w:t>
      </w:r>
      <w:r w:rsidRPr="00223F1D">
        <w:rPr>
          <w:b/>
          <w:bCs/>
          <w:sz w:val="28"/>
          <w:szCs w:val="28"/>
        </w:rPr>
        <w:t>VMG</w:t>
      </w:r>
      <w:r w:rsidR="00222059" w:rsidRPr="00223F1D">
        <w:rPr>
          <w:b/>
          <w:bCs/>
          <w:sz w:val="28"/>
          <w:szCs w:val="28"/>
        </w:rPr>
        <w:t>’S</w:t>
      </w:r>
      <w:r w:rsidRPr="00223F1D">
        <w:rPr>
          <w:b/>
          <w:bCs/>
          <w:sz w:val="28"/>
          <w:szCs w:val="28"/>
        </w:rPr>
        <w:t xml:space="preserve"> OBSERVATIONS AND RECOMMENDATIONS</w:t>
      </w:r>
    </w:p>
    <w:p w14:paraId="1B4917AB" w14:textId="77777777" w:rsidR="00531D25" w:rsidRDefault="00531D25" w:rsidP="00531D25"/>
    <w:p w14:paraId="5E1DC141" w14:textId="213E9120" w:rsidR="00531D25" w:rsidRDefault="00531D25" w:rsidP="00531D25">
      <w:pPr>
        <w:jc w:val="both"/>
      </w:pPr>
      <w:r>
        <w:rPr>
          <w:b/>
          <w:bCs/>
        </w:rPr>
        <w:t>Summary Observations and Recommendations (April 2017 – Present)</w:t>
      </w:r>
      <w:r w:rsidR="00CB7475">
        <w:rPr>
          <w:b/>
          <w:bCs/>
        </w:rPr>
        <w:t xml:space="preserve">: </w:t>
      </w:r>
      <w:r>
        <w:rPr>
          <w:b/>
          <w:bCs/>
        </w:rPr>
        <w:t xml:space="preserve"> </w:t>
      </w:r>
      <w:r>
        <w:t xml:space="preserve">Based on the events leading to </w:t>
      </w:r>
      <w:proofErr w:type="spellStart"/>
      <w:r>
        <w:t>WEC’s</w:t>
      </w:r>
      <w:proofErr w:type="spellEnd"/>
      <w:r>
        <w:t xml:space="preserve"> bankruptcy, VMG’s subsequent engagement with the Project (which includes both its prior written testimonies and participation in the associated hearings), and the contents of this report, VMG’s summary observations and recommendations are as follows:</w:t>
      </w:r>
    </w:p>
    <w:p w14:paraId="5CEA622E" w14:textId="77777777" w:rsidR="00CB7475" w:rsidRPr="00CB7475" w:rsidRDefault="00CB7475" w:rsidP="00CB7475">
      <w:pPr>
        <w:jc w:val="both"/>
        <w:rPr>
          <w:color w:val="000000"/>
          <w:szCs w:val="24"/>
        </w:rPr>
      </w:pPr>
    </w:p>
    <w:p w14:paraId="4950194E" w14:textId="77777777" w:rsidR="00CB7475" w:rsidRPr="00223F1D" w:rsidRDefault="00CB7475" w:rsidP="00CB7475">
      <w:pPr>
        <w:jc w:val="both"/>
      </w:pPr>
    </w:p>
    <w:p w14:paraId="20E7AAA4" w14:textId="77777777" w:rsidR="00CB7475" w:rsidRDefault="00CB7475" w:rsidP="00CB7475">
      <w:pPr>
        <w:pStyle w:val="ListParagraph"/>
        <w:numPr>
          <w:ilvl w:val="0"/>
          <w:numId w:val="52"/>
        </w:numPr>
        <w:jc w:val="both"/>
      </w:pPr>
      <w:r w:rsidRPr="00223F1D">
        <w:t>When the Company had an EPC contract with WEC the basis of estimate upon which the TPC had been negotiated was significantly different than it was when SNC took over the project, and this then presented significantly increased cost and schedule risks.</w:t>
      </w:r>
    </w:p>
    <w:p w14:paraId="59FE1127" w14:textId="77777777" w:rsidR="00CB7475" w:rsidRPr="00223F1D" w:rsidRDefault="00CB7475" w:rsidP="00223F1D">
      <w:pPr>
        <w:pStyle w:val="ListParagraph"/>
        <w:jc w:val="both"/>
      </w:pPr>
    </w:p>
    <w:p w14:paraId="728A1F3B" w14:textId="2C1BACE8" w:rsidR="00CB7475" w:rsidRDefault="00CB7475" w:rsidP="00CB7475">
      <w:pPr>
        <w:pStyle w:val="ListParagraph"/>
        <w:numPr>
          <w:ilvl w:val="0"/>
          <w:numId w:val="52"/>
        </w:numPr>
        <w:jc w:val="both"/>
      </w:pPr>
      <w:r w:rsidRPr="00223F1D">
        <w:t xml:space="preserve">On a TPC basis, the $ 7.3 billion relates to a TPC of $ 17.1 billion, which in turn represents a roughly 50% cost increase over what it could have been if all seven of the companies that had originally applied for dual unit AP 1000 plants had continued with their projects.  Also, if one were to include the Toshiba Warranty payment of $ 3.6 billion that was credited to the project (and is therefore not included in the $ 17.1 </w:t>
      </w:r>
      <w:r w:rsidR="009B295A" w:rsidRPr="00223F1D">
        <w:t>billion</w:t>
      </w:r>
      <w:r w:rsidRPr="00223F1D">
        <w:t>), the cost increase could be viewed as significantly more than 50%.</w:t>
      </w:r>
    </w:p>
    <w:p w14:paraId="73C9A18D" w14:textId="77777777" w:rsidR="00CB7475" w:rsidRPr="00223F1D" w:rsidRDefault="00CB7475" w:rsidP="00223F1D">
      <w:pPr>
        <w:jc w:val="both"/>
      </w:pPr>
    </w:p>
    <w:p w14:paraId="37DD097A" w14:textId="62AA21E9" w:rsidR="00CB7475" w:rsidRDefault="00CB7475" w:rsidP="00CB7475">
      <w:pPr>
        <w:pStyle w:val="ListParagraph"/>
        <w:numPr>
          <w:ilvl w:val="0"/>
          <w:numId w:val="52"/>
        </w:numPr>
        <w:jc w:val="both"/>
      </w:pPr>
      <w:r w:rsidRPr="00223F1D">
        <w:t xml:space="preserve">Although difficult to analyze the cost and schedule risks at the time of VCM 17, the $ 17.1 billion (more specifically, the $ 7.3 billion for the Company portion of the project), together with the November 2021/ November 2022 CODs was the basis upon which the Company </w:t>
      </w:r>
      <w:r w:rsidR="00D657B8">
        <w:t xml:space="preserve">presented its case to </w:t>
      </w:r>
      <w:r w:rsidRPr="00223F1D">
        <w:t xml:space="preserve">Commission </w:t>
      </w:r>
      <w:r w:rsidR="00D657B8">
        <w:t>to approve</w:t>
      </w:r>
      <w:r w:rsidRPr="00223F1D">
        <w:t xml:space="preserve"> approving continuation of the </w:t>
      </w:r>
      <w:r w:rsidR="00D657B8">
        <w:t>P</w:t>
      </w:r>
      <w:r w:rsidRPr="00223F1D">
        <w:t>roject.</w:t>
      </w:r>
    </w:p>
    <w:p w14:paraId="32B58FE9" w14:textId="77777777" w:rsidR="00CB7475" w:rsidRPr="00223F1D" w:rsidRDefault="00CB7475" w:rsidP="00223F1D">
      <w:pPr>
        <w:jc w:val="both"/>
      </w:pPr>
    </w:p>
    <w:p w14:paraId="690AFB84" w14:textId="740A99B1" w:rsidR="00CB7475" w:rsidRDefault="00CB7475" w:rsidP="00CB7475">
      <w:pPr>
        <w:pStyle w:val="ListParagraph"/>
        <w:numPr>
          <w:ilvl w:val="0"/>
          <w:numId w:val="52"/>
        </w:numPr>
        <w:jc w:val="both"/>
      </w:pPr>
      <w:r w:rsidRPr="00223F1D">
        <w:lastRenderedPageBreak/>
        <w:t>Based on VMG’s initial preliminary review of the project over a period of roughly 3 months, by June 2018 VMG had concluded that the November 2021/ November 2022 CODs were simply unachievable.</w:t>
      </w:r>
      <w:r>
        <w:t xml:space="preserve">  </w:t>
      </w:r>
    </w:p>
    <w:p w14:paraId="4CD6AF9F" w14:textId="77777777" w:rsidR="00CB7475" w:rsidRPr="00223F1D" w:rsidRDefault="00CB7475" w:rsidP="00223F1D">
      <w:pPr>
        <w:jc w:val="both"/>
      </w:pPr>
    </w:p>
    <w:p w14:paraId="58B914E4" w14:textId="77777777" w:rsidR="00CB7475" w:rsidRDefault="00CB7475" w:rsidP="00CB7475">
      <w:pPr>
        <w:pStyle w:val="ListParagraph"/>
        <w:numPr>
          <w:ilvl w:val="0"/>
          <w:numId w:val="52"/>
        </w:numPr>
        <w:jc w:val="both"/>
      </w:pPr>
      <w:r w:rsidRPr="00223F1D">
        <w:t>In an apparent effort to shorten the schedule and thereby decrease both the Capital Construction Cost and the COD related financing costs, SNC employed numerous non-traditional and imprudent management practices, which in the long run only served to increase the TPC (by roughly $ 4 billion over the $ 17.1 billion) and the CODs beyond the regulatory required dates by 20 months for U-3 and 16 months (as forecast at this time) for U-4.</w:t>
      </w:r>
    </w:p>
    <w:p w14:paraId="6314F4C3" w14:textId="77777777" w:rsidR="00CB7475" w:rsidRPr="00223F1D" w:rsidRDefault="00CB7475" w:rsidP="00223F1D">
      <w:pPr>
        <w:jc w:val="both"/>
      </w:pPr>
    </w:p>
    <w:p w14:paraId="4F635A59" w14:textId="77777777" w:rsidR="00CB7475" w:rsidRDefault="00CB7475" w:rsidP="00CB7475">
      <w:pPr>
        <w:pStyle w:val="ListParagraph"/>
        <w:numPr>
          <w:ilvl w:val="0"/>
          <w:numId w:val="52"/>
        </w:numPr>
        <w:jc w:val="both"/>
      </w:pPr>
      <w:r w:rsidRPr="00223F1D">
        <w:t>Despite the actual performance of the project versus the basis upon which it was approved to continue at VCM 17, the stipulation represents a proposed settlement versus litigation, where the latter has its own risks.  Further, in some respects the $ 7.3 billion and November 2021/ November 2022 CODs could be viewed as “a non-binding contract” between the Commission and the Company.</w:t>
      </w:r>
    </w:p>
    <w:p w14:paraId="27BD8F74" w14:textId="77777777" w:rsidR="00CB7475" w:rsidRPr="00223F1D" w:rsidRDefault="00CB7475" w:rsidP="00223F1D">
      <w:pPr>
        <w:jc w:val="both"/>
      </w:pPr>
    </w:p>
    <w:p w14:paraId="318DFB46" w14:textId="77777777" w:rsidR="00CB7475" w:rsidRDefault="00CB7475" w:rsidP="00CB7475">
      <w:pPr>
        <w:pStyle w:val="ListParagraph"/>
        <w:numPr>
          <w:ilvl w:val="0"/>
          <w:numId w:val="52"/>
        </w:numPr>
        <w:jc w:val="both"/>
      </w:pPr>
      <w:r w:rsidRPr="00223F1D">
        <w:t>VMG recommends accepting the proposed $ 7.562 billion GPC Capital Construction Cost.  This is because with a relatively minor upward adjustment for non-controllable COVID cost impacts, and minor adjustments to the Company’s non-shared costs, the GPC Capital Construction Cost of $ 7.562 billion is consistent with the $ 7.3 billion basis upon which the Commission approved continuing the project.</w:t>
      </w:r>
    </w:p>
    <w:p w14:paraId="0CACC9D8" w14:textId="77777777" w:rsidR="00CB7475" w:rsidRPr="00223F1D" w:rsidRDefault="00CB7475" w:rsidP="00223F1D">
      <w:pPr>
        <w:pStyle w:val="ListParagraph"/>
        <w:jc w:val="both"/>
      </w:pPr>
    </w:p>
    <w:p w14:paraId="2EED7855" w14:textId="6C31F76B" w:rsidR="00CB7475" w:rsidRDefault="00CB7475" w:rsidP="00CB7475">
      <w:pPr>
        <w:pStyle w:val="ListParagraph"/>
        <w:numPr>
          <w:ilvl w:val="0"/>
          <w:numId w:val="52"/>
        </w:numPr>
        <w:jc w:val="both"/>
      </w:pPr>
      <w:r w:rsidRPr="00223F1D">
        <w:t>With respect to the financing costs, VMG has limited it’s input to providing recommended CODs for U-3 and U-4, which together with a Company Capital Construction Cost of $ 7.562 billion, would facilitate J. Kennedy and Associates developing a funding profile.  This funding profile would then provide a basis for analyzing what a reasonable and prudent decision would be regarding all the financially related costs (i.e., NCCR Tariff, AFUDC, and allowed return on equity).  These recommended CODs are March 2022/ March 2023, for U-3 and U-4, respectively, and these dates represent slipping the regulatory required November 2021/ November 2022 dates by four months to account for the company’s analyzed schedule impact due to COVI</w:t>
      </w:r>
      <w:r>
        <w:t>D.</w:t>
      </w:r>
    </w:p>
    <w:p w14:paraId="33CAAF40" w14:textId="77777777" w:rsidR="00CB7475" w:rsidRPr="00223F1D" w:rsidRDefault="00CB7475" w:rsidP="00223F1D">
      <w:pPr>
        <w:jc w:val="both"/>
      </w:pPr>
    </w:p>
    <w:p w14:paraId="672E2ECA" w14:textId="77777777" w:rsidR="00CB7475" w:rsidRPr="00223F1D" w:rsidRDefault="00CB7475" w:rsidP="00223F1D">
      <w:pPr>
        <w:pStyle w:val="ListParagraph"/>
        <w:numPr>
          <w:ilvl w:val="0"/>
          <w:numId w:val="52"/>
        </w:numPr>
        <w:jc w:val="both"/>
      </w:pPr>
      <w:r w:rsidRPr="00223F1D">
        <w:t>Given SNC’s relatively strong operational performance in managing the operation of its six other nuclear plants, and the current operational performance of U-3, it is reasonable to expect that U-3 and U-4 will provide a reliable source of carbon free energy for decades to come.</w:t>
      </w:r>
    </w:p>
    <w:p w14:paraId="0BE9E059" w14:textId="77777777" w:rsidR="00CB7475" w:rsidRDefault="00CB7475" w:rsidP="00531D25">
      <w:pPr>
        <w:jc w:val="both"/>
      </w:pPr>
    </w:p>
    <w:p w14:paraId="23AB8B2D" w14:textId="77777777" w:rsidR="00B940C1" w:rsidRDefault="00B940C1" w:rsidP="009C24A9">
      <w:pPr>
        <w:pStyle w:val="Default"/>
      </w:pPr>
    </w:p>
    <w:sectPr w:rsidR="00B940C1" w:rsidSect="00223F1D">
      <w:pgSz w:w="12240" w:h="15840" w:code="1"/>
      <w:pgMar w:top="547" w:right="994" w:bottom="1886" w:left="108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4AB1" w14:textId="77777777" w:rsidR="0079261F" w:rsidRDefault="0079261F" w:rsidP="00F61413">
      <w:r>
        <w:separator/>
      </w:r>
    </w:p>
  </w:endnote>
  <w:endnote w:type="continuationSeparator" w:id="0">
    <w:p w14:paraId="73D7D05C" w14:textId="77777777" w:rsidR="0079261F" w:rsidRDefault="0079261F" w:rsidP="00F61413">
      <w:r>
        <w:continuationSeparator/>
      </w:r>
    </w:p>
  </w:endnote>
  <w:endnote w:type="continuationNotice" w:id="1">
    <w:p w14:paraId="64CC96E9" w14:textId="77777777" w:rsidR="0079261F" w:rsidRDefault="00792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主题正文)">
    <w:altName w:val="Arial Unicode MS"/>
    <w:panose1 w:val="00000000000000000000"/>
    <w:charset w:val="80"/>
    <w:family w:val="roman"/>
    <w:notTrueType/>
    <w:pitch w:val="default"/>
    <w:sig w:usb0="00000000"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214184"/>
      <w:docPartObj>
        <w:docPartGallery w:val="Page Numbers (Bottom of Page)"/>
        <w:docPartUnique/>
      </w:docPartObj>
    </w:sdtPr>
    <w:sdtEndPr>
      <w:rPr>
        <w:rStyle w:val="PageNumber"/>
      </w:rPr>
    </w:sdtEndPr>
    <w:sdtContent>
      <w:p w14:paraId="04F54B3C" w14:textId="1F06FEA5" w:rsidR="00A171EA" w:rsidRDefault="00A171EA" w:rsidP="00A171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62367943"/>
      <w:docPartObj>
        <w:docPartGallery w:val="Page Numbers (Bottom of Page)"/>
        <w:docPartUnique/>
      </w:docPartObj>
    </w:sdtPr>
    <w:sdtEndPr>
      <w:rPr>
        <w:rStyle w:val="PageNumber"/>
      </w:rPr>
    </w:sdtEndPr>
    <w:sdtContent>
      <w:p w14:paraId="60F19C82" w14:textId="27DAF1DA" w:rsidR="00A171EA" w:rsidRDefault="00A171EA" w:rsidP="00F536D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E0D693" w14:textId="77777777" w:rsidR="00A171EA" w:rsidRDefault="00A171EA" w:rsidP="00F53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9474059"/>
      <w:docPartObj>
        <w:docPartGallery w:val="Page Numbers (Bottom of Page)"/>
        <w:docPartUnique/>
      </w:docPartObj>
    </w:sdtPr>
    <w:sdtEndPr>
      <w:rPr>
        <w:rStyle w:val="PageNumber"/>
      </w:rPr>
    </w:sdtEndPr>
    <w:sdtContent>
      <w:p w14:paraId="06FACB78" w14:textId="080B8E18" w:rsidR="00A171EA" w:rsidRDefault="00A171EA" w:rsidP="00A171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B8DC0E" w14:textId="13B0860D" w:rsidR="00A171EA" w:rsidRPr="005543D8" w:rsidRDefault="00A171EA" w:rsidP="00F536DB">
    <w:pPr>
      <w:pStyle w:val="Footer"/>
      <w:ind w:right="36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73E5" w14:textId="77777777" w:rsidR="00A171EA" w:rsidRPr="004A30BC" w:rsidRDefault="00A171EA" w:rsidP="00AC7977">
    <w:pPr>
      <w:pStyle w:val="Footer"/>
      <w:tabs>
        <w:tab w:val="clear" w:pos="4680"/>
        <w:tab w:val="clear" w:pos="9360"/>
        <w:tab w:val="left" w:pos="3990"/>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2F83" w14:textId="77777777" w:rsidR="0079261F" w:rsidRDefault="0079261F" w:rsidP="00F61413">
      <w:r>
        <w:separator/>
      </w:r>
    </w:p>
  </w:footnote>
  <w:footnote w:type="continuationSeparator" w:id="0">
    <w:p w14:paraId="766E8FA8" w14:textId="77777777" w:rsidR="0079261F" w:rsidRDefault="0079261F" w:rsidP="00F61413">
      <w:r>
        <w:continuationSeparator/>
      </w:r>
    </w:p>
  </w:footnote>
  <w:footnote w:type="continuationNotice" w:id="1">
    <w:p w14:paraId="6FE3D0E4" w14:textId="77777777" w:rsidR="0079261F" w:rsidRDefault="0079261F"/>
  </w:footnote>
  <w:footnote w:id="2">
    <w:p w14:paraId="60DAB4E2" w14:textId="77777777" w:rsidR="00A171EA" w:rsidRPr="00EA51DC" w:rsidRDefault="00A171EA" w:rsidP="00621F9B">
      <w:pPr>
        <w:pStyle w:val="FootnoteText"/>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Please refer to the J. Kennedy testimony and report for a detailed discussion of these costs.</w:t>
      </w:r>
    </w:p>
  </w:footnote>
  <w:footnote w:id="3">
    <w:p w14:paraId="1866FC13" w14:textId="58D57A76" w:rsidR="00A171EA" w:rsidRPr="00EA51DC" w:rsidRDefault="00A171EA" w:rsidP="0095742D">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It is also VMG’s understanding that the Company did not receive government funds that had been provided to assist companies in dealing with the COVID crisis.  Otherwise, if such funding had been provided, VMG would have recommended that the portion of this funding that could be credited to the </w:t>
      </w:r>
      <w:r>
        <w:rPr>
          <w:rFonts w:ascii="Times New Roman" w:hAnsi="Times New Roman" w:cs="Times New Roman"/>
        </w:rPr>
        <w:t>P</w:t>
      </w:r>
      <w:r w:rsidRPr="00EA51DC">
        <w:rPr>
          <w:rFonts w:ascii="Times New Roman" w:hAnsi="Times New Roman" w:cs="Times New Roman"/>
        </w:rPr>
        <w:t xml:space="preserve">roject be deducted from the COVID impact that the company is proposing. </w:t>
      </w:r>
    </w:p>
  </w:footnote>
  <w:footnote w:id="4">
    <w:p w14:paraId="41E11D79" w14:textId="77777777" w:rsidR="00A171EA" w:rsidRDefault="00A171EA" w:rsidP="0095742D">
      <w:pPr>
        <w:pStyle w:val="FootnoteText"/>
      </w:pPr>
      <w:r w:rsidRPr="00EA51DC">
        <w:rPr>
          <w:rStyle w:val="FootnoteReference"/>
          <w:rFonts w:ascii="Times New Roman" w:hAnsi="Times New Roman" w:cs="Times New Roman"/>
        </w:rPr>
        <w:footnoteRef/>
      </w:r>
      <w:r w:rsidRPr="00EA51DC">
        <w:rPr>
          <w:rFonts w:ascii="Times New Roman" w:hAnsi="Times New Roman" w:cs="Times New Roman"/>
        </w:rPr>
        <w:t xml:space="preserve"> Please refer to the J. Kennedy testimony and report for a more detailed discussion of the economics of the Project</w:t>
      </w:r>
      <w:r>
        <w:t>.</w:t>
      </w:r>
    </w:p>
  </w:footnote>
  <w:footnote w:id="5">
    <w:p w14:paraId="32EAF1E9" w14:textId="77777777" w:rsidR="00A171EA" w:rsidRPr="000C4482" w:rsidRDefault="00A171EA" w:rsidP="001207EC">
      <w:pPr>
        <w:pStyle w:val="FootnoteText"/>
        <w:rPr>
          <w:rFonts w:ascii="Times New Roman" w:hAnsi="Times New Roman" w:cs="Times New Roman"/>
        </w:rPr>
      </w:pPr>
      <w:r>
        <w:rPr>
          <w:rStyle w:val="FootnoteReference"/>
        </w:rPr>
        <w:footnoteRef/>
      </w:r>
      <w:r>
        <w:t xml:space="preserve"> </w:t>
      </w:r>
      <w:r w:rsidRPr="000C4482">
        <w:rPr>
          <w:rFonts w:ascii="Times New Roman" w:hAnsi="Times New Roman" w:cs="Times New Roman"/>
        </w:rPr>
        <w:t>All costs identified in this report exclude financing costs.</w:t>
      </w:r>
    </w:p>
  </w:footnote>
  <w:footnote w:id="6">
    <w:p w14:paraId="7A4F3981" w14:textId="10C7F323" w:rsidR="00A171EA" w:rsidRDefault="00A171EA" w:rsidP="001207EC">
      <w:pPr>
        <w:pStyle w:val="FootnoteText"/>
      </w:pPr>
      <w:r w:rsidRPr="000C4482">
        <w:rPr>
          <w:rStyle w:val="FootnoteReference"/>
          <w:rFonts w:ascii="Times New Roman" w:hAnsi="Times New Roman" w:cs="Times New Roman"/>
        </w:rPr>
        <w:footnoteRef/>
      </w:r>
      <w:r w:rsidRPr="000C4482">
        <w:rPr>
          <w:rFonts w:ascii="Times New Roman" w:hAnsi="Times New Roman" w:cs="Times New Roman"/>
        </w:rPr>
        <w:t xml:space="preserve"> </w:t>
      </w:r>
      <w:r>
        <w:rPr>
          <w:rFonts w:ascii="Times New Roman" w:hAnsi="Times New Roman" w:cs="Times New Roman"/>
        </w:rPr>
        <w:t xml:space="preserve">The reference for this quote is </w:t>
      </w:r>
      <w:r w:rsidRPr="000C4482">
        <w:rPr>
          <w:rFonts w:ascii="Times New Roman" w:hAnsi="Times New Roman" w:cs="Times New Roman"/>
        </w:rPr>
        <w:t xml:space="preserve">GPC Testimony in Support of GPC’s Application to Adjust Rates to Include Reasonable and Prudent Plant Vogtle Units 3 and 4 </w:t>
      </w:r>
      <w:proofErr w:type="gramStart"/>
      <w:r w:rsidRPr="000C4482">
        <w:rPr>
          <w:rFonts w:ascii="Times New Roman" w:hAnsi="Times New Roman" w:cs="Times New Roman"/>
        </w:rPr>
        <w:t>Costs;</w:t>
      </w:r>
      <w:proofErr w:type="gramEnd"/>
      <w:r w:rsidRPr="000C4482">
        <w:rPr>
          <w:rFonts w:ascii="Times New Roman" w:hAnsi="Times New Roman" w:cs="Times New Roman"/>
        </w:rPr>
        <w:t xml:space="preserve"> page 23, line 8.</w:t>
      </w:r>
    </w:p>
  </w:footnote>
  <w:footnote w:id="7">
    <w:p w14:paraId="62F1D0F4" w14:textId="77777777" w:rsidR="00A171EA" w:rsidRDefault="00A171EA" w:rsidP="001161BF"/>
  </w:footnote>
  <w:footnote w:id="8">
    <w:p w14:paraId="7BDACEBE" w14:textId="4705F502" w:rsidR="00A171EA" w:rsidRPr="000C4482" w:rsidRDefault="00A171EA" w:rsidP="00B072E5">
      <w:pPr>
        <w:pStyle w:val="FootnoteText"/>
        <w:jc w:val="both"/>
        <w:rPr>
          <w:rFonts w:ascii="Times New Roman" w:hAnsi="Times New Roman" w:cs="Times New Roman"/>
        </w:rPr>
      </w:pPr>
      <w:r>
        <w:rPr>
          <w:rStyle w:val="FootnoteReference"/>
        </w:rPr>
        <w:footnoteRef/>
      </w:r>
      <w:r>
        <w:t xml:space="preserve"> </w:t>
      </w:r>
      <w:r w:rsidRPr="000C4482">
        <w:rPr>
          <w:rFonts w:ascii="Times New Roman" w:hAnsi="Times New Roman" w:cs="Times New Roman"/>
        </w:rPr>
        <w:t>Cost was provided in terms of an “EPC Cost” of $ 7.65 billion; all other costs were estimated in terms of 20% of the total TPC, therefore the total TPC would be $ 7.65 billion / 0.8 = $ 9.56 billion</w:t>
      </w:r>
    </w:p>
  </w:footnote>
  <w:footnote w:id="9">
    <w:p w14:paraId="04ECEC41" w14:textId="717E0239" w:rsidR="00A171EA" w:rsidRPr="000C4482" w:rsidRDefault="00A171EA" w:rsidP="00A25604">
      <w:pPr>
        <w:pStyle w:val="FootnoteText"/>
        <w:jc w:val="both"/>
        <w:rPr>
          <w:rFonts w:ascii="Times New Roman" w:hAnsi="Times New Roman" w:cs="Times New Roman"/>
        </w:rPr>
      </w:pPr>
      <w:r w:rsidRPr="000C4482">
        <w:rPr>
          <w:rStyle w:val="FootnoteReference"/>
          <w:rFonts w:ascii="Times New Roman" w:hAnsi="Times New Roman" w:cs="Times New Roman"/>
        </w:rPr>
        <w:footnoteRef/>
      </w:r>
      <w:r w:rsidRPr="000C4482">
        <w:rPr>
          <w:rFonts w:ascii="Times New Roman" w:hAnsi="Times New Roman" w:cs="Times New Roman"/>
        </w:rPr>
        <w:t xml:space="preserve"> Given </w:t>
      </w:r>
      <w:proofErr w:type="spellStart"/>
      <w:r w:rsidRPr="000C4482">
        <w:rPr>
          <w:rFonts w:ascii="Times New Roman" w:hAnsi="Times New Roman" w:cs="Times New Roman"/>
        </w:rPr>
        <w:t>AP1000</w:t>
      </w:r>
      <w:proofErr w:type="spellEnd"/>
      <w:r w:rsidRPr="000C4482">
        <w:rPr>
          <w:rFonts w:ascii="Times New Roman" w:hAnsi="Times New Roman" w:cs="Times New Roman"/>
        </w:rPr>
        <w:t xml:space="preserve"> clients assuming they would be protected against increased costs via an EPC Contract, plus WEC then declaring bankruptcy, an evaluation of the risks at that point </w:t>
      </w:r>
      <w:r>
        <w:rPr>
          <w:rFonts w:ascii="Times New Roman" w:hAnsi="Times New Roman" w:cs="Times New Roman"/>
        </w:rPr>
        <w:t xml:space="preserve">in </w:t>
      </w:r>
      <w:r w:rsidRPr="000C4482">
        <w:rPr>
          <w:rFonts w:ascii="Times New Roman" w:hAnsi="Times New Roman" w:cs="Times New Roman"/>
        </w:rPr>
        <w:t xml:space="preserve">time became extremely complicated, and in reviewing the Commission Orders immediately prior and after VCM Order 17 it appears that the TPC </w:t>
      </w:r>
      <w:proofErr w:type="spellStart"/>
      <w:r w:rsidRPr="000C4482">
        <w:rPr>
          <w:rFonts w:ascii="Times New Roman" w:hAnsi="Times New Roman" w:cs="Times New Roman"/>
        </w:rPr>
        <w:t>EAC</w:t>
      </w:r>
      <w:proofErr w:type="spellEnd"/>
      <w:r w:rsidRPr="000C4482">
        <w:rPr>
          <w:rFonts w:ascii="Times New Roman" w:hAnsi="Times New Roman" w:cs="Times New Roman"/>
        </w:rPr>
        <w:t xml:space="preserve"> was changing rapidly.  With respect then to the TPC of $ 17.1 billion and </w:t>
      </w:r>
      <w:proofErr w:type="gramStart"/>
      <w:r w:rsidRPr="000C4482">
        <w:rPr>
          <w:rFonts w:ascii="Times New Roman" w:hAnsi="Times New Roman" w:cs="Times New Roman"/>
        </w:rPr>
        <w:t>whether or not</w:t>
      </w:r>
      <w:proofErr w:type="gramEnd"/>
      <w:r w:rsidRPr="000C4482">
        <w:rPr>
          <w:rFonts w:ascii="Times New Roman" w:hAnsi="Times New Roman" w:cs="Times New Roman"/>
        </w:rPr>
        <w:t xml:space="preserve"> it was “reasonable”, it appears that Southern Company was determined to complete the </w:t>
      </w:r>
      <w:r w:rsidR="00204ECA">
        <w:rPr>
          <w:rFonts w:ascii="Times New Roman" w:hAnsi="Times New Roman" w:cs="Times New Roman"/>
        </w:rPr>
        <w:t>P</w:t>
      </w:r>
      <w:r w:rsidRPr="000C4482">
        <w:rPr>
          <w:rFonts w:ascii="Times New Roman" w:hAnsi="Times New Roman" w:cs="Times New Roman"/>
        </w:rPr>
        <w:t xml:space="preserve">roject, and their analyses were most likely biased toward an” under-estimated” (or as is sometimes stated “low-balled estimate”) of the TPC.  In support of this opinion, VMG notes that within VCM 19, the company was accepting a loss of nearly $ 0.7 billion (which on a 100% equity ownership basis is roughly $ 1.8 billion). </w:t>
      </w:r>
    </w:p>
  </w:footnote>
  <w:footnote w:id="10">
    <w:p w14:paraId="34BA717B" w14:textId="77777777" w:rsidR="00A171EA" w:rsidRPr="00EA51DC" w:rsidRDefault="00A171EA" w:rsidP="007F08A0">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Examples of unrealistic assumptions made as part of the April 2019 “Bases of Re-baselined Schedules” are provided in Section 3.</w:t>
      </w:r>
    </w:p>
  </w:footnote>
  <w:footnote w:id="11">
    <w:p w14:paraId="6FA03EF8" w14:textId="61C73944" w:rsidR="00A171EA" w:rsidRPr="00EA51DC" w:rsidRDefault="00A171EA" w:rsidP="007F08A0">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If one views SNC’s taking control of the project as a separate project effort and viewing the April 2019 Baseline (which was not actually completed until sometime after April 2019) as the “company’s first validated baseline”, the TPC Estimate to Complete (TPC ETC) the project in April 2019 was $ 7.2 </w:t>
      </w:r>
      <w:r>
        <w:rPr>
          <w:rFonts w:ascii="Times New Roman" w:hAnsi="Times New Roman" w:cs="Times New Roman"/>
        </w:rPr>
        <w:t>billion</w:t>
      </w:r>
      <w:r w:rsidRPr="00EA51DC">
        <w:rPr>
          <w:rFonts w:ascii="Times New Roman" w:hAnsi="Times New Roman" w:cs="Times New Roman"/>
        </w:rPr>
        <w:t xml:space="preserve"> (not to be confused with the GPC $ 7.3 </w:t>
      </w:r>
      <w:r>
        <w:rPr>
          <w:rFonts w:ascii="Times New Roman" w:hAnsi="Times New Roman" w:cs="Times New Roman"/>
        </w:rPr>
        <w:t>billion</w:t>
      </w:r>
      <w:r w:rsidRPr="00EA51DC">
        <w:rPr>
          <w:rFonts w:ascii="Times New Roman" w:hAnsi="Times New Roman" w:cs="Times New Roman"/>
        </w:rPr>
        <w:t xml:space="preserve"> Capital Construction Cost), and with an assumed VMG forecast TPC of say $ 21.1 </w:t>
      </w:r>
      <w:r>
        <w:rPr>
          <w:rFonts w:ascii="Times New Roman" w:hAnsi="Times New Roman" w:cs="Times New Roman"/>
        </w:rPr>
        <w:t>billion</w:t>
      </w:r>
      <w:r w:rsidRPr="00EA51DC">
        <w:rPr>
          <w:rFonts w:ascii="Times New Roman" w:hAnsi="Times New Roman" w:cs="Times New Roman"/>
        </w:rPr>
        <w:t xml:space="preserve">, the $ 7.2 </w:t>
      </w:r>
      <w:r>
        <w:rPr>
          <w:rFonts w:ascii="Times New Roman" w:hAnsi="Times New Roman" w:cs="Times New Roman"/>
        </w:rPr>
        <w:t>billion</w:t>
      </w:r>
      <w:r w:rsidRPr="00EA51DC">
        <w:rPr>
          <w:rFonts w:ascii="Times New Roman" w:hAnsi="Times New Roman" w:cs="Times New Roman"/>
        </w:rPr>
        <w:t xml:space="preserve"> TPC ETC has now grown by $ 4 </w:t>
      </w:r>
      <w:r>
        <w:rPr>
          <w:rFonts w:ascii="Times New Roman" w:hAnsi="Times New Roman" w:cs="Times New Roman"/>
        </w:rPr>
        <w:t>billion</w:t>
      </w:r>
      <w:r w:rsidRPr="00EA51DC">
        <w:rPr>
          <w:rFonts w:ascii="Times New Roman" w:hAnsi="Times New Roman" w:cs="Times New Roman"/>
        </w:rPr>
        <w:t xml:space="preserve"> to $ 11.2 </w:t>
      </w:r>
      <w:r>
        <w:rPr>
          <w:rFonts w:ascii="Times New Roman" w:hAnsi="Times New Roman" w:cs="Times New Roman"/>
        </w:rPr>
        <w:t>billion</w:t>
      </w:r>
      <w:r w:rsidRPr="00EA51DC">
        <w:rPr>
          <w:rFonts w:ascii="Times New Roman" w:hAnsi="Times New Roman" w:cs="Times New Roman"/>
        </w:rPr>
        <w:t xml:space="preserve"> (for that same scope of work); i.e., in 4 years, SNC’s cost to finish the project has grown by over 55 %. </w:t>
      </w:r>
    </w:p>
  </w:footnote>
  <w:footnote w:id="12">
    <w:p w14:paraId="719CA547" w14:textId="0A2843B7" w:rsidR="00A171EA" w:rsidRDefault="00A171EA" w:rsidP="007F08A0">
      <w:pPr>
        <w:pStyle w:val="FootnoteText"/>
        <w:jc w:val="both"/>
      </w:pPr>
      <w:r w:rsidRPr="00EA51DC">
        <w:rPr>
          <w:rStyle w:val="FootnoteReference"/>
          <w:rFonts w:ascii="Times New Roman" w:hAnsi="Times New Roman" w:cs="Times New Roman"/>
        </w:rPr>
        <w:footnoteRef/>
      </w:r>
      <w:r w:rsidRPr="00EA51DC">
        <w:rPr>
          <w:rFonts w:ascii="Times New Roman" w:hAnsi="Times New Roman" w:cs="Times New Roman"/>
        </w:rPr>
        <w:t xml:space="preserve"> The negative impacts due to employing </w:t>
      </w:r>
      <w:r>
        <w:rPr>
          <w:rFonts w:ascii="Times New Roman" w:hAnsi="Times New Roman" w:cs="Times New Roman"/>
        </w:rPr>
        <w:t xml:space="preserve">imprudent </w:t>
      </w:r>
      <w:r w:rsidRPr="00EA51DC">
        <w:rPr>
          <w:rFonts w:ascii="Times New Roman" w:hAnsi="Times New Roman" w:cs="Times New Roman"/>
        </w:rPr>
        <w:t xml:space="preserve">management practices manifested themselves much more on U-3 than U-4, and it appears that the company did learn from those experiences.  As evidence of this, and even though U-4 is projected (per the Company’s RAS) to achieve Commercial Operations by roughly March 2024 (16 months after the Regulatory Approved November 2022 date), March 2024 is 4 months less than the originally forecast 12 month lag between U-3 and U-4 COD (i.e., U-3 achieved COD in July 2023, and U-4 per the RAS March 2024 date is now 8 months (versus the originally forecast 12 months) after the U-3 COD. </w:t>
      </w:r>
    </w:p>
  </w:footnote>
  <w:footnote w:id="13">
    <w:p w14:paraId="217D984B" w14:textId="77777777" w:rsidR="00A171EA" w:rsidRPr="00EA51DC" w:rsidRDefault="00A171EA" w:rsidP="007F08A0">
      <w:pPr>
        <w:pStyle w:val="FootnoteText"/>
        <w:jc w:val="both"/>
        <w:rPr>
          <w:rFonts w:ascii="Times New Roman" w:hAnsi="Times New Roman" w:cs="Times New Roman"/>
        </w:rPr>
      </w:pPr>
      <w:r>
        <w:rPr>
          <w:rStyle w:val="FootnoteReference"/>
        </w:rPr>
        <w:footnoteRef/>
      </w:r>
      <w:r>
        <w:t xml:space="preserve"> </w:t>
      </w:r>
      <w:r w:rsidRPr="00EA51DC">
        <w:rPr>
          <w:rFonts w:ascii="Times New Roman" w:hAnsi="Times New Roman" w:cs="Times New Roman"/>
        </w:rPr>
        <w:t xml:space="preserve">It is recognized that the company has analyzed the maximum impacts of COVID 19 to the Company’s Capital Construction Cost of $ 7.3 </w:t>
      </w:r>
      <w:r>
        <w:rPr>
          <w:rFonts w:ascii="Times New Roman" w:hAnsi="Times New Roman" w:cs="Times New Roman"/>
        </w:rPr>
        <w:t>billion</w:t>
      </w:r>
      <w:r w:rsidRPr="00EA51DC">
        <w:rPr>
          <w:rFonts w:ascii="Times New Roman" w:hAnsi="Times New Roman" w:cs="Times New Roman"/>
        </w:rPr>
        <w:t xml:space="preserve"> to be roughly $ 200 million.   </w:t>
      </w:r>
    </w:p>
  </w:footnote>
  <w:footnote w:id="14">
    <w:p w14:paraId="6A4846B1" w14:textId="565387F6" w:rsidR="00A171EA" w:rsidRDefault="00A171EA" w:rsidP="007F08A0">
      <w:pPr>
        <w:pStyle w:val="FootnoteText"/>
        <w:jc w:val="both"/>
      </w:pPr>
      <w:r w:rsidRPr="00EA51DC">
        <w:rPr>
          <w:rStyle w:val="FootnoteReference"/>
          <w:rFonts w:ascii="Times New Roman" w:hAnsi="Times New Roman" w:cs="Times New Roman"/>
        </w:rPr>
        <w:footnoteRef/>
      </w:r>
      <w:r w:rsidRPr="00EA51DC">
        <w:rPr>
          <w:rFonts w:ascii="Times New Roman" w:hAnsi="Times New Roman" w:cs="Times New Roman"/>
        </w:rPr>
        <w:t xml:space="preserve"> Also, “realistic TPC” as used in this context is simply assessing the costs for SNC to complete the Project, and then adding that to the prior “as spent costs” (which includes </w:t>
      </w:r>
      <w:r>
        <w:rPr>
          <w:rFonts w:ascii="Times New Roman" w:hAnsi="Times New Roman" w:cs="Times New Roman"/>
        </w:rPr>
        <w:t xml:space="preserve">a credit from </w:t>
      </w:r>
      <w:r w:rsidRPr="00EA51DC">
        <w:rPr>
          <w:rFonts w:ascii="Times New Roman" w:hAnsi="Times New Roman" w:cs="Times New Roman"/>
        </w:rPr>
        <w:t>the Toshiba Guarantee Payment).  In other words, VMG is not providing a review and assessment of costs prior to the WEC bankruptcy, as that is the subject of the testimony of Mr. Roetger and Dr. Jacobs</w:t>
      </w:r>
      <w:r>
        <w:t>.</w:t>
      </w:r>
    </w:p>
    <w:p w14:paraId="71CCDF25" w14:textId="77777777" w:rsidR="00A171EA" w:rsidRDefault="00A171EA" w:rsidP="007F08A0">
      <w:pPr>
        <w:pStyle w:val="FootnoteText"/>
      </w:pPr>
    </w:p>
  </w:footnote>
  <w:footnote w:id="15">
    <w:p w14:paraId="5B998F64" w14:textId="77777777" w:rsidR="00A171EA" w:rsidRPr="00EA51DC" w:rsidRDefault="00A171EA" w:rsidP="007F08A0">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Another potential reason for this is that components had been sitting either within the plant or in the warehouse for years, with questionable attention having been paid to properly maintaining them and documenting such in accordance with Quality Control requirements, and to resolve questions of component reliability as quickly as possible this could have also been a reason for accelerating the turnover of completed construction work to ITP.</w:t>
      </w:r>
    </w:p>
  </w:footnote>
  <w:footnote w:id="16">
    <w:p w14:paraId="610B608D" w14:textId="4D7A394A" w:rsidR="00A171EA" w:rsidRDefault="00A171EA">
      <w:pPr>
        <w:pStyle w:val="FootnoteText"/>
      </w:pPr>
      <w:r>
        <w:rPr>
          <w:rStyle w:val="FootnoteReference"/>
        </w:rPr>
        <w:footnoteRef/>
      </w:r>
      <w:r>
        <w:t xml:space="preserve"> Both the process of taking “technical exceptions” and doing a “partial release for test (PRT)” can become very complicated, by not only complicating the planning and execution of work but also the administrative processes for documenting the completion of the work.   As one example for the PRT process, ITP may want to test a component within a particular system, yet associated work within the governing Construction Work Package is not yet done, so they then request a PRT. As a “lesson learned” from U-3, the use of this process on U-4 has been minimized whereby ITP has to first obtain senior management approval prior to implementing the process.</w:t>
      </w:r>
    </w:p>
  </w:footnote>
  <w:footnote w:id="17">
    <w:p w14:paraId="2D1EE065" w14:textId="77777777" w:rsidR="00A171EA" w:rsidRPr="00EA51DC" w:rsidRDefault="00A171EA" w:rsidP="007F08A0">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As an example of the complexity of IEEE-384, the project focused on completing “scheduled” electrical work (i.e., primarily nuclear safety related work) prior to “unscheduled” electrical work (which includes things such as lighting and is primarily “field routed”).  However, IEEE-384 requires a review of the various design basis hazards present throughout the various areas of the plant (e.g., a seismic event, fire, and flooding).  And to illustrate, a simple item like a non-safety raceway falling onto a safety related component could (during a design basis hazard such as a seismic event) potentially render the safety related system (or safety related train within a safety related system) inoperable.  </w:t>
      </w:r>
    </w:p>
  </w:footnote>
  <w:footnote w:id="18">
    <w:p w14:paraId="14936034" w14:textId="77777777" w:rsidR="00A171EA" w:rsidRPr="00EA51DC" w:rsidRDefault="00A171EA" w:rsidP="007F08A0">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In addition, the structures of the Nuclear Island (which comprises the Containment Building and Auxiliary Building) were originally designed for the AP 600 Nuclear Plant (which is basically a 600 MW, vs 1102 MW plant), and therefore the larger AP 1000 had to fit within this same size, which </w:t>
      </w:r>
      <w:r>
        <w:rPr>
          <w:rFonts w:ascii="Times New Roman" w:hAnsi="Times New Roman" w:cs="Times New Roman"/>
        </w:rPr>
        <w:t>suggests greater attention to detailed design and engineering  should have been performed  for</w:t>
      </w:r>
      <w:r w:rsidRPr="00EA51DC">
        <w:rPr>
          <w:rFonts w:ascii="Times New Roman" w:hAnsi="Times New Roman" w:cs="Times New Roman"/>
        </w:rPr>
        <w:t xml:space="preserve"> all Nuclear Island related electrical raceways prior to releasing the design for construction</w:t>
      </w:r>
      <w:r>
        <w:rPr>
          <w:rFonts w:ascii="Times New Roman" w:hAnsi="Times New Roman" w:cs="Times New Roman"/>
        </w:rPr>
        <w:t>.</w:t>
      </w:r>
    </w:p>
  </w:footnote>
  <w:footnote w:id="19">
    <w:p w14:paraId="66FBDA5F" w14:textId="77777777" w:rsidR="00A171EA" w:rsidRPr="006871E3" w:rsidRDefault="00A171EA" w:rsidP="00E64D19">
      <w:pPr>
        <w:pStyle w:val="FootnoteText"/>
        <w:rPr>
          <w:rFonts w:ascii="Times New Roman" w:hAnsi="Times New Roman" w:cs="Times New Roman"/>
        </w:rPr>
      </w:pPr>
      <w:r w:rsidRPr="006871E3">
        <w:rPr>
          <w:rStyle w:val="FootnoteReference"/>
          <w:rFonts w:ascii="Times New Roman" w:hAnsi="Times New Roman" w:cs="Times New Roman"/>
        </w:rPr>
        <w:footnoteRef/>
      </w:r>
      <w:r w:rsidRPr="006871E3">
        <w:rPr>
          <w:rFonts w:ascii="Times New Roman" w:hAnsi="Times New Roman" w:cs="Times New Roman"/>
        </w:rPr>
        <w:t xml:space="preserve"> In fairness to the SNC Project Controls group, given the amount and rate at which undefinable rework was being created, and the Project wanting to continue maximum construction efforts, even a perfect </w:t>
      </w:r>
      <w:proofErr w:type="spellStart"/>
      <w:r w:rsidRPr="006871E3">
        <w:rPr>
          <w:rFonts w:ascii="Times New Roman" w:hAnsi="Times New Roman" w:cs="Times New Roman"/>
        </w:rPr>
        <w:t>EVMS</w:t>
      </w:r>
      <w:proofErr w:type="spellEnd"/>
      <w:r w:rsidRPr="006871E3">
        <w:rPr>
          <w:rFonts w:ascii="Times New Roman" w:hAnsi="Times New Roman" w:cs="Times New Roman"/>
        </w:rPr>
        <w:t xml:space="preserve"> would find it difficult to keep up with what was going on. </w:t>
      </w:r>
    </w:p>
  </w:footnote>
  <w:footnote w:id="20">
    <w:p w14:paraId="66F568F1" w14:textId="77777777" w:rsidR="00A171EA" w:rsidRPr="00EA51DC" w:rsidRDefault="00A171EA" w:rsidP="00E64D19">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The three main parameters used in reporting project progress are (a) planned work (termed the Budgeted Cost of Work Scheduled, </w:t>
      </w:r>
      <w:proofErr w:type="spellStart"/>
      <w:r w:rsidRPr="00EA51DC">
        <w:rPr>
          <w:rFonts w:ascii="Times New Roman" w:hAnsi="Times New Roman" w:cs="Times New Roman"/>
        </w:rPr>
        <w:t>BCWS</w:t>
      </w:r>
      <w:proofErr w:type="spellEnd"/>
      <w:r w:rsidRPr="00EA51DC">
        <w:rPr>
          <w:rFonts w:ascii="Times New Roman" w:hAnsi="Times New Roman" w:cs="Times New Roman"/>
        </w:rPr>
        <w:t>), (b) the Actual Cost of Work Performed (</w:t>
      </w:r>
      <w:proofErr w:type="spellStart"/>
      <w:r w:rsidRPr="00EA51DC">
        <w:rPr>
          <w:rFonts w:ascii="Times New Roman" w:hAnsi="Times New Roman" w:cs="Times New Roman"/>
        </w:rPr>
        <w:t>ACWP</w:t>
      </w:r>
      <w:proofErr w:type="spellEnd"/>
      <w:r w:rsidRPr="00EA51DC">
        <w:rPr>
          <w:rFonts w:ascii="Times New Roman" w:hAnsi="Times New Roman" w:cs="Times New Roman"/>
        </w:rPr>
        <w:t>), and (c) earned work (termed Budgeted Cost of Work Performed (</w:t>
      </w:r>
      <w:proofErr w:type="spellStart"/>
      <w:r w:rsidRPr="00EA51DC">
        <w:rPr>
          <w:rFonts w:ascii="Times New Roman" w:hAnsi="Times New Roman" w:cs="Times New Roman"/>
        </w:rPr>
        <w:t>BCWP</w:t>
      </w:r>
      <w:proofErr w:type="spellEnd"/>
      <w:r w:rsidRPr="00EA51DC">
        <w:rPr>
          <w:rFonts w:ascii="Times New Roman" w:hAnsi="Times New Roman" w:cs="Times New Roman"/>
        </w:rPr>
        <w:t xml:space="preserve">).  Utilizing these measures over pre-defined time periods, one then develops “cost variances” and “schedule variances”, both for the specific </w:t>
      </w:r>
      <w:proofErr w:type="gramStart"/>
      <w:r w:rsidRPr="00EA51DC">
        <w:rPr>
          <w:rFonts w:ascii="Times New Roman" w:hAnsi="Times New Roman" w:cs="Times New Roman"/>
        </w:rPr>
        <w:t>time period</w:t>
      </w:r>
      <w:proofErr w:type="gramEnd"/>
      <w:r w:rsidRPr="00EA51DC">
        <w:rPr>
          <w:rFonts w:ascii="Times New Roman" w:hAnsi="Times New Roman" w:cs="Times New Roman"/>
        </w:rPr>
        <w:t xml:space="preserve">, and cumulatively since the start of the new baseline. </w:t>
      </w:r>
    </w:p>
  </w:footnote>
  <w:footnote w:id="21">
    <w:p w14:paraId="6FC7DE1C" w14:textId="77777777" w:rsidR="00A171EA" w:rsidRDefault="00A171EA" w:rsidP="00E64D19">
      <w:pPr>
        <w:pStyle w:val="FootnoteText"/>
        <w:jc w:val="both"/>
      </w:pPr>
      <w:r w:rsidRPr="00EA51DC">
        <w:rPr>
          <w:rStyle w:val="FootnoteReference"/>
          <w:rFonts w:ascii="Times New Roman" w:hAnsi="Times New Roman" w:cs="Times New Roman"/>
        </w:rPr>
        <w:footnoteRef/>
      </w:r>
      <w:r w:rsidRPr="00EA51DC">
        <w:rPr>
          <w:rFonts w:ascii="Times New Roman" w:hAnsi="Times New Roman" w:cs="Times New Roman"/>
        </w:rPr>
        <w:t xml:space="preserve"> Perhaps this was due to components having been ordered while under the control of WEC, and not having been properly maintained (either in storage, or after having been installed)</w:t>
      </w:r>
      <w:r>
        <w:rPr>
          <w:rFonts w:ascii="Times New Roman" w:hAnsi="Times New Roman" w:cs="Times New Roman"/>
        </w:rPr>
        <w:t>.</w:t>
      </w:r>
    </w:p>
  </w:footnote>
  <w:footnote w:id="22">
    <w:p w14:paraId="61A0BBFA" w14:textId="77777777" w:rsidR="00A171EA" w:rsidRDefault="00A171EA" w:rsidP="00E64D19">
      <w:pPr>
        <w:pStyle w:val="FootnoteText"/>
      </w:pPr>
      <w:r>
        <w:rPr>
          <w:rStyle w:val="FootnoteReference"/>
        </w:rPr>
        <w:footnoteRef/>
      </w:r>
      <w:r>
        <w:t xml:space="preserve"> </w:t>
      </w:r>
      <w:r w:rsidRPr="000C4482">
        <w:rPr>
          <w:rFonts w:ascii="Times New Roman" w:hAnsi="Times New Roman" w:cs="Times New Roman"/>
        </w:rPr>
        <w:t>The April 2019 slipped the SWP CODs by only one month from April 2021/ April 2022 to May 2021/ May 2022, thus not recognizing delays of bulk installation (which based on actual vs unrealistic planned rates would have slipped the schedule by at least 6 months).</w:t>
      </w:r>
      <w:r>
        <w:t xml:space="preserve"> </w:t>
      </w:r>
    </w:p>
  </w:footnote>
  <w:footnote w:id="23">
    <w:p w14:paraId="33D8ED5F" w14:textId="77777777" w:rsidR="00A171EA" w:rsidRPr="00EA51DC" w:rsidRDefault="00A171EA" w:rsidP="00BC09F5">
      <w:pPr>
        <w:pStyle w:val="FootnoteText"/>
        <w:jc w:val="both"/>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In addition, with the problems in constructing electrical raceways to be compliant to IEEE-384, and the deferral of inspections, this work should have never been progressed as 100% complete in the first place since these practices only served to generate an enormous amount of emergent rework.</w:t>
      </w:r>
    </w:p>
  </w:footnote>
  <w:footnote w:id="24">
    <w:p w14:paraId="58ED744E" w14:textId="77777777" w:rsidR="00087D4A" w:rsidRDefault="00087D4A" w:rsidP="00087D4A"/>
  </w:footnote>
  <w:footnote w:id="25">
    <w:p w14:paraId="1730AE5B" w14:textId="336411D3" w:rsidR="00087D4A" w:rsidRDefault="00087D4A" w:rsidP="00087D4A">
      <w:pPr>
        <w:pStyle w:val="FootnoteText"/>
      </w:pPr>
      <w:r>
        <w:rPr>
          <w:rStyle w:val="FootnoteReference"/>
        </w:rPr>
        <w:footnoteRef/>
      </w:r>
      <w:r>
        <w:t xml:space="preserve"> </w:t>
      </w:r>
      <w:r w:rsidRPr="00EA51DC">
        <w:rPr>
          <w:rFonts w:ascii="Times New Roman" w:hAnsi="Times New Roman" w:cs="Times New Roman"/>
        </w:rPr>
        <w:t>Ref: American Associate of Cost Engineers International (1997) and EPRI (1993)</w:t>
      </w:r>
    </w:p>
  </w:footnote>
  <w:footnote w:id="26">
    <w:p w14:paraId="5C673D69" w14:textId="77777777" w:rsidR="00A171EA" w:rsidRPr="00EA51DC" w:rsidRDefault="00A171EA" w:rsidP="004C75C3">
      <w:pPr>
        <w:pStyle w:val="FootnoteText"/>
        <w:rPr>
          <w:rFonts w:ascii="Times New Roman" w:hAnsi="Times New Roman" w:cs="Times New Roman"/>
        </w:rPr>
      </w:pPr>
      <w:r w:rsidRPr="00EA51DC">
        <w:rPr>
          <w:rStyle w:val="FootnoteReference"/>
          <w:rFonts w:ascii="Times New Roman" w:hAnsi="Times New Roman" w:cs="Times New Roman"/>
        </w:rPr>
        <w:footnoteRef/>
      </w:r>
      <w:r w:rsidRPr="00EA51DC">
        <w:rPr>
          <w:rFonts w:ascii="Times New Roman" w:hAnsi="Times New Roman" w:cs="Times New Roman"/>
        </w:rPr>
        <w:t xml:space="preserve"> As an example, the scope of work definitions for construction </w:t>
      </w:r>
      <w:proofErr w:type="spellStart"/>
      <w:r w:rsidRPr="00EA51DC">
        <w:rPr>
          <w:rFonts w:ascii="Times New Roman" w:hAnsi="Times New Roman" w:cs="Times New Roman"/>
        </w:rPr>
        <w:t>WBSs</w:t>
      </w:r>
      <w:proofErr w:type="spellEnd"/>
      <w:r w:rsidRPr="00EA51DC">
        <w:rPr>
          <w:rFonts w:ascii="Times New Roman" w:hAnsi="Times New Roman" w:cs="Times New Roman"/>
        </w:rPr>
        <w:t xml:space="preserve"> would include completing inspections as part of the work that would need to be completed prior to taking total credit for its completion.</w:t>
      </w:r>
    </w:p>
  </w:footnote>
  <w:footnote w:id="27">
    <w:p w14:paraId="3D28898C" w14:textId="77777777" w:rsidR="00A171EA" w:rsidRPr="00EA51DC" w:rsidRDefault="00A171EA" w:rsidP="005D69DB">
      <w:pPr>
        <w:pStyle w:val="FootnoteText"/>
        <w:jc w:val="both"/>
        <w:rPr>
          <w:rFonts w:ascii="Times New Roman" w:hAnsi="Times New Roman" w:cs="Times New Roman"/>
          <w:b/>
          <w:bCs/>
        </w:rPr>
      </w:pPr>
      <w:r w:rsidRPr="00EA51DC">
        <w:rPr>
          <w:rStyle w:val="FootnoteReference"/>
          <w:rFonts w:ascii="Times New Roman" w:hAnsi="Times New Roman" w:cs="Times New Roman"/>
        </w:rPr>
        <w:footnoteRef/>
      </w:r>
      <w:r w:rsidRPr="00EA51DC">
        <w:rPr>
          <w:rFonts w:ascii="Times New Roman" w:hAnsi="Times New Roman" w:cs="Times New Roman"/>
        </w:rPr>
        <w:t xml:space="preserve"> These schedule delay related costs would be apart from the construction labor and construction indirect costs and would include management and all support related functions such as project controls, accounting, etc</w:t>
      </w:r>
      <w:r w:rsidRPr="00EA51DC">
        <w:rPr>
          <w:rFonts w:ascii="Times New Roman" w:hAnsi="Times New Roman" w:cs="Times New Roman"/>
          <w:b/>
          <w:bCs/>
        </w:rPr>
        <w:t>.</w:t>
      </w:r>
    </w:p>
  </w:footnote>
  <w:footnote w:id="28">
    <w:p w14:paraId="0703375B" w14:textId="77777777" w:rsidR="00A171EA" w:rsidRDefault="00A171EA" w:rsidP="005D69DB">
      <w:pPr>
        <w:pStyle w:val="FootnoteText"/>
        <w:jc w:val="both"/>
      </w:pPr>
      <w:r>
        <w:rPr>
          <w:rStyle w:val="FootnoteReference"/>
        </w:rPr>
        <w:footnoteRef/>
      </w:r>
      <w:r>
        <w:t xml:space="preserve"> </w:t>
      </w:r>
      <w:r w:rsidRPr="00595E2B">
        <w:rPr>
          <w:rFonts w:ascii="Times New Roman" w:hAnsi="Times New Roman" w:cs="Times New Roman"/>
        </w:rPr>
        <w:t>As a preamble to this discussion,</w:t>
      </w:r>
      <w:r>
        <w:t xml:space="preserve"> </w:t>
      </w:r>
      <w:r>
        <w:rPr>
          <w:rFonts w:ascii="Times New Roman" w:hAnsi="Times New Roman" w:cs="Times New Roman"/>
        </w:rPr>
        <w:t xml:space="preserve">it should be noted that production inefficiency related costs per the analysis that follows includes those resulting from the impact of COVID, and for GPC’s share of this total cost impact to the project they are already being absorbed by the proposed increase of the GPC Capital Construction Cost to $ 7.562 billion from $ 7.3 billion.  </w:t>
      </w:r>
    </w:p>
  </w:footnote>
  <w:footnote w:id="29">
    <w:p w14:paraId="16EE0B5D" w14:textId="4C9123FD" w:rsidR="00A171EA" w:rsidRDefault="00A171EA">
      <w:pPr>
        <w:pStyle w:val="FootnoteText"/>
      </w:pPr>
      <w:r>
        <w:rPr>
          <w:rStyle w:val="FootnoteReference"/>
        </w:rPr>
        <w:footnoteRef/>
      </w:r>
      <w:r>
        <w:t xml:space="preserve"> “CA” stands for “Commission Approved” and is synonymous with “Regulatory Approved” (RA).  Also, “RAS” stands for Risk Adjusted Schedule CODs, where this latter “RAS” term did not start being used until it became obvious that the CA CODs could not be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ADDD" w14:textId="35849CF6" w:rsidR="00A171EA" w:rsidRPr="00EE653B" w:rsidRDefault="00A171EA" w:rsidP="00EE653B">
    <w:pPr>
      <w:spacing w:line="264" w:lineRule="auto"/>
      <w:ind w:right="-360" w:hanging="270"/>
      <w:rPr>
        <w:rFonts w:ascii="Monotype Corsiva" w:hAnsi="Monotype Corsiva"/>
        <w:b/>
        <w:bCs/>
        <w:sz w:val="48"/>
        <w:szCs w:val="48"/>
      </w:rPr>
    </w:pPr>
    <w:r w:rsidRPr="00F412F3">
      <w:rPr>
        <w:noProof/>
        <w:color w:val="0070C0"/>
      </w:rPr>
      <mc:AlternateContent>
        <mc:Choice Requires="wps">
          <w:drawing>
            <wp:anchor distT="91440" distB="91440" distL="114300" distR="114300" simplePos="0" relativeHeight="251668480" behindDoc="1" locked="0" layoutInCell="1" allowOverlap="1" wp14:anchorId="1D7F65B0" wp14:editId="1EE960A0">
              <wp:simplePos x="0" y="0"/>
              <wp:positionH relativeFrom="margin">
                <wp:posOffset>-20955</wp:posOffset>
              </wp:positionH>
              <wp:positionV relativeFrom="margin">
                <wp:posOffset>33020</wp:posOffset>
              </wp:positionV>
              <wp:extent cx="6200775" cy="45085"/>
              <wp:effectExtent l="0" t="0" r="28575" b="12065"/>
              <wp:wrapSquare wrapText="bothSides"/>
              <wp:docPr id="1978693983" name="Rectangle 1978693983"/>
              <wp:cNvGraphicFramePr/>
              <a:graphic xmlns:a="http://schemas.openxmlformats.org/drawingml/2006/main">
                <a:graphicData uri="http://schemas.microsoft.com/office/word/2010/wordprocessingShape">
                  <wps:wsp>
                    <wps:cNvSpPr/>
                    <wps:spPr>
                      <a:xfrm flipV="1">
                        <a:off x="0" y="0"/>
                        <a:ext cx="6200775" cy="45085"/>
                      </a:xfrm>
                      <a:prstGeom prst="rect">
                        <a:avLst/>
                      </a:prstGeom>
                      <a:solidFill>
                        <a:srgbClr val="4F81BD"/>
                      </a:solidFill>
                      <a:ln w="25400" cap="flat" cmpd="sng" algn="ctr">
                        <a:gradFill>
                          <a:gsLst>
                            <a:gs pos="0">
                              <a:schemeClr val="accent1">
                                <a:lumMod val="5000"/>
                                <a:lumOff val="95000"/>
                              </a:schemeClr>
                            </a:gs>
                            <a:gs pos="17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99A90F8" id="Rectangle 1978693983" o:spid="_x0000_s1026" style="position:absolute;margin-left:-1.65pt;margin-top:2.6pt;width:488.25pt;height:3.55pt;flip:y;z-index:-2516480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" fillcolor="#4f81bd" strokeweight="2pt">
              <w10:wrap type="square" anchorx="margin" anchory="margin"/>
            </v:rect>
          </w:pict>
        </mc:Fallback>
      </mc:AlternateContent>
    </w:r>
    <w:r w:rsidRPr="00BC63DC">
      <w:rPr>
        <w:rFonts w:ascii="Monotype Corsiva" w:hAnsi="Monotype Corsiva"/>
        <w:b/>
        <w:bCs/>
        <w:noProof/>
        <w:color w:val="0070C0"/>
        <w:sz w:val="48"/>
        <w:szCs w:val="48"/>
      </w:rPr>
      <mc:AlternateContent>
        <mc:Choice Requires="wps">
          <w:drawing>
            <wp:anchor distT="0" distB="0" distL="114300" distR="114300" simplePos="0" relativeHeight="251665408" behindDoc="0" locked="0" layoutInCell="1" allowOverlap="1" wp14:anchorId="04B2B31D" wp14:editId="7DE5D00D">
              <wp:simplePos x="0" y="0"/>
              <wp:positionH relativeFrom="page">
                <wp:align>center</wp:align>
              </wp:positionH>
              <wp:positionV relativeFrom="page">
                <wp:align>center</wp:align>
              </wp:positionV>
              <wp:extent cx="7376160" cy="9555480"/>
              <wp:effectExtent l="0" t="0" r="7620" b="762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B550C" w14:textId="1F67D7F1" w:rsidR="00A171EA" w:rsidRDefault="00A171EA" w:rsidP="00223F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B2B31D" id="Rectangle 72" o:spid="_x0000_s1026" style="position:absolute;margin-left:0;margin-top:0;width:580.8pt;height:752.4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DSlhKSrQIAAMEFAAAOAAAAAAAA&#10;AAAAAAAAAC4CAABkcnMvZTJvRG9jLnhtbFBLAQItABQABgAIAAAAIQALBJxE3QAAAAcBAAAPAAAA&#10;AAAAAAAAAAAAAAcFAABkcnMvZG93bnJldi54bWxQSwUGAAAAAAQABADzAAAAEQYAAAAA&#10;" filled="f" strokecolor="#938953 [1614]" strokeweight="1.25pt">
              <v:textbox>
                <w:txbxContent>
                  <w:p w14:paraId="647B550C" w14:textId="1F67D7F1" w:rsidR="00A171EA" w:rsidRDefault="00A171EA" w:rsidP="00223F1D"/>
                </w:txbxContent>
              </v:textbox>
              <w10:wrap anchorx="page" anchory="page"/>
            </v:rect>
          </w:pict>
        </mc:Fallback>
      </mc:AlternateContent>
    </w:r>
    <w:r>
      <w:rPr>
        <w:rFonts w:ascii="Monotype Corsiva" w:hAnsi="Monotype Corsiva"/>
        <w:b/>
        <w:bCs/>
        <w:color w:val="0070C0"/>
        <w:sz w:val="48"/>
        <w:szCs w:val="48"/>
      </w:rPr>
      <w:t xml:space="preserve">  </w:t>
    </w:r>
    <w:r w:rsidRPr="00BC63DC">
      <w:rPr>
        <w:rFonts w:ascii="Monotype Corsiva" w:hAnsi="Monotype Corsiva"/>
        <w:b/>
        <w:bCs/>
        <w:color w:val="0070C0"/>
        <w:sz w:val="48"/>
        <w:szCs w:val="48"/>
      </w:rPr>
      <w:t>V</w:t>
    </w:r>
    <w:r w:rsidRPr="00BC63DC">
      <w:rPr>
        <w:rFonts w:ascii="Monotype Corsiva" w:hAnsi="Monotype Corsiva"/>
        <w:b/>
        <w:bCs/>
        <w:color w:val="FFC000"/>
        <w:sz w:val="48"/>
        <w:szCs w:val="48"/>
      </w:rPr>
      <w:t>M</w:t>
    </w:r>
    <w:r w:rsidRPr="00BC63DC">
      <w:rPr>
        <w:rFonts w:ascii="Monotype Corsiva" w:hAnsi="Monotype Corsiva"/>
        <w:b/>
        <w:bCs/>
        <w:color w:val="0070C0"/>
        <w:sz w:val="48"/>
        <w:szCs w:val="48"/>
      </w:rPr>
      <w:t>G</w:t>
    </w:r>
    <w:r>
      <w:rPr>
        <w:rFonts w:ascii="Monotype Corsiva" w:hAnsi="Monotype Corsiva"/>
        <w:b/>
        <w:bCs/>
        <w:color w:val="0070C0"/>
        <w:sz w:val="48"/>
        <w:szCs w:val="48"/>
      </w:rPr>
      <w:tab/>
    </w:r>
    <w:r>
      <w:rPr>
        <w:rFonts w:ascii="Monotype Corsiva" w:hAnsi="Monotype Corsiva"/>
        <w:b/>
        <w:bCs/>
        <w:color w:val="0070C0"/>
        <w:sz w:val="48"/>
        <w:szCs w:val="48"/>
      </w:rPr>
      <w:tab/>
    </w:r>
    <w:r>
      <w:rPr>
        <w:rFonts w:ascii="Monotype Corsiva" w:hAnsi="Monotype Corsiva"/>
        <w:b/>
        <w:bCs/>
        <w:color w:val="0070C0"/>
        <w:sz w:val="48"/>
        <w:szCs w:val="48"/>
      </w:rPr>
      <w:tab/>
    </w:r>
    <w:r>
      <w:rPr>
        <w:rFonts w:ascii="Monotype Corsiva" w:hAnsi="Monotype Corsiva"/>
        <w:b/>
        <w:bCs/>
        <w:color w:val="0070C0"/>
        <w:sz w:val="48"/>
        <w:szCs w:val="48"/>
      </w:rPr>
      <w:tab/>
    </w:r>
    <w:r>
      <w:rPr>
        <w:rFonts w:ascii="Monotype Corsiva" w:hAnsi="Monotype Corsiva"/>
        <w:b/>
        <w:bCs/>
        <w:color w:val="0070C0"/>
        <w:sz w:val="48"/>
        <w:szCs w:val="48"/>
      </w:rPr>
      <w:tab/>
    </w:r>
    <w:r>
      <w:rPr>
        <w:rFonts w:ascii="Monotype Corsiva" w:hAnsi="Monotype Corsiva"/>
        <w:b/>
        <w:bCs/>
        <w:color w:val="0070C0"/>
        <w:sz w:val="48"/>
        <w:szCs w:val="48"/>
      </w:rPr>
      <w:tab/>
    </w:r>
    <w:r>
      <w:rPr>
        <w:rFonts w:ascii="Monotype Corsiva" w:hAnsi="Monotype Corsiva"/>
        <w:b/>
        <w:bCs/>
        <w:color w:val="0070C0"/>
        <w:sz w:val="48"/>
        <w:szCs w:val="48"/>
      </w:rPr>
      <w:tab/>
    </w:r>
    <w:r>
      <w:rPr>
        <w:rFonts w:ascii="Monotype Corsiva" w:hAnsi="Monotype Corsiva"/>
        <w:b/>
        <w:bCs/>
        <w:color w:val="0070C0"/>
        <w:sz w:val="48"/>
        <w:szCs w:val="48"/>
      </w:rPr>
      <w:tab/>
      <w:t xml:space="preserve">                 </w:t>
    </w:r>
    <w:r w:rsidRPr="00A96C09">
      <w:rPr>
        <w:sz w:val="28"/>
        <w:szCs w:val="28"/>
      </w:rPr>
      <w:t>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884E6"/>
    <w:multiLevelType w:val="hybridMultilevel"/>
    <w:tmpl w:val="D14871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8E779B"/>
    <w:multiLevelType w:val="hybridMultilevel"/>
    <w:tmpl w:val="5F300A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8DAD6"/>
    <w:multiLevelType w:val="hybridMultilevel"/>
    <w:tmpl w:val="43F0DF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BF14B1"/>
    <w:multiLevelType w:val="hybridMultilevel"/>
    <w:tmpl w:val="197AA4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A9307F"/>
    <w:multiLevelType w:val="hybridMultilevel"/>
    <w:tmpl w:val="7144A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70FA4"/>
    <w:multiLevelType w:val="hybridMultilevel"/>
    <w:tmpl w:val="8AE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C5C81"/>
    <w:multiLevelType w:val="hybridMultilevel"/>
    <w:tmpl w:val="24AAE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8514F"/>
    <w:multiLevelType w:val="hybridMultilevel"/>
    <w:tmpl w:val="86B4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75A20"/>
    <w:multiLevelType w:val="hybridMultilevel"/>
    <w:tmpl w:val="85963B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7D2058"/>
    <w:multiLevelType w:val="hybridMultilevel"/>
    <w:tmpl w:val="714E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C1565"/>
    <w:multiLevelType w:val="hybridMultilevel"/>
    <w:tmpl w:val="D120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FA1F5"/>
    <w:multiLevelType w:val="hybridMultilevel"/>
    <w:tmpl w:val="4F9125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D367206"/>
    <w:multiLevelType w:val="hybridMultilevel"/>
    <w:tmpl w:val="AAD0A0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1262715B"/>
    <w:multiLevelType w:val="hybridMultilevel"/>
    <w:tmpl w:val="FAD2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8733C8"/>
    <w:multiLevelType w:val="hybridMultilevel"/>
    <w:tmpl w:val="744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90D82"/>
    <w:multiLevelType w:val="hybridMultilevel"/>
    <w:tmpl w:val="6E0097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B8137D"/>
    <w:multiLevelType w:val="hybridMultilevel"/>
    <w:tmpl w:val="FD487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FD495B"/>
    <w:multiLevelType w:val="hybridMultilevel"/>
    <w:tmpl w:val="C256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C43A1"/>
    <w:multiLevelType w:val="hybridMultilevel"/>
    <w:tmpl w:val="94C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0C7BBC"/>
    <w:multiLevelType w:val="hybridMultilevel"/>
    <w:tmpl w:val="D730C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AE40CD"/>
    <w:multiLevelType w:val="hybridMultilevel"/>
    <w:tmpl w:val="61C6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47B6B"/>
    <w:multiLevelType w:val="hybridMultilevel"/>
    <w:tmpl w:val="2FF05B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CB7C22"/>
    <w:multiLevelType w:val="hybridMultilevel"/>
    <w:tmpl w:val="F75883F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2022A7"/>
    <w:multiLevelType w:val="hybridMultilevel"/>
    <w:tmpl w:val="4408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DF45AE"/>
    <w:multiLevelType w:val="multilevel"/>
    <w:tmpl w:val="3AD08FCA"/>
    <w:lvl w:ilvl="0">
      <w:start w:val="1"/>
      <w:numFmt w:val="decimal"/>
      <w:lvlText w:val="%1."/>
      <w:lvlJc w:val="left"/>
      <w:pPr>
        <w:ind w:left="360" w:hanging="360"/>
      </w:pPr>
    </w:lvl>
    <w:lvl w:ilvl="1">
      <w:start w:val="2"/>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375A3216"/>
    <w:multiLevelType w:val="multilevel"/>
    <w:tmpl w:val="572A7036"/>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81717BB"/>
    <w:multiLevelType w:val="hybridMultilevel"/>
    <w:tmpl w:val="254E75EC"/>
    <w:lvl w:ilvl="0" w:tplc="6728F9F0">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134052"/>
    <w:multiLevelType w:val="hybridMultilevel"/>
    <w:tmpl w:val="9F14C9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9930BE8"/>
    <w:multiLevelType w:val="multilevel"/>
    <w:tmpl w:val="DE9A40C6"/>
    <w:lvl w:ilvl="0">
      <w:start w:val="1"/>
      <w:numFmt w:val="decimal"/>
      <w:pStyle w:val="mgL1"/>
      <w:suff w:val="nothing"/>
      <w:lvlText w:val="PART %1 - "/>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gL2"/>
      <w:lvlText w:val="%1.%2"/>
      <w:lvlJc w:val="left"/>
      <w:pPr>
        <w:tabs>
          <w:tab w:val="num" w:pos="720"/>
        </w:tabs>
        <w:ind w:left="720" w:hanging="720"/>
      </w:pPr>
      <w:rPr>
        <w:rFonts w:ascii="Arial" w:hAnsi="Arial" w:hint="default"/>
        <w:b w:val="0"/>
        <w:i w:val="0"/>
        <w:sz w:val="20"/>
        <w:szCs w:val="20"/>
      </w:rPr>
    </w:lvl>
    <w:lvl w:ilvl="2">
      <w:start w:val="1"/>
      <w:numFmt w:val="decimal"/>
      <w:pStyle w:val="mgL3"/>
      <w:lvlText w:val="%1.%2.%3"/>
      <w:lvlJc w:val="left"/>
      <w:pPr>
        <w:tabs>
          <w:tab w:val="num" w:pos="2070"/>
        </w:tabs>
        <w:ind w:left="207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mgL4"/>
      <w:lvlText w:val="(%4)"/>
      <w:lvlJc w:val="left"/>
      <w:pPr>
        <w:tabs>
          <w:tab w:val="num" w:pos="2304"/>
        </w:tabs>
        <w:ind w:left="2304"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mgL5"/>
      <w:lvlText w:val="(%5)"/>
      <w:lvlJc w:val="left"/>
      <w:pPr>
        <w:tabs>
          <w:tab w:val="num" w:pos="3240"/>
        </w:tabs>
        <w:ind w:left="32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mgL6"/>
      <w:lvlText w:val="%6."/>
      <w:lvlJc w:val="left"/>
      <w:pPr>
        <w:tabs>
          <w:tab w:val="num" w:pos="6030"/>
        </w:tabs>
        <w:ind w:left="603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58E1456"/>
    <w:multiLevelType w:val="hybridMultilevel"/>
    <w:tmpl w:val="449CA2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62A7126"/>
    <w:multiLevelType w:val="hybridMultilevel"/>
    <w:tmpl w:val="25D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2360E"/>
    <w:multiLevelType w:val="hybridMultilevel"/>
    <w:tmpl w:val="95C8B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F574CC"/>
    <w:multiLevelType w:val="hybridMultilevel"/>
    <w:tmpl w:val="F1422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02332"/>
    <w:multiLevelType w:val="hybridMultilevel"/>
    <w:tmpl w:val="85C41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DA21AB"/>
    <w:multiLevelType w:val="hybridMultilevel"/>
    <w:tmpl w:val="E34EB2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ABF1C11"/>
    <w:multiLevelType w:val="hybridMultilevel"/>
    <w:tmpl w:val="197AA4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C0B6CFA"/>
    <w:multiLevelType w:val="hybridMultilevel"/>
    <w:tmpl w:val="0EF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D5FAB"/>
    <w:multiLevelType w:val="hybridMultilevel"/>
    <w:tmpl w:val="03FE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13FF9"/>
    <w:multiLevelType w:val="hybridMultilevel"/>
    <w:tmpl w:val="BD0A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44188"/>
    <w:multiLevelType w:val="hybridMultilevel"/>
    <w:tmpl w:val="4F3C1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091D2F"/>
    <w:multiLevelType w:val="hybridMultilevel"/>
    <w:tmpl w:val="A9E08870"/>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DE7C6E"/>
    <w:multiLevelType w:val="hybridMultilevel"/>
    <w:tmpl w:val="D110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6B3E15"/>
    <w:multiLevelType w:val="hybridMultilevel"/>
    <w:tmpl w:val="23D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C0F37"/>
    <w:multiLevelType w:val="hybridMultilevel"/>
    <w:tmpl w:val="F5F2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F5149"/>
    <w:multiLevelType w:val="hybridMultilevel"/>
    <w:tmpl w:val="8DF2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B3957"/>
    <w:multiLevelType w:val="hybridMultilevel"/>
    <w:tmpl w:val="F936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E28AC"/>
    <w:multiLevelType w:val="multilevel"/>
    <w:tmpl w:val="27F2EB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80650BD"/>
    <w:multiLevelType w:val="hybridMultilevel"/>
    <w:tmpl w:val="4802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27946"/>
    <w:multiLevelType w:val="hybridMultilevel"/>
    <w:tmpl w:val="6B4A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F7058"/>
    <w:multiLevelType w:val="hybridMultilevel"/>
    <w:tmpl w:val="449C7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5C4F00"/>
    <w:multiLevelType w:val="hybridMultilevel"/>
    <w:tmpl w:val="E250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E24EB7"/>
    <w:multiLevelType w:val="hybridMultilevel"/>
    <w:tmpl w:val="22824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168784763">
    <w:abstractNumId w:val="51"/>
  </w:num>
  <w:num w:numId="2" w16cid:durableId="1750424027">
    <w:abstractNumId w:val="36"/>
  </w:num>
  <w:num w:numId="3" w16cid:durableId="5390558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701970">
    <w:abstractNumId w:val="39"/>
  </w:num>
  <w:num w:numId="5" w16cid:durableId="854732845">
    <w:abstractNumId w:val="10"/>
  </w:num>
  <w:num w:numId="6" w16cid:durableId="536548442">
    <w:abstractNumId w:val="30"/>
  </w:num>
  <w:num w:numId="7" w16cid:durableId="1294560438">
    <w:abstractNumId w:val="37"/>
  </w:num>
  <w:num w:numId="8" w16cid:durableId="1645819806">
    <w:abstractNumId w:val="42"/>
  </w:num>
  <w:num w:numId="9" w16cid:durableId="1216743323">
    <w:abstractNumId w:val="23"/>
  </w:num>
  <w:num w:numId="10" w16cid:durableId="597443634">
    <w:abstractNumId w:val="20"/>
  </w:num>
  <w:num w:numId="11" w16cid:durableId="1062413882">
    <w:abstractNumId w:val="46"/>
  </w:num>
  <w:num w:numId="12" w16cid:durableId="1711107618">
    <w:abstractNumId w:val="33"/>
  </w:num>
  <w:num w:numId="13" w16cid:durableId="115368542">
    <w:abstractNumId w:val="13"/>
  </w:num>
  <w:num w:numId="14" w16cid:durableId="715006829">
    <w:abstractNumId w:val="7"/>
  </w:num>
  <w:num w:numId="15" w16cid:durableId="144710872">
    <w:abstractNumId w:val="43"/>
  </w:num>
  <w:num w:numId="16" w16cid:durableId="1056125246">
    <w:abstractNumId w:val="12"/>
  </w:num>
  <w:num w:numId="17" w16cid:durableId="1082794211">
    <w:abstractNumId w:val="31"/>
  </w:num>
  <w:num w:numId="18" w16cid:durableId="1590429376">
    <w:abstractNumId w:val="27"/>
  </w:num>
  <w:num w:numId="19" w16cid:durableId="1079788735">
    <w:abstractNumId w:val="11"/>
  </w:num>
  <w:num w:numId="20" w16cid:durableId="1323311673">
    <w:abstractNumId w:val="0"/>
  </w:num>
  <w:num w:numId="21" w16cid:durableId="1725257233">
    <w:abstractNumId w:val="1"/>
  </w:num>
  <w:num w:numId="22" w16cid:durableId="1114711038">
    <w:abstractNumId w:val="2"/>
  </w:num>
  <w:num w:numId="23" w16cid:durableId="893278872">
    <w:abstractNumId w:val="9"/>
  </w:num>
  <w:num w:numId="24" w16cid:durableId="1052846949">
    <w:abstractNumId w:val="48"/>
  </w:num>
  <w:num w:numId="25" w16cid:durableId="560022932">
    <w:abstractNumId w:val="6"/>
  </w:num>
  <w:num w:numId="26" w16cid:durableId="1789739796">
    <w:abstractNumId w:val="38"/>
  </w:num>
  <w:num w:numId="27" w16cid:durableId="526141506">
    <w:abstractNumId w:val="50"/>
  </w:num>
  <w:num w:numId="28" w16cid:durableId="1332027562">
    <w:abstractNumId w:val="47"/>
  </w:num>
  <w:num w:numId="29" w16cid:durableId="1983267730">
    <w:abstractNumId w:val="14"/>
  </w:num>
  <w:num w:numId="30" w16cid:durableId="1620145890">
    <w:abstractNumId w:val="5"/>
  </w:num>
  <w:num w:numId="31" w16cid:durableId="172228971">
    <w:abstractNumId w:val="44"/>
  </w:num>
  <w:num w:numId="32" w16cid:durableId="941299526">
    <w:abstractNumId w:val="26"/>
  </w:num>
  <w:num w:numId="33" w16cid:durableId="1963346555">
    <w:abstractNumId w:val="24"/>
  </w:num>
  <w:num w:numId="34" w16cid:durableId="220748050">
    <w:abstractNumId w:val="15"/>
  </w:num>
  <w:num w:numId="35" w16cid:durableId="865169114">
    <w:abstractNumId w:val="34"/>
  </w:num>
  <w:num w:numId="36" w16cid:durableId="1839727479">
    <w:abstractNumId w:val="25"/>
  </w:num>
  <w:num w:numId="37" w16cid:durableId="415057182">
    <w:abstractNumId w:val="35"/>
  </w:num>
  <w:num w:numId="38" w16cid:durableId="2035110008">
    <w:abstractNumId w:val="45"/>
  </w:num>
  <w:num w:numId="39" w16cid:durableId="1122113077">
    <w:abstractNumId w:val="17"/>
  </w:num>
  <w:num w:numId="40" w16cid:durableId="1942715296">
    <w:abstractNumId w:val="18"/>
  </w:num>
  <w:num w:numId="41" w16cid:durableId="1950551196">
    <w:abstractNumId w:val="49"/>
  </w:num>
  <w:num w:numId="42" w16cid:durableId="1627392154">
    <w:abstractNumId w:val="8"/>
  </w:num>
  <w:num w:numId="43" w16cid:durableId="549348359">
    <w:abstractNumId w:val="16"/>
  </w:num>
  <w:num w:numId="44" w16cid:durableId="29258254">
    <w:abstractNumId w:val="21"/>
  </w:num>
  <w:num w:numId="45" w16cid:durableId="1209417461">
    <w:abstractNumId w:val="40"/>
  </w:num>
  <w:num w:numId="46" w16cid:durableId="235021535">
    <w:abstractNumId w:val="22"/>
  </w:num>
  <w:num w:numId="47" w16cid:durableId="465978314">
    <w:abstractNumId w:val="32"/>
  </w:num>
  <w:num w:numId="48" w16cid:durableId="782651880">
    <w:abstractNumId w:val="4"/>
  </w:num>
  <w:num w:numId="49" w16cid:durableId="1641567542">
    <w:abstractNumId w:val="41"/>
  </w:num>
  <w:num w:numId="50" w16cid:durableId="617761404">
    <w:abstractNumId w:val="3"/>
  </w:num>
  <w:num w:numId="51" w16cid:durableId="1142884868">
    <w:abstractNumId w:val="29"/>
  </w:num>
  <w:num w:numId="52" w16cid:durableId="158113226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MX" w:vendorID="64" w:dllVersion="6" w:nlCheck="1" w:checkStyle="1"/>
  <w:activeWritingStyle w:appName="MSWord" w:lang="es-GT" w:vendorID="64" w:dllVersion="6" w:nlCheck="1" w:checkStyle="1"/>
  <w:activeWritingStyle w:appName="MSWord" w:lang="en-US" w:vendorID="64" w:dllVersion="0" w:nlCheck="1" w:checkStyle="0"/>
  <w:activeWritingStyle w:appName="MSWord" w:lang="es-CL"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20"/>
    <w:rsid w:val="00000650"/>
    <w:rsid w:val="00000913"/>
    <w:rsid w:val="00000B0C"/>
    <w:rsid w:val="00001064"/>
    <w:rsid w:val="000032B2"/>
    <w:rsid w:val="00003F75"/>
    <w:rsid w:val="00004542"/>
    <w:rsid w:val="00004E9E"/>
    <w:rsid w:val="00005845"/>
    <w:rsid w:val="00005CBE"/>
    <w:rsid w:val="000063D7"/>
    <w:rsid w:val="000068EF"/>
    <w:rsid w:val="00007718"/>
    <w:rsid w:val="00007C9F"/>
    <w:rsid w:val="00007DA7"/>
    <w:rsid w:val="00007FF1"/>
    <w:rsid w:val="0001026E"/>
    <w:rsid w:val="00010A7C"/>
    <w:rsid w:val="00010EBD"/>
    <w:rsid w:val="000118F3"/>
    <w:rsid w:val="00012270"/>
    <w:rsid w:val="0001233E"/>
    <w:rsid w:val="000125C1"/>
    <w:rsid w:val="000125C4"/>
    <w:rsid w:val="00012F96"/>
    <w:rsid w:val="000130A7"/>
    <w:rsid w:val="000139E3"/>
    <w:rsid w:val="00013AE1"/>
    <w:rsid w:val="00014001"/>
    <w:rsid w:val="000145EA"/>
    <w:rsid w:val="00014E69"/>
    <w:rsid w:val="0001527B"/>
    <w:rsid w:val="00015472"/>
    <w:rsid w:val="00015786"/>
    <w:rsid w:val="00015B9E"/>
    <w:rsid w:val="000165AC"/>
    <w:rsid w:val="00016BB1"/>
    <w:rsid w:val="00017396"/>
    <w:rsid w:val="0001752B"/>
    <w:rsid w:val="0002018D"/>
    <w:rsid w:val="00020CFE"/>
    <w:rsid w:val="00020D9C"/>
    <w:rsid w:val="00021353"/>
    <w:rsid w:val="00021712"/>
    <w:rsid w:val="00021953"/>
    <w:rsid w:val="00021A53"/>
    <w:rsid w:val="00022061"/>
    <w:rsid w:val="00022234"/>
    <w:rsid w:val="00022A90"/>
    <w:rsid w:val="00023033"/>
    <w:rsid w:val="000230A7"/>
    <w:rsid w:val="00023304"/>
    <w:rsid w:val="000234F7"/>
    <w:rsid w:val="00024F04"/>
    <w:rsid w:val="0002559D"/>
    <w:rsid w:val="00025910"/>
    <w:rsid w:val="00025976"/>
    <w:rsid w:val="000267A6"/>
    <w:rsid w:val="00026E65"/>
    <w:rsid w:val="000274F6"/>
    <w:rsid w:val="000275E8"/>
    <w:rsid w:val="000311A0"/>
    <w:rsid w:val="000318B3"/>
    <w:rsid w:val="000319BA"/>
    <w:rsid w:val="0003218B"/>
    <w:rsid w:val="000326E2"/>
    <w:rsid w:val="00032C99"/>
    <w:rsid w:val="00032E87"/>
    <w:rsid w:val="0003379D"/>
    <w:rsid w:val="0003407B"/>
    <w:rsid w:val="000346ED"/>
    <w:rsid w:val="00034C2F"/>
    <w:rsid w:val="00034F1E"/>
    <w:rsid w:val="00034F89"/>
    <w:rsid w:val="00034FF3"/>
    <w:rsid w:val="000356C1"/>
    <w:rsid w:val="00035821"/>
    <w:rsid w:val="00035D66"/>
    <w:rsid w:val="00035E11"/>
    <w:rsid w:val="00035E4E"/>
    <w:rsid w:val="000364CA"/>
    <w:rsid w:val="000369A3"/>
    <w:rsid w:val="00036EA1"/>
    <w:rsid w:val="00036F33"/>
    <w:rsid w:val="00037A3F"/>
    <w:rsid w:val="00037E8E"/>
    <w:rsid w:val="00040419"/>
    <w:rsid w:val="0004121C"/>
    <w:rsid w:val="000412DF"/>
    <w:rsid w:val="00041738"/>
    <w:rsid w:val="00041C50"/>
    <w:rsid w:val="00041F38"/>
    <w:rsid w:val="00042FBC"/>
    <w:rsid w:val="00043236"/>
    <w:rsid w:val="00043404"/>
    <w:rsid w:val="0004383B"/>
    <w:rsid w:val="00043896"/>
    <w:rsid w:val="00043EB0"/>
    <w:rsid w:val="00044603"/>
    <w:rsid w:val="00045649"/>
    <w:rsid w:val="00045918"/>
    <w:rsid w:val="00045AA8"/>
    <w:rsid w:val="00046648"/>
    <w:rsid w:val="000467FE"/>
    <w:rsid w:val="000473B3"/>
    <w:rsid w:val="00047BC5"/>
    <w:rsid w:val="000500FC"/>
    <w:rsid w:val="000507D1"/>
    <w:rsid w:val="00050921"/>
    <w:rsid w:val="00051664"/>
    <w:rsid w:val="000524FE"/>
    <w:rsid w:val="00052DF7"/>
    <w:rsid w:val="00053C4E"/>
    <w:rsid w:val="000540A6"/>
    <w:rsid w:val="00054E96"/>
    <w:rsid w:val="00055307"/>
    <w:rsid w:val="00055964"/>
    <w:rsid w:val="00055D73"/>
    <w:rsid w:val="00055F2B"/>
    <w:rsid w:val="000560AF"/>
    <w:rsid w:val="00056160"/>
    <w:rsid w:val="0005619C"/>
    <w:rsid w:val="00056D19"/>
    <w:rsid w:val="00056E1D"/>
    <w:rsid w:val="0005774E"/>
    <w:rsid w:val="00060528"/>
    <w:rsid w:val="00060CD5"/>
    <w:rsid w:val="00061798"/>
    <w:rsid w:val="00061D16"/>
    <w:rsid w:val="00062027"/>
    <w:rsid w:val="00062434"/>
    <w:rsid w:val="000627E0"/>
    <w:rsid w:val="00062C99"/>
    <w:rsid w:val="00063112"/>
    <w:rsid w:val="0006329B"/>
    <w:rsid w:val="00063392"/>
    <w:rsid w:val="000637EB"/>
    <w:rsid w:val="000638BD"/>
    <w:rsid w:val="000646F3"/>
    <w:rsid w:val="00064D34"/>
    <w:rsid w:val="0006564E"/>
    <w:rsid w:val="00065FDF"/>
    <w:rsid w:val="000661DA"/>
    <w:rsid w:val="00066229"/>
    <w:rsid w:val="00066A25"/>
    <w:rsid w:val="00067A51"/>
    <w:rsid w:val="00070ABA"/>
    <w:rsid w:val="00071102"/>
    <w:rsid w:val="000715CA"/>
    <w:rsid w:val="00071EA0"/>
    <w:rsid w:val="0007269D"/>
    <w:rsid w:val="000729B3"/>
    <w:rsid w:val="00072BBB"/>
    <w:rsid w:val="000730D3"/>
    <w:rsid w:val="000750B1"/>
    <w:rsid w:val="00075804"/>
    <w:rsid w:val="000759A1"/>
    <w:rsid w:val="00075ED1"/>
    <w:rsid w:val="0007635D"/>
    <w:rsid w:val="00076A00"/>
    <w:rsid w:val="00076D05"/>
    <w:rsid w:val="0007794B"/>
    <w:rsid w:val="00077CD4"/>
    <w:rsid w:val="00080DC8"/>
    <w:rsid w:val="00081F91"/>
    <w:rsid w:val="00082387"/>
    <w:rsid w:val="00082608"/>
    <w:rsid w:val="00082B05"/>
    <w:rsid w:val="00082B6A"/>
    <w:rsid w:val="00082E71"/>
    <w:rsid w:val="0008395E"/>
    <w:rsid w:val="00083D14"/>
    <w:rsid w:val="00083DC2"/>
    <w:rsid w:val="00084342"/>
    <w:rsid w:val="00084A59"/>
    <w:rsid w:val="00084B50"/>
    <w:rsid w:val="000859EA"/>
    <w:rsid w:val="00085F94"/>
    <w:rsid w:val="00086026"/>
    <w:rsid w:val="000863CF"/>
    <w:rsid w:val="00086533"/>
    <w:rsid w:val="000866EE"/>
    <w:rsid w:val="00086BEA"/>
    <w:rsid w:val="00086F3C"/>
    <w:rsid w:val="0008718C"/>
    <w:rsid w:val="00087D4A"/>
    <w:rsid w:val="0009029A"/>
    <w:rsid w:val="00090749"/>
    <w:rsid w:val="00090EDA"/>
    <w:rsid w:val="00090EEA"/>
    <w:rsid w:val="00090FF3"/>
    <w:rsid w:val="000917DC"/>
    <w:rsid w:val="00092A05"/>
    <w:rsid w:val="00092C66"/>
    <w:rsid w:val="00092ED8"/>
    <w:rsid w:val="000941AB"/>
    <w:rsid w:val="00094D63"/>
    <w:rsid w:val="00095040"/>
    <w:rsid w:val="0009559F"/>
    <w:rsid w:val="00096413"/>
    <w:rsid w:val="000964E2"/>
    <w:rsid w:val="00097BC4"/>
    <w:rsid w:val="00097CE1"/>
    <w:rsid w:val="000A0057"/>
    <w:rsid w:val="000A13ED"/>
    <w:rsid w:val="000A1735"/>
    <w:rsid w:val="000A228F"/>
    <w:rsid w:val="000A2D05"/>
    <w:rsid w:val="000A2FC2"/>
    <w:rsid w:val="000A33A7"/>
    <w:rsid w:val="000A3405"/>
    <w:rsid w:val="000A4124"/>
    <w:rsid w:val="000A43E4"/>
    <w:rsid w:val="000A496C"/>
    <w:rsid w:val="000A55FC"/>
    <w:rsid w:val="000A570D"/>
    <w:rsid w:val="000A5803"/>
    <w:rsid w:val="000A5C45"/>
    <w:rsid w:val="000A6455"/>
    <w:rsid w:val="000A65D3"/>
    <w:rsid w:val="000A781D"/>
    <w:rsid w:val="000A7B75"/>
    <w:rsid w:val="000A7C6E"/>
    <w:rsid w:val="000B09BE"/>
    <w:rsid w:val="000B0A2E"/>
    <w:rsid w:val="000B0B2F"/>
    <w:rsid w:val="000B0F67"/>
    <w:rsid w:val="000B14AF"/>
    <w:rsid w:val="000B1DAF"/>
    <w:rsid w:val="000B2547"/>
    <w:rsid w:val="000B2A47"/>
    <w:rsid w:val="000B2D62"/>
    <w:rsid w:val="000B3216"/>
    <w:rsid w:val="000B32BC"/>
    <w:rsid w:val="000B3E39"/>
    <w:rsid w:val="000B4866"/>
    <w:rsid w:val="000B4B70"/>
    <w:rsid w:val="000B4DE7"/>
    <w:rsid w:val="000B50BC"/>
    <w:rsid w:val="000B5C66"/>
    <w:rsid w:val="000B5EBD"/>
    <w:rsid w:val="000B670D"/>
    <w:rsid w:val="000B6E28"/>
    <w:rsid w:val="000B7028"/>
    <w:rsid w:val="000B716E"/>
    <w:rsid w:val="000B727E"/>
    <w:rsid w:val="000B750E"/>
    <w:rsid w:val="000B7921"/>
    <w:rsid w:val="000C0274"/>
    <w:rsid w:val="000C0F88"/>
    <w:rsid w:val="000C128E"/>
    <w:rsid w:val="000C1672"/>
    <w:rsid w:val="000C24AC"/>
    <w:rsid w:val="000C26F8"/>
    <w:rsid w:val="000C328A"/>
    <w:rsid w:val="000C32F8"/>
    <w:rsid w:val="000C3470"/>
    <w:rsid w:val="000C3706"/>
    <w:rsid w:val="000C3A21"/>
    <w:rsid w:val="000C3BE0"/>
    <w:rsid w:val="000C3D03"/>
    <w:rsid w:val="000C4194"/>
    <w:rsid w:val="000C4482"/>
    <w:rsid w:val="000C4641"/>
    <w:rsid w:val="000C4722"/>
    <w:rsid w:val="000C47A8"/>
    <w:rsid w:val="000C49C8"/>
    <w:rsid w:val="000C49D5"/>
    <w:rsid w:val="000C59E7"/>
    <w:rsid w:val="000C5DAE"/>
    <w:rsid w:val="000C62DA"/>
    <w:rsid w:val="000C634E"/>
    <w:rsid w:val="000C730C"/>
    <w:rsid w:val="000C75DB"/>
    <w:rsid w:val="000C7D69"/>
    <w:rsid w:val="000D00AE"/>
    <w:rsid w:val="000D0465"/>
    <w:rsid w:val="000D078A"/>
    <w:rsid w:val="000D120A"/>
    <w:rsid w:val="000D1363"/>
    <w:rsid w:val="000D2365"/>
    <w:rsid w:val="000D33E2"/>
    <w:rsid w:val="000D3597"/>
    <w:rsid w:val="000D426E"/>
    <w:rsid w:val="000D448F"/>
    <w:rsid w:val="000D4742"/>
    <w:rsid w:val="000D4FBE"/>
    <w:rsid w:val="000D5A38"/>
    <w:rsid w:val="000D5D80"/>
    <w:rsid w:val="000D5E34"/>
    <w:rsid w:val="000D69A1"/>
    <w:rsid w:val="000D727E"/>
    <w:rsid w:val="000D75BE"/>
    <w:rsid w:val="000D78DD"/>
    <w:rsid w:val="000D7D14"/>
    <w:rsid w:val="000D7EEE"/>
    <w:rsid w:val="000E0027"/>
    <w:rsid w:val="000E0282"/>
    <w:rsid w:val="000E0C8E"/>
    <w:rsid w:val="000E1955"/>
    <w:rsid w:val="000E2062"/>
    <w:rsid w:val="000E227D"/>
    <w:rsid w:val="000E24D9"/>
    <w:rsid w:val="000E260A"/>
    <w:rsid w:val="000E2CA7"/>
    <w:rsid w:val="000E32DB"/>
    <w:rsid w:val="000E346C"/>
    <w:rsid w:val="000E3779"/>
    <w:rsid w:val="000E3AF2"/>
    <w:rsid w:val="000E45B1"/>
    <w:rsid w:val="000E53C7"/>
    <w:rsid w:val="000E5E10"/>
    <w:rsid w:val="000E750E"/>
    <w:rsid w:val="000E7773"/>
    <w:rsid w:val="000E7938"/>
    <w:rsid w:val="000E7A1C"/>
    <w:rsid w:val="000E7D09"/>
    <w:rsid w:val="000F0ADD"/>
    <w:rsid w:val="000F0BC2"/>
    <w:rsid w:val="000F14DB"/>
    <w:rsid w:val="000F17F1"/>
    <w:rsid w:val="000F1BC5"/>
    <w:rsid w:val="000F25A1"/>
    <w:rsid w:val="000F26AD"/>
    <w:rsid w:val="000F3471"/>
    <w:rsid w:val="000F3DC4"/>
    <w:rsid w:val="000F3FDB"/>
    <w:rsid w:val="000F4A32"/>
    <w:rsid w:val="000F4C4D"/>
    <w:rsid w:val="000F5023"/>
    <w:rsid w:val="000F64DD"/>
    <w:rsid w:val="000F6952"/>
    <w:rsid w:val="000F7202"/>
    <w:rsid w:val="000F7476"/>
    <w:rsid w:val="001013E2"/>
    <w:rsid w:val="001014DF"/>
    <w:rsid w:val="001017DD"/>
    <w:rsid w:val="00101ADA"/>
    <w:rsid w:val="00102AD8"/>
    <w:rsid w:val="00102B21"/>
    <w:rsid w:val="00102ED1"/>
    <w:rsid w:val="001041BD"/>
    <w:rsid w:val="00104226"/>
    <w:rsid w:val="00104471"/>
    <w:rsid w:val="00104761"/>
    <w:rsid w:val="00104CCB"/>
    <w:rsid w:val="00104D74"/>
    <w:rsid w:val="00105384"/>
    <w:rsid w:val="00105487"/>
    <w:rsid w:val="0010585B"/>
    <w:rsid w:val="00105D5C"/>
    <w:rsid w:val="00105DA1"/>
    <w:rsid w:val="00105E20"/>
    <w:rsid w:val="001067F9"/>
    <w:rsid w:val="001069DB"/>
    <w:rsid w:val="0010728A"/>
    <w:rsid w:val="0010799B"/>
    <w:rsid w:val="00107F3C"/>
    <w:rsid w:val="001100AE"/>
    <w:rsid w:val="00110342"/>
    <w:rsid w:val="00110B99"/>
    <w:rsid w:val="00111105"/>
    <w:rsid w:val="00111309"/>
    <w:rsid w:val="00111500"/>
    <w:rsid w:val="0011186F"/>
    <w:rsid w:val="00111E54"/>
    <w:rsid w:val="0011201D"/>
    <w:rsid w:val="001125D0"/>
    <w:rsid w:val="00112A23"/>
    <w:rsid w:val="00112BEE"/>
    <w:rsid w:val="00112C08"/>
    <w:rsid w:val="0011308B"/>
    <w:rsid w:val="00113D42"/>
    <w:rsid w:val="00113EDA"/>
    <w:rsid w:val="00113FB9"/>
    <w:rsid w:val="00114791"/>
    <w:rsid w:val="00114C48"/>
    <w:rsid w:val="00114DD2"/>
    <w:rsid w:val="001159A5"/>
    <w:rsid w:val="00115A6C"/>
    <w:rsid w:val="001161BF"/>
    <w:rsid w:val="00116297"/>
    <w:rsid w:val="00116823"/>
    <w:rsid w:val="0011742D"/>
    <w:rsid w:val="00117501"/>
    <w:rsid w:val="00117829"/>
    <w:rsid w:val="0011796E"/>
    <w:rsid w:val="00117B3D"/>
    <w:rsid w:val="00117BC1"/>
    <w:rsid w:val="00120222"/>
    <w:rsid w:val="001207EC"/>
    <w:rsid w:val="00120A58"/>
    <w:rsid w:val="001218A0"/>
    <w:rsid w:val="00121CB0"/>
    <w:rsid w:val="00121DB4"/>
    <w:rsid w:val="001223D2"/>
    <w:rsid w:val="00122726"/>
    <w:rsid w:val="00122C10"/>
    <w:rsid w:val="00123146"/>
    <w:rsid w:val="00123A4C"/>
    <w:rsid w:val="00123E31"/>
    <w:rsid w:val="00124389"/>
    <w:rsid w:val="00124548"/>
    <w:rsid w:val="00125351"/>
    <w:rsid w:val="00125ED7"/>
    <w:rsid w:val="00126983"/>
    <w:rsid w:val="0012735B"/>
    <w:rsid w:val="00130425"/>
    <w:rsid w:val="0013062B"/>
    <w:rsid w:val="00130A8D"/>
    <w:rsid w:val="0013138C"/>
    <w:rsid w:val="00131594"/>
    <w:rsid w:val="0013263F"/>
    <w:rsid w:val="001328C5"/>
    <w:rsid w:val="00132C48"/>
    <w:rsid w:val="00132F4F"/>
    <w:rsid w:val="00133047"/>
    <w:rsid w:val="0013355E"/>
    <w:rsid w:val="00133B5F"/>
    <w:rsid w:val="00133D21"/>
    <w:rsid w:val="00133D67"/>
    <w:rsid w:val="00134378"/>
    <w:rsid w:val="001352E7"/>
    <w:rsid w:val="00135ED6"/>
    <w:rsid w:val="00136001"/>
    <w:rsid w:val="001361F6"/>
    <w:rsid w:val="00136403"/>
    <w:rsid w:val="00136BBE"/>
    <w:rsid w:val="00136F5A"/>
    <w:rsid w:val="00137D33"/>
    <w:rsid w:val="00137F37"/>
    <w:rsid w:val="001403FB"/>
    <w:rsid w:val="00140443"/>
    <w:rsid w:val="00140BB8"/>
    <w:rsid w:val="00140D05"/>
    <w:rsid w:val="001410F5"/>
    <w:rsid w:val="001411A0"/>
    <w:rsid w:val="001411DA"/>
    <w:rsid w:val="00141701"/>
    <w:rsid w:val="0014170C"/>
    <w:rsid w:val="00141DCA"/>
    <w:rsid w:val="00141E75"/>
    <w:rsid w:val="0014325D"/>
    <w:rsid w:val="00144512"/>
    <w:rsid w:val="0014460C"/>
    <w:rsid w:val="00144BA9"/>
    <w:rsid w:val="00144E19"/>
    <w:rsid w:val="00145423"/>
    <w:rsid w:val="001454AA"/>
    <w:rsid w:val="00145FC2"/>
    <w:rsid w:val="00146221"/>
    <w:rsid w:val="001467C0"/>
    <w:rsid w:val="00146AB3"/>
    <w:rsid w:val="00146B05"/>
    <w:rsid w:val="00146C8E"/>
    <w:rsid w:val="001473F3"/>
    <w:rsid w:val="0014796E"/>
    <w:rsid w:val="001502DA"/>
    <w:rsid w:val="001505BA"/>
    <w:rsid w:val="00150619"/>
    <w:rsid w:val="001508E5"/>
    <w:rsid w:val="0015160F"/>
    <w:rsid w:val="00151927"/>
    <w:rsid w:val="00151D8E"/>
    <w:rsid w:val="001520BC"/>
    <w:rsid w:val="00152EB8"/>
    <w:rsid w:val="00153281"/>
    <w:rsid w:val="00153CC4"/>
    <w:rsid w:val="001544E1"/>
    <w:rsid w:val="00154723"/>
    <w:rsid w:val="00154B56"/>
    <w:rsid w:val="00155BEE"/>
    <w:rsid w:val="001571ED"/>
    <w:rsid w:val="0015738D"/>
    <w:rsid w:val="00157C00"/>
    <w:rsid w:val="00157CCD"/>
    <w:rsid w:val="0016009B"/>
    <w:rsid w:val="00160370"/>
    <w:rsid w:val="00160AEC"/>
    <w:rsid w:val="0016117A"/>
    <w:rsid w:val="00161CA9"/>
    <w:rsid w:val="00163103"/>
    <w:rsid w:val="00163D2F"/>
    <w:rsid w:val="00164412"/>
    <w:rsid w:val="00164966"/>
    <w:rsid w:val="00164EAD"/>
    <w:rsid w:val="00165326"/>
    <w:rsid w:val="00165BEB"/>
    <w:rsid w:val="00166306"/>
    <w:rsid w:val="0016639F"/>
    <w:rsid w:val="00166A31"/>
    <w:rsid w:val="00167C46"/>
    <w:rsid w:val="001704C1"/>
    <w:rsid w:val="00170531"/>
    <w:rsid w:val="001705CC"/>
    <w:rsid w:val="00170758"/>
    <w:rsid w:val="00170F81"/>
    <w:rsid w:val="00171344"/>
    <w:rsid w:val="0017134B"/>
    <w:rsid w:val="0017173E"/>
    <w:rsid w:val="00171B0F"/>
    <w:rsid w:val="0017212B"/>
    <w:rsid w:val="001729A0"/>
    <w:rsid w:val="00172AB4"/>
    <w:rsid w:val="00172EB3"/>
    <w:rsid w:val="00173021"/>
    <w:rsid w:val="00173025"/>
    <w:rsid w:val="001730A8"/>
    <w:rsid w:val="00173257"/>
    <w:rsid w:val="001733EF"/>
    <w:rsid w:val="001734DF"/>
    <w:rsid w:val="001743FE"/>
    <w:rsid w:val="00174636"/>
    <w:rsid w:val="001759C5"/>
    <w:rsid w:val="00175B36"/>
    <w:rsid w:val="001761CF"/>
    <w:rsid w:val="00176939"/>
    <w:rsid w:val="00176A5E"/>
    <w:rsid w:val="00176C1C"/>
    <w:rsid w:val="00176F33"/>
    <w:rsid w:val="00177280"/>
    <w:rsid w:val="001775D6"/>
    <w:rsid w:val="00180291"/>
    <w:rsid w:val="001811CD"/>
    <w:rsid w:val="00181238"/>
    <w:rsid w:val="0018135B"/>
    <w:rsid w:val="00181A51"/>
    <w:rsid w:val="00181E83"/>
    <w:rsid w:val="00182058"/>
    <w:rsid w:val="0018221C"/>
    <w:rsid w:val="00182329"/>
    <w:rsid w:val="00182466"/>
    <w:rsid w:val="001826A2"/>
    <w:rsid w:val="0018383E"/>
    <w:rsid w:val="00183A19"/>
    <w:rsid w:val="001843BB"/>
    <w:rsid w:val="001848D3"/>
    <w:rsid w:val="00184CBF"/>
    <w:rsid w:val="00185445"/>
    <w:rsid w:val="0018569E"/>
    <w:rsid w:val="0018576A"/>
    <w:rsid w:val="00185B11"/>
    <w:rsid w:val="00185D0F"/>
    <w:rsid w:val="00186D1B"/>
    <w:rsid w:val="0018725B"/>
    <w:rsid w:val="00187989"/>
    <w:rsid w:val="00190F36"/>
    <w:rsid w:val="00191AF5"/>
    <w:rsid w:val="00191B0A"/>
    <w:rsid w:val="001927D7"/>
    <w:rsid w:val="00193613"/>
    <w:rsid w:val="00193950"/>
    <w:rsid w:val="00194780"/>
    <w:rsid w:val="00194AFF"/>
    <w:rsid w:val="001961F4"/>
    <w:rsid w:val="00196700"/>
    <w:rsid w:val="001968C3"/>
    <w:rsid w:val="00196C7E"/>
    <w:rsid w:val="00197215"/>
    <w:rsid w:val="0019769C"/>
    <w:rsid w:val="00197C46"/>
    <w:rsid w:val="001A05ED"/>
    <w:rsid w:val="001A0B5A"/>
    <w:rsid w:val="001A0ED5"/>
    <w:rsid w:val="001A15A2"/>
    <w:rsid w:val="001A262A"/>
    <w:rsid w:val="001A26A6"/>
    <w:rsid w:val="001A2CD3"/>
    <w:rsid w:val="001A31AB"/>
    <w:rsid w:val="001A3309"/>
    <w:rsid w:val="001A3355"/>
    <w:rsid w:val="001A3796"/>
    <w:rsid w:val="001A42E4"/>
    <w:rsid w:val="001A49E3"/>
    <w:rsid w:val="001A5157"/>
    <w:rsid w:val="001A533E"/>
    <w:rsid w:val="001A5390"/>
    <w:rsid w:val="001A5569"/>
    <w:rsid w:val="001A6506"/>
    <w:rsid w:val="001A6DC4"/>
    <w:rsid w:val="001A7A06"/>
    <w:rsid w:val="001A7A8A"/>
    <w:rsid w:val="001A7EB3"/>
    <w:rsid w:val="001B0404"/>
    <w:rsid w:val="001B0440"/>
    <w:rsid w:val="001B1000"/>
    <w:rsid w:val="001B270C"/>
    <w:rsid w:val="001B3C4F"/>
    <w:rsid w:val="001B3C99"/>
    <w:rsid w:val="001B4659"/>
    <w:rsid w:val="001B46FD"/>
    <w:rsid w:val="001B476A"/>
    <w:rsid w:val="001B4AE6"/>
    <w:rsid w:val="001B4B80"/>
    <w:rsid w:val="001B4CBB"/>
    <w:rsid w:val="001B530A"/>
    <w:rsid w:val="001B5372"/>
    <w:rsid w:val="001B588F"/>
    <w:rsid w:val="001B6A7F"/>
    <w:rsid w:val="001B6C99"/>
    <w:rsid w:val="001B7055"/>
    <w:rsid w:val="001B78F8"/>
    <w:rsid w:val="001B7BED"/>
    <w:rsid w:val="001C00BD"/>
    <w:rsid w:val="001C09A2"/>
    <w:rsid w:val="001C12B7"/>
    <w:rsid w:val="001C1EFC"/>
    <w:rsid w:val="001C2A08"/>
    <w:rsid w:val="001C2AC4"/>
    <w:rsid w:val="001C2B3B"/>
    <w:rsid w:val="001C2D23"/>
    <w:rsid w:val="001C2D74"/>
    <w:rsid w:val="001C304A"/>
    <w:rsid w:val="001C32E3"/>
    <w:rsid w:val="001C38D8"/>
    <w:rsid w:val="001C3E70"/>
    <w:rsid w:val="001C4644"/>
    <w:rsid w:val="001C51C5"/>
    <w:rsid w:val="001C5820"/>
    <w:rsid w:val="001C5D61"/>
    <w:rsid w:val="001C5E6C"/>
    <w:rsid w:val="001C60C4"/>
    <w:rsid w:val="001C6E95"/>
    <w:rsid w:val="001C7C41"/>
    <w:rsid w:val="001C7DE5"/>
    <w:rsid w:val="001D03BF"/>
    <w:rsid w:val="001D1147"/>
    <w:rsid w:val="001D14C1"/>
    <w:rsid w:val="001D22CB"/>
    <w:rsid w:val="001D23D2"/>
    <w:rsid w:val="001D27FE"/>
    <w:rsid w:val="001D2A2C"/>
    <w:rsid w:val="001D3C65"/>
    <w:rsid w:val="001D439C"/>
    <w:rsid w:val="001D46C0"/>
    <w:rsid w:val="001D4C0A"/>
    <w:rsid w:val="001D5CBC"/>
    <w:rsid w:val="001D6E66"/>
    <w:rsid w:val="001D71FA"/>
    <w:rsid w:val="001D7A4B"/>
    <w:rsid w:val="001D7BFC"/>
    <w:rsid w:val="001E08D2"/>
    <w:rsid w:val="001E0AE7"/>
    <w:rsid w:val="001E1464"/>
    <w:rsid w:val="001E288D"/>
    <w:rsid w:val="001E2A11"/>
    <w:rsid w:val="001E2E07"/>
    <w:rsid w:val="001E3615"/>
    <w:rsid w:val="001E3AAD"/>
    <w:rsid w:val="001E484D"/>
    <w:rsid w:val="001E4C53"/>
    <w:rsid w:val="001E57FF"/>
    <w:rsid w:val="001E642B"/>
    <w:rsid w:val="001E6492"/>
    <w:rsid w:val="001E68EE"/>
    <w:rsid w:val="001E696F"/>
    <w:rsid w:val="001E7283"/>
    <w:rsid w:val="001E786B"/>
    <w:rsid w:val="001E7CC9"/>
    <w:rsid w:val="001F0C7B"/>
    <w:rsid w:val="001F1048"/>
    <w:rsid w:val="001F10CE"/>
    <w:rsid w:val="001F1109"/>
    <w:rsid w:val="001F2412"/>
    <w:rsid w:val="001F41EB"/>
    <w:rsid w:val="001F4471"/>
    <w:rsid w:val="001F44AC"/>
    <w:rsid w:val="001F4608"/>
    <w:rsid w:val="001F4C92"/>
    <w:rsid w:val="001F525B"/>
    <w:rsid w:val="001F5498"/>
    <w:rsid w:val="001F5867"/>
    <w:rsid w:val="001F59C3"/>
    <w:rsid w:val="001F5A1C"/>
    <w:rsid w:val="001F6090"/>
    <w:rsid w:val="001F6229"/>
    <w:rsid w:val="001F6D0A"/>
    <w:rsid w:val="001F71AC"/>
    <w:rsid w:val="001F76AD"/>
    <w:rsid w:val="001F7DAA"/>
    <w:rsid w:val="0020083B"/>
    <w:rsid w:val="00200ADE"/>
    <w:rsid w:val="00200ECD"/>
    <w:rsid w:val="0020102D"/>
    <w:rsid w:val="00201497"/>
    <w:rsid w:val="00201AD9"/>
    <w:rsid w:val="00201B8E"/>
    <w:rsid w:val="00202762"/>
    <w:rsid w:val="00202989"/>
    <w:rsid w:val="002030BE"/>
    <w:rsid w:val="00203ABC"/>
    <w:rsid w:val="00204116"/>
    <w:rsid w:val="00204876"/>
    <w:rsid w:val="00204ECA"/>
    <w:rsid w:val="00205AD3"/>
    <w:rsid w:val="00205B4F"/>
    <w:rsid w:val="00205E9C"/>
    <w:rsid w:val="00206567"/>
    <w:rsid w:val="00206A51"/>
    <w:rsid w:val="00206F00"/>
    <w:rsid w:val="00206FA0"/>
    <w:rsid w:val="00207076"/>
    <w:rsid w:val="00207509"/>
    <w:rsid w:val="00210C27"/>
    <w:rsid w:val="00210DC8"/>
    <w:rsid w:val="00210E5B"/>
    <w:rsid w:val="00210FE1"/>
    <w:rsid w:val="00211653"/>
    <w:rsid w:val="00211675"/>
    <w:rsid w:val="002118EE"/>
    <w:rsid w:val="00211939"/>
    <w:rsid w:val="0021248C"/>
    <w:rsid w:val="00212DD1"/>
    <w:rsid w:val="00212F95"/>
    <w:rsid w:val="0021327E"/>
    <w:rsid w:val="00213586"/>
    <w:rsid w:val="0021362E"/>
    <w:rsid w:val="00213C4D"/>
    <w:rsid w:val="00214071"/>
    <w:rsid w:val="002144D9"/>
    <w:rsid w:val="00214832"/>
    <w:rsid w:val="00214BFB"/>
    <w:rsid w:val="0021540B"/>
    <w:rsid w:val="0021575B"/>
    <w:rsid w:val="002158D9"/>
    <w:rsid w:val="0021599D"/>
    <w:rsid w:val="002174E0"/>
    <w:rsid w:val="0022021B"/>
    <w:rsid w:val="002204C0"/>
    <w:rsid w:val="00220874"/>
    <w:rsid w:val="002208A3"/>
    <w:rsid w:val="002209F2"/>
    <w:rsid w:val="00220BEB"/>
    <w:rsid w:val="00221F8D"/>
    <w:rsid w:val="00222051"/>
    <w:rsid w:val="00222059"/>
    <w:rsid w:val="00222720"/>
    <w:rsid w:val="002228C1"/>
    <w:rsid w:val="002234C0"/>
    <w:rsid w:val="002235A5"/>
    <w:rsid w:val="00223A44"/>
    <w:rsid w:val="00223F1D"/>
    <w:rsid w:val="00223F56"/>
    <w:rsid w:val="0022505C"/>
    <w:rsid w:val="002251C7"/>
    <w:rsid w:val="002251F3"/>
    <w:rsid w:val="00225B5C"/>
    <w:rsid w:val="00225C23"/>
    <w:rsid w:val="00225D58"/>
    <w:rsid w:val="002263AD"/>
    <w:rsid w:val="00226BBC"/>
    <w:rsid w:val="002274F9"/>
    <w:rsid w:val="00227784"/>
    <w:rsid w:val="00227F86"/>
    <w:rsid w:val="00230135"/>
    <w:rsid w:val="00230815"/>
    <w:rsid w:val="00230C5D"/>
    <w:rsid w:val="00231BFB"/>
    <w:rsid w:val="00231CDE"/>
    <w:rsid w:val="00232402"/>
    <w:rsid w:val="002326FF"/>
    <w:rsid w:val="00233282"/>
    <w:rsid w:val="00233314"/>
    <w:rsid w:val="002333D1"/>
    <w:rsid w:val="00233534"/>
    <w:rsid w:val="002337A9"/>
    <w:rsid w:val="002341B6"/>
    <w:rsid w:val="0023469A"/>
    <w:rsid w:val="002351A4"/>
    <w:rsid w:val="00235644"/>
    <w:rsid w:val="00235E8A"/>
    <w:rsid w:val="00236602"/>
    <w:rsid w:val="00236731"/>
    <w:rsid w:val="002367ED"/>
    <w:rsid w:val="0023687A"/>
    <w:rsid w:val="00236C1B"/>
    <w:rsid w:val="00237221"/>
    <w:rsid w:val="00237958"/>
    <w:rsid w:val="00240267"/>
    <w:rsid w:val="0024054D"/>
    <w:rsid w:val="00240E6E"/>
    <w:rsid w:val="00241971"/>
    <w:rsid w:val="00241F5F"/>
    <w:rsid w:val="002421AE"/>
    <w:rsid w:val="00242772"/>
    <w:rsid w:val="00242A81"/>
    <w:rsid w:val="002432CE"/>
    <w:rsid w:val="002435D1"/>
    <w:rsid w:val="00244794"/>
    <w:rsid w:val="00244C19"/>
    <w:rsid w:val="00244E4F"/>
    <w:rsid w:val="002452C0"/>
    <w:rsid w:val="0024534B"/>
    <w:rsid w:val="002454DB"/>
    <w:rsid w:val="00245B15"/>
    <w:rsid w:val="00246541"/>
    <w:rsid w:val="00246745"/>
    <w:rsid w:val="002469AB"/>
    <w:rsid w:val="00246E16"/>
    <w:rsid w:val="00246F1B"/>
    <w:rsid w:val="0024770A"/>
    <w:rsid w:val="00247CB1"/>
    <w:rsid w:val="00247CFF"/>
    <w:rsid w:val="002517A9"/>
    <w:rsid w:val="0025189D"/>
    <w:rsid w:val="00252005"/>
    <w:rsid w:val="002520D9"/>
    <w:rsid w:val="0025236D"/>
    <w:rsid w:val="002525D9"/>
    <w:rsid w:val="00252DBB"/>
    <w:rsid w:val="0025317B"/>
    <w:rsid w:val="002531F5"/>
    <w:rsid w:val="00253435"/>
    <w:rsid w:val="0025362C"/>
    <w:rsid w:val="002536A7"/>
    <w:rsid w:val="00253F2F"/>
    <w:rsid w:val="0025451B"/>
    <w:rsid w:val="0025458A"/>
    <w:rsid w:val="00254714"/>
    <w:rsid w:val="00254EF6"/>
    <w:rsid w:val="002551B0"/>
    <w:rsid w:val="00255417"/>
    <w:rsid w:val="00255C3F"/>
    <w:rsid w:val="00256078"/>
    <w:rsid w:val="00256C26"/>
    <w:rsid w:val="0025704F"/>
    <w:rsid w:val="00257409"/>
    <w:rsid w:val="00257DE1"/>
    <w:rsid w:val="0026002F"/>
    <w:rsid w:val="00260DC8"/>
    <w:rsid w:val="00260F92"/>
    <w:rsid w:val="00261123"/>
    <w:rsid w:val="002611A3"/>
    <w:rsid w:val="002613FE"/>
    <w:rsid w:val="00261661"/>
    <w:rsid w:val="00261719"/>
    <w:rsid w:val="00261F35"/>
    <w:rsid w:val="00262695"/>
    <w:rsid w:val="00262CD2"/>
    <w:rsid w:val="00262DFA"/>
    <w:rsid w:val="002635F2"/>
    <w:rsid w:val="002637C3"/>
    <w:rsid w:val="00263B69"/>
    <w:rsid w:val="00263EF2"/>
    <w:rsid w:val="0026452C"/>
    <w:rsid w:val="002657AB"/>
    <w:rsid w:val="00265864"/>
    <w:rsid w:val="00265871"/>
    <w:rsid w:val="00265CBF"/>
    <w:rsid w:val="00265EA2"/>
    <w:rsid w:val="0026692F"/>
    <w:rsid w:val="0026737D"/>
    <w:rsid w:val="00267D26"/>
    <w:rsid w:val="002703FA"/>
    <w:rsid w:val="00270535"/>
    <w:rsid w:val="002706FC"/>
    <w:rsid w:val="0027094B"/>
    <w:rsid w:val="002709ED"/>
    <w:rsid w:val="00271511"/>
    <w:rsid w:val="002715EE"/>
    <w:rsid w:val="0027190B"/>
    <w:rsid w:val="00271ABE"/>
    <w:rsid w:val="00272329"/>
    <w:rsid w:val="002723CA"/>
    <w:rsid w:val="00272635"/>
    <w:rsid w:val="00272E7F"/>
    <w:rsid w:val="00273089"/>
    <w:rsid w:val="00273EC0"/>
    <w:rsid w:val="0027414D"/>
    <w:rsid w:val="002741EB"/>
    <w:rsid w:val="0027474A"/>
    <w:rsid w:val="00275738"/>
    <w:rsid w:val="00275B22"/>
    <w:rsid w:val="00275BCA"/>
    <w:rsid w:val="00275E10"/>
    <w:rsid w:val="00275E90"/>
    <w:rsid w:val="00276468"/>
    <w:rsid w:val="00276A44"/>
    <w:rsid w:val="00276C43"/>
    <w:rsid w:val="00276D93"/>
    <w:rsid w:val="00277728"/>
    <w:rsid w:val="002803A4"/>
    <w:rsid w:val="002803B1"/>
    <w:rsid w:val="00280420"/>
    <w:rsid w:val="00280588"/>
    <w:rsid w:val="00280639"/>
    <w:rsid w:val="002808C2"/>
    <w:rsid w:val="002816B0"/>
    <w:rsid w:val="002819E9"/>
    <w:rsid w:val="00281A81"/>
    <w:rsid w:val="00281B12"/>
    <w:rsid w:val="00281F22"/>
    <w:rsid w:val="00282B3F"/>
    <w:rsid w:val="00282EAF"/>
    <w:rsid w:val="002830C5"/>
    <w:rsid w:val="002832A4"/>
    <w:rsid w:val="002832AF"/>
    <w:rsid w:val="0028390D"/>
    <w:rsid w:val="00283A77"/>
    <w:rsid w:val="00283BD1"/>
    <w:rsid w:val="002842A0"/>
    <w:rsid w:val="00284FC3"/>
    <w:rsid w:val="0028546A"/>
    <w:rsid w:val="00285589"/>
    <w:rsid w:val="002855F1"/>
    <w:rsid w:val="00285622"/>
    <w:rsid w:val="002868C7"/>
    <w:rsid w:val="002868DB"/>
    <w:rsid w:val="00286B7E"/>
    <w:rsid w:val="00286BED"/>
    <w:rsid w:val="00287B86"/>
    <w:rsid w:val="00287D88"/>
    <w:rsid w:val="00290206"/>
    <w:rsid w:val="00290445"/>
    <w:rsid w:val="00290D8E"/>
    <w:rsid w:val="002910A7"/>
    <w:rsid w:val="002913C1"/>
    <w:rsid w:val="00291D49"/>
    <w:rsid w:val="00292062"/>
    <w:rsid w:val="00292223"/>
    <w:rsid w:val="002922FF"/>
    <w:rsid w:val="00292B77"/>
    <w:rsid w:val="00292F3D"/>
    <w:rsid w:val="00293972"/>
    <w:rsid w:val="002939F3"/>
    <w:rsid w:val="00293F88"/>
    <w:rsid w:val="002942BD"/>
    <w:rsid w:val="00294354"/>
    <w:rsid w:val="00294F0F"/>
    <w:rsid w:val="00294FBD"/>
    <w:rsid w:val="00295524"/>
    <w:rsid w:val="0029561D"/>
    <w:rsid w:val="00295CCD"/>
    <w:rsid w:val="002963F2"/>
    <w:rsid w:val="002968E8"/>
    <w:rsid w:val="00296981"/>
    <w:rsid w:val="00296D61"/>
    <w:rsid w:val="00297EA3"/>
    <w:rsid w:val="002A0055"/>
    <w:rsid w:val="002A179D"/>
    <w:rsid w:val="002A23BB"/>
    <w:rsid w:val="002A23EF"/>
    <w:rsid w:val="002A27D2"/>
    <w:rsid w:val="002A27EC"/>
    <w:rsid w:val="002A3A1F"/>
    <w:rsid w:val="002A417B"/>
    <w:rsid w:val="002A4B40"/>
    <w:rsid w:val="002A5C62"/>
    <w:rsid w:val="002A5E51"/>
    <w:rsid w:val="002A6E2F"/>
    <w:rsid w:val="002A6FBA"/>
    <w:rsid w:val="002A76F1"/>
    <w:rsid w:val="002A7A80"/>
    <w:rsid w:val="002A7E36"/>
    <w:rsid w:val="002B0337"/>
    <w:rsid w:val="002B07A5"/>
    <w:rsid w:val="002B0A85"/>
    <w:rsid w:val="002B0E5B"/>
    <w:rsid w:val="002B1B74"/>
    <w:rsid w:val="002B1D13"/>
    <w:rsid w:val="002B45B8"/>
    <w:rsid w:val="002B4668"/>
    <w:rsid w:val="002B4D52"/>
    <w:rsid w:val="002B4F42"/>
    <w:rsid w:val="002B5209"/>
    <w:rsid w:val="002B5267"/>
    <w:rsid w:val="002B554D"/>
    <w:rsid w:val="002B56D9"/>
    <w:rsid w:val="002B5EE1"/>
    <w:rsid w:val="002B710D"/>
    <w:rsid w:val="002B7132"/>
    <w:rsid w:val="002B7316"/>
    <w:rsid w:val="002C0070"/>
    <w:rsid w:val="002C040F"/>
    <w:rsid w:val="002C0443"/>
    <w:rsid w:val="002C22A0"/>
    <w:rsid w:val="002C26BF"/>
    <w:rsid w:val="002C2775"/>
    <w:rsid w:val="002C27BE"/>
    <w:rsid w:val="002C2A1C"/>
    <w:rsid w:val="002C313D"/>
    <w:rsid w:val="002C31D1"/>
    <w:rsid w:val="002C37EF"/>
    <w:rsid w:val="002C4B0C"/>
    <w:rsid w:val="002C4FDC"/>
    <w:rsid w:val="002C54F5"/>
    <w:rsid w:val="002C5A7D"/>
    <w:rsid w:val="002C5F24"/>
    <w:rsid w:val="002C61C9"/>
    <w:rsid w:val="002C6948"/>
    <w:rsid w:val="002C6BCC"/>
    <w:rsid w:val="002C6D47"/>
    <w:rsid w:val="002C72D1"/>
    <w:rsid w:val="002C7CDC"/>
    <w:rsid w:val="002D0183"/>
    <w:rsid w:val="002D01C7"/>
    <w:rsid w:val="002D0E43"/>
    <w:rsid w:val="002D119A"/>
    <w:rsid w:val="002D160B"/>
    <w:rsid w:val="002D180A"/>
    <w:rsid w:val="002D1B18"/>
    <w:rsid w:val="002D1E5C"/>
    <w:rsid w:val="002D28BF"/>
    <w:rsid w:val="002D2EF6"/>
    <w:rsid w:val="002D36C3"/>
    <w:rsid w:val="002D42AA"/>
    <w:rsid w:val="002D4A98"/>
    <w:rsid w:val="002D4BDA"/>
    <w:rsid w:val="002D4FB9"/>
    <w:rsid w:val="002D52AA"/>
    <w:rsid w:val="002D5441"/>
    <w:rsid w:val="002D5501"/>
    <w:rsid w:val="002D5733"/>
    <w:rsid w:val="002D629F"/>
    <w:rsid w:val="002D6B31"/>
    <w:rsid w:val="002D6B81"/>
    <w:rsid w:val="002D7895"/>
    <w:rsid w:val="002E03EB"/>
    <w:rsid w:val="002E0BE8"/>
    <w:rsid w:val="002E1BD6"/>
    <w:rsid w:val="002E1ECE"/>
    <w:rsid w:val="002E2154"/>
    <w:rsid w:val="002E296E"/>
    <w:rsid w:val="002E2C55"/>
    <w:rsid w:val="002E31F4"/>
    <w:rsid w:val="002E3609"/>
    <w:rsid w:val="002E3624"/>
    <w:rsid w:val="002E4630"/>
    <w:rsid w:val="002E5408"/>
    <w:rsid w:val="002E66CC"/>
    <w:rsid w:val="002E69E9"/>
    <w:rsid w:val="002E6CD9"/>
    <w:rsid w:val="002E7690"/>
    <w:rsid w:val="002F08FA"/>
    <w:rsid w:val="002F1174"/>
    <w:rsid w:val="002F196B"/>
    <w:rsid w:val="002F1B4C"/>
    <w:rsid w:val="002F1CCE"/>
    <w:rsid w:val="002F29B5"/>
    <w:rsid w:val="002F2C7D"/>
    <w:rsid w:val="002F3A75"/>
    <w:rsid w:val="002F40DE"/>
    <w:rsid w:val="002F43BE"/>
    <w:rsid w:val="002F44DC"/>
    <w:rsid w:val="002F4778"/>
    <w:rsid w:val="002F49E6"/>
    <w:rsid w:val="002F4FC0"/>
    <w:rsid w:val="002F6029"/>
    <w:rsid w:val="002F6058"/>
    <w:rsid w:val="002F75CE"/>
    <w:rsid w:val="002F7C31"/>
    <w:rsid w:val="0030003E"/>
    <w:rsid w:val="003004C7"/>
    <w:rsid w:val="00301117"/>
    <w:rsid w:val="003016EE"/>
    <w:rsid w:val="00301C1E"/>
    <w:rsid w:val="003024EC"/>
    <w:rsid w:val="00302948"/>
    <w:rsid w:val="003037A5"/>
    <w:rsid w:val="00303DFF"/>
    <w:rsid w:val="00304C6C"/>
    <w:rsid w:val="00304C83"/>
    <w:rsid w:val="00305280"/>
    <w:rsid w:val="003054DC"/>
    <w:rsid w:val="00305DF7"/>
    <w:rsid w:val="00306545"/>
    <w:rsid w:val="003068EE"/>
    <w:rsid w:val="00307616"/>
    <w:rsid w:val="003104FB"/>
    <w:rsid w:val="003105BE"/>
    <w:rsid w:val="00311446"/>
    <w:rsid w:val="003119C7"/>
    <w:rsid w:val="00311A04"/>
    <w:rsid w:val="00311A08"/>
    <w:rsid w:val="003125FB"/>
    <w:rsid w:val="003126BC"/>
    <w:rsid w:val="003129D2"/>
    <w:rsid w:val="003138C4"/>
    <w:rsid w:val="003138E4"/>
    <w:rsid w:val="00313929"/>
    <w:rsid w:val="00313D60"/>
    <w:rsid w:val="00314365"/>
    <w:rsid w:val="0031453D"/>
    <w:rsid w:val="00314DE5"/>
    <w:rsid w:val="003153D6"/>
    <w:rsid w:val="00315638"/>
    <w:rsid w:val="003157A1"/>
    <w:rsid w:val="00315A86"/>
    <w:rsid w:val="00315F94"/>
    <w:rsid w:val="00316522"/>
    <w:rsid w:val="003167FD"/>
    <w:rsid w:val="00316D4B"/>
    <w:rsid w:val="003175BD"/>
    <w:rsid w:val="003201CA"/>
    <w:rsid w:val="0032021E"/>
    <w:rsid w:val="00320961"/>
    <w:rsid w:val="00320A20"/>
    <w:rsid w:val="00321094"/>
    <w:rsid w:val="003212E9"/>
    <w:rsid w:val="003214A0"/>
    <w:rsid w:val="003214E1"/>
    <w:rsid w:val="00321883"/>
    <w:rsid w:val="003233D6"/>
    <w:rsid w:val="003234AB"/>
    <w:rsid w:val="003235D1"/>
    <w:rsid w:val="00323739"/>
    <w:rsid w:val="00323EDF"/>
    <w:rsid w:val="003241A9"/>
    <w:rsid w:val="003250E8"/>
    <w:rsid w:val="00325650"/>
    <w:rsid w:val="00325E82"/>
    <w:rsid w:val="00326C77"/>
    <w:rsid w:val="00326DD0"/>
    <w:rsid w:val="00326F17"/>
    <w:rsid w:val="00327826"/>
    <w:rsid w:val="00327DC2"/>
    <w:rsid w:val="0033009D"/>
    <w:rsid w:val="00330150"/>
    <w:rsid w:val="003303C5"/>
    <w:rsid w:val="00330494"/>
    <w:rsid w:val="003304A8"/>
    <w:rsid w:val="003304BA"/>
    <w:rsid w:val="00330611"/>
    <w:rsid w:val="00331560"/>
    <w:rsid w:val="003318C9"/>
    <w:rsid w:val="003319AF"/>
    <w:rsid w:val="00331ADE"/>
    <w:rsid w:val="003324A4"/>
    <w:rsid w:val="00332745"/>
    <w:rsid w:val="00332BA1"/>
    <w:rsid w:val="0033306A"/>
    <w:rsid w:val="00333578"/>
    <w:rsid w:val="00334A34"/>
    <w:rsid w:val="00334A55"/>
    <w:rsid w:val="00334CEA"/>
    <w:rsid w:val="003355DD"/>
    <w:rsid w:val="00335D76"/>
    <w:rsid w:val="00335E09"/>
    <w:rsid w:val="003365CF"/>
    <w:rsid w:val="003367E5"/>
    <w:rsid w:val="00336A09"/>
    <w:rsid w:val="00336A56"/>
    <w:rsid w:val="0033704F"/>
    <w:rsid w:val="003371B1"/>
    <w:rsid w:val="003372F4"/>
    <w:rsid w:val="00337345"/>
    <w:rsid w:val="00337BA5"/>
    <w:rsid w:val="00337EEE"/>
    <w:rsid w:val="00340961"/>
    <w:rsid w:val="00340FA4"/>
    <w:rsid w:val="00341019"/>
    <w:rsid w:val="00341065"/>
    <w:rsid w:val="003413A1"/>
    <w:rsid w:val="0034194F"/>
    <w:rsid w:val="00341B5B"/>
    <w:rsid w:val="00341BD7"/>
    <w:rsid w:val="00341F10"/>
    <w:rsid w:val="003424E7"/>
    <w:rsid w:val="00342CA8"/>
    <w:rsid w:val="00342E5C"/>
    <w:rsid w:val="003432F0"/>
    <w:rsid w:val="0034340A"/>
    <w:rsid w:val="00343DAB"/>
    <w:rsid w:val="003445C7"/>
    <w:rsid w:val="00344BFD"/>
    <w:rsid w:val="00345023"/>
    <w:rsid w:val="003452DE"/>
    <w:rsid w:val="00345449"/>
    <w:rsid w:val="00345DC1"/>
    <w:rsid w:val="00346FC9"/>
    <w:rsid w:val="003479D9"/>
    <w:rsid w:val="003500F8"/>
    <w:rsid w:val="003500FC"/>
    <w:rsid w:val="00350FCF"/>
    <w:rsid w:val="00351346"/>
    <w:rsid w:val="003518BB"/>
    <w:rsid w:val="00353043"/>
    <w:rsid w:val="00353329"/>
    <w:rsid w:val="0035333B"/>
    <w:rsid w:val="00353738"/>
    <w:rsid w:val="00353812"/>
    <w:rsid w:val="0035396A"/>
    <w:rsid w:val="003543D7"/>
    <w:rsid w:val="00354460"/>
    <w:rsid w:val="00354473"/>
    <w:rsid w:val="003545A6"/>
    <w:rsid w:val="00354CB9"/>
    <w:rsid w:val="00355701"/>
    <w:rsid w:val="00356EB6"/>
    <w:rsid w:val="00357668"/>
    <w:rsid w:val="00357BFD"/>
    <w:rsid w:val="00357D63"/>
    <w:rsid w:val="00360084"/>
    <w:rsid w:val="00361129"/>
    <w:rsid w:val="003614D8"/>
    <w:rsid w:val="00361513"/>
    <w:rsid w:val="003618C1"/>
    <w:rsid w:val="00361C17"/>
    <w:rsid w:val="0036213C"/>
    <w:rsid w:val="00362722"/>
    <w:rsid w:val="0036288C"/>
    <w:rsid w:val="00362B89"/>
    <w:rsid w:val="00362D42"/>
    <w:rsid w:val="003633B4"/>
    <w:rsid w:val="003634C7"/>
    <w:rsid w:val="00363524"/>
    <w:rsid w:val="003636F8"/>
    <w:rsid w:val="00363DFF"/>
    <w:rsid w:val="00364A4F"/>
    <w:rsid w:val="00364A5E"/>
    <w:rsid w:val="00364CBD"/>
    <w:rsid w:val="003650F7"/>
    <w:rsid w:val="0036556D"/>
    <w:rsid w:val="0036598D"/>
    <w:rsid w:val="00365C89"/>
    <w:rsid w:val="00365C9D"/>
    <w:rsid w:val="00365E71"/>
    <w:rsid w:val="0036668E"/>
    <w:rsid w:val="00366774"/>
    <w:rsid w:val="003668F8"/>
    <w:rsid w:val="0036736C"/>
    <w:rsid w:val="003679FC"/>
    <w:rsid w:val="00367BEB"/>
    <w:rsid w:val="00367C60"/>
    <w:rsid w:val="00367DC8"/>
    <w:rsid w:val="003705D3"/>
    <w:rsid w:val="00370B58"/>
    <w:rsid w:val="0037119F"/>
    <w:rsid w:val="00371F05"/>
    <w:rsid w:val="00372AC5"/>
    <w:rsid w:val="00372F3A"/>
    <w:rsid w:val="00373F1A"/>
    <w:rsid w:val="0037407E"/>
    <w:rsid w:val="003755E5"/>
    <w:rsid w:val="00375828"/>
    <w:rsid w:val="00376307"/>
    <w:rsid w:val="00376AA0"/>
    <w:rsid w:val="00377F07"/>
    <w:rsid w:val="0038007C"/>
    <w:rsid w:val="00380858"/>
    <w:rsid w:val="00380B5E"/>
    <w:rsid w:val="00381652"/>
    <w:rsid w:val="00381BAA"/>
    <w:rsid w:val="00381F7C"/>
    <w:rsid w:val="00382258"/>
    <w:rsid w:val="00382F15"/>
    <w:rsid w:val="00383B6E"/>
    <w:rsid w:val="00384726"/>
    <w:rsid w:val="003847E0"/>
    <w:rsid w:val="003848AB"/>
    <w:rsid w:val="0038493E"/>
    <w:rsid w:val="00384C28"/>
    <w:rsid w:val="00384CD2"/>
    <w:rsid w:val="003850F1"/>
    <w:rsid w:val="003853B8"/>
    <w:rsid w:val="00385C88"/>
    <w:rsid w:val="00385EB6"/>
    <w:rsid w:val="003861A4"/>
    <w:rsid w:val="00386346"/>
    <w:rsid w:val="0038639D"/>
    <w:rsid w:val="0038697B"/>
    <w:rsid w:val="00386CEA"/>
    <w:rsid w:val="0038706A"/>
    <w:rsid w:val="00387274"/>
    <w:rsid w:val="00387BEF"/>
    <w:rsid w:val="0039094E"/>
    <w:rsid w:val="00390C17"/>
    <w:rsid w:val="00390D8B"/>
    <w:rsid w:val="00390E43"/>
    <w:rsid w:val="00390E6C"/>
    <w:rsid w:val="00391869"/>
    <w:rsid w:val="00392229"/>
    <w:rsid w:val="0039250A"/>
    <w:rsid w:val="00392846"/>
    <w:rsid w:val="0039446A"/>
    <w:rsid w:val="00395002"/>
    <w:rsid w:val="00395E9D"/>
    <w:rsid w:val="0039656E"/>
    <w:rsid w:val="00396E14"/>
    <w:rsid w:val="00396E91"/>
    <w:rsid w:val="00397408"/>
    <w:rsid w:val="00397CE6"/>
    <w:rsid w:val="003A0AF3"/>
    <w:rsid w:val="003A0C44"/>
    <w:rsid w:val="003A0F1D"/>
    <w:rsid w:val="003A112C"/>
    <w:rsid w:val="003A1359"/>
    <w:rsid w:val="003A1A1E"/>
    <w:rsid w:val="003A335E"/>
    <w:rsid w:val="003A3E1A"/>
    <w:rsid w:val="003A4141"/>
    <w:rsid w:val="003A4B80"/>
    <w:rsid w:val="003A4FE8"/>
    <w:rsid w:val="003A5587"/>
    <w:rsid w:val="003A5626"/>
    <w:rsid w:val="003A7211"/>
    <w:rsid w:val="003A7656"/>
    <w:rsid w:val="003A790A"/>
    <w:rsid w:val="003A7983"/>
    <w:rsid w:val="003B01E6"/>
    <w:rsid w:val="003B04CF"/>
    <w:rsid w:val="003B1579"/>
    <w:rsid w:val="003B24E0"/>
    <w:rsid w:val="003B26FF"/>
    <w:rsid w:val="003B29A1"/>
    <w:rsid w:val="003B2B39"/>
    <w:rsid w:val="003B3746"/>
    <w:rsid w:val="003B3A08"/>
    <w:rsid w:val="003B3D84"/>
    <w:rsid w:val="003B437E"/>
    <w:rsid w:val="003B43F4"/>
    <w:rsid w:val="003B4AF5"/>
    <w:rsid w:val="003B588E"/>
    <w:rsid w:val="003B5BE9"/>
    <w:rsid w:val="003B73A4"/>
    <w:rsid w:val="003B74D4"/>
    <w:rsid w:val="003B7C2A"/>
    <w:rsid w:val="003B7F9F"/>
    <w:rsid w:val="003C003D"/>
    <w:rsid w:val="003C050B"/>
    <w:rsid w:val="003C09A1"/>
    <w:rsid w:val="003C0AA3"/>
    <w:rsid w:val="003C0C2B"/>
    <w:rsid w:val="003C1395"/>
    <w:rsid w:val="003C16E3"/>
    <w:rsid w:val="003C17A1"/>
    <w:rsid w:val="003C1C5A"/>
    <w:rsid w:val="003C1D8B"/>
    <w:rsid w:val="003C1E9B"/>
    <w:rsid w:val="003C255D"/>
    <w:rsid w:val="003C2740"/>
    <w:rsid w:val="003C27C5"/>
    <w:rsid w:val="003C2AD2"/>
    <w:rsid w:val="003C2ADA"/>
    <w:rsid w:val="003C39C0"/>
    <w:rsid w:val="003C45D7"/>
    <w:rsid w:val="003C55D4"/>
    <w:rsid w:val="003C597C"/>
    <w:rsid w:val="003C60EF"/>
    <w:rsid w:val="003C62DB"/>
    <w:rsid w:val="003C67E2"/>
    <w:rsid w:val="003C696B"/>
    <w:rsid w:val="003C6C7C"/>
    <w:rsid w:val="003C6E02"/>
    <w:rsid w:val="003C6ED9"/>
    <w:rsid w:val="003C6F79"/>
    <w:rsid w:val="003C6FFB"/>
    <w:rsid w:val="003C7802"/>
    <w:rsid w:val="003C78E5"/>
    <w:rsid w:val="003D0E9E"/>
    <w:rsid w:val="003D1D3E"/>
    <w:rsid w:val="003D209D"/>
    <w:rsid w:val="003D24B7"/>
    <w:rsid w:val="003D2512"/>
    <w:rsid w:val="003D31CC"/>
    <w:rsid w:val="003D42AC"/>
    <w:rsid w:val="003D4588"/>
    <w:rsid w:val="003D4685"/>
    <w:rsid w:val="003D4826"/>
    <w:rsid w:val="003D5385"/>
    <w:rsid w:val="003D6426"/>
    <w:rsid w:val="003D660E"/>
    <w:rsid w:val="003D663E"/>
    <w:rsid w:val="003D6CB9"/>
    <w:rsid w:val="003D709C"/>
    <w:rsid w:val="003D7D4E"/>
    <w:rsid w:val="003E0131"/>
    <w:rsid w:val="003E02DE"/>
    <w:rsid w:val="003E0C86"/>
    <w:rsid w:val="003E1A08"/>
    <w:rsid w:val="003E2B5D"/>
    <w:rsid w:val="003E2BC3"/>
    <w:rsid w:val="003E3730"/>
    <w:rsid w:val="003E4705"/>
    <w:rsid w:val="003E4D18"/>
    <w:rsid w:val="003E4FC6"/>
    <w:rsid w:val="003E5311"/>
    <w:rsid w:val="003E57A6"/>
    <w:rsid w:val="003E5FD3"/>
    <w:rsid w:val="003E6214"/>
    <w:rsid w:val="003E664A"/>
    <w:rsid w:val="003E6682"/>
    <w:rsid w:val="003E6B3A"/>
    <w:rsid w:val="003E7164"/>
    <w:rsid w:val="003E741C"/>
    <w:rsid w:val="003E74CB"/>
    <w:rsid w:val="003F0496"/>
    <w:rsid w:val="003F07CA"/>
    <w:rsid w:val="003F13B9"/>
    <w:rsid w:val="003F15C7"/>
    <w:rsid w:val="003F1D48"/>
    <w:rsid w:val="003F2FB4"/>
    <w:rsid w:val="003F3865"/>
    <w:rsid w:val="003F4170"/>
    <w:rsid w:val="003F41A5"/>
    <w:rsid w:val="003F4409"/>
    <w:rsid w:val="003F46F8"/>
    <w:rsid w:val="003F4B4C"/>
    <w:rsid w:val="003F5242"/>
    <w:rsid w:val="003F5660"/>
    <w:rsid w:val="003F5A7A"/>
    <w:rsid w:val="003F5A7C"/>
    <w:rsid w:val="003F5C78"/>
    <w:rsid w:val="003F6650"/>
    <w:rsid w:val="003F6E0B"/>
    <w:rsid w:val="003F7670"/>
    <w:rsid w:val="003F771C"/>
    <w:rsid w:val="004004D6"/>
    <w:rsid w:val="00400C60"/>
    <w:rsid w:val="004014EA"/>
    <w:rsid w:val="004021EC"/>
    <w:rsid w:val="00402F73"/>
    <w:rsid w:val="0040335F"/>
    <w:rsid w:val="0040350C"/>
    <w:rsid w:val="00403648"/>
    <w:rsid w:val="00403AD1"/>
    <w:rsid w:val="00404443"/>
    <w:rsid w:val="004050A0"/>
    <w:rsid w:val="004053FB"/>
    <w:rsid w:val="00405CA1"/>
    <w:rsid w:val="00405D77"/>
    <w:rsid w:val="0040606D"/>
    <w:rsid w:val="00406188"/>
    <w:rsid w:val="004070F5"/>
    <w:rsid w:val="00407707"/>
    <w:rsid w:val="00407A07"/>
    <w:rsid w:val="00407AB1"/>
    <w:rsid w:val="004106EC"/>
    <w:rsid w:val="00410917"/>
    <w:rsid w:val="0041120B"/>
    <w:rsid w:val="004128DD"/>
    <w:rsid w:val="00412C78"/>
    <w:rsid w:val="0041326D"/>
    <w:rsid w:val="004137DB"/>
    <w:rsid w:val="00413A06"/>
    <w:rsid w:val="00413E6D"/>
    <w:rsid w:val="0041501F"/>
    <w:rsid w:val="004151BD"/>
    <w:rsid w:val="00415D03"/>
    <w:rsid w:val="00416003"/>
    <w:rsid w:val="0041671E"/>
    <w:rsid w:val="00416F0A"/>
    <w:rsid w:val="00417C56"/>
    <w:rsid w:val="00417CB8"/>
    <w:rsid w:val="00420469"/>
    <w:rsid w:val="0042079B"/>
    <w:rsid w:val="00420AE5"/>
    <w:rsid w:val="00420D6B"/>
    <w:rsid w:val="00420D8A"/>
    <w:rsid w:val="00421D4E"/>
    <w:rsid w:val="00422DBB"/>
    <w:rsid w:val="0042314A"/>
    <w:rsid w:val="00423BBE"/>
    <w:rsid w:val="00423C09"/>
    <w:rsid w:val="00423EFD"/>
    <w:rsid w:val="004243F7"/>
    <w:rsid w:val="004246A7"/>
    <w:rsid w:val="0042473D"/>
    <w:rsid w:val="00424918"/>
    <w:rsid w:val="00424A60"/>
    <w:rsid w:val="00424C66"/>
    <w:rsid w:val="00425595"/>
    <w:rsid w:val="00425777"/>
    <w:rsid w:val="00425AB7"/>
    <w:rsid w:val="00425B00"/>
    <w:rsid w:val="00425D01"/>
    <w:rsid w:val="004266D3"/>
    <w:rsid w:val="0042683C"/>
    <w:rsid w:val="00426BD8"/>
    <w:rsid w:val="0042728F"/>
    <w:rsid w:val="00427922"/>
    <w:rsid w:val="00427AC1"/>
    <w:rsid w:val="00427CF9"/>
    <w:rsid w:val="00427D29"/>
    <w:rsid w:val="00430C4A"/>
    <w:rsid w:val="004316AB"/>
    <w:rsid w:val="00431858"/>
    <w:rsid w:val="00431AC6"/>
    <w:rsid w:val="00431D06"/>
    <w:rsid w:val="00433080"/>
    <w:rsid w:val="00433ACB"/>
    <w:rsid w:val="00433E30"/>
    <w:rsid w:val="00433EB2"/>
    <w:rsid w:val="00433F2A"/>
    <w:rsid w:val="004344E4"/>
    <w:rsid w:val="0043460E"/>
    <w:rsid w:val="004347D5"/>
    <w:rsid w:val="00434F22"/>
    <w:rsid w:val="004356FB"/>
    <w:rsid w:val="00435E75"/>
    <w:rsid w:val="00435F62"/>
    <w:rsid w:val="00436787"/>
    <w:rsid w:val="00436F57"/>
    <w:rsid w:val="0043727F"/>
    <w:rsid w:val="0043752F"/>
    <w:rsid w:val="004375DF"/>
    <w:rsid w:val="00437A71"/>
    <w:rsid w:val="00440D4C"/>
    <w:rsid w:val="004410E1"/>
    <w:rsid w:val="00441471"/>
    <w:rsid w:val="0044196B"/>
    <w:rsid w:val="00442AFE"/>
    <w:rsid w:val="00443656"/>
    <w:rsid w:val="00443881"/>
    <w:rsid w:val="00443C00"/>
    <w:rsid w:val="00443CEA"/>
    <w:rsid w:val="00443D58"/>
    <w:rsid w:val="004446C1"/>
    <w:rsid w:val="004449D6"/>
    <w:rsid w:val="00444A31"/>
    <w:rsid w:val="00444B1F"/>
    <w:rsid w:val="00444CB9"/>
    <w:rsid w:val="0044500F"/>
    <w:rsid w:val="004454DC"/>
    <w:rsid w:val="00445796"/>
    <w:rsid w:val="00445CF1"/>
    <w:rsid w:val="00445D83"/>
    <w:rsid w:val="00445E83"/>
    <w:rsid w:val="0044675F"/>
    <w:rsid w:val="00446B88"/>
    <w:rsid w:val="00446FA3"/>
    <w:rsid w:val="00447013"/>
    <w:rsid w:val="00447972"/>
    <w:rsid w:val="00447B85"/>
    <w:rsid w:val="00447DCB"/>
    <w:rsid w:val="00447F87"/>
    <w:rsid w:val="0045074A"/>
    <w:rsid w:val="00450D18"/>
    <w:rsid w:val="00450F35"/>
    <w:rsid w:val="00451433"/>
    <w:rsid w:val="00451576"/>
    <w:rsid w:val="00451623"/>
    <w:rsid w:val="00452716"/>
    <w:rsid w:val="0045298D"/>
    <w:rsid w:val="0045369F"/>
    <w:rsid w:val="0045410C"/>
    <w:rsid w:val="00454315"/>
    <w:rsid w:val="004547C5"/>
    <w:rsid w:val="004548C7"/>
    <w:rsid w:val="00454978"/>
    <w:rsid w:val="004554DF"/>
    <w:rsid w:val="0045566D"/>
    <w:rsid w:val="00455926"/>
    <w:rsid w:val="00455A96"/>
    <w:rsid w:val="00456006"/>
    <w:rsid w:val="0045625E"/>
    <w:rsid w:val="0045637C"/>
    <w:rsid w:val="00456606"/>
    <w:rsid w:val="00456839"/>
    <w:rsid w:val="00456F8A"/>
    <w:rsid w:val="00457201"/>
    <w:rsid w:val="004572AC"/>
    <w:rsid w:val="004575F4"/>
    <w:rsid w:val="0046147E"/>
    <w:rsid w:val="00461B32"/>
    <w:rsid w:val="00461D8D"/>
    <w:rsid w:val="0046204D"/>
    <w:rsid w:val="004620A3"/>
    <w:rsid w:val="004622B9"/>
    <w:rsid w:val="00462E09"/>
    <w:rsid w:val="00463DC6"/>
    <w:rsid w:val="00464F4C"/>
    <w:rsid w:val="00465007"/>
    <w:rsid w:val="0046548B"/>
    <w:rsid w:val="004657A7"/>
    <w:rsid w:val="00466926"/>
    <w:rsid w:val="004670F8"/>
    <w:rsid w:val="00467A6C"/>
    <w:rsid w:val="0047043E"/>
    <w:rsid w:val="004707EE"/>
    <w:rsid w:val="00470D2E"/>
    <w:rsid w:val="00470E32"/>
    <w:rsid w:val="0047150C"/>
    <w:rsid w:val="004719CB"/>
    <w:rsid w:val="00471A5E"/>
    <w:rsid w:val="00471BC8"/>
    <w:rsid w:val="00472254"/>
    <w:rsid w:val="0047348E"/>
    <w:rsid w:val="00474196"/>
    <w:rsid w:val="00474246"/>
    <w:rsid w:val="0047430F"/>
    <w:rsid w:val="00474DAB"/>
    <w:rsid w:val="00475313"/>
    <w:rsid w:val="00475691"/>
    <w:rsid w:val="0047707C"/>
    <w:rsid w:val="004778A8"/>
    <w:rsid w:val="00477B66"/>
    <w:rsid w:val="00480026"/>
    <w:rsid w:val="004803F1"/>
    <w:rsid w:val="0048055E"/>
    <w:rsid w:val="00480B8F"/>
    <w:rsid w:val="00480BB7"/>
    <w:rsid w:val="00480E04"/>
    <w:rsid w:val="0048148E"/>
    <w:rsid w:val="00482094"/>
    <w:rsid w:val="004826E2"/>
    <w:rsid w:val="004831B1"/>
    <w:rsid w:val="00483273"/>
    <w:rsid w:val="00483667"/>
    <w:rsid w:val="0048388D"/>
    <w:rsid w:val="00483AAB"/>
    <w:rsid w:val="00483C2D"/>
    <w:rsid w:val="00484CBA"/>
    <w:rsid w:val="0048503C"/>
    <w:rsid w:val="00485797"/>
    <w:rsid w:val="00485A39"/>
    <w:rsid w:val="00486BCB"/>
    <w:rsid w:val="00486BE9"/>
    <w:rsid w:val="0048746C"/>
    <w:rsid w:val="00487485"/>
    <w:rsid w:val="0048758C"/>
    <w:rsid w:val="00487876"/>
    <w:rsid w:val="00490A6F"/>
    <w:rsid w:val="00491714"/>
    <w:rsid w:val="00491758"/>
    <w:rsid w:val="00491D27"/>
    <w:rsid w:val="00492698"/>
    <w:rsid w:val="004927E1"/>
    <w:rsid w:val="00493B0F"/>
    <w:rsid w:val="00493C1B"/>
    <w:rsid w:val="00493D8E"/>
    <w:rsid w:val="00493F11"/>
    <w:rsid w:val="004946EC"/>
    <w:rsid w:val="00494841"/>
    <w:rsid w:val="004948D0"/>
    <w:rsid w:val="00494B56"/>
    <w:rsid w:val="00495595"/>
    <w:rsid w:val="004961CC"/>
    <w:rsid w:val="00496205"/>
    <w:rsid w:val="00496853"/>
    <w:rsid w:val="00496BAF"/>
    <w:rsid w:val="00496C3A"/>
    <w:rsid w:val="00496F92"/>
    <w:rsid w:val="00497160"/>
    <w:rsid w:val="0049752E"/>
    <w:rsid w:val="00497838"/>
    <w:rsid w:val="00497CB0"/>
    <w:rsid w:val="004A03A9"/>
    <w:rsid w:val="004A1774"/>
    <w:rsid w:val="004A1887"/>
    <w:rsid w:val="004A30BC"/>
    <w:rsid w:val="004A3B66"/>
    <w:rsid w:val="004A3C85"/>
    <w:rsid w:val="004A401F"/>
    <w:rsid w:val="004A4042"/>
    <w:rsid w:val="004A41DA"/>
    <w:rsid w:val="004A4D89"/>
    <w:rsid w:val="004A53CF"/>
    <w:rsid w:val="004A6552"/>
    <w:rsid w:val="004A6823"/>
    <w:rsid w:val="004A6EA8"/>
    <w:rsid w:val="004A798F"/>
    <w:rsid w:val="004A7D8C"/>
    <w:rsid w:val="004A7EFD"/>
    <w:rsid w:val="004B030A"/>
    <w:rsid w:val="004B0DE9"/>
    <w:rsid w:val="004B1129"/>
    <w:rsid w:val="004B128C"/>
    <w:rsid w:val="004B15E7"/>
    <w:rsid w:val="004B1916"/>
    <w:rsid w:val="004B20DE"/>
    <w:rsid w:val="004B216F"/>
    <w:rsid w:val="004B354F"/>
    <w:rsid w:val="004B39C5"/>
    <w:rsid w:val="004B407C"/>
    <w:rsid w:val="004B42BB"/>
    <w:rsid w:val="004B4CF2"/>
    <w:rsid w:val="004B4FC2"/>
    <w:rsid w:val="004B50D7"/>
    <w:rsid w:val="004B57D6"/>
    <w:rsid w:val="004B6178"/>
    <w:rsid w:val="004B659C"/>
    <w:rsid w:val="004B6926"/>
    <w:rsid w:val="004B71EF"/>
    <w:rsid w:val="004B7D83"/>
    <w:rsid w:val="004B7DC0"/>
    <w:rsid w:val="004B7DD7"/>
    <w:rsid w:val="004B7E62"/>
    <w:rsid w:val="004C002E"/>
    <w:rsid w:val="004C0041"/>
    <w:rsid w:val="004C063D"/>
    <w:rsid w:val="004C146E"/>
    <w:rsid w:val="004C14D4"/>
    <w:rsid w:val="004C20B3"/>
    <w:rsid w:val="004C234D"/>
    <w:rsid w:val="004C2759"/>
    <w:rsid w:val="004C2C90"/>
    <w:rsid w:val="004C2FFF"/>
    <w:rsid w:val="004C3029"/>
    <w:rsid w:val="004C32E4"/>
    <w:rsid w:val="004C361E"/>
    <w:rsid w:val="004C3AB1"/>
    <w:rsid w:val="004C41E6"/>
    <w:rsid w:val="004C4251"/>
    <w:rsid w:val="004C46AE"/>
    <w:rsid w:val="004C4707"/>
    <w:rsid w:val="004C540F"/>
    <w:rsid w:val="004C5AE9"/>
    <w:rsid w:val="004C5F10"/>
    <w:rsid w:val="004C6647"/>
    <w:rsid w:val="004C6A21"/>
    <w:rsid w:val="004C6DD9"/>
    <w:rsid w:val="004C6FD2"/>
    <w:rsid w:val="004C7163"/>
    <w:rsid w:val="004C75C3"/>
    <w:rsid w:val="004C7DFA"/>
    <w:rsid w:val="004C7F8B"/>
    <w:rsid w:val="004D0136"/>
    <w:rsid w:val="004D04E3"/>
    <w:rsid w:val="004D0D3D"/>
    <w:rsid w:val="004D1563"/>
    <w:rsid w:val="004D250A"/>
    <w:rsid w:val="004D2A38"/>
    <w:rsid w:val="004D301D"/>
    <w:rsid w:val="004D44DA"/>
    <w:rsid w:val="004D4741"/>
    <w:rsid w:val="004D4AFC"/>
    <w:rsid w:val="004D4C39"/>
    <w:rsid w:val="004D4DB3"/>
    <w:rsid w:val="004D56E1"/>
    <w:rsid w:val="004D5ED8"/>
    <w:rsid w:val="004D6811"/>
    <w:rsid w:val="004D6874"/>
    <w:rsid w:val="004D6A41"/>
    <w:rsid w:val="004D6A8E"/>
    <w:rsid w:val="004D6C8F"/>
    <w:rsid w:val="004E0235"/>
    <w:rsid w:val="004E06DC"/>
    <w:rsid w:val="004E0C7B"/>
    <w:rsid w:val="004E0ED8"/>
    <w:rsid w:val="004E1AB3"/>
    <w:rsid w:val="004E1BC2"/>
    <w:rsid w:val="004E2294"/>
    <w:rsid w:val="004E26CD"/>
    <w:rsid w:val="004E2A3A"/>
    <w:rsid w:val="004E2B2D"/>
    <w:rsid w:val="004E3458"/>
    <w:rsid w:val="004E3816"/>
    <w:rsid w:val="004E394B"/>
    <w:rsid w:val="004E3E12"/>
    <w:rsid w:val="004E47D0"/>
    <w:rsid w:val="004E57AC"/>
    <w:rsid w:val="004E5B5A"/>
    <w:rsid w:val="004E5C8E"/>
    <w:rsid w:val="004E6E7A"/>
    <w:rsid w:val="004E736C"/>
    <w:rsid w:val="004E7A56"/>
    <w:rsid w:val="004E7F53"/>
    <w:rsid w:val="004F0AE0"/>
    <w:rsid w:val="004F1D53"/>
    <w:rsid w:val="004F1EE4"/>
    <w:rsid w:val="004F23B9"/>
    <w:rsid w:val="004F26CD"/>
    <w:rsid w:val="004F349E"/>
    <w:rsid w:val="004F37BE"/>
    <w:rsid w:val="004F3821"/>
    <w:rsid w:val="004F3BCE"/>
    <w:rsid w:val="004F3D85"/>
    <w:rsid w:val="004F4393"/>
    <w:rsid w:val="004F44AC"/>
    <w:rsid w:val="004F4681"/>
    <w:rsid w:val="004F4950"/>
    <w:rsid w:val="004F4E5B"/>
    <w:rsid w:val="004F4EC6"/>
    <w:rsid w:val="004F5986"/>
    <w:rsid w:val="004F6687"/>
    <w:rsid w:val="004F68C6"/>
    <w:rsid w:val="004F6D82"/>
    <w:rsid w:val="004F6FE1"/>
    <w:rsid w:val="004F7185"/>
    <w:rsid w:val="004F7E40"/>
    <w:rsid w:val="00500DDC"/>
    <w:rsid w:val="00501070"/>
    <w:rsid w:val="00501EDD"/>
    <w:rsid w:val="005024E9"/>
    <w:rsid w:val="00502CAC"/>
    <w:rsid w:val="00502D5C"/>
    <w:rsid w:val="00503FB4"/>
    <w:rsid w:val="005044EF"/>
    <w:rsid w:val="00505812"/>
    <w:rsid w:val="005060DF"/>
    <w:rsid w:val="00506FC4"/>
    <w:rsid w:val="0050709D"/>
    <w:rsid w:val="00511233"/>
    <w:rsid w:val="00511DE0"/>
    <w:rsid w:val="00512BF6"/>
    <w:rsid w:val="005136C7"/>
    <w:rsid w:val="0051371B"/>
    <w:rsid w:val="00513754"/>
    <w:rsid w:val="00514510"/>
    <w:rsid w:val="00514627"/>
    <w:rsid w:val="005146DC"/>
    <w:rsid w:val="00514823"/>
    <w:rsid w:val="005155E4"/>
    <w:rsid w:val="00515740"/>
    <w:rsid w:val="00515823"/>
    <w:rsid w:val="0051645F"/>
    <w:rsid w:val="005175C4"/>
    <w:rsid w:val="00517AB6"/>
    <w:rsid w:val="00520CAF"/>
    <w:rsid w:val="00521216"/>
    <w:rsid w:val="00521F31"/>
    <w:rsid w:val="005229B2"/>
    <w:rsid w:val="00522A8E"/>
    <w:rsid w:val="00522F74"/>
    <w:rsid w:val="0052379D"/>
    <w:rsid w:val="00523982"/>
    <w:rsid w:val="00523B0F"/>
    <w:rsid w:val="005243D7"/>
    <w:rsid w:val="005248D6"/>
    <w:rsid w:val="00526682"/>
    <w:rsid w:val="00526A85"/>
    <w:rsid w:val="00526C13"/>
    <w:rsid w:val="00526E8C"/>
    <w:rsid w:val="00526ED4"/>
    <w:rsid w:val="0052716C"/>
    <w:rsid w:val="005273CA"/>
    <w:rsid w:val="0052767F"/>
    <w:rsid w:val="00527825"/>
    <w:rsid w:val="00527B2D"/>
    <w:rsid w:val="00530DBC"/>
    <w:rsid w:val="005317D8"/>
    <w:rsid w:val="00531D25"/>
    <w:rsid w:val="00531EAE"/>
    <w:rsid w:val="0053237C"/>
    <w:rsid w:val="0053275A"/>
    <w:rsid w:val="00532D16"/>
    <w:rsid w:val="0053335D"/>
    <w:rsid w:val="005339F2"/>
    <w:rsid w:val="00534510"/>
    <w:rsid w:val="00534A47"/>
    <w:rsid w:val="00534C70"/>
    <w:rsid w:val="00535553"/>
    <w:rsid w:val="00535ABC"/>
    <w:rsid w:val="0053637D"/>
    <w:rsid w:val="00536D0A"/>
    <w:rsid w:val="005378E4"/>
    <w:rsid w:val="005407A0"/>
    <w:rsid w:val="0054188D"/>
    <w:rsid w:val="005418FB"/>
    <w:rsid w:val="00541FD3"/>
    <w:rsid w:val="0054206F"/>
    <w:rsid w:val="0054223B"/>
    <w:rsid w:val="00542275"/>
    <w:rsid w:val="00542745"/>
    <w:rsid w:val="00542AFE"/>
    <w:rsid w:val="00542C3F"/>
    <w:rsid w:val="00543596"/>
    <w:rsid w:val="00543D24"/>
    <w:rsid w:val="00543F2B"/>
    <w:rsid w:val="005441AF"/>
    <w:rsid w:val="005444C9"/>
    <w:rsid w:val="0054462E"/>
    <w:rsid w:val="00544A3B"/>
    <w:rsid w:val="00544A96"/>
    <w:rsid w:val="00544EF7"/>
    <w:rsid w:val="00545BA4"/>
    <w:rsid w:val="00545CC8"/>
    <w:rsid w:val="00546B25"/>
    <w:rsid w:val="00546F72"/>
    <w:rsid w:val="00547382"/>
    <w:rsid w:val="005477D9"/>
    <w:rsid w:val="00547A6C"/>
    <w:rsid w:val="00547D71"/>
    <w:rsid w:val="0055104B"/>
    <w:rsid w:val="005513CA"/>
    <w:rsid w:val="00551FE9"/>
    <w:rsid w:val="005525C1"/>
    <w:rsid w:val="00553701"/>
    <w:rsid w:val="00553E0C"/>
    <w:rsid w:val="005542F3"/>
    <w:rsid w:val="005543D8"/>
    <w:rsid w:val="00554AE2"/>
    <w:rsid w:val="005559A2"/>
    <w:rsid w:val="00556276"/>
    <w:rsid w:val="005563E9"/>
    <w:rsid w:val="00556A68"/>
    <w:rsid w:val="005573AD"/>
    <w:rsid w:val="00557C99"/>
    <w:rsid w:val="00557CC6"/>
    <w:rsid w:val="00557EA3"/>
    <w:rsid w:val="00560D34"/>
    <w:rsid w:val="00560D45"/>
    <w:rsid w:val="00561079"/>
    <w:rsid w:val="005611EB"/>
    <w:rsid w:val="00561919"/>
    <w:rsid w:val="0056265D"/>
    <w:rsid w:val="005634ED"/>
    <w:rsid w:val="00563FE2"/>
    <w:rsid w:val="0056409A"/>
    <w:rsid w:val="00565D79"/>
    <w:rsid w:val="00565DA0"/>
    <w:rsid w:val="005660FF"/>
    <w:rsid w:val="00566C8C"/>
    <w:rsid w:val="00566DB0"/>
    <w:rsid w:val="0056705F"/>
    <w:rsid w:val="00567369"/>
    <w:rsid w:val="00567972"/>
    <w:rsid w:val="00567F77"/>
    <w:rsid w:val="00570019"/>
    <w:rsid w:val="00571315"/>
    <w:rsid w:val="00571D74"/>
    <w:rsid w:val="00571DA5"/>
    <w:rsid w:val="00571E5A"/>
    <w:rsid w:val="00573054"/>
    <w:rsid w:val="005731F3"/>
    <w:rsid w:val="00573360"/>
    <w:rsid w:val="00574217"/>
    <w:rsid w:val="005744C2"/>
    <w:rsid w:val="00575418"/>
    <w:rsid w:val="00575A0D"/>
    <w:rsid w:val="00575A1D"/>
    <w:rsid w:val="00577038"/>
    <w:rsid w:val="00577322"/>
    <w:rsid w:val="005773D5"/>
    <w:rsid w:val="005778ED"/>
    <w:rsid w:val="0058024F"/>
    <w:rsid w:val="0058073B"/>
    <w:rsid w:val="00580773"/>
    <w:rsid w:val="0058140A"/>
    <w:rsid w:val="0058261D"/>
    <w:rsid w:val="00582839"/>
    <w:rsid w:val="00584B94"/>
    <w:rsid w:val="00584C0F"/>
    <w:rsid w:val="00585AA0"/>
    <w:rsid w:val="00586401"/>
    <w:rsid w:val="005867DB"/>
    <w:rsid w:val="0058685C"/>
    <w:rsid w:val="00587870"/>
    <w:rsid w:val="00587A45"/>
    <w:rsid w:val="00587B0B"/>
    <w:rsid w:val="00590045"/>
    <w:rsid w:val="005901A3"/>
    <w:rsid w:val="005902E2"/>
    <w:rsid w:val="00590807"/>
    <w:rsid w:val="00590CA4"/>
    <w:rsid w:val="00590DC0"/>
    <w:rsid w:val="005919CD"/>
    <w:rsid w:val="00591B2C"/>
    <w:rsid w:val="00591E8A"/>
    <w:rsid w:val="00592429"/>
    <w:rsid w:val="0059249A"/>
    <w:rsid w:val="005928BD"/>
    <w:rsid w:val="00592A58"/>
    <w:rsid w:val="0059316B"/>
    <w:rsid w:val="005934F5"/>
    <w:rsid w:val="00594848"/>
    <w:rsid w:val="00595315"/>
    <w:rsid w:val="0059551C"/>
    <w:rsid w:val="005955E9"/>
    <w:rsid w:val="0059619A"/>
    <w:rsid w:val="00596A86"/>
    <w:rsid w:val="00596D72"/>
    <w:rsid w:val="0059741D"/>
    <w:rsid w:val="00597511"/>
    <w:rsid w:val="00597E28"/>
    <w:rsid w:val="005A0101"/>
    <w:rsid w:val="005A0130"/>
    <w:rsid w:val="005A0EF1"/>
    <w:rsid w:val="005A129D"/>
    <w:rsid w:val="005A1363"/>
    <w:rsid w:val="005A1647"/>
    <w:rsid w:val="005A1AAB"/>
    <w:rsid w:val="005A1BDD"/>
    <w:rsid w:val="005A2B59"/>
    <w:rsid w:val="005A2D32"/>
    <w:rsid w:val="005A3094"/>
    <w:rsid w:val="005A404C"/>
    <w:rsid w:val="005A40DB"/>
    <w:rsid w:val="005A4496"/>
    <w:rsid w:val="005A47EC"/>
    <w:rsid w:val="005A56F7"/>
    <w:rsid w:val="005A5943"/>
    <w:rsid w:val="005A5D33"/>
    <w:rsid w:val="005A6915"/>
    <w:rsid w:val="005A6C43"/>
    <w:rsid w:val="005A6CB0"/>
    <w:rsid w:val="005A78B7"/>
    <w:rsid w:val="005B0722"/>
    <w:rsid w:val="005B0C17"/>
    <w:rsid w:val="005B1FAD"/>
    <w:rsid w:val="005B250D"/>
    <w:rsid w:val="005B284A"/>
    <w:rsid w:val="005B2F4F"/>
    <w:rsid w:val="005B34A2"/>
    <w:rsid w:val="005B3825"/>
    <w:rsid w:val="005B3A41"/>
    <w:rsid w:val="005B4466"/>
    <w:rsid w:val="005B446A"/>
    <w:rsid w:val="005B4553"/>
    <w:rsid w:val="005B4864"/>
    <w:rsid w:val="005B4982"/>
    <w:rsid w:val="005B55EF"/>
    <w:rsid w:val="005B57D4"/>
    <w:rsid w:val="005B5AD7"/>
    <w:rsid w:val="005B610A"/>
    <w:rsid w:val="005B6557"/>
    <w:rsid w:val="005B65D8"/>
    <w:rsid w:val="005B6D44"/>
    <w:rsid w:val="005B7CC2"/>
    <w:rsid w:val="005B7F0D"/>
    <w:rsid w:val="005C0034"/>
    <w:rsid w:val="005C0447"/>
    <w:rsid w:val="005C097C"/>
    <w:rsid w:val="005C0B6D"/>
    <w:rsid w:val="005C288F"/>
    <w:rsid w:val="005C2D7E"/>
    <w:rsid w:val="005C3023"/>
    <w:rsid w:val="005C30D1"/>
    <w:rsid w:val="005C327A"/>
    <w:rsid w:val="005C37AB"/>
    <w:rsid w:val="005C37EA"/>
    <w:rsid w:val="005C39E7"/>
    <w:rsid w:val="005C3B90"/>
    <w:rsid w:val="005C4747"/>
    <w:rsid w:val="005C571B"/>
    <w:rsid w:val="005C5A96"/>
    <w:rsid w:val="005C5CC5"/>
    <w:rsid w:val="005C5D7B"/>
    <w:rsid w:val="005C628C"/>
    <w:rsid w:val="005C65B6"/>
    <w:rsid w:val="005C66F4"/>
    <w:rsid w:val="005C6A72"/>
    <w:rsid w:val="005C6AFE"/>
    <w:rsid w:val="005C78D4"/>
    <w:rsid w:val="005D0133"/>
    <w:rsid w:val="005D0341"/>
    <w:rsid w:val="005D06AF"/>
    <w:rsid w:val="005D0E90"/>
    <w:rsid w:val="005D1122"/>
    <w:rsid w:val="005D128F"/>
    <w:rsid w:val="005D16D2"/>
    <w:rsid w:val="005D18FB"/>
    <w:rsid w:val="005D193B"/>
    <w:rsid w:val="005D1BF7"/>
    <w:rsid w:val="005D1D92"/>
    <w:rsid w:val="005D1F99"/>
    <w:rsid w:val="005D24B2"/>
    <w:rsid w:val="005D28CC"/>
    <w:rsid w:val="005D2B33"/>
    <w:rsid w:val="005D319C"/>
    <w:rsid w:val="005D3448"/>
    <w:rsid w:val="005D3C6C"/>
    <w:rsid w:val="005D40B7"/>
    <w:rsid w:val="005D4B5A"/>
    <w:rsid w:val="005D4BFA"/>
    <w:rsid w:val="005D4EBE"/>
    <w:rsid w:val="005D5072"/>
    <w:rsid w:val="005D5319"/>
    <w:rsid w:val="005D5E72"/>
    <w:rsid w:val="005D694B"/>
    <w:rsid w:val="005D69DB"/>
    <w:rsid w:val="005D7242"/>
    <w:rsid w:val="005D74F5"/>
    <w:rsid w:val="005D7CBE"/>
    <w:rsid w:val="005D7E72"/>
    <w:rsid w:val="005D7F00"/>
    <w:rsid w:val="005D7FE1"/>
    <w:rsid w:val="005E0B43"/>
    <w:rsid w:val="005E3680"/>
    <w:rsid w:val="005E3935"/>
    <w:rsid w:val="005E3EB2"/>
    <w:rsid w:val="005E3F44"/>
    <w:rsid w:val="005E41BD"/>
    <w:rsid w:val="005E42CA"/>
    <w:rsid w:val="005E4ED7"/>
    <w:rsid w:val="005E4FBC"/>
    <w:rsid w:val="005E554D"/>
    <w:rsid w:val="005E59BD"/>
    <w:rsid w:val="005E5EAA"/>
    <w:rsid w:val="005E64EA"/>
    <w:rsid w:val="005E67AB"/>
    <w:rsid w:val="005E7E20"/>
    <w:rsid w:val="005E7ED4"/>
    <w:rsid w:val="005F06CD"/>
    <w:rsid w:val="005F0A77"/>
    <w:rsid w:val="005F0FF1"/>
    <w:rsid w:val="005F1891"/>
    <w:rsid w:val="005F1945"/>
    <w:rsid w:val="005F1B82"/>
    <w:rsid w:val="005F25D1"/>
    <w:rsid w:val="005F2CCB"/>
    <w:rsid w:val="005F37BB"/>
    <w:rsid w:val="005F3B23"/>
    <w:rsid w:val="005F4458"/>
    <w:rsid w:val="005F5170"/>
    <w:rsid w:val="005F54E5"/>
    <w:rsid w:val="005F58E2"/>
    <w:rsid w:val="005F5CA3"/>
    <w:rsid w:val="005F6246"/>
    <w:rsid w:val="005F6740"/>
    <w:rsid w:val="005F799C"/>
    <w:rsid w:val="005F7C82"/>
    <w:rsid w:val="005F7F83"/>
    <w:rsid w:val="00600077"/>
    <w:rsid w:val="00600256"/>
    <w:rsid w:val="006002BC"/>
    <w:rsid w:val="00600DE3"/>
    <w:rsid w:val="00600E30"/>
    <w:rsid w:val="00600F23"/>
    <w:rsid w:val="00600F5A"/>
    <w:rsid w:val="00601271"/>
    <w:rsid w:val="0060145B"/>
    <w:rsid w:val="006014D0"/>
    <w:rsid w:val="00601DD8"/>
    <w:rsid w:val="006024E2"/>
    <w:rsid w:val="00603058"/>
    <w:rsid w:val="00603CFD"/>
    <w:rsid w:val="00604B19"/>
    <w:rsid w:val="00604E99"/>
    <w:rsid w:val="00605BEF"/>
    <w:rsid w:val="00605EAB"/>
    <w:rsid w:val="00605EC3"/>
    <w:rsid w:val="0060606D"/>
    <w:rsid w:val="0060611C"/>
    <w:rsid w:val="006063D7"/>
    <w:rsid w:val="0060709E"/>
    <w:rsid w:val="006074A9"/>
    <w:rsid w:val="00607F10"/>
    <w:rsid w:val="006104B5"/>
    <w:rsid w:val="006115A9"/>
    <w:rsid w:val="00611A77"/>
    <w:rsid w:val="0061244D"/>
    <w:rsid w:val="006125A5"/>
    <w:rsid w:val="0061277B"/>
    <w:rsid w:val="006138E4"/>
    <w:rsid w:val="00613D31"/>
    <w:rsid w:val="006142CD"/>
    <w:rsid w:val="006143A0"/>
    <w:rsid w:val="00614480"/>
    <w:rsid w:val="00615D35"/>
    <w:rsid w:val="006160EA"/>
    <w:rsid w:val="00616219"/>
    <w:rsid w:val="006165C3"/>
    <w:rsid w:val="00616893"/>
    <w:rsid w:val="00616D28"/>
    <w:rsid w:val="006170BF"/>
    <w:rsid w:val="00617C68"/>
    <w:rsid w:val="00617DB9"/>
    <w:rsid w:val="00620CD9"/>
    <w:rsid w:val="0062161D"/>
    <w:rsid w:val="00621F9B"/>
    <w:rsid w:val="00622548"/>
    <w:rsid w:val="00622D84"/>
    <w:rsid w:val="00622FD2"/>
    <w:rsid w:val="00623797"/>
    <w:rsid w:val="00623BDD"/>
    <w:rsid w:val="00623CAF"/>
    <w:rsid w:val="00623DAE"/>
    <w:rsid w:val="00623FD3"/>
    <w:rsid w:val="006242D3"/>
    <w:rsid w:val="0062488A"/>
    <w:rsid w:val="00624B97"/>
    <w:rsid w:val="0062569F"/>
    <w:rsid w:val="00625726"/>
    <w:rsid w:val="0062579F"/>
    <w:rsid w:val="0062583C"/>
    <w:rsid w:val="006258EE"/>
    <w:rsid w:val="00625B76"/>
    <w:rsid w:val="00625C0E"/>
    <w:rsid w:val="00625CE4"/>
    <w:rsid w:val="00625D2C"/>
    <w:rsid w:val="006262FD"/>
    <w:rsid w:val="006264A0"/>
    <w:rsid w:val="00626649"/>
    <w:rsid w:val="006268C6"/>
    <w:rsid w:val="006269D4"/>
    <w:rsid w:val="00626A72"/>
    <w:rsid w:val="00626C1D"/>
    <w:rsid w:val="00627026"/>
    <w:rsid w:val="00627556"/>
    <w:rsid w:val="00627603"/>
    <w:rsid w:val="00627B40"/>
    <w:rsid w:val="00627B60"/>
    <w:rsid w:val="00627E75"/>
    <w:rsid w:val="00630815"/>
    <w:rsid w:val="00630ABC"/>
    <w:rsid w:val="00630ECB"/>
    <w:rsid w:val="0063181C"/>
    <w:rsid w:val="00631EFA"/>
    <w:rsid w:val="00632162"/>
    <w:rsid w:val="00632284"/>
    <w:rsid w:val="006323F7"/>
    <w:rsid w:val="006334EE"/>
    <w:rsid w:val="00633BE5"/>
    <w:rsid w:val="0063406B"/>
    <w:rsid w:val="0063479C"/>
    <w:rsid w:val="00635A25"/>
    <w:rsid w:val="00635FEB"/>
    <w:rsid w:val="00636721"/>
    <w:rsid w:val="00636AFF"/>
    <w:rsid w:val="00636DA0"/>
    <w:rsid w:val="00636DFF"/>
    <w:rsid w:val="00637ECC"/>
    <w:rsid w:val="00640463"/>
    <w:rsid w:val="00640598"/>
    <w:rsid w:val="00640630"/>
    <w:rsid w:val="006407A2"/>
    <w:rsid w:val="00643F31"/>
    <w:rsid w:val="00644160"/>
    <w:rsid w:val="00644D02"/>
    <w:rsid w:val="006450B6"/>
    <w:rsid w:val="00645AD4"/>
    <w:rsid w:val="00646102"/>
    <w:rsid w:val="0064635F"/>
    <w:rsid w:val="006469EE"/>
    <w:rsid w:val="00646A88"/>
    <w:rsid w:val="0064722D"/>
    <w:rsid w:val="00647A6B"/>
    <w:rsid w:val="00647AFF"/>
    <w:rsid w:val="0065027C"/>
    <w:rsid w:val="006506C4"/>
    <w:rsid w:val="00650ADC"/>
    <w:rsid w:val="00650BE4"/>
    <w:rsid w:val="00651660"/>
    <w:rsid w:val="006520AA"/>
    <w:rsid w:val="006525D7"/>
    <w:rsid w:val="006527A7"/>
    <w:rsid w:val="006528D1"/>
    <w:rsid w:val="00652CF8"/>
    <w:rsid w:val="0065336E"/>
    <w:rsid w:val="006534FC"/>
    <w:rsid w:val="006538A1"/>
    <w:rsid w:val="006538DB"/>
    <w:rsid w:val="00653E9F"/>
    <w:rsid w:val="00656716"/>
    <w:rsid w:val="00656B68"/>
    <w:rsid w:val="00656E0C"/>
    <w:rsid w:val="0065725F"/>
    <w:rsid w:val="0065762C"/>
    <w:rsid w:val="006605CF"/>
    <w:rsid w:val="006608B1"/>
    <w:rsid w:val="00660B8B"/>
    <w:rsid w:val="00660BA6"/>
    <w:rsid w:val="00660CE5"/>
    <w:rsid w:val="0066105A"/>
    <w:rsid w:val="006617DD"/>
    <w:rsid w:val="00661BBF"/>
    <w:rsid w:val="00662458"/>
    <w:rsid w:val="006627CC"/>
    <w:rsid w:val="00662D72"/>
    <w:rsid w:val="00662E3A"/>
    <w:rsid w:val="0066358B"/>
    <w:rsid w:val="00663758"/>
    <w:rsid w:val="0066464E"/>
    <w:rsid w:val="0066492B"/>
    <w:rsid w:val="00664B69"/>
    <w:rsid w:val="00664D78"/>
    <w:rsid w:val="006655E5"/>
    <w:rsid w:val="006655FE"/>
    <w:rsid w:val="00665715"/>
    <w:rsid w:val="006658C3"/>
    <w:rsid w:val="00665AAE"/>
    <w:rsid w:val="00665B28"/>
    <w:rsid w:val="00665C45"/>
    <w:rsid w:val="00666265"/>
    <w:rsid w:val="0066678F"/>
    <w:rsid w:val="006668F1"/>
    <w:rsid w:val="006678BE"/>
    <w:rsid w:val="00667E7E"/>
    <w:rsid w:val="00670430"/>
    <w:rsid w:val="00670457"/>
    <w:rsid w:val="00670EF9"/>
    <w:rsid w:val="00670FA7"/>
    <w:rsid w:val="00671C6C"/>
    <w:rsid w:val="00671D95"/>
    <w:rsid w:val="0067245C"/>
    <w:rsid w:val="006731EF"/>
    <w:rsid w:val="00673DF1"/>
    <w:rsid w:val="00674667"/>
    <w:rsid w:val="00674D21"/>
    <w:rsid w:val="0067554C"/>
    <w:rsid w:val="0067556A"/>
    <w:rsid w:val="0067604C"/>
    <w:rsid w:val="0067662E"/>
    <w:rsid w:val="00676A40"/>
    <w:rsid w:val="00677780"/>
    <w:rsid w:val="0067796C"/>
    <w:rsid w:val="006779CD"/>
    <w:rsid w:val="00677AFA"/>
    <w:rsid w:val="00677B58"/>
    <w:rsid w:val="00677DAB"/>
    <w:rsid w:val="006801C7"/>
    <w:rsid w:val="00680783"/>
    <w:rsid w:val="00680DCA"/>
    <w:rsid w:val="0068221E"/>
    <w:rsid w:val="00682256"/>
    <w:rsid w:val="00682B02"/>
    <w:rsid w:val="00682E7B"/>
    <w:rsid w:val="00683120"/>
    <w:rsid w:val="00683822"/>
    <w:rsid w:val="00683AEB"/>
    <w:rsid w:val="00683F3D"/>
    <w:rsid w:val="00684E09"/>
    <w:rsid w:val="00684F24"/>
    <w:rsid w:val="00685340"/>
    <w:rsid w:val="006853EE"/>
    <w:rsid w:val="0068572C"/>
    <w:rsid w:val="0068601D"/>
    <w:rsid w:val="00686832"/>
    <w:rsid w:val="00686A89"/>
    <w:rsid w:val="00686BB9"/>
    <w:rsid w:val="00686E23"/>
    <w:rsid w:val="00687019"/>
    <w:rsid w:val="006871E3"/>
    <w:rsid w:val="00687651"/>
    <w:rsid w:val="00687980"/>
    <w:rsid w:val="00687B71"/>
    <w:rsid w:val="00690065"/>
    <w:rsid w:val="0069064D"/>
    <w:rsid w:val="006907E7"/>
    <w:rsid w:val="006908B1"/>
    <w:rsid w:val="00690FC3"/>
    <w:rsid w:val="00690FF8"/>
    <w:rsid w:val="00691363"/>
    <w:rsid w:val="00691988"/>
    <w:rsid w:val="0069256C"/>
    <w:rsid w:val="0069261F"/>
    <w:rsid w:val="00692F88"/>
    <w:rsid w:val="006930B4"/>
    <w:rsid w:val="006930FA"/>
    <w:rsid w:val="006932D0"/>
    <w:rsid w:val="006935DD"/>
    <w:rsid w:val="00693690"/>
    <w:rsid w:val="006938A2"/>
    <w:rsid w:val="0069464B"/>
    <w:rsid w:val="00694F4D"/>
    <w:rsid w:val="0069529D"/>
    <w:rsid w:val="00695BD3"/>
    <w:rsid w:val="00696ED9"/>
    <w:rsid w:val="006973B0"/>
    <w:rsid w:val="0069760D"/>
    <w:rsid w:val="00697629"/>
    <w:rsid w:val="006A0358"/>
    <w:rsid w:val="006A0433"/>
    <w:rsid w:val="006A1631"/>
    <w:rsid w:val="006A1705"/>
    <w:rsid w:val="006A177D"/>
    <w:rsid w:val="006A18D0"/>
    <w:rsid w:val="006A1A8B"/>
    <w:rsid w:val="006A1AAA"/>
    <w:rsid w:val="006A1C4B"/>
    <w:rsid w:val="006A1D1B"/>
    <w:rsid w:val="006A1D36"/>
    <w:rsid w:val="006A22A1"/>
    <w:rsid w:val="006A253A"/>
    <w:rsid w:val="006A2634"/>
    <w:rsid w:val="006A331D"/>
    <w:rsid w:val="006A3631"/>
    <w:rsid w:val="006A38AD"/>
    <w:rsid w:val="006A3DFA"/>
    <w:rsid w:val="006A4826"/>
    <w:rsid w:val="006A49FA"/>
    <w:rsid w:val="006A4CDD"/>
    <w:rsid w:val="006A57CC"/>
    <w:rsid w:val="006A640D"/>
    <w:rsid w:val="006A6619"/>
    <w:rsid w:val="006A666E"/>
    <w:rsid w:val="006A67D9"/>
    <w:rsid w:val="006A7156"/>
    <w:rsid w:val="006A7925"/>
    <w:rsid w:val="006A7B26"/>
    <w:rsid w:val="006A7FB3"/>
    <w:rsid w:val="006B0691"/>
    <w:rsid w:val="006B0969"/>
    <w:rsid w:val="006B0999"/>
    <w:rsid w:val="006B1037"/>
    <w:rsid w:val="006B10A3"/>
    <w:rsid w:val="006B12D0"/>
    <w:rsid w:val="006B1D80"/>
    <w:rsid w:val="006B25F2"/>
    <w:rsid w:val="006B2727"/>
    <w:rsid w:val="006B27D1"/>
    <w:rsid w:val="006B2C69"/>
    <w:rsid w:val="006B2F80"/>
    <w:rsid w:val="006B356C"/>
    <w:rsid w:val="006B3BDA"/>
    <w:rsid w:val="006B3D0F"/>
    <w:rsid w:val="006B4013"/>
    <w:rsid w:val="006B4332"/>
    <w:rsid w:val="006B442E"/>
    <w:rsid w:val="006B4567"/>
    <w:rsid w:val="006B481C"/>
    <w:rsid w:val="006B493A"/>
    <w:rsid w:val="006B4BC7"/>
    <w:rsid w:val="006B4F42"/>
    <w:rsid w:val="006B5CE8"/>
    <w:rsid w:val="006B6486"/>
    <w:rsid w:val="006B6B31"/>
    <w:rsid w:val="006B70B9"/>
    <w:rsid w:val="006B73AB"/>
    <w:rsid w:val="006C021A"/>
    <w:rsid w:val="006C044D"/>
    <w:rsid w:val="006C080C"/>
    <w:rsid w:val="006C0A49"/>
    <w:rsid w:val="006C0D95"/>
    <w:rsid w:val="006C10DD"/>
    <w:rsid w:val="006C1C2D"/>
    <w:rsid w:val="006C1EC5"/>
    <w:rsid w:val="006C2DE3"/>
    <w:rsid w:val="006C2E60"/>
    <w:rsid w:val="006C31EB"/>
    <w:rsid w:val="006C3220"/>
    <w:rsid w:val="006C37A8"/>
    <w:rsid w:val="006C3F83"/>
    <w:rsid w:val="006C4AD4"/>
    <w:rsid w:val="006C4B8D"/>
    <w:rsid w:val="006C5244"/>
    <w:rsid w:val="006C58EA"/>
    <w:rsid w:val="006C59D4"/>
    <w:rsid w:val="006C5E25"/>
    <w:rsid w:val="006C5F55"/>
    <w:rsid w:val="006C60BF"/>
    <w:rsid w:val="006C6485"/>
    <w:rsid w:val="006C6950"/>
    <w:rsid w:val="006C70A7"/>
    <w:rsid w:val="006C7346"/>
    <w:rsid w:val="006C757D"/>
    <w:rsid w:val="006C778A"/>
    <w:rsid w:val="006C7FD7"/>
    <w:rsid w:val="006D0947"/>
    <w:rsid w:val="006D11E9"/>
    <w:rsid w:val="006D1408"/>
    <w:rsid w:val="006D1680"/>
    <w:rsid w:val="006D16B9"/>
    <w:rsid w:val="006D1745"/>
    <w:rsid w:val="006D1822"/>
    <w:rsid w:val="006D1CAD"/>
    <w:rsid w:val="006D1E16"/>
    <w:rsid w:val="006D2C8C"/>
    <w:rsid w:val="006D2DA0"/>
    <w:rsid w:val="006D2FF2"/>
    <w:rsid w:val="006D3ECA"/>
    <w:rsid w:val="006D4269"/>
    <w:rsid w:val="006D4547"/>
    <w:rsid w:val="006D4C47"/>
    <w:rsid w:val="006D5312"/>
    <w:rsid w:val="006D59D0"/>
    <w:rsid w:val="006D5DC3"/>
    <w:rsid w:val="006D6163"/>
    <w:rsid w:val="006D6BFF"/>
    <w:rsid w:val="006D7AE9"/>
    <w:rsid w:val="006E0570"/>
    <w:rsid w:val="006E09B4"/>
    <w:rsid w:val="006E0C09"/>
    <w:rsid w:val="006E0DE6"/>
    <w:rsid w:val="006E12BA"/>
    <w:rsid w:val="006E1C86"/>
    <w:rsid w:val="006E2D14"/>
    <w:rsid w:val="006E3316"/>
    <w:rsid w:val="006E34F5"/>
    <w:rsid w:val="006E37C5"/>
    <w:rsid w:val="006E4E2C"/>
    <w:rsid w:val="006E533D"/>
    <w:rsid w:val="006E5342"/>
    <w:rsid w:val="006E53AC"/>
    <w:rsid w:val="006E5563"/>
    <w:rsid w:val="006E57DB"/>
    <w:rsid w:val="006E59CC"/>
    <w:rsid w:val="006E5F93"/>
    <w:rsid w:val="006E6048"/>
    <w:rsid w:val="006E6242"/>
    <w:rsid w:val="006E627D"/>
    <w:rsid w:val="006E6636"/>
    <w:rsid w:val="006E66D3"/>
    <w:rsid w:val="006E6B75"/>
    <w:rsid w:val="006E70F2"/>
    <w:rsid w:val="006E73F3"/>
    <w:rsid w:val="006E743C"/>
    <w:rsid w:val="006E7A55"/>
    <w:rsid w:val="006E7D67"/>
    <w:rsid w:val="006E7E3A"/>
    <w:rsid w:val="006F03B8"/>
    <w:rsid w:val="006F1061"/>
    <w:rsid w:val="006F1762"/>
    <w:rsid w:val="006F188F"/>
    <w:rsid w:val="006F1B05"/>
    <w:rsid w:val="006F1E50"/>
    <w:rsid w:val="006F285F"/>
    <w:rsid w:val="006F2F3A"/>
    <w:rsid w:val="006F3356"/>
    <w:rsid w:val="006F4F15"/>
    <w:rsid w:val="006F61AF"/>
    <w:rsid w:val="006F6213"/>
    <w:rsid w:val="006F6706"/>
    <w:rsid w:val="006F6904"/>
    <w:rsid w:val="006F692F"/>
    <w:rsid w:val="006F6ABC"/>
    <w:rsid w:val="006F70F6"/>
    <w:rsid w:val="006F7400"/>
    <w:rsid w:val="006F7C04"/>
    <w:rsid w:val="00700078"/>
    <w:rsid w:val="007005EB"/>
    <w:rsid w:val="00700752"/>
    <w:rsid w:val="0070079A"/>
    <w:rsid w:val="00700D0D"/>
    <w:rsid w:val="0070112B"/>
    <w:rsid w:val="00701285"/>
    <w:rsid w:val="007012C5"/>
    <w:rsid w:val="00701898"/>
    <w:rsid w:val="00701AA4"/>
    <w:rsid w:val="00701D54"/>
    <w:rsid w:val="00701DAD"/>
    <w:rsid w:val="00702228"/>
    <w:rsid w:val="007026D5"/>
    <w:rsid w:val="00703941"/>
    <w:rsid w:val="00703EEF"/>
    <w:rsid w:val="0070420C"/>
    <w:rsid w:val="0070488F"/>
    <w:rsid w:val="007058BC"/>
    <w:rsid w:val="00706345"/>
    <w:rsid w:val="00706D25"/>
    <w:rsid w:val="00707941"/>
    <w:rsid w:val="00707FC6"/>
    <w:rsid w:val="007106DC"/>
    <w:rsid w:val="00710EA6"/>
    <w:rsid w:val="00710F71"/>
    <w:rsid w:val="007117BD"/>
    <w:rsid w:val="007117F3"/>
    <w:rsid w:val="007121CB"/>
    <w:rsid w:val="00712204"/>
    <w:rsid w:val="00712945"/>
    <w:rsid w:val="00712A4E"/>
    <w:rsid w:val="00712B40"/>
    <w:rsid w:val="00712DA8"/>
    <w:rsid w:val="00713151"/>
    <w:rsid w:val="0071347A"/>
    <w:rsid w:val="00714A21"/>
    <w:rsid w:val="00715E2A"/>
    <w:rsid w:val="00715F2A"/>
    <w:rsid w:val="0071626B"/>
    <w:rsid w:val="00716414"/>
    <w:rsid w:val="0071651D"/>
    <w:rsid w:val="00716F7B"/>
    <w:rsid w:val="007177CC"/>
    <w:rsid w:val="00717A8B"/>
    <w:rsid w:val="00717C67"/>
    <w:rsid w:val="00717E4C"/>
    <w:rsid w:val="007202A9"/>
    <w:rsid w:val="007205BE"/>
    <w:rsid w:val="00720C49"/>
    <w:rsid w:val="00721635"/>
    <w:rsid w:val="007223F9"/>
    <w:rsid w:val="00723010"/>
    <w:rsid w:val="00723149"/>
    <w:rsid w:val="00723DF2"/>
    <w:rsid w:val="007242F8"/>
    <w:rsid w:val="007245D2"/>
    <w:rsid w:val="00724B8D"/>
    <w:rsid w:val="00724EF6"/>
    <w:rsid w:val="00724F46"/>
    <w:rsid w:val="007258BF"/>
    <w:rsid w:val="00725C54"/>
    <w:rsid w:val="00726946"/>
    <w:rsid w:val="007279D7"/>
    <w:rsid w:val="00727BE6"/>
    <w:rsid w:val="00730A94"/>
    <w:rsid w:val="00731D8C"/>
    <w:rsid w:val="007323B6"/>
    <w:rsid w:val="00732417"/>
    <w:rsid w:val="007326C1"/>
    <w:rsid w:val="007336CF"/>
    <w:rsid w:val="00733D6C"/>
    <w:rsid w:val="00734498"/>
    <w:rsid w:val="00734AEA"/>
    <w:rsid w:val="00734D43"/>
    <w:rsid w:val="007354EB"/>
    <w:rsid w:val="00735B15"/>
    <w:rsid w:val="00735D5F"/>
    <w:rsid w:val="00735D6F"/>
    <w:rsid w:val="00736103"/>
    <w:rsid w:val="007368AB"/>
    <w:rsid w:val="0073767E"/>
    <w:rsid w:val="00737727"/>
    <w:rsid w:val="00737B4C"/>
    <w:rsid w:val="00740043"/>
    <w:rsid w:val="007400AA"/>
    <w:rsid w:val="00740176"/>
    <w:rsid w:val="00740255"/>
    <w:rsid w:val="0074114C"/>
    <w:rsid w:val="007414DA"/>
    <w:rsid w:val="007418E1"/>
    <w:rsid w:val="00741E81"/>
    <w:rsid w:val="00742B13"/>
    <w:rsid w:val="00742C0F"/>
    <w:rsid w:val="00742CE6"/>
    <w:rsid w:val="00742F55"/>
    <w:rsid w:val="007435DD"/>
    <w:rsid w:val="0074408D"/>
    <w:rsid w:val="00744284"/>
    <w:rsid w:val="00744738"/>
    <w:rsid w:val="00744A75"/>
    <w:rsid w:val="00744AA3"/>
    <w:rsid w:val="00744B01"/>
    <w:rsid w:val="00744E75"/>
    <w:rsid w:val="007451F5"/>
    <w:rsid w:val="00745398"/>
    <w:rsid w:val="0074563D"/>
    <w:rsid w:val="00745884"/>
    <w:rsid w:val="00745B8E"/>
    <w:rsid w:val="0074637C"/>
    <w:rsid w:val="007467F1"/>
    <w:rsid w:val="00747846"/>
    <w:rsid w:val="00747FB5"/>
    <w:rsid w:val="00750305"/>
    <w:rsid w:val="00750E96"/>
    <w:rsid w:val="00751C23"/>
    <w:rsid w:val="00751D44"/>
    <w:rsid w:val="00751DF5"/>
    <w:rsid w:val="00751E07"/>
    <w:rsid w:val="00752687"/>
    <w:rsid w:val="00752BFE"/>
    <w:rsid w:val="00752CF1"/>
    <w:rsid w:val="00752FD5"/>
    <w:rsid w:val="007533EE"/>
    <w:rsid w:val="007535FD"/>
    <w:rsid w:val="007539D1"/>
    <w:rsid w:val="00754AAF"/>
    <w:rsid w:val="00754FD8"/>
    <w:rsid w:val="0075506D"/>
    <w:rsid w:val="00755266"/>
    <w:rsid w:val="00755EC3"/>
    <w:rsid w:val="00756C3A"/>
    <w:rsid w:val="00756F62"/>
    <w:rsid w:val="00757397"/>
    <w:rsid w:val="00757859"/>
    <w:rsid w:val="00760143"/>
    <w:rsid w:val="0076035B"/>
    <w:rsid w:val="00760830"/>
    <w:rsid w:val="00760BCF"/>
    <w:rsid w:val="007610DF"/>
    <w:rsid w:val="007619EB"/>
    <w:rsid w:val="00761A07"/>
    <w:rsid w:val="00761BFC"/>
    <w:rsid w:val="0076217D"/>
    <w:rsid w:val="00762535"/>
    <w:rsid w:val="007629A5"/>
    <w:rsid w:val="00763B26"/>
    <w:rsid w:val="00763DE5"/>
    <w:rsid w:val="00764203"/>
    <w:rsid w:val="0076490B"/>
    <w:rsid w:val="00764976"/>
    <w:rsid w:val="00764BC1"/>
    <w:rsid w:val="00764CC4"/>
    <w:rsid w:val="007655F7"/>
    <w:rsid w:val="00765AA5"/>
    <w:rsid w:val="007667F3"/>
    <w:rsid w:val="00766944"/>
    <w:rsid w:val="0076746F"/>
    <w:rsid w:val="0076763C"/>
    <w:rsid w:val="0076768A"/>
    <w:rsid w:val="007702B3"/>
    <w:rsid w:val="007706ED"/>
    <w:rsid w:val="00770CAF"/>
    <w:rsid w:val="00770EC2"/>
    <w:rsid w:val="0077140F"/>
    <w:rsid w:val="007718D6"/>
    <w:rsid w:val="00771AA4"/>
    <w:rsid w:val="00771B4D"/>
    <w:rsid w:val="00771CCB"/>
    <w:rsid w:val="007724AB"/>
    <w:rsid w:val="007727AE"/>
    <w:rsid w:val="00774386"/>
    <w:rsid w:val="007744B7"/>
    <w:rsid w:val="00774EE9"/>
    <w:rsid w:val="00775529"/>
    <w:rsid w:val="00775549"/>
    <w:rsid w:val="007763EE"/>
    <w:rsid w:val="00776822"/>
    <w:rsid w:val="00777CA4"/>
    <w:rsid w:val="00777FEF"/>
    <w:rsid w:val="00780283"/>
    <w:rsid w:val="007803C1"/>
    <w:rsid w:val="00780492"/>
    <w:rsid w:val="00780695"/>
    <w:rsid w:val="00780845"/>
    <w:rsid w:val="007816BA"/>
    <w:rsid w:val="00781F7F"/>
    <w:rsid w:val="00782795"/>
    <w:rsid w:val="007828D5"/>
    <w:rsid w:val="00782D1B"/>
    <w:rsid w:val="00783AA7"/>
    <w:rsid w:val="00784183"/>
    <w:rsid w:val="007841B6"/>
    <w:rsid w:val="00784682"/>
    <w:rsid w:val="007848D4"/>
    <w:rsid w:val="0078490D"/>
    <w:rsid w:val="00784A59"/>
    <w:rsid w:val="0078532C"/>
    <w:rsid w:val="007862FC"/>
    <w:rsid w:val="007863DA"/>
    <w:rsid w:val="00786B57"/>
    <w:rsid w:val="00786E02"/>
    <w:rsid w:val="00786F79"/>
    <w:rsid w:val="00786FEE"/>
    <w:rsid w:val="00787416"/>
    <w:rsid w:val="00787DF5"/>
    <w:rsid w:val="0079013A"/>
    <w:rsid w:val="00790464"/>
    <w:rsid w:val="0079119E"/>
    <w:rsid w:val="007911B9"/>
    <w:rsid w:val="00791884"/>
    <w:rsid w:val="0079261F"/>
    <w:rsid w:val="00792F98"/>
    <w:rsid w:val="00792F9B"/>
    <w:rsid w:val="00792FD1"/>
    <w:rsid w:val="00793A26"/>
    <w:rsid w:val="00793B0A"/>
    <w:rsid w:val="00793B12"/>
    <w:rsid w:val="00794440"/>
    <w:rsid w:val="00794B79"/>
    <w:rsid w:val="00794FFB"/>
    <w:rsid w:val="0079512E"/>
    <w:rsid w:val="00795947"/>
    <w:rsid w:val="00795D57"/>
    <w:rsid w:val="00795E95"/>
    <w:rsid w:val="00795F12"/>
    <w:rsid w:val="0079628A"/>
    <w:rsid w:val="007963C3"/>
    <w:rsid w:val="00796827"/>
    <w:rsid w:val="0079763A"/>
    <w:rsid w:val="007A0557"/>
    <w:rsid w:val="007A0591"/>
    <w:rsid w:val="007A0704"/>
    <w:rsid w:val="007A0EC4"/>
    <w:rsid w:val="007A1160"/>
    <w:rsid w:val="007A11B0"/>
    <w:rsid w:val="007A152E"/>
    <w:rsid w:val="007A164D"/>
    <w:rsid w:val="007A1943"/>
    <w:rsid w:val="007A256E"/>
    <w:rsid w:val="007A26DD"/>
    <w:rsid w:val="007A281C"/>
    <w:rsid w:val="007A2B8E"/>
    <w:rsid w:val="007A3092"/>
    <w:rsid w:val="007A38DB"/>
    <w:rsid w:val="007A3BEF"/>
    <w:rsid w:val="007A471C"/>
    <w:rsid w:val="007A47A9"/>
    <w:rsid w:val="007A532B"/>
    <w:rsid w:val="007A6015"/>
    <w:rsid w:val="007A6154"/>
    <w:rsid w:val="007A68BD"/>
    <w:rsid w:val="007A69A2"/>
    <w:rsid w:val="007A7551"/>
    <w:rsid w:val="007A7EC4"/>
    <w:rsid w:val="007B032C"/>
    <w:rsid w:val="007B0536"/>
    <w:rsid w:val="007B0CA2"/>
    <w:rsid w:val="007B12E2"/>
    <w:rsid w:val="007B17C4"/>
    <w:rsid w:val="007B1BA8"/>
    <w:rsid w:val="007B1D93"/>
    <w:rsid w:val="007B2260"/>
    <w:rsid w:val="007B2729"/>
    <w:rsid w:val="007B27EC"/>
    <w:rsid w:val="007B2834"/>
    <w:rsid w:val="007B2A48"/>
    <w:rsid w:val="007B2A65"/>
    <w:rsid w:val="007B2BB9"/>
    <w:rsid w:val="007B2CF3"/>
    <w:rsid w:val="007B40C9"/>
    <w:rsid w:val="007B4C7D"/>
    <w:rsid w:val="007B4EB3"/>
    <w:rsid w:val="007B4F1B"/>
    <w:rsid w:val="007B503E"/>
    <w:rsid w:val="007B59FC"/>
    <w:rsid w:val="007B5B91"/>
    <w:rsid w:val="007B628D"/>
    <w:rsid w:val="007B67F1"/>
    <w:rsid w:val="007B6DCA"/>
    <w:rsid w:val="007B73EB"/>
    <w:rsid w:val="007B7668"/>
    <w:rsid w:val="007B7682"/>
    <w:rsid w:val="007B7743"/>
    <w:rsid w:val="007B7DBE"/>
    <w:rsid w:val="007C0064"/>
    <w:rsid w:val="007C0128"/>
    <w:rsid w:val="007C0421"/>
    <w:rsid w:val="007C09DB"/>
    <w:rsid w:val="007C1E5D"/>
    <w:rsid w:val="007C2163"/>
    <w:rsid w:val="007C2662"/>
    <w:rsid w:val="007C2C73"/>
    <w:rsid w:val="007C2ECF"/>
    <w:rsid w:val="007C32D9"/>
    <w:rsid w:val="007C373F"/>
    <w:rsid w:val="007C3871"/>
    <w:rsid w:val="007C38C1"/>
    <w:rsid w:val="007C3997"/>
    <w:rsid w:val="007C3A83"/>
    <w:rsid w:val="007C3CB2"/>
    <w:rsid w:val="007C3F6E"/>
    <w:rsid w:val="007C3F90"/>
    <w:rsid w:val="007C44A2"/>
    <w:rsid w:val="007C4C9F"/>
    <w:rsid w:val="007C4FDD"/>
    <w:rsid w:val="007C58F1"/>
    <w:rsid w:val="007C597E"/>
    <w:rsid w:val="007C5EC1"/>
    <w:rsid w:val="007C5EF0"/>
    <w:rsid w:val="007C6737"/>
    <w:rsid w:val="007C6C61"/>
    <w:rsid w:val="007C7067"/>
    <w:rsid w:val="007C7478"/>
    <w:rsid w:val="007C75D1"/>
    <w:rsid w:val="007D0294"/>
    <w:rsid w:val="007D167A"/>
    <w:rsid w:val="007D1BD8"/>
    <w:rsid w:val="007D1FF8"/>
    <w:rsid w:val="007D2F21"/>
    <w:rsid w:val="007D42BA"/>
    <w:rsid w:val="007D43B2"/>
    <w:rsid w:val="007D4670"/>
    <w:rsid w:val="007D53AC"/>
    <w:rsid w:val="007D55DF"/>
    <w:rsid w:val="007D5AE2"/>
    <w:rsid w:val="007D5BE2"/>
    <w:rsid w:val="007D5F28"/>
    <w:rsid w:val="007D65C2"/>
    <w:rsid w:val="007D6CC2"/>
    <w:rsid w:val="007D7136"/>
    <w:rsid w:val="007D726D"/>
    <w:rsid w:val="007D734B"/>
    <w:rsid w:val="007D7C68"/>
    <w:rsid w:val="007E1021"/>
    <w:rsid w:val="007E18EC"/>
    <w:rsid w:val="007E19DE"/>
    <w:rsid w:val="007E24EB"/>
    <w:rsid w:val="007E293C"/>
    <w:rsid w:val="007E3137"/>
    <w:rsid w:val="007E3E17"/>
    <w:rsid w:val="007E3FAB"/>
    <w:rsid w:val="007E525D"/>
    <w:rsid w:val="007E53E8"/>
    <w:rsid w:val="007E5F8D"/>
    <w:rsid w:val="007E63DA"/>
    <w:rsid w:val="007E66C2"/>
    <w:rsid w:val="007E6B98"/>
    <w:rsid w:val="007E6C3A"/>
    <w:rsid w:val="007E7284"/>
    <w:rsid w:val="007E72D1"/>
    <w:rsid w:val="007E75A9"/>
    <w:rsid w:val="007E7905"/>
    <w:rsid w:val="007F0069"/>
    <w:rsid w:val="007F07DC"/>
    <w:rsid w:val="007F08A0"/>
    <w:rsid w:val="007F10DD"/>
    <w:rsid w:val="007F122E"/>
    <w:rsid w:val="007F128C"/>
    <w:rsid w:val="007F1D31"/>
    <w:rsid w:val="007F1D4F"/>
    <w:rsid w:val="007F2063"/>
    <w:rsid w:val="007F24F9"/>
    <w:rsid w:val="007F26B7"/>
    <w:rsid w:val="007F2C76"/>
    <w:rsid w:val="007F3292"/>
    <w:rsid w:val="007F3AB7"/>
    <w:rsid w:val="007F4CB9"/>
    <w:rsid w:val="007F4E40"/>
    <w:rsid w:val="007F5193"/>
    <w:rsid w:val="007F521D"/>
    <w:rsid w:val="007F55D7"/>
    <w:rsid w:val="007F63A8"/>
    <w:rsid w:val="007F690C"/>
    <w:rsid w:val="007F6AF8"/>
    <w:rsid w:val="007F70ED"/>
    <w:rsid w:val="007F7119"/>
    <w:rsid w:val="007F7474"/>
    <w:rsid w:val="00800654"/>
    <w:rsid w:val="008015C5"/>
    <w:rsid w:val="0080229A"/>
    <w:rsid w:val="00803696"/>
    <w:rsid w:val="008037ED"/>
    <w:rsid w:val="008048FE"/>
    <w:rsid w:val="00804A2F"/>
    <w:rsid w:val="00805624"/>
    <w:rsid w:val="0080596B"/>
    <w:rsid w:val="008076F3"/>
    <w:rsid w:val="00810695"/>
    <w:rsid w:val="0081086F"/>
    <w:rsid w:val="00810C15"/>
    <w:rsid w:val="008110C6"/>
    <w:rsid w:val="0081114C"/>
    <w:rsid w:val="00813102"/>
    <w:rsid w:val="00813194"/>
    <w:rsid w:val="008134EA"/>
    <w:rsid w:val="00814AAE"/>
    <w:rsid w:val="00814D1A"/>
    <w:rsid w:val="00816AB1"/>
    <w:rsid w:val="00817442"/>
    <w:rsid w:val="00817FD4"/>
    <w:rsid w:val="008206A7"/>
    <w:rsid w:val="00821194"/>
    <w:rsid w:val="00821833"/>
    <w:rsid w:val="00821B1F"/>
    <w:rsid w:val="00822405"/>
    <w:rsid w:val="00822795"/>
    <w:rsid w:val="0082284F"/>
    <w:rsid w:val="00822F10"/>
    <w:rsid w:val="00822F63"/>
    <w:rsid w:val="00823562"/>
    <w:rsid w:val="00824217"/>
    <w:rsid w:val="0082430E"/>
    <w:rsid w:val="008250CD"/>
    <w:rsid w:val="0082567D"/>
    <w:rsid w:val="00825D64"/>
    <w:rsid w:val="00825DE7"/>
    <w:rsid w:val="00826E52"/>
    <w:rsid w:val="00826FFA"/>
    <w:rsid w:val="00827377"/>
    <w:rsid w:val="00827685"/>
    <w:rsid w:val="00830972"/>
    <w:rsid w:val="00830EFA"/>
    <w:rsid w:val="00830FD2"/>
    <w:rsid w:val="008310BF"/>
    <w:rsid w:val="008310C9"/>
    <w:rsid w:val="00831294"/>
    <w:rsid w:val="008313FB"/>
    <w:rsid w:val="0083182A"/>
    <w:rsid w:val="008319C8"/>
    <w:rsid w:val="00831E78"/>
    <w:rsid w:val="008339FD"/>
    <w:rsid w:val="00833CDD"/>
    <w:rsid w:val="00834A8F"/>
    <w:rsid w:val="0083683B"/>
    <w:rsid w:val="00836EE9"/>
    <w:rsid w:val="0083756F"/>
    <w:rsid w:val="00840574"/>
    <w:rsid w:val="0084167B"/>
    <w:rsid w:val="00841F4F"/>
    <w:rsid w:val="00842631"/>
    <w:rsid w:val="0084275B"/>
    <w:rsid w:val="008427FB"/>
    <w:rsid w:val="008429E7"/>
    <w:rsid w:val="008432D8"/>
    <w:rsid w:val="00843C58"/>
    <w:rsid w:val="00844147"/>
    <w:rsid w:val="00844622"/>
    <w:rsid w:val="008449FD"/>
    <w:rsid w:val="00844AEA"/>
    <w:rsid w:val="00845432"/>
    <w:rsid w:val="00845798"/>
    <w:rsid w:val="00845B15"/>
    <w:rsid w:val="00846993"/>
    <w:rsid w:val="00847296"/>
    <w:rsid w:val="0084734E"/>
    <w:rsid w:val="00847874"/>
    <w:rsid w:val="00847A4A"/>
    <w:rsid w:val="0085016A"/>
    <w:rsid w:val="00851542"/>
    <w:rsid w:val="00851E8B"/>
    <w:rsid w:val="008523EA"/>
    <w:rsid w:val="008526A6"/>
    <w:rsid w:val="00852886"/>
    <w:rsid w:val="00852C17"/>
    <w:rsid w:val="00852D11"/>
    <w:rsid w:val="008534A9"/>
    <w:rsid w:val="008539D4"/>
    <w:rsid w:val="0085430C"/>
    <w:rsid w:val="008544F9"/>
    <w:rsid w:val="008553BA"/>
    <w:rsid w:val="00855DFF"/>
    <w:rsid w:val="008579F7"/>
    <w:rsid w:val="00857A35"/>
    <w:rsid w:val="00857C05"/>
    <w:rsid w:val="00857DC6"/>
    <w:rsid w:val="008600B9"/>
    <w:rsid w:val="00860236"/>
    <w:rsid w:val="0086049D"/>
    <w:rsid w:val="00860B9A"/>
    <w:rsid w:val="00860C9F"/>
    <w:rsid w:val="0086152C"/>
    <w:rsid w:val="008618FF"/>
    <w:rsid w:val="00861E10"/>
    <w:rsid w:val="008620E8"/>
    <w:rsid w:val="00862136"/>
    <w:rsid w:val="008622C8"/>
    <w:rsid w:val="00862E66"/>
    <w:rsid w:val="00863BA0"/>
    <w:rsid w:val="008640F2"/>
    <w:rsid w:val="00864F12"/>
    <w:rsid w:val="008654B8"/>
    <w:rsid w:val="00865B3B"/>
    <w:rsid w:val="00866A53"/>
    <w:rsid w:val="00866AC6"/>
    <w:rsid w:val="00866B00"/>
    <w:rsid w:val="00866CF2"/>
    <w:rsid w:val="00866DFF"/>
    <w:rsid w:val="00866FFF"/>
    <w:rsid w:val="0086747A"/>
    <w:rsid w:val="00867524"/>
    <w:rsid w:val="008676A4"/>
    <w:rsid w:val="00867E4F"/>
    <w:rsid w:val="0087005B"/>
    <w:rsid w:val="00870AC9"/>
    <w:rsid w:val="00870AE8"/>
    <w:rsid w:val="00871F5E"/>
    <w:rsid w:val="00872743"/>
    <w:rsid w:val="00872C78"/>
    <w:rsid w:val="008737DF"/>
    <w:rsid w:val="00873E64"/>
    <w:rsid w:val="00874708"/>
    <w:rsid w:val="0087491A"/>
    <w:rsid w:val="008749A4"/>
    <w:rsid w:val="008752BD"/>
    <w:rsid w:val="00876177"/>
    <w:rsid w:val="008761C4"/>
    <w:rsid w:val="00876A6B"/>
    <w:rsid w:val="00876A77"/>
    <w:rsid w:val="008773FD"/>
    <w:rsid w:val="00877F0C"/>
    <w:rsid w:val="00880CC5"/>
    <w:rsid w:val="00880EDD"/>
    <w:rsid w:val="00880EEE"/>
    <w:rsid w:val="00882915"/>
    <w:rsid w:val="00883357"/>
    <w:rsid w:val="0088360B"/>
    <w:rsid w:val="008837CE"/>
    <w:rsid w:val="008839D4"/>
    <w:rsid w:val="00883F69"/>
    <w:rsid w:val="0088437D"/>
    <w:rsid w:val="00884878"/>
    <w:rsid w:val="00884A7F"/>
    <w:rsid w:val="00884C82"/>
    <w:rsid w:val="00884F1C"/>
    <w:rsid w:val="00885636"/>
    <w:rsid w:val="0088587F"/>
    <w:rsid w:val="00885D05"/>
    <w:rsid w:val="00885DCA"/>
    <w:rsid w:val="00886A20"/>
    <w:rsid w:val="008873C9"/>
    <w:rsid w:val="00887561"/>
    <w:rsid w:val="00887B5D"/>
    <w:rsid w:val="00890B23"/>
    <w:rsid w:val="00890DD7"/>
    <w:rsid w:val="0089101E"/>
    <w:rsid w:val="008910C9"/>
    <w:rsid w:val="00891786"/>
    <w:rsid w:val="0089222B"/>
    <w:rsid w:val="008925D8"/>
    <w:rsid w:val="0089261E"/>
    <w:rsid w:val="008929DD"/>
    <w:rsid w:val="00893030"/>
    <w:rsid w:val="00893283"/>
    <w:rsid w:val="0089332B"/>
    <w:rsid w:val="00893C19"/>
    <w:rsid w:val="00893C40"/>
    <w:rsid w:val="008945A4"/>
    <w:rsid w:val="00894682"/>
    <w:rsid w:val="00894812"/>
    <w:rsid w:val="00895B5C"/>
    <w:rsid w:val="00895C7E"/>
    <w:rsid w:val="00896475"/>
    <w:rsid w:val="0089649B"/>
    <w:rsid w:val="00896773"/>
    <w:rsid w:val="00896C91"/>
    <w:rsid w:val="00896F99"/>
    <w:rsid w:val="00897029"/>
    <w:rsid w:val="008971DA"/>
    <w:rsid w:val="00897415"/>
    <w:rsid w:val="0089781A"/>
    <w:rsid w:val="0089798F"/>
    <w:rsid w:val="00897C5A"/>
    <w:rsid w:val="00897ECD"/>
    <w:rsid w:val="008A0429"/>
    <w:rsid w:val="008A0727"/>
    <w:rsid w:val="008A078D"/>
    <w:rsid w:val="008A08C0"/>
    <w:rsid w:val="008A0B38"/>
    <w:rsid w:val="008A10F1"/>
    <w:rsid w:val="008A17BD"/>
    <w:rsid w:val="008A42D5"/>
    <w:rsid w:val="008A46E5"/>
    <w:rsid w:val="008A4A8B"/>
    <w:rsid w:val="008A509E"/>
    <w:rsid w:val="008A52B4"/>
    <w:rsid w:val="008A5490"/>
    <w:rsid w:val="008A56F8"/>
    <w:rsid w:val="008A5AB6"/>
    <w:rsid w:val="008A5D75"/>
    <w:rsid w:val="008A6093"/>
    <w:rsid w:val="008A63C5"/>
    <w:rsid w:val="008A7370"/>
    <w:rsid w:val="008A76F8"/>
    <w:rsid w:val="008A7ED5"/>
    <w:rsid w:val="008B0079"/>
    <w:rsid w:val="008B0179"/>
    <w:rsid w:val="008B05D0"/>
    <w:rsid w:val="008B0B6C"/>
    <w:rsid w:val="008B0CD7"/>
    <w:rsid w:val="008B160D"/>
    <w:rsid w:val="008B16E9"/>
    <w:rsid w:val="008B1BF8"/>
    <w:rsid w:val="008B2AFE"/>
    <w:rsid w:val="008B2C8C"/>
    <w:rsid w:val="008B3161"/>
    <w:rsid w:val="008B32AF"/>
    <w:rsid w:val="008B3B67"/>
    <w:rsid w:val="008B416F"/>
    <w:rsid w:val="008B419E"/>
    <w:rsid w:val="008B4345"/>
    <w:rsid w:val="008B4796"/>
    <w:rsid w:val="008B4F91"/>
    <w:rsid w:val="008B50A9"/>
    <w:rsid w:val="008B583E"/>
    <w:rsid w:val="008B6024"/>
    <w:rsid w:val="008B651E"/>
    <w:rsid w:val="008B66D3"/>
    <w:rsid w:val="008B6AF1"/>
    <w:rsid w:val="008B7593"/>
    <w:rsid w:val="008C007A"/>
    <w:rsid w:val="008C06D7"/>
    <w:rsid w:val="008C087A"/>
    <w:rsid w:val="008C1879"/>
    <w:rsid w:val="008C1F08"/>
    <w:rsid w:val="008C2043"/>
    <w:rsid w:val="008C22BB"/>
    <w:rsid w:val="008C2313"/>
    <w:rsid w:val="008C23B7"/>
    <w:rsid w:val="008C2747"/>
    <w:rsid w:val="008C33DE"/>
    <w:rsid w:val="008C3C18"/>
    <w:rsid w:val="008C3EBE"/>
    <w:rsid w:val="008C441F"/>
    <w:rsid w:val="008C45D8"/>
    <w:rsid w:val="008C4780"/>
    <w:rsid w:val="008C4A33"/>
    <w:rsid w:val="008C5BCC"/>
    <w:rsid w:val="008C5D84"/>
    <w:rsid w:val="008C5FCA"/>
    <w:rsid w:val="008C7493"/>
    <w:rsid w:val="008C75A7"/>
    <w:rsid w:val="008C76DA"/>
    <w:rsid w:val="008C7D04"/>
    <w:rsid w:val="008C7E1A"/>
    <w:rsid w:val="008C7F00"/>
    <w:rsid w:val="008D09C6"/>
    <w:rsid w:val="008D12D1"/>
    <w:rsid w:val="008D15CF"/>
    <w:rsid w:val="008D1BF8"/>
    <w:rsid w:val="008D26F1"/>
    <w:rsid w:val="008D2ADC"/>
    <w:rsid w:val="008D2DD4"/>
    <w:rsid w:val="008D2EF8"/>
    <w:rsid w:val="008D2F1B"/>
    <w:rsid w:val="008D3357"/>
    <w:rsid w:val="008D33DC"/>
    <w:rsid w:val="008D4176"/>
    <w:rsid w:val="008D41D9"/>
    <w:rsid w:val="008D465B"/>
    <w:rsid w:val="008D53E8"/>
    <w:rsid w:val="008D5762"/>
    <w:rsid w:val="008D5DA8"/>
    <w:rsid w:val="008D6026"/>
    <w:rsid w:val="008D66BE"/>
    <w:rsid w:val="008D6E59"/>
    <w:rsid w:val="008D7261"/>
    <w:rsid w:val="008D778E"/>
    <w:rsid w:val="008D7A93"/>
    <w:rsid w:val="008E0B97"/>
    <w:rsid w:val="008E1507"/>
    <w:rsid w:val="008E1573"/>
    <w:rsid w:val="008E2336"/>
    <w:rsid w:val="008E2690"/>
    <w:rsid w:val="008E30BC"/>
    <w:rsid w:val="008E35DC"/>
    <w:rsid w:val="008E365B"/>
    <w:rsid w:val="008E405E"/>
    <w:rsid w:val="008E4962"/>
    <w:rsid w:val="008E5338"/>
    <w:rsid w:val="008E55E9"/>
    <w:rsid w:val="008E5749"/>
    <w:rsid w:val="008E65ED"/>
    <w:rsid w:val="008E6969"/>
    <w:rsid w:val="008E7597"/>
    <w:rsid w:val="008E7809"/>
    <w:rsid w:val="008E7AA6"/>
    <w:rsid w:val="008F003C"/>
    <w:rsid w:val="008F04DF"/>
    <w:rsid w:val="008F07D4"/>
    <w:rsid w:val="008F0B49"/>
    <w:rsid w:val="008F0D19"/>
    <w:rsid w:val="008F0FBD"/>
    <w:rsid w:val="008F15E0"/>
    <w:rsid w:val="008F1684"/>
    <w:rsid w:val="008F1A0F"/>
    <w:rsid w:val="008F1E8D"/>
    <w:rsid w:val="008F1E91"/>
    <w:rsid w:val="008F24A8"/>
    <w:rsid w:val="008F2ABA"/>
    <w:rsid w:val="008F34B3"/>
    <w:rsid w:val="008F363F"/>
    <w:rsid w:val="008F406B"/>
    <w:rsid w:val="008F4188"/>
    <w:rsid w:val="008F434D"/>
    <w:rsid w:val="008F4B6F"/>
    <w:rsid w:val="008F5373"/>
    <w:rsid w:val="008F5A70"/>
    <w:rsid w:val="008F623A"/>
    <w:rsid w:val="008F6546"/>
    <w:rsid w:val="008F6724"/>
    <w:rsid w:val="008F7263"/>
    <w:rsid w:val="008F75A6"/>
    <w:rsid w:val="008F7746"/>
    <w:rsid w:val="008F79D2"/>
    <w:rsid w:val="008F7E01"/>
    <w:rsid w:val="008F7F45"/>
    <w:rsid w:val="00900451"/>
    <w:rsid w:val="00902B00"/>
    <w:rsid w:val="00902C47"/>
    <w:rsid w:val="00903229"/>
    <w:rsid w:val="00903AF3"/>
    <w:rsid w:val="00903BFE"/>
    <w:rsid w:val="009048BC"/>
    <w:rsid w:val="00904A2A"/>
    <w:rsid w:val="00904F4F"/>
    <w:rsid w:val="0090536A"/>
    <w:rsid w:val="0090561B"/>
    <w:rsid w:val="009065C7"/>
    <w:rsid w:val="00906756"/>
    <w:rsid w:val="00906BE8"/>
    <w:rsid w:val="0090718A"/>
    <w:rsid w:val="009074D7"/>
    <w:rsid w:val="00907723"/>
    <w:rsid w:val="00907DAD"/>
    <w:rsid w:val="00907E53"/>
    <w:rsid w:val="009105E6"/>
    <w:rsid w:val="009106D5"/>
    <w:rsid w:val="00910E16"/>
    <w:rsid w:val="00910E22"/>
    <w:rsid w:val="00910FF2"/>
    <w:rsid w:val="00911325"/>
    <w:rsid w:val="00911FEE"/>
    <w:rsid w:val="009123FD"/>
    <w:rsid w:val="00912BBF"/>
    <w:rsid w:val="00913172"/>
    <w:rsid w:val="009134D0"/>
    <w:rsid w:val="00913C43"/>
    <w:rsid w:val="00914116"/>
    <w:rsid w:val="00914B5C"/>
    <w:rsid w:val="009153E8"/>
    <w:rsid w:val="009156A2"/>
    <w:rsid w:val="0091582D"/>
    <w:rsid w:val="0091585A"/>
    <w:rsid w:val="009169C9"/>
    <w:rsid w:val="00916B68"/>
    <w:rsid w:val="00916B9E"/>
    <w:rsid w:val="00917221"/>
    <w:rsid w:val="0091722E"/>
    <w:rsid w:val="009177AB"/>
    <w:rsid w:val="00917DC4"/>
    <w:rsid w:val="00917F70"/>
    <w:rsid w:val="00917F80"/>
    <w:rsid w:val="00917F90"/>
    <w:rsid w:val="00920C5F"/>
    <w:rsid w:val="00920E70"/>
    <w:rsid w:val="00921468"/>
    <w:rsid w:val="00921C8C"/>
    <w:rsid w:val="009224F1"/>
    <w:rsid w:val="009228EC"/>
    <w:rsid w:val="00922D6F"/>
    <w:rsid w:val="00922F65"/>
    <w:rsid w:val="00923B74"/>
    <w:rsid w:val="009241D7"/>
    <w:rsid w:val="009246F3"/>
    <w:rsid w:val="0092481B"/>
    <w:rsid w:val="009255B6"/>
    <w:rsid w:val="00925631"/>
    <w:rsid w:val="00925B8E"/>
    <w:rsid w:val="009266E9"/>
    <w:rsid w:val="009277F5"/>
    <w:rsid w:val="009278EC"/>
    <w:rsid w:val="0093095C"/>
    <w:rsid w:val="00931705"/>
    <w:rsid w:val="009320C9"/>
    <w:rsid w:val="009327DA"/>
    <w:rsid w:val="00932B1C"/>
    <w:rsid w:val="00932CBB"/>
    <w:rsid w:val="0093301D"/>
    <w:rsid w:val="00933A51"/>
    <w:rsid w:val="00933A65"/>
    <w:rsid w:val="00933DC8"/>
    <w:rsid w:val="00934D36"/>
    <w:rsid w:val="009352ED"/>
    <w:rsid w:val="0093595E"/>
    <w:rsid w:val="00935D31"/>
    <w:rsid w:val="00935E80"/>
    <w:rsid w:val="00935F78"/>
    <w:rsid w:val="009361E7"/>
    <w:rsid w:val="00937045"/>
    <w:rsid w:val="00937413"/>
    <w:rsid w:val="00937506"/>
    <w:rsid w:val="009376B0"/>
    <w:rsid w:val="0093780D"/>
    <w:rsid w:val="00937A0F"/>
    <w:rsid w:val="00937A98"/>
    <w:rsid w:val="00937C5A"/>
    <w:rsid w:val="00937C5C"/>
    <w:rsid w:val="009403FF"/>
    <w:rsid w:val="00940CF5"/>
    <w:rsid w:val="009412D2"/>
    <w:rsid w:val="00941A19"/>
    <w:rsid w:val="00941A9E"/>
    <w:rsid w:val="00941F6C"/>
    <w:rsid w:val="00942F01"/>
    <w:rsid w:val="009435E4"/>
    <w:rsid w:val="0094433A"/>
    <w:rsid w:val="009448DB"/>
    <w:rsid w:val="00944ABB"/>
    <w:rsid w:val="00944F96"/>
    <w:rsid w:val="00945393"/>
    <w:rsid w:val="009457E8"/>
    <w:rsid w:val="0094628C"/>
    <w:rsid w:val="0094666E"/>
    <w:rsid w:val="00947236"/>
    <w:rsid w:val="0094777E"/>
    <w:rsid w:val="00947B94"/>
    <w:rsid w:val="00947BF8"/>
    <w:rsid w:val="00947C8E"/>
    <w:rsid w:val="00947CD9"/>
    <w:rsid w:val="00950315"/>
    <w:rsid w:val="009507EF"/>
    <w:rsid w:val="00951A68"/>
    <w:rsid w:val="00952CC9"/>
    <w:rsid w:val="0095353B"/>
    <w:rsid w:val="00953F24"/>
    <w:rsid w:val="0095402F"/>
    <w:rsid w:val="0095479B"/>
    <w:rsid w:val="009555B4"/>
    <w:rsid w:val="00956D92"/>
    <w:rsid w:val="0095742D"/>
    <w:rsid w:val="00960D3F"/>
    <w:rsid w:val="00960ED8"/>
    <w:rsid w:val="0096114B"/>
    <w:rsid w:val="00961494"/>
    <w:rsid w:val="00962223"/>
    <w:rsid w:val="009625F2"/>
    <w:rsid w:val="00962F0F"/>
    <w:rsid w:val="00963502"/>
    <w:rsid w:val="00963FD2"/>
    <w:rsid w:val="009644CF"/>
    <w:rsid w:val="00964B57"/>
    <w:rsid w:val="00964BFC"/>
    <w:rsid w:val="00965B8A"/>
    <w:rsid w:val="00965BA6"/>
    <w:rsid w:val="00966DA0"/>
    <w:rsid w:val="00966EC5"/>
    <w:rsid w:val="009670DF"/>
    <w:rsid w:val="00967168"/>
    <w:rsid w:val="00967FCC"/>
    <w:rsid w:val="0097033A"/>
    <w:rsid w:val="009708F3"/>
    <w:rsid w:val="00970ADC"/>
    <w:rsid w:val="009710C7"/>
    <w:rsid w:val="00971BC8"/>
    <w:rsid w:val="00972F3C"/>
    <w:rsid w:val="0097331A"/>
    <w:rsid w:val="0097358C"/>
    <w:rsid w:val="00973C7A"/>
    <w:rsid w:val="00974279"/>
    <w:rsid w:val="00974F9B"/>
    <w:rsid w:val="00975286"/>
    <w:rsid w:val="0097541A"/>
    <w:rsid w:val="00975503"/>
    <w:rsid w:val="00975632"/>
    <w:rsid w:val="00975C63"/>
    <w:rsid w:val="00975CA9"/>
    <w:rsid w:val="00976ABE"/>
    <w:rsid w:val="009778BB"/>
    <w:rsid w:val="00980B03"/>
    <w:rsid w:val="00980B5F"/>
    <w:rsid w:val="00980D41"/>
    <w:rsid w:val="00980EB2"/>
    <w:rsid w:val="00981134"/>
    <w:rsid w:val="009821FA"/>
    <w:rsid w:val="00982309"/>
    <w:rsid w:val="00982B4B"/>
    <w:rsid w:val="00983419"/>
    <w:rsid w:val="00983A9D"/>
    <w:rsid w:val="00983E91"/>
    <w:rsid w:val="00983F7B"/>
    <w:rsid w:val="0098418B"/>
    <w:rsid w:val="00984BD8"/>
    <w:rsid w:val="00984CFA"/>
    <w:rsid w:val="00984E21"/>
    <w:rsid w:val="009850A1"/>
    <w:rsid w:val="009864E3"/>
    <w:rsid w:val="009866BE"/>
    <w:rsid w:val="009866FE"/>
    <w:rsid w:val="00986706"/>
    <w:rsid w:val="00986EC7"/>
    <w:rsid w:val="009873A8"/>
    <w:rsid w:val="0098787F"/>
    <w:rsid w:val="0099012F"/>
    <w:rsid w:val="0099057A"/>
    <w:rsid w:val="0099078E"/>
    <w:rsid w:val="00990BBA"/>
    <w:rsid w:val="00990D7B"/>
    <w:rsid w:val="00990FE7"/>
    <w:rsid w:val="0099107F"/>
    <w:rsid w:val="00991287"/>
    <w:rsid w:val="0099182A"/>
    <w:rsid w:val="00991D4D"/>
    <w:rsid w:val="00992169"/>
    <w:rsid w:val="00992D40"/>
    <w:rsid w:val="0099387B"/>
    <w:rsid w:val="0099391C"/>
    <w:rsid w:val="00995E56"/>
    <w:rsid w:val="00996171"/>
    <w:rsid w:val="00996DDF"/>
    <w:rsid w:val="0099768D"/>
    <w:rsid w:val="00997899"/>
    <w:rsid w:val="009A0A1A"/>
    <w:rsid w:val="009A0BA5"/>
    <w:rsid w:val="009A0BC5"/>
    <w:rsid w:val="009A0EF8"/>
    <w:rsid w:val="009A19F7"/>
    <w:rsid w:val="009A1F2D"/>
    <w:rsid w:val="009A360F"/>
    <w:rsid w:val="009A4377"/>
    <w:rsid w:val="009A4C7F"/>
    <w:rsid w:val="009A58F4"/>
    <w:rsid w:val="009A6984"/>
    <w:rsid w:val="009A6B8C"/>
    <w:rsid w:val="009A6C53"/>
    <w:rsid w:val="009A7320"/>
    <w:rsid w:val="009A756A"/>
    <w:rsid w:val="009A7F2E"/>
    <w:rsid w:val="009B000A"/>
    <w:rsid w:val="009B099C"/>
    <w:rsid w:val="009B0B97"/>
    <w:rsid w:val="009B0E51"/>
    <w:rsid w:val="009B15CD"/>
    <w:rsid w:val="009B1C07"/>
    <w:rsid w:val="009B23FA"/>
    <w:rsid w:val="009B2903"/>
    <w:rsid w:val="009B295A"/>
    <w:rsid w:val="009B29EA"/>
    <w:rsid w:val="009B2BDA"/>
    <w:rsid w:val="009B2D4D"/>
    <w:rsid w:val="009B2D50"/>
    <w:rsid w:val="009B41F3"/>
    <w:rsid w:val="009B4AB9"/>
    <w:rsid w:val="009B4C1C"/>
    <w:rsid w:val="009B5388"/>
    <w:rsid w:val="009B55AF"/>
    <w:rsid w:val="009B591D"/>
    <w:rsid w:val="009B5F0E"/>
    <w:rsid w:val="009B6BED"/>
    <w:rsid w:val="009B6EA1"/>
    <w:rsid w:val="009B6F01"/>
    <w:rsid w:val="009B766F"/>
    <w:rsid w:val="009B7D24"/>
    <w:rsid w:val="009C0A4B"/>
    <w:rsid w:val="009C0F08"/>
    <w:rsid w:val="009C159E"/>
    <w:rsid w:val="009C1671"/>
    <w:rsid w:val="009C207F"/>
    <w:rsid w:val="009C24A9"/>
    <w:rsid w:val="009C2A0E"/>
    <w:rsid w:val="009C3652"/>
    <w:rsid w:val="009C39C5"/>
    <w:rsid w:val="009C4502"/>
    <w:rsid w:val="009C4D0A"/>
    <w:rsid w:val="009C6130"/>
    <w:rsid w:val="009C6965"/>
    <w:rsid w:val="009C7289"/>
    <w:rsid w:val="009C7433"/>
    <w:rsid w:val="009D0A7A"/>
    <w:rsid w:val="009D0B29"/>
    <w:rsid w:val="009D0F9B"/>
    <w:rsid w:val="009D1898"/>
    <w:rsid w:val="009D1924"/>
    <w:rsid w:val="009D1B13"/>
    <w:rsid w:val="009D2D04"/>
    <w:rsid w:val="009D2EC9"/>
    <w:rsid w:val="009D3092"/>
    <w:rsid w:val="009D32F3"/>
    <w:rsid w:val="009D3F01"/>
    <w:rsid w:val="009D4102"/>
    <w:rsid w:val="009D4622"/>
    <w:rsid w:val="009D487F"/>
    <w:rsid w:val="009D4E77"/>
    <w:rsid w:val="009D51F6"/>
    <w:rsid w:val="009D546C"/>
    <w:rsid w:val="009D5A76"/>
    <w:rsid w:val="009D64B8"/>
    <w:rsid w:val="009D689A"/>
    <w:rsid w:val="009D6E64"/>
    <w:rsid w:val="009D6FEE"/>
    <w:rsid w:val="009D74AC"/>
    <w:rsid w:val="009D763F"/>
    <w:rsid w:val="009D7818"/>
    <w:rsid w:val="009D7D20"/>
    <w:rsid w:val="009E016C"/>
    <w:rsid w:val="009E067E"/>
    <w:rsid w:val="009E0B74"/>
    <w:rsid w:val="009E0F72"/>
    <w:rsid w:val="009E118A"/>
    <w:rsid w:val="009E1A9D"/>
    <w:rsid w:val="009E2D66"/>
    <w:rsid w:val="009E357B"/>
    <w:rsid w:val="009E41B2"/>
    <w:rsid w:val="009E4A52"/>
    <w:rsid w:val="009E4B52"/>
    <w:rsid w:val="009E4BC6"/>
    <w:rsid w:val="009E4C3E"/>
    <w:rsid w:val="009E4CC9"/>
    <w:rsid w:val="009E5A9B"/>
    <w:rsid w:val="009E5F39"/>
    <w:rsid w:val="009E6207"/>
    <w:rsid w:val="009E6571"/>
    <w:rsid w:val="009E663F"/>
    <w:rsid w:val="009E67C6"/>
    <w:rsid w:val="009E68C8"/>
    <w:rsid w:val="009E6AB5"/>
    <w:rsid w:val="009E6B01"/>
    <w:rsid w:val="009E7763"/>
    <w:rsid w:val="009E7925"/>
    <w:rsid w:val="009E7F11"/>
    <w:rsid w:val="009F0320"/>
    <w:rsid w:val="009F0924"/>
    <w:rsid w:val="009F134F"/>
    <w:rsid w:val="009F139B"/>
    <w:rsid w:val="009F2091"/>
    <w:rsid w:val="009F22AD"/>
    <w:rsid w:val="009F2D7A"/>
    <w:rsid w:val="009F3726"/>
    <w:rsid w:val="009F37F4"/>
    <w:rsid w:val="009F381C"/>
    <w:rsid w:val="009F3CCF"/>
    <w:rsid w:val="009F402E"/>
    <w:rsid w:val="009F42BB"/>
    <w:rsid w:val="009F4385"/>
    <w:rsid w:val="009F4737"/>
    <w:rsid w:val="009F4806"/>
    <w:rsid w:val="009F5680"/>
    <w:rsid w:val="009F5CDD"/>
    <w:rsid w:val="009F61E1"/>
    <w:rsid w:val="009F628B"/>
    <w:rsid w:val="009F67B5"/>
    <w:rsid w:val="009F6A99"/>
    <w:rsid w:val="009F6C3E"/>
    <w:rsid w:val="009F6FA8"/>
    <w:rsid w:val="009F76DD"/>
    <w:rsid w:val="009F7E35"/>
    <w:rsid w:val="009F7EED"/>
    <w:rsid w:val="00A005D1"/>
    <w:rsid w:val="00A0071E"/>
    <w:rsid w:val="00A007E5"/>
    <w:rsid w:val="00A00DDC"/>
    <w:rsid w:val="00A00EFB"/>
    <w:rsid w:val="00A01161"/>
    <w:rsid w:val="00A0129B"/>
    <w:rsid w:val="00A02073"/>
    <w:rsid w:val="00A022CD"/>
    <w:rsid w:val="00A0265F"/>
    <w:rsid w:val="00A030D7"/>
    <w:rsid w:val="00A03335"/>
    <w:rsid w:val="00A0355B"/>
    <w:rsid w:val="00A03A8C"/>
    <w:rsid w:val="00A03B91"/>
    <w:rsid w:val="00A04042"/>
    <w:rsid w:val="00A041F9"/>
    <w:rsid w:val="00A04A09"/>
    <w:rsid w:val="00A04E1F"/>
    <w:rsid w:val="00A0522E"/>
    <w:rsid w:val="00A05A49"/>
    <w:rsid w:val="00A05ACC"/>
    <w:rsid w:val="00A062A1"/>
    <w:rsid w:val="00A07288"/>
    <w:rsid w:val="00A075AD"/>
    <w:rsid w:val="00A077CA"/>
    <w:rsid w:val="00A07C59"/>
    <w:rsid w:val="00A10F69"/>
    <w:rsid w:val="00A1169F"/>
    <w:rsid w:val="00A120B4"/>
    <w:rsid w:val="00A12565"/>
    <w:rsid w:val="00A12F81"/>
    <w:rsid w:val="00A13449"/>
    <w:rsid w:val="00A13624"/>
    <w:rsid w:val="00A139B1"/>
    <w:rsid w:val="00A13BD7"/>
    <w:rsid w:val="00A13E17"/>
    <w:rsid w:val="00A1416A"/>
    <w:rsid w:val="00A14C43"/>
    <w:rsid w:val="00A14FA6"/>
    <w:rsid w:val="00A171EA"/>
    <w:rsid w:val="00A174DD"/>
    <w:rsid w:val="00A177D2"/>
    <w:rsid w:val="00A20032"/>
    <w:rsid w:val="00A2133C"/>
    <w:rsid w:val="00A214F2"/>
    <w:rsid w:val="00A21CC3"/>
    <w:rsid w:val="00A22801"/>
    <w:rsid w:val="00A22CA6"/>
    <w:rsid w:val="00A22CFA"/>
    <w:rsid w:val="00A22DDF"/>
    <w:rsid w:val="00A22E22"/>
    <w:rsid w:val="00A23546"/>
    <w:rsid w:val="00A24092"/>
    <w:rsid w:val="00A24134"/>
    <w:rsid w:val="00A24290"/>
    <w:rsid w:val="00A246D7"/>
    <w:rsid w:val="00A247F0"/>
    <w:rsid w:val="00A251B3"/>
    <w:rsid w:val="00A253C6"/>
    <w:rsid w:val="00A25604"/>
    <w:rsid w:val="00A25A4A"/>
    <w:rsid w:val="00A25EBF"/>
    <w:rsid w:val="00A260C9"/>
    <w:rsid w:val="00A260E5"/>
    <w:rsid w:val="00A26244"/>
    <w:rsid w:val="00A26A00"/>
    <w:rsid w:val="00A26F25"/>
    <w:rsid w:val="00A274C2"/>
    <w:rsid w:val="00A27C69"/>
    <w:rsid w:val="00A304A5"/>
    <w:rsid w:val="00A3179B"/>
    <w:rsid w:val="00A31C2F"/>
    <w:rsid w:val="00A32910"/>
    <w:rsid w:val="00A329C8"/>
    <w:rsid w:val="00A32E14"/>
    <w:rsid w:val="00A330DD"/>
    <w:rsid w:val="00A3387B"/>
    <w:rsid w:val="00A34361"/>
    <w:rsid w:val="00A345F2"/>
    <w:rsid w:val="00A34781"/>
    <w:rsid w:val="00A34B3E"/>
    <w:rsid w:val="00A359DF"/>
    <w:rsid w:val="00A35A91"/>
    <w:rsid w:val="00A35F27"/>
    <w:rsid w:val="00A3612F"/>
    <w:rsid w:val="00A3766B"/>
    <w:rsid w:val="00A37676"/>
    <w:rsid w:val="00A37C43"/>
    <w:rsid w:val="00A37C92"/>
    <w:rsid w:val="00A37F2F"/>
    <w:rsid w:val="00A40259"/>
    <w:rsid w:val="00A4158A"/>
    <w:rsid w:val="00A41C4D"/>
    <w:rsid w:val="00A4218B"/>
    <w:rsid w:val="00A429BB"/>
    <w:rsid w:val="00A43E9A"/>
    <w:rsid w:val="00A43F7D"/>
    <w:rsid w:val="00A4453C"/>
    <w:rsid w:val="00A454B5"/>
    <w:rsid w:val="00A455F8"/>
    <w:rsid w:val="00A459A8"/>
    <w:rsid w:val="00A45E9D"/>
    <w:rsid w:val="00A466D5"/>
    <w:rsid w:val="00A46C25"/>
    <w:rsid w:val="00A4708C"/>
    <w:rsid w:val="00A47B3E"/>
    <w:rsid w:val="00A47C32"/>
    <w:rsid w:val="00A47D38"/>
    <w:rsid w:val="00A5055D"/>
    <w:rsid w:val="00A5146E"/>
    <w:rsid w:val="00A516D0"/>
    <w:rsid w:val="00A52016"/>
    <w:rsid w:val="00A52341"/>
    <w:rsid w:val="00A530E3"/>
    <w:rsid w:val="00A53143"/>
    <w:rsid w:val="00A5322D"/>
    <w:rsid w:val="00A537EC"/>
    <w:rsid w:val="00A53BC5"/>
    <w:rsid w:val="00A55273"/>
    <w:rsid w:val="00A55309"/>
    <w:rsid w:val="00A5532F"/>
    <w:rsid w:val="00A566FB"/>
    <w:rsid w:val="00A56B87"/>
    <w:rsid w:val="00A56E49"/>
    <w:rsid w:val="00A570C3"/>
    <w:rsid w:val="00A5738B"/>
    <w:rsid w:val="00A576A0"/>
    <w:rsid w:val="00A5777E"/>
    <w:rsid w:val="00A600E0"/>
    <w:rsid w:val="00A604D6"/>
    <w:rsid w:val="00A605B5"/>
    <w:rsid w:val="00A6109E"/>
    <w:rsid w:val="00A61947"/>
    <w:rsid w:val="00A619F7"/>
    <w:rsid w:val="00A61E19"/>
    <w:rsid w:val="00A61E7C"/>
    <w:rsid w:val="00A62B4F"/>
    <w:rsid w:val="00A63BFD"/>
    <w:rsid w:val="00A63E03"/>
    <w:rsid w:val="00A6419F"/>
    <w:rsid w:val="00A64580"/>
    <w:rsid w:val="00A647A0"/>
    <w:rsid w:val="00A64E76"/>
    <w:rsid w:val="00A64F3B"/>
    <w:rsid w:val="00A651F6"/>
    <w:rsid w:val="00A65936"/>
    <w:rsid w:val="00A65C56"/>
    <w:rsid w:val="00A65D1B"/>
    <w:rsid w:val="00A66367"/>
    <w:rsid w:val="00A6676C"/>
    <w:rsid w:val="00A66F82"/>
    <w:rsid w:val="00A67405"/>
    <w:rsid w:val="00A70004"/>
    <w:rsid w:val="00A7009D"/>
    <w:rsid w:val="00A70771"/>
    <w:rsid w:val="00A70912"/>
    <w:rsid w:val="00A711AC"/>
    <w:rsid w:val="00A71AD0"/>
    <w:rsid w:val="00A71B17"/>
    <w:rsid w:val="00A722B8"/>
    <w:rsid w:val="00A72329"/>
    <w:rsid w:val="00A72E31"/>
    <w:rsid w:val="00A72F26"/>
    <w:rsid w:val="00A7357F"/>
    <w:rsid w:val="00A7451A"/>
    <w:rsid w:val="00A7471F"/>
    <w:rsid w:val="00A75111"/>
    <w:rsid w:val="00A7537F"/>
    <w:rsid w:val="00A75B4C"/>
    <w:rsid w:val="00A75B55"/>
    <w:rsid w:val="00A767CA"/>
    <w:rsid w:val="00A7697A"/>
    <w:rsid w:val="00A76FB6"/>
    <w:rsid w:val="00A77A07"/>
    <w:rsid w:val="00A77B75"/>
    <w:rsid w:val="00A802C8"/>
    <w:rsid w:val="00A803B2"/>
    <w:rsid w:val="00A80778"/>
    <w:rsid w:val="00A80D84"/>
    <w:rsid w:val="00A82A55"/>
    <w:rsid w:val="00A8337D"/>
    <w:rsid w:val="00A83595"/>
    <w:rsid w:val="00A84210"/>
    <w:rsid w:val="00A846D0"/>
    <w:rsid w:val="00A84A4D"/>
    <w:rsid w:val="00A84CD7"/>
    <w:rsid w:val="00A8530F"/>
    <w:rsid w:val="00A857B4"/>
    <w:rsid w:val="00A85DD4"/>
    <w:rsid w:val="00A85E45"/>
    <w:rsid w:val="00A85EF6"/>
    <w:rsid w:val="00A863EE"/>
    <w:rsid w:val="00A86DD4"/>
    <w:rsid w:val="00A86FB6"/>
    <w:rsid w:val="00A90643"/>
    <w:rsid w:val="00A90B7C"/>
    <w:rsid w:val="00A912A9"/>
    <w:rsid w:val="00A9177B"/>
    <w:rsid w:val="00A91F8E"/>
    <w:rsid w:val="00A92159"/>
    <w:rsid w:val="00A92A46"/>
    <w:rsid w:val="00A92FA7"/>
    <w:rsid w:val="00A935D6"/>
    <w:rsid w:val="00A9401A"/>
    <w:rsid w:val="00A94065"/>
    <w:rsid w:val="00A94200"/>
    <w:rsid w:val="00A9426B"/>
    <w:rsid w:val="00A9448B"/>
    <w:rsid w:val="00A94908"/>
    <w:rsid w:val="00A94A82"/>
    <w:rsid w:val="00A94FFB"/>
    <w:rsid w:val="00A951B7"/>
    <w:rsid w:val="00A95251"/>
    <w:rsid w:val="00A95798"/>
    <w:rsid w:val="00A95DD9"/>
    <w:rsid w:val="00A95E5D"/>
    <w:rsid w:val="00A96281"/>
    <w:rsid w:val="00A9635A"/>
    <w:rsid w:val="00A965D6"/>
    <w:rsid w:val="00A96871"/>
    <w:rsid w:val="00A96C09"/>
    <w:rsid w:val="00A96DC6"/>
    <w:rsid w:val="00A96FA5"/>
    <w:rsid w:val="00AA0502"/>
    <w:rsid w:val="00AA0891"/>
    <w:rsid w:val="00AA0FCE"/>
    <w:rsid w:val="00AA10D5"/>
    <w:rsid w:val="00AA11B8"/>
    <w:rsid w:val="00AA1694"/>
    <w:rsid w:val="00AA21B6"/>
    <w:rsid w:val="00AA28EE"/>
    <w:rsid w:val="00AA2A36"/>
    <w:rsid w:val="00AA3442"/>
    <w:rsid w:val="00AA4D87"/>
    <w:rsid w:val="00AA4E90"/>
    <w:rsid w:val="00AA5782"/>
    <w:rsid w:val="00AA5B84"/>
    <w:rsid w:val="00AA7167"/>
    <w:rsid w:val="00AA746B"/>
    <w:rsid w:val="00AA776A"/>
    <w:rsid w:val="00AA7928"/>
    <w:rsid w:val="00AB0476"/>
    <w:rsid w:val="00AB12AE"/>
    <w:rsid w:val="00AB3123"/>
    <w:rsid w:val="00AB3332"/>
    <w:rsid w:val="00AB3415"/>
    <w:rsid w:val="00AB4352"/>
    <w:rsid w:val="00AB4D24"/>
    <w:rsid w:val="00AB51F2"/>
    <w:rsid w:val="00AB5911"/>
    <w:rsid w:val="00AB5C18"/>
    <w:rsid w:val="00AB5D27"/>
    <w:rsid w:val="00AB5F0C"/>
    <w:rsid w:val="00AB6493"/>
    <w:rsid w:val="00AB67BD"/>
    <w:rsid w:val="00AB6DEC"/>
    <w:rsid w:val="00AB725D"/>
    <w:rsid w:val="00AC02B1"/>
    <w:rsid w:val="00AC0B32"/>
    <w:rsid w:val="00AC15DE"/>
    <w:rsid w:val="00AC2229"/>
    <w:rsid w:val="00AC2529"/>
    <w:rsid w:val="00AC2740"/>
    <w:rsid w:val="00AC2902"/>
    <w:rsid w:val="00AC29EF"/>
    <w:rsid w:val="00AC3149"/>
    <w:rsid w:val="00AC48A8"/>
    <w:rsid w:val="00AC4DC0"/>
    <w:rsid w:val="00AC532D"/>
    <w:rsid w:val="00AC5372"/>
    <w:rsid w:val="00AC55EB"/>
    <w:rsid w:val="00AC562A"/>
    <w:rsid w:val="00AC5961"/>
    <w:rsid w:val="00AC634C"/>
    <w:rsid w:val="00AC6671"/>
    <w:rsid w:val="00AC69DF"/>
    <w:rsid w:val="00AC6F7C"/>
    <w:rsid w:val="00AC70F8"/>
    <w:rsid w:val="00AC715C"/>
    <w:rsid w:val="00AC7977"/>
    <w:rsid w:val="00AC7E04"/>
    <w:rsid w:val="00AD02F8"/>
    <w:rsid w:val="00AD0432"/>
    <w:rsid w:val="00AD068B"/>
    <w:rsid w:val="00AD0DB2"/>
    <w:rsid w:val="00AD0F3F"/>
    <w:rsid w:val="00AD0F97"/>
    <w:rsid w:val="00AD151C"/>
    <w:rsid w:val="00AD1589"/>
    <w:rsid w:val="00AD1F70"/>
    <w:rsid w:val="00AD1FB5"/>
    <w:rsid w:val="00AD2B5E"/>
    <w:rsid w:val="00AD2E73"/>
    <w:rsid w:val="00AD33A8"/>
    <w:rsid w:val="00AD3550"/>
    <w:rsid w:val="00AD3766"/>
    <w:rsid w:val="00AD3909"/>
    <w:rsid w:val="00AD45BD"/>
    <w:rsid w:val="00AD5A12"/>
    <w:rsid w:val="00AD6B85"/>
    <w:rsid w:val="00AD6BCB"/>
    <w:rsid w:val="00AD6ECE"/>
    <w:rsid w:val="00AD7025"/>
    <w:rsid w:val="00AD75D0"/>
    <w:rsid w:val="00AD7F07"/>
    <w:rsid w:val="00AE00AB"/>
    <w:rsid w:val="00AE067B"/>
    <w:rsid w:val="00AE0D4D"/>
    <w:rsid w:val="00AE164C"/>
    <w:rsid w:val="00AE19F0"/>
    <w:rsid w:val="00AE1B03"/>
    <w:rsid w:val="00AE1B24"/>
    <w:rsid w:val="00AE1BF0"/>
    <w:rsid w:val="00AE1BFA"/>
    <w:rsid w:val="00AE2488"/>
    <w:rsid w:val="00AE2AE8"/>
    <w:rsid w:val="00AE2FE6"/>
    <w:rsid w:val="00AE3463"/>
    <w:rsid w:val="00AE3487"/>
    <w:rsid w:val="00AE3774"/>
    <w:rsid w:val="00AE44B6"/>
    <w:rsid w:val="00AE4B6E"/>
    <w:rsid w:val="00AE5380"/>
    <w:rsid w:val="00AE5777"/>
    <w:rsid w:val="00AE58EE"/>
    <w:rsid w:val="00AE5AE5"/>
    <w:rsid w:val="00AE5C4A"/>
    <w:rsid w:val="00AE5CD4"/>
    <w:rsid w:val="00AE60B8"/>
    <w:rsid w:val="00AE645A"/>
    <w:rsid w:val="00AE6E5C"/>
    <w:rsid w:val="00AE73FC"/>
    <w:rsid w:val="00AE754F"/>
    <w:rsid w:val="00AE7666"/>
    <w:rsid w:val="00AE7ACB"/>
    <w:rsid w:val="00AF011B"/>
    <w:rsid w:val="00AF01CF"/>
    <w:rsid w:val="00AF1400"/>
    <w:rsid w:val="00AF1741"/>
    <w:rsid w:val="00AF183D"/>
    <w:rsid w:val="00AF2DC8"/>
    <w:rsid w:val="00AF2EEF"/>
    <w:rsid w:val="00AF2FDF"/>
    <w:rsid w:val="00AF3194"/>
    <w:rsid w:val="00AF32A3"/>
    <w:rsid w:val="00AF34EA"/>
    <w:rsid w:val="00AF3EF6"/>
    <w:rsid w:val="00AF41F1"/>
    <w:rsid w:val="00AF50E4"/>
    <w:rsid w:val="00AF5339"/>
    <w:rsid w:val="00AF54F3"/>
    <w:rsid w:val="00AF5753"/>
    <w:rsid w:val="00AF6040"/>
    <w:rsid w:val="00AF6110"/>
    <w:rsid w:val="00AF6AE9"/>
    <w:rsid w:val="00AF6BE1"/>
    <w:rsid w:val="00AF709A"/>
    <w:rsid w:val="00AF725E"/>
    <w:rsid w:val="00AF7671"/>
    <w:rsid w:val="00B00B93"/>
    <w:rsid w:val="00B0137D"/>
    <w:rsid w:val="00B017A2"/>
    <w:rsid w:val="00B01C3F"/>
    <w:rsid w:val="00B01D84"/>
    <w:rsid w:val="00B01EE2"/>
    <w:rsid w:val="00B01FF9"/>
    <w:rsid w:val="00B0279C"/>
    <w:rsid w:val="00B029D6"/>
    <w:rsid w:val="00B035FD"/>
    <w:rsid w:val="00B03664"/>
    <w:rsid w:val="00B03D1F"/>
    <w:rsid w:val="00B03F4E"/>
    <w:rsid w:val="00B04913"/>
    <w:rsid w:val="00B04DE9"/>
    <w:rsid w:val="00B054B6"/>
    <w:rsid w:val="00B057C1"/>
    <w:rsid w:val="00B05BFC"/>
    <w:rsid w:val="00B05C2F"/>
    <w:rsid w:val="00B06BCF"/>
    <w:rsid w:val="00B06CE8"/>
    <w:rsid w:val="00B072E5"/>
    <w:rsid w:val="00B0783E"/>
    <w:rsid w:val="00B078C5"/>
    <w:rsid w:val="00B07C5B"/>
    <w:rsid w:val="00B1060A"/>
    <w:rsid w:val="00B1272C"/>
    <w:rsid w:val="00B128B1"/>
    <w:rsid w:val="00B12BD2"/>
    <w:rsid w:val="00B12EE1"/>
    <w:rsid w:val="00B12F21"/>
    <w:rsid w:val="00B135DB"/>
    <w:rsid w:val="00B13728"/>
    <w:rsid w:val="00B13B57"/>
    <w:rsid w:val="00B13CFA"/>
    <w:rsid w:val="00B14584"/>
    <w:rsid w:val="00B1458F"/>
    <w:rsid w:val="00B145BC"/>
    <w:rsid w:val="00B14A01"/>
    <w:rsid w:val="00B14B67"/>
    <w:rsid w:val="00B14EC0"/>
    <w:rsid w:val="00B14F9B"/>
    <w:rsid w:val="00B15178"/>
    <w:rsid w:val="00B155FF"/>
    <w:rsid w:val="00B15BE8"/>
    <w:rsid w:val="00B1657F"/>
    <w:rsid w:val="00B16600"/>
    <w:rsid w:val="00B174F1"/>
    <w:rsid w:val="00B17A31"/>
    <w:rsid w:val="00B200A8"/>
    <w:rsid w:val="00B20104"/>
    <w:rsid w:val="00B20F1A"/>
    <w:rsid w:val="00B21042"/>
    <w:rsid w:val="00B2149D"/>
    <w:rsid w:val="00B22721"/>
    <w:rsid w:val="00B23929"/>
    <w:rsid w:val="00B23B3E"/>
    <w:rsid w:val="00B23F9A"/>
    <w:rsid w:val="00B25253"/>
    <w:rsid w:val="00B255D6"/>
    <w:rsid w:val="00B25CDE"/>
    <w:rsid w:val="00B25E8E"/>
    <w:rsid w:val="00B25F68"/>
    <w:rsid w:val="00B263CF"/>
    <w:rsid w:val="00B26AD2"/>
    <w:rsid w:val="00B26BD8"/>
    <w:rsid w:val="00B301DA"/>
    <w:rsid w:val="00B306AC"/>
    <w:rsid w:val="00B32C4E"/>
    <w:rsid w:val="00B32F0F"/>
    <w:rsid w:val="00B33554"/>
    <w:rsid w:val="00B33F4E"/>
    <w:rsid w:val="00B34B10"/>
    <w:rsid w:val="00B3511D"/>
    <w:rsid w:val="00B35875"/>
    <w:rsid w:val="00B359E3"/>
    <w:rsid w:val="00B35B51"/>
    <w:rsid w:val="00B3609A"/>
    <w:rsid w:val="00B36879"/>
    <w:rsid w:val="00B36924"/>
    <w:rsid w:val="00B37815"/>
    <w:rsid w:val="00B37B18"/>
    <w:rsid w:val="00B40344"/>
    <w:rsid w:val="00B4034B"/>
    <w:rsid w:val="00B407F2"/>
    <w:rsid w:val="00B408EF"/>
    <w:rsid w:val="00B41346"/>
    <w:rsid w:val="00B42856"/>
    <w:rsid w:val="00B43436"/>
    <w:rsid w:val="00B43EBD"/>
    <w:rsid w:val="00B44192"/>
    <w:rsid w:val="00B44838"/>
    <w:rsid w:val="00B454EC"/>
    <w:rsid w:val="00B45EFA"/>
    <w:rsid w:val="00B45FAE"/>
    <w:rsid w:val="00B471C6"/>
    <w:rsid w:val="00B472C9"/>
    <w:rsid w:val="00B473A2"/>
    <w:rsid w:val="00B50762"/>
    <w:rsid w:val="00B50808"/>
    <w:rsid w:val="00B50BDA"/>
    <w:rsid w:val="00B51087"/>
    <w:rsid w:val="00B517B0"/>
    <w:rsid w:val="00B51E4F"/>
    <w:rsid w:val="00B51E96"/>
    <w:rsid w:val="00B52488"/>
    <w:rsid w:val="00B52EB2"/>
    <w:rsid w:val="00B52FE3"/>
    <w:rsid w:val="00B5332D"/>
    <w:rsid w:val="00B53EA0"/>
    <w:rsid w:val="00B54015"/>
    <w:rsid w:val="00B54D85"/>
    <w:rsid w:val="00B55B44"/>
    <w:rsid w:val="00B564F1"/>
    <w:rsid w:val="00B56510"/>
    <w:rsid w:val="00B5659D"/>
    <w:rsid w:val="00B56E6D"/>
    <w:rsid w:val="00B57423"/>
    <w:rsid w:val="00B575A7"/>
    <w:rsid w:val="00B576EF"/>
    <w:rsid w:val="00B5780B"/>
    <w:rsid w:val="00B60044"/>
    <w:rsid w:val="00B6074D"/>
    <w:rsid w:val="00B6089E"/>
    <w:rsid w:val="00B60DF9"/>
    <w:rsid w:val="00B611C1"/>
    <w:rsid w:val="00B61654"/>
    <w:rsid w:val="00B61690"/>
    <w:rsid w:val="00B61705"/>
    <w:rsid w:val="00B61835"/>
    <w:rsid w:val="00B618AD"/>
    <w:rsid w:val="00B61993"/>
    <w:rsid w:val="00B619B2"/>
    <w:rsid w:val="00B63388"/>
    <w:rsid w:val="00B6417E"/>
    <w:rsid w:val="00B64312"/>
    <w:rsid w:val="00B646B6"/>
    <w:rsid w:val="00B64F47"/>
    <w:rsid w:val="00B65A1D"/>
    <w:rsid w:val="00B65A66"/>
    <w:rsid w:val="00B65B93"/>
    <w:rsid w:val="00B66179"/>
    <w:rsid w:val="00B661FE"/>
    <w:rsid w:val="00B66798"/>
    <w:rsid w:val="00B66D1C"/>
    <w:rsid w:val="00B70362"/>
    <w:rsid w:val="00B7048C"/>
    <w:rsid w:val="00B71164"/>
    <w:rsid w:val="00B715DB"/>
    <w:rsid w:val="00B7179A"/>
    <w:rsid w:val="00B719DD"/>
    <w:rsid w:val="00B7228C"/>
    <w:rsid w:val="00B7261C"/>
    <w:rsid w:val="00B72B19"/>
    <w:rsid w:val="00B72E3B"/>
    <w:rsid w:val="00B73E0D"/>
    <w:rsid w:val="00B7431A"/>
    <w:rsid w:val="00B7500E"/>
    <w:rsid w:val="00B75066"/>
    <w:rsid w:val="00B750B1"/>
    <w:rsid w:val="00B756DD"/>
    <w:rsid w:val="00B75C1F"/>
    <w:rsid w:val="00B75E09"/>
    <w:rsid w:val="00B76402"/>
    <w:rsid w:val="00B7640C"/>
    <w:rsid w:val="00B773D2"/>
    <w:rsid w:val="00B77550"/>
    <w:rsid w:val="00B8058E"/>
    <w:rsid w:val="00B80614"/>
    <w:rsid w:val="00B809B6"/>
    <w:rsid w:val="00B80AFC"/>
    <w:rsid w:val="00B80D39"/>
    <w:rsid w:val="00B80E73"/>
    <w:rsid w:val="00B81BC5"/>
    <w:rsid w:val="00B82333"/>
    <w:rsid w:val="00B83814"/>
    <w:rsid w:val="00B838BB"/>
    <w:rsid w:val="00B8398E"/>
    <w:rsid w:val="00B846D3"/>
    <w:rsid w:val="00B84E36"/>
    <w:rsid w:val="00B8512F"/>
    <w:rsid w:val="00B85521"/>
    <w:rsid w:val="00B856F0"/>
    <w:rsid w:val="00B86712"/>
    <w:rsid w:val="00B867F0"/>
    <w:rsid w:val="00B87542"/>
    <w:rsid w:val="00B9016A"/>
    <w:rsid w:val="00B907E6"/>
    <w:rsid w:val="00B90A1A"/>
    <w:rsid w:val="00B926D8"/>
    <w:rsid w:val="00B92B83"/>
    <w:rsid w:val="00B9345F"/>
    <w:rsid w:val="00B93B3A"/>
    <w:rsid w:val="00B93EA3"/>
    <w:rsid w:val="00B93F3F"/>
    <w:rsid w:val="00B940C1"/>
    <w:rsid w:val="00B943EF"/>
    <w:rsid w:val="00B945BB"/>
    <w:rsid w:val="00B949BD"/>
    <w:rsid w:val="00B94A94"/>
    <w:rsid w:val="00B953C5"/>
    <w:rsid w:val="00B957B4"/>
    <w:rsid w:val="00B95AE5"/>
    <w:rsid w:val="00B95CC6"/>
    <w:rsid w:val="00B95D3C"/>
    <w:rsid w:val="00B961BA"/>
    <w:rsid w:val="00B96241"/>
    <w:rsid w:val="00B9624B"/>
    <w:rsid w:val="00B962B5"/>
    <w:rsid w:val="00B96456"/>
    <w:rsid w:val="00B96567"/>
    <w:rsid w:val="00B96608"/>
    <w:rsid w:val="00B971DB"/>
    <w:rsid w:val="00B97567"/>
    <w:rsid w:val="00BA00BD"/>
    <w:rsid w:val="00BA0303"/>
    <w:rsid w:val="00BA2A67"/>
    <w:rsid w:val="00BA3432"/>
    <w:rsid w:val="00BA45D2"/>
    <w:rsid w:val="00BA45FC"/>
    <w:rsid w:val="00BA4845"/>
    <w:rsid w:val="00BA4CEC"/>
    <w:rsid w:val="00BA512B"/>
    <w:rsid w:val="00BA5E29"/>
    <w:rsid w:val="00BA6118"/>
    <w:rsid w:val="00BA6D16"/>
    <w:rsid w:val="00BA7751"/>
    <w:rsid w:val="00BA7C4B"/>
    <w:rsid w:val="00BA7D7F"/>
    <w:rsid w:val="00BA7FFE"/>
    <w:rsid w:val="00BB04F5"/>
    <w:rsid w:val="00BB0D18"/>
    <w:rsid w:val="00BB0FD2"/>
    <w:rsid w:val="00BB1009"/>
    <w:rsid w:val="00BB1B5E"/>
    <w:rsid w:val="00BB1C6E"/>
    <w:rsid w:val="00BB22A6"/>
    <w:rsid w:val="00BB2422"/>
    <w:rsid w:val="00BB280F"/>
    <w:rsid w:val="00BB301D"/>
    <w:rsid w:val="00BB30CE"/>
    <w:rsid w:val="00BB3F1D"/>
    <w:rsid w:val="00BB4CF9"/>
    <w:rsid w:val="00BB4EDE"/>
    <w:rsid w:val="00BB5470"/>
    <w:rsid w:val="00BB5781"/>
    <w:rsid w:val="00BB5C2A"/>
    <w:rsid w:val="00BB63B2"/>
    <w:rsid w:val="00BB6CF5"/>
    <w:rsid w:val="00BB6E69"/>
    <w:rsid w:val="00BB7155"/>
    <w:rsid w:val="00BB7AF2"/>
    <w:rsid w:val="00BB7BE4"/>
    <w:rsid w:val="00BC09F5"/>
    <w:rsid w:val="00BC0AA3"/>
    <w:rsid w:val="00BC105E"/>
    <w:rsid w:val="00BC10E5"/>
    <w:rsid w:val="00BC1337"/>
    <w:rsid w:val="00BC138A"/>
    <w:rsid w:val="00BC13DB"/>
    <w:rsid w:val="00BC18A3"/>
    <w:rsid w:val="00BC1AE3"/>
    <w:rsid w:val="00BC1B66"/>
    <w:rsid w:val="00BC1BC4"/>
    <w:rsid w:val="00BC1DF8"/>
    <w:rsid w:val="00BC1E63"/>
    <w:rsid w:val="00BC25C5"/>
    <w:rsid w:val="00BC348C"/>
    <w:rsid w:val="00BC36BE"/>
    <w:rsid w:val="00BC3CFE"/>
    <w:rsid w:val="00BC43C2"/>
    <w:rsid w:val="00BC4554"/>
    <w:rsid w:val="00BC4795"/>
    <w:rsid w:val="00BC49D5"/>
    <w:rsid w:val="00BC4C84"/>
    <w:rsid w:val="00BC528C"/>
    <w:rsid w:val="00BC59F3"/>
    <w:rsid w:val="00BC63DC"/>
    <w:rsid w:val="00BC672E"/>
    <w:rsid w:val="00BC6DAC"/>
    <w:rsid w:val="00BC7058"/>
    <w:rsid w:val="00BC7CF5"/>
    <w:rsid w:val="00BD0245"/>
    <w:rsid w:val="00BD05ED"/>
    <w:rsid w:val="00BD09DA"/>
    <w:rsid w:val="00BD0DF4"/>
    <w:rsid w:val="00BD0EDB"/>
    <w:rsid w:val="00BD13A7"/>
    <w:rsid w:val="00BD13E4"/>
    <w:rsid w:val="00BD1A88"/>
    <w:rsid w:val="00BD1EDC"/>
    <w:rsid w:val="00BD2795"/>
    <w:rsid w:val="00BD2AB7"/>
    <w:rsid w:val="00BD2BD1"/>
    <w:rsid w:val="00BD32C4"/>
    <w:rsid w:val="00BD3DF0"/>
    <w:rsid w:val="00BD3EB3"/>
    <w:rsid w:val="00BD41E9"/>
    <w:rsid w:val="00BD4A97"/>
    <w:rsid w:val="00BD5196"/>
    <w:rsid w:val="00BD5231"/>
    <w:rsid w:val="00BD584C"/>
    <w:rsid w:val="00BD5961"/>
    <w:rsid w:val="00BD648D"/>
    <w:rsid w:val="00BD7767"/>
    <w:rsid w:val="00BE020E"/>
    <w:rsid w:val="00BE0760"/>
    <w:rsid w:val="00BE09C7"/>
    <w:rsid w:val="00BE0AB9"/>
    <w:rsid w:val="00BE0B10"/>
    <w:rsid w:val="00BE1E79"/>
    <w:rsid w:val="00BE2623"/>
    <w:rsid w:val="00BE2A1C"/>
    <w:rsid w:val="00BE2F54"/>
    <w:rsid w:val="00BE2F7E"/>
    <w:rsid w:val="00BE3DEA"/>
    <w:rsid w:val="00BE41FD"/>
    <w:rsid w:val="00BE5BB2"/>
    <w:rsid w:val="00BE5FB2"/>
    <w:rsid w:val="00BE7260"/>
    <w:rsid w:val="00BE7430"/>
    <w:rsid w:val="00BE7991"/>
    <w:rsid w:val="00BE7DC8"/>
    <w:rsid w:val="00BE7DDD"/>
    <w:rsid w:val="00BF0352"/>
    <w:rsid w:val="00BF0A98"/>
    <w:rsid w:val="00BF1196"/>
    <w:rsid w:val="00BF1565"/>
    <w:rsid w:val="00BF1A21"/>
    <w:rsid w:val="00BF1B19"/>
    <w:rsid w:val="00BF2272"/>
    <w:rsid w:val="00BF22D0"/>
    <w:rsid w:val="00BF2845"/>
    <w:rsid w:val="00BF2AB3"/>
    <w:rsid w:val="00BF2AFE"/>
    <w:rsid w:val="00BF2E19"/>
    <w:rsid w:val="00BF373E"/>
    <w:rsid w:val="00BF3852"/>
    <w:rsid w:val="00BF398A"/>
    <w:rsid w:val="00BF3BC6"/>
    <w:rsid w:val="00BF3FB7"/>
    <w:rsid w:val="00BF430B"/>
    <w:rsid w:val="00BF48BD"/>
    <w:rsid w:val="00BF48D7"/>
    <w:rsid w:val="00BF497A"/>
    <w:rsid w:val="00BF4D67"/>
    <w:rsid w:val="00BF4FDF"/>
    <w:rsid w:val="00BF5255"/>
    <w:rsid w:val="00BF5B16"/>
    <w:rsid w:val="00BF6DAD"/>
    <w:rsid w:val="00BF6E76"/>
    <w:rsid w:val="00BF7B68"/>
    <w:rsid w:val="00BF7D0A"/>
    <w:rsid w:val="00BF7E0E"/>
    <w:rsid w:val="00C0001A"/>
    <w:rsid w:val="00C00A84"/>
    <w:rsid w:val="00C00AF1"/>
    <w:rsid w:val="00C0121C"/>
    <w:rsid w:val="00C018AB"/>
    <w:rsid w:val="00C024C1"/>
    <w:rsid w:val="00C0250F"/>
    <w:rsid w:val="00C02739"/>
    <w:rsid w:val="00C030A2"/>
    <w:rsid w:val="00C036AD"/>
    <w:rsid w:val="00C03F92"/>
    <w:rsid w:val="00C04485"/>
    <w:rsid w:val="00C04777"/>
    <w:rsid w:val="00C05A8E"/>
    <w:rsid w:val="00C05C67"/>
    <w:rsid w:val="00C05D07"/>
    <w:rsid w:val="00C05DB7"/>
    <w:rsid w:val="00C05E0B"/>
    <w:rsid w:val="00C05E5E"/>
    <w:rsid w:val="00C061DB"/>
    <w:rsid w:val="00C067D7"/>
    <w:rsid w:val="00C0697F"/>
    <w:rsid w:val="00C06B8D"/>
    <w:rsid w:val="00C07956"/>
    <w:rsid w:val="00C07DE6"/>
    <w:rsid w:val="00C07E71"/>
    <w:rsid w:val="00C07EF8"/>
    <w:rsid w:val="00C1002B"/>
    <w:rsid w:val="00C10073"/>
    <w:rsid w:val="00C10DE4"/>
    <w:rsid w:val="00C111F4"/>
    <w:rsid w:val="00C11B05"/>
    <w:rsid w:val="00C126C8"/>
    <w:rsid w:val="00C128F6"/>
    <w:rsid w:val="00C138CA"/>
    <w:rsid w:val="00C13C85"/>
    <w:rsid w:val="00C144B5"/>
    <w:rsid w:val="00C14A33"/>
    <w:rsid w:val="00C14E14"/>
    <w:rsid w:val="00C15335"/>
    <w:rsid w:val="00C15464"/>
    <w:rsid w:val="00C154AA"/>
    <w:rsid w:val="00C1572C"/>
    <w:rsid w:val="00C158A0"/>
    <w:rsid w:val="00C161A4"/>
    <w:rsid w:val="00C1788D"/>
    <w:rsid w:val="00C17B9E"/>
    <w:rsid w:val="00C207C3"/>
    <w:rsid w:val="00C20BB9"/>
    <w:rsid w:val="00C212C9"/>
    <w:rsid w:val="00C21301"/>
    <w:rsid w:val="00C215CA"/>
    <w:rsid w:val="00C217E4"/>
    <w:rsid w:val="00C2215F"/>
    <w:rsid w:val="00C2282E"/>
    <w:rsid w:val="00C22E46"/>
    <w:rsid w:val="00C24BBB"/>
    <w:rsid w:val="00C253C9"/>
    <w:rsid w:val="00C25485"/>
    <w:rsid w:val="00C26460"/>
    <w:rsid w:val="00C26829"/>
    <w:rsid w:val="00C26ABD"/>
    <w:rsid w:val="00C26D56"/>
    <w:rsid w:val="00C27122"/>
    <w:rsid w:val="00C272EA"/>
    <w:rsid w:val="00C305E4"/>
    <w:rsid w:val="00C30B7A"/>
    <w:rsid w:val="00C3107F"/>
    <w:rsid w:val="00C311CA"/>
    <w:rsid w:val="00C3141F"/>
    <w:rsid w:val="00C31A6F"/>
    <w:rsid w:val="00C31B80"/>
    <w:rsid w:val="00C31E9C"/>
    <w:rsid w:val="00C328C1"/>
    <w:rsid w:val="00C33584"/>
    <w:rsid w:val="00C3371E"/>
    <w:rsid w:val="00C33B5A"/>
    <w:rsid w:val="00C33D1B"/>
    <w:rsid w:val="00C344ED"/>
    <w:rsid w:val="00C3474E"/>
    <w:rsid w:val="00C369D6"/>
    <w:rsid w:val="00C36EC2"/>
    <w:rsid w:val="00C371E5"/>
    <w:rsid w:val="00C3754E"/>
    <w:rsid w:val="00C37FFD"/>
    <w:rsid w:val="00C40059"/>
    <w:rsid w:val="00C40075"/>
    <w:rsid w:val="00C40192"/>
    <w:rsid w:val="00C403F6"/>
    <w:rsid w:val="00C40853"/>
    <w:rsid w:val="00C41D58"/>
    <w:rsid w:val="00C41E8D"/>
    <w:rsid w:val="00C420F7"/>
    <w:rsid w:val="00C421A7"/>
    <w:rsid w:val="00C42B8F"/>
    <w:rsid w:val="00C436A6"/>
    <w:rsid w:val="00C43887"/>
    <w:rsid w:val="00C438C1"/>
    <w:rsid w:val="00C446E4"/>
    <w:rsid w:val="00C45275"/>
    <w:rsid w:val="00C453B0"/>
    <w:rsid w:val="00C4557F"/>
    <w:rsid w:val="00C45A48"/>
    <w:rsid w:val="00C45D53"/>
    <w:rsid w:val="00C45E61"/>
    <w:rsid w:val="00C46213"/>
    <w:rsid w:val="00C463A6"/>
    <w:rsid w:val="00C46BBC"/>
    <w:rsid w:val="00C46DE5"/>
    <w:rsid w:val="00C4788A"/>
    <w:rsid w:val="00C47922"/>
    <w:rsid w:val="00C501F6"/>
    <w:rsid w:val="00C50866"/>
    <w:rsid w:val="00C509C7"/>
    <w:rsid w:val="00C51151"/>
    <w:rsid w:val="00C511E8"/>
    <w:rsid w:val="00C515E7"/>
    <w:rsid w:val="00C5182B"/>
    <w:rsid w:val="00C52AA0"/>
    <w:rsid w:val="00C52EED"/>
    <w:rsid w:val="00C5311B"/>
    <w:rsid w:val="00C53359"/>
    <w:rsid w:val="00C537EF"/>
    <w:rsid w:val="00C53F14"/>
    <w:rsid w:val="00C546FB"/>
    <w:rsid w:val="00C54D1F"/>
    <w:rsid w:val="00C553DA"/>
    <w:rsid w:val="00C55B5D"/>
    <w:rsid w:val="00C57030"/>
    <w:rsid w:val="00C6009F"/>
    <w:rsid w:val="00C600B4"/>
    <w:rsid w:val="00C60865"/>
    <w:rsid w:val="00C609E9"/>
    <w:rsid w:val="00C6178E"/>
    <w:rsid w:val="00C61C61"/>
    <w:rsid w:val="00C61ED5"/>
    <w:rsid w:val="00C61F1F"/>
    <w:rsid w:val="00C626BB"/>
    <w:rsid w:val="00C64089"/>
    <w:rsid w:val="00C64751"/>
    <w:rsid w:val="00C64A7D"/>
    <w:rsid w:val="00C65307"/>
    <w:rsid w:val="00C65B04"/>
    <w:rsid w:val="00C65C26"/>
    <w:rsid w:val="00C65EA5"/>
    <w:rsid w:val="00C6635A"/>
    <w:rsid w:val="00C6673E"/>
    <w:rsid w:val="00C66C75"/>
    <w:rsid w:val="00C66F78"/>
    <w:rsid w:val="00C67F10"/>
    <w:rsid w:val="00C70D54"/>
    <w:rsid w:val="00C71180"/>
    <w:rsid w:val="00C714EE"/>
    <w:rsid w:val="00C7191A"/>
    <w:rsid w:val="00C71D6E"/>
    <w:rsid w:val="00C71FDB"/>
    <w:rsid w:val="00C722E8"/>
    <w:rsid w:val="00C728E9"/>
    <w:rsid w:val="00C72EEC"/>
    <w:rsid w:val="00C73AF6"/>
    <w:rsid w:val="00C744C0"/>
    <w:rsid w:val="00C7496C"/>
    <w:rsid w:val="00C74C2A"/>
    <w:rsid w:val="00C750BF"/>
    <w:rsid w:val="00C753E6"/>
    <w:rsid w:val="00C75667"/>
    <w:rsid w:val="00C75B0E"/>
    <w:rsid w:val="00C75C9E"/>
    <w:rsid w:val="00C75F9B"/>
    <w:rsid w:val="00C76228"/>
    <w:rsid w:val="00C763BB"/>
    <w:rsid w:val="00C76420"/>
    <w:rsid w:val="00C80324"/>
    <w:rsid w:val="00C80689"/>
    <w:rsid w:val="00C80F2D"/>
    <w:rsid w:val="00C813C9"/>
    <w:rsid w:val="00C81801"/>
    <w:rsid w:val="00C81F6C"/>
    <w:rsid w:val="00C8394A"/>
    <w:rsid w:val="00C83D2A"/>
    <w:rsid w:val="00C840C5"/>
    <w:rsid w:val="00C84191"/>
    <w:rsid w:val="00C8432F"/>
    <w:rsid w:val="00C84347"/>
    <w:rsid w:val="00C847B3"/>
    <w:rsid w:val="00C850E3"/>
    <w:rsid w:val="00C8511C"/>
    <w:rsid w:val="00C85895"/>
    <w:rsid w:val="00C85AC7"/>
    <w:rsid w:val="00C86B10"/>
    <w:rsid w:val="00C86D3A"/>
    <w:rsid w:val="00C86F70"/>
    <w:rsid w:val="00C90395"/>
    <w:rsid w:val="00C90703"/>
    <w:rsid w:val="00C90930"/>
    <w:rsid w:val="00C916AA"/>
    <w:rsid w:val="00C928AB"/>
    <w:rsid w:val="00C94261"/>
    <w:rsid w:val="00C944FB"/>
    <w:rsid w:val="00C94669"/>
    <w:rsid w:val="00C9484C"/>
    <w:rsid w:val="00C9489D"/>
    <w:rsid w:val="00C95BD1"/>
    <w:rsid w:val="00C95CAB"/>
    <w:rsid w:val="00C95E35"/>
    <w:rsid w:val="00C95F23"/>
    <w:rsid w:val="00C96153"/>
    <w:rsid w:val="00C96396"/>
    <w:rsid w:val="00C96A4E"/>
    <w:rsid w:val="00CA06D3"/>
    <w:rsid w:val="00CA0BD9"/>
    <w:rsid w:val="00CA0D35"/>
    <w:rsid w:val="00CA1765"/>
    <w:rsid w:val="00CA1907"/>
    <w:rsid w:val="00CA2044"/>
    <w:rsid w:val="00CA2108"/>
    <w:rsid w:val="00CA2292"/>
    <w:rsid w:val="00CA238A"/>
    <w:rsid w:val="00CA250E"/>
    <w:rsid w:val="00CA34BD"/>
    <w:rsid w:val="00CA3750"/>
    <w:rsid w:val="00CA3B6E"/>
    <w:rsid w:val="00CA3E8F"/>
    <w:rsid w:val="00CA46C0"/>
    <w:rsid w:val="00CA4AF7"/>
    <w:rsid w:val="00CA4BFF"/>
    <w:rsid w:val="00CA4EB9"/>
    <w:rsid w:val="00CA55D1"/>
    <w:rsid w:val="00CA56EE"/>
    <w:rsid w:val="00CA573F"/>
    <w:rsid w:val="00CA5896"/>
    <w:rsid w:val="00CA5D8A"/>
    <w:rsid w:val="00CA6EA1"/>
    <w:rsid w:val="00CA6F72"/>
    <w:rsid w:val="00CA71B6"/>
    <w:rsid w:val="00CA78BF"/>
    <w:rsid w:val="00CA7B4F"/>
    <w:rsid w:val="00CA7D85"/>
    <w:rsid w:val="00CB0134"/>
    <w:rsid w:val="00CB0567"/>
    <w:rsid w:val="00CB0859"/>
    <w:rsid w:val="00CB19D9"/>
    <w:rsid w:val="00CB240B"/>
    <w:rsid w:val="00CB2805"/>
    <w:rsid w:val="00CB2879"/>
    <w:rsid w:val="00CB2966"/>
    <w:rsid w:val="00CB2C46"/>
    <w:rsid w:val="00CB2F33"/>
    <w:rsid w:val="00CB2F6E"/>
    <w:rsid w:val="00CB31BB"/>
    <w:rsid w:val="00CB3266"/>
    <w:rsid w:val="00CB3521"/>
    <w:rsid w:val="00CB39E2"/>
    <w:rsid w:val="00CB3B3C"/>
    <w:rsid w:val="00CB3F1C"/>
    <w:rsid w:val="00CB412B"/>
    <w:rsid w:val="00CB5496"/>
    <w:rsid w:val="00CB5D1A"/>
    <w:rsid w:val="00CB60DC"/>
    <w:rsid w:val="00CB6385"/>
    <w:rsid w:val="00CB6990"/>
    <w:rsid w:val="00CB73D2"/>
    <w:rsid w:val="00CB7457"/>
    <w:rsid w:val="00CB7475"/>
    <w:rsid w:val="00CB7F25"/>
    <w:rsid w:val="00CC0035"/>
    <w:rsid w:val="00CC1365"/>
    <w:rsid w:val="00CC189A"/>
    <w:rsid w:val="00CC1AD6"/>
    <w:rsid w:val="00CC2143"/>
    <w:rsid w:val="00CC2E75"/>
    <w:rsid w:val="00CC313E"/>
    <w:rsid w:val="00CC31E8"/>
    <w:rsid w:val="00CC3566"/>
    <w:rsid w:val="00CC3E84"/>
    <w:rsid w:val="00CC3EAA"/>
    <w:rsid w:val="00CC5118"/>
    <w:rsid w:val="00CC6A20"/>
    <w:rsid w:val="00CC6A42"/>
    <w:rsid w:val="00CC76BD"/>
    <w:rsid w:val="00CC76F1"/>
    <w:rsid w:val="00CC78AA"/>
    <w:rsid w:val="00CC7F22"/>
    <w:rsid w:val="00CD06A2"/>
    <w:rsid w:val="00CD0CB2"/>
    <w:rsid w:val="00CD0FAE"/>
    <w:rsid w:val="00CD13D6"/>
    <w:rsid w:val="00CD1435"/>
    <w:rsid w:val="00CD1B29"/>
    <w:rsid w:val="00CD1C11"/>
    <w:rsid w:val="00CD1C65"/>
    <w:rsid w:val="00CD1EB2"/>
    <w:rsid w:val="00CD26FB"/>
    <w:rsid w:val="00CD2C06"/>
    <w:rsid w:val="00CD2D07"/>
    <w:rsid w:val="00CD2F27"/>
    <w:rsid w:val="00CD35F6"/>
    <w:rsid w:val="00CD44DC"/>
    <w:rsid w:val="00CD5999"/>
    <w:rsid w:val="00CD61E7"/>
    <w:rsid w:val="00CD65C4"/>
    <w:rsid w:val="00CD6B26"/>
    <w:rsid w:val="00CD7027"/>
    <w:rsid w:val="00CD7102"/>
    <w:rsid w:val="00CD7457"/>
    <w:rsid w:val="00CD75D9"/>
    <w:rsid w:val="00CE004F"/>
    <w:rsid w:val="00CE0B7B"/>
    <w:rsid w:val="00CE0EEE"/>
    <w:rsid w:val="00CE116F"/>
    <w:rsid w:val="00CE1840"/>
    <w:rsid w:val="00CE1986"/>
    <w:rsid w:val="00CE1B51"/>
    <w:rsid w:val="00CE1BF2"/>
    <w:rsid w:val="00CE1C89"/>
    <w:rsid w:val="00CE1D9F"/>
    <w:rsid w:val="00CE22BC"/>
    <w:rsid w:val="00CE2C36"/>
    <w:rsid w:val="00CE3263"/>
    <w:rsid w:val="00CE3547"/>
    <w:rsid w:val="00CE3D39"/>
    <w:rsid w:val="00CE582C"/>
    <w:rsid w:val="00CE599C"/>
    <w:rsid w:val="00CE60AF"/>
    <w:rsid w:val="00CE627C"/>
    <w:rsid w:val="00CE77F0"/>
    <w:rsid w:val="00CE79BA"/>
    <w:rsid w:val="00CE7F1B"/>
    <w:rsid w:val="00CE7F6B"/>
    <w:rsid w:val="00CF0691"/>
    <w:rsid w:val="00CF06A0"/>
    <w:rsid w:val="00CF107F"/>
    <w:rsid w:val="00CF120A"/>
    <w:rsid w:val="00CF1699"/>
    <w:rsid w:val="00CF1926"/>
    <w:rsid w:val="00CF1D50"/>
    <w:rsid w:val="00CF27FF"/>
    <w:rsid w:val="00CF2AC0"/>
    <w:rsid w:val="00CF2F87"/>
    <w:rsid w:val="00CF2FC9"/>
    <w:rsid w:val="00CF35BC"/>
    <w:rsid w:val="00CF3D9D"/>
    <w:rsid w:val="00CF4171"/>
    <w:rsid w:val="00CF4447"/>
    <w:rsid w:val="00CF49C2"/>
    <w:rsid w:val="00CF4FD8"/>
    <w:rsid w:val="00CF567C"/>
    <w:rsid w:val="00CF5C57"/>
    <w:rsid w:val="00CF5EDD"/>
    <w:rsid w:val="00CF5F1D"/>
    <w:rsid w:val="00CF5F6B"/>
    <w:rsid w:val="00CF60DD"/>
    <w:rsid w:val="00CF63E6"/>
    <w:rsid w:val="00CF654C"/>
    <w:rsid w:val="00CF6B8C"/>
    <w:rsid w:val="00CF6DDB"/>
    <w:rsid w:val="00CF75C5"/>
    <w:rsid w:val="00D00109"/>
    <w:rsid w:val="00D00307"/>
    <w:rsid w:val="00D0065B"/>
    <w:rsid w:val="00D01F1A"/>
    <w:rsid w:val="00D01F3A"/>
    <w:rsid w:val="00D0230F"/>
    <w:rsid w:val="00D02A8E"/>
    <w:rsid w:val="00D038D7"/>
    <w:rsid w:val="00D0392F"/>
    <w:rsid w:val="00D041F7"/>
    <w:rsid w:val="00D0442B"/>
    <w:rsid w:val="00D04613"/>
    <w:rsid w:val="00D054F4"/>
    <w:rsid w:val="00D05E8D"/>
    <w:rsid w:val="00D060B3"/>
    <w:rsid w:val="00D0611B"/>
    <w:rsid w:val="00D06823"/>
    <w:rsid w:val="00D077C5"/>
    <w:rsid w:val="00D07857"/>
    <w:rsid w:val="00D07B66"/>
    <w:rsid w:val="00D10508"/>
    <w:rsid w:val="00D10FAA"/>
    <w:rsid w:val="00D115F3"/>
    <w:rsid w:val="00D11CD7"/>
    <w:rsid w:val="00D11FE1"/>
    <w:rsid w:val="00D12307"/>
    <w:rsid w:val="00D12A78"/>
    <w:rsid w:val="00D1321F"/>
    <w:rsid w:val="00D134C3"/>
    <w:rsid w:val="00D13916"/>
    <w:rsid w:val="00D13F75"/>
    <w:rsid w:val="00D14112"/>
    <w:rsid w:val="00D14351"/>
    <w:rsid w:val="00D1447C"/>
    <w:rsid w:val="00D14504"/>
    <w:rsid w:val="00D14847"/>
    <w:rsid w:val="00D14AEF"/>
    <w:rsid w:val="00D14D10"/>
    <w:rsid w:val="00D14F6C"/>
    <w:rsid w:val="00D15137"/>
    <w:rsid w:val="00D153BE"/>
    <w:rsid w:val="00D15B6E"/>
    <w:rsid w:val="00D15BA4"/>
    <w:rsid w:val="00D16143"/>
    <w:rsid w:val="00D1692B"/>
    <w:rsid w:val="00D169B8"/>
    <w:rsid w:val="00D16E18"/>
    <w:rsid w:val="00D16ED8"/>
    <w:rsid w:val="00D17367"/>
    <w:rsid w:val="00D17501"/>
    <w:rsid w:val="00D20252"/>
    <w:rsid w:val="00D20484"/>
    <w:rsid w:val="00D208C9"/>
    <w:rsid w:val="00D20F42"/>
    <w:rsid w:val="00D21563"/>
    <w:rsid w:val="00D22646"/>
    <w:rsid w:val="00D226FC"/>
    <w:rsid w:val="00D22767"/>
    <w:rsid w:val="00D227DB"/>
    <w:rsid w:val="00D22F22"/>
    <w:rsid w:val="00D23702"/>
    <w:rsid w:val="00D24790"/>
    <w:rsid w:val="00D24FD0"/>
    <w:rsid w:val="00D25D1B"/>
    <w:rsid w:val="00D2622C"/>
    <w:rsid w:val="00D265AF"/>
    <w:rsid w:val="00D2682C"/>
    <w:rsid w:val="00D26A9D"/>
    <w:rsid w:val="00D2782E"/>
    <w:rsid w:val="00D27F4D"/>
    <w:rsid w:val="00D30C0E"/>
    <w:rsid w:val="00D31056"/>
    <w:rsid w:val="00D311B7"/>
    <w:rsid w:val="00D311E8"/>
    <w:rsid w:val="00D319B1"/>
    <w:rsid w:val="00D31F37"/>
    <w:rsid w:val="00D32308"/>
    <w:rsid w:val="00D32510"/>
    <w:rsid w:val="00D3266D"/>
    <w:rsid w:val="00D32683"/>
    <w:rsid w:val="00D32C21"/>
    <w:rsid w:val="00D32C59"/>
    <w:rsid w:val="00D32CD4"/>
    <w:rsid w:val="00D33044"/>
    <w:rsid w:val="00D33A8E"/>
    <w:rsid w:val="00D34035"/>
    <w:rsid w:val="00D34130"/>
    <w:rsid w:val="00D3464B"/>
    <w:rsid w:val="00D34CA7"/>
    <w:rsid w:val="00D356A5"/>
    <w:rsid w:val="00D35ABE"/>
    <w:rsid w:val="00D36455"/>
    <w:rsid w:val="00D375B9"/>
    <w:rsid w:val="00D3799B"/>
    <w:rsid w:val="00D4025E"/>
    <w:rsid w:val="00D406E1"/>
    <w:rsid w:val="00D411ED"/>
    <w:rsid w:val="00D41234"/>
    <w:rsid w:val="00D414E2"/>
    <w:rsid w:val="00D416D2"/>
    <w:rsid w:val="00D41CDC"/>
    <w:rsid w:val="00D42873"/>
    <w:rsid w:val="00D42E37"/>
    <w:rsid w:val="00D42E53"/>
    <w:rsid w:val="00D42F66"/>
    <w:rsid w:val="00D430E6"/>
    <w:rsid w:val="00D43653"/>
    <w:rsid w:val="00D43FC0"/>
    <w:rsid w:val="00D44A3F"/>
    <w:rsid w:val="00D453DF"/>
    <w:rsid w:val="00D456D4"/>
    <w:rsid w:val="00D45D80"/>
    <w:rsid w:val="00D465C7"/>
    <w:rsid w:val="00D46EA5"/>
    <w:rsid w:val="00D473AB"/>
    <w:rsid w:val="00D473B2"/>
    <w:rsid w:val="00D4769B"/>
    <w:rsid w:val="00D47C07"/>
    <w:rsid w:val="00D50384"/>
    <w:rsid w:val="00D50824"/>
    <w:rsid w:val="00D50C2E"/>
    <w:rsid w:val="00D50C4C"/>
    <w:rsid w:val="00D50DF8"/>
    <w:rsid w:val="00D50EBF"/>
    <w:rsid w:val="00D518C0"/>
    <w:rsid w:val="00D521F8"/>
    <w:rsid w:val="00D5291E"/>
    <w:rsid w:val="00D52B3A"/>
    <w:rsid w:val="00D52B98"/>
    <w:rsid w:val="00D5307B"/>
    <w:rsid w:val="00D5329F"/>
    <w:rsid w:val="00D5332B"/>
    <w:rsid w:val="00D5388A"/>
    <w:rsid w:val="00D54725"/>
    <w:rsid w:val="00D54808"/>
    <w:rsid w:val="00D54CD8"/>
    <w:rsid w:val="00D551F3"/>
    <w:rsid w:val="00D55536"/>
    <w:rsid w:val="00D55586"/>
    <w:rsid w:val="00D5569C"/>
    <w:rsid w:val="00D55B02"/>
    <w:rsid w:val="00D55C7F"/>
    <w:rsid w:val="00D55F07"/>
    <w:rsid w:val="00D56134"/>
    <w:rsid w:val="00D564DD"/>
    <w:rsid w:val="00D56F2E"/>
    <w:rsid w:val="00D57210"/>
    <w:rsid w:val="00D572C1"/>
    <w:rsid w:val="00D574A1"/>
    <w:rsid w:val="00D576BB"/>
    <w:rsid w:val="00D57C5C"/>
    <w:rsid w:val="00D57D43"/>
    <w:rsid w:val="00D60068"/>
    <w:rsid w:val="00D609CA"/>
    <w:rsid w:val="00D6148B"/>
    <w:rsid w:val="00D614B4"/>
    <w:rsid w:val="00D61764"/>
    <w:rsid w:val="00D617B8"/>
    <w:rsid w:val="00D61BC3"/>
    <w:rsid w:val="00D61F70"/>
    <w:rsid w:val="00D62386"/>
    <w:rsid w:val="00D62A46"/>
    <w:rsid w:val="00D631A6"/>
    <w:rsid w:val="00D635DC"/>
    <w:rsid w:val="00D63630"/>
    <w:rsid w:val="00D637CA"/>
    <w:rsid w:val="00D63916"/>
    <w:rsid w:val="00D64F93"/>
    <w:rsid w:val="00D651C5"/>
    <w:rsid w:val="00D656D5"/>
    <w:rsid w:val="00D657B8"/>
    <w:rsid w:val="00D659AA"/>
    <w:rsid w:val="00D65DC9"/>
    <w:rsid w:val="00D66061"/>
    <w:rsid w:val="00D6636C"/>
    <w:rsid w:val="00D66A13"/>
    <w:rsid w:val="00D66C0D"/>
    <w:rsid w:val="00D66DDD"/>
    <w:rsid w:val="00D673E1"/>
    <w:rsid w:val="00D6799F"/>
    <w:rsid w:val="00D703B5"/>
    <w:rsid w:val="00D704A8"/>
    <w:rsid w:val="00D71505"/>
    <w:rsid w:val="00D71820"/>
    <w:rsid w:val="00D71AA9"/>
    <w:rsid w:val="00D71DD9"/>
    <w:rsid w:val="00D72481"/>
    <w:rsid w:val="00D72B50"/>
    <w:rsid w:val="00D73142"/>
    <w:rsid w:val="00D736C7"/>
    <w:rsid w:val="00D73876"/>
    <w:rsid w:val="00D739F2"/>
    <w:rsid w:val="00D7418E"/>
    <w:rsid w:val="00D74634"/>
    <w:rsid w:val="00D749B8"/>
    <w:rsid w:val="00D74A96"/>
    <w:rsid w:val="00D74FAA"/>
    <w:rsid w:val="00D750AE"/>
    <w:rsid w:val="00D754ED"/>
    <w:rsid w:val="00D75A30"/>
    <w:rsid w:val="00D769A7"/>
    <w:rsid w:val="00D76F78"/>
    <w:rsid w:val="00D77050"/>
    <w:rsid w:val="00D77616"/>
    <w:rsid w:val="00D77ACC"/>
    <w:rsid w:val="00D77F68"/>
    <w:rsid w:val="00D80089"/>
    <w:rsid w:val="00D80495"/>
    <w:rsid w:val="00D804B4"/>
    <w:rsid w:val="00D80E4A"/>
    <w:rsid w:val="00D815B3"/>
    <w:rsid w:val="00D82424"/>
    <w:rsid w:val="00D82B27"/>
    <w:rsid w:val="00D82C10"/>
    <w:rsid w:val="00D832A0"/>
    <w:rsid w:val="00D8346E"/>
    <w:rsid w:val="00D84633"/>
    <w:rsid w:val="00D84656"/>
    <w:rsid w:val="00D84A70"/>
    <w:rsid w:val="00D8524A"/>
    <w:rsid w:val="00D85517"/>
    <w:rsid w:val="00D85555"/>
    <w:rsid w:val="00D86318"/>
    <w:rsid w:val="00D86533"/>
    <w:rsid w:val="00D865C5"/>
    <w:rsid w:val="00D86C38"/>
    <w:rsid w:val="00D87131"/>
    <w:rsid w:val="00D87C06"/>
    <w:rsid w:val="00D87C8E"/>
    <w:rsid w:val="00D87D8F"/>
    <w:rsid w:val="00D903AA"/>
    <w:rsid w:val="00D905F6"/>
    <w:rsid w:val="00D91659"/>
    <w:rsid w:val="00D925C7"/>
    <w:rsid w:val="00D92B8A"/>
    <w:rsid w:val="00D93634"/>
    <w:rsid w:val="00D938EF"/>
    <w:rsid w:val="00D9403D"/>
    <w:rsid w:val="00D94565"/>
    <w:rsid w:val="00D94F68"/>
    <w:rsid w:val="00D953B8"/>
    <w:rsid w:val="00D9593D"/>
    <w:rsid w:val="00D95D8E"/>
    <w:rsid w:val="00D95DB7"/>
    <w:rsid w:val="00D96075"/>
    <w:rsid w:val="00D96322"/>
    <w:rsid w:val="00D973EF"/>
    <w:rsid w:val="00D97CD1"/>
    <w:rsid w:val="00DA03CC"/>
    <w:rsid w:val="00DA059E"/>
    <w:rsid w:val="00DA0DC2"/>
    <w:rsid w:val="00DA15C7"/>
    <w:rsid w:val="00DA1781"/>
    <w:rsid w:val="00DA1EE2"/>
    <w:rsid w:val="00DA2FED"/>
    <w:rsid w:val="00DA3C8B"/>
    <w:rsid w:val="00DA401C"/>
    <w:rsid w:val="00DA4210"/>
    <w:rsid w:val="00DA427E"/>
    <w:rsid w:val="00DA4312"/>
    <w:rsid w:val="00DA4A92"/>
    <w:rsid w:val="00DA4AE7"/>
    <w:rsid w:val="00DA4F8B"/>
    <w:rsid w:val="00DA50F7"/>
    <w:rsid w:val="00DA5B4B"/>
    <w:rsid w:val="00DA5BCE"/>
    <w:rsid w:val="00DA5E8B"/>
    <w:rsid w:val="00DA6FE0"/>
    <w:rsid w:val="00DA7A94"/>
    <w:rsid w:val="00DB09BF"/>
    <w:rsid w:val="00DB10FD"/>
    <w:rsid w:val="00DB1888"/>
    <w:rsid w:val="00DB1905"/>
    <w:rsid w:val="00DB2A2F"/>
    <w:rsid w:val="00DB304D"/>
    <w:rsid w:val="00DB3A15"/>
    <w:rsid w:val="00DB3F95"/>
    <w:rsid w:val="00DB4035"/>
    <w:rsid w:val="00DB42E5"/>
    <w:rsid w:val="00DB4309"/>
    <w:rsid w:val="00DB4657"/>
    <w:rsid w:val="00DB4658"/>
    <w:rsid w:val="00DB482E"/>
    <w:rsid w:val="00DB58F1"/>
    <w:rsid w:val="00DB791D"/>
    <w:rsid w:val="00DB7F0D"/>
    <w:rsid w:val="00DC0B59"/>
    <w:rsid w:val="00DC0DC2"/>
    <w:rsid w:val="00DC14AD"/>
    <w:rsid w:val="00DC1C18"/>
    <w:rsid w:val="00DC1D3A"/>
    <w:rsid w:val="00DC1E51"/>
    <w:rsid w:val="00DC216F"/>
    <w:rsid w:val="00DC311F"/>
    <w:rsid w:val="00DC31F5"/>
    <w:rsid w:val="00DC36C0"/>
    <w:rsid w:val="00DC3E1E"/>
    <w:rsid w:val="00DC4328"/>
    <w:rsid w:val="00DC4A15"/>
    <w:rsid w:val="00DC4FDD"/>
    <w:rsid w:val="00DC63C7"/>
    <w:rsid w:val="00DC67A0"/>
    <w:rsid w:val="00DC7ABB"/>
    <w:rsid w:val="00DC7FC5"/>
    <w:rsid w:val="00DD023C"/>
    <w:rsid w:val="00DD0B27"/>
    <w:rsid w:val="00DD0B94"/>
    <w:rsid w:val="00DD0D87"/>
    <w:rsid w:val="00DD115C"/>
    <w:rsid w:val="00DD1283"/>
    <w:rsid w:val="00DD1485"/>
    <w:rsid w:val="00DD2259"/>
    <w:rsid w:val="00DD27EF"/>
    <w:rsid w:val="00DD2D7E"/>
    <w:rsid w:val="00DD2F5D"/>
    <w:rsid w:val="00DD32AF"/>
    <w:rsid w:val="00DD33CA"/>
    <w:rsid w:val="00DD39C8"/>
    <w:rsid w:val="00DD3C69"/>
    <w:rsid w:val="00DD3C9B"/>
    <w:rsid w:val="00DD3DF1"/>
    <w:rsid w:val="00DD3E49"/>
    <w:rsid w:val="00DD45A5"/>
    <w:rsid w:val="00DD46D6"/>
    <w:rsid w:val="00DD47BA"/>
    <w:rsid w:val="00DD4A54"/>
    <w:rsid w:val="00DD4E4D"/>
    <w:rsid w:val="00DD509C"/>
    <w:rsid w:val="00DD5125"/>
    <w:rsid w:val="00DD51B1"/>
    <w:rsid w:val="00DD53C8"/>
    <w:rsid w:val="00DD5B0B"/>
    <w:rsid w:val="00DD6144"/>
    <w:rsid w:val="00DD7015"/>
    <w:rsid w:val="00DD7709"/>
    <w:rsid w:val="00DD7ABA"/>
    <w:rsid w:val="00DD7D6B"/>
    <w:rsid w:val="00DE022A"/>
    <w:rsid w:val="00DE0843"/>
    <w:rsid w:val="00DE0A1C"/>
    <w:rsid w:val="00DE0AF4"/>
    <w:rsid w:val="00DE0FD3"/>
    <w:rsid w:val="00DE12BE"/>
    <w:rsid w:val="00DE1448"/>
    <w:rsid w:val="00DE1C64"/>
    <w:rsid w:val="00DE2497"/>
    <w:rsid w:val="00DE2696"/>
    <w:rsid w:val="00DE29FE"/>
    <w:rsid w:val="00DE2D2B"/>
    <w:rsid w:val="00DE2FD5"/>
    <w:rsid w:val="00DE3325"/>
    <w:rsid w:val="00DE373D"/>
    <w:rsid w:val="00DE4799"/>
    <w:rsid w:val="00DE4C78"/>
    <w:rsid w:val="00DE4CFB"/>
    <w:rsid w:val="00DE526C"/>
    <w:rsid w:val="00DE5A4A"/>
    <w:rsid w:val="00DE5E3E"/>
    <w:rsid w:val="00DE6D4E"/>
    <w:rsid w:val="00DE7663"/>
    <w:rsid w:val="00DF0169"/>
    <w:rsid w:val="00DF139C"/>
    <w:rsid w:val="00DF1F36"/>
    <w:rsid w:val="00DF27E5"/>
    <w:rsid w:val="00DF2A92"/>
    <w:rsid w:val="00DF2CAC"/>
    <w:rsid w:val="00DF3409"/>
    <w:rsid w:val="00DF36ED"/>
    <w:rsid w:val="00DF51E7"/>
    <w:rsid w:val="00DF574D"/>
    <w:rsid w:val="00DF59DE"/>
    <w:rsid w:val="00DF791C"/>
    <w:rsid w:val="00DF7A95"/>
    <w:rsid w:val="00DF7BF2"/>
    <w:rsid w:val="00E00046"/>
    <w:rsid w:val="00E002A9"/>
    <w:rsid w:val="00E00E6E"/>
    <w:rsid w:val="00E01C54"/>
    <w:rsid w:val="00E01D9E"/>
    <w:rsid w:val="00E01F7D"/>
    <w:rsid w:val="00E02420"/>
    <w:rsid w:val="00E0264F"/>
    <w:rsid w:val="00E02F80"/>
    <w:rsid w:val="00E031CA"/>
    <w:rsid w:val="00E033B1"/>
    <w:rsid w:val="00E03C58"/>
    <w:rsid w:val="00E03D90"/>
    <w:rsid w:val="00E0456F"/>
    <w:rsid w:val="00E04580"/>
    <w:rsid w:val="00E045EA"/>
    <w:rsid w:val="00E04B7D"/>
    <w:rsid w:val="00E04CBD"/>
    <w:rsid w:val="00E06417"/>
    <w:rsid w:val="00E0708F"/>
    <w:rsid w:val="00E0714C"/>
    <w:rsid w:val="00E101ED"/>
    <w:rsid w:val="00E1040A"/>
    <w:rsid w:val="00E10C72"/>
    <w:rsid w:val="00E1190C"/>
    <w:rsid w:val="00E125BD"/>
    <w:rsid w:val="00E128D3"/>
    <w:rsid w:val="00E12992"/>
    <w:rsid w:val="00E1335F"/>
    <w:rsid w:val="00E136C0"/>
    <w:rsid w:val="00E139FE"/>
    <w:rsid w:val="00E13C88"/>
    <w:rsid w:val="00E13F76"/>
    <w:rsid w:val="00E14238"/>
    <w:rsid w:val="00E14A60"/>
    <w:rsid w:val="00E14E5F"/>
    <w:rsid w:val="00E15066"/>
    <w:rsid w:val="00E1523C"/>
    <w:rsid w:val="00E15262"/>
    <w:rsid w:val="00E15CE1"/>
    <w:rsid w:val="00E16A84"/>
    <w:rsid w:val="00E175C2"/>
    <w:rsid w:val="00E2077C"/>
    <w:rsid w:val="00E20C6B"/>
    <w:rsid w:val="00E20E32"/>
    <w:rsid w:val="00E20E56"/>
    <w:rsid w:val="00E21493"/>
    <w:rsid w:val="00E21520"/>
    <w:rsid w:val="00E21D27"/>
    <w:rsid w:val="00E21E9D"/>
    <w:rsid w:val="00E22416"/>
    <w:rsid w:val="00E22C4E"/>
    <w:rsid w:val="00E23461"/>
    <w:rsid w:val="00E237D7"/>
    <w:rsid w:val="00E24D82"/>
    <w:rsid w:val="00E24F51"/>
    <w:rsid w:val="00E25AFE"/>
    <w:rsid w:val="00E25E9C"/>
    <w:rsid w:val="00E263F7"/>
    <w:rsid w:val="00E2759D"/>
    <w:rsid w:val="00E27770"/>
    <w:rsid w:val="00E31020"/>
    <w:rsid w:val="00E3158D"/>
    <w:rsid w:val="00E3189B"/>
    <w:rsid w:val="00E31945"/>
    <w:rsid w:val="00E31B46"/>
    <w:rsid w:val="00E320EB"/>
    <w:rsid w:val="00E32663"/>
    <w:rsid w:val="00E32994"/>
    <w:rsid w:val="00E32BE8"/>
    <w:rsid w:val="00E32E89"/>
    <w:rsid w:val="00E32EE9"/>
    <w:rsid w:val="00E332AD"/>
    <w:rsid w:val="00E3358A"/>
    <w:rsid w:val="00E33623"/>
    <w:rsid w:val="00E337B1"/>
    <w:rsid w:val="00E33A78"/>
    <w:rsid w:val="00E33B3E"/>
    <w:rsid w:val="00E33C76"/>
    <w:rsid w:val="00E33E4C"/>
    <w:rsid w:val="00E33EC8"/>
    <w:rsid w:val="00E34428"/>
    <w:rsid w:val="00E34F5B"/>
    <w:rsid w:val="00E3552A"/>
    <w:rsid w:val="00E3592C"/>
    <w:rsid w:val="00E35BA6"/>
    <w:rsid w:val="00E35D81"/>
    <w:rsid w:val="00E35F79"/>
    <w:rsid w:val="00E368E7"/>
    <w:rsid w:val="00E36A75"/>
    <w:rsid w:val="00E36D03"/>
    <w:rsid w:val="00E370E5"/>
    <w:rsid w:val="00E37C7A"/>
    <w:rsid w:val="00E37D12"/>
    <w:rsid w:val="00E40000"/>
    <w:rsid w:val="00E40430"/>
    <w:rsid w:val="00E42324"/>
    <w:rsid w:val="00E4292F"/>
    <w:rsid w:val="00E42A47"/>
    <w:rsid w:val="00E42B55"/>
    <w:rsid w:val="00E42CB9"/>
    <w:rsid w:val="00E43F03"/>
    <w:rsid w:val="00E442C2"/>
    <w:rsid w:val="00E44E38"/>
    <w:rsid w:val="00E45321"/>
    <w:rsid w:val="00E45602"/>
    <w:rsid w:val="00E45A44"/>
    <w:rsid w:val="00E45EB1"/>
    <w:rsid w:val="00E460BE"/>
    <w:rsid w:val="00E461B0"/>
    <w:rsid w:val="00E467E9"/>
    <w:rsid w:val="00E47620"/>
    <w:rsid w:val="00E47BD4"/>
    <w:rsid w:val="00E47C2A"/>
    <w:rsid w:val="00E47E8E"/>
    <w:rsid w:val="00E50195"/>
    <w:rsid w:val="00E504E4"/>
    <w:rsid w:val="00E5061F"/>
    <w:rsid w:val="00E50857"/>
    <w:rsid w:val="00E509E3"/>
    <w:rsid w:val="00E50A08"/>
    <w:rsid w:val="00E50C7F"/>
    <w:rsid w:val="00E50E27"/>
    <w:rsid w:val="00E511A0"/>
    <w:rsid w:val="00E51555"/>
    <w:rsid w:val="00E51978"/>
    <w:rsid w:val="00E51C1F"/>
    <w:rsid w:val="00E51F83"/>
    <w:rsid w:val="00E52395"/>
    <w:rsid w:val="00E528C8"/>
    <w:rsid w:val="00E52A0D"/>
    <w:rsid w:val="00E52C30"/>
    <w:rsid w:val="00E53FFC"/>
    <w:rsid w:val="00E547D2"/>
    <w:rsid w:val="00E553F3"/>
    <w:rsid w:val="00E55432"/>
    <w:rsid w:val="00E555D9"/>
    <w:rsid w:val="00E55AD2"/>
    <w:rsid w:val="00E55FF1"/>
    <w:rsid w:val="00E56807"/>
    <w:rsid w:val="00E57824"/>
    <w:rsid w:val="00E57D1F"/>
    <w:rsid w:val="00E6001F"/>
    <w:rsid w:val="00E602F2"/>
    <w:rsid w:val="00E605D0"/>
    <w:rsid w:val="00E607CD"/>
    <w:rsid w:val="00E60AD3"/>
    <w:rsid w:val="00E61651"/>
    <w:rsid w:val="00E62321"/>
    <w:rsid w:val="00E62620"/>
    <w:rsid w:val="00E62805"/>
    <w:rsid w:val="00E62ABE"/>
    <w:rsid w:val="00E62AFF"/>
    <w:rsid w:val="00E62E53"/>
    <w:rsid w:val="00E63440"/>
    <w:rsid w:val="00E645BC"/>
    <w:rsid w:val="00E64B62"/>
    <w:rsid w:val="00E64C65"/>
    <w:rsid w:val="00E64D19"/>
    <w:rsid w:val="00E65DCD"/>
    <w:rsid w:val="00E661BD"/>
    <w:rsid w:val="00E663DB"/>
    <w:rsid w:val="00E66AEF"/>
    <w:rsid w:val="00E66C7F"/>
    <w:rsid w:val="00E672E0"/>
    <w:rsid w:val="00E6730A"/>
    <w:rsid w:val="00E67603"/>
    <w:rsid w:val="00E67701"/>
    <w:rsid w:val="00E678AA"/>
    <w:rsid w:val="00E67A47"/>
    <w:rsid w:val="00E67D21"/>
    <w:rsid w:val="00E70737"/>
    <w:rsid w:val="00E70A4E"/>
    <w:rsid w:val="00E71302"/>
    <w:rsid w:val="00E716D5"/>
    <w:rsid w:val="00E71AF9"/>
    <w:rsid w:val="00E71DEF"/>
    <w:rsid w:val="00E724E5"/>
    <w:rsid w:val="00E7265C"/>
    <w:rsid w:val="00E73158"/>
    <w:rsid w:val="00E73769"/>
    <w:rsid w:val="00E73EFF"/>
    <w:rsid w:val="00E7436A"/>
    <w:rsid w:val="00E7478E"/>
    <w:rsid w:val="00E74A64"/>
    <w:rsid w:val="00E74E83"/>
    <w:rsid w:val="00E754E5"/>
    <w:rsid w:val="00E758DE"/>
    <w:rsid w:val="00E763CC"/>
    <w:rsid w:val="00E77822"/>
    <w:rsid w:val="00E77CF0"/>
    <w:rsid w:val="00E80139"/>
    <w:rsid w:val="00E80365"/>
    <w:rsid w:val="00E80708"/>
    <w:rsid w:val="00E80858"/>
    <w:rsid w:val="00E80CF8"/>
    <w:rsid w:val="00E81512"/>
    <w:rsid w:val="00E817BA"/>
    <w:rsid w:val="00E821B8"/>
    <w:rsid w:val="00E82A40"/>
    <w:rsid w:val="00E82B7D"/>
    <w:rsid w:val="00E82EDA"/>
    <w:rsid w:val="00E82F5D"/>
    <w:rsid w:val="00E83133"/>
    <w:rsid w:val="00E8317C"/>
    <w:rsid w:val="00E831D6"/>
    <w:rsid w:val="00E83DD7"/>
    <w:rsid w:val="00E843F9"/>
    <w:rsid w:val="00E84F4A"/>
    <w:rsid w:val="00E85A56"/>
    <w:rsid w:val="00E860BE"/>
    <w:rsid w:val="00E86430"/>
    <w:rsid w:val="00E86638"/>
    <w:rsid w:val="00E86DF2"/>
    <w:rsid w:val="00E874CF"/>
    <w:rsid w:val="00E875CA"/>
    <w:rsid w:val="00E878E5"/>
    <w:rsid w:val="00E9030F"/>
    <w:rsid w:val="00E90576"/>
    <w:rsid w:val="00E90DD4"/>
    <w:rsid w:val="00E9277C"/>
    <w:rsid w:val="00E930B9"/>
    <w:rsid w:val="00E93682"/>
    <w:rsid w:val="00E936D2"/>
    <w:rsid w:val="00E93715"/>
    <w:rsid w:val="00E93796"/>
    <w:rsid w:val="00E93ACE"/>
    <w:rsid w:val="00E93B90"/>
    <w:rsid w:val="00E93DFE"/>
    <w:rsid w:val="00E94F66"/>
    <w:rsid w:val="00E95573"/>
    <w:rsid w:val="00E9559D"/>
    <w:rsid w:val="00E95B70"/>
    <w:rsid w:val="00E95E24"/>
    <w:rsid w:val="00E95EB5"/>
    <w:rsid w:val="00E968A8"/>
    <w:rsid w:val="00E96932"/>
    <w:rsid w:val="00E96FA3"/>
    <w:rsid w:val="00E9779A"/>
    <w:rsid w:val="00EA1909"/>
    <w:rsid w:val="00EA1E3A"/>
    <w:rsid w:val="00EA2DAA"/>
    <w:rsid w:val="00EA31CA"/>
    <w:rsid w:val="00EA3712"/>
    <w:rsid w:val="00EA3900"/>
    <w:rsid w:val="00EA3C89"/>
    <w:rsid w:val="00EA475D"/>
    <w:rsid w:val="00EA4DAE"/>
    <w:rsid w:val="00EA5746"/>
    <w:rsid w:val="00EA5CCE"/>
    <w:rsid w:val="00EA707B"/>
    <w:rsid w:val="00EA76A5"/>
    <w:rsid w:val="00EA7824"/>
    <w:rsid w:val="00EA791D"/>
    <w:rsid w:val="00EA7F7A"/>
    <w:rsid w:val="00EB008E"/>
    <w:rsid w:val="00EB029A"/>
    <w:rsid w:val="00EB02A7"/>
    <w:rsid w:val="00EB0BE7"/>
    <w:rsid w:val="00EB0DA7"/>
    <w:rsid w:val="00EB0FFA"/>
    <w:rsid w:val="00EB2155"/>
    <w:rsid w:val="00EB39C9"/>
    <w:rsid w:val="00EB39E0"/>
    <w:rsid w:val="00EB39EA"/>
    <w:rsid w:val="00EB3B88"/>
    <w:rsid w:val="00EB5058"/>
    <w:rsid w:val="00EB5393"/>
    <w:rsid w:val="00EB5A3C"/>
    <w:rsid w:val="00EB5B7D"/>
    <w:rsid w:val="00EB5D8D"/>
    <w:rsid w:val="00EB634E"/>
    <w:rsid w:val="00EB64E3"/>
    <w:rsid w:val="00EB6A3E"/>
    <w:rsid w:val="00EB6F1D"/>
    <w:rsid w:val="00EB7CA9"/>
    <w:rsid w:val="00EC0636"/>
    <w:rsid w:val="00EC08C1"/>
    <w:rsid w:val="00EC0CA4"/>
    <w:rsid w:val="00EC0D9D"/>
    <w:rsid w:val="00EC0F6A"/>
    <w:rsid w:val="00EC1F97"/>
    <w:rsid w:val="00EC2B6D"/>
    <w:rsid w:val="00EC34D2"/>
    <w:rsid w:val="00EC3B4C"/>
    <w:rsid w:val="00EC3E8B"/>
    <w:rsid w:val="00EC41C5"/>
    <w:rsid w:val="00EC4326"/>
    <w:rsid w:val="00EC469B"/>
    <w:rsid w:val="00EC4943"/>
    <w:rsid w:val="00EC4CA3"/>
    <w:rsid w:val="00EC4E15"/>
    <w:rsid w:val="00EC565B"/>
    <w:rsid w:val="00EC5C56"/>
    <w:rsid w:val="00EC6D61"/>
    <w:rsid w:val="00EC7D47"/>
    <w:rsid w:val="00EC7EC2"/>
    <w:rsid w:val="00ED1360"/>
    <w:rsid w:val="00ED21C7"/>
    <w:rsid w:val="00ED2904"/>
    <w:rsid w:val="00ED30BE"/>
    <w:rsid w:val="00ED38EF"/>
    <w:rsid w:val="00ED3D55"/>
    <w:rsid w:val="00ED3DBC"/>
    <w:rsid w:val="00ED4640"/>
    <w:rsid w:val="00ED4AEE"/>
    <w:rsid w:val="00ED52C2"/>
    <w:rsid w:val="00ED6096"/>
    <w:rsid w:val="00ED6AD9"/>
    <w:rsid w:val="00ED7542"/>
    <w:rsid w:val="00ED7B0A"/>
    <w:rsid w:val="00ED7C50"/>
    <w:rsid w:val="00ED7E50"/>
    <w:rsid w:val="00EE00D2"/>
    <w:rsid w:val="00EE0203"/>
    <w:rsid w:val="00EE0464"/>
    <w:rsid w:val="00EE0A8A"/>
    <w:rsid w:val="00EE0CBD"/>
    <w:rsid w:val="00EE0E52"/>
    <w:rsid w:val="00EE19C9"/>
    <w:rsid w:val="00EE1C99"/>
    <w:rsid w:val="00EE1ECB"/>
    <w:rsid w:val="00EE2340"/>
    <w:rsid w:val="00EE26B6"/>
    <w:rsid w:val="00EE3417"/>
    <w:rsid w:val="00EE34DE"/>
    <w:rsid w:val="00EE3689"/>
    <w:rsid w:val="00EE3888"/>
    <w:rsid w:val="00EE3CB2"/>
    <w:rsid w:val="00EE3CD5"/>
    <w:rsid w:val="00EE3FC1"/>
    <w:rsid w:val="00EE40CB"/>
    <w:rsid w:val="00EE4CD9"/>
    <w:rsid w:val="00EE566A"/>
    <w:rsid w:val="00EE56CC"/>
    <w:rsid w:val="00EE5A34"/>
    <w:rsid w:val="00EE5F52"/>
    <w:rsid w:val="00EE653B"/>
    <w:rsid w:val="00EE744B"/>
    <w:rsid w:val="00EE7787"/>
    <w:rsid w:val="00EF00D7"/>
    <w:rsid w:val="00EF0515"/>
    <w:rsid w:val="00EF137D"/>
    <w:rsid w:val="00EF1479"/>
    <w:rsid w:val="00EF1F60"/>
    <w:rsid w:val="00EF1FE4"/>
    <w:rsid w:val="00EF414A"/>
    <w:rsid w:val="00EF4315"/>
    <w:rsid w:val="00EF4A12"/>
    <w:rsid w:val="00EF4AD9"/>
    <w:rsid w:val="00EF4DA9"/>
    <w:rsid w:val="00EF5EC2"/>
    <w:rsid w:val="00EF65F5"/>
    <w:rsid w:val="00EF6C4C"/>
    <w:rsid w:val="00EF6CAE"/>
    <w:rsid w:val="00EF7338"/>
    <w:rsid w:val="00EF7D41"/>
    <w:rsid w:val="00F00611"/>
    <w:rsid w:val="00F00E54"/>
    <w:rsid w:val="00F010E2"/>
    <w:rsid w:val="00F01888"/>
    <w:rsid w:val="00F02214"/>
    <w:rsid w:val="00F02A96"/>
    <w:rsid w:val="00F02CAC"/>
    <w:rsid w:val="00F0355F"/>
    <w:rsid w:val="00F040FD"/>
    <w:rsid w:val="00F04504"/>
    <w:rsid w:val="00F05125"/>
    <w:rsid w:val="00F0529D"/>
    <w:rsid w:val="00F05427"/>
    <w:rsid w:val="00F055D2"/>
    <w:rsid w:val="00F05703"/>
    <w:rsid w:val="00F05D31"/>
    <w:rsid w:val="00F05D8B"/>
    <w:rsid w:val="00F06AD9"/>
    <w:rsid w:val="00F07087"/>
    <w:rsid w:val="00F07E10"/>
    <w:rsid w:val="00F1074C"/>
    <w:rsid w:val="00F1084A"/>
    <w:rsid w:val="00F10CEC"/>
    <w:rsid w:val="00F10D0E"/>
    <w:rsid w:val="00F112CC"/>
    <w:rsid w:val="00F118E3"/>
    <w:rsid w:val="00F11B8C"/>
    <w:rsid w:val="00F12104"/>
    <w:rsid w:val="00F12860"/>
    <w:rsid w:val="00F12E1A"/>
    <w:rsid w:val="00F1320E"/>
    <w:rsid w:val="00F13485"/>
    <w:rsid w:val="00F137AE"/>
    <w:rsid w:val="00F138BD"/>
    <w:rsid w:val="00F13A4B"/>
    <w:rsid w:val="00F14D88"/>
    <w:rsid w:val="00F14EDD"/>
    <w:rsid w:val="00F14F57"/>
    <w:rsid w:val="00F15681"/>
    <w:rsid w:val="00F15927"/>
    <w:rsid w:val="00F15A63"/>
    <w:rsid w:val="00F15B77"/>
    <w:rsid w:val="00F16CBA"/>
    <w:rsid w:val="00F16D76"/>
    <w:rsid w:val="00F201CA"/>
    <w:rsid w:val="00F2068F"/>
    <w:rsid w:val="00F207AC"/>
    <w:rsid w:val="00F20999"/>
    <w:rsid w:val="00F2181F"/>
    <w:rsid w:val="00F21D5B"/>
    <w:rsid w:val="00F21F9A"/>
    <w:rsid w:val="00F2227C"/>
    <w:rsid w:val="00F22A9B"/>
    <w:rsid w:val="00F22EFC"/>
    <w:rsid w:val="00F22F89"/>
    <w:rsid w:val="00F230E6"/>
    <w:rsid w:val="00F23A51"/>
    <w:rsid w:val="00F242EA"/>
    <w:rsid w:val="00F24A26"/>
    <w:rsid w:val="00F25156"/>
    <w:rsid w:val="00F25278"/>
    <w:rsid w:val="00F256CE"/>
    <w:rsid w:val="00F2594A"/>
    <w:rsid w:val="00F2603F"/>
    <w:rsid w:val="00F2636C"/>
    <w:rsid w:val="00F26491"/>
    <w:rsid w:val="00F26651"/>
    <w:rsid w:val="00F267CA"/>
    <w:rsid w:val="00F26C56"/>
    <w:rsid w:val="00F273A6"/>
    <w:rsid w:val="00F27540"/>
    <w:rsid w:val="00F27961"/>
    <w:rsid w:val="00F27BD6"/>
    <w:rsid w:val="00F30F98"/>
    <w:rsid w:val="00F317D6"/>
    <w:rsid w:val="00F3244E"/>
    <w:rsid w:val="00F32851"/>
    <w:rsid w:val="00F33904"/>
    <w:rsid w:val="00F339BF"/>
    <w:rsid w:val="00F33A2F"/>
    <w:rsid w:val="00F34EDE"/>
    <w:rsid w:val="00F351A0"/>
    <w:rsid w:val="00F355EB"/>
    <w:rsid w:val="00F35914"/>
    <w:rsid w:val="00F35A0A"/>
    <w:rsid w:val="00F36A78"/>
    <w:rsid w:val="00F36BCD"/>
    <w:rsid w:val="00F36D2B"/>
    <w:rsid w:val="00F375A1"/>
    <w:rsid w:val="00F375ED"/>
    <w:rsid w:val="00F3772D"/>
    <w:rsid w:val="00F37759"/>
    <w:rsid w:val="00F37995"/>
    <w:rsid w:val="00F4015B"/>
    <w:rsid w:val="00F40788"/>
    <w:rsid w:val="00F40A09"/>
    <w:rsid w:val="00F40F4E"/>
    <w:rsid w:val="00F412F3"/>
    <w:rsid w:val="00F4150C"/>
    <w:rsid w:val="00F4179D"/>
    <w:rsid w:val="00F41D0C"/>
    <w:rsid w:val="00F41FF2"/>
    <w:rsid w:val="00F421E2"/>
    <w:rsid w:val="00F42D49"/>
    <w:rsid w:val="00F42F5E"/>
    <w:rsid w:val="00F430AC"/>
    <w:rsid w:val="00F43C51"/>
    <w:rsid w:val="00F441EE"/>
    <w:rsid w:val="00F44398"/>
    <w:rsid w:val="00F443AB"/>
    <w:rsid w:val="00F452E0"/>
    <w:rsid w:val="00F45B5B"/>
    <w:rsid w:val="00F47C65"/>
    <w:rsid w:val="00F47DE9"/>
    <w:rsid w:val="00F50404"/>
    <w:rsid w:val="00F50BB2"/>
    <w:rsid w:val="00F50C25"/>
    <w:rsid w:val="00F5106F"/>
    <w:rsid w:val="00F51280"/>
    <w:rsid w:val="00F5135C"/>
    <w:rsid w:val="00F514E8"/>
    <w:rsid w:val="00F51C3F"/>
    <w:rsid w:val="00F52195"/>
    <w:rsid w:val="00F5230D"/>
    <w:rsid w:val="00F526B6"/>
    <w:rsid w:val="00F5306A"/>
    <w:rsid w:val="00F53421"/>
    <w:rsid w:val="00F536DB"/>
    <w:rsid w:val="00F538DB"/>
    <w:rsid w:val="00F53C12"/>
    <w:rsid w:val="00F53DE4"/>
    <w:rsid w:val="00F54300"/>
    <w:rsid w:val="00F5441E"/>
    <w:rsid w:val="00F5461B"/>
    <w:rsid w:val="00F552AF"/>
    <w:rsid w:val="00F556FD"/>
    <w:rsid w:val="00F55994"/>
    <w:rsid w:val="00F55AA5"/>
    <w:rsid w:val="00F55FB8"/>
    <w:rsid w:val="00F5606E"/>
    <w:rsid w:val="00F56389"/>
    <w:rsid w:val="00F56954"/>
    <w:rsid w:val="00F56F19"/>
    <w:rsid w:val="00F570C1"/>
    <w:rsid w:val="00F573EB"/>
    <w:rsid w:val="00F5752E"/>
    <w:rsid w:val="00F577D8"/>
    <w:rsid w:val="00F57897"/>
    <w:rsid w:val="00F57ED9"/>
    <w:rsid w:val="00F60243"/>
    <w:rsid w:val="00F603AD"/>
    <w:rsid w:val="00F60C65"/>
    <w:rsid w:val="00F6109A"/>
    <w:rsid w:val="00F61413"/>
    <w:rsid w:val="00F61B6D"/>
    <w:rsid w:val="00F61EC5"/>
    <w:rsid w:val="00F63945"/>
    <w:rsid w:val="00F643D2"/>
    <w:rsid w:val="00F64561"/>
    <w:rsid w:val="00F6503A"/>
    <w:rsid w:val="00F652C0"/>
    <w:rsid w:val="00F6579B"/>
    <w:rsid w:val="00F6599B"/>
    <w:rsid w:val="00F66053"/>
    <w:rsid w:val="00F66206"/>
    <w:rsid w:val="00F6683A"/>
    <w:rsid w:val="00F66FF2"/>
    <w:rsid w:val="00F67A9F"/>
    <w:rsid w:val="00F700BD"/>
    <w:rsid w:val="00F7022A"/>
    <w:rsid w:val="00F71013"/>
    <w:rsid w:val="00F72220"/>
    <w:rsid w:val="00F7239B"/>
    <w:rsid w:val="00F726A5"/>
    <w:rsid w:val="00F72DCE"/>
    <w:rsid w:val="00F72E30"/>
    <w:rsid w:val="00F73335"/>
    <w:rsid w:val="00F73636"/>
    <w:rsid w:val="00F73CA9"/>
    <w:rsid w:val="00F745B0"/>
    <w:rsid w:val="00F749EC"/>
    <w:rsid w:val="00F7504C"/>
    <w:rsid w:val="00F75457"/>
    <w:rsid w:val="00F75684"/>
    <w:rsid w:val="00F756BA"/>
    <w:rsid w:val="00F75AE2"/>
    <w:rsid w:val="00F76156"/>
    <w:rsid w:val="00F76284"/>
    <w:rsid w:val="00F7654F"/>
    <w:rsid w:val="00F76676"/>
    <w:rsid w:val="00F76AB7"/>
    <w:rsid w:val="00F77360"/>
    <w:rsid w:val="00F7741A"/>
    <w:rsid w:val="00F77849"/>
    <w:rsid w:val="00F80128"/>
    <w:rsid w:val="00F80962"/>
    <w:rsid w:val="00F81631"/>
    <w:rsid w:val="00F81B8A"/>
    <w:rsid w:val="00F81FF9"/>
    <w:rsid w:val="00F82E67"/>
    <w:rsid w:val="00F84018"/>
    <w:rsid w:val="00F8409E"/>
    <w:rsid w:val="00F84547"/>
    <w:rsid w:val="00F8477C"/>
    <w:rsid w:val="00F8486D"/>
    <w:rsid w:val="00F85318"/>
    <w:rsid w:val="00F85559"/>
    <w:rsid w:val="00F855D5"/>
    <w:rsid w:val="00F85EFA"/>
    <w:rsid w:val="00F85F16"/>
    <w:rsid w:val="00F87D2D"/>
    <w:rsid w:val="00F87EF8"/>
    <w:rsid w:val="00F912E1"/>
    <w:rsid w:val="00F913A3"/>
    <w:rsid w:val="00F91462"/>
    <w:rsid w:val="00F918FE"/>
    <w:rsid w:val="00F92FE3"/>
    <w:rsid w:val="00F9449D"/>
    <w:rsid w:val="00F94A16"/>
    <w:rsid w:val="00F95705"/>
    <w:rsid w:val="00F9659E"/>
    <w:rsid w:val="00F96D1E"/>
    <w:rsid w:val="00F96EA0"/>
    <w:rsid w:val="00F96F9D"/>
    <w:rsid w:val="00FA00F6"/>
    <w:rsid w:val="00FA015E"/>
    <w:rsid w:val="00FA0258"/>
    <w:rsid w:val="00FA0E97"/>
    <w:rsid w:val="00FA22D3"/>
    <w:rsid w:val="00FA23DB"/>
    <w:rsid w:val="00FA2425"/>
    <w:rsid w:val="00FA25E6"/>
    <w:rsid w:val="00FA2B61"/>
    <w:rsid w:val="00FA2B99"/>
    <w:rsid w:val="00FA3127"/>
    <w:rsid w:val="00FA3318"/>
    <w:rsid w:val="00FA3C30"/>
    <w:rsid w:val="00FA410B"/>
    <w:rsid w:val="00FA42F0"/>
    <w:rsid w:val="00FA44EB"/>
    <w:rsid w:val="00FA45BF"/>
    <w:rsid w:val="00FA50AD"/>
    <w:rsid w:val="00FA574C"/>
    <w:rsid w:val="00FA5B1C"/>
    <w:rsid w:val="00FA5EA2"/>
    <w:rsid w:val="00FA5FF0"/>
    <w:rsid w:val="00FA6855"/>
    <w:rsid w:val="00FA68E5"/>
    <w:rsid w:val="00FA6C13"/>
    <w:rsid w:val="00FA7AFB"/>
    <w:rsid w:val="00FA7B3B"/>
    <w:rsid w:val="00FA7D6B"/>
    <w:rsid w:val="00FB0251"/>
    <w:rsid w:val="00FB0EAB"/>
    <w:rsid w:val="00FB144B"/>
    <w:rsid w:val="00FB2139"/>
    <w:rsid w:val="00FB215E"/>
    <w:rsid w:val="00FB288C"/>
    <w:rsid w:val="00FB28EF"/>
    <w:rsid w:val="00FB2C36"/>
    <w:rsid w:val="00FB2E4A"/>
    <w:rsid w:val="00FB312C"/>
    <w:rsid w:val="00FB4386"/>
    <w:rsid w:val="00FB45F8"/>
    <w:rsid w:val="00FB4A76"/>
    <w:rsid w:val="00FB4CA9"/>
    <w:rsid w:val="00FB4EEF"/>
    <w:rsid w:val="00FB50F4"/>
    <w:rsid w:val="00FB5F62"/>
    <w:rsid w:val="00FB5FB3"/>
    <w:rsid w:val="00FB68F1"/>
    <w:rsid w:val="00FB6B2E"/>
    <w:rsid w:val="00FB6CFF"/>
    <w:rsid w:val="00FB72D5"/>
    <w:rsid w:val="00FC030C"/>
    <w:rsid w:val="00FC08A7"/>
    <w:rsid w:val="00FC189F"/>
    <w:rsid w:val="00FC20CA"/>
    <w:rsid w:val="00FC394E"/>
    <w:rsid w:val="00FC39E9"/>
    <w:rsid w:val="00FC3BF0"/>
    <w:rsid w:val="00FC41EF"/>
    <w:rsid w:val="00FC5290"/>
    <w:rsid w:val="00FC537F"/>
    <w:rsid w:val="00FC581B"/>
    <w:rsid w:val="00FC60C0"/>
    <w:rsid w:val="00FC6B5D"/>
    <w:rsid w:val="00FC6D51"/>
    <w:rsid w:val="00FC7176"/>
    <w:rsid w:val="00FC794B"/>
    <w:rsid w:val="00FC7DB9"/>
    <w:rsid w:val="00FC7DF3"/>
    <w:rsid w:val="00FC7FC3"/>
    <w:rsid w:val="00FD0B0B"/>
    <w:rsid w:val="00FD2613"/>
    <w:rsid w:val="00FD2747"/>
    <w:rsid w:val="00FD35AB"/>
    <w:rsid w:val="00FD39B1"/>
    <w:rsid w:val="00FD439C"/>
    <w:rsid w:val="00FD4526"/>
    <w:rsid w:val="00FD560A"/>
    <w:rsid w:val="00FD56D6"/>
    <w:rsid w:val="00FD5D98"/>
    <w:rsid w:val="00FD6218"/>
    <w:rsid w:val="00FD658F"/>
    <w:rsid w:val="00FD6887"/>
    <w:rsid w:val="00FD6D08"/>
    <w:rsid w:val="00FD7351"/>
    <w:rsid w:val="00FD76AF"/>
    <w:rsid w:val="00FE0AAE"/>
    <w:rsid w:val="00FE0C0E"/>
    <w:rsid w:val="00FE0DA6"/>
    <w:rsid w:val="00FE142C"/>
    <w:rsid w:val="00FE1971"/>
    <w:rsid w:val="00FE1A6F"/>
    <w:rsid w:val="00FE2177"/>
    <w:rsid w:val="00FE22F2"/>
    <w:rsid w:val="00FE2B69"/>
    <w:rsid w:val="00FE2D59"/>
    <w:rsid w:val="00FE2F15"/>
    <w:rsid w:val="00FE34DD"/>
    <w:rsid w:val="00FE3EE3"/>
    <w:rsid w:val="00FE4225"/>
    <w:rsid w:val="00FE46D7"/>
    <w:rsid w:val="00FE47BE"/>
    <w:rsid w:val="00FE4907"/>
    <w:rsid w:val="00FE5192"/>
    <w:rsid w:val="00FE5644"/>
    <w:rsid w:val="00FE59D4"/>
    <w:rsid w:val="00FE5E10"/>
    <w:rsid w:val="00FE6B2F"/>
    <w:rsid w:val="00FE6C65"/>
    <w:rsid w:val="00FE76A5"/>
    <w:rsid w:val="00FE7C46"/>
    <w:rsid w:val="00FF091F"/>
    <w:rsid w:val="00FF0F88"/>
    <w:rsid w:val="00FF153E"/>
    <w:rsid w:val="00FF1634"/>
    <w:rsid w:val="00FF260D"/>
    <w:rsid w:val="00FF2CC3"/>
    <w:rsid w:val="00FF3B17"/>
    <w:rsid w:val="00FF49AE"/>
    <w:rsid w:val="00FF4AAA"/>
    <w:rsid w:val="00FF4FFE"/>
    <w:rsid w:val="00FF506E"/>
    <w:rsid w:val="00FF56FE"/>
    <w:rsid w:val="00FF5DBA"/>
    <w:rsid w:val="00FF5E7B"/>
    <w:rsid w:val="00FF5F20"/>
    <w:rsid w:val="00FF6136"/>
    <w:rsid w:val="00FF692E"/>
    <w:rsid w:val="00FF7265"/>
    <w:rsid w:val="00FF73FB"/>
    <w:rsid w:val="00FF7B29"/>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1EA25"/>
  <w15:docId w15:val="{C2F09E70-6FAB-4CA5-B6CE-0A0DBAEF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2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18D"/>
    <w:pPr>
      <w:autoSpaceDE w:val="0"/>
      <w:autoSpaceDN w:val="0"/>
      <w:adjustRightInd w:val="0"/>
    </w:pPr>
    <w:rPr>
      <w:color w:val="000000"/>
      <w:sz w:val="24"/>
      <w:szCs w:val="24"/>
    </w:rPr>
  </w:style>
  <w:style w:type="table" w:styleId="TableGrid">
    <w:name w:val="Table Grid"/>
    <w:basedOn w:val="TableNormal"/>
    <w:uiPriority w:val="39"/>
    <w:rsid w:val="0027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55D6"/>
    <w:rPr>
      <w:sz w:val="24"/>
    </w:rPr>
  </w:style>
  <w:style w:type="paragraph" w:styleId="BalloonText">
    <w:name w:val="Balloon Text"/>
    <w:basedOn w:val="Normal"/>
    <w:link w:val="BalloonTextChar"/>
    <w:uiPriority w:val="99"/>
    <w:rsid w:val="00B255D6"/>
    <w:rPr>
      <w:rFonts w:ascii="Tahoma" w:hAnsi="Tahoma"/>
      <w:sz w:val="16"/>
      <w:szCs w:val="16"/>
      <w:lang w:val="x-none" w:eastAsia="x-none"/>
    </w:rPr>
  </w:style>
  <w:style w:type="character" w:customStyle="1" w:styleId="BalloonTextChar">
    <w:name w:val="Balloon Text Char"/>
    <w:link w:val="BalloonText"/>
    <w:uiPriority w:val="99"/>
    <w:rsid w:val="00B255D6"/>
    <w:rPr>
      <w:rFonts w:ascii="Tahoma" w:hAnsi="Tahoma" w:cs="Tahoma"/>
      <w:sz w:val="16"/>
      <w:szCs w:val="16"/>
    </w:rPr>
  </w:style>
  <w:style w:type="character" w:styleId="CommentReference">
    <w:name w:val="annotation reference"/>
    <w:uiPriority w:val="99"/>
    <w:rsid w:val="00C158A0"/>
    <w:rPr>
      <w:sz w:val="16"/>
      <w:szCs w:val="16"/>
    </w:rPr>
  </w:style>
  <w:style w:type="paragraph" w:styleId="CommentText">
    <w:name w:val="annotation text"/>
    <w:basedOn w:val="Normal"/>
    <w:link w:val="CommentTextChar"/>
    <w:uiPriority w:val="99"/>
    <w:rsid w:val="00C158A0"/>
    <w:rPr>
      <w:sz w:val="20"/>
    </w:rPr>
  </w:style>
  <w:style w:type="character" w:customStyle="1" w:styleId="CommentTextChar">
    <w:name w:val="Comment Text Char"/>
    <w:basedOn w:val="DefaultParagraphFont"/>
    <w:link w:val="CommentText"/>
    <w:uiPriority w:val="99"/>
    <w:rsid w:val="00C158A0"/>
  </w:style>
  <w:style w:type="paragraph" w:styleId="CommentSubject">
    <w:name w:val="annotation subject"/>
    <w:basedOn w:val="CommentText"/>
    <w:next w:val="CommentText"/>
    <w:link w:val="CommentSubjectChar"/>
    <w:rsid w:val="00C158A0"/>
    <w:rPr>
      <w:b/>
      <w:bCs/>
      <w:lang w:val="x-none" w:eastAsia="x-none"/>
    </w:rPr>
  </w:style>
  <w:style w:type="character" w:customStyle="1" w:styleId="CommentSubjectChar">
    <w:name w:val="Comment Subject Char"/>
    <w:link w:val="CommentSubject"/>
    <w:rsid w:val="00C158A0"/>
    <w:rPr>
      <w:b/>
      <w:bCs/>
    </w:rPr>
  </w:style>
  <w:style w:type="paragraph" w:styleId="Header">
    <w:name w:val="header"/>
    <w:basedOn w:val="Normal"/>
    <w:link w:val="HeaderChar"/>
    <w:uiPriority w:val="99"/>
    <w:rsid w:val="00F61413"/>
    <w:pPr>
      <w:tabs>
        <w:tab w:val="center" w:pos="4680"/>
        <w:tab w:val="right" w:pos="9360"/>
      </w:tabs>
    </w:pPr>
    <w:rPr>
      <w:lang w:val="x-none" w:eastAsia="x-none"/>
    </w:rPr>
  </w:style>
  <w:style w:type="character" w:customStyle="1" w:styleId="HeaderChar">
    <w:name w:val="Header Char"/>
    <w:link w:val="Header"/>
    <w:uiPriority w:val="99"/>
    <w:rsid w:val="00F61413"/>
    <w:rPr>
      <w:sz w:val="24"/>
    </w:rPr>
  </w:style>
  <w:style w:type="paragraph" w:styleId="Footer">
    <w:name w:val="footer"/>
    <w:basedOn w:val="Normal"/>
    <w:link w:val="FooterChar"/>
    <w:uiPriority w:val="99"/>
    <w:rsid w:val="00F61413"/>
    <w:pPr>
      <w:tabs>
        <w:tab w:val="center" w:pos="4680"/>
        <w:tab w:val="right" w:pos="9360"/>
      </w:tabs>
    </w:pPr>
    <w:rPr>
      <w:lang w:val="x-none" w:eastAsia="x-none"/>
    </w:rPr>
  </w:style>
  <w:style w:type="character" w:customStyle="1" w:styleId="FooterChar">
    <w:name w:val="Footer Char"/>
    <w:link w:val="Footer"/>
    <w:uiPriority w:val="99"/>
    <w:rsid w:val="00F61413"/>
    <w:rPr>
      <w:sz w:val="24"/>
    </w:rPr>
  </w:style>
  <w:style w:type="paragraph" w:styleId="ListParagraph">
    <w:name w:val="List Paragraph"/>
    <w:basedOn w:val="Normal"/>
    <w:uiPriority w:val="34"/>
    <w:qFormat/>
    <w:rsid w:val="00CD0CB2"/>
    <w:pPr>
      <w:ind w:left="720"/>
    </w:pPr>
  </w:style>
  <w:style w:type="table" w:customStyle="1" w:styleId="TableGrid1">
    <w:name w:val="Table Grid1"/>
    <w:basedOn w:val="TableNormal"/>
    <w:next w:val="TableGrid"/>
    <w:uiPriority w:val="59"/>
    <w:rsid w:val="00265CB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F46F8"/>
    <w:rPr>
      <w:sz w:val="20"/>
    </w:rPr>
  </w:style>
  <w:style w:type="character" w:customStyle="1" w:styleId="EndnoteTextChar">
    <w:name w:val="Endnote Text Char"/>
    <w:basedOn w:val="DefaultParagraphFont"/>
    <w:link w:val="EndnoteText"/>
    <w:rsid w:val="003F46F8"/>
  </w:style>
  <w:style w:type="character" w:styleId="EndnoteReference">
    <w:name w:val="endnote reference"/>
    <w:basedOn w:val="DefaultParagraphFont"/>
    <w:rsid w:val="003F46F8"/>
    <w:rPr>
      <w:vertAlign w:val="superscript"/>
    </w:rPr>
  </w:style>
  <w:style w:type="table" w:customStyle="1" w:styleId="TableGrid11">
    <w:name w:val="Table Grid11"/>
    <w:basedOn w:val="TableNormal"/>
    <w:next w:val="TableGrid"/>
    <w:uiPriority w:val="59"/>
    <w:rsid w:val="008D778E"/>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14A60"/>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C37EF"/>
  </w:style>
  <w:style w:type="character" w:styleId="Hyperlink">
    <w:name w:val="Hyperlink"/>
    <w:basedOn w:val="DefaultParagraphFont"/>
    <w:uiPriority w:val="99"/>
    <w:unhideWhenUsed/>
    <w:rsid w:val="002C37EF"/>
    <w:rPr>
      <w:color w:val="0000FF"/>
      <w:u w:val="single"/>
    </w:rPr>
  </w:style>
  <w:style w:type="character" w:styleId="FollowedHyperlink">
    <w:name w:val="FollowedHyperlink"/>
    <w:basedOn w:val="DefaultParagraphFont"/>
    <w:uiPriority w:val="99"/>
    <w:unhideWhenUsed/>
    <w:rsid w:val="002C37EF"/>
    <w:rPr>
      <w:color w:val="800080"/>
      <w:u w:val="single"/>
    </w:rPr>
  </w:style>
  <w:style w:type="paragraph" w:customStyle="1" w:styleId="xl66">
    <w:name w:val="xl66"/>
    <w:basedOn w:val="Normal"/>
    <w:rsid w:val="002C37EF"/>
    <w:pPr>
      <w:shd w:val="clear" w:color="000000" w:fill="FFFFFF"/>
      <w:spacing w:before="100" w:beforeAutospacing="1" w:after="100" w:afterAutospacing="1"/>
      <w:jc w:val="center"/>
      <w:textAlignment w:val="center"/>
    </w:pPr>
    <w:rPr>
      <w:sz w:val="20"/>
    </w:rPr>
  </w:style>
  <w:style w:type="paragraph" w:customStyle="1" w:styleId="xl67">
    <w:name w:val="xl67"/>
    <w:basedOn w:val="Normal"/>
    <w:rsid w:val="002C37EF"/>
    <w:pPr>
      <w:shd w:val="clear" w:color="000000" w:fill="FFFFFF"/>
      <w:spacing w:before="100" w:beforeAutospacing="1" w:after="100" w:afterAutospacing="1"/>
      <w:textAlignment w:val="center"/>
    </w:pPr>
    <w:rPr>
      <w:sz w:val="20"/>
    </w:rPr>
  </w:style>
  <w:style w:type="paragraph" w:customStyle="1" w:styleId="xl68">
    <w:name w:val="xl68"/>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69">
    <w:name w:val="xl69"/>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0">
    <w:name w:val="xl70"/>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1">
    <w:name w:val="xl71"/>
    <w:basedOn w:val="Normal"/>
    <w:rsid w:val="002C37EF"/>
    <w:pPr>
      <w:shd w:val="clear" w:color="000000" w:fill="FFFFFF"/>
      <w:spacing w:before="100" w:beforeAutospacing="1" w:after="100" w:afterAutospacing="1"/>
      <w:textAlignment w:val="center"/>
    </w:pPr>
    <w:rPr>
      <w:sz w:val="20"/>
    </w:rPr>
  </w:style>
  <w:style w:type="paragraph" w:customStyle="1" w:styleId="xl72">
    <w:name w:val="xl72"/>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3">
    <w:name w:val="xl73"/>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4">
    <w:name w:val="xl74"/>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75">
    <w:name w:val="xl75"/>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6">
    <w:name w:val="xl76"/>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77">
    <w:name w:val="xl77"/>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9">
    <w:name w:val="xl79"/>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Normal"/>
    <w:rsid w:val="002C3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81">
    <w:name w:val="xl81"/>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3">
    <w:name w:val="xl83"/>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4">
    <w:name w:val="xl84"/>
    <w:basedOn w:val="Normal"/>
    <w:rsid w:val="002C3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85">
    <w:name w:val="xl85"/>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7">
    <w:name w:val="xl87"/>
    <w:basedOn w:val="Normal"/>
    <w:rsid w:val="002C37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88">
    <w:name w:val="xl88"/>
    <w:basedOn w:val="Normal"/>
    <w:rsid w:val="002C37EF"/>
    <w:pPr>
      <w:pBdr>
        <w:bottom w:val="single" w:sz="4" w:space="0" w:color="auto"/>
      </w:pBdr>
      <w:spacing w:before="100" w:beforeAutospacing="1" w:after="100" w:afterAutospacing="1"/>
      <w:jc w:val="center"/>
      <w:textAlignment w:val="center"/>
    </w:pPr>
    <w:rPr>
      <w:rFonts w:ascii="Calibri (主题正文)" w:eastAsia="Calibri (主题正文)"/>
      <w:b/>
      <w:bCs/>
      <w:sz w:val="32"/>
      <w:szCs w:val="32"/>
    </w:rPr>
  </w:style>
  <w:style w:type="numbering" w:customStyle="1" w:styleId="NoList2">
    <w:name w:val="No List2"/>
    <w:next w:val="NoList"/>
    <w:uiPriority w:val="99"/>
    <w:semiHidden/>
    <w:unhideWhenUsed/>
    <w:rsid w:val="002E2C55"/>
  </w:style>
  <w:style w:type="numbering" w:customStyle="1" w:styleId="NoList3">
    <w:name w:val="No List3"/>
    <w:next w:val="NoList"/>
    <w:uiPriority w:val="99"/>
    <w:semiHidden/>
    <w:unhideWhenUsed/>
    <w:rsid w:val="00817442"/>
  </w:style>
  <w:style w:type="paragraph" w:customStyle="1" w:styleId="xl65">
    <w:name w:val="xl65"/>
    <w:basedOn w:val="Normal"/>
    <w:rsid w:val="00DB3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mgL1">
    <w:name w:val="mg L1"/>
    <w:qFormat/>
    <w:rsid w:val="002E0BE8"/>
    <w:pPr>
      <w:numPr>
        <w:numId w:val="3"/>
      </w:numPr>
      <w:spacing w:before="240" w:after="240"/>
      <w:contextualSpacing/>
      <w:jc w:val="both"/>
      <w:outlineLvl w:val="0"/>
    </w:pPr>
    <w:rPr>
      <w:rFonts w:ascii="Arial Bold" w:hAnsi="Arial Bold"/>
      <w:b/>
      <w:lang w:eastAsia="pl-PL"/>
    </w:rPr>
  </w:style>
  <w:style w:type="paragraph" w:customStyle="1" w:styleId="mgL2">
    <w:name w:val="mg L2"/>
    <w:qFormat/>
    <w:rsid w:val="002E0BE8"/>
    <w:pPr>
      <w:numPr>
        <w:ilvl w:val="1"/>
        <w:numId w:val="3"/>
      </w:numPr>
      <w:spacing w:before="120" w:after="240"/>
      <w:outlineLvl w:val="1"/>
    </w:pPr>
    <w:rPr>
      <w:rFonts w:ascii="Arial" w:hAnsi="Arial" w:cs="Arial"/>
      <w:lang w:eastAsia="pl-PL"/>
    </w:rPr>
  </w:style>
  <w:style w:type="paragraph" w:customStyle="1" w:styleId="mgL3">
    <w:name w:val="mg L3"/>
    <w:link w:val="mgL3Char"/>
    <w:qFormat/>
    <w:rsid w:val="002E0BE8"/>
    <w:pPr>
      <w:numPr>
        <w:ilvl w:val="2"/>
        <w:numId w:val="3"/>
      </w:numPr>
      <w:tabs>
        <w:tab w:val="left" w:pos="1350"/>
      </w:tabs>
      <w:spacing w:after="240"/>
      <w:jc w:val="both"/>
      <w:outlineLvl w:val="2"/>
    </w:pPr>
    <w:rPr>
      <w:rFonts w:ascii="Arial" w:hAnsi="Arial" w:cs="Arial"/>
    </w:rPr>
  </w:style>
  <w:style w:type="character" w:customStyle="1" w:styleId="mgL3Char">
    <w:name w:val="mg L3 Char"/>
    <w:basedOn w:val="DefaultParagraphFont"/>
    <w:link w:val="mgL3"/>
    <w:rsid w:val="002E0BE8"/>
    <w:rPr>
      <w:rFonts w:ascii="Arial" w:hAnsi="Arial" w:cs="Arial"/>
    </w:rPr>
  </w:style>
  <w:style w:type="paragraph" w:customStyle="1" w:styleId="mgL4">
    <w:name w:val="mg L4"/>
    <w:link w:val="mgL4Char"/>
    <w:qFormat/>
    <w:rsid w:val="002E0BE8"/>
    <w:pPr>
      <w:numPr>
        <w:ilvl w:val="3"/>
        <w:numId w:val="3"/>
      </w:numPr>
      <w:spacing w:after="120"/>
    </w:pPr>
    <w:rPr>
      <w:rFonts w:ascii="Arial" w:hAnsi="Arial"/>
      <w:szCs w:val="24"/>
    </w:rPr>
  </w:style>
  <w:style w:type="paragraph" w:customStyle="1" w:styleId="mgL5">
    <w:name w:val="mg L5"/>
    <w:qFormat/>
    <w:rsid w:val="002E0BE8"/>
    <w:pPr>
      <w:numPr>
        <w:ilvl w:val="4"/>
        <w:numId w:val="3"/>
      </w:numPr>
      <w:tabs>
        <w:tab w:val="left" w:pos="2700"/>
      </w:tabs>
      <w:spacing w:after="120"/>
    </w:pPr>
    <w:rPr>
      <w:rFonts w:ascii="Arial" w:hAnsi="Arial"/>
      <w:szCs w:val="24"/>
    </w:rPr>
  </w:style>
  <w:style w:type="paragraph" w:customStyle="1" w:styleId="mgL6">
    <w:name w:val="mg L6"/>
    <w:qFormat/>
    <w:rsid w:val="002E0BE8"/>
    <w:pPr>
      <w:numPr>
        <w:ilvl w:val="5"/>
        <w:numId w:val="3"/>
      </w:numPr>
      <w:spacing w:after="240"/>
      <w:contextualSpacing/>
    </w:pPr>
    <w:rPr>
      <w:rFonts w:ascii="Arial" w:hAnsi="Arial" w:cs="Arial"/>
    </w:rPr>
  </w:style>
  <w:style w:type="character" w:customStyle="1" w:styleId="mgL4Char">
    <w:name w:val="mg L4 Char"/>
    <w:basedOn w:val="DefaultParagraphFont"/>
    <w:link w:val="mgL4"/>
    <w:rsid w:val="005F4458"/>
    <w:rPr>
      <w:rFonts w:ascii="Arial" w:hAnsi="Arial"/>
      <w:szCs w:val="24"/>
    </w:rPr>
  </w:style>
  <w:style w:type="paragraph" w:customStyle="1" w:styleId="CE490426FA1F417B964E942E3A6CE9DE">
    <w:name w:val="CE490426FA1F417B964E942E3A6CE9DE"/>
    <w:rsid w:val="00F412F3"/>
    <w:pPr>
      <w:spacing w:after="200" w:line="276" w:lineRule="auto"/>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99"/>
    <w:rsid w:val="000941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1344"/>
    <w:rPr>
      <w:b/>
      <w:bCs/>
    </w:rPr>
  </w:style>
  <w:style w:type="paragraph" w:styleId="NoSpacing">
    <w:name w:val="No Spacing"/>
    <w:link w:val="NoSpacingChar"/>
    <w:uiPriority w:val="1"/>
    <w:qFormat/>
    <w:rsid w:val="00421D4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21D4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C05D07"/>
  </w:style>
  <w:style w:type="paragraph" w:styleId="FootnoteText">
    <w:name w:val="footnote text"/>
    <w:basedOn w:val="Normal"/>
    <w:link w:val="FootnoteTextChar"/>
    <w:uiPriority w:val="99"/>
    <w:unhideWhenUsed/>
    <w:rsid w:val="00621F9B"/>
    <w:rPr>
      <w:rFonts w:asciiTheme="minorHAnsi" w:eastAsiaTheme="minorHAnsi" w:hAnsiTheme="minorHAnsi" w:cstheme="minorBidi"/>
      <w:kern w:val="2"/>
      <w:sz w:val="20"/>
      <w14:ligatures w14:val="standardContextual"/>
    </w:rPr>
  </w:style>
  <w:style w:type="character" w:customStyle="1" w:styleId="FootnoteTextChar">
    <w:name w:val="Footnote Text Char"/>
    <w:basedOn w:val="DefaultParagraphFont"/>
    <w:link w:val="FootnoteText"/>
    <w:uiPriority w:val="99"/>
    <w:rsid w:val="00621F9B"/>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621F9B"/>
    <w:rPr>
      <w:vertAlign w:val="superscript"/>
    </w:rPr>
  </w:style>
  <w:style w:type="character" w:styleId="PageNumber">
    <w:name w:val="page number"/>
    <w:basedOn w:val="DefaultParagraphFont"/>
    <w:semiHidden/>
    <w:unhideWhenUsed/>
    <w:rsid w:val="00F5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0523">
      <w:bodyDiv w:val="1"/>
      <w:marLeft w:val="0"/>
      <w:marRight w:val="0"/>
      <w:marTop w:val="0"/>
      <w:marBottom w:val="0"/>
      <w:divBdr>
        <w:top w:val="none" w:sz="0" w:space="0" w:color="auto"/>
        <w:left w:val="none" w:sz="0" w:space="0" w:color="auto"/>
        <w:bottom w:val="none" w:sz="0" w:space="0" w:color="auto"/>
        <w:right w:val="none" w:sz="0" w:space="0" w:color="auto"/>
      </w:divBdr>
    </w:div>
    <w:div w:id="134225490">
      <w:bodyDiv w:val="1"/>
      <w:marLeft w:val="0"/>
      <w:marRight w:val="0"/>
      <w:marTop w:val="0"/>
      <w:marBottom w:val="0"/>
      <w:divBdr>
        <w:top w:val="none" w:sz="0" w:space="0" w:color="auto"/>
        <w:left w:val="none" w:sz="0" w:space="0" w:color="auto"/>
        <w:bottom w:val="none" w:sz="0" w:space="0" w:color="auto"/>
        <w:right w:val="none" w:sz="0" w:space="0" w:color="auto"/>
      </w:divBdr>
    </w:div>
    <w:div w:id="138347280">
      <w:bodyDiv w:val="1"/>
      <w:marLeft w:val="0"/>
      <w:marRight w:val="0"/>
      <w:marTop w:val="0"/>
      <w:marBottom w:val="0"/>
      <w:divBdr>
        <w:top w:val="none" w:sz="0" w:space="0" w:color="auto"/>
        <w:left w:val="none" w:sz="0" w:space="0" w:color="auto"/>
        <w:bottom w:val="none" w:sz="0" w:space="0" w:color="auto"/>
        <w:right w:val="none" w:sz="0" w:space="0" w:color="auto"/>
      </w:divBdr>
    </w:div>
    <w:div w:id="140118551">
      <w:bodyDiv w:val="1"/>
      <w:marLeft w:val="0"/>
      <w:marRight w:val="0"/>
      <w:marTop w:val="0"/>
      <w:marBottom w:val="0"/>
      <w:divBdr>
        <w:top w:val="none" w:sz="0" w:space="0" w:color="auto"/>
        <w:left w:val="none" w:sz="0" w:space="0" w:color="auto"/>
        <w:bottom w:val="none" w:sz="0" w:space="0" w:color="auto"/>
        <w:right w:val="none" w:sz="0" w:space="0" w:color="auto"/>
      </w:divBdr>
    </w:div>
    <w:div w:id="143939214">
      <w:bodyDiv w:val="1"/>
      <w:marLeft w:val="0"/>
      <w:marRight w:val="0"/>
      <w:marTop w:val="0"/>
      <w:marBottom w:val="0"/>
      <w:divBdr>
        <w:top w:val="none" w:sz="0" w:space="0" w:color="auto"/>
        <w:left w:val="none" w:sz="0" w:space="0" w:color="auto"/>
        <w:bottom w:val="none" w:sz="0" w:space="0" w:color="auto"/>
        <w:right w:val="none" w:sz="0" w:space="0" w:color="auto"/>
      </w:divBdr>
    </w:div>
    <w:div w:id="212235853">
      <w:bodyDiv w:val="1"/>
      <w:marLeft w:val="0"/>
      <w:marRight w:val="0"/>
      <w:marTop w:val="0"/>
      <w:marBottom w:val="0"/>
      <w:divBdr>
        <w:top w:val="none" w:sz="0" w:space="0" w:color="auto"/>
        <w:left w:val="none" w:sz="0" w:space="0" w:color="auto"/>
        <w:bottom w:val="none" w:sz="0" w:space="0" w:color="auto"/>
        <w:right w:val="none" w:sz="0" w:space="0" w:color="auto"/>
      </w:divBdr>
    </w:div>
    <w:div w:id="239338232">
      <w:bodyDiv w:val="1"/>
      <w:marLeft w:val="0"/>
      <w:marRight w:val="0"/>
      <w:marTop w:val="0"/>
      <w:marBottom w:val="0"/>
      <w:divBdr>
        <w:top w:val="none" w:sz="0" w:space="0" w:color="auto"/>
        <w:left w:val="none" w:sz="0" w:space="0" w:color="auto"/>
        <w:bottom w:val="none" w:sz="0" w:space="0" w:color="auto"/>
        <w:right w:val="none" w:sz="0" w:space="0" w:color="auto"/>
      </w:divBdr>
    </w:div>
    <w:div w:id="251819327">
      <w:bodyDiv w:val="1"/>
      <w:marLeft w:val="0"/>
      <w:marRight w:val="0"/>
      <w:marTop w:val="0"/>
      <w:marBottom w:val="0"/>
      <w:divBdr>
        <w:top w:val="none" w:sz="0" w:space="0" w:color="auto"/>
        <w:left w:val="none" w:sz="0" w:space="0" w:color="auto"/>
        <w:bottom w:val="none" w:sz="0" w:space="0" w:color="auto"/>
        <w:right w:val="none" w:sz="0" w:space="0" w:color="auto"/>
      </w:divBdr>
    </w:div>
    <w:div w:id="256985527">
      <w:bodyDiv w:val="1"/>
      <w:marLeft w:val="0"/>
      <w:marRight w:val="0"/>
      <w:marTop w:val="0"/>
      <w:marBottom w:val="0"/>
      <w:divBdr>
        <w:top w:val="none" w:sz="0" w:space="0" w:color="auto"/>
        <w:left w:val="none" w:sz="0" w:space="0" w:color="auto"/>
        <w:bottom w:val="none" w:sz="0" w:space="0" w:color="auto"/>
        <w:right w:val="none" w:sz="0" w:space="0" w:color="auto"/>
      </w:divBdr>
    </w:div>
    <w:div w:id="263927178">
      <w:bodyDiv w:val="1"/>
      <w:marLeft w:val="0"/>
      <w:marRight w:val="0"/>
      <w:marTop w:val="0"/>
      <w:marBottom w:val="0"/>
      <w:divBdr>
        <w:top w:val="none" w:sz="0" w:space="0" w:color="auto"/>
        <w:left w:val="none" w:sz="0" w:space="0" w:color="auto"/>
        <w:bottom w:val="none" w:sz="0" w:space="0" w:color="auto"/>
        <w:right w:val="none" w:sz="0" w:space="0" w:color="auto"/>
      </w:divBdr>
    </w:div>
    <w:div w:id="287325856">
      <w:bodyDiv w:val="1"/>
      <w:marLeft w:val="0"/>
      <w:marRight w:val="0"/>
      <w:marTop w:val="0"/>
      <w:marBottom w:val="0"/>
      <w:divBdr>
        <w:top w:val="none" w:sz="0" w:space="0" w:color="auto"/>
        <w:left w:val="none" w:sz="0" w:space="0" w:color="auto"/>
        <w:bottom w:val="none" w:sz="0" w:space="0" w:color="auto"/>
        <w:right w:val="none" w:sz="0" w:space="0" w:color="auto"/>
      </w:divBdr>
    </w:div>
    <w:div w:id="302584249">
      <w:bodyDiv w:val="1"/>
      <w:marLeft w:val="0"/>
      <w:marRight w:val="0"/>
      <w:marTop w:val="0"/>
      <w:marBottom w:val="0"/>
      <w:divBdr>
        <w:top w:val="none" w:sz="0" w:space="0" w:color="auto"/>
        <w:left w:val="none" w:sz="0" w:space="0" w:color="auto"/>
        <w:bottom w:val="none" w:sz="0" w:space="0" w:color="auto"/>
        <w:right w:val="none" w:sz="0" w:space="0" w:color="auto"/>
      </w:divBdr>
    </w:div>
    <w:div w:id="305361002">
      <w:bodyDiv w:val="1"/>
      <w:marLeft w:val="0"/>
      <w:marRight w:val="0"/>
      <w:marTop w:val="0"/>
      <w:marBottom w:val="0"/>
      <w:divBdr>
        <w:top w:val="none" w:sz="0" w:space="0" w:color="auto"/>
        <w:left w:val="none" w:sz="0" w:space="0" w:color="auto"/>
        <w:bottom w:val="none" w:sz="0" w:space="0" w:color="auto"/>
        <w:right w:val="none" w:sz="0" w:space="0" w:color="auto"/>
      </w:divBdr>
    </w:div>
    <w:div w:id="315769182">
      <w:bodyDiv w:val="1"/>
      <w:marLeft w:val="0"/>
      <w:marRight w:val="0"/>
      <w:marTop w:val="0"/>
      <w:marBottom w:val="0"/>
      <w:divBdr>
        <w:top w:val="none" w:sz="0" w:space="0" w:color="auto"/>
        <w:left w:val="none" w:sz="0" w:space="0" w:color="auto"/>
        <w:bottom w:val="none" w:sz="0" w:space="0" w:color="auto"/>
        <w:right w:val="none" w:sz="0" w:space="0" w:color="auto"/>
      </w:divBdr>
    </w:div>
    <w:div w:id="335424668">
      <w:bodyDiv w:val="1"/>
      <w:marLeft w:val="0"/>
      <w:marRight w:val="0"/>
      <w:marTop w:val="0"/>
      <w:marBottom w:val="0"/>
      <w:divBdr>
        <w:top w:val="none" w:sz="0" w:space="0" w:color="auto"/>
        <w:left w:val="none" w:sz="0" w:space="0" w:color="auto"/>
        <w:bottom w:val="none" w:sz="0" w:space="0" w:color="auto"/>
        <w:right w:val="none" w:sz="0" w:space="0" w:color="auto"/>
      </w:divBdr>
    </w:div>
    <w:div w:id="397365812">
      <w:bodyDiv w:val="1"/>
      <w:marLeft w:val="0"/>
      <w:marRight w:val="0"/>
      <w:marTop w:val="0"/>
      <w:marBottom w:val="0"/>
      <w:divBdr>
        <w:top w:val="none" w:sz="0" w:space="0" w:color="auto"/>
        <w:left w:val="none" w:sz="0" w:space="0" w:color="auto"/>
        <w:bottom w:val="none" w:sz="0" w:space="0" w:color="auto"/>
        <w:right w:val="none" w:sz="0" w:space="0" w:color="auto"/>
      </w:divBdr>
    </w:div>
    <w:div w:id="399715653">
      <w:bodyDiv w:val="1"/>
      <w:marLeft w:val="0"/>
      <w:marRight w:val="0"/>
      <w:marTop w:val="0"/>
      <w:marBottom w:val="0"/>
      <w:divBdr>
        <w:top w:val="none" w:sz="0" w:space="0" w:color="auto"/>
        <w:left w:val="none" w:sz="0" w:space="0" w:color="auto"/>
        <w:bottom w:val="none" w:sz="0" w:space="0" w:color="auto"/>
        <w:right w:val="none" w:sz="0" w:space="0" w:color="auto"/>
      </w:divBdr>
    </w:div>
    <w:div w:id="402144268">
      <w:bodyDiv w:val="1"/>
      <w:marLeft w:val="0"/>
      <w:marRight w:val="0"/>
      <w:marTop w:val="0"/>
      <w:marBottom w:val="0"/>
      <w:divBdr>
        <w:top w:val="none" w:sz="0" w:space="0" w:color="auto"/>
        <w:left w:val="none" w:sz="0" w:space="0" w:color="auto"/>
        <w:bottom w:val="none" w:sz="0" w:space="0" w:color="auto"/>
        <w:right w:val="none" w:sz="0" w:space="0" w:color="auto"/>
      </w:divBdr>
    </w:div>
    <w:div w:id="419762440">
      <w:bodyDiv w:val="1"/>
      <w:marLeft w:val="0"/>
      <w:marRight w:val="0"/>
      <w:marTop w:val="0"/>
      <w:marBottom w:val="0"/>
      <w:divBdr>
        <w:top w:val="none" w:sz="0" w:space="0" w:color="auto"/>
        <w:left w:val="none" w:sz="0" w:space="0" w:color="auto"/>
        <w:bottom w:val="none" w:sz="0" w:space="0" w:color="auto"/>
        <w:right w:val="none" w:sz="0" w:space="0" w:color="auto"/>
      </w:divBdr>
    </w:div>
    <w:div w:id="517353792">
      <w:bodyDiv w:val="1"/>
      <w:marLeft w:val="0"/>
      <w:marRight w:val="0"/>
      <w:marTop w:val="0"/>
      <w:marBottom w:val="0"/>
      <w:divBdr>
        <w:top w:val="none" w:sz="0" w:space="0" w:color="auto"/>
        <w:left w:val="none" w:sz="0" w:space="0" w:color="auto"/>
        <w:bottom w:val="none" w:sz="0" w:space="0" w:color="auto"/>
        <w:right w:val="none" w:sz="0" w:space="0" w:color="auto"/>
      </w:divBdr>
    </w:div>
    <w:div w:id="548688162">
      <w:bodyDiv w:val="1"/>
      <w:marLeft w:val="0"/>
      <w:marRight w:val="0"/>
      <w:marTop w:val="0"/>
      <w:marBottom w:val="0"/>
      <w:divBdr>
        <w:top w:val="none" w:sz="0" w:space="0" w:color="auto"/>
        <w:left w:val="none" w:sz="0" w:space="0" w:color="auto"/>
        <w:bottom w:val="none" w:sz="0" w:space="0" w:color="auto"/>
        <w:right w:val="none" w:sz="0" w:space="0" w:color="auto"/>
      </w:divBdr>
    </w:div>
    <w:div w:id="563563336">
      <w:bodyDiv w:val="1"/>
      <w:marLeft w:val="0"/>
      <w:marRight w:val="0"/>
      <w:marTop w:val="0"/>
      <w:marBottom w:val="0"/>
      <w:divBdr>
        <w:top w:val="none" w:sz="0" w:space="0" w:color="auto"/>
        <w:left w:val="none" w:sz="0" w:space="0" w:color="auto"/>
        <w:bottom w:val="none" w:sz="0" w:space="0" w:color="auto"/>
        <w:right w:val="none" w:sz="0" w:space="0" w:color="auto"/>
      </w:divBdr>
    </w:div>
    <w:div w:id="597565460">
      <w:bodyDiv w:val="1"/>
      <w:marLeft w:val="0"/>
      <w:marRight w:val="0"/>
      <w:marTop w:val="0"/>
      <w:marBottom w:val="0"/>
      <w:divBdr>
        <w:top w:val="none" w:sz="0" w:space="0" w:color="auto"/>
        <w:left w:val="none" w:sz="0" w:space="0" w:color="auto"/>
        <w:bottom w:val="none" w:sz="0" w:space="0" w:color="auto"/>
        <w:right w:val="none" w:sz="0" w:space="0" w:color="auto"/>
      </w:divBdr>
    </w:div>
    <w:div w:id="599336055">
      <w:bodyDiv w:val="1"/>
      <w:marLeft w:val="0"/>
      <w:marRight w:val="0"/>
      <w:marTop w:val="0"/>
      <w:marBottom w:val="0"/>
      <w:divBdr>
        <w:top w:val="none" w:sz="0" w:space="0" w:color="auto"/>
        <w:left w:val="none" w:sz="0" w:space="0" w:color="auto"/>
        <w:bottom w:val="none" w:sz="0" w:space="0" w:color="auto"/>
        <w:right w:val="none" w:sz="0" w:space="0" w:color="auto"/>
      </w:divBdr>
    </w:div>
    <w:div w:id="604577911">
      <w:bodyDiv w:val="1"/>
      <w:marLeft w:val="0"/>
      <w:marRight w:val="0"/>
      <w:marTop w:val="0"/>
      <w:marBottom w:val="0"/>
      <w:divBdr>
        <w:top w:val="none" w:sz="0" w:space="0" w:color="auto"/>
        <w:left w:val="none" w:sz="0" w:space="0" w:color="auto"/>
        <w:bottom w:val="none" w:sz="0" w:space="0" w:color="auto"/>
        <w:right w:val="none" w:sz="0" w:space="0" w:color="auto"/>
      </w:divBdr>
    </w:div>
    <w:div w:id="634020176">
      <w:bodyDiv w:val="1"/>
      <w:marLeft w:val="0"/>
      <w:marRight w:val="0"/>
      <w:marTop w:val="0"/>
      <w:marBottom w:val="0"/>
      <w:divBdr>
        <w:top w:val="none" w:sz="0" w:space="0" w:color="auto"/>
        <w:left w:val="none" w:sz="0" w:space="0" w:color="auto"/>
        <w:bottom w:val="none" w:sz="0" w:space="0" w:color="auto"/>
        <w:right w:val="none" w:sz="0" w:space="0" w:color="auto"/>
      </w:divBdr>
    </w:div>
    <w:div w:id="652368195">
      <w:bodyDiv w:val="1"/>
      <w:marLeft w:val="0"/>
      <w:marRight w:val="0"/>
      <w:marTop w:val="0"/>
      <w:marBottom w:val="0"/>
      <w:divBdr>
        <w:top w:val="none" w:sz="0" w:space="0" w:color="auto"/>
        <w:left w:val="none" w:sz="0" w:space="0" w:color="auto"/>
        <w:bottom w:val="none" w:sz="0" w:space="0" w:color="auto"/>
        <w:right w:val="none" w:sz="0" w:space="0" w:color="auto"/>
      </w:divBdr>
    </w:div>
    <w:div w:id="655958234">
      <w:bodyDiv w:val="1"/>
      <w:marLeft w:val="0"/>
      <w:marRight w:val="0"/>
      <w:marTop w:val="0"/>
      <w:marBottom w:val="0"/>
      <w:divBdr>
        <w:top w:val="none" w:sz="0" w:space="0" w:color="auto"/>
        <w:left w:val="none" w:sz="0" w:space="0" w:color="auto"/>
        <w:bottom w:val="none" w:sz="0" w:space="0" w:color="auto"/>
        <w:right w:val="none" w:sz="0" w:space="0" w:color="auto"/>
      </w:divBdr>
    </w:div>
    <w:div w:id="656803955">
      <w:bodyDiv w:val="1"/>
      <w:marLeft w:val="0"/>
      <w:marRight w:val="0"/>
      <w:marTop w:val="0"/>
      <w:marBottom w:val="0"/>
      <w:divBdr>
        <w:top w:val="none" w:sz="0" w:space="0" w:color="auto"/>
        <w:left w:val="none" w:sz="0" w:space="0" w:color="auto"/>
        <w:bottom w:val="none" w:sz="0" w:space="0" w:color="auto"/>
        <w:right w:val="none" w:sz="0" w:space="0" w:color="auto"/>
      </w:divBdr>
    </w:div>
    <w:div w:id="695696989">
      <w:bodyDiv w:val="1"/>
      <w:marLeft w:val="0"/>
      <w:marRight w:val="0"/>
      <w:marTop w:val="0"/>
      <w:marBottom w:val="0"/>
      <w:divBdr>
        <w:top w:val="none" w:sz="0" w:space="0" w:color="auto"/>
        <w:left w:val="none" w:sz="0" w:space="0" w:color="auto"/>
        <w:bottom w:val="none" w:sz="0" w:space="0" w:color="auto"/>
        <w:right w:val="none" w:sz="0" w:space="0" w:color="auto"/>
      </w:divBdr>
    </w:div>
    <w:div w:id="702091688">
      <w:bodyDiv w:val="1"/>
      <w:marLeft w:val="0"/>
      <w:marRight w:val="0"/>
      <w:marTop w:val="0"/>
      <w:marBottom w:val="0"/>
      <w:divBdr>
        <w:top w:val="none" w:sz="0" w:space="0" w:color="auto"/>
        <w:left w:val="none" w:sz="0" w:space="0" w:color="auto"/>
        <w:bottom w:val="none" w:sz="0" w:space="0" w:color="auto"/>
        <w:right w:val="none" w:sz="0" w:space="0" w:color="auto"/>
      </w:divBdr>
    </w:div>
    <w:div w:id="872424944">
      <w:bodyDiv w:val="1"/>
      <w:marLeft w:val="0"/>
      <w:marRight w:val="0"/>
      <w:marTop w:val="0"/>
      <w:marBottom w:val="0"/>
      <w:divBdr>
        <w:top w:val="none" w:sz="0" w:space="0" w:color="auto"/>
        <w:left w:val="none" w:sz="0" w:space="0" w:color="auto"/>
        <w:bottom w:val="none" w:sz="0" w:space="0" w:color="auto"/>
        <w:right w:val="none" w:sz="0" w:space="0" w:color="auto"/>
      </w:divBdr>
    </w:div>
    <w:div w:id="880942101">
      <w:bodyDiv w:val="1"/>
      <w:marLeft w:val="0"/>
      <w:marRight w:val="0"/>
      <w:marTop w:val="0"/>
      <w:marBottom w:val="0"/>
      <w:divBdr>
        <w:top w:val="none" w:sz="0" w:space="0" w:color="auto"/>
        <w:left w:val="none" w:sz="0" w:space="0" w:color="auto"/>
        <w:bottom w:val="none" w:sz="0" w:space="0" w:color="auto"/>
        <w:right w:val="none" w:sz="0" w:space="0" w:color="auto"/>
      </w:divBdr>
    </w:div>
    <w:div w:id="899369700">
      <w:bodyDiv w:val="1"/>
      <w:marLeft w:val="0"/>
      <w:marRight w:val="0"/>
      <w:marTop w:val="0"/>
      <w:marBottom w:val="0"/>
      <w:divBdr>
        <w:top w:val="none" w:sz="0" w:space="0" w:color="auto"/>
        <w:left w:val="none" w:sz="0" w:space="0" w:color="auto"/>
        <w:bottom w:val="none" w:sz="0" w:space="0" w:color="auto"/>
        <w:right w:val="none" w:sz="0" w:space="0" w:color="auto"/>
      </w:divBdr>
    </w:div>
    <w:div w:id="903763710">
      <w:bodyDiv w:val="1"/>
      <w:marLeft w:val="0"/>
      <w:marRight w:val="0"/>
      <w:marTop w:val="0"/>
      <w:marBottom w:val="0"/>
      <w:divBdr>
        <w:top w:val="none" w:sz="0" w:space="0" w:color="auto"/>
        <w:left w:val="none" w:sz="0" w:space="0" w:color="auto"/>
        <w:bottom w:val="none" w:sz="0" w:space="0" w:color="auto"/>
        <w:right w:val="none" w:sz="0" w:space="0" w:color="auto"/>
      </w:divBdr>
    </w:div>
    <w:div w:id="923607575">
      <w:bodyDiv w:val="1"/>
      <w:marLeft w:val="0"/>
      <w:marRight w:val="0"/>
      <w:marTop w:val="0"/>
      <w:marBottom w:val="0"/>
      <w:divBdr>
        <w:top w:val="none" w:sz="0" w:space="0" w:color="auto"/>
        <w:left w:val="none" w:sz="0" w:space="0" w:color="auto"/>
        <w:bottom w:val="none" w:sz="0" w:space="0" w:color="auto"/>
        <w:right w:val="none" w:sz="0" w:space="0" w:color="auto"/>
      </w:divBdr>
    </w:div>
    <w:div w:id="931358121">
      <w:bodyDiv w:val="1"/>
      <w:marLeft w:val="0"/>
      <w:marRight w:val="0"/>
      <w:marTop w:val="0"/>
      <w:marBottom w:val="0"/>
      <w:divBdr>
        <w:top w:val="none" w:sz="0" w:space="0" w:color="auto"/>
        <w:left w:val="none" w:sz="0" w:space="0" w:color="auto"/>
        <w:bottom w:val="none" w:sz="0" w:space="0" w:color="auto"/>
        <w:right w:val="none" w:sz="0" w:space="0" w:color="auto"/>
      </w:divBdr>
    </w:div>
    <w:div w:id="946354474">
      <w:bodyDiv w:val="1"/>
      <w:marLeft w:val="0"/>
      <w:marRight w:val="0"/>
      <w:marTop w:val="0"/>
      <w:marBottom w:val="0"/>
      <w:divBdr>
        <w:top w:val="none" w:sz="0" w:space="0" w:color="auto"/>
        <w:left w:val="none" w:sz="0" w:space="0" w:color="auto"/>
        <w:bottom w:val="none" w:sz="0" w:space="0" w:color="auto"/>
        <w:right w:val="none" w:sz="0" w:space="0" w:color="auto"/>
      </w:divBdr>
    </w:div>
    <w:div w:id="981886783">
      <w:bodyDiv w:val="1"/>
      <w:marLeft w:val="0"/>
      <w:marRight w:val="0"/>
      <w:marTop w:val="0"/>
      <w:marBottom w:val="0"/>
      <w:divBdr>
        <w:top w:val="none" w:sz="0" w:space="0" w:color="auto"/>
        <w:left w:val="none" w:sz="0" w:space="0" w:color="auto"/>
        <w:bottom w:val="none" w:sz="0" w:space="0" w:color="auto"/>
        <w:right w:val="none" w:sz="0" w:space="0" w:color="auto"/>
      </w:divBdr>
    </w:div>
    <w:div w:id="1024358201">
      <w:bodyDiv w:val="1"/>
      <w:marLeft w:val="0"/>
      <w:marRight w:val="0"/>
      <w:marTop w:val="0"/>
      <w:marBottom w:val="0"/>
      <w:divBdr>
        <w:top w:val="none" w:sz="0" w:space="0" w:color="auto"/>
        <w:left w:val="none" w:sz="0" w:space="0" w:color="auto"/>
        <w:bottom w:val="none" w:sz="0" w:space="0" w:color="auto"/>
        <w:right w:val="none" w:sz="0" w:space="0" w:color="auto"/>
      </w:divBdr>
    </w:div>
    <w:div w:id="1050887498">
      <w:bodyDiv w:val="1"/>
      <w:marLeft w:val="0"/>
      <w:marRight w:val="0"/>
      <w:marTop w:val="0"/>
      <w:marBottom w:val="0"/>
      <w:divBdr>
        <w:top w:val="none" w:sz="0" w:space="0" w:color="auto"/>
        <w:left w:val="none" w:sz="0" w:space="0" w:color="auto"/>
        <w:bottom w:val="none" w:sz="0" w:space="0" w:color="auto"/>
        <w:right w:val="none" w:sz="0" w:space="0" w:color="auto"/>
      </w:divBdr>
    </w:div>
    <w:div w:id="1151753873">
      <w:bodyDiv w:val="1"/>
      <w:marLeft w:val="0"/>
      <w:marRight w:val="0"/>
      <w:marTop w:val="0"/>
      <w:marBottom w:val="0"/>
      <w:divBdr>
        <w:top w:val="none" w:sz="0" w:space="0" w:color="auto"/>
        <w:left w:val="none" w:sz="0" w:space="0" w:color="auto"/>
        <w:bottom w:val="none" w:sz="0" w:space="0" w:color="auto"/>
        <w:right w:val="none" w:sz="0" w:space="0" w:color="auto"/>
      </w:divBdr>
    </w:div>
    <w:div w:id="1156148865">
      <w:bodyDiv w:val="1"/>
      <w:marLeft w:val="0"/>
      <w:marRight w:val="0"/>
      <w:marTop w:val="0"/>
      <w:marBottom w:val="0"/>
      <w:divBdr>
        <w:top w:val="none" w:sz="0" w:space="0" w:color="auto"/>
        <w:left w:val="none" w:sz="0" w:space="0" w:color="auto"/>
        <w:bottom w:val="none" w:sz="0" w:space="0" w:color="auto"/>
        <w:right w:val="none" w:sz="0" w:space="0" w:color="auto"/>
      </w:divBdr>
    </w:div>
    <w:div w:id="1160854017">
      <w:bodyDiv w:val="1"/>
      <w:marLeft w:val="0"/>
      <w:marRight w:val="0"/>
      <w:marTop w:val="0"/>
      <w:marBottom w:val="0"/>
      <w:divBdr>
        <w:top w:val="none" w:sz="0" w:space="0" w:color="auto"/>
        <w:left w:val="none" w:sz="0" w:space="0" w:color="auto"/>
        <w:bottom w:val="none" w:sz="0" w:space="0" w:color="auto"/>
        <w:right w:val="none" w:sz="0" w:space="0" w:color="auto"/>
      </w:divBdr>
    </w:div>
    <w:div w:id="1200699577">
      <w:bodyDiv w:val="1"/>
      <w:marLeft w:val="0"/>
      <w:marRight w:val="0"/>
      <w:marTop w:val="0"/>
      <w:marBottom w:val="0"/>
      <w:divBdr>
        <w:top w:val="none" w:sz="0" w:space="0" w:color="auto"/>
        <w:left w:val="none" w:sz="0" w:space="0" w:color="auto"/>
        <w:bottom w:val="none" w:sz="0" w:space="0" w:color="auto"/>
        <w:right w:val="none" w:sz="0" w:space="0" w:color="auto"/>
      </w:divBdr>
    </w:div>
    <w:div w:id="1248029378">
      <w:bodyDiv w:val="1"/>
      <w:marLeft w:val="0"/>
      <w:marRight w:val="0"/>
      <w:marTop w:val="0"/>
      <w:marBottom w:val="0"/>
      <w:divBdr>
        <w:top w:val="none" w:sz="0" w:space="0" w:color="auto"/>
        <w:left w:val="none" w:sz="0" w:space="0" w:color="auto"/>
        <w:bottom w:val="none" w:sz="0" w:space="0" w:color="auto"/>
        <w:right w:val="none" w:sz="0" w:space="0" w:color="auto"/>
      </w:divBdr>
    </w:div>
    <w:div w:id="1306398862">
      <w:bodyDiv w:val="1"/>
      <w:marLeft w:val="0"/>
      <w:marRight w:val="0"/>
      <w:marTop w:val="0"/>
      <w:marBottom w:val="0"/>
      <w:divBdr>
        <w:top w:val="none" w:sz="0" w:space="0" w:color="auto"/>
        <w:left w:val="none" w:sz="0" w:space="0" w:color="auto"/>
        <w:bottom w:val="none" w:sz="0" w:space="0" w:color="auto"/>
        <w:right w:val="none" w:sz="0" w:space="0" w:color="auto"/>
      </w:divBdr>
    </w:div>
    <w:div w:id="1314526278">
      <w:bodyDiv w:val="1"/>
      <w:marLeft w:val="0"/>
      <w:marRight w:val="0"/>
      <w:marTop w:val="0"/>
      <w:marBottom w:val="0"/>
      <w:divBdr>
        <w:top w:val="none" w:sz="0" w:space="0" w:color="auto"/>
        <w:left w:val="none" w:sz="0" w:space="0" w:color="auto"/>
        <w:bottom w:val="none" w:sz="0" w:space="0" w:color="auto"/>
        <w:right w:val="none" w:sz="0" w:space="0" w:color="auto"/>
      </w:divBdr>
    </w:div>
    <w:div w:id="1330981024">
      <w:bodyDiv w:val="1"/>
      <w:marLeft w:val="0"/>
      <w:marRight w:val="0"/>
      <w:marTop w:val="0"/>
      <w:marBottom w:val="0"/>
      <w:divBdr>
        <w:top w:val="none" w:sz="0" w:space="0" w:color="auto"/>
        <w:left w:val="none" w:sz="0" w:space="0" w:color="auto"/>
        <w:bottom w:val="none" w:sz="0" w:space="0" w:color="auto"/>
        <w:right w:val="none" w:sz="0" w:space="0" w:color="auto"/>
      </w:divBdr>
    </w:div>
    <w:div w:id="1385373328">
      <w:bodyDiv w:val="1"/>
      <w:marLeft w:val="0"/>
      <w:marRight w:val="0"/>
      <w:marTop w:val="0"/>
      <w:marBottom w:val="0"/>
      <w:divBdr>
        <w:top w:val="none" w:sz="0" w:space="0" w:color="auto"/>
        <w:left w:val="none" w:sz="0" w:space="0" w:color="auto"/>
        <w:bottom w:val="none" w:sz="0" w:space="0" w:color="auto"/>
        <w:right w:val="none" w:sz="0" w:space="0" w:color="auto"/>
      </w:divBdr>
    </w:div>
    <w:div w:id="1395398607">
      <w:bodyDiv w:val="1"/>
      <w:marLeft w:val="0"/>
      <w:marRight w:val="0"/>
      <w:marTop w:val="0"/>
      <w:marBottom w:val="0"/>
      <w:divBdr>
        <w:top w:val="none" w:sz="0" w:space="0" w:color="auto"/>
        <w:left w:val="none" w:sz="0" w:space="0" w:color="auto"/>
        <w:bottom w:val="none" w:sz="0" w:space="0" w:color="auto"/>
        <w:right w:val="none" w:sz="0" w:space="0" w:color="auto"/>
      </w:divBdr>
    </w:div>
    <w:div w:id="1408454379">
      <w:bodyDiv w:val="1"/>
      <w:marLeft w:val="0"/>
      <w:marRight w:val="0"/>
      <w:marTop w:val="0"/>
      <w:marBottom w:val="0"/>
      <w:divBdr>
        <w:top w:val="none" w:sz="0" w:space="0" w:color="auto"/>
        <w:left w:val="none" w:sz="0" w:space="0" w:color="auto"/>
        <w:bottom w:val="none" w:sz="0" w:space="0" w:color="auto"/>
        <w:right w:val="none" w:sz="0" w:space="0" w:color="auto"/>
      </w:divBdr>
    </w:div>
    <w:div w:id="1459713957">
      <w:bodyDiv w:val="1"/>
      <w:marLeft w:val="0"/>
      <w:marRight w:val="0"/>
      <w:marTop w:val="0"/>
      <w:marBottom w:val="0"/>
      <w:divBdr>
        <w:top w:val="none" w:sz="0" w:space="0" w:color="auto"/>
        <w:left w:val="none" w:sz="0" w:space="0" w:color="auto"/>
        <w:bottom w:val="none" w:sz="0" w:space="0" w:color="auto"/>
        <w:right w:val="none" w:sz="0" w:space="0" w:color="auto"/>
      </w:divBdr>
    </w:div>
    <w:div w:id="1525484790">
      <w:bodyDiv w:val="1"/>
      <w:marLeft w:val="0"/>
      <w:marRight w:val="0"/>
      <w:marTop w:val="0"/>
      <w:marBottom w:val="0"/>
      <w:divBdr>
        <w:top w:val="none" w:sz="0" w:space="0" w:color="auto"/>
        <w:left w:val="none" w:sz="0" w:space="0" w:color="auto"/>
        <w:bottom w:val="none" w:sz="0" w:space="0" w:color="auto"/>
        <w:right w:val="none" w:sz="0" w:space="0" w:color="auto"/>
      </w:divBdr>
    </w:div>
    <w:div w:id="1530409458">
      <w:bodyDiv w:val="1"/>
      <w:marLeft w:val="0"/>
      <w:marRight w:val="0"/>
      <w:marTop w:val="0"/>
      <w:marBottom w:val="0"/>
      <w:divBdr>
        <w:top w:val="none" w:sz="0" w:space="0" w:color="auto"/>
        <w:left w:val="none" w:sz="0" w:space="0" w:color="auto"/>
        <w:bottom w:val="none" w:sz="0" w:space="0" w:color="auto"/>
        <w:right w:val="none" w:sz="0" w:space="0" w:color="auto"/>
      </w:divBdr>
    </w:div>
    <w:div w:id="1591742480">
      <w:bodyDiv w:val="1"/>
      <w:marLeft w:val="0"/>
      <w:marRight w:val="0"/>
      <w:marTop w:val="0"/>
      <w:marBottom w:val="0"/>
      <w:divBdr>
        <w:top w:val="none" w:sz="0" w:space="0" w:color="auto"/>
        <w:left w:val="none" w:sz="0" w:space="0" w:color="auto"/>
        <w:bottom w:val="none" w:sz="0" w:space="0" w:color="auto"/>
        <w:right w:val="none" w:sz="0" w:space="0" w:color="auto"/>
      </w:divBdr>
    </w:div>
    <w:div w:id="1640263010">
      <w:bodyDiv w:val="1"/>
      <w:marLeft w:val="0"/>
      <w:marRight w:val="0"/>
      <w:marTop w:val="0"/>
      <w:marBottom w:val="0"/>
      <w:divBdr>
        <w:top w:val="none" w:sz="0" w:space="0" w:color="auto"/>
        <w:left w:val="none" w:sz="0" w:space="0" w:color="auto"/>
        <w:bottom w:val="none" w:sz="0" w:space="0" w:color="auto"/>
        <w:right w:val="none" w:sz="0" w:space="0" w:color="auto"/>
      </w:divBdr>
    </w:div>
    <w:div w:id="1676809528">
      <w:bodyDiv w:val="1"/>
      <w:marLeft w:val="0"/>
      <w:marRight w:val="0"/>
      <w:marTop w:val="0"/>
      <w:marBottom w:val="0"/>
      <w:divBdr>
        <w:top w:val="none" w:sz="0" w:space="0" w:color="auto"/>
        <w:left w:val="none" w:sz="0" w:space="0" w:color="auto"/>
        <w:bottom w:val="none" w:sz="0" w:space="0" w:color="auto"/>
        <w:right w:val="none" w:sz="0" w:space="0" w:color="auto"/>
      </w:divBdr>
    </w:div>
    <w:div w:id="1692030337">
      <w:bodyDiv w:val="1"/>
      <w:marLeft w:val="0"/>
      <w:marRight w:val="0"/>
      <w:marTop w:val="0"/>
      <w:marBottom w:val="0"/>
      <w:divBdr>
        <w:top w:val="none" w:sz="0" w:space="0" w:color="auto"/>
        <w:left w:val="none" w:sz="0" w:space="0" w:color="auto"/>
        <w:bottom w:val="none" w:sz="0" w:space="0" w:color="auto"/>
        <w:right w:val="none" w:sz="0" w:space="0" w:color="auto"/>
      </w:divBdr>
    </w:div>
    <w:div w:id="1708489366">
      <w:bodyDiv w:val="1"/>
      <w:marLeft w:val="0"/>
      <w:marRight w:val="0"/>
      <w:marTop w:val="0"/>
      <w:marBottom w:val="0"/>
      <w:divBdr>
        <w:top w:val="none" w:sz="0" w:space="0" w:color="auto"/>
        <w:left w:val="none" w:sz="0" w:space="0" w:color="auto"/>
        <w:bottom w:val="none" w:sz="0" w:space="0" w:color="auto"/>
        <w:right w:val="none" w:sz="0" w:space="0" w:color="auto"/>
      </w:divBdr>
    </w:div>
    <w:div w:id="1809277842">
      <w:bodyDiv w:val="1"/>
      <w:marLeft w:val="0"/>
      <w:marRight w:val="0"/>
      <w:marTop w:val="0"/>
      <w:marBottom w:val="0"/>
      <w:divBdr>
        <w:top w:val="none" w:sz="0" w:space="0" w:color="auto"/>
        <w:left w:val="none" w:sz="0" w:space="0" w:color="auto"/>
        <w:bottom w:val="none" w:sz="0" w:space="0" w:color="auto"/>
        <w:right w:val="none" w:sz="0" w:space="0" w:color="auto"/>
      </w:divBdr>
    </w:div>
    <w:div w:id="1814253933">
      <w:bodyDiv w:val="1"/>
      <w:marLeft w:val="0"/>
      <w:marRight w:val="0"/>
      <w:marTop w:val="0"/>
      <w:marBottom w:val="0"/>
      <w:divBdr>
        <w:top w:val="none" w:sz="0" w:space="0" w:color="auto"/>
        <w:left w:val="none" w:sz="0" w:space="0" w:color="auto"/>
        <w:bottom w:val="none" w:sz="0" w:space="0" w:color="auto"/>
        <w:right w:val="none" w:sz="0" w:space="0" w:color="auto"/>
      </w:divBdr>
    </w:div>
    <w:div w:id="1827088727">
      <w:bodyDiv w:val="1"/>
      <w:marLeft w:val="0"/>
      <w:marRight w:val="0"/>
      <w:marTop w:val="0"/>
      <w:marBottom w:val="0"/>
      <w:divBdr>
        <w:top w:val="none" w:sz="0" w:space="0" w:color="auto"/>
        <w:left w:val="none" w:sz="0" w:space="0" w:color="auto"/>
        <w:bottom w:val="none" w:sz="0" w:space="0" w:color="auto"/>
        <w:right w:val="none" w:sz="0" w:space="0" w:color="auto"/>
      </w:divBdr>
    </w:div>
    <w:div w:id="1855147242">
      <w:bodyDiv w:val="1"/>
      <w:marLeft w:val="0"/>
      <w:marRight w:val="0"/>
      <w:marTop w:val="0"/>
      <w:marBottom w:val="0"/>
      <w:divBdr>
        <w:top w:val="none" w:sz="0" w:space="0" w:color="auto"/>
        <w:left w:val="none" w:sz="0" w:space="0" w:color="auto"/>
        <w:bottom w:val="none" w:sz="0" w:space="0" w:color="auto"/>
        <w:right w:val="none" w:sz="0" w:space="0" w:color="auto"/>
      </w:divBdr>
    </w:div>
    <w:div w:id="1891376716">
      <w:bodyDiv w:val="1"/>
      <w:marLeft w:val="0"/>
      <w:marRight w:val="0"/>
      <w:marTop w:val="0"/>
      <w:marBottom w:val="0"/>
      <w:divBdr>
        <w:top w:val="none" w:sz="0" w:space="0" w:color="auto"/>
        <w:left w:val="none" w:sz="0" w:space="0" w:color="auto"/>
        <w:bottom w:val="none" w:sz="0" w:space="0" w:color="auto"/>
        <w:right w:val="none" w:sz="0" w:space="0" w:color="auto"/>
      </w:divBdr>
    </w:div>
    <w:div w:id="1894922495">
      <w:bodyDiv w:val="1"/>
      <w:marLeft w:val="0"/>
      <w:marRight w:val="0"/>
      <w:marTop w:val="0"/>
      <w:marBottom w:val="0"/>
      <w:divBdr>
        <w:top w:val="none" w:sz="0" w:space="0" w:color="auto"/>
        <w:left w:val="none" w:sz="0" w:space="0" w:color="auto"/>
        <w:bottom w:val="none" w:sz="0" w:space="0" w:color="auto"/>
        <w:right w:val="none" w:sz="0" w:space="0" w:color="auto"/>
      </w:divBdr>
    </w:div>
    <w:div w:id="1912037505">
      <w:bodyDiv w:val="1"/>
      <w:marLeft w:val="0"/>
      <w:marRight w:val="0"/>
      <w:marTop w:val="0"/>
      <w:marBottom w:val="0"/>
      <w:divBdr>
        <w:top w:val="none" w:sz="0" w:space="0" w:color="auto"/>
        <w:left w:val="none" w:sz="0" w:space="0" w:color="auto"/>
        <w:bottom w:val="none" w:sz="0" w:space="0" w:color="auto"/>
        <w:right w:val="none" w:sz="0" w:space="0" w:color="auto"/>
      </w:divBdr>
    </w:div>
    <w:div w:id="1940672020">
      <w:bodyDiv w:val="1"/>
      <w:marLeft w:val="0"/>
      <w:marRight w:val="0"/>
      <w:marTop w:val="0"/>
      <w:marBottom w:val="0"/>
      <w:divBdr>
        <w:top w:val="none" w:sz="0" w:space="0" w:color="auto"/>
        <w:left w:val="none" w:sz="0" w:space="0" w:color="auto"/>
        <w:bottom w:val="none" w:sz="0" w:space="0" w:color="auto"/>
        <w:right w:val="none" w:sz="0" w:space="0" w:color="auto"/>
      </w:divBdr>
    </w:div>
    <w:div w:id="1996835479">
      <w:bodyDiv w:val="1"/>
      <w:marLeft w:val="0"/>
      <w:marRight w:val="0"/>
      <w:marTop w:val="0"/>
      <w:marBottom w:val="0"/>
      <w:divBdr>
        <w:top w:val="none" w:sz="0" w:space="0" w:color="auto"/>
        <w:left w:val="none" w:sz="0" w:space="0" w:color="auto"/>
        <w:bottom w:val="none" w:sz="0" w:space="0" w:color="auto"/>
        <w:right w:val="none" w:sz="0" w:space="0" w:color="auto"/>
      </w:divBdr>
    </w:div>
    <w:div w:id="1999770613">
      <w:bodyDiv w:val="1"/>
      <w:marLeft w:val="0"/>
      <w:marRight w:val="0"/>
      <w:marTop w:val="0"/>
      <w:marBottom w:val="0"/>
      <w:divBdr>
        <w:top w:val="none" w:sz="0" w:space="0" w:color="auto"/>
        <w:left w:val="none" w:sz="0" w:space="0" w:color="auto"/>
        <w:bottom w:val="none" w:sz="0" w:space="0" w:color="auto"/>
        <w:right w:val="none" w:sz="0" w:space="0" w:color="auto"/>
      </w:divBdr>
    </w:div>
    <w:div w:id="2003049581">
      <w:bodyDiv w:val="1"/>
      <w:marLeft w:val="0"/>
      <w:marRight w:val="0"/>
      <w:marTop w:val="0"/>
      <w:marBottom w:val="0"/>
      <w:divBdr>
        <w:top w:val="none" w:sz="0" w:space="0" w:color="auto"/>
        <w:left w:val="none" w:sz="0" w:space="0" w:color="auto"/>
        <w:bottom w:val="none" w:sz="0" w:space="0" w:color="auto"/>
        <w:right w:val="none" w:sz="0" w:space="0" w:color="auto"/>
      </w:divBdr>
    </w:div>
    <w:div w:id="2057309720">
      <w:bodyDiv w:val="1"/>
      <w:marLeft w:val="0"/>
      <w:marRight w:val="0"/>
      <w:marTop w:val="0"/>
      <w:marBottom w:val="0"/>
      <w:divBdr>
        <w:top w:val="none" w:sz="0" w:space="0" w:color="auto"/>
        <w:left w:val="none" w:sz="0" w:space="0" w:color="auto"/>
        <w:bottom w:val="none" w:sz="0" w:space="0" w:color="auto"/>
        <w:right w:val="none" w:sz="0" w:space="0" w:color="auto"/>
      </w:divBdr>
    </w:div>
    <w:div w:id="2088721885">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 w:id="2132085199">
      <w:bodyDiv w:val="1"/>
      <w:marLeft w:val="0"/>
      <w:marRight w:val="0"/>
      <w:marTop w:val="0"/>
      <w:marBottom w:val="0"/>
      <w:divBdr>
        <w:top w:val="none" w:sz="0" w:space="0" w:color="auto"/>
        <w:left w:val="none" w:sz="0" w:space="0" w:color="auto"/>
        <w:bottom w:val="none" w:sz="0" w:space="0" w:color="auto"/>
        <w:right w:val="none" w:sz="0" w:space="0" w:color="auto"/>
      </w:divBdr>
    </w:div>
    <w:div w:id="21459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F1A05310-2EAE-4BDC-8E3A-D44B89E9949E}">
  <ds:schemaRefs>
    <ds:schemaRef ds:uri="http://schemas.openxmlformats.org/officeDocument/2006/bibliography"/>
  </ds:schemaRefs>
</ds:datastoreItem>
</file>

<file path=customXml/itemProps11.xml><?xml version="1.0" encoding="utf-8"?>
<ds:datastoreItem xmlns:ds="http://schemas.openxmlformats.org/officeDocument/2006/customXml" ds:itemID="{77E297E1-4D2B-4BA6-A835-DBCF836EFD4C}">
  <ds:schemaRefs>
    <ds:schemaRef ds:uri="http://schemas.openxmlformats.org/officeDocument/2006/bibliography"/>
  </ds:schemaRefs>
</ds:datastoreItem>
</file>

<file path=customXml/itemProps12.xml><?xml version="1.0" encoding="utf-8"?>
<ds:datastoreItem xmlns:ds="http://schemas.openxmlformats.org/officeDocument/2006/customXml" ds:itemID="{2083DE99-0B24-402A-815E-0C8D9E311598}">
  <ds:schemaRefs>
    <ds:schemaRef ds:uri="http://schemas.openxmlformats.org/officeDocument/2006/bibliography"/>
  </ds:schemaRefs>
</ds:datastoreItem>
</file>

<file path=customXml/itemProps13.xml><?xml version="1.0" encoding="utf-8"?>
<ds:datastoreItem xmlns:ds="http://schemas.openxmlformats.org/officeDocument/2006/customXml" ds:itemID="{398F9597-8CAC-4ED2-8860-2A9B5CCD9FDB}">
  <ds:schemaRefs>
    <ds:schemaRef ds:uri="http://schemas.openxmlformats.org/officeDocument/2006/bibliography"/>
  </ds:schemaRefs>
</ds:datastoreItem>
</file>

<file path=customXml/itemProps14.xml><?xml version="1.0" encoding="utf-8"?>
<ds:datastoreItem xmlns:ds="http://schemas.openxmlformats.org/officeDocument/2006/customXml" ds:itemID="{54E2D609-829C-47F2-9C28-AC0419C3F400}">
  <ds:schemaRefs>
    <ds:schemaRef ds:uri="http://schemas.openxmlformats.org/officeDocument/2006/bibliography"/>
  </ds:schemaRefs>
</ds:datastoreItem>
</file>

<file path=customXml/itemProps15.xml><?xml version="1.0" encoding="utf-8"?>
<ds:datastoreItem xmlns:ds="http://schemas.openxmlformats.org/officeDocument/2006/customXml" ds:itemID="{78033E42-A416-4B06-A6AC-7A94D765EBF6}">
  <ds:schemaRefs>
    <ds:schemaRef ds:uri="http://schemas.openxmlformats.org/officeDocument/2006/bibliography"/>
  </ds:schemaRefs>
</ds:datastoreItem>
</file>

<file path=customXml/itemProps16.xml><?xml version="1.0" encoding="utf-8"?>
<ds:datastoreItem xmlns:ds="http://schemas.openxmlformats.org/officeDocument/2006/customXml" ds:itemID="{7F449887-9329-427D-AED3-8DC97CE77D21}">
  <ds:schemaRefs>
    <ds:schemaRef ds:uri="http://schemas.openxmlformats.org/officeDocument/2006/bibliography"/>
  </ds:schemaRefs>
</ds:datastoreItem>
</file>

<file path=customXml/itemProps17.xml><?xml version="1.0" encoding="utf-8"?>
<ds:datastoreItem xmlns:ds="http://schemas.openxmlformats.org/officeDocument/2006/customXml" ds:itemID="{E89C7F46-EBE6-4B18-A3AB-8FAB1B9773F8}">
  <ds:schemaRefs>
    <ds:schemaRef ds:uri="http://schemas.openxmlformats.org/officeDocument/2006/bibliography"/>
  </ds:schemaRefs>
</ds:datastoreItem>
</file>

<file path=customXml/itemProps2.xml><?xml version="1.0" encoding="utf-8"?>
<ds:datastoreItem xmlns:ds="http://schemas.openxmlformats.org/officeDocument/2006/customXml" ds:itemID="{64A91923-95F1-4749-9C93-E3215FC48CBD}">
  <ds:schemaRefs>
    <ds:schemaRef ds:uri="http://schemas.openxmlformats.org/officeDocument/2006/bibliography"/>
  </ds:schemaRefs>
</ds:datastoreItem>
</file>

<file path=customXml/itemProps3.xml><?xml version="1.0" encoding="utf-8"?>
<ds:datastoreItem xmlns:ds="http://schemas.openxmlformats.org/officeDocument/2006/customXml" ds:itemID="{7A3D6E47-FF4C-4A72-9B1E-0FD8856437C9}">
  <ds:schemaRefs>
    <ds:schemaRef ds:uri="http://schemas.openxmlformats.org/officeDocument/2006/bibliography"/>
  </ds:schemaRefs>
</ds:datastoreItem>
</file>

<file path=customXml/itemProps4.xml><?xml version="1.0" encoding="utf-8"?>
<ds:datastoreItem xmlns:ds="http://schemas.openxmlformats.org/officeDocument/2006/customXml" ds:itemID="{A6C8C146-3BDE-4CCF-B92B-463349C7A95A}">
  <ds:schemaRefs>
    <ds:schemaRef ds:uri="http://schemas.openxmlformats.org/officeDocument/2006/bibliography"/>
  </ds:schemaRefs>
</ds:datastoreItem>
</file>

<file path=customXml/itemProps5.xml><?xml version="1.0" encoding="utf-8"?>
<ds:datastoreItem xmlns:ds="http://schemas.openxmlformats.org/officeDocument/2006/customXml" ds:itemID="{35E25199-6C39-40B9-919A-8892C6247620}">
  <ds:schemaRefs>
    <ds:schemaRef ds:uri="http://schemas.openxmlformats.org/officeDocument/2006/bibliography"/>
  </ds:schemaRefs>
</ds:datastoreItem>
</file>

<file path=customXml/itemProps6.xml><?xml version="1.0" encoding="utf-8"?>
<ds:datastoreItem xmlns:ds="http://schemas.openxmlformats.org/officeDocument/2006/customXml" ds:itemID="{017F6853-0ACD-40AE-8D57-03C1BD724B7D}">
  <ds:schemaRefs>
    <ds:schemaRef ds:uri="http://schemas.openxmlformats.org/officeDocument/2006/bibliography"/>
  </ds:schemaRefs>
</ds:datastoreItem>
</file>

<file path=customXml/itemProps7.xml><?xml version="1.0" encoding="utf-8"?>
<ds:datastoreItem xmlns:ds="http://schemas.openxmlformats.org/officeDocument/2006/customXml" ds:itemID="{0D382225-6002-40A0-9339-EB0D4A4DF3DB}">
  <ds:schemaRefs>
    <ds:schemaRef ds:uri="http://schemas.openxmlformats.org/officeDocument/2006/bibliography"/>
  </ds:schemaRefs>
</ds:datastoreItem>
</file>

<file path=customXml/itemProps8.xml><?xml version="1.0" encoding="utf-8"?>
<ds:datastoreItem xmlns:ds="http://schemas.openxmlformats.org/officeDocument/2006/customXml" ds:itemID="{4E669DBF-C57A-41E8-9568-199BEEA58DA8}">
  <ds:schemaRefs>
    <ds:schemaRef ds:uri="http://schemas.openxmlformats.org/officeDocument/2006/bibliography"/>
  </ds:schemaRefs>
</ds:datastoreItem>
</file>

<file path=customXml/itemProps9.xml><?xml version="1.0" encoding="utf-8"?>
<ds:datastoreItem xmlns:ds="http://schemas.openxmlformats.org/officeDocument/2006/customXml" ds:itemID="{2C86F713-EA8C-4029-87FD-048EFF6E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14371</Words>
  <Characters>75801</Characters>
  <Application>Microsoft Office Word</Application>
  <DocSecurity>0</DocSecurity>
  <Lines>631</Lines>
  <Paragraphs>179</Paragraphs>
  <ScaleCrop>false</ScaleCrop>
  <HeadingPairs>
    <vt:vector size="2" baseType="variant">
      <vt:variant>
        <vt:lpstr>Title</vt:lpstr>
      </vt:variant>
      <vt:variant>
        <vt:i4>1</vt:i4>
      </vt:variant>
    </vt:vector>
  </HeadingPairs>
  <TitlesOfParts>
    <vt:vector size="1" baseType="lpstr">
      <vt:lpstr>VMG</vt:lpstr>
    </vt:vector>
  </TitlesOfParts>
  <Company>n/a</Company>
  <LinksUpToDate>false</LinksUpToDate>
  <CharactersWithSpaces>89993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VMG</dc:title>
  <dc:subject>April 2019</dc:subject>
  <dc:creator>Vogtle Nuclear Plant Construction Project Monthly Monitoring Report No. 1 for April 2019</dc:creator>
  <cp:lastModifiedBy>Steve Roetger</cp:lastModifiedBy>
  <cp:revision>5</cp:revision>
  <cp:lastPrinted>2023-10-20T11:22:00Z</cp:lastPrinted>
  <dcterms:created xsi:type="dcterms:W3CDTF">2023-10-26T14:24:00Z</dcterms:created>
  <dcterms:modified xsi:type="dcterms:W3CDTF">2023-10-26T15:06:00Z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