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13245" w14:textId="7810E212" w:rsidR="005C01B4" w:rsidRPr="00B56B12" w:rsidRDefault="00CE6BE1" w:rsidP="00B56B12">
      <w:pPr>
        <w:spacing w:line="276" w:lineRule="auto"/>
        <w:rPr>
          <w:rFonts w:asciiTheme="majorHAnsi" w:hAnsiTheme="majorHAnsi" w:cstheme="majorHAnsi"/>
          <w:sz w:val="56"/>
          <w:szCs w:val="56"/>
        </w:rPr>
      </w:pPr>
      <w:r w:rsidRPr="00B56B12">
        <w:rPr>
          <w:rFonts w:asciiTheme="majorHAnsi" w:hAnsiTheme="majorHAnsi" w:cstheme="majorHAnsi"/>
          <w:sz w:val="56"/>
          <w:szCs w:val="56"/>
        </w:rPr>
        <w:t>2023 IRP Update</w:t>
      </w:r>
      <w:r w:rsidR="7446D8A5" w:rsidRPr="00B56B12">
        <w:rPr>
          <w:rFonts w:asciiTheme="majorHAnsi" w:hAnsiTheme="majorHAnsi" w:cstheme="majorHAnsi"/>
          <w:sz w:val="56"/>
          <w:szCs w:val="56"/>
        </w:rPr>
        <w:t xml:space="preserve"> </w:t>
      </w:r>
      <w:r w:rsidR="00593E45" w:rsidRPr="00B56B12">
        <w:rPr>
          <w:rFonts w:asciiTheme="majorHAnsi" w:hAnsiTheme="majorHAnsi" w:cstheme="majorHAnsi"/>
          <w:sz w:val="56"/>
          <w:szCs w:val="56"/>
        </w:rPr>
        <w:t>Load and Energy Forecast</w:t>
      </w:r>
    </w:p>
    <w:p w14:paraId="132EF438" w14:textId="6566F508" w:rsidR="00BC1486" w:rsidRPr="00CE6BE1" w:rsidRDefault="00DF7ACF" w:rsidP="0072621B">
      <w:pPr>
        <w:pStyle w:val="Heading1"/>
        <w:spacing w:after="240" w:line="276" w:lineRule="auto"/>
        <w:rPr>
          <w:rFonts w:asciiTheme="minorHAnsi" w:hAnsiTheme="minorHAnsi" w:cstheme="minorHAnsi"/>
        </w:rPr>
      </w:pPr>
      <w:bookmarkStart w:id="0" w:name="_Toc142468250"/>
      <w:r w:rsidRPr="00CE6BE1">
        <w:rPr>
          <w:rFonts w:asciiTheme="minorHAnsi" w:hAnsiTheme="minorHAnsi" w:cstheme="minorHAnsi"/>
        </w:rPr>
        <w:t>1.0</w:t>
      </w:r>
      <w:r w:rsidRPr="00CE6BE1">
        <w:rPr>
          <w:rFonts w:asciiTheme="minorHAnsi" w:hAnsiTheme="minorHAnsi" w:cstheme="minorHAnsi"/>
        </w:rPr>
        <w:tab/>
      </w:r>
      <w:r w:rsidR="00BC1486" w:rsidRPr="00CE6BE1">
        <w:rPr>
          <w:rFonts w:asciiTheme="minorHAnsi" w:hAnsiTheme="minorHAnsi" w:cstheme="minorHAnsi"/>
        </w:rPr>
        <w:t>Executive Summary</w:t>
      </w:r>
      <w:bookmarkEnd w:id="0"/>
      <w:r w:rsidRPr="00CE6BE1">
        <w:rPr>
          <w:rFonts w:asciiTheme="minorHAnsi" w:hAnsiTheme="minorHAnsi" w:cstheme="minorHAnsi"/>
        </w:rPr>
        <w:t xml:space="preserve"> </w:t>
      </w:r>
      <w:r w:rsidR="005C01B4" w:rsidRPr="00CE6BE1">
        <w:rPr>
          <w:rFonts w:asciiTheme="minorHAnsi" w:hAnsiTheme="minorHAnsi" w:cstheme="minorHAnsi"/>
        </w:rPr>
        <w:t>Overview</w:t>
      </w:r>
    </w:p>
    <w:p w14:paraId="37DEAE15" w14:textId="33873D64" w:rsidR="0056510D" w:rsidRPr="00CE6BE1" w:rsidRDefault="028C5ED2" w:rsidP="00CE6BE1">
      <w:pPr>
        <w:pStyle w:val="BodyText"/>
        <w:spacing w:line="276" w:lineRule="auto"/>
        <w:jc w:val="both"/>
        <w:rPr>
          <w:rFonts w:asciiTheme="minorHAnsi" w:hAnsiTheme="minorHAnsi" w:cstheme="minorBidi"/>
          <w:b/>
          <w:sz w:val="22"/>
          <w:szCs w:val="22"/>
        </w:rPr>
      </w:pPr>
      <w:r w:rsidRPr="417122ED">
        <w:rPr>
          <w:rFonts w:asciiTheme="minorHAnsi" w:hAnsiTheme="minorHAnsi" w:cstheme="minorBidi"/>
          <w:sz w:val="22"/>
          <w:szCs w:val="22"/>
        </w:rPr>
        <w:t xml:space="preserve">In support of the 2023 Integrated Resource Plan (“IRP”) Update, </w:t>
      </w:r>
      <w:r w:rsidR="04282F33" w:rsidRPr="417122ED">
        <w:rPr>
          <w:rFonts w:asciiTheme="minorHAnsi" w:hAnsiTheme="minorHAnsi" w:cstheme="minorBidi"/>
          <w:sz w:val="22"/>
          <w:szCs w:val="22"/>
        </w:rPr>
        <w:t>t</w:t>
      </w:r>
      <w:r w:rsidR="0056510D" w:rsidRPr="417122ED">
        <w:rPr>
          <w:rFonts w:asciiTheme="minorHAnsi" w:hAnsiTheme="minorHAnsi" w:cstheme="minorBidi"/>
          <w:sz w:val="22"/>
          <w:szCs w:val="22"/>
        </w:rPr>
        <w:t>h</w:t>
      </w:r>
      <w:r w:rsidR="35A42859" w:rsidRPr="417122ED">
        <w:rPr>
          <w:rFonts w:asciiTheme="minorHAnsi" w:hAnsiTheme="minorHAnsi" w:cstheme="minorBidi"/>
          <w:sz w:val="22"/>
          <w:szCs w:val="22"/>
        </w:rPr>
        <w:t xml:space="preserve">is document </w:t>
      </w:r>
      <w:r w:rsidR="6A00B4CA" w:rsidRPr="417122ED">
        <w:rPr>
          <w:rFonts w:asciiTheme="minorHAnsi" w:hAnsiTheme="minorHAnsi" w:cstheme="minorBidi"/>
          <w:sz w:val="22"/>
          <w:szCs w:val="22"/>
        </w:rPr>
        <w:t>presents the</w:t>
      </w:r>
      <w:r w:rsidR="49532763" w:rsidRPr="417122ED">
        <w:rPr>
          <w:rFonts w:asciiTheme="minorHAnsi" w:hAnsiTheme="minorHAnsi" w:cstheme="minorBidi"/>
          <w:sz w:val="22"/>
          <w:szCs w:val="22"/>
        </w:rPr>
        <w:t xml:space="preserve"> </w:t>
      </w:r>
      <w:r w:rsidR="0072621B" w:rsidRPr="001D610E">
        <w:rPr>
          <w:rFonts w:asciiTheme="minorHAnsi" w:hAnsiTheme="minorHAnsi" w:cstheme="minorBidi"/>
          <w:sz w:val="22"/>
          <w:szCs w:val="22"/>
        </w:rPr>
        <w:t>2023 IRP Update Load and Energy Forecast</w:t>
      </w:r>
      <w:r w:rsidR="00C35FF1" w:rsidRPr="001D610E">
        <w:rPr>
          <w:rFonts w:asciiTheme="minorHAnsi" w:hAnsiTheme="minorHAnsi" w:cstheme="minorBidi"/>
          <w:sz w:val="22"/>
          <w:szCs w:val="22"/>
        </w:rPr>
        <w:t xml:space="preserve"> </w:t>
      </w:r>
      <w:r w:rsidR="00333AB1" w:rsidRPr="001D610E">
        <w:rPr>
          <w:rFonts w:asciiTheme="minorHAnsi" w:hAnsiTheme="minorHAnsi" w:cstheme="minorBidi"/>
          <w:sz w:val="22"/>
          <w:szCs w:val="22"/>
        </w:rPr>
        <w:t>(“2023 IRP Update Load Forecast”)</w:t>
      </w:r>
      <w:r w:rsidR="0056510D" w:rsidRPr="417122ED">
        <w:rPr>
          <w:rFonts w:asciiTheme="minorHAnsi" w:hAnsiTheme="minorHAnsi" w:cstheme="minorBidi"/>
          <w:sz w:val="22"/>
          <w:szCs w:val="22"/>
        </w:rPr>
        <w:t xml:space="preserve">. </w:t>
      </w:r>
    </w:p>
    <w:p w14:paraId="5BB70889" w14:textId="7EF7AFE6" w:rsidR="000C0168" w:rsidRDefault="7B6F7462" w:rsidP="00CE6BE1">
      <w:pPr>
        <w:spacing w:line="276" w:lineRule="auto"/>
        <w:jc w:val="both"/>
        <w:rPr>
          <w:rFonts w:asciiTheme="minorHAnsi" w:hAnsiTheme="minorHAnsi"/>
          <w:sz w:val="22"/>
          <w:szCs w:val="22"/>
        </w:rPr>
      </w:pPr>
      <w:r w:rsidRPr="58161626">
        <w:rPr>
          <w:rFonts w:asciiTheme="minorHAnsi" w:hAnsiTheme="minorHAnsi"/>
          <w:sz w:val="22"/>
          <w:szCs w:val="22"/>
        </w:rPr>
        <w:t>The 2023 IRP Update Load Forecast provides a</w:t>
      </w:r>
      <w:r w:rsidR="0056510D" w:rsidRPr="58161626">
        <w:rPr>
          <w:rFonts w:asciiTheme="minorHAnsi" w:hAnsiTheme="minorHAnsi"/>
          <w:sz w:val="22"/>
          <w:szCs w:val="22"/>
        </w:rPr>
        <w:t xml:space="preserve"> twenty-year forecast of energy sales and peak demand to meet the planning needs of Georgia Power Company (“Georgia Power” or the “Company”). </w:t>
      </w:r>
      <w:r w:rsidR="61D82E26" w:rsidRPr="58161626">
        <w:rPr>
          <w:rFonts w:asciiTheme="minorHAnsi" w:hAnsiTheme="minorHAnsi"/>
          <w:sz w:val="22"/>
          <w:szCs w:val="22"/>
        </w:rPr>
        <w:t xml:space="preserve">The 2023 IRP Update Load Forecast </w:t>
      </w:r>
      <w:r w:rsidR="0056510D" w:rsidRPr="58161626">
        <w:rPr>
          <w:rFonts w:asciiTheme="minorHAnsi" w:hAnsiTheme="minorHAnsi"/>
          <w:sz w:val="22"/>
          <w:szCs w:val="22"/>
        </w:rPr>
        <w:t xml:space="preserve">includes the following retail classes: residential; commercial; industrial; Metropolitan Atlanta Rapid Transit Authority (“MARTA”); and governmental lighting. </w:t>
      </w:r>
    </w:p>
    <w:p w14:paraId="5A1D734D" w14:textId="77777777" w:rsidR="00C35FF1" w:rsidRDefault="00C35FF1" w:rsidP="00CE6BE1">
      <w:pPr>
        <w:spacing w:line="276" w:lineRule="auto"/>
        <w:jc w:val="both"/>
        <w:rPr>
          <w:rFonts w:asciiTheme="minorHAnsi" w:hAnsiTheme="minorHAnsi"/>
          <w:sz w:val="22"/>
          <w:szCs w:val="22"/>
        </w:rPr>
      </w:pPr>
    </w:p>
    <w:p w14:paraId="57F9938C" w14:textId="54ED5EB6" w:rsidR="009A6DB4" w:rsidRPr="00D13B89" w:rsidRDefault="00B57126" w:rsidP="00CE6BE1">
      <w:pPr>
        <w:spacing w:line="276" w:lineRule="auto"/>
        <w:jc w:val="both"/>
        <w:rPr>
          <w:rFonts w:asciiTheme="minorHAnsi" w:hAnsiTheme="minorHAnsi"/>
          <w:sz w:val="22"/>
          <w:szCs w:val="22"/>
        </w:rPr>
      </w:pPr>
      <w:r w:rsidRPr="417122ED">
        <w:rPr>
          <w:rFonts w:asciiTheme="minorHAnsi" w:hAnsiTheme="minorHAnsi"/>
          <w:sz w:val="22"/>
          <w:szCs w:val="22"/>
        </w:rPr>
        <w:t xml:space="preserve">Georgia has seen unprecedented </w:t>
      </w:r>
      <w:r w:rsidR="002C27D2" w:rsidRPr="417122ED">
        <w:rPr>
          <w:rFonts w:asciiTheme="minorHAnsi" w:hAnsiTheme="minorHAnsi"/>
          <w:sz w:val="22"/>
          <w:szCs w:val="22"/>
        </w:rPr>
        <w:t xml:space="preserve">growth </w:t>
      </w:r>
      <w:r w:rsidR="007B477A" w:rsidRPr="417122ED">
        <w:rPr>
          <w:rFonts w:asciiTheme="minorHAnsi" w:hAnsiTheme="minorHAnsi"/>
          <w:sz w:val="22"/>
          <w:szCs w:val="22"/>
        </w:rPr>
        <w:t xml:space="preserve">in </w:t>
      </w:r>
      <w:r w:rsidRPr="417122ED">
        <w:rPr>
          <w:rFonts w:asciiTheme="minorHAnsi" w:hAnsiTheme="minorHAnsi"/>
          <w:sz w:val="22"/>
          <w:szCs w:val="22"/>
        </w:rPr>
        <w:t xml:space="preserve">economic </w:t>
      </w:r>
      <w:r w:rsidR="007B477A" w:rsidRPr="417122ED">
        <w:rPr>
          <w:rFonts w:asciiTheme="minorHAnsi" w:hAnsiTheme="minorHAnsi"/>
          <w:sz w:val="22"/>
          <w:szCs w:val="22"/>
        </w:rPr>
        <w:t xml:space="preserve">development </w:t>
      </w:r>
      <w:r w:rsidR="00906FBF" w:rsidRPr="417122ED">
        <w:rPr>
          <w:rFonts w:asciiTheme="minorHAnsi" w:hAnsiTheme="minorHAnsi"/>
          <w:sz w:val="22"/>
          <w:szCs w:val="22"/>
        </w:rPr>
        <w:t>activity</w:t>
      </w:r>
      <w:r w:rsidRPr="417122ED">
        <w:rPr>
          <w:rFonts w:asciiTheme="minorHAnsi" w:hAnsiTheme="minorHAnsi"/>
          <w:sz w:val="22"/>
          <w:szCs w:val="22"/>
        </w:rPr>
        <w:t xml:space="preserve"> since </w:t>
      </w:r>
      <w:r w:rsidR="00593E45" w:rsidRPr="417122ED">
        <w:rPr>
          <w:rFonts w:asciiTheme="minorHAnsi" w:hAnsiTheme="minorHAnsi"/>
          <w:sz w:val="22"/>
          <w:szCs w:val="22"/>
        </w:rPr>
        <w:t xml:space="preserve">Georgia Power’s </w:t>
      </w:r>
      <w:r w:rsidRPr="417122ED">
        <w:rPr>
          <w:rFonts w:asciiTheme="minorHAnsi" w:hAnsiTheme="minorHAnsi"/>
          <w:sz w:val="22"/>
          <w:szCs w:val="22"/>
        </w:rPr>
        <w:t xml:space="preserve">2022 </w:t>
      </w:r>
      <w:r w:rsidR="00593E45" w:rsidRPr="417122ED">
        <w:rPr>
          <w:rFonts w:asciiTheme="minorHAnsi" w:hAnsiTheme="minorHAnsi"/>
          <w:sz w:val="22"/>
          <w:szCs w:val="22"/>
        </w:rPr>
        <w:t>Integrated Resource Plan</w:t>
      </w:r>
      <w:r w:rsidRPr="417122ED">
        <w:rPr>
          <w:rFonts w:asciiTheme="minorHAnsi" w:hAnsiTheme="minorHAnsi"/>
          <w:sz w:val="22"/>
          <w:szCs w:val="22"/>
        </w:rPr>
        <w:t xml:space="preserve">. </w:t>
      </w:r>
      <w:r w:rsidR="004F7E35">
        <w:rPr>
          <w:rFonts w:asciiTheme="minorHAnsi" w:hAnsiTheme="minorHAnsi"/>
          <w:sz w:val="22"/>
          <w:szCs w:val="22"/>
        </w:rPr>
        <w:t>Numerous</w:t>
      </w:r>
      <w:r w:rsidR="00134C08" w:rsidRPr="417122ED">
        <w:rPr>
          <w:rFonts w:asciiTheme="minorHAnsi" w:hAnsiTheme="minorHAnsi"/>
          <w:sz w:val="22"/>
          <w:szCs w:val="22"/>
        </w:rPr>
        <w:t xml:space="preserve"> new businesses and industries have come to Georgia, including significant new load related to </w:t>
      </w:r>
      <w:r w:rsidR="00F40912">
        <w:rPr>
          <w:rFonts w:asciiTheme="minorHAnsi" w:hAnsiTheme="minorHAnsi"/>
          <w:sz w:val="22"/>
          <w:szCs w:val="22"/>
        </w:rPr>
        <w:t>manufacturing</w:t>
      </w:r>
      <w:r w:rsidR="00134C08" w:rsidRPr="417122ED">
        <w:rPr>
          <w:rFonts w:asciiTheme="minorHAnsi" w:hAnsiTheme="minorHAnsi"/>
          <w:sz w:val="22"/>
          <w:szCs w:val="22"/>
        </w:rPr>
        <w:t xml:space="preserve">, clean energy technology, and </w:t>
      </w:r>
      <w:r w:rsidR="00F40912" w:rsidRPr="417122ED">
        <w:rPr>
          <w:rFonts w:asciiTheme="minorHAnsi" w:hAnsiTheme="minorHAnsi"/>
          <w:sz w:val="22"/>
          <w:szCs w:val="22"/>
        </w:rPr>
        <w:t>data centers</w:t>
      </w:r>
      <w:r w:rsidR="00134C08" w:rsidRPr="417122ED">
        <w:rPr>
          <w:rFonts w:asciiTheme="minorHAnsi" w:hAnsiTheme="minorHAnsi"/>
          <w:sz w:val="22"/>
          <w:szCs w:val="22"/>
        </w:rPr>
        <w:t>. Th</w:t>
      </w:r>
      <w:r w:rsidR="51A51AFA" w:rsidRPr="417122ED">
        <w:rPr>
          <w:rFonts w:asciiTheme="minorHAnsi" w:hAnsiTheme="minorHAnsi"/>
          <w:sz w:val="22"/>
          <w:szCs w:val="22"/>
        </w:rPr>
        <w:t xml:space="preserve">is growth </w:t>
      </w:r>
      <w:r w:rsidR="00134C08" w:rsidRPr="417122ED">
        <w:rPr>
          <w:rFonts w:asciiTheme="minorHAnsi" w:hAnsiTheme="minorHAnsi"/>
          <w:sz w:val="22"/>
          <w:szCs w:val="22"/>
        </w:rPr>
        <w:t>fall</w:t>
      </w:r>
      <w:r w:rsidR="036AB606" w:rsidRPr="417122ED">
        <w:rPr>
          <w:rFonts w:asciiTheme="minorHAnsi" w:hAnsiTheme="minorHAnsi"/>
          <w:sz w:val="22"/>
          <w:szCs w:val="22"/>
        </w:rPr>
        <w:t>s</w:t>
      </w:r>
      <w:r w:rsidR="00134C08" w:rsidRPr="417122ED">
        <w:rPr>
          <w:rFonts w:asciiTheme="minorHAnsi" w:hAnsiTheme="minorHAnsi"/>
          <w:sz w:val="22"/>
          <w:szCs w:val="22"/>
        </w:rPr>
        <w:t xml:space="preserve"> outside </w:t>
      </w:r>
      <w:r w:rsidR="43845DEC" w:rsidRPr="417122ED">
        <w:rPr>
          <w:rFonts w:asciiTheme="minorHAnsi" w:hAnsiTheme="minorHAnsi"/>
          <w:sz w:val="22"/>
          <w:szCs w:val="22"/>
        </w:rPr>
        <w:t xml:space="preserve">of </w:t>
      </w:r>
      <w:r w:rsidR="00134C08" w:rsidRPr="417122ED">
        <w:rPr>
          <w:rFonts w:asciiTheme="minorHAnsi" w:hAnsiTheme="minorHAnsi"/>
          <w:sz w:val="22"/>
          <w:szCs w:val="22"/>
        </w:rPr>
        <w:t xml:space="preserve">the historical norms in terms of </w:t>
      </w:r>
      <w:r w:rsidR="728DCEB8" w:rsidRPr="417122ED">
        <w:rPr>
          <w:rFonts w:asciiTheme="minorHAnsi" w:hAnsiTheme="minorHAnsi"/>
          <w:sz w:val="22"/>
          <w:szCs w:val="22"/>
        </w:rPr>
        <w:t xml:space="preserve">both the </w:t>
      </w:r>
      <w:r w:rsidR="00134C08" w:rsidRPr="417122ED">
        <w:rPr>
          <w:rFonts w:asciiTheme="minorHAnsi" w:hAnsiTheme="minorHAnsi"/>
          <w:sz w:val="22"/>
          <w:szCs w:val="22"/>
        </w:rPr>
        <w:t xml:space="preserve">size and speed </w:t>
      </w:r>
      <w:r w:rsidR="00034258">
        <w:rPr>
          <w:rFonts w:asciiTheme="minorHAnsi" w:hAnsiTheme="minorHAnsi"/>
          <w:sz w:val="22"/>
          <w:szCs w:val="22"/>
        </w:rPr>
        <w:t xml:space="preserve">of </w:t>
      </w:r>
      <w:r w:rsidR="00134C08" w:rsidRPr="417122ED">
        <w:rPr>
          <w:rFonts w:asciiTheme="minorHAnsi" w:hAnsiTheme="minorHAnsi"/>
          <w:sz w:val="22"/>
          <w:szCs w:val="22"/>
        </w:rPr>
        <w:t xml:space="preserve">development, with some projects </w:t>
      </w:r>
      <w:r w:rsidR="006C31BF">
        <w:rPr>
          <w:rFonts w:asciiTheme="minorHAnsi" w:hAnsiTheme="minorHAnsi"/>
          <w:sz w:val="22"/>
          <w:szCs w:val="22"/>
        </w:rPr>
        <w:t xml:space="preserve">surpassing </w:t>
      </w:r>
      <w:r w:rsidR="00134C08" w:rsidRPr="417122ED">
        <w:rPr>
          <w:rFonts w:asciiTheme="minorHAnsi" w:hAnsiTheme="minorHAnsi"/>
          <w:sz w:val="22"/>
          <w:szCs w:val="22"/>
        </w:rPr>
        <w:t xml:space="preserve">1,000 MW. </w:t>
      </w:r>
      <w:r w:rsidR="00AF3261" w:rsidRPr="417122ED">
        <w:rPr>
          <w:rFonts w:asciiTheme="minorHAnsi" w:hAnsiTheme="minorHAnsi"/>
          <w:sz w:val="22"/>
          <w:szCs w:val="22"/>
        </w:rPr>
        <w:t xml:space="preserve">As reflected in </w:t>
      </w:r>
      <w:r w:rsidR="00AE2338" w:rsidRPr="417122ED">
        <w:rPr>
          <w:rFonts w:asciiTheme="minorHAnsi" w:hAnsiTheme="minorHAnsi"/>
          <w:sz w:val="22"/>
          <w:szCs w:val="22"/>
        </w:rPr>
        <w:t>Figure 1.0-1</w:t>
      </w:r>
      <w:r w:rsidR="00AF3261" w:rsidRPr="417122ED">
        <w:rPr>
          <w:rFonts w:asciiTheme="minorHAnsi" w:hAnsiTheme="minorHAnsi"/>
          <w:sz w:val="22"/>
          <w:szCs w:val="22"/>
        </w:rPr>
        <w:t xml:space="preserve">, </w:t>
      </w:r>
      <w:r w:rsidR="5E7247C2" w:rsidRPr="417122ED">
        <w:rPr>
          <w:rFonts w:asciiTheme="minorHAnsi" w:hAnsiTheme="minorHAnsi"/>
          <w:sz w:val="22"/>
          <w:szCs w:val="22"/>
        </w:rPr>
        <w:t xml:space="preserve">large load projects that </w:t>
      </w:r>
      <w:r w:rsidR="00593E45" w:rsidRPr="417122ED">
        <w:rPr>
          <w:rFonts w:asciiTheme="minorHAnsi" w:hAnsiTheme="minorHAnsi"/>
          <w:sz w:val="22"/>
          <w:szCs w:val="22"/>
        </w:rPr>
        <w:t>Georgia Power</w:t>
      </w:r>
      <w:r w:rsidRPr="417122ED">
        <w:rPr>
          <w:rFonts w:asciiTheme="minorHAnsi" w:hAnsiTheme="minorHAnsi"/>
          <w:sz w:val="22"/>
          <w:szCs w:val="22"/>
        </w:rPr>
        <w:t xml:space="preserve"> </w:t>
      </w:r>
      <w:r w:rsidR="3DC4BA5B" w:rsidRPr="417122ED">
        <w:rPr>
          <w:rFonts w:asciiTheme="minorHAnsi" w:hAnsiTheme="minorHAnsi"/>
          <w:sz w:val="22"/>
          <w:szCs w:val="22"/>
        </w:rPr>
        <w:t>was sele</w:t>
      </w:r>
      <w:r w:rsidR="007C4D6B">
        <w:rPr>
          <w:rFonts w:asciiTheme="minorHAnsi" w:hAnsiTheme="minorHAnsi"/>
          <w:sz w:val="22"/>
          <w:szCs w:val="22"/>
        </w:rPr>
        <w:t>c</w:t>
      </w:r>
      <w:r w:rsidR="3DC4BA5B" w:rsidRPr="417122ED">
        <w:rPr>
          <w:rFonts w:asciiTheme="minorHAnsi" w:hAnsiTheme="minorHAnsi"/>
          <w:sz w:val="22"/>
          <w:szCs w:val="22"/>
        </w:rPr>
        <w:t>ted to serve</w:t>
      </w:r>
      <w:r w:rsidR="00276C2B" w:rsidRPr="417122ED">
        <w:rPr>
          <w:rFonts w:asciiTheme="minorHAnsi" w:hAnsiTheme="minorHAnsi"/>
          <w:sz w:val="22"/>
          <w:szCs w:val="22"/>
        </w:rPr>
        <w:t xml:space="preserve"> </w:t>
      </w:r>
      <w:r w:rsidRPr="417122ED">
        <w:rPr>
          <w:rFonts w:asciiTheme="minorHAnsi" w:hAnsiTheme="minorHAnsi"/>
          <w:sz w:val="22"/>
          <w:szCs w:val="22"/>
        </w:rPr>
        <w:t xml:space="preserve">in 2022 </w:t>
      </w:r>
      <w:r w:rsidR="0050399E">
        <w:rPr>
          <w:rFonts w:asciiTheme="minorHAnsi" w:hAnsiTheme="minorHAnsi"/>
          <w:sz w:val="22"/>
          <w:szCs w:val="22"/>
        </w:rPr>
        <w:t>represent</w:t>
      </w:r>
      <w:r w:rsidR="009F1B6E">
        <w:rPr>
          <w:rFonts w:asciiTheme="minorHAnsi" w:hAnsiTheme="minorHAnsi"/>
          <w:sz w:val="22"/>
          <w:szCs w:val="22"/>
        </w:rPr>
        <w:t>ed</w:t>
      </w:r>
      <w:r w:rsidR="0050399E">
        <w:rPr>
          <w:rFonts w:asciiTheme="minorHAnsi" w:hAnsiTheme="minorHAnsi"/>
          <w:sz w:val="22"/>
          <w:szCs w:val="22"/>
        </w:rPr>
        <w:t xml:space="preserve"> </w:t>
      </w:r>
      <w:r w:rsidR="00A31362">
        <w:rPr>
          <w:rFonts w:asciiTheme="minorHAnsi" w:hAnsiTheme="minorHAnsi"/>
          <w:sz w:val="22"/>
          <w:szCs w:val="22"/>
        </w:rPr>
        <w:t xml:space="preserve">almost </w:t>
      </w:r>
      <w:r w:rsidRPr="417122ED">
        <w:rPr>
          <w:rFonts w:asciiTheme="minorHAnsi" w:hAnsiTheme="minorHAnsi"/>
          <w:sz w:val="22"/>
          <w:szCs w:val="22"/>
        </w:rPr>
        <w:t>2,200 MW</w:t>
      </w:r>
      <w:r w:rsidR="2B8B2259" w:rsidRPr="417122ED">
        <w:rPr>
          <w:rFonts w:asciiTheme="minorHAnsi" w:hAnsiTheme="minorHAnsi"/>
          <w:sz w:val="22"/>
          <w:szCs w:val="22"/>
        </w:rPr>
        <w:t xml:space="preserve">. This is </w:t>
      </w:r>
      <w:r w:rsidRPr="417122ED">
        <w:rPr>
          <w:rFonts w:asciiTheme="minorHAnsi" w:hAnsiTheme="minorHAnsi"/>
          <w:sz w:val="22"/>
          <w:szCs w:val="22"/>
        </w:rPr>
        <w:t xml:space="preserve">more than </w:t>
      </w:r>
      <w:r w:rsidR="00A7088F">
        <w:rPr>
          <w:rFonts w:asciiTheme="minorHAnsi" w:hAnsiTheme="minorHAnsi"/>
          <w:sz w:val="22"/>
          <w:szCs w:val="22"/>
        </w:rPr>
        <w:t>six</w:t>
      </w:r>
      <w:r w:rsidRPr="417122ED">
        <w:rPr>
          <w:rFonts w:asciiTheme="minorHAnsi" w:hAnsiTheme="minorHAnsi"/>
          <w:sz w:val="22"/>
          <w:szCs w:val="22"/>
        </w:rPr>
        <w:t xml:space="preserve"> times </w:t>
      </w:r>
      <w:r w:rsidR="005D66ED">
        <w:rPr>
          <w:rFonts w:asciiTheme="minorHAnsi" w:hAnsiTheme="minorHAnsi"/>
          <w:sz w:val="22"/>
          <w:szCs w:val="22"/>
        </w:rPr>
        <w:t>greater</w:t>
      </w:r>
      <w:r w:rsidRPr="417122ED">
        <w:rPr>
          <w:rFonts w:asciiTheme="minorHAnsi" w:hAnsiTheme="minorHAnsi"/>
          <w:sz w:val="22"/>
          <w:szCs w:val="22"/>
        </w:rPr>
        <w:t xml:space="preserve"> than in 2021 and </w:t>
      </w:r>
      <w:r w:rsidR="00A31362">
        <w:rPr>
          <w:rFonts w:asciiTheme="minorHAnsi" w:hAnsiTheme="minorHAnsi"/>
          <w:sz w:val="22"/>
          <w:szCs w:val="22"/>
        </w:rPr>
        <w:t>nearly</w:t>
      </w:r>
      <w:r w:rsidR="00E85062">
        <w:rPr>
          <w:rFonts w:asciiTheme="minorHAnsi" w:hAnsiTheme="minorHAnsi"/>
          <w:sz w:val="22"/>
          <w:szCs w:val="22"/>
        </w:rPr>
        <w:t xml:space="preserve"> </w:t>
      </w:r>
      <w:r w:rsidR="00B03E2D">
        <w:rPr>
          <w:rFonts w:asciiTheme="minorHAnsi" w:hAnsiTheme="minorHAnsi"/>
          <w:sz w:val="22"/>
          <w:szCs w:val="22"/>
        </w:rPr>
        <w:t>22</w:t>
      </w:r>
      <w:r w:rsidRPr="417122ED">
        <w:rPr>
          <w:rFonts w:asciiTheme="minorHAnsi" w:hAnsiTheme="minorHAnsi"/>
          <w:sz w:val="22"/>
          <w:szCs w:val="22"/>
        </w:rPr>
        <w:t xml:space="preserve"> times </w:t>
      </w:r>
      <w:r w:rsidR="009F1B6E">
        <w:rPr>
          <w:rFonts w:asciiTheme="minorHAnsi" w:hAnsiTheme="minorHAnsi"/>
          <w:sz w:val="22"/>
          <w:szCs w:val="22"/>
        </w:rPr>
        <w:t>greater</w:t>
      </w:r>
      <w:r w:rsidRPr="417122ED">
        <w:rPr>
          <w:rFonts w:asciiTheme="minorHAnsi" w:hAnsiTheme="minorHAnsi"/>
          <w:sz w:val="22"/>
          <w:szCs w:val="22"/>
        </w:rPr>
        <w:t xml:space="preserve"> than the </w:t>
      </w:r>
      <w:r w:rsidR="000F1E02">
        <w:rPr>
          <w:rFonts w:asciiTheme="minorHAnsi" w:hAnsiTheme="minorHAnsi"/>
          <w:sz w:val="22"/>
          <w:szCs w:val="22"/>
        </w:rPr>
        <w:t xml:space="preserve">approximately </w:t>
      </w:r>
      <w:r w:rsidR="00B021AC">
        <w:rPr>
          <w:rFonts w:asciiTheme="minorHAnsi" w:hAnsiTheme="minorHAnsi"/>
          <w:sz w:val="22"/>
          <w:szCs w:val="22"/>
        </w:rPr>
        <w:t xml:space="preserve">100 MW </w:t>
      </w:r>
      <w:r w:rsidR="00B35D21">
        <w:rPr>
          <w:rFonts w:asciiTheme="minorHAnsi" w:hAnsiTheme="minorHAnsi"/>
          <w:sz w:val="22"/>
          <w:szCs w:val="22"/>
        </w:rPr>
        <w:t xml:space="preserve">of large load </w:t>
      </w:r>
      <w:r w:rsidR="27878351" w:rsidRPr="417122ED">
        <w:rPr>
          <w:rFonts w:asciiTheme="minorHAnsi" w:hAnsiTheme="minorHAnsi"/>
          <w:sz w:val="22"/>
          <w:szCs w:val="22"/>
        </w:rPr>
        <w:t xml:space="preserve">the Company was selected to serve </w:t>
      </w:r>
      <w:r w:rsidR="005240D7">
        <w:rPr>
          <w:rFonts w:asciiTheme="minorHAnsi" w:hAnsiTheme="minorHAnsi"/>
          <w:sz w:val="22"/>
          <w:szCs w:val="22"/>
        </w:rPr>
        <w:t xml:space="preserve">per year </w:t>
      </w:r>
      <w:r w:rsidR="76030928" w:rsidRPr="417122ED">
        <w:rPr>
          <w:rFonts w:asciiTheme="minorHAnsi" w:hAnsiTheme="minorHAnsi"/>
          <w:sz w:val="22"/>
          <w:szCs w:val="22"/>
        </w:rPr>
        <w:t xml:space="preserve">from </w:t>
      </w:r>
      <w:r w:rsidRPr="417122ED">
        <w:rPr>
          <w:rFonts w:asciiTheme="minorHAnsi" w:hAnsiTheme="minorHAnsi"/>
          <w:sz w:val="22"/>
          <w:szCs w:val="22"/>
        </w:rPr>
        <w:t>2017</w:t>
      </w:r>
      <w:r w:rsidR="75EF35E2" w:rsidRPr="417122ED">
        <w:rPr>
          <w:rFonts w:asciiTheme="minorHAnsi" w:hAnsiTheme="minorHAnsi"/>
          <w:sz w:val="22"/>
          <w:szCs w:val="22"/>
        </w:rPr>
        <w:t xml:space="preserve"> to </w:t>
      </w:r>
      <w:r w:rsidRPr="417122ED">
        <w:rPr>
          <w:rFonts w:asciiTheme="minorHAnsi" w:hAnsiTheme="minorHAnsi"/>
          <w:sz w:val="22"/>
          <w:szCs w:val="22"/>
        </w:rPr>
        <w:t xml:space="preserve">2020. This </w:t>
      </w:r>
      <w:r w:rsidR="3A8A529C" w:rsidRPr="417122ED">
        <w:rPr>
          <w:rFonts w:asciiTheme="minorHAnsi" w:hAnsiTheme="minorHAnsi"/>
          <w:sz w:val="22"/>
          <w:szCs w:val="22"/>
        </w:rPr>
        <w:t>growth</w:t>
      </w:r>
      <w:r w:rsidRPr="417122ED">
        <w:rPr>
          <w:rFonts w:asciiTheme="minorHAnsi" w:hAnsiTheme="minorHAnsi"/>
          <w:sz w:val="22"/>
          <w:szCs w:val="22"/>
        </w:rPr>
        <w:t xml:space="preserve"> </w:t>
      </w:r>
      <w:r w:rsidR="5D591B43" w:rsidRPr="417122ED">
        <w:rPr>
          <w:rFonts w:asciiTheme="minorHAnsi" w:hAnsiTheme="minorHAnsi"/>
          <w:sz w:val="22"/>
          <w:szCs w:val="22"/>
        </w:rPr>
        <w:t>has</w:t>
      </w:r>
      <w:r w:rsidR="556713D2" w:rsidRPr="417122ED">
        <w:rPr>
          <w:rFonts w:asciiTheme="minorHAnsi" w:hAnsiTheme="minorHAnsi"/>
          <w:sz w:val="22"/>
          <w:szCs w:val="22"/>
        </w:rPr>
        <w:t xml:space="preserve"> </w:t>
      </w:r>
      <w:r w:rsidR="00AE173B">
        <w:rPr>
          <w:rFonts w:asciiTheme="minorHAnsi" w:hAnsiTheme="minorHAnsi"/>
          <w:sz w:val="22"/>
          <w:szCs w:val="22"/>
        </w:rPr>
        <w:t>sustained</w:t>
      </w:r>
      <w:r w:rsidRPr="417122ED">
        <w:rPr>
          <w:rFonts w:asciiTheme="minorHAnsi" w:hAnsiTheme="minorHAnsi"/>
          <w:sz w:val="22"/>
          <w:szCs w:val="22"/>
        </w:rPr>
        <w:t xml:space="preserve"> in 2023. </w:t>
      </w:r>
      <w:r w:rsidR="00546B2A" w:rsidRPr="417122ED">
        <w:rPr>
          <w:rFonts w:asciiTheme="minorHAnsi" w:hAnsiTheme="minorHAnsi"/>
          <w:sz w:val="22"/>
          <w:szCs w:val="22"/>
        </w:rPr>
        <w:t>From January t</w:t>
      </w:r>
      <w:r w:rsidR="0088463E" w:rsidRPr="417122ED">
        <w:rPr>
          <w:rFonts w:asciiTheme="minorHAnsi" w:hAnsiTheme="minorHAnsi"/>
          <w:sz w:val="22"/>
          <w:szCs w:val="22"/>
        </w:rPr>
        <w:t>hrough</w:t>
      </w:r>
      <w:r w:rsidR="00B23C61" w:rsidRPr="417122ED">
        <w:rPr>
          <w:rFonts w:asciiTheme="minorHAnsi" w:hAnsiTheme="minorHAnsi"/>
          <w:sz w:val="22"/>
          <w:szCs w:val="22"/>
        </w:rPr>
        <w:t xml:space="preserve"> </w:t>
      </w:r>
      <w:r w:rsidR="0088463E" w:rsidRPr="417122ED">
        <w:rPr>
          <w:rFonts w:asciiTheme="minorHAnsi" w:hAnsiTheme="minorHAnsi"/>
          <w:sz w:val="22"/>
          <w:szCs w:val="22"/>
        </w:rPr>
        <w:t>August</w:t>
      </w:r>
      <w:r w:rsidR="00B23C61" w:rsidRPr="417122ED">
        <w:rPr>
          <w:rFonts w:asciiTheme="minorHAnsi" w:hAnsiTheme="minorHAnsi"/>
          <w:sz w:val="22"/>
          <w:szCs w:val="22"/>
        </w:rPr>
        <w:t xml:space="preserve"> 2023</w:t>
      </w:r>
      <w:r w:rsidRPr="417122ED">
        <w:rPr>
          <w:rFonts w:asciiTheme="minorHAnsi" w:hAnsiTheme="minorHAnsi"/>
          <w:sz w:val="22"/>
          <w:szCs w:val="22"/>
        </w:rPr>
        <w:t xml:space="preserve">, </w:t>
      </w:r>
      <w:r w:rsidR="00593E45" w:rsidRPr="417122ED">
        <w:rPr>
          <w:rFonts w:asciiTheme="minorHAnsi" w:hAnsiTheme="minorHAnsi"/>
          <w:sz w:val="22"/>
          <w:szCs w:val="22"/>
        </w:rPr>
        <w:t>the Company</w:t>
      </w:r>
      <w:r w:rsidRPr="417122ED">
        <w:rPr>
          <w:rFonts w:asciiTheme="minorHAnsi" w:hAnsiTheme="minorHAnsi"/>
          <w:sz w:val="22"/>
          <w:szCs w:val="22"/>
        </w:rPr>
        <w:t xml:space="preserve"> </w:t>
      </w:r>
      <w:r w:rsidR="133CC2F1" w:rsidRPr="417122ED">
        <w:rPr>
          <w:rFonts w:asciiTheme="minorHAnsi" w:hAnsiTheme="minorHAnsi"/>
          <w:sz w:val="22"/>
          <w:szCs w:val="22"/>
        </w:rPr>
        <w:t>was selected to serve</w:t>
      </w:r>
      <w:r w:rsidR="00462337" w:rsidRPr="417122ED">
        <w:rPr>
          <w:rFonts w:asciiTheme="minorHAnsi" w:hAnsiTheme="minorHAnsi"/>
          <w:sz w:val="22"/>
          <w:szCs w:val="22"/>
        </w:rPr>
        <w:t xml:space="preserve"> </w:t>
      </w:r>
      <w:r w:rsidR="00AE173B">
        <w:rPr>
          <w:rFonts w:asciiTheme="minorHAnsi" w:hAnsiTheme="minorHAnsi"/>
          <w:sz w:val="22"/>
          <w:szCs w:val="22"/>
        </w:rPr>
        <w:t xml:space="preserve">more than </w:t>
      </w:r>
      <w:r w:rsidR="00FE15BE" w:rsidRPr="417122ED">
        <w:rPr>
          <w:rFonts w:asciiTheme="minorHAnsi" w:hAnsiTheme="minorHAnsi"/>
          <w:sz w:val="22"/>
          <w:szCs w:val="22"/>
        </w:rPr>
        <w:t>1,700</w:t>
      </w:r>
      <w:r w:rsidRPr="417122ED">
        <w:rPr>
          <w:rFonts w:asciiTheme="minorHAnsi" w:hAnsiTheme="minorHAnsi"/>
          <w:sz w:val="22"/>
          <w:szCs w:val="22"/>
        </w:rPr>
        <w:t xml:space="preserve"> MW of new customer load and total </w:t>
      </w:r>
      <w:r w:rsidR="00C25605">
        <w:rPr>
          <w:rFonts w:asciiTheme="minorHAnsi" w:hAnsiTheme="minorHAnsi"/>
          <w:sz w:val="22"/>
          <w:szCs w:val="22"/>
        </w:rPr>
        <w:t>Company selections</w:t>
      </w:r>
      <w:r w:rsidRPr="417122ED">
        <w:rPr>
          <w:rFonts w:asciiTheme="minorHAnsi" w:hAnsiTheme="minorHAnsi"/>
          <w:sz w:val="22"/>
          <w:szCs w:val="22"/>
        </w:rPr>
        <w:t xml:space="preserve"> in 2023 </w:t>
      </w:r>
      <w:r w:rsidR="002E4B7F">
        <w:rPr>
          <w:rFonts w:asciiTheme="minorHAnsi" w:hAnsiTheme="minorHAnsi"/>
          <w:sz w:val="22"/>
          <w:szCs w:val="22"/>
        </w:rPr>
        <w:t xml:space="preserve">are estimated </w:t>
      </w:r>
      <w:r w:rsidRPr="417122ED">
        <w:rPr>
          <w:rFonts w:asciiTheme="minorHAnsi" w:hAnsiTheme="minorHAnsi"/>
          <w:sz w:val="22"/>
          <w:szCs w:val="22"/>
        </w:rPr>
        <w:t xml:space="preserve">to be more than </w:t>
      </w:r>
      <w:r w:rsidR="00FB7882" w:rsidRPr="00FB7882">
        <w:rPr>
          <w:rFonts w:asciiTheme="minorHAnsi" w:hAnsiTheme="minorHAnsi"/>
          <w:b/>
          <w:bCs/>
          <w:sz w:val="22"/>
          <w:szCs w:val="22"/>
        </w:rPr>
        <w:t>REDACTED</w:t>
      </w:r>
      <w:r w:rsidRPr="002B6454">
        <w:rPr>
          <w:rFonts w:asciiTheme="minorHAnsi" w:hAnsiTheme="minorHAnsi"/>
          <w:sz w:val="22"/>
          <w:szCs w:val="22"/>
        </w:rPr>
        <w:t xml:space="preserve"> </w:t>
      </w:r>
      <w:r w:rsidRPr="002E4B7F">
        <w:rPr>
          <w:rFonts w:asciiTheme="minorHAnsi" w:hAnsiTheme="minorHAnsi"/>
          <w:sz w:val="22"/>
          <w:szCs w:val="22"/>
        </w:rPr>
        <w:t>MW</w:t>
      </w:r>
      <w:r w:rsidRPr="417122ED">
        <w:rPr>
          <w:rFonts w:asciiTheme="minorHAnsi" w:hAnsiTheme="minorHAnsi"/>
          <w:sz w:val="22"/>
          <w:szCs w:val="22"/>
        </w:rPr>
        <w:t>.</w:t>
      </w:r>
    </w:p>
    <w:p w14:paraId="6BC7A50B" w14:textId="77777777" w:rsidR="00E70CC1" w:rsidRDefault="00E70CC1">
      <w:pPr>
        <w:rPr>
          <w:rFonts w:asciiTheme="minorHAnsi" w:hAnsiTheme="minorHAnsi"/>
          <w:b/>
          <w:sz w:val="22"/>
          <w:szCs w:val="22"/>
          <w:highlight w:val="yellow"/>
        </w:rPr>
      </w:pPr>
      <w:r>
        <w:rPr>
          <w:rFonts w:asciiTheme="minorHAnsi" w:hAnsiTheme="minorHAnsi"/>
          <w:b/>
          <w:sz w:val="22"/>
          <w:szCs w:val="22"/>
          <w:highlight w:val="yellow"/>
        </w:rPr>
        <w:br w:type="page"/>
      </w:r>
    </w:p>
    <w:p w14:paraId="074C2EB2" w14:textId="44350726" w:rsidR="00AF1217" w:rsidRDefault="000B1D36" w:rsidP="00CE6BE1">
      <w:pPr>
        <w:spacing w:line="276" w:lineRule="auto"/>
        <w:jc w:val="center"/>
        <w:rPr>
          <w:rFonts w:asciiTheme="minorHAnsi" w:hAnsiTheme="minorHAnsi"/>
          <w:b/>
          <w:sz w:val="22"/>
          <w:szCs w:val="22"/>
        </w:rPr>
      </w:pPr>
      <w:r w:rsidRPr="00AC1420">
        <w:rPr>
          <w:rFonts w:asciiTheme="minorHAnsi" w:hAnsiTheme="minorHAnsi"/>
          <w:b/>
          <w:sz w:val="22"/>
          <w:szCs w:val="22"/>
        </w:rPr>
        <w:lastRenderedPageBreak/>
        <w:t xml:space="preserve">Figure 1.0-1: </w:t>
      </w:r>
      <w:r w:rsidR="007F1A3A" w:rsidRPr="00AC1420">
        <w:rPr>
          <w:rFonts w:asciiTheme="minorHAnsi" w:hAnsiTheme="minorHAnsi"/>
          <w:b/>
          <w:sz w:val="22"/>
          <w:szCs w:val="22"/>
        </w:rPr>
        <w:t xml:space="preserve">New </w:t>
      </w:r>
      <w:r w:rsidR="00BB127F" w:rsidRPr="00AC1420">
        <w:rPr>
          <w:rFonts w:asciiTheme="minorHAnsi" w:hAnsiTheme="minorHAnsi"/>
          <w:b/>
          <w:sz w:val="22"/>
          <w:szCs w:val="22"/>
        </w:rPr>
        <w:t xml:space="preserve">Large </w:t>
      </w:r>
      <w:r w:rsidR="007F1A3A" w:rsidRPr="00AC1420">
        <w:rPr>
          <w:rFonts w:asciiTheme="minorHAnsi" w:hAnsiTheme="minorHAnsi"/>
          <w:b/>
          <w:sz w:val="22"/>
          <w:szCs w:val="22"/>
        </w:rPr>
        <w:t xml:space="preserve">Load </w:t>
      </w:r>
      <w:r w:rsidR="00BB127F" w:rsidRPr="00AC1420">
        <w:rPr>
          <w:rFonts w:asciiTheme="minorHAnsi" w:hAnsiTheme="minorHAnsi"/>
          <w:b/>
          <w:sz w:val="22"/>
          <w:szCs w:val="22"/>
        </w:rPr>
        <w:t>Customers Selecting Georgia Power by Year (</w:t>
      </w:r>
      <w:r w:rsidRPr="00AC1420">
        <w:rPr>
          <w:rFonts w:asciiTheme="minorHAnsi" w:hAnsiTheme="minorHAnsi"/>
          <w:b/>
          <w:sz w:val="22"/>
          <w:szCs w:val="22"/>
        </w:rPr>
        <w:t>MW)</w:t>
      </w:r>
    </w:p>
    <w:p w14:paraId="66977ECA" w14:textId="77777777" w:rsidR="009E34A4" w:rsidRPr="00CE6BE1" w:rsidRDefault="009E34A4" w:rsidP="009E34A4">
      <w:pPr>
        <w:spacing w:line="276" w:lineRule="auto"/>
        <w:rPr>
          <w:rFonts w:asciiTheme="minorHAnsi" w:hAnsiTheme="minorHAnsi"/>
          <w:sz w:val="22"/>
          <w:szCs w:val="22"/>
        </w:rPr>
      </w:pPr>
    </w:p>
    <w:p w14:paraId="0511630D" w14:textId="61085FE4" w:rsidR="00FC24E6" w:rsidRPr="00CE6BE1" w:rsidRDefault="00C924E0" w:rsidP="00E55FAF">
      <w:pPr>
        <w:spacing w:line="276" w:lineRule="auto"/>
        <w:jc w:val="center"/>
        <w:rPr>
          <w:rFonts w:asciiTheme="minorHAnsi" w:hAnsiTheme="minorHAnsi" w:cstheme="minorHAnsi"/>
          <w:sz w:val="22"/>
          <w:szCs w:val="22"/>
        </w:rPr>
      </w:pPr>
      <w:r>
        <w:rPr>
          <w:rFonts w:asciiTheme="minorHAnsi" w:hAnsiTheme="minorHAnsi" w:cstheme="minorHAnsi"/>
          <w:noProof/>
          <w:sz w:val="22"/>
          <w:szCs w:val="22"/>
        </w:rPr>
        <w:drawing>
          <wp:inline distT="0" distB="0" distL="0" distR="0" wp14:anchorId="175D8915" wp14:editId="6E657A7A">
            <wp:extent cx="5925312" cy="3931920"/>
            <wp:effectExtent l="0" t="0" r="0" b="0"/>
            <wp:docPr id="211047512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25312" cy="3931920"/>
                    </a:xfrm>
                    <a:prstGeom prst="rect">
                      <a:avLst/>
                    </a:prstGeom>
                    <a:noFill/>
                  </pic:spPr>
                </pic:pic>
              </a:graphicData>
            </a:graphic>
          </wp:inline>
        </w:drawing>
      </w:r>
    </w:p>
    <w:p w14:paraId="487860D9" w14:textId="2F986A20" w:rsidR="00B57126" w:rsidRPr="00CE6BE1" w:rsidRDefault="53DF2FCB" w:rsidP="0072621B">
      <w:pPr>
        <w:spacing w:after="240" w:line="276" w:lineRule="auto"/>
        <w:jc w:val="both"/>
        <w:rPr>
          <w:rFonts w:asciiTheme="minorHAnsi" w:hAnsiTheme="minorHAnsi"/>
          <w:sz w:val="22"/>
          <w:szCs w:val="22"/>
        </w:rPr>
      </w:pPr>
      <w:r w:rsidRPr="417122ED">
        <w:rPr>
          <w:rFonts w:asciiTheme="minorHAnsi" w:hAnsiTheme="minorHAnsi"/>
          <w:sz w:val="22"/>
          <w:szCs w:val="22"/>
        </w:rPr>
        <w:t xml:space="preserve">Large load projects </w:t>
      </w:r>
      <w:r w:rsidR="008A3EC8" w:rsidRPr="417122ED">
        <w:rPr>
          <w:rFonts w:asciiTheme="minorHAnsi" w:hAnsiTheme="minorHAnsi"/>
          <w:sz w:val="22"/>
          <w:szCs w:val="22"/>
        </w:rPr>
        <w:t>for calendar year</w:t>
      </w:r>
      <w:r w:rsidR="00B57126" w:rsidRPr="417122ED">
        <w:rPr>
          <w:rFonts w:asciiTheme="minorHAnsi" w:hAnsiTheme="minorHAnsi"/>
          <w:sz w:val="22"/>
          <w:szCs w:val="22"/>
        </w:rPr>
        <w:t xml:space="preserve"> </w:t>
      </w:r>
      <w:r w:rsidR="00DD3DCE" w:rsidRPr="417122ED">
        <w:rPr>
          <w:rFonts w:asciiTheme="minorHAnsi" w:hAnsiTheme="minorHAnsi"/>
          <w:sz w:val="22"/>
          <w:szCs w:val="22"/>
        </w:rPr>
        <w:t xml:space="preserve">2022 </w:t>
      </w:r>
      <w:r w:rsidR="008A3EC8" w:rsidRPr="417122ED">
        <w:rPr>
          <w:rFonts w:asciiTheme="minorHAnsi" w:hAnsiTheme="minorHAnsi"/>
          <w:sz w:val="22"/>
          <w:szCs w:val="22"/>
        </w:rPr>
        <w:t>forward</w:t>
      </w:r>
      <w:r w:rsidR="00DD3DCE" w:rsidRPr="417122ED">
        <w:rPr>
          <w:rFonts w:asciiTheme="minorHAnsi" w:hAnsiTheme="minorHAnsi"/>
          <w:sz w:val="22"/>
          <w:szCs w:val="22"/>
        </w:rPr>
        <w:t xml:space="preserve"> have been </w:t>
      </w:r>
      <w:r w:rsidR="00B57126" w:rsidRPr="417122ED">
        <w:rPr>
          <w:rFonts w:asciiTheme="minorHAnsi" w:hAnsiTheme="minorHAnsi"/>
          <w:sz w:val="22"/>
          <w:szCs w:val="22"/>
        </w:rPr>
        <w:t xml:space="preserve">characterized </w:t>
      </w:r>
      <w:r w:rsidR="00593E45" w:rsidRPr="417122ED">
        <w:rPr>
          <w:rFonts w:asciiTheme="minorHAnsi" w:hAnsiTheme="minorHAnsi"/>
          <w:sz w:val="22"/>
          <w:szCs w:val="22"/>
        </w:rPr>
        <w:t xml:space="preserve">by </w:t>
      </w:r>
      <w:r w:rsidR="00B57126" w:rsidRPr="417122ED">
        <w:rPr>
          <w:rFonts w:asciiTheme="minorHAnsi" w:hAnsiTheme="minorHAnsi"/>
          <w:sz w:val="22"/>
          <w:szCs w:val="22"/>
        </w:rPr>
        <w:t>two prominent features</w:t>
      </w:r>
      <w:r w:rsidR="00593E45" w:rsidRPr="417122ED">
        <w:rPr>
          <w:rFonts w:asciiTheme="minorHAnsi" w:hAnsiTheme="minorHAnsi"/>
          <w:sz w:val="22"/>
          <w:szCs w:val="22"/>
        </w:rPr>
        <w:t>:</w:t>
      </w:r>
    </w:p>
    <w:p w14:paraId="4D282F29" w14:textId="7B301398" w:rsidR="00B57126" w:rsidRPr="00CE6BE1" w:rsidRDefault="00B57126" w:rsidP="00CE6BE1">
      <w:pPr>
        <w:spacing w:line="276" w:lineRule="auto"/>
        <w:ind w:left="720" w:hanging="720"/>
        <w:jc w:val="both"/>
        <w:rPr>
          <w:rFonts w:asciiTheme="minorHAnsi" w:hAnsiTheme="minorHAnsi" w:cstheme="minorHAnsi"/>
          <w:sz w:val="22"/>
          <w:szCs w:val="22"/>
        </w:rPr>
      </w:pPr>
      <w:r w:rsidRPr="00CE6BE1">
        <w:rPr>
          <w:rFonts w:asciiTheme="minorHAnsi" w:hAnsiTheme="minorHAnsi" w:cstheme="minorHAnsi"/>
          <w:sz w:val="22"/>
          <w:szCs w:val="22"/>
        </w:rPr>
        <w:t>•</w:t>
      </w:r>
      <w:r w:rsidRPr="00CE6BE1">
        <w:rPr>
          <w:rFonts w:asciiTheme="minorHAnsi" w:hAnsiTheme="minorHAnsi" w:cstheme="minorHAnsi"/>
          <w:sz w:val="22"/>
          <w:szCs w:val="22"/>
        </w:rPr>
        <w:tab/>
      </w:r>
      <w:r w:rsidR="00593E45" w:rsidRPr="00CE6BE1">
        <w:rPr>
          <w:rFonts w:asciiTheme="minorHAnsi" w:hAnsiTheme="minorHAnsi" w:cstheme="minorHAnsi"/>
          <w:b/>
          <w:sz w:val="22"/>
          <w:szCs w:val="22"/>
        </w:rPr>
        <w:t>Large Size</w:t>
      </w:r>
      <w:r w:rsidR="00593E45" w:rsidRPr="00CE6BE1">
        <w:rPr>
          <w:rFonts w:asciiTheme="minorHAnsi" w:hAnsiTheme="minorHAnsi" w:cstheme="minorHAnsi"/>
          <w:sz w:val="22"/>
          <w:szCs w:val="22"/>
        </w:rPr>
        <w:t xml:space="preserve">: </w:t>
      </w:r>
      <w:r w:rsidRPr="00CE6BE1">
        <w:rPr>
          <w:rFonts w:asciiTheme="minorHAnsi" w:hAnsiTheme="minorHAnsi" w:cstheme="minorHAnsi"/>
          <w:sz w:val="22"/>
          <w:szCs w:val="22"/>
        </w:rPr>
        <w:t>Many projects, especially data centers, have load greater than 100 MW and may even reach 1</w:t>
      </w:r>
      <w:r w:rsidR="00466735" w:rsidRPr="00CE6BE1">
        <w:rPr>
          <w:rFonts w:asciiTheme="minorHAnsi" w:hAnsiTheme="minorHAnsi" w:cstheme="minorHAnsi"/>
          <w:sz w:val="22"/>
          <w:szCs w:val="22"/>
        </w:rPr>
        <w:t>,</w:t>
      </w:r>
      <w:r w:rsidRPr="00CE6BE1">
        <w:rPr>
          <w:rFonts w:asciiTheme="minorHAnsi" w:hAnsiTheme="minorHAnsi" w:cstheme="minorHAnsi"/>
          <w:sz w:val="22"/>
          <w:szCs w:val="22"/>
        </w:rPr>
        <w:t>000+ MW.</w:t>
      </w:r>
    </w:p>
    <w:p w14:paraId="19A618EE" w14:textId="6768F2F9" w:rsidR="00B57126" w:rsidRPr="00CE6BE1" w:rsidRDefault="00B57126" w:rsidP="0072621B">
      <w:pPr>
        <w:spacing w:after="240" w:line="276" w:lineRule="auto"/>
        <w:ind w:left="720" w:hanging="720"/>
        <w:jc w:val="both"/>
        <w:rPr>
          <w:rFonts w:asciiTheme="minorHAnsi" w:hAnsiTheme="minorHAnsi" w:cstheme="minorHAnsi"/>
          <w:sz w:val="22"/>
          <w:szCs w:val="22"/>
        </w:rPr>
      </w:pPr>
      <w:r w:rsidRPr="00CE6BE1">
        <w:rPr>
          <w:rFonts w:asciiTheme="minorHAnsi" w:hAnsiTheme="minorHAnsi" w:cstheme="minorHAnsi"/>
          <w:sz w:val="22"/>
          <w:szCs w:val="22"/>
        </w:rPr>
        <w:t>•</w:t>
      </w:r>
      <w:r w:rsidRPr="00CE6BE1">
        <w:rPr>
          <w:rFonts w:asciiTheme="minorHAnsi" w:hAnsiTheme="minorHAnsi" w:cstheme="minorHAnsi"/>
          <w:sz w:val="22"/>
          <w:szCs w:val="22"/>
        </w:rPr>
        <w:tab/>
      </w:r>
      <w:r w:rsidR="00593E45" w:rsidRPr="00CE6BE1">
        <w:rPr>
          <w:rFonts w:asciiTheme="minorHAnsi" w:hAnsiTheme="minorHAnsi" w:cstheme="minorHAnsi"/>
          <w:b/>
          <w:sz w:val="22"/>
          <w:szCs w:val="22"/>
        </w:rPr>
        <w:t>Dynamic Project Specifications</w:t>
      </w:r>
      <w:r w:rsidR="00593E45" w:rsidRPr="00CE6BE1">
        <w:rPr>
          <w:rFonts w:asciiTheme="minorHAnsi" w:hAnsiTheme="minorHAnsi" w:cstheme="minorHAnsi"/>
          <w:sz w:val="22"/>
          <w:szCs w:val="22"/>
        </w:rPr>
        <w:t xml:space="preserve">: </w:t>
      </w:r>
      <w:r w:rsidRPr="00CE6BE1">
        <w:rPr>
          <w:rFonts w:asciiTheme="minorHAnsi" w:hAnsiTheme="minorHAnsi" w:cstheme="minorHAnsi"/>
          <w:sz w:val="22"/>
          <w:szCs w:val="22"/>
        </w:rPr>
        <w:t xml:space="preserve">Project specifications frequently change in terms of location, </w:t>
      </w:r>
      <w:r w:rsidR="00593E45" w:rsidRPr="00CE6BE1">
        <w:rPr>
          <w:rFonts w:asciiTheme="minorHAnsi" w:hAnsiTheme="minorHAnsi" w:cstheme="minorHAnsi"/>
          <w:sz w:val="22"/>
          <w:szCs w:val="22"/>
        </w:rPr>
        <w:t>commercial operation date</w:t>
      </w:r>
      <w:r w:rsidR="00F75632" w:rsidRPr="00CE6BE1">
        <w:rPr>
          <w:rFonts w:asciiTheme="minorHAnsi" w:hAnsiTheme="minorHAnsi" w:cstheme="minorHAnsi"/>
          <w:sz w:val="22"/>
          <w:szCs w:val="22"/>
        </w:rPr>
        <w:t xml:space="preserve"> (“COD”)</w:t>
      </w:r>
      <w:r w:rsidR="00593E45" w:rsidRPr="00CE6BE1">
        <w:rPr>
          <w:rFonts w:asciiTheme="minorHAnsi" w:hAnsiTheme="minorHAnsi" w:cstheme="minorHAnsi"/>
          <w:sz w:val="22"/>
          <w:szCs w:val="22"/>
        </w:rPr>
        <w:t>,</w:t>
      </w:r>
      <w:r w:rsidRPr="00CE6BE1">
        <w:rPr>
          <w:rFonts w:asciiTheme="minorHAnsi" w:hAnsiTheme="minorHAnsi" w:cstheme="minorHAnsi"/>
          <w:sz w:val="22"/>
          <w:szCs w:val="22"/>
        </w:rPr>
        <w:t xml:space="preserve"> and load ramp-up.</w:t>
      </w:r>
    </w:p>
    <w:p w14:paraId="3C75CBB7" w14:textId="50842F5D" w:rsidR="00B57126" w:rsidRPr="00CE6BE1" w:rsidRDefault="00B57126" w:rsidP="00CE6BE1">
      <w:pPr>
        <w:spacing w:line="276" w:lineRule="auto"/>
        <w:jc w:val="both"/>
        <w:rPr>
          <w:rFonts w:asciiTheme="minorHAnsi" w:hAnsiTheme="minorHAnsi"/>
          <w:sz w:val="22"/>
          <w:szCs w:val="22"/>
        </w:rPr>
      </w:pPr>
      <w:r w:rsidRPr="417122ED">
        <w:rPr>
          <w:rFonts w:asciiTheme="minorHAnsi" w:hAnsiTheme="minorHAnsi"/>
          <w:sz w:val="22"/>
          <w:szCs w:val="22"/>
        </w:rPr>
        <w:t xml:space="preserve">The load forecast must account for several project uncertainties, including state selection, electric provider selection, project delays, and load materialization. </w:t>
      </w:r>
      <w:r w:rsidR="7510EF54" w:rsidRPr="417122ED">
        <w:rPr>
          <w:rFonts w:asciiTheme="minorHAnsi" w:hAnsiTheme="minorHAnsi"/>
          <w:sz w:val="22"/>
          <w:szCs w:val="22"/>
        </w:rPr>
        <w:t xml:space="preserve">If </w:t>
      </w:r>
      <w:r w:rsidR="00F14D0F" w:rsidRPr="417122ED">
        <w:rPr>
          <w:rFonts w:asciiTheme="minorHAnsi" w:hAnsiTheme="minorHAnsi"/>
          <w:sz w:val="22"/>
          <w:szCs w:val="22"/>
        </w:rPr>
        <w:t>the Company</w:t>
      </w:r>
      <w:r w:rsidRPr="417122ED">
        <w:rPr>
          <w:rFonts w:asciiTheme="minorHAnsi" w:hAnsiTheme="minorHAnsi"/>
          <w:sz w:val="22"/>
          <w:szCs w:val="22"/>
        </w:rPr>
        <w:t xml:space="preserve"> do</w:t>
      </w:r>
      <w:r w:rsidR="00F14D0F" w:rsidRPr="417122ED">
        <w:rPr>
          <w:rFonts w:asciiTheme="minorHAnsi" w:hAnsiTheme="minorHAnsi"/>
          <w:sz w:val="22"/>
          <w:szCs w:val="22"/>
        </w:rPr>
        <w:t xml:space="preserve">es </w:t>
      </w:r>
      <w:r w:rsidRPr="417122ED">
        <w:rPr>
          <w:rFonts w:asciiTheme="minorHAnsi" w:hAnsiTheme="minorHAnsi"/>
          <w:sz w:val="22"/>
          <w:szCs w:val="22"/>
        </w:rPr>
        <w:t>n</w:t>
      </w:r>
      <w:r w:rsidR="00F14D0F" w:rsidRPr="417122ED">
        <w:rPr>
          <w:rFonts w:asciiTheme="minorHAnsi" w:hAnsiTheme="minorHAnsi"/>
          <w:sz w:val="22"/>
          <w:szCs w:val="22"/>
        </w:rPr>
        <w:t>o</w:t>
      </w:r>
      <w:r w:rsidRPr="417122ED">
        <w:rPr>
          <w:rFonts w:asciiTheme="minorHAnsi" w:hAnsiTheme="minorHAnsi"/>
          <w:sz w:val="22"/>
          <w:szCs w:val="22"/>
        </w:rPr>
        <w:t xml:space="preserve">t account for </w:t>
      </w:r>
      <w:proofErr w:type="gramStart"/>
      <w:r w:rsidR="000A0C80">
        <w:rPr>
          <w:rFonts w:asciiTheme="minorHAnsi" w:hAnsiTheme="minorHAnsi"/>
          <w:sz w:val="22"/>
          <w:szCs w:val="22"/>
        </w:rPr>
        <w:t xml:space="preserve">new </w:t>
      </w:r>
      <w:r w:rsidR="00852313" w:rsidRPr="417122ED">
        <w:rPr>
          <w:rFonts w:asciiTheme="minorHAnsi" w:hAnsiTheme="minorHAnsi"/>
          <w:sz w:val="22"/>
          <w:szCs w:val="22"/>
        </w:rPr>
        <w:t>large</w:t>
      </w:r>
      <w:proofErr w:type="gramEnd"/>
      <w:r w:rsidR="00991EB9" w:rsidRPr="417122ED">
        <w:rPr>
          <w:rFonts w:asciiTheme="minorHAnsi" w:hAnsiTheme="minorHAnsi"/>
          <w:sz w:val="22"/>
          <w:szCs w:val="22"/>
        </w:rPr>
        <w:t xml:space="preserve"> customer</w:t>
      </w:r>
      <w:r w:rsidRPr="417122ED">
        <w:rPr>
          <w:rFonts w:asciiTheme="minorHAnsi" w:hAnsiTheme="minorHAnsi"/>
          <w:sz w:val="22"/>
          <w:szCs w:val="22"/>
        </w:rPr>
        <w:t xml:space="preserve"> load</w:t>
      </w:r>
      <w:r w:rsidR="00991EB9" w:rsidRPr="417122ED">
        <w:rPr>
          <w:rFonts w:asciiTheme="minorHAnsi" w:hAnsiTheme="minorHAnsi"/>
          <w:sz w:val="22"/>
          <w:szCs w:val="22"/>
        </w:rPr>
        <w:t>s</w:t>
      </w:r>
      <w:r w:rsidRPr="417122ED">
        <w:rPr>
          <w:rFonts w:asciiTheme="minorHAnsi" w:hAnsiTheme="minorHAnsi"/>
          <w:sz w:val="22"/>
          <w:szCs w:val="22"/>
        </w:rPr>
        <w:t xml:space="preserve"> </w:t>
      </w:r>
      <w:r w:rsidR="4117FF21" w:rsidRPr="417122ED">
        <w:rPr>
          <w:rFonts w:asciiTheme="minorHAnsi" w:hAnsiTheme="minorHAnsi"/>
          <w:sz w:val="22"/>
          <w:szCs w:val="22"/>
        </w:rPr>
        <w:t>before project initiation</w:t>
      </w:r>
      <w:r w:rsidRPr="417122ED">
        <w:rPr>
          <w:rFonts w:asciiTheme="minorHAnsi" w:hAnsiTheme="minorHAnsi"/>
          <w:sz w:val="22"/>
          <w:szCs w:val="22"/>
        </w:rPr>
        <w:t xml:space="preserve">, </w:t>
      </w:r>
      <w:r w:rsidR="00F14D0F" w:rsidRPr="417122ED">
        <w:rPr>
          <w:rFonts w:asciiTheme="minorHAnsi" w:hAnsiTheme="minorHAnsi"/>
          <w:sz w:val="22"/>
          <w:szCs w:val="22"/>
        </w:rPr>
        <w:t>the Company</w:t>
      </w:r>
      <w:r w:rsidRPr="417122ED">
        <w:rPr>
          <w:rFonts w:asciiTheme="minorHAnsi" w:hAnsiTheme="minorHAnsi"/>
          <w:sz w:val="22"/>
          <w:szCs w:val="22"/>
        </w:rPr>
        <w:t xml:space="preserve"> risk</w:t>
      </w:r>
      <w:r w:rsidR="00F14D0F" w:rsidRPr="417122ED">
        <w:rPr>
          <w:rFonts w:asciiTheme="minorHAnsi" w:hAnsiTheme="minorHAnsi"/>
          <w:sz w:val="22"/>
          <w:szCs w:val="22"/>
        </w:rPr>
        <w:t>s</w:t>
      </w:r>
      <w:r w:rsidRPr="417122ED">
        <w:rPr>
          <w:rFonts w:asciiTheme="minorHAnsi" w:hAnsiTheme="minorHAnsi"/>
          <w:sz w:val="22"/>
          <w:szCs w:val="22"/>
        </w:rPr>
        <w:t xml:space="preserve"> </w:t>
      </w:r>
      <w:r w:rsidR="481A6747" w:rsidRPr="417122ED">
        <w:rPr>
          <w:rFonts w:asciiTheme="minorHAnsi" w:hAnsiTheme="minorHAnsi"/>
          <w:sz w:val="22"/>
          <w:szCs w:val="22"/>
        </w:rPr>
        <w:t xml:space="preserve">underestimating </w:t>
      </w:r>
      <w:r w:rsidR="5AC9F851" w:rsidRPr="417122ED">
        <w:rPr>
          <w:rFonts w:asciiTheme="minorHAnsi" w:hAnsiTheme="minorHAnsi"/>
          <w:sz w:val="22"/>
          <w:szCs w:val="22"/>
        </w:rPr>
        <w:t>the need for</w:t>
      </w:r>
      <w:r w:rsidRPr="417122ED">
        <w:rPr>
          <w:rFonts w:asciiTheme="minorHAnsi" w:hAnsiTheme="minorHAnsi"/>
          <w:sz w:val="22"/>
          <w:szCs w:val="22"/>
        </w:rPr>
        <w:t xml:space="preserve"> generating capacity </w:t>
      </w:r>
      <w:r w:rsidR="2E96BD15" w:rsidRPr="417122ED">
        <w:rPr>
          <w:rFonts w:asciiTheme="minorHAnsi" w:hAnsiTheme="minorHAnsi"/>
          <w:sz w:val="22"/>
          <w:szCs w:val="22"/>
        </w:rPr>
        <w:t>to reliably serve customers</w:t>
      </w:r>
      <w:r w:rsidRPr="417122ED">
        <w:rPr>
          <w:rFonts w:asciiTheme="minorHAnsi" w:hAnsiTheme="minorHAnsi"/>
          <w:sz w:val="22"/>
          <w:szCs w:val="22"/>
        </w:rPr>
        <w:t xml:space="preserve">. </w:t>
      </w:r>
      <w:r w:rsidR="00F14D0F" w:rsidRPr="417122ED">
        <w:rPr>
          <w:rFonts w:asciiTheme="minorHAnsi" w:hAnsiTheme="minorHAnsi"/>
          <w:sz w:val="22"/>
          <w:szCs w:val="22"/>
        </w:rPr>
        <w:t xml:space="preserve">On the other hand, </w:t>
      </w:r>
      <w:r w:rsidR="06BF4C79" w:rsidRPr="417122ED">
        <w:rPr>
          <w:rFonts w:asciiTheme="minorHAnsi" w:hAnsiTheme="minorHAnsi"/>
          <w:sz w:val="22"/>
          <w:szCs w:val="22"/>
        </w:rPr>
        <w:t xml:space="preserve">the Company must take a measured approach that avoids </w:t>
      </w:r>
      <w:r w:rsidR="0D25E2DD" w:rsidRPr="417122ED">
        <w:rPr>
          <w:rFonts w:asciiTheme="minorHAnsi" w:hAnsiTheme="minorHAnsi"/>
          <w:sz w:val="22"/>
          <w:szCs w:val="22"/>
        </w:rPr>
        <w:t>overestimating the resources needed to serve customers and the costs associated with surp</w:t>
      </w:r>
      <w:r w:rsidR="4BCAC80E" w:rsidRPr="417122ED">
        <w:rPr>
          <w:rFonts w:asciiTheme="minorHAnsi" w:hAnsiTheme="minorHAnsi"/>
          <w:sz w:val="22"/>
          <w:szCs w:val="22"/>
        </w:rPr>
        <w:t xml:space="preserve">lus </w:t>
      </w:r>
      <w:r w:rsidR="0D25E2DD" w:rsidRPr="417122ED">
        <w:rPr>
          <w:rFonts w:asciiTheme="minorHAnsi" w:hAnsiTheme="minorHAnsi"/>
          <w:sz w:val="22"/>
          <w:szCs w:val="22"/>
        </w:rPr>
        <w:t>resources.</w:t>
      </w:r>
      <w:r w:rsidR="00F14D0F" w:rsidRPr="417122ED">
        <w:rPr>
          <w:rFonts w:asciiTheme="minorHAnsi" w:hAnsiTheme="minorHAnsi"/>
          <w:sz w:val="22"/>
          <w:szCs w:val="22"/>
        </w:rPr>
        <w:t xml:space="preserve"> </w:t>
      </w:r>
    </w:p>
    <w:p w14:paraId="71988DA8" w14:textId="18A9406E" w:rsidR="001D12A7" w:rsidRPr="00CE6BE1" w:rsidRDefault="001D12A7" w:rsidP="00CE6BE1">
      <w:pPr>
        <w:spacing w:line="276" w:lineRule="auto"/>
        <w:jc w:val="both"/>
        <w:rPr>
          <w:rFonts w:asciiTheme="minorHAnsi" w:hAnsiTheme="minorHAnsi" w:cstheme="minorHAnsi"/>
          <w:sz w:val="22"/>
          <w:szCs w:val="22"/>
        </w:rPr>
      </w:pPr>
    </w:p>
    <w:p w14:paraId="4315F055" w14:textId="0A16E793" w:rsidR="00DC04EF" w:rsidRPr="00CE6BE1" w:rsidRDefault="00F14C84" w:rsidP="00CE6BE1">
      <w:pPr>
        <w:spacing w:line="276" w:lineRule="auto"/>
        <w:jc w:val="both"/>
        <w:rPr>
          <w:rFonts w:asciiTheme="minorHAnsi" w:hAnsiTheme="minorHAnsi"/>
          <w:sz w:val="22"/>
          <w:szCs w:val="22"/>
        </w:rPr>
      </w:pPr>
      <w:r w:rsidRPr="417122ED">
        <w:rPr>
          <w:rFonts w:asciiTheme="minorHAnsi" w:hAnsiTheme="minorHAnsi"/>
          <w:sz w:val="22"/>
          <w:szCs w:val="22"/>
        </w:rPr>
        <w:t>T</w:t>
      </w:r>
      <w:r w:rsidR="040916DC" w:rsidRPr="417122ED">
        <w:rPr>
          <w:rFonts w:asciiTheme="minorHAnsi" w:hAnsiTheme="minorHAnsi"/>
          <w:sz w:val="22"/>
          <w:szCs w:val="22"/>
        </w:rPr>
        <w:t>o balance its projections, t</w:t>
      </w:r>
      <w:r w:rsidR="001D12A7" w:rsidRPr="417122ED">
        <w:rPr>
          <w:rFonts w:asciiTheme="minorHAnsi" w:hAnsiTheme="minorHAnsi"/>
          <w:sz w:val="22"/>
          <w:szCs w:val="22"/>
        </w:rPr>
        <w:t xml:space="preserve">he Company </w:t>
      </w:r>
      <w:r w:rsidRPr="417122ED">
        <w:rPr>
          <w:rFonts w:asciiTheme="minorHAnsi" w:hAnsiTheme="minorHAnsi"/>
          <w:sz w:val="22"/>
          <w:szCs w:val="22"/>
        </w:rPr>
        <w:t xml:space="preserve">has developed </w:t>
      </w:r>
      <w:r w:rsidR="002946B4" w:rsidRPr="417122ED">
        <w:rPr>
          <w:rFonts w:asciiTheme="minorHAnsi" w:hAnsiTheme="minorHAnsi"/>
          <w:sz w:val="22"/>
          <w:szCs w:val="22"/>
        </w:rPr>
        <w:t>a</w:t>
      </w:r>
      <w:r w:rsidR="001D12A7" w:rsidRPr="417122ED">
        <w:rPr>
          <w:rFonts w:asciiTheme="minorHAnsi" w:hAnsiTheme="minorHAnsi"/>
          <w:sz w:val="22"/>
          <w:szCs w:val="22"/>
        </w:rPr>
        <w:t xml:space="preserve"> probabilistic approach to evaluate the range and likelihood of </w:t>
      </w:r>
      <w:r w:rsidR="5D792532" w:rsidRPr="417122ED">
        <w:rPr>
          <w:rFonts w:asciiTheme="minorHAnsi" w:hAnsiTheme="minorHAnsi"/>
          <w:sz w:val="22"/>
          <w:szCs w:val="22"/>
        </w:rPr>
        <w:t>potential</w:t>
      </w:r>
      <w:r w:rsidR="001D12A7" w:rsidRPr="417122ED">
        <w:rPr>
          <w:rFonts w:asciiTheme="minorHAnsi" w:hAnsiTheme="minorHAnsi"/>
          <w:sz w:val="22"/>
          <w:szCs w:val="22"/>
        </w:rPr>
        <w:t xml:space="preserve"> load growth</w:t>
      </w:r>
      <w:r w:rsidR="002B7C34" w:rsidRPr="417122ED">
        <w:rPr>
          <w:rFonts w:asciiTheme="minorHAnsi" w:hAnsiTheme="minorHAnsi"/>
          <w:sz w:val="22"/>
          <w:szCs w:val="22"/>
        </w:rPr>
        <w:t xml:space="preserve"> from </w:t>
      </w:r>
      <w:proofErr w:type="gramStart"/>
      <w:r w:rsidR="00130302" w:rsidRPr="417122ED">
        <w:rPr>
          <w:rFonts w:asciiTheme="minorHAnsi" w:hAnsiTheme="minorHAnsi"/>
          <w:sz w:val="22"/>
          <w:szCs w:val="22"/>
        </w:rPr>
        <w:t>new large</w:t>
      </w:r>
      <w:proofErr w:type="gramEnd"/>
      <w:r w:rsidR="00130302" w:rsidRPr="417122ED">
        <w:rPr>
          <w:rFonts w:asciiTheme="minorHAnsi" w:hAnsiTheme="minorHAnsi"/>
          <w:sz w:val="22"/>
          <w:szCs w:val="22"/>
        </w:rPr>
        <w:t xml:space="preserve"> </w:t>
      </w:r>
      <w:r w:rsidR="54FFB46C" w:rsidRPr="417122ED">
        <w:rPr>
          <w:rFonts w:asciiTheme="minorHAnsi" w:hAnsiTheme="minorHAnsi"/>
          <w:sz w:val="22"/>
          <w:szCs w:val="22"/>
        </w:rPr>
        <w:t>load</w:t>
      </w:r>
      <w:r w:rsidR="00130302" w:rsidRPr="417122ED">
        <w:rPr>
          <w:rFonts w:asciiTheme="minorHAnsi" w:hAnsiTheme="minorHAnsi"/>
          <w:sz w:val="22"/>
          <w:szCs w:val="22"/>
        </w:rPr>
        <w:t xml:space="preserve"> customers</w:t>
      </w:r>
      <w:r w:rsidR="31A58C1B" w:rsidRPr="417122ED">
        <w:rPr>
          <w:rFonts w:asciiTheme="minorHAnsi" w:hAnsiTheme="minorHAnsi"/>
          <w:sz w:val="22"/>
          <w:szCs w:val="22"/>
        </w:rPr>
        <w:t xml:space="preserve">. This </w:t>
      </w:r>
      <w:r w:rsidR="7509E698" w:rsidRPr="417122ED">
        <w:rPr>
          <w:rFonts w:asciiTheme="minorHAnsi" w:hAnsiTheme="minorHAnsi"/>
          <w:sz w:val="22"/>
          <w:szCs w:val="22"/>
        </w:rPr>
        <w:t xml:space="preserve">balanced </w:t>
      </w:r>
      <w:r w:rsidR="31A58C1B" w:rsidRPr="417122ED">
        <w:rPr>
          <w:rFonts w:asciiTheme="minorHAnsi" w:hAnsiTheme="minorHAnsi"/>
          <w:sz w:val="22"/>
          <w:szCs w:val="22"/>
        </w:rPr>
        <w:t xml:space="preserve">approach </w:t>
      </w:r>
      <w:r w:rsidR="718C7A5C" w:rsidRPr="417122ED">
        <w:rPr>
          <w:rFonts w:asciiTheme="minorHAnsi" w:hAnsiTheme="minorHAnsi"/>
          <w:sz w:val="22"/>
          <w:szCs w:val="22"/>
        </w:rPr>
        <w:t>is evidenced by the</w:t>
      </w:r>
      <w:r w:rsidR="001D12A7" w:rsidRPr="417122ED">
        <w:rPr>
          <w:rFonts w:asciiTheme="minorHAnsi" w:hAnsiTheme="minorHAnsi"/>
          <w:sz w:val="22"/>
          <w:szCs w:val="22"/>
        </w:rPr>
        <w:t xml:space="preserve"> external adjustment</w:t>
      </w:r>
      <w:r w:rsidR="1E631182" w:rsidRPr="417122ED">
        <w:rPr>
          <w:rFonts w:asciiTheme="minorHAnsi" w:hAnsiTheme="minorHAnsi"/>
          <w:sz w:val="22"/>
          <w:szCs w:val="22"/>
        </w:rPr>
        <w:t>s</w:t>
      </w:r>
      <w:r w:rsidR="001D12A7" w:rsidRPr="417122ED">
        <w:rPr>
          <w:rFonts w:asciiTheme="minorHAnsi" w:hAnsiTheme="minorHAnsi"/>
          <w:sz w:val="22"/>
          <w:szCs w:val="22"/>
        </w:rPr>
        <w:t xml:space="preserve"> applied to </w:t>
      </w:r>
      <w:r w:rsidR="1C864509" w:rsidRPr="417122ED">
        <w:rPr>
          <w:rFonts w:asciiTheme="minorHAnsi" w:hAnsiTheme="minorHAnsi"/>
          <w:sz w:val="22"/>
          <w:szCs w:val="22"/>
        </w:rPr>
        <w:t xml:space="preserve">the Company’s </w:t>
      </w:r>
      <w:r w:rsidR="001D12A7" w:rsidRPr="417122ED">
        <w:rPr>
          <w:rFonts w:asciiTheme="minorHAnsi" w:hAnsiTheme="minorHAnsi"/>
          <w:sz w:val="22"/>
          <w:szCs w:val="22"/>
        </w:rPr>
        <w:t xml:space="preserve">updated </w:t>
      </w:r>
      <w:r w:rsidR="00194C39">
        <w:rPr>
          <w:rFonts w:asciiTheme="minorHAnsi" w:hAnsiTheme="minorHAnsi"/>
          <w:sz w:val="22"/>
          <w:szCs w:val="22"/>
        </w:rPr>
        <w:t xml:space="preserve">baseline </w:t>
      </w:r>
      <w:r w:rsidR="001D12A7" w:rsidRPr="417122ED">
        <w:rPr>
          <w:rFonts w:asciiTheme="minorHAnsi" w:hAnsiTheme="minorHAnsi"/>
          <w:sz w:val="22"/>
          <w:szCs w:val="22"/>
        </w:rPr>
        <w:t xml:space="preserve">load and energy forecast. </w:t>
      </w:r>
      <w:r w:rsidR="00DC04EF" w:rsidRPr="417122ED">
        <w:rPr>
          <w:rFonts w:asciiTheme="minorHAnsi" w:hAnsiTheme="minorHAnsi"/>
          <w:sz w:val="22"/>
          <w:szCs w:val="22"/>
        </w:rPr>
        <w:t xml:space="preserve">The methodology used to develop external adjustments is discussed in detail in Section </w:t>
      </w:r>
      <w:r w:rsidR="009135B4" w:rsidRPr="417122ED">
        <w:rPr>
          <w:rFonts w:asciiTheme="minorHAnsi" w:hAnsiTheme="minorHAnsi"/>
          <w:sz w:val="22"/>
          <w:szCs w:val="22"/>
        </w:rPr>
        <w:t>1.5</w:t>
      </w:r>
      <w:r w:rsidR="00DC04EF" w:rsidRPr="417122ED">
        <w:rPr>
          <w:rFonts w:asciiTheme="minorHAnsi" w:hAnsiTheme="minorHAnsi"/>
          <w:sz w:val="22"/>
          <w:szCs w:val="22"/>
        </w:rPr>
        <w:t xml:space="preserve"> below.</w:t>
      </w:r>
      <w:r w:rsidR="00777578" w:rsidRPr="417122ED">
        <w:rPr>
          <w:rFonts w:asciiTheme="minorHAnsi" w:hAnsiTheme="minorHAnsi"/>
          <w:sz w:val="22"/>
          <w:szCs w:val="22"/>
        </w:rPr>
        <w:t xml:space="preserve"> </w:t>
      </w:r>
    </w:p>
    <w:p w14:paraId="0F7DA8E7" w14:textId="77777777" w:rsidR="00FE3B2C" w:rsidRDefault="00FE3B2C">
      <w:pPr>
        <w:rPr>
          <w:rFonts w:asciiTheme="minorHAnsi" w:eastAsiaTheme="majorEastAsia" w:hAnsiTheme="minorHAnsi" w:cstheme="minorHAnsi"/>
          <w:color w:val="2F5496" w:themeColor="accent1" w:themeShade="BF"/>
          <w:sz w:val="32"/>
          <w:szCs w:val="32"/>
        </w:rPr>
      </w:pPr>
      <w:bookmarkStart w:id="1" w:name="_Toc142468251"/>
      <w:r>
        <w:rPr>
          <w:rFonts w:asciiTheme="minorHAnsi" w:hAnsiTheme="minorHAnsi" w:cstheme="minorHAnsi"/>
        </w:rPr>
        <w:br w:type="page"/>
      </w:r>
    </w:p>
    <w:p w14:paraId="44D4F8A4" w14:textId="5604C16F" w:rsidR="00BC1486" w:rsidRPr="00B20D17" w:rsidRDefault="00A24E2A" w:rsidP="00CE6BE1">
      <w:pPr>
        <w:pStyle w:val="Heading1"/>
        <w:spacing w:line="276" w:lineRule="auto"/>
        <w:rPr>
          <w:rFonts w:asciiTheme="minorHAnsi" w:hAnsiTheme="minorHAnsi" w:cstheme="minorHAnsi"/>
        </w:rPr>
      </w:pPr>
      <w:r w:rsidRPr="00B20D17">
        <w:rPr>
          <w:rFonts w:asciiTheme="minorHAnsi" w:hAnsiTheme="minorHAnsi" w:cstheme="minorHAnsi"/>
        </w:rPr>
        <w:lastRenderedPageBreak/>
        <w:t>1.</w:t>
      </w:r>
      <w:r w:rsidR="00DF7ACF" w:rsidRPr="00B20D17">
        <w:rPr>
          <w:rFonts w:asciiTheme="minorHAnsi" w:hAnsiTheme="minorHAnsi" w:cstheme="minorHAnsi"/>
        </w:rPr>
        <w:t>1</w:t>
      </w:r>
      <w:r w:rsidRPr="00B20D17">
        <w:rPr>
          <w:rFonts w:asciiTheme="minorHAnsi" w:hAnsiTheme="minorHAnsi" w:cstheme="minorHAnsi"/>
        </w:rPr>
        <w:t xml:space="preserve"> </w:t>
      </w:r>
      <w:r w:rsidRPr="00B20D17">
        <w:rPr>
          <w:rFonts w:asciiTheme="minorHAnsi" w:hAnsiTheme="minorHAnsi" w:cstheme="minorHAnsi"/>
        </w:rPr>
        <w:tab/>
      </w:r>
      <w:bookmarkEnd w:id="1"/>
      <w:r w:rsidR="004E6724" w:rsidRPr="00CE6BE1">
        <w:rPr>
          <w:rFonts w:asciiTheme="minorHAnsi" w:hAnsiTheme="minorHAnsi" w:cstheme="minorHAnsi"/>
        </w:rPr>
        <w:t>SUMMER AND WINTER PEAK DEMAND</w:t>
      </w:r>
      <w:r w:rsidR="00A57A5A" w:rsidRPr="00B20D17">
        <w:rPr>
          <w:rFonts w:asciiTheme="minorHAnsi" w:hAnsiTheme="minorHAnsi" w:cstheme="minorHAnsi"/>
        </w:rPr>
        <w:t xml:space="preserve"> </w:t>
      </w:r>
    </w:p>
    <w:p w14:paraId="6932E4FF" w14:textId="77777777" w:rsidR="00BC1486" w:rsidRPr="00B20D17" w:rsidRDefault="00BC1486" w:rsidP="00CE6BE1">
      <w:pPr>
        <w:spacing w:line="276" w:lineRule="auto"/>
        <w:jc w:val="both"/>
        <w:rPr>
          <w:rFonts w:asciiTheme="minorHAnsi" w:hAnsiTheme="minorHAnsi" w:cstheme="minorHAnsi"/>
        </w:rPr>
      </w:pPr>
    </w:p>
    <w:p w14:paraId="7BCB6EEF" w14:textId="1177FE2A" w:rsidR="008E3797" w:rsidRPr="00CE6BE1" w:rsidRDefault="008E3797" w:rsidP="00CE6BE1">
      <w:pPr>
        <w:pStyle w:val="BodyText"/>
        <w:spacing w:line="276" w:lineRule="auto"/>
        <w:jc w:val="both"/>
        <w:rPr>
          <w:rFonts w:asciiTheme="minorHAnsi" w:hAnsiTheme="minorHAnsi" w:cstheme="minorBidi"/>
          <w:sz w:val="22"/>
          <w:szCs w:val="22"/>
        </w:rPr>
      </w:pPr>
      <w:r w:rsidRPr="417122ED">
        <w:rPr>
          <w:rFonts w:asciiTheme="minorHAnsi" w:hAnsiTheme="minorHAnsi" w:cstheme="minorBidi"/>
          <w:sz w:val="22"/>
          <w:szCs w:val="22"/>
        </w:rPr>
        <w:t xml:space="preserve">Georgia Power has produced a forecast of both summer and winter peak demand since </w:t>
      </w:r>
      <w:r w:rsidR="012D0559" w:rsidRPr="417122ED">
        <w:rPr>
          <w:rFonts w:asciiTheme="minorHAnsi" w:hAnsiTheme="minorHAnsi" w:cstheme="minorBidi"/>
          <w:sz w:val="22"/>
          <w:szCs w:val="22"/>
        </w:rPr>
        <w:t xml:space="preserve">the </w:t>
      </w:r>
      <w:r w:rsidRPr="417122ED">
        <w:rPr>
          <w:rFonts w:asciiTheme="minorHAnsi" w:hAnsiTheme="minorHAnsi" w:cstheme="minorBidi"/>
          <w:sz w:val="22"/>
          <w:szCs w:val="22"/>
        </w:rPr>
        <w:t>Budget 2019</w:t>
      </w:r>
      <w:r w:rsidR="72305859" w:rsidRPr="417122ED">
        <w:rPr>
          <w:rFonts w:asciiTheme="minorHAnsi" w:hAnsiTheme="minorHAnsi" w:cstheme="minorBidi"/>
          <w:sz w:val="22"/>
          <w:szCs w:val="22"/>
        </w:rPr>
        <w:t xml:space="preserve"> forecast</w:t>
      </w:r>
      <w:r w:rsidRPr="417122ED">
        <w:rPr>
          <w:rFonts w:asciiTheme="minorHAnsi" w:hAnsiTheme="minorHAnsi" w:cstheme="minorBidi"/>
          <w:sz w:val="22"/>
          <w:szCs w:val="22"/>
        </w:rPr>
        <w:t>, which was used in the 2019 IRP. The Company’s all-time peak demand of 17,985 MW occurred on August 9, 2007</w:t>
      </w:r>
      <w:r w:rsidR="7DF29D99" w:rsidRPr="417122ED">
        <w:rPr>
          <w:rFonts w:asciiTheme="minorHAnsi" w:hAnsiTheme="minorHAnsi" w:cstheme="minorBidi"/>
          <w:sz w:val="22"/>
          <w:szCs w:val="22"/>
        </w:rPr>
        <w:t>.</w:t>
      </w:r>
      <w:r w:rsidR="001D4887">
        <w:rPr>
          <w:rFonts w:asciiTheme="minorHAnsi" w:hAnsiTheme="minorHAnsi" w:cstheme="minorBidi"/>
          <w:sz w:val="22"/>
          <w:szCs w:val="22"/>
        </w:rPr>
        <w:t xml:space="preserve"> </w:t>
      </w:r>
      <w:r w:rsidRPr="417122ED">
        <w:rPr>
          <w:rFonts w:asciiTheme="minorHAnsi" w:hAnsiTheme="minorHAnsi" w:cstheme="minorBidi"/>
          <w:sz w:val="22"/>
          <w:szCs w:val="22"/>
        </w:rPr>
        <w:t xml:space="preserve">Georgia Power’s highest winter peak demand of 16,308 MW occurred during a polar vortex on January 7, 2014. </w:t>
      </w:r>
    </w:p>
    <w:p w14:paraId="1781297F" w14:textId="24AF6443" w:rsidR="00926077" w:rsidRPr="00CE6BE1" w:rsidRDefault="00926077" w:rsidP="00CE6BE1">
      <w:pPr>
        <w:pStyle w:val="BodyText"/>
        <w:spacing w:line="276" w:lineRule="auto"/>
        <w:jc w:val="both"/>
        <w:rPr>
          <w:rFonts w:asciiTheme="minorHAnsi" w:hAnsiTheme="minorHAnsi" w:cstheme="minorBidi"/>
          <w:sz w:val="22"/>
          <w:szCs w:val="22"/>
        </w:rPr>
      </w:pPr>
      <w:r w:rsidRPr="417122ED">
        <w:rPr>
          <w:rFonts w:asciiTheme="minorHAnsi" w:hAnsiTheme="minorHAnsi" w:cstheme="minorBidi"/>
          <w:sz w:val="22"/>
          <w:szCs w:val="22"/>
        </w:rPr>
        <w:t xml:space="preserve">The summer and winter peak demand forecasts are based on normal weather. Both forecasts </w:t>
      </w:r>
      <w:r w:rsidR="12DB627D" w:rsidRPr="417122ED">
        <w:rPr>
          <w:rFonts w:asciiTheme="minorHAnsi" w:hAnsiTheme="minorHAnsi" w:cstheme="minorBidi"/>
          <w:sz w:val="22"/>
          <w:szCs w:val="22"/>
        </w:rPr>
        <w:t>also</w:t>
      </w:r>
      <w:r w:rsidRPr="417122ED">
        <w:rPr>
          <w:rFonts w:asciiTheme="minorHAnsi" w:hAnsiTheme="minorHAnsi" w:cstheme="minorBidi"/>
          <w:sz w:val="22"/>
          <w:szCs w:val="22"/>
        </w:rPr>
        <w:t xml:space="preserve"> include </w:t>
      </w:r>
      <w:r w:rsidR="64236389" w:rsidRPr="417122ED">
        <w:rPr>
          <w:rFonts w:asciiTheme="minorHAnsi" w:hAnsiTheme="minorHAnsi" w:cstheme="minorBidi"/>
          <w:sz w:val="22"/>
          <w:szCs w:val="22"/>
        </w:rPr>
        <w:t xml:space="preserve">load represented by </w:t>
      </w:r>
      <w:r w:rsidRPr="417122ED">
        <w:rPr>
          <w:rFonts w:asciiTheme="minorHAnsi" w:hAnsiTheme="minorHAnsi" w:cstheme="minorBidi"/>
          <w:sz w:val="22"/>
          <w:szCs w:val="22"/>
        </w:rPr>
        <w:t xml:space="preserve">electric vehicles and behind-the-meter solar. In addition, </w:t>
      </w:r>
      <w:r w:rsidR="008A56DF" w:rsidRPr="417122ED">
        <w:rPr>
          <w:rFonts w:asciiTheme="minorHAnsi" w:hAnsiTheme="minorHAnsi" w:cstheme="minorBidi"/>
          <w:sz w:val="22"/>
          <w:szCs w:val="22"/>
        </w:rPr>
        <w:t xml:space="preserve">Georgia Power has traditionally incorporated </w:t>
      </w:r>
      <w:r w:rsidRPr="417122ED">
        <w:rPr>
          <w:rFonts w:asciiTheme="minorHAnsi" w:hAnsiTheme="minorHAnsi" w:cstheme="minorBidi"/>
          <w:sz w:val="22"/>
          <w:szCs w:val="22"/>
        </w:rPr>
        <w:t>external adjustments to reflect the effects of the impacts of cogeneration and of company-sponsored Demand Side Management (“DSM”) programs.</w:t>
      </w:r>
    </w:p>
    <w:p w14:paraId="013FDE8C" w14:textId="1FE11C7E" w:rsidR="000C09EF" w:rsidRDefault="00A959B6" w:rsidP="00CE6BE1">
      <w:pPr>
        <w:spacing w:line="276" w:lineRule="auto"/>
        <w:jc w:val="both"/>
        <w:rPr>
          <w:rFonts w:asciiTheme="minorHAnsi" w:eastAsia="Times New Roman" w:hAnsiTheme="minorHAnsi"/>
          <w:sz w:val="22"/>
          <w:szCs w:val="22"/>
        </w:rPr>
      </w:pPr>
      <w:r w:rsidRPr="58161626">
        <w:rPr>
          <w:rFonts w:asciiTheme="minorHAnsi" w:hAnsiTheme="minorHAnsi"/>
          <w:sz w:val="22"/>
          <w:szCs w:val="22"/>
        </w:rPr>
        <w:t>With the introduction of new load</w:t>
      </w:r>
      <w:r w:rsidR="007C2560" w:rsidRPr="58161626">
        <w:rPr>
          <w:rFonts w:asciiTheme="minorHAnsi" w:hAnsiTheme="minorHAnsi"/>
          <w:sz w:val="22"/>
          <w:szCs w:val="22"/>
        </w:rPr>
        <w:t xml:space="preserve"> </w:t>
      </w:r>
      <w:r w:rsidR="45374D08" w:rsidRPr="58161626">
        <w:rPr>
          <w:rFonts w:asciiTheme="minorHAnsi" w:hAnsiTheme="minorHAnsi"/>
          <w:sz w:val="22"/>
          <w:szCs w:val="22"/>
        </w:rPr>
        <w:t>due to</w:t>
      </w:r>
      <w:r w:rsidR="007C2560" w:rsidRPr="58161626">
        <w:rPr>
          <w:rFonts w:asciiTheme="minorHAnsi" w:hAnsiTheme="minorHAnsi"/>
          <w:sz w:val="22"/>
          <w:szCs w:val="22"/>
        </w:rPr>
        <w:t xml:space="preserve"> </w:t>
      </w:r>
      <w:r w:rsidR="13938DC2" w:rsidRPr="58161626">
        <w:rPr>
          <w:rFonts w:asciiTheme="minorHAnsi" w:hAnsiTheme="minorHAnsi"/>
          <w:sz w:val="22"/>
          <w:szCs w:val="22"/>
        </w:rPr>
        <w:t>the extraordinary</w:t>
      </w:r>
      <w:r w:rsidR="007C2560" w:rsidRPr="58161626">
        <w:rPr>
          <w:rFonts w:asciiTheme="minorHAnsi" w:hAnsiTheme="minorHAnsi"/>
          <w:sz w:val="22"/>
          <w:szCs w:val="22"/>
        </w:rPr>
        <w:t xml:space="preserve"> economic development</w:t>
      </w:r>
      <w:r w:rsidR="76FDCA2D" w:rsidRPr="58161626">
        <w:rPr>
          <w:rFonts w:asciiTheme="minorHAnsi" w:hAnsiTheme="minorHAnsi"/>
          <w:sz w:val="22"/>
          <w:szCs w:val="22"/>
        </w:rPr>
        <w:t xml:space="preserve"> taking place in G</w:t>
      </w:r>
      <w:r w:rsidR="4865339B" w:rsidRPr="58161626">
        <w:rPr>
          <w:rFonts w:asciiTheme="minorHAnsi" w:hAnsiTheme="minorHAnsi"/>
          <w:sz w:val="22"/>
          <w:szCs w:val="22"/>
        </w:rPr>
        <w:t>e</w:t>
      </w:r>
      <w:r w:rsidR="76FDCA2D" w:rsidRPr="58161626">
        <w:rPr>
          <w:rFonts w:asciiTheme="minorHAnsi" w:hAnsiTheme="minorHAnsi"/>
          <w:sz w:val="22"/>
          <w:szCs w:val="22"/>
        </w:rPr>
        <w:t>orgia</w:t>
      </w:r>
      <w:r w:rsidR="007C2560" w:rsidRPr="58161626">
        <w:rPr>
          <w:rFonts w:asciiTheme="minorHAnsi" w:hAnsiTheme="minorHAnsi"/>
          <w:sz w:val="22"/>
          <w:szCs w:val="22"/>
        </w:rPr>
        <w:t xml:space="preserve">, </w:t>
      </w:r>
      <w:r w:rsidR="4EFA570F" w:rsidRPr="58161626">
        <w:rPr>
          <w:rFonts w:asciiTheme="minorHAnsi" w:hAnsiTheme="minorHAnsi"/>
          <w:sz w:val="22"/>
          <w:szCs w:val="22"/>
        </w:rPr>
        <w:t>the Company</w:t>
      </w:r>
      <w:r w:rsidR="007C2560" w:rsidRPr="58161626">
        <w:rPr>
          <w:rFonts w:asciiTheme="minorHAnsi" w:hAnsiTheme="minorHAnsi"/>
          <w:sz w:val="22"/>
          <w:szCs w:val="22"/>
        </w:rPr>
        <w:t xml:space="preserve"> </w:t>
      </w:r>
      <w:r w:rsidR="00EE1A03" w:rsidRPr="58161626">
        <w:rPr>
          <w:rFonts w:asciiTheme="minorHAnsi" w:hAnsiTheme="minorHAnsi"/>
          <w:sz w:val="22"/>
          <w:szCs w:val="22"/>
        </w:rPr>
        <w:t>establish</w:t>
      </w:r>
      <w:r w:rsidR="30D2BA47" w:rsidRPr="58161626">
        <w:rPr>
          <w:rFonts w:asciiTheme="minorHAnsi" w:hAnsiTheme="minorHAnsi"/>
          <w:sz w:val="22"/>
          <w:szCs w:val="22"/>
        </w:rPr>
        <w:t>ed</w:t>
      </w:r>
      <w:r w:rsidR="00EE1A03" w:rsidRPr="58161626">
        <w:rPr>
          <w:rFonts w:asciiTheme="minorHAnsi" w:hAnsiTheme="minorHAnsi"/>
          <w:sz w:val="22"/>
          <w:szCs w:val="22"/>
        </w:rPr>
        <w:t xml:space="preserve"> a new forecasting methodology to reflect the unique characteristics of the new loads </w:t>
      </w:r>
      <w:r w:rsidR="00941CC9" w:rsidRPr="58161626">
        <w:rPr>
          <w:rFonts w:asciiTheme="minorHAnsi" w:hAnsiTheme="minorHAnsi"/>
          <w:sz w:val="22"/>
          <w:szCs w:val="22"/>
        </w:rPr>
        <w:t xml:space="preserve">and </w:t>
      </w:r>
      <w:r w:rsidR="008A56DF" w:rsidRPr="58161626">
        <w:rPr>
          <w:rFonts w:asciiTheme="minorHAnsi" w:hAnsiTheme="minorHAnsi"/>
          <w:sz w:val="22"/>
          <w:szCs w:val="22"/>
        </w:rPr>
        <w:t xml:space="preserve">incorporate </w:t>
      </w:r>
      <w:r w:rsidR="03DC323A" w:rsidRPr="58161626">
        <w:rPr>
          <w:rFonts w:asciiTheme="minorHAnsi" w:hAnsiTheme="minorHAnsi"/>
          <w:sz w:val="22"/>
          <w:szCs w:val="22"/>
        </w:rPr>
        <w:t>those characteristics</w:t>
      </w:r>
      <w:r w:rsidR="008A56DF" w:rsidRPr="58161626">
        <w:rPr>
          <w:rFonts w:asciiTheme="minorHAnsi" w:hAnsiTheme="minorHAnsi"/>
          <w:sz w:val="22"/>
          <w:szCs w:val="22"/>
        </w:rPr>
        <w:t xml:space="preserve">, as appropriate, </w:t>
      </w:r>
      <w:r w:rsidR="18994FB1" w:rsidRPr="58161626">
        <w:rPr>
          <w:rFonts w:asciiTheme="minorHAnsi" w:hAnsiTheme="minorHAnsi"/>
          <w:sz w:val="22"/>
          <w:szCs w:val="22"/>
        </w:rPr>
        <w:t xml:space="preserve">in the form of </w:t>
      </w:r>
      <w:r w:rsidR="006062D8" w:rsidRPr="58161626">
        <w:rPr>
          <w:rFonts w:asciiTheme="minorHAnsi" w:hAnsiTheme="minorHAnsi"/>
          <w:sz w:val="22"/>
          <w:szCs w:val="22"/>
        </w:rPr>
        <w:t xml:space="preserve">an </w:t>
      </w:r>
      <w:r w:rsidR="00566E81" w:rsidRPr="58161626">
        <w:rPr>
          <w:rFonts w:asciiTheme="minorHAnsi" w:hAnsiTheme="minorHAnsi"/>
          <w:sz w:val="22"/>
          <w:szCs w:val="22"/>
        </w:rPr>
        <w:t xml:space="preserve">additional </w:t>
      </w:r>
      <w:r w:rsidR="006062D8" w:rsidRPr="58161626">
        <w:rPr>
          <w:rFonts w:asciiTheme="minorHAnsi" w:hAnsiTheme="minorHAnsi"/>
          <w:sz w:val="22"/>
          <w:szCs w:val="22"/>
        </w:rPr>
        <w:t>ex</w:t>
      </w:r>
      <w:r w:rsidR="00365E75" w:rsidRPr="58161626">
        <w:rPr>
          <w:rFonts w:asciiTheme="minorHAnsi" w:hAnsiTheme="minorHAnsi"/>
          <w:sz w:val="22"/>
          <w:szCs w:val="22"/>
        </w:rPr>
        <w:t>ternal adjustment</w:t>
      </w:r>
      <w:r w:rsidR="00566E81" w:rsidRPr="58161626">
        <w:rPr>
          <w:rFonts w:asciiTheme="minorHAnsi" w:hAnsiTheme="minorHAnsi"/>
          <w:sz w:val="22"/>
          <w:szCs w:val="22"/>
        </w:rPr>
        <w:t xml:space="preserve"> to </w:t>
      </w:r>
      <w:r w:rsidR="2E99BE61" w:rsidRPr="58161626">
        <w:rPr>
          <w:rFonts w:asciiTheme="minorHAnsi" w:hAnsiTheme="minorHAnsi"/>
          <w:sz w:val="22"/>
          <w:szCs w:val="22"/>
        </w:rPr>
        <w:t>its load</w:t>
      </w:r>
      <w:r w:rsidR="00566E81" w:rsidRPr="58161626">
        <w:rPr>
          <w:rFonts w:asciiTheme="minorHAnsi" w:hAnsiTheme="minorHAnsi"/>
          <w:sz w:val="22"/>
          <w:szCs w:val="22"/>
        </w:rPr>
        <w:t xml:space="preserve"> forecast.</w:t>
      </w:r>
      <w:r w:rsidR="00926077" w:rsidRPr="58161626">
        <w:rPr>
          <w:rFonts w:asciiTheme="minorHAnsi" w:hAnsiTheme="minorHAnsi"/>
          <w:sz w:val="22"/>
          <w:szCs w:val="22"/>
        </w:rPr>
        <w:t xml:space="preserve"> </w:t>
      </w:r>
      <w:r w:rsidR="003E7B3D" w:rsidRPr="58161626">
        <w:rPr>
          <w:rFonts w:asciiTheme="minorHAnsi" w:eastAsia="Times New Roman" w:hAnsiTheme="minorHAnsi"/>
          <w:sz w:val="22"/>
          <w:szCs w:val="22"/>
        </w:rPr>
        <w:t xml:space="preserve">Georgia Power </w:t>
      </w:r>
      <w:r w:rsidR="7DF9CDF7" w:rsidRPr="58161626">
        <w:rPr>
          <w:rFonts w:asciiTheme="minorHAnsi" w:eastAsia="Times New Roman" w:hAnsiTheme="minorHAnsi"/>
          <w:sz w:val="22"/>
          <w:szCs w:val="22"/>
        </w:rPr>
        <w:t xml:space="preserve">currently </w:t>
      </w:r>
      <w:r w:rsidR="003E7B3D" w:rsidRPr="58161626">
        <w:rPr>
          <w:rFonts w:asciiTheme="minorHAnsi" w:eastAsia="Times New Roman" w:hAnsiTheme="minorHAnsi"/>
          <w:sz w:val="22"/>
          <w:szCs w:val="22"/>
        </w:rPr>
        <w:t xml:space="preserve">anticipates a rapid increase in its summer and winter peak demands due to </w:t>
      </w:r>
      <w:r w:rsidR="4281176B" w:rsidRPr="58161626">
        <w:rPr>
          <w:rFonts w:asciiTheme="minorHAnsi" w:eastAsia="Times New Roman" w:hAnsiTheme="minorHAnsi"/>
          <w:sz w:val="22"/>
          <w:szCs w:val="22"/>
        </w:rPr>
        <w:t xml:space="preserve">new </w:t>
      </w:r>
      <w:r w:rsidR="00B01B2E" w:rsidRPr="58161626">
        <w:rPr>
          <w:rFonts w:asciiTheme="minorHAnsi" w:eastAsia="Times New Roman" w:hAnsiTheme="minorHAnsi"/>
          <w:sz w:val="22"/>
          <w:szCs w:val="22"/>
        </w:rPr>
        <w:t xml:space="preserve">loads </w:t>
      </w:r>
      <w:r w:rsidR="6635B294" w:rsidRPr="58161626">
        <w:rPr>
          <w:rFonts w:asciiTheme="minorHAnsi" w:eastAsia="Times New Roman" w:hAnsiTheme="minorHAnsi"/>
          <w:sz w:val="22"/>
          <w:szCs w:val="22"/>
        </w:rPr>
        <w:t>expected</w:t>
      </w:r>
      <w:r w:rsidR="00B01B2E" w:rsidRPr="58161626">
        <w:rPr>
          <w:rFonts w:asciiTheme="minorHAnsi" w:eastAsia="Times New Roman" w:hAnsiTheme="minorHAnsi"/>
          <w:sz w:val="22"/>
          <w:szCs w:val="22"/>
        </w:rPr>
        <w:t xml:space="preserve"> </w:t>
      </w:r>
      <w:r w:rsidR="000D4E4B" w:rsidRPr="58161626">
        <w:rPr>
          <w:rFonts w:asciiTheme="minorHAnsi" w:eastAsia="Times New Roman" w:hAnsiTheme="minorHAnsi"/>
          <w:sz w:val="22"/>
          <w:szCs w:val="22"/>
        </w:rPr>
        <w:t xml:space="preserve">in the Commercial and Industrial </w:t>
      </w:r>
      <w:r w:rsidR="00B649BB" w:rsidRPr="58161626">
        <w:rPr>
          <w:rFonts w:asciiTheme="minorHAnsi" w:eastAsia="Times New Roman" w:hAnsiTheme="minorHAnsi"/>
          <w:sz w:val="22"/>
          <w:szCs w:val="22"/>
        </w:rPr>
        <w:t>classes</w:t>
      </w:r>
      <w:r w:rsidR="003E7B3D" w:rsidRPr="58161626">
        <w:rPr>
          <w:rFonts w:asciiTheme="minorHAnsi" w:eastAsia="Times New Roman" w:hAnsiTheme="minorHAnsi"/>
          <w:sz w:val="22"/>
          <w:szCs w:val="22"/>
        </w:rPr>
        <w:t xml:space="preserve">. </w:t>
      </w:r>
    </w:p>
    <w:p w14:paraId="4D77A00F" w14:textId="77777777" w:rsidR="00DF0D76" w:rsidRPr="00CE6BE1" w:rsidRDefault="00DF0D76" w:rsidP="00CE6BE1">
      <w:pPr>
        <w:spacing w:line="276" w:lineRule="auto"/>
        <w:jc w:val="both"/>
        <w:rPr>
          <w:rFonts w:asciiTheme="minorHAnsi" w:eastAsia="Times New Roman" w:hAnsiTheme="minorHAnsi" w:cstheme="minorHAnsi"/>
          <w:sz w:val="22"/>
          <w:szCs w:val="22"/>
        </w:rPr>
      </w:pPr>
    </w:p>
    <w:p w14:paraId="1773FA68" w14:textId="360D0010" w:rsidR="00DF0D76" w:rsidRPr="00CE6BE1" w:rsidRDefault="00DF0D76" w:rsidP="00DF0D76">
      <w:pPr>
        <w:spacing w:line="276" w:lineRule="auto"/>
        <w:jc w:val="both"/>
        <w:rPr>
          <w:rFonts w:asciiTheme="minorHAnsi" w:hAnsiTheme="minorHAnsi"/>
          <w:sz w:val="22"/>
          <w:szCs w:val="22"/>
        </w:rPr>
      </w:pPr>
      <w:r w:rsidRPr="417122ED">
        <w:rPr>
          <w:rFonts w:asciiTheme="minorHAnsi" w:hAnsiTheme="minorHAnsi"/>
          <w:sz w:val="22"/>
          <w:szCs w:val="22"/>
        </w:rPr>
        <w:t xml:space="preserve">The probabilistic model the Company developed evaluates a hundred thousand potential combinations for existing and potential economic development loads. These combinations can be sorted and ranked by total </w:t>
      </w:r>
      <w:r w:rsidR="00E22BB6">
        <w:rPr>
          <w:rFonts w:asciiTheme="minorHAnsi" w:hAnsiTheme="minorHAnsi"/>
          <w:sz w:val="22"/>
          <w:szCs w:val="22"/>
        </w:rPr>
        <w:t>MW</w:t>
      </w:r>
      <w:r w:rsidR="00E22BB6" w:rsidRPr="417122ED">
        <w:rPr>
          <w:rFonts w:asciiTheme="minorHAnsi" w:hAnsiTheme="minorHAnsi"/>
          <w:sz w:val="22"/>
          <w:szCs w:val="22"/>
        </w:rPr>
        <w:t xml:space="preserve"> </w:t>
      </w:r>
      <w:r w:rsidRPr="417122ED">
        <w:rPr>
          <w:rFonts w:asciiTheme="minorHAnsi" w:hAnsiTheme="minorHAnsi"/>
          <w:sz w:val="22"/>
          <w:szCs w:val="22"/>
        </w:rPr>
        <w:t xml:space="preserve">and </w:t>
      </w:r>
      <w:r w:rsidR="00E22BB6">
        <w:rPr>
          <w:rFonts w:asciiTheme="minorHAnsi" w:hAnsiTheme="minorHAnsi"/>
          <w:sz w:val="22"/>
          <w:szCs w:val="22"/>
        </w:rPr>
        <w:t>MWh</w:t>
      </w:r>
      <w:r w:rsidR="00E22BB6" w:rsidRPr="417122ED">
        <w:rPr>
          <w:rFonts w:asciiTheme="minorHAnsi" w:hAnsiTheme="minorHAnsi"/>
          <w:sz w:val="22"/>
          <w:szCs w:val="22"/>
        </w:rPr>
        <w:t xml:space="preserve"> </w:t>
      </w:r>
      <w:r w:rsidRPr="417122ED">
        <w:rPr>
          <w:rFonts w:asciiTheme="minorHAnsi" w:hAnsiTheme="minorHAnsi"/>
          <w:sz w:val="22"/>
          <w:szCs w:val="22"/>
        </w:rPr>
        <w:t xml:space="preserve">to determine the probability of certain load levels. </w:t>
      </w:r>
      <w:r w:rsidR="00705482">
        <w:rPr>
          <w:rFonts w:asciiTheme="minorHAnsi" w:hAnsiTheme="minorHAnsi"/>
          <w:sz w:val="22"/>
          <w:szCs w:val="22"/>
        </w:rPr>
        <w:t>For example,</w:t>
      </w:r>
      <w:r w:rsidR="00C70FD5">
        <w:rPr>
          <w:rFonts w:asciiTheme="minorHAnsi" w:hAnsiTheme="minorHAnsi"/>
          <w:sz w:val="22"/>
          <w:szCs w:val="22"/>
        </w:rPr>
        <w:t xml:space="preserve"> the</w:t>
      </w:r>
      <w:r w:rsidR="00705482">
        <w:rPr>
          <w:rFonts w:asciiTheme="minorHAnsi" w:hAnsiTheme="minorHAnsi"/>
          <w:sz w:val="22"/>
          <w:szCs w:val="22"/>
        </w:rPr>
        <w:t xml:space="preserve"> </w:t>
      </w:r>
      <w:r w:rsidRPr="417122ED">
        <w:rPr>
          <w:rFonts w:asciiTheme="minorHAnsi" w:hAnsiTheme="minorHAnsi"/>
          <w:sz w:val="22"/>
          <w:szCs w:val="22"/>
        </w:rPr>
        <w:t xml:space="preserve">P50 value corresponds to the </w:t>
      </w:r>
      <w:r w:rsidR="00EC3F84">
        <w:rPr>
          <w:rFonts w:asciiTheme="minorHAnsi" w:hAnsiTheme="minorHAnsi"/>
          <w:sz w:val="22"/>
          <w:szCs w:val="22"/>
        </w:rPr>
        <w:t xml:space="preserve">median </w:t>
      </w:r>
      <w:r w:rsidR="00336CA7">
        <w:rPr>
          <w:rFonts w:asciiTheme="minorHAnsi" w:hAnsiTheme="minorHAnsi"/>
          <w:sz w:val="22"/>
          <w:szCs w:val="22"/>
        </w:rPr>
        <w:t xml:space="preserve">load </w:t>
      </w:r>
      <w:r w:rsidRPr="417122ED">
        <w:rPr>
          <w:rFonts w:asciiTheme="minorHAnsi" w:hAnsiTheme="minorHAnsi"/>
          <w:sz w:val="22"/>
          <w:szCs w:val="22"/>
        </w:rPr>
        <w:t xml:space="preserve">level </w:t>
      </w:r>
      <w:r w:rsidR="00410CEE">
        <w:rPr>
          <w:rFonts w:asciiTheme="minorHAnsi" w:hAnsiTheme="minorHAnsi"/>
          <w:sz w:val="22"/>
          <w:szCs w:val="22"/>
        </w:rPr>
        <w:t>within the range of potential outcomes</w:t>
      </w:r>
      <w:r w:rsidRPr="417122ED">
        <w:rPr>
          <w:rFonts w:asciiTheme="minorHAnsi" w:hAnsiTheme="minorHAnsi"/>
          <w:sz w:val="22"/>
          <w:szCs w:val="22"/>
        </w:rPr>
        <w:t>. Similarly, P95 indicates a load level where 95% of all potential combinations fall at or below this level, and 5% of the load combinations fall above</w:t>
      </w:r>
      <w:r w:rsidR="780B18D4" w:rsidRPr="417122ED">
        <w:rPr>
          <w:rFonts w:asciiTheme="minorHAnsi" w:hAnsiTheme="minorHAnsi"/>
          <w:sz w:val="22"/>
          <w:szCs w:val="22"/>
        </w:rPr>
        <w:t xml:space="preserve"> it</w:t>
      </w:r>
      <w:r w:rsidRPr="417122ED">
        <w:rPr>
          <w:rFonts w:asciiTheme="minorHAnsi" w:hAnsiTheme="minorHAnsi"/>
          <w:sz w:val="22"/>
          <w:szCs w:val="22"/>
        </w:rPr>
        <w:t>. The 2023 IRP Update</w:t>
      </w:r>
      <w:r w:rsidR="00A31A7A" w:rsidRPr="417122ED">
        <w:rPr>
          <w:rFonts w:asciiTheme="minorHAnsi" w:hAnsiTheme="minorHAnsi"/>
          <w:sz w:val="22"/>
          <w:szCs w:val="22"/>
        </w:rPr>
        <w:t xml:space="preserve"> Load Forecast</w:t>
      </w:r>
      <w:r w:rsidRPr="417122ED">
        <w:rPr>
          <w:rFonts w:asciiTheme="minorHAnsi" w:hAnsiTheme="minorHAnsi"/>
          <w:sz w:val="22"/>
          <w:szCs w:val="22"/>
        </w:rPr>
        <w:t xml:space="preserve"> includes the P95 load value.</w:t>
      </w:r>
    </w:p>
    <w:p w14:paraId="35A8392B" w14:textId="77777777" w:rsidR="00DF0D76" w:rsidRPr="00CE6BE1" w:rsidRDefault="00DF0D76">
      <w:pPr>
        <w:spacing w:line="276" w:lineRule="auto"/>
        <w:jc w:val="both"/>
        <w:rPr>
          <w:rFonts w:asciiTheme="minorHAnsi" w:hAnsiTheme="minorHAnsi" w:cstheme="minorHAnsi"/>
          <w:sz w:val="22"/>
          <w:szCs w:val="22"/>
        </w:rPr>
      </w:pPr>
    </w:p>
    <w:p w14:paraId="7E13D342" w14:textId="58C0C978" w:rsidR="005E58BB" w:rsidRPr="00CE6BE1" w:rsidRDefault="006E3EDF" w:rsidP="00CE6BE1">
      <w:pPr>
        <w:spacing w:line="276" w:lineRule="auto"/>
        <w:jc w:val="both"/>
        <w:rPr>
          <w:rFonts w:asciiTheme="minorHAnsi" w:hAnsiTheme="minorHAnsi" w:cstheme="minorHAnsi"/>
          <w:sz w:val="22"/>
          <w:szCs w:val="22"/>
        </w:rPr>
      </w:pPr>
      <w:r w:rsidRPr="00CE6BE1">
        <w:rPr>
          <w:rFonts w:asciiTheme="minorHAnsi" w:hAnsiTheme="minorHAnsi" w:cstheme="minorHAnsi"/>
          <w:sz w:val="22"/>
          <w:szCs w:val="22"/>
        </w:rPr>
        <w:t>The high</w:t>
      </w:r>
      <w:r w:rsidR="002715E6" w:rsidRPr="00CE6BE1">
        <w:rPr>
          <w:rFonts w:asciiTheme="minorHAnsi" w:hAnsiTheme="minorHAnsi" w:cstheme="minorHAnsi"/>
          <w:sz w:val="22"/>
          <w:szCs w:val="22"/>
        </w:rPr>
        <w:t>-</w:t>
      </w:r>
      <w:r w:rsidRPr="00CE6BE1">
        <w:rPr>
          <w:rFonts w:asciiTheme="minorHAnsi" w:hAnsiTheme="minorHAnsi" w:cstheme="minorHAnsi"/>
          <w:sz w:val="22"/>
          <w:szCs w:val="22"/>
        </w:rPr>
        <w:t xml:space="preserve">level impacts </w:t>
      </w:r>
      <w:r w:rsidR="002715E6" w:rsidRPr="00CE6BE1">
        <w:rPr>
          <w:rFonts w:asciiTheme="minorHAnsi" w:hAnsiTheme="minorHAnsi" w:cstheme="minorHAnsi"/>
          <w:sz w:val="22"/>
          <w:szCs w:val="22"/>
        </w:rPr>
        <w:t xml:space="preserve">on peak demands resulting from </w:t>
      </w:r>
      <w:proofErr w:type="gramStart"/>
      <w:r w:rsidR="00A222A5" w:rsidRPr="00CE6BE1">
        <w:rPr>
          <w:rFonts w:asciiTheme="minorHAnsi" w:hAnsiTheme="minorHAnsi" w:cstheme="minorHAnsi"/>
          <w:sz w:val="22"/>
          <w:szCs w:val="22"/>
        </w:rPr>
        <w:t xml:space="preserve">new </w:t>
      </w:r>
      <w:r w:rsidR="007A3A7E" w:rsidRPr="00CE6BE1">
        <w:rPr>
          <w:rFonts w:asciiTheme="minorHAnsi" w:hAnsiTheme="minorHAnsi" w:cstheme="minorHAnsi"/>
          <w:sz w:val="22"/>
          <w:szCs w:val="22"/>
        </w:rPr>
        <w:t>large</w:t>
      </w:r>
      <w:proofErr w:type="gramEnd"/>
      <w:r w:rsidR="007A3A7E" w:rsidRPr="00CE6BE1">
        <w:rPr>
          <w:rFonts w:asciiTheme="minorHAnsi" w:hAnsiTheme="minorHAnsi" w:cstheme="minorHAnsi"/>
          <w:sz w:val="22"/>
          <w:szCs w:val="22"/>
        </w:rPr>
        <w:t xml:space="preserve"> customer loads</w:t>
      </w:r>
      <w:r w:rsidR="005E6EE4" w:rsidRPr="00CE6BE1">
        <w:rPr>
          <w:rFonts w:asciiTheme="minorHAnsi" w:hAnsiTheme="minorHAnsi" w:cstheme="minorHAnsi"/>
          <w:sz w:val="22"/>
          <w:szCs w:val="22"/>
        </w:rPr>
        <w:t xml:space="preserve"> </w:t>
      </w:r>
      <w:r w:rsidR="00E63406" w:rsidRPr="00CE6BE1">
        <w:rPr>
          <w:rFonts w:asciiTheme="minorHAnsi" w:hAnsiTheme="minorHAnsi" w:cstheme="minorHAnsi"/>
          <w:sz w:val="22"/>
          <w:szCs w:val="22"/>
        </w:rPr>
        <w:t xml:space="preserve">are presented in </w:t>
      </w:r>
      <w:r w:rsidR="007E752C" w:rsidRPr="00CE6BE1">
        <w:rPr>
          <w:rFonts w:asciiTheme="minorHAnsi" w:hAnsiTheme="minorHAnsi" w:cstheme="minorHAnsi"/>
          <w:sz w:val="22"/>
          <w:szCs w:val="22"/>
        </w:rPr>
        <w:t>Figure 1.1-1 and 1.1-2.</w:t>
      </w:r>
      <w:r w:rsidR="000C09EF" w:rsidRPr="00CE6BE1">
        <w:rPr>
          <w:rFonts w:asciiTheme="minorHAnsi" w:hAnsiTheme="minorHAnsi" w:cstheme="minorHAnsi"/>
          <w:sz w:val="22"/>
          <w:szCs w:val="22"/>
        </w:rPr>
        <w:t xml:space="preserve"> These charts contain a comparison of Budget 2022</w:t>
      </w:r>
      <w:r w:rsidR="000623E3" w:rsidRPr="00CE6BE1">
        <w:rPr>
          <w:rFonts w:asciiTheme="minorHAnsi" w:hAnsiTheme="minorHAnsi" w:cstheme="minorHAnsi"/>
          <w:sz w:val="22"/>
          <w:szCs w:val="22"/>
        </w:rPr>
        <w:t xml:space="preserve"> peaks</w:t>
      </w:r>
      <w:r w:rsidR="00B301CA" w:rsidRPr="00CE6BE1">
        <w:rPr>
          <w:rFonts w:asciiTheme="minorHAnsi" w:hAnsiTheme="minorHAnsi" w:cstheme="minorHAnsi"/>
          <w:sz w:val="22"/>
          <w:szCs w:val="22"/>
        </w:rPr>
        <w:t>, which w</w:t>
      </w:r>
      <w:r w:rsidR="00FC61AF" w:rsidRPr="00CE6BE1">
        <w:rPr>
          <w:rFonts w:asciiTheme="minorHAnsi" w:hAnsiTheme="minorHAnsi" w:cstheme="minorHAnsi"/>
          <w:sz w:val="22"/>
          <w:szCs w:val="22"/>
        </w:rPr>
        <w:t>ere</w:t>
      </w:r>
      <w:r w:rsidR="00B301CA" w:rsidRPr="00CE6BE1">
        <w:rPr>
          <w:rFonts w:asciiTheme="minorHAnsi" w:hAnsiTheme="minorHAnsi" w:cstheme="minorHAnsi"/>
          <w:sz w:val="22"/>
          <w:szCs w:val="22"/>
        </w:rPr>
        <w:t xml:space="preserve"> used in the 2022 IRP, </w:t>
      </w:r>
      <w:r w:rsidR="00F74198" w:rsidRPr="00CE6BE1">
        <w:rPr>
          <w:rFonts w:asciiTheme="minorHAnsi" w:hAnsiTheme="minorHAnsi" w:cstheme="minorHAnsi"/>
          <w:sz w:val="22"/>
          <w:szCs w:val="22"/>
        </w:rPr>
        <w:t xml:space="preserve">with </w:t>
      </w:r>
      <w:r w:rsidR="00E82F88">
        <w:rPr>
          <w:rFonts w:asciiTheme="minorHAnsi" w:hAnsiTheme="minorHAnsi" w:cstheme="minorHAnsi"/>
          <w:sz w:val="22"/>
          <w:szCs w:val="22"/>
        </w:rPr>
        <w:t>the</w:t>
      </w:r>
      <w:r w:rsidR="00F74198" w:rsidRPr="00CE6BE1">
        <w:rPr>
          <w:rFonts w:asciiTheme="minorHAnsi" w:hAnsiTheme="minorHAnsi" w:cstheme="minorHAnsi"/>
          <w:sz w:val="22"/>
          <w:szCs w:val="22"/>
        </w:rPr>
        <w:t xml:space="preserve"> Budget 202</w:t>
      </w:r>
      <w:r w:rsidR="00FC7D3F">
        <w:rPr>
          <w:rFonts w:asciiTheme="minorHAnsi" w:hAnsiTheme="minorHAnsi" w:cstheme="minorHAnsi"/>
          <w:sz w:val="22"/>
          <w:szCs w:val="22"/>
        </w:rPr>
        <w:t>3</w:t>
      </w:r>
      <w:r w:rsidR="00F74198" w:rsidRPr="00CE6BE1">
        <w:rPr>
          <w:rFonts w:asciiTheme="minorHAnsi" w:hAnsiTheme="minorHAnsi" w:cstheme="minorHAnsi"/>
          <w:sz w:val="22"/>
          <w:szCs w:val="22"/>
        </w:rPr>
        <w:t xml:space="preserve"> </w:t>
      </w:r>
      <w:r w:rsidR="00E82F88">
        <w:rPr>
          <w:rFonts w:asciiTheme="minorHAnsi" w:hAnsiTheme="minorHAnsi" w:cstheme="minorHAnsi"/>
          <w:sz w:val="22"/>
          <w:szCs w:val="22"/>
        </w:rPr>
        <w:t>Load and Energy Forecast</w:t>
      </w:r>
      <w:r w:rsidR="00B03228">
        <w:rPr>
          <w:rFonts w:asciiTheme="minorHAnsi" w:hAnsiTheme="minorHAnsi" w:cstheme="minorHAnsi"/>
          <w:sz w:val="22"/>
          <w:szCs w:val="22"/>
        </w:rPr>
        <w:t xml:space="preserve"> (“Budget 202</w:t>
      </w:r>
      <w:r w:rsidR="00747630">
        <w:rPr>
          <w:rFonts w:asciiTheme="minorHAnsi" w:hAnsiTheme="minorHAnsi" w:cstheme="minorHAnsi"/>
          <w:sz w:val="22"/>
          <w:szCs w:val="22"/>
        </w:rPr>
        <w:t>3</w:t>
      </w:r>
      <w:r w:rsidR="00B03228">
        <w:rPr>
          <w:rFonts w:asciiTheme="minorHAnsi" w:hAnsiTheme="minorHAnsi" w:cstheme="minorHAnsi"/>
          <w:sz w:val="22"/>
          <w:szCs w:val="22"/>
        </w:rPr>
        <w:t>")</w:t>
      </w:r>
      <w:r w:rsidR="00F74198" w:rsidRPr="00CE6BE1">
        <w:rPr>
          <w:rFonts w:asciiTheme="minorHAnsi" w:hAnsiTheme="minorHAnsi" w:cstheme="minorHAnsi"/>
          <w:sz w:val="22"/>
          <w:szCs w:val="22"/>
        </w:rPr>
        <w:t xml:space="preserve"> and </w:t>
      </w:r>
      <w:r w:rsidR="00C64668" w:rsidRPr="00CE6BE1">
        <w:rPr>
          <w:rFonts w:asciiTheme="minorHAnsi" w:hAnsiTheme="minorHAnsi" w:cstheme="minorHAnsi"/>
          <w:sz w:val="22"/>
          <w:szCs w:val="22"/>
        </w:rPr>
        <w:t xml:space="preserve">the 2023 IRP </w:t>
      </w:r>
      <w:r w:rsidR="00521CDA" w:rsidRPr="00CE6BE1">
        <w:rPr>
          <w:rFonts w:asciiTheme="minorHAnsi" w:hAnsiTheme="minorHAnsi" w:cstheme="minorHAnsi"/>
          <w:sz w:val="22"/>
          <w:szCs w:val="22"/>
        </w:rPr>
        <w:t>U</w:t>
      </w:r>
      <w:r w:rsidR="00C64668" w:rsidRPr="00CE6BE1">
        <w:rPr>
          <w:rFonts w:asciiTheme="minorHAnsi" w:hAnsiTheme="minorHAnsi" w:cstheme="minorHAnsi"/>
          <w:sz w:val="22"/>
          <w:szCs w:val="22"/>
        </w:rPr>
        <w:t>pdate</w:t>
      </w:r>
      <w:r w:rsidR="00521CDA" w:rsidRPr="00CE6BE1">
        <w:rPr>
          <w:rFonts w:asciiTheme="minorHAnsi" w:hAnsiTheme="minorHAnsi" w:cstheme="minorHAnsi"/>
          <w:sz w:val="22"/>
          <w:szCs w:val="22"/>
        </w:rPr>
        <w:t xml:space="preserve"> Load Forecast</w:t>
      </w:r>
      <w:r w:rsidR="002253BE" w:rsidRPr="00CE6BE1">
        <w:rPr>
          <w:rFonts w:asciiTheme="minorHAnsi" w:hAnsiTheme="minorHAnsi" w:cstheme="minorHAnsi"/>
          <w:sz w:val="22"/>
          <w:szCs w:val="22"/>
        </w:rPr>
        <w:t>.</w:t>
      </w:r>
      <w:r w:rsidR="003D5CCD" w:rsidRPr="00CE6BE1">
        <w:rPr>
          <w:rFonts w:asciiTheme="minorHAnsi" w:hAnsiTheme="minorHAnsi" w:cstheme="minorHAnsi"/>
          <w:sz w:val="22"/>
          <w:szCs w:val="22"/>
        </w:rPr>
        <w:t xml:space="preserve"> </w:t>
      </w:r>
    </w:p>
    <w:p w14:paraId="34796A89" w14:textId="77777777" w:rsidR="001238D5" w:rsidRDefault="001238D5" w:rsidP="00CE6BE1">
      <w:pPr>
        <w:spacing w:line="276" w:lineRule="auto"/>
        <w:jc w:val="both"/>
        <w:rPr>
          <w:rFonts w:asciiTheme="minorHAnsi" w:hAnsiTheme="minorHAnsi" w:cstheme="minorHAnsi"/>
          <w:sz w:val="22"/>
          <w:szCs w:val="22"/>
        </w:rPr>
        <w:sectPr w:rsidR="001238D5">
          <w:headerReference w:type="default" r:id="rId8"/>
          <w:footerReference w:type="default" r:id="rId9"/>
          <w:pgSz w:w="12240" w:h="15840"/>
          <w:pgMar w:top="1440" w:right="1440" w:bottom="1440" w:left="1440" w:header="720" w:footer="720" w:gutter="0"/>
          <w:cols w:space="720"/>
          <w:docGrid w:linePitch="360"/>
        </w:sectPr>
      </w:pPr>
    </w:p>
    <w:p w14:paraId="7DE9696A" w14:textId="278C69C7" w:rsidR="63301C83" w:rsidRPr="00CE6BE1" w:rsidRDefault="63301C83" w:rsidP="00CE6BE1">
      <w:pPr>
        <w:spacing w:line="276" w:lineRule="auto"/>
        <w:jc w:val="both"/>
        <w:rPr>
          <w:rFonts w:asciiTheme="minorHAnsi" w:hAnsiTheme="minorHAnsi" w:cstheme="minorHAnsi"/>
          <w:sz w:val="22"/>
          <w:szCs w:val="22"/>
        </w:rPr>
      </w:pPr>
    </w:p>
    <w:p w14:paraId="5536F787" w14:textId="14F55706" w:rsidR="008E3797" w:rsidRDefault="008E3797" w:rsidP="00CE6BE1">
      <w:pPr>
        <w:keepNext/>
        <w:spacing w:line="276" w:lineRule="auto"/>
        <w:jc w:val="both"/>
        <w:rPr>
          <w:rFonts w:asciiTheme="minorHAnsi" w:hAnsiTheme="minorHAnsi" w:cstheme="minorHAnsi"/>
          <w:b/>
          <w:sz w:val="22"/>
          <w:szCs w:val="22"/>
        </w:rPr>
      </w:pPr>
      <w:r w:rsidRPr="00CE6BE1">
        <w:rPr>
          <w:rFonts w:asciiTheme="minorHAnsi" w:hAnsiTheme="minorHAnsi" w:cstheme="minorHAnsi"/>
          <w:b/>
          <w:sz w:val="22"/>
          <w:szCs w:val="22"/>
        </w:rPr>
        <w:t>Figure 1.1-1: Summer Peak Demand Forecast</w:t>
      </w:r>
    </w:p>
    <w:p w14:paraId="315E80D9" w14:textId="77777777" w:rsidR="0080318E" w:rsidRDefault="0080318E" w:rsidP="00CE6BE1">
      <w:pPr>
        <w:keepNext/>
        <w:spacing w:line="276" w:lineRule="auto"/>
        <w:jc w:val="both"/>
        <w:rPr>
          <w:rFonts w:asciiTheme="minorHAnsi" w:hAnsiTheme="minorHAnsi" w:cstheme="minorHAnsi"/>
          <w:b/>
          <w:sz w:val="22"/>
          <w:szCs w:val="22"/>
        </w:rPr>
      </w:pPr>
    </w:p>
    <w:p w14:paraId="407FF974" w14:textId="70D74E5C" w:rsidR="008D0CB2" w:rsidRPr="00CE6BE1" w:rsidRDefault="00BF531E" w:rsidP="00CE6BE1">
      <w:pPr>
        <w:keepNext/>
        <w:spacing w:line="276" w:lineRule="auto"/>
        <w:jc w:val="both"/>
        <w:rPr>
          <w:rFonts w:asciiTheme="minorHAnsi" w:hAnsiTheme="minorHAnsi" w:cstheme="minorHAnsi"/>
          <w:b/>
          <w:sz w:val="22"/>
          <w:szCs w:val="22"/>
        </w:rPr>
      </w:pPr>
      <w:r>
        <w:rPr>
          <w:rFonts w:asciiTheme="minorHAnsi" w:hAnsiTheme="minorHAnsi" w:cstheme="minorHAnsi"/>
          <w:b/>
          <w:noProof/>
          <w:sz w:val="22"/>
          <w:szCs w:val="22"/>
        </w:rPr>
        <w:drawing>
          <wp:inline distT="0" distB="0" distL="0" distR="0" wp14:anchorId="76B2FF17" wp14:editId="31A2A279">
            <wp:extent cx="9002147" cy="4267413"/>
            <wp:effectExtent l="0" t="0" r="8890" b="0"/>
            <wp:docPr id="966114512" name="Picture 96611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33791" cy="4282414"/>
                    </a:xfrm>
                    <a:prstGeom prst="rect">
                      <a:avLst/>
                    </a:prstGeom>
                    <a:noFill/>
                  </pic:spPr>
                </pic:pic>
              </a:graphicData>
            </a:graphic>
          </wp:inline>
        </w:drawing>
      </w:r>
    </w:p>
    <w:p w14:paraId="1ED97BE1" w14:textId="17E78F91" w:rsidR="00211DE6" w:rsidRPr="00CE6BE1" w:rsidRDefault="00211DE6" w:rsidP="00CE6BE1">
      <w:pPr>
        <w:keepNext/>
        <w:spacing w:line="276" w:lineRule="auto"/>
        <w:jc w:val="both"/>
        <w:rPr>
          <w:rFonts w:asciiTheme="minorHAnsi" w:hAnsiTheme="minorHAnsi" w:cstheme="minorHAnsi"/>
          <w:sz w:val="22"/>
          <w:szCs w:val="22"/>
        </w:rPr>
      </w:pPr>
    </w:p>
    <w:p w14:paraId="57D14484" w14:textId="795953F0" w:rsidR="00FD01C5" w:rsidRPr="00CE6BE1" w:rsidRDefault="00C73F61" w:rsidP="00CE6BE1">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For the period from </w:t>
      </w:r>
      <w:r w:rsidR="008955DA">
        <w:rPr>
          <w:rFonts w:asciiTheme="minorHAnsi" w:hAnsiTheme="minorHAnsi" w:cstheme="minorHAnsi"/>
          <w:sz w:val="22"/>
          <w:szCs w:val="22"/>
        </w:rPr>
        <w:t>2024 through 2031</w:t>
      </w:r>
      <w:r w:rsidR="00B00EE4">
        <w:rPr>
          <w:rFonts w:asciiTheme="minorHAnsi" w:hAnsiTheme="minorHAnsi" w:cstheme="minorHAnsi"/>
          <w:sz w:val="22"/>
          <w:szCs w:val="22"/>
        </w:rPr>
        <w:t xml:space="preserve">, </w:t>
      </w:r>
      <w:r w:rsidR="0020560B">
        <w:rPr>
          <w:rFonts w:asciiTheme="minorHAnsi" w:hAnsiTheme="minorHAnsi" w:cstheme="minorHAnsi"/>
          <w:sz w:val="22"/>
          <w:szCs w:val="22"/>
        </w:rPr>
        <w:t>t</w:t>
      </w:r>
      <w:r w:rsidR="00BA07BC" w:rsidRPr="00CE6BE1">
        <w:rPr>
          <w:rFonts w:asciiTheme="minorHAnsi" w:hAnsiTheme="minorHAnsi" w:cstheme="minorHAnsi"/>
          <w:sz w:val="22"/>
          <w:szCs w:val="22"/>
        </w:rPr>
        <w:t xml:space="preserve">he 2023 </w:t>
      </w:r>
      <w:r w:rsidR="001319CE" w:rsidRPr="00CE6BE1">
        <w:rPr>
          <w:rFonts w:asciiTheme="minorHAnsi" w:hAnsiTheme="minorHAnsi" w:cstheme="minorHAnsi"/>
          <w:sz w:val="22"/>
          <w:szCs w:val="22"/>
        </w:rPr>
        <w:t>IRP Update</w:t>
      </w:r>
      <w:r w:rsidR="001319CE" w:rsidRPr="00CE6BE1" w:rsidDel="00106CE5">
        <w:rPr>
          <w:rFonts w:asciiTheme="minorHAnsi" w:hAnsiTheme="minorHAnsi" w:cstheme="minorHAnsi"/>
          <w:sz w:val="22"/>
          <w:szCs w:val="22"/>
        </w:rPr>
        <w:t xml:space="preserve"> </w:t>
      </w:r>
      <w:r w:rsidR="00A31A7A">
        <w:rPr>
          <w:rFonts w:asciiTheme="minorHAnsi" w:hAnsiTheme="minorHAnsi" w:cstheme="minorHAnsi"/>
          <w:sz w:val="22"/>
          <w:szCs w:val="22"/>
        </w:rPr>
        <w:t xml:space="preserve">Load </w:t>
      </w:r>
      <w:r w:rsidR="0020560B">
        <w:rPr>
          <w:rFonts w:asciiTheme="minorHAnsi" w:hAnsiTheme="minorHAnsi" w:cstheme="minorHAnsi"/>
          <w:sz w:val="22"/>
          <w:szCs w:val="22"/>
        </w:rPr>
        <w:t>F</w:t>
      </w:r>
      <w:r w:rsidR="00A31A7A">
        <w:rPr>
          <w:rFonts w:asciiTheme="minorHAnsi" w:hAnsiTheme="minorHAnsi" w:cstheme="minorHAnsi"/>
          <w:sz w:val="22"/>
          <w:szCs w:val="22"/>
        </w:rPr>
        <w:t>orecast</w:t>
      </w:r>
      <w:r w:rsidR="001319CE" w:rsidRPr="00CE6BE1" w:rsidDel="00106CE5">
        <w:rPr>
          <w:rFonts w:asciiTheme="minorHAnsi" w:hAnsiTheme="minorHAnsi" w:cstheme="minorHAnsi"/>
          <w:sz w:val="22"/>
          <w:szCs w:val="22"/>
        </w:rPr>
        <w:t xml:space="preserve"> </w:t>
      </w:r>
      <w:r w:rsidR="00061ED1">
        <w:rPr>
          <w:rFonts w:asciiTheme="minorHAnsi" w:hAnsiTheme="minorHAnsi" w:cstheme="minorHAnsi"/>
          <w:sz w:val="22"/>
          <w:szCs w:val="22"/>
        </w:rPr>
        <w:t xml:space="preserve">reflects </w:t>
      </w:r>
      <w:r w:rsidR="00EE7A12">
        <w:rPr>
          <w:rFonts w:asciiTheme="minorHAnsi" w:hAnsiTheme="minorHAnsi" w:cstheme="minorHAnsi"/>
          <w:sz w:val="22"/>
          <w:szCs w:val="22"/>
        </w:rPr>
        <w:t xml:space="preserve">summer </w:t>
      </w:r>
      <w:r w:rsidR="00061ED1">
        <w:rPr>
          <w:rFonts w:asciiTheme="minorHAnsi" w:hAnsiTheme="minorHAnsi" w:cstheme="minorHAnsi"/>
          <w:sz w:val="22"/>
          <w:szCs w:val="22"/>
        </w:rPr>
        <w:t>load growth</w:t>
      </w:r>
      <w:r w:rsidR="001F52A3">
        <w:rPr>
          <w:rFonts w:asciiTheme="minorHAnsi" w:hAnsiTheme="minorHAnsi" w:cstheme="minorHAnsi"/>
          <w:sz w:val="22"/>
          <w:szCs w:val="22"/>
        </w:rPr>
        <w:t xml:space="preserve"> </w:t>
      </w:r>
      <w:r w:rsidR="005B6026">
        <w:rPr>
          <w:rFonts w:asciiTheme="minorHAnsi" w:hAnsiTheme="minorHAnsi" w:cstheme="minorHAnsi"/>
          <w:sz w:val="22"/>
          <w:szCs w:val="22"/>
        </w:rPr>
        <w:t xml:space="preserve">of </w:t>
      </w:r>
      <w:r w:rsidR="002E3CB9">
        <w:rPr>
          <w:rFonts w:asciiTheme="minorHAnsi" w:hAnsiTheme="minorHAnsi" w:cstheme="minorHAnsi"/>
          <w:sz w:val="22"/>
          <w:szCs w:val="22"/>
        </w:rPr>
        <w:t>more than 7,100 MW</w:t>
      </w:r>
      <w:r w:rsidR="00456D93" w:rsidRPr="00CE6BE1">
        <w:rPr>
          <w:rFonts w:asciiTheme="minorHAnsi" w:hAnsiTheme="minorHAnsi" w:cstheme="minorHAnsi"/>
          <w:sz w:val="22"/>
          <w:szCs w:val="22"/>
        </w:rPr>
        <w:t>.</w:t>
      </w:r>
      <w:r w:rsidR="00456D93" w:rsidRPr="00CE6BE1" w:rsidDel="008E276F">
        <w:rPr>
          <w:rFonts w:asciiTheme="minorHAnsi" w:hAnsiTheme="minorHAnsi" w:cstheme="minorHAnsi"/>
          <w:sz w:val="22"/>
          <w:szCs w:val="22"/>
        </w:rPr>
        <w:t xml:space="preserve"> </w:t>
      </w:r>
      <w:r w:rsidR="00AE1070">
        <w:rPr>
          <w:rFonts w:asciiTheme="minorHAnsi" w:hAnsiTheme="minorHAnsi" w:cstheme="minorHAnsi"/>
          <w:sz w:val="22"/>
          <w:szCs w:val="22"/>
        </w:rPr>
        <w:t xml:space="preserve">This is </w:t>
      </w:r>
      <w:r w:rsidR="001747A4">
        <w:rPr>
          <w:rFonts w:asciiTheme="minorHAnsi" w:hAnsiTheme="minorHAnsi" w:cstheme="minorHAnsi"/>
          <w:sz w:val="22"/>
          <w:szCs w:val="22"/>
        </w:rPr>
        <w:t xml:space="preserve">approximately </w:t>
      </w:r>
      <w:r w:rsidR="00B03E2D">
        <w:rPr>
          <w:rFonts w:asciiTheme="minorHAnsi" w:hAnsiTheme="minorHAnsi" w:cstheme="minorHAnsi"/>
          <w:sz w:val="22"/>
          <w:szCs w:val="22"/>
        </w:rPr>
        <w:t>28</w:t>
      </w:r>
      <w:r w:rsidR="001747A4">
        <w:rPr>
          <w:rFonts w:asciiTheme="minorHAnsi" w:hAnsiTheme="minorHAnsi" w:cstheme="minorHAnsi"/>
          <w:sz w:val="22"/>
          <w:szCs w:val="22"/>
        </w:rPr>
        <w:t xml:space="preserve"> times greater than the </w:t>
      </w:r>
      <w:r w:rsidR="00B03E2D">
        <w:rPr>
          <w:rFonts w:asciiTheme="minorHAnsi" w:hAnsiTheme="minorHAnsi" w:cstheme="minorHAnsi"/>
          <w:sz w:val="22"/>
          <w:szCs w:val="22"/>
        </w:rPr>
        <w:t xml:space="preserve">Budget 2022 </w:t>
      </w:r>
      <w:r w:rsidR="003C59CE">
        <w:rPr>
          <w:rFonts w:asciiTheme="minorHAnsi" w:hAnsiTheme="minorHAnsi" w:cstheme="minorHAnsi"/>
          <w:sz w:val="22"/>
          <w:szCs w:val="22"/>
        </w:rPr>
        <w:t xml:space="preserve">summer </w:t>
      </w:r>
      <w:r w:rsidR="001747A4">
        <w:rPr>
          <w:rFonts w:asciiTheme="minorHAnsi" w:hAnsiTheme="minorHAnsi" w:cstheme="minorHAnsi"/>
          <w:sz w:val="22"/>
          <w:szCs w:val="22"/>
        </w:rPr>
        <w:t>load growth</w:t>
      </w:r>
      <w:r w:rsidR="00AE1070">
        <w:rPr>
          <w:rFonts w:asciiTheme="minorHAnsi" w:hAnsiTheme="minorHAnsi" w:cstheme="minorHAnsi"/>
          <w:sz w:val="22"/>
          <w:szCs w:val="22"/>
        </w:rPr>
        <w:t xml:space="preserve"> </w:t>
      </w:r>
      <w:r w:rsidR="00DA4DF0">
        <w:rPr>
          <w:rFonts w:asciiTheme="minorHAnsi" w:hAnsiTheme="minorHAnsi" w:cstheme="minorHAnsi"/>
          <w:sz w:val="22"/>
          <w:szCs w:val="22"/>
        </w:rPr>
        <w:t xml:space="preserve">of </w:t>
      </w:r>
      <w:r w:rsidR="00305908">
        <w:rPr>
          <w:rFonts w:asciiTheme="minorHAnsi" w:hAnsiTheme="minorHAnsi" w:cstheme="minorHAnsi"/>
          <w:sz w:val="22"/>
          <w:szCs w:val="22"/>
        </w:rPr>
        <w:t>approximately 250</w:t>
      </w:r>
      <w:r w:rsidR="0096799E">
        <w:rPr>
          <w:rFonts w:asciiTheme="minorHAnsi" w:hAnsiTheme="minorHAnsi" w:cstheme="minorHAnsi"/>
          <w:sz w:val="22"/>
          <w:szCs w:val="22"/>
        </w:rPr>
        <w:t xml:space="preserve"> MW </w:t>
      </w:r>
      <w:r w:rsidR="0031466E">
        <w:rPr>
          <w:rFonts w:asciiTheme="minorHAnsi" w:hAnsiTheme="minorHAnsi" w:cstheme="minorHAnsi"/>
          <w:sz w:val="22"/>
          <w:szCs w:val="22"/>
        </w:rPr>
        <w:t xml:space="preserve">for </w:t>
      </w:r>
      <w:r w:rsidR="00305908">
        <w:rPr>
          <w:rFonts w:asciiTheme="minorHAnsi" w:hAnsiTheme="minorHAnsi" w:cstheme="minorHAnsi"/>
          <w:sz w:val="22"/>
          <w:szCs w:val="22"/>
        </w:rPr>
        <w:t>the same period</w:t>
      </w:r>
      <w:r w:rsidR="00E7758C">
        <w:rPr>
          <w:rFonts w:asciiTheme="minorHAnsi" w:hAnsiTheme="minorHAnsi" w:cstheme="minorHAnsi"/>
          <w:sz w:val="22"/>
          <w:szCs w:val="22"/>
        </w:rPr>
        <w:t>.</w:t>
      </w:r>
      <w:r w:rsidR="0031466E">
        <w:rPr>
          <w:rFonts w:asciiTheme="minorHAnsi" w:hAnsiTheme="minorHAnsi" w:cstheme="minorHAnsi"/>
          <w:sz w:val="22"/>
          <w:szCs w:val="22"/>
        </w:rPr>
        <w:t xml:space="preserve"> </w:t>
      </w:r>
      <w:r w:rsidR="00620E74">
        <w:rPr>
          <w:rFonts w:asciiTheme="minorHAnsi" w:hAnsiTheme="minorHAnsi" w:cstheme="minorHAnsi"/>
          <w:sz w:val="22"/>
          <w:szCs w:val="22"/>
        </w:rPr>
        <w:t>It is</w:t>
      </w:r>
      <w:r w:rsidR="00AD1287">
        <w:rPr>
          <w:rFonts w:asciiTheme="minorHAnsi" w:hAnsiTheme="minorHAnsi" w:cstheme="minorHAnsi"/>
          <w:sz w:val="22"/>
          <w:szCs w:val="22"/>
        </w:rPr>
        <w:t xml:space="preserve"> nearly seven times greater than the Budget 2023 summer load growth of 1,075 MW fo</w:t>
      </w:r>
      <w:r w:rsidR="00825486">
        <w:rPr>
          <w:rFonts w:asciiTheme="minorHAnsi" w:hAnsiTheme="minorHAnsi" w:cstheme="minorHAnsi"/>
          <w:sz w:val="22"/>
          <w:szCs w:val="22"/>
        </w:rPr>
        <w:t>r 2024-2031.</w:t>
      </w:r>
    </w:p>
    <w:p w14:paraId="07969441" w14:textId="77777777" w:rsidR="005E3464" w:rsidRDefault="005E3464" w:rsidP="005E3464">
      <w:pPr>
        <w:spacing w:line="276" w:lineRule="auto"/>
        <w:jc w:val="both"/>
        <w:rPr>
          <w:rFonts w:asciiTheme="minorHAnsi" w:hAnsiTheme="minorHAnsi" w:cstheme="minorHAnsi"/>
          <w:b/>
          <w:sz w:val="22"/>
          <w:szCs w:val="22"/>
        </w:rPr>
      </w:pPr>
    </w:p>
    <w:p w14:paraId="56E241B3" w14:textId="77777777" w:rsidR="005E3464" w:rsidRDefault="005E3464" w:rsidP="005E3464">
      <w:pPr>
        <w:spacing w:line="276" w:lineRule="auto"/>
        <w:jc w:val="both"/>
        <w:rPr>
          <w:rFonts w:asciiTheme="minorHAnsi" w:hAnsiTheme="minorHAnsi" w:cstheme="minorHAnsi"/>
          <w:b/>
          <w:sz w:val="22"/>
          <w:szCs w:val="22"/>
        </w:rPr>
      </w:pPr>
    </w:p>
    <w:p w14:paraId="167DF1DF" w14:textId="77777777" w:rsidR="000C5F7B" w:rsidRDefault="00D713C3" w:rsidP="000C5F7B">
      <w:pPr>
        <w:spacing w:line="276" w:lineRule="auto"/>
        <w:rPr>
          <w:rFonts w:asciiTheme="minorHAnsi" w:hAnsiTheme="minorHAnsi" w:cstheme="minorHAnsi"/>
          <w:b/>
          <w:sz w:val="22"/>
          <w:szCs w:val="22"/>
        </w:rPr>
      </w:pPr>
      <w:r w:rsidRPr="00CE6BE1">
        <w:rPr>
          <w:rFonts w:asciiTheme="minorHAnsi" w:hAnsiTheme="minorHAnsi" w:cstheme="minorHAnsi"/>
          <w:b/>
          <w:sz w:val="22"/>
          <w:szCs w:val="22"/>
        </w:rPr>
        <w:t>Figure 1.1-2: Winter Peak Demand Forecast</w:t>
      </w:r>
    </w:p>
    <w:p w14:paraId="475FDDDB" w14:textId="77777777" w:rsidR="000C5F7B" w:rsidRDefault="000C5F7B" w:rsidP="000C5F7B">
      <w:pPr>
        <w:spacing w:line="276" w:lineRule="auto"/>
        <w:rPr>
          <w:rFonts w:asciiTheme="minorHAnsi" w:hAnsiTheme="minorHAnsi" w:cstheme="minorHAnsi"/>
          <w:b/>
          <w:sz w:val="22"/>
          <w:szCs w:val="22"/>
        </w:rPr>
      </w:pPr>
    </w:p>
    <w:p w14:paraId="4292A2BE" w14:textId="3D022623" w:rsidR="003B3441" w:rsidRPr="000C5F7B" w:rsidRDefault="00554A88" w:rsidP="000C5F7B">
      <w:pPr>
        <w:spacing w:line="276" w:lineRule="auto"/>
        <w:rPr>
          <w:rFonts w:asciiTheme="minorHAnsi" w:hAnsiTheme="minorHAnsi" w:cstheme="minorHAnsi"/>
          <w:b/>
          <w:sz w:val="22"/>
          <w:szCs w:val="22"/>
        </w:rPr>
      </w:pPr>
      <w:r>
        <w:rPr>
          <w:rFonts w:asciiTheme="minorHAnsi" w:hAnsiTheme="minorHAnsi" w:cstheme="minorHAnsi"/>
          <w:b/>
          <w:bCs/>
          <w:noProof/>
          <w:sz w:val="22"/>
          <w:szCs w:val="22"/>
        </w:rPr>
        <w:drawing>
          <wp:inline distT="0" distB="0" distL="0" distR="0" wp14:anchorId="74B5D1B7" wp14:editId="64A81392">
            <wp:extent cx="8992741" cy="4277802"/>
            <wp:effectExtent l="0" t="0" r="0" b="8890"/>
            <wp:docPr id="1516447666" name="Picture 1516447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04665" cy="4331044"/>
                    </a:xfrm>
                    <a:prstGeom prst="rect">
                      <a:avLst/>
                    </a:prstGeom>
                    <a:noFill/>
                  </pic:spPr>
                </pic:pic>
              </a:graphicData>
            </a:graphic>
          </wp:inline>
        </w:drawing>
      </w:r>
    </w:p>
    <w:p w14:paraId="578ABF95" w14:textId="77777777" w:rsidR="00E63AA0" w:rsidRPr="00E832A5" w:rsidRDefault="00E63AA0" w:rsidP="00CE6BE1">
      <w:pPr>
        <w:spacing w:line="276" w:lineRule="auto"/>
        <w:rPr>
          <w:rFonts w:asciiTheme="minorHAnsi" w:hAnsiTheme="minorHAnsi" w:cstheme="minorHAnsi"/>
          <w:sz w:val="22"/>
          <w:szCs w:val="22"/>
        </w:rPr>
      </w:pPr>
    </w:p>
    <w:p w14:paraId="3E3D6D29" w14:textId="4D7A0EC5" w:rsidR="001238D5" w:rsidRPr="004E0004" w:rsidRDefault="00FE6785" w:rsidP="004E0004">
      <w:pPr>
        <w:spacing w:line="276" w:lineRule="auto"/>
        <w:jc w:val="both"/>
        <w:rPr>
          <w:rFonts w:asciiTheme="minorHAnsi" w:hAnsiTheme="minorHAnsi" w:cstheme="minorHAnsi"/>
          <w:sz w:val="22"/>
          <w:szCs w:val="22"/>
        </w:rPr>
        <w:sectPr w:rsidR="001238D5" w:rsidRPr="004E0004" w:rsidSect="001238D5">
          <w:pgSz w:w="15840" w:h="12240" w:orient="landscape"/>
          <w:pgMar w:top="1440" w:right="1440" w:bottom="1440" w:left="1440" w:header="720" w:footer="720" w:gutter="0"/>
          <w:cols w:space="720"/>
          <w:docGrid w:linePitch="360"/>
        </w:sectPr>
      </w:pPr>
      <w:r>
        <w:rPr>
          <w:rFonts w:asciiTheme="minorHAnsi" w:hAnsiTheme="minorHAnsi" w:cstheme="minorHAnsi"/>
          <w:sz w:val="22"/>
          <w:szCs w:val="22"/>
        </w:rPr>
        <w:t xml:space="preserve">The years in Figure 1.1-2 represent </w:t>
      </w:r>
      <w:r w:rsidR="00200DE1">
        <w:rPr>
          <w:rFonts w:asciiTheme="minorHAnsi" w:hAnsiTheme="minorHAnsi" w:cstheme="minorHAnsi"/>
          <w:sz w:val="22"/>
          <w:szCs w:val="22"/>
        </w:rPr>
        <w:t xml:space="preserve">December of the year </w:t>
      </w:r>
      <w:r w:rsidR="00415723">
        <w:rPr>
          <w:rFonts w:asciiTheme="minorHAnsi" w:hAnsiTheme="minorHAnsi" w:cstheme="minorHAnsi"/>
          <w:sz w:val="22"/>
          <w:szCs w:val="22"/>
        </w:rPr>
        <w:t xml:space="preserve">and January through February </w:t>
      </w:r>
      <w:r w:rsidR="00BA23CE">
        <w:rPr>
          <w:rFonts w:asciiTheme="minorHAnsi" w:hAnsiTheme="minorHAnsi" w:cstheme="minorHAnsi"/>
          <w:sz w:val="22"/>
          <w:szCs w:val="22"/>
        </w:rPr>
        <w:t xml:space="preserve">of the year shown. </w:t>
      </w:r>
      <w:r>
        <w:rPr>
          <w:rFonts w:asciiTheme="minorHAnsi" w:hAnsiTheme="minorHAnsi" w:cstheme="minorHAnsi"/>
          <w:sz w:val="22"/>
          <w:szCs w:val="22"/>
        </w:rPr>
        <w:t>For the period from 2024 through 2031, t</w:t>
      </w:r>
      <w:r w:rsidRPr="00CE6BE1">
        <w:rPr>
          <w:rFonts w:asciiTheme="minorHAnsi" w:hAnsiTheme="minorHAnsi" w:cstheme="minorHAnsi"/>
          <w:sz w:val="22"/>
          <w:szCs w:val="22"/>
        </w:rPr>
        <w:t xml:space="preserve">he 2023 IRP Update </w:t>
      </w:r>
      <w:r>
        <w:rPr>
          <w:rFonts w:asciiTheme="minorHAnsi" w:hAnsiTheme="minorHAnsi" w:cstheme="minorHAnsi"/>
          <w:sz w:val="22"/>
          <w:szCs w:val="22"/>
        </w:rPr>
        <w:t>Load Forecast</w:t>
      </w:r>
      <w:r w:rsidRPr="00CE6BE1">
        <w:rPr>
          <w:rFonts w:asciiTheme="minorHAnsi" w:hAnsiTheme="minorHAnsi" w:cstheme="minorHAnsi"/>
          <w:sz w:val="22"/>
          <w:szCs w:val="22"/>
        </w:rPr>
        <w:t xml:space="preserve"> </w:t>
      </w:r>
      <w:r>
        <w:rPr>
          <w:rFonts w:asciiTheme="minorHAnsi" w:hAnsiTheme="minorHAnsi" w:cstheme="minorHAnsi"/>
          <w:sz w:val="22"/>
          <w:szCs w:val="22"/>
        </w:rPr>
        <w:t xml:space="preserve">reflects </w:t>
      </w:r>
      <w:r w:rsidR="005C1BAC">
        <w:rPr>
          <w:rFonts w:asciiTheme="minorHAnsi" w:hAnsiTheme="minorHAnsi" w:cstheme="minorHAnsi"/>
          <w:sz w:val="22"/>
          <w:szCs w:val="22"/>
        </w:rPr>
        <w:t>winter</w:t>
      </w:r>
      <w:r>
        <w:rPr>
          <w:rFonts w:asciiTheme="minorHAnsi" w:hAnsiTheme="minorHAnsi" w:cstheme="minorHAnsi"/>
          <w:sz w:val="22"/>
          <w:szCs w:val="22"/>
        </w:rPr>
        <w:t xml:space="preserve"> load growth of </w:t>
      </w:r>
      <w:r w:rsidR="009D1CBB">
        <w:rPr>
          <w:rFonts w:asciiTheme="minorHAnsi" w:hAnsiTheme="minorHAnsi" w:cstheme="minorHAnsi"/>
          <w:sz w:val="22"/>
          <w:szCs w:val="22"/>
        </w:rPr>
        <w:t>approximately 6,600 MW</w:t>
      </w:r>
      <w:r w:rsidRPr="00CE6BE1">
        <w:rPr>
          <w:rFonts w:asciiTheme="minorHAnsi" w:hAnsiTheme="minorHAnsi" w:cstheme="minorHAnsi"/>
          <w:sz w:val="22"/>
          <w:szCs w:val="22"/>
        </w:rPr>
        <w:t xml:space="preserve">. </w:t>
      </w:r>
      <w:r>
        <w:rPr>
          <w:rFonts w:asciiTheme="minorHAnsi" w:hAnsiTheme="minorHAnsi" w:cstheme="minorHAnsi"/>
          <w:sz w:val="22"/>
          <w:szCs w:val="22"/>
        </w:rPr>
        <w:t xml:space="preserve">This is approximately </w:t>
      </w:r>
      <w:r w:rsidR="009D1CBB">
        <w:rPr>
          <w:rFonts w:asciiTheme="minorHAnsi" w:hAnsiTheme="minorHAnsi" w:cstheme="minorHAnsi"/>
          <w:sz w:val="22"/>
          <w:szCs w:val="22"/>
        </w:rPr>
        <w:t>17</w:t>
      </w:r>
      <w:r>
        <w:rPr>
          <w:rFonts w:asciiTheme="minorHAnsi" w:hAnsiTheme="minorHAnsi" w:cstheme="minorHAnsi"/>
          <w:sz w:val="22"/>
          <w:szCs w:val="22"/>
        </w:rPr>
        <w:t xml:space="preserve"> times greater than the Budget 2022 </w:t>
      </w:r>
      <w:r w:rsidR="00A0422E">
        <w:rPr>
          <w:rFonts w:asciiTheme="minorHAnsi" w:hAnsiTheme="minorHAnsi" w:cstheme="minorHAnsi"/>
          <w:sz w:val="22"/>
          <w:szCs w:val="22"/>
        </w:rPr>
        <w:t>winter</w:t>
      </w:r>
      <w:r>
        <w:rPr>
          <w:rFonts w:asciiTheme="minorHAnsi" w:hAnsiTheme="minorHAnsi" w:cstheme="minorHAnsi"/>
          <w:sz w:val="22"/>
          <w:szCs w:val="22"/>
        </w:rPr>
        <w:t xml:space="preserve"> load growth of approximately </w:t>
      </w:r>
      <w:r w:rsidR="00A0422E">
        <w:rPr>
          <w:rFonts w:asciiTheme="minorHAnsi" w:hAnsiTheme="minorHAnsi" w:cstheme="minorHAnsi"/>
          <w:sz w:val="22"/>
          <w:szCs w:val="22"/>
        </w:rPr>
        <w:t>400</w:t>
      </w:r>
      <w:r>
        <w:rPr>
          <w:rFonts w:asciiTheme="minorHAnsi" w:hAnsiTheme="minorHAnsi" w:cstheme="minorHAnsi"/>
          <w:sz w:val="22"/>
          <w:szCs w:val="22"/>
        </w:rPr>
        <w:t xml:space="preserve"> MW for the same period. It is </w:t>
      </w:r>
      <w:r w:rsidR="00CC7007">
        <w:rPr>
          <w:rFonts w:asciiTheme="minorHAnsi" w:hAnsiTheme="minorHAnsi" w:cstheme="minorHAnsi"/>
          <w:sz w:val="22"/>
          <w:szCs w:val="22"/>
        </w:rPr>
        <w:t>more than five</w:t>
      </w:r>
      <w:r>
        <w:rPr>
          <w:rFonts w:asciiTheme="minorHAnsi" w:hAnsiTheme="minorHAnsi" w:cstheme="minorHAnsi"/>
          <w:sz w:val="22"/>
          <w:szCs w:val="22"/>
        </w:rPr>
        <w:t xml:space="preserve"> times greater than the Budget 2023 </w:t>
      </w:r>
      <w:r w:rsidR="00CC7007">
        <w:rPr>
          <w:rFonts w:asciiTheme="minorHAnsi" w:hAnsiTheme="minorHAnsi" w:cstheme="minorHAnsi"/>
          <w:sz w:val="22"/>
          <w:szCs w:val="22"/>
        </w:rPr>
        <w:t>winter</w:t>
      </w:r>
      <w:r>
        <w:rPr>
          <w:rFonts w:asciiTheme="minorHAnsi" w:hAnsiTheme="minorHAnsi" w:cstheme="minorHAnsi"/>
          <w:sz w:val="22"/>
          <w:szCs w:val="22"/>
        </w:rPr>
        <w:t xml:space="preserve"> load growth of </w:t>
      </w:r>
      <w:r w:rsidR="007A26D6">
        <w:rPr>
          <w:rFonts w:asciiTheme="minorHAnsi" w:hAnsiTheme="minorHAnsi" w:cstheme="minorHAnsi"/>
          <w:sz w:val="22"/>
          <w:szCs w:val="22"/>
        </w:rPr>
        <w:t xml:space="preserve">approximately </w:t>
      </w:r>
      <w:r>
        <w:rPr>
          <w:rFonts w:asciiTheme="minorHAnsi" w:hAnsiTheme="minorHAnsi" w:cstheme="minorHAnsi"/>
          <w:sz w:val="22"/>
          <w:szCs w:val="22"/>
        </w:rPr>
        <w:t>1,</w:t>
      </w:r>
      <w:r w:rsidR="007A26D6">
        <w:rPr>
          <w:rFonts w:asciiTheme="minorHAnsi" w:hAnsiTheme="minorHAnsi" w:cstheme="minorHAnsi"/>
          <w:sz w:val="22"/>
          <w:szCs w:val="22"/>
        </w:rPr>
        <w:t>250</w:t>
      </w:r>
      <w:r>
        <w:rPr>
          <w:rFonts w:asciiTheme="minorHAnsi" w:hAnsiTheme="minorHAnsi" w:cstheme="minorHAnsi"/>
          <w:sz w:val="22"/>
          <w:szCs w:val="22"/>
        </w:rPr>
        <w:t xml:space="preserve"> MW for 2024-2031.</w:t>
      </w:r>
    </w:p>
    <w:p w14:paraId="0717103A" w14:textId="1BA39125" w:rsidR="00DF7ACF" w:rsidRPr="00B20D17" w:rsidRDefault="00DF7ACF" w:rsidP="00715E64">
      <w:pPr>
        <w:pStyle w:val="Heading1"/>
        <w:spacing w:after="240" w:line="276" w:lineRule="auto"/>
        <w:rPr>
          <w:rFonts w:asciiTheme="minorHAnsi" w:hAnsiTheme="minorHAnsi" w:cstheme="minorHAnsi"/>
        </w:rPr>
      </w:pPr>
      <w:r w:rsidRPr="00B20D17">
        <w:rPr>
          <w:rFonts w:asciiTheme="minorHAnsi" w:hAnsiTheme="minorHAnsi" w:cstheme="minorHAnsi"/>
        </w:rPr>
        <w:lastRenderedPageBreak/>
        <w:t>1.2</w:t>
      </w:r>
      <w:r w:rsidRPr="00B20D17">
        <w:rPr>
          <w:rFonts w:asciiTheme="minorHAnsi" w:hAnsiTheme="minorHAnsi" w:cstheme="minorHAnsi"/>
        </w:rPr>
        <w:tab/>
      </w:r>
      <w:r w:rsidR="009874D5" w:rsidRPr="00E832A5">
        <w:rPr>
          <w:rFonts w:asciiTheme="minorHAnsi" w:hAnsiTheme="minorHAnsi" w:cstheme="minorHAnsi"/>
        </w:rPr>
        <w:t>ENERGY SALES</w:t>
      </w:r>
    </w:p>
    <w:p w14:paraId="42C472C0" w14:textId="0038441F" w:rsidR="00A15127" w:rsidRPr="00E832A5" w:rsidRDefault="00E31165" w:rsidP="00715E64">
      <w:pPr>
        <w:pStyle w:val="Heading2"/>
        <w:spacing w:after="240" w:line="276" w:lineRule="auto"/>
        <w:rPr>
          <w:rFonts w:asciiTheme="minorHAnsi" w:hAnsiTheme="minorHAnsi" w:cstheme="minorHAnsi"/>
        </w:rPr>
      </w:pPr>
      <w:r w:rsidRPr="00E832A5">
        <w:rPr>
          <w:rFonts w:asciiTheme="minorHAnsi" w:hAnsiTheme="minorHAnsi" w:cstheme="minorHAnsi"/>
        </w:rPr>
        <w:t>1.2.1 Territorial</w:t>
      </w:r>
    </w:p>
    <w:p w14:paraId="2E5030DB" w14:textId="3EA953B2" w:rsidR="00486865" w:rsidRPr="00E832A5" w:rsidRDefault="00486865" w:rsidP="00CE6BE1">
      <w:pPr>
        <w:pStyle w:val="BodyTextIndent"/>
        <w:spacing w:line="276" w:lineRule="auto"/>
        <w:ind w:left="0"/>
        <w:jc w:val="both"/>
        <w:rPr>
          <w:rFonts w:asciiTheme="minorHAnsi" w:hAnsiTheme="minorHAnsi" w:cstheme="minorHAnsi"/>
          <w:sz w:val="22"/>
          <w:szCs w:val="22"/>
        </w:rPr>
      </w:pPr>
      <w:r w:rsidRPr="00E832A5">
        <w:rPr>
          <w:rFonts w:asciiTheme="minorHAnsi" w:hAnsiTheme="minorHAnsi" w:cstheme="minorHAnsi"/>
          <w:sz w:val="22"/>
          <w:szCs w:val="22"/>
        </w:rPr>
        <w:t>Figure 1.2.1-1 shows the expected growth in territorial energy sales over the forecast horizon. In absolute terms, the amount of GWh growth is indicated by the average annual growth rate (“AAGR”). During the historical period from 201</w:t>
      </w:r>
      <w:r w:rsidR="00C626E4" w:rsidRPr="00E832A5">
        <w:rPr>
          <w:rFonts w:asciiTheme="minorHAnsi" w:hAnsiTheme="minorHAnsi" w:cstheme="minorHAnsi"/>
          <w:sz w:val="22"/>
          <w:szCs w:val="22"/>
        </w:rPr>
        <w:t>2</w:t>
      </w:r>
      <w:r w:rsidRPr="00E832A5">
        <w:rPr>
          <w:rFonts w:asciiTheme="minorHAnsi" w:hAnsiTheme="minorHAnsi" w:cstheme="minorHAnsi"/>
          <w:sz w:val="22"/>
          <w:szCs w:val="22"/>
        </w:rPr>
        <w:t xml:space="preserve"> to 202</w:t>
      </w:r>
      <w:r w:rsidR="00456216" w:rsidRPr="00E832A5">
        <w:rPr>
          <w:rFonts w:asciiTheme="minorHAnsi" w:hAnsiTheme="minorHAnsi" w:cstheme="minorHAnsi"/>
          <w:sz w:val="22"/>
          <w:szCs w:val="22"/>
        </w:rPr>
        <w:t>2</w:t>
      </w:r>
      <w:r w:rsidRPr="00E832A5">
        <w:rPr>
          <w:rFonts w:asciiTheme="minorHAnsi" w:hAnsiTheme="minorHAnsi" w:cstheme="minorHAnsi"/>
          <w:sz w:val="22"/>
          <w:szCs w:val="22"/>
        </w:rPr>
        <w:t>, which includes the Covid-19 pandemic, average growth in</w:t>
      </w:r>
      <w:r w:rsidR="00661B64" w:rsidRPr="00E832A5">
        <w:rPr>
          <w:rFonts w:asciiTheme="minorHAnsi" w:hAnsiTheme="minorHAnsi" w:cstheme="minorHAnsi"/>
          <w:sz w:val="22"/>
          <w:szCs w:val="22"/>
        </w:rPr>
        <w:t>creas</w:t>
      </w:r>
      <w:r w:rsidRPr="00E832A5">
        <w:rPr>
          <w:rFonts w:asciiTheme="minorHAnsi" w:hAnsiTheme="minorHAnsi" w:cstheme="minorHAnsi"/>
          <w:sz w:val="22"/>
          <w:szCs w:val="22"/>
        </w:rPr>
        <w:t xml:space="preserve">ed by </w:t>
      </w:r>
      <w:r w:rsidR="00A57A80" w:rsidRPr="00E832A5">
        <w:rPr>
          <w:rFonts w:asciiTheme="minorHAnsi" w:hAnsiTheme="minorHAnsi" w:cstheme="minorHAnsi"/>
          <w:sz w:val="22"/>
          <w:szCs w:val="22"/>
        </w:rPr>
        <w:t>335</w:t>
      </w:r>
      <w:r w:rsidRPr="00E832A5">
        <w:rPr>
          <w:rFonts w:asciiTheme="minorHAnsi" w:hAnsiTheme="minorHAnsi" w:cstheme="minorHAnsi"/>
          <w:sz w:val="22"/>
          <w:szCs w:val="22"/>
        </w:rPr>
        <w:t xml:space="preserve"> GWh per year. </w:t>
      </w:r>
      <w:r w:rsidR="00BD117A">
        <w:rPr>
          <w:rFonts w:asciiTheme="minorHAnsi" w:hAnsiTheme="minorHAnsi" w:cstheme="minorHAnsi"/>
          <w:sz w:val="22"/>
          <w:szCs w:val="22"/>
        </w:rPr>
        <w:t xml:space="preserve">The </w:t>
      </w:r>
      <w:r w:rsidR="0036116E">
        <w:rPr>
          <w:rFonts w:asciiTheme="minorHAnsi" w:hAnsiTheme="minorHAnsi" w:cstheme="minorHAnsi"/>
          <w:sz w:val="22"/>
          <w:szCs w:val="22"/>
        </w:rPr>
        <w:t>20</w:t>
      </w:r>
      <w:r w:rsidR="00390DD7">
        <w:rPr>
          <w:rFonts w:asciiTheme="minorHAnsi" w:hAnsiTheme="minorHAnsi" w:cstheme="minorHAnsi"/>
          <w:sz w:val="22"/>
          <w:szCs w:val="22"/>
        </w:rPr>
        <w:t>2</w:t>
      </w:r>
      <w:r w:rsidR="0036116E">
        <w:rPr>
          <w:rFonts w:asciiTheme="minorHAnsi" w:hAnsiTheme="minorHAnsi" w:cstheme="minorHAnsi"/>
          <w:sz w:val="22"/>
          <w:szCs w:val="22"/>
        </w:rPr>
        <w:t>3 IRP Update Load Forecast</w:t>
      </w:r>
      <w:r w:rsidRPr="00E832A5">
        <w:rPr>
          <w:rFonts w:asciiTheme="minorHAnsi" w:hAnsiTheme="minorHAnsi" w:cstheme="minorHAnsi"/>
          <w:sz w:val="22"/>
          <w:szCs w:val="22"/>
        </w:rPr>
        <w:t xml:space="preserve"> anticipates an average growth of </w:t>
      </w:r>
      <w:r w:rsidR="002A2C4C">
        <w:rPr>
          <w:rFonts w:asciiTheme="minorHAnsi" w:hAnsiTheme="minorHAnsi" w:cstheme="minorHAnsi"/>
          <w:sz w:val="22"/>
          <w:szCs w:val="22"/>
        </w:rPr>
        <w:t>6,122</w:t>
      </w:r>
      <w:r w:rsidRPr="00E832A5">
        <w:rPr>
          <w:rFonts w:asciiTheme="minorHAnsi" w:hAnsiTheme="minorHAnsi" w:cstheme="minorHAnsi"/>
          <w:sz w:val="22"/>
          <w:szCs w:val="22"/>
        </w:rPr>
        <w:t xml:space="preserve"> GWh each year from 202</w:t>
      </w:r>
      <w:r w:rsidR="00FF0CB9" w:rsidRPr="00E832A5">
        <w:rPr>
          <w:rFonts w:asciiTheme="minorHAnsi" w:hAnsiTheme="minorHAnsi" w:cstheme="minorHAnsi"/>
          <w:sz w:val="22"/>
          <w:szCs w:val="22"/>
        </w:rPr>
        <w:t>3</w:t>
      </w:r>
      <w:r w:rsidRPr="00E832A5">
        <w:rPr>
          <w:rFonts w:asciiTheme="minorHAnsi" w:hAnsiTheme="minorHAnsi" w:cstheme="minorHAnsi"/>
          <w:sz w:val="22"/>
          <w:szCs w:val="22"/>
        </w:rPr>
        <w:t>-203</w:t>
      </w:r>
      <w:r w:rsidR="00FF0CB9" w:rsidRPr="00E832A5">
        <w:rPr>
          <w:rFonts w:asciiTheme="minorHAnsi" w:hAnsiTheme="minorHAnsi" w:cstheme="minorHAnsi"/>
          <w:sz w:val="22"/>
          <w:szCs w:val="22"/>
        </w:rPr>
        <w:t>3</w:t>
      </w:r>
      <w:r w:rsidRPr="00E832A5">
        <w:rPr>
          <w:rFonts w:asciiTheme="minorHAnsi" w:hAnsiTheme="minorHAnsi" w:cstheme="minorHAnsi"/>
          <w:sz w:val="22"/>
          <w:szCs w:val="22"/>
        </w:rPr>
        <w:t xml:space="preserve">, </w:t>
      </w:r>
      <w:r w:rsidR="00B60A01" w:rsidRPr="00E832A5">
        <w:rPr>
          <w:rFonts w:asciiTheme="minorHAnsi" w:hAnsiTheme="minorHAnsi" w:cstheme="minorHAnsi"/>
          <w:sz w:val="22"/>
          <w:szCs w:val="22"/>
        </w:rPr>
        <w:t>compared to</w:t>
      </w:r>
      <w:r w:rsidRPr="00E832A5">
        <w:rPr>
          <w:rFonts w:asciiTheme="minorHAnsi" w:hAnsiTheme="minorHAnsi" w:cstheme="minorHAnsi"/>
          <w:sz w:val="22"/>
          <w:szCs w:val="22"/>
        </w:rPr>
        <w:t xml:space="preserve"> Budget 202</w:t>
      </w:r>
      <w:r w:rsidR="00741757" w:rsidRPr="00E832A5">
        <w:rPr>
          <w:rFonts w:asciiTheme="minorHAnsi" w:hAnsiTheme="minorHAnsi" w:cstheme="minorHAnsi"/>
          <w:sz w:val="22"/>
          <w:szCs w:val="22"/>
        </w:rPr>
        <w:t>2</w:t>
      </w:r>
      <w:r w:rsidRPr="00E832A5">
        <w:rPr>
          <w:rFonts w:asciiTheme="minorHAnsi" w:hAnsiTheme="minorHAnsi" w:cstheme="minorHAnsi"/>
          <w:sz w:val="22"/>
          <w:szCs w:val="22"/>
        </w:rPr>
        <w:t xml:space="preserve"> </w:t>
      </w:r>
      <w:r w:rsidR="003D7E37">
        <w:rPr>
          <w:rFonts w:asciiTheme="minorHAnsi" w:hAnsiTheme="minorHAnsi" w:cstheme="minorHAnsi"/>
          <w:sz w:val="22"/>
          <w:szCs w:val="22"/>
        </w:rPr>
        <w:t xml:space="preserve">and Budget 2023 </w:t>
      </w:r>
      <w:r w:rsidRPr="00E832A5">
        <w:rPr>
          <w:rFonts w:asciiTheme="minorHAnsi" w:hAnsiTheme="minorHAnsi" w:cstheme="minorHAnsi"/>
          <w:sz w:val="22"/>
          <w:szCs w:val="22"/>
        </w:rPr>
        <w:t xml:space="preserve">predicted growth of </w:t>
      </w:r>
      <w:r w:rsidR="00094605" w:rsidRPr="00E832A5">
        <w:rPr>
          <w:rFonts w:asciiTheme="minorHAnsi" w:hAnsiTheme="minorHAnsi" w:cstheme="minorHAnsi"/>
          <w:sz w:val="22"/>
          <w:szCs w:val="22"/>
        </w:rPr>
        <w:t>444</w:t>
      </w:r>
      <w:r w:rsidRPr="00E832A5">
        <w:rPr>
          <w:rFonts w:asciiTheme="minorHAnsi" w:hAnsiTheme="minorHAnsi" w:cstheme="minorHAnsi"/>
          <w:sz w:val="22"/>
          <w:szCs w:val="22"/>
        </w:rPr>
        <w:t xml:space="preserve"> GWh</w:t>
      </w:r>
      <w:r w:rsidR="003D7E37">
        <w:rPr>
          <w:rFonts w:asciiTheme="minorHAnsi" w:hAnsiTheme="minorHAnsi" w:cstheme="minorHAnsi"/>
          <w:sz w:val="22"/>
          <w:szCs w:val="22"/>
        </w:rPr>
        <w:t xml:space="preserve"> and 1,280 GWh</w:t>
      </w:r>
      <w:r w:rsidR="002B725A">
        <w:rPr>
          <w:rFonts w:asciiTheme="minorHAnsi" w:hAnsiTheme="minorHAnsi" w:cstheme="minorHAnsi"/>
          <w:sz w:val="22"/>
          <w:szCs w:val="22"/>
        </w:rPr>
        <w:t xml:space="preserve"> </w:t>
      </w:r>
      <w:r w:rsidR="002B725A" w:rsidRPr="00E832A5">
        <w:rPr>
          <w:rFonts w:asciiTheme="minorHAnsi" w:hAnsiTheme="minorHAnsi" w:cstheme="minorHAnsi"/>
          <w:sz w:val="22"/>
          <w:szCs w:val="22"/>
        </w:rPr>
        <w:t>per year</w:t>
      </w:r>
      <w:r w:rsidR="002B725A">
        <w:rPr>
          <w:rFonts w:asciiTheme="minorHAnsi" w:hAnsiTheme="minorHAnsi" w:cstheme="minorHAnsi"/>
          <w:sz w:val="22"/>
          <w:szCs w:val="22"/>
        </w:rPr>
        <w:t xml:space="preserve">, respectively, </w:t>
      </w:r>
      <w:r w:rsidRPr="00E832A5">
        <w:rPr>
          <w:rFonts w:asciiTheme="minorHAnsi" w:hAnsiTheme="minorHAnsi" w:cstheme="minorHAnsi"/>
          <w:sz w:val="22"/>
          <w:szCs w:val="22"/>
        </w:rPr>
        <w:t>over this same period.</w:t>
      </w:r>
    </w:p>
    <w:p w14:paraId="556F1C5F" w14:textId="77777777" w:rsidR="00486865" w:rsidRPr="00E832A5" w:rsidRDefault="00486865" w:rsidP="00CE6BE1">
      <w:pPr>
        <w:spacing w:line="276" w:lineRule="auto"/>
        <w:rPr>
          <w:rFonts w:asciiTheme="minorHAnsi" w:hAnsiTheme="minorHAnsi" w:cstheme="minorHAnsi"/>
          <w:sz w:val="22"/>
          <w:szCs w:val="22"/>
        </w:rPr>
      </w:pPr>
    </w:p>
    <w:p w14:paraId="22A0480C" w14:textId="77777777" w:rsidR="00486865" w:rsidRPr="00E832A5" w:rsidRDefault="00486865" w:rsidP="00CE6BE1">
      <w:pPr>
        <w:pStyle w:val="BodyTextIndent"/>
        <w:keepNext/>
        <w:spacing w:line="276" w:lineRule="auto"/>
        <w:ind w:left="0"/>
        <w:rPr>
          <w:rFonts w:asciiTheme="minorHAnsi" w:hAnsiTheme="minorHAnsi" w:cstheme="minorHAnsi"/>
          <w:b/>
          <w:sz w:val="22"/>
          <w:szCs w:val="22"/>
        </w:rPr>
      </w:pPr>
      <w:r w:rsidRPr="00E832A5">
        <w:rPr>
          <w:rFonts w:asciiTheme="minorHAnsi" w:hAnsiTheme="minorHAnsi" w:cstheme="minorHAnsi"/>
          <w:b/>
          <w:sz w:val="22"/>
          <w:szCs w:val="22"/>
        </w:rPr>
        <w:t>Figure 1.2.1-1: Territorial Energy Forecast</w:t>
      </w:r>
    </w:p>
    <w:p w14:paraId="2B383566" w14:textId="2A7B3E34" w:rsidR="00486865" w:rsidRPr="00E832A5" w:rsidRDefault="003913E8" w:rsidP="00CE6BE1">
      <w:pPr>
        <w:spacing w:line="276" w:lineRule="auto"/>
        <w:rPr>
          <w:rFonts w:asciiTheme="minorHAnsi" w:hAnsiTheme="minorHAnsi" w:cstheme="minorHAnsi"/>
          <w:sz w:val="22"/>
          <w:szCs w:val="22"/>
        </w:rPr>
      </w:pPr>
      <w:r w:rsidRPr="003913E8">
        <w:rPr>
          <w:rFonts w:asciiTheme="minorHAnsi" w:hAnsiTheme="minorHAnsi" w:cstheme="minorHAnsi"/>
          <w:noProof/>
          <w:sz w:val="22"/>
          <w:szCs w:val="22"/>
        </w:rPr>
        <w:drawing>
          <wp:inline distT="0" distB="0" distL="0" distR="0" wp14:anchorId="19E6E86E" wp14:editId="426C1822">
            <wp:extent cx="5943600" cy="3237865"/>
            <wp:effectExtent l="0" t="0" r="0" b="635"/>
            <wp:docPr id="467560395" name="Picture 467560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3237865"/>
                    </a:xfrm>
                    <a:prstGeom prst="rect">
                      <a:avLst/>
                    </a:prstGeom>
                    <a:noFill/>
                    <a:ln>
                      <a:noFill/>
                    </a:ln>
                  </pic:spPr>
                </pic:pic>
              </a:graphicData>
            </a:graphic>
          </wp:inline>
        </w:drawing>
      </w:r>
    </w:p>
    <w:p w14:paraId="3C1D7E17" w14:textId="77777777" w:rsidR="007B3C67" w:rsidRPr="00E832A5" w:rsidRDefault="007B3C67" w:rsidP="00CE6BE1">
      <w:pPr>
        <w:spacing w:line="276" w:lineRule="auto"/>
        <w:rPr>
          <w:rFonts w:asciiTheme="minorHAnsi" w:hAnsiTheme="minorHAnsi" w:cstheme="minorHAnsi"/>
          <w:sz w:val="22"/>
          <w:szCs w:val="22"/>
        </w:rPr>
      </w:pPr>
    </w:p>
    <w:p w14:paraId="2977148B" w14:textId="77777777" w:rsidR="007B3C67" w:rsidRPr="00E832A5" w:rsidRDefault="007B3C67" w:rsidP="00CE6BE1">
      <w:pPr>
        <w:spacing w:line="276" w:lineRule="auto"/>
        <w:rPr>
          <w:rFonts w:asciiTheme="minorHAnsi" w:hAnsiTheme="minorHAnsi" w:cstheme="minorHAnsi"/>
          <w:sz w:val="22"/>
          <w:szCs w:val="22"/>
        </w:rPr>
      </w:pPr>
    </w:p>
    <w:p w14:paraId="2E4503C8" w14:textId="32592A86" w:rsidR="0098218B" w:rsidRPr="00E832A5" w:rsidRDefault="0098218B" w:rsidP="00CE6BE1">
      <w:pPr>
        <w:pStyle w:val="BodyTextIndent"/>
        <w:keepNext/>
        <w:spacing w:line="276" w:lineRule="auto"/>
        <w:ind w:left="0"/>
        <w:jc w:val="both"/>
        <w:rPr>
          <w:rFonts w:asciiTheme="minorHAnsi" w:hAnsiTheme="minorHAnsi" w:cstheme="minorHAnsi"/>
          <w:sz w:val="22"/>
          <w:szCs w:val="22"/>
        </w:rPr>
      </w:pPr>
      <w:r w:rsidRPr="00E832A5">
        <w:rPr>
          <w:rFonts w:asciiTheme="minorHAnsi" w:hAnsiTheme="minorHAnsi" w:cstheme="minorHAnsi"/>
          <w:sz w:val="22"/>
          <w:szCs w:val="22"/>
        </w:rPr>
        <w:t>Territorial energy is a combination of the following classes: Residential, Commercial, Industrial, Governmental Lighting and MARTA. Understanding what is happening in the forecasts for each class thus provides insight into the total territorial forecast. The forecasts for each of these classes are discussed in the sections below.</w:t>
      </w:r>
    </w:p>
    <w:p w14:paraId="5DFF1AFD" w14:textId="77777777" w:rsidR="00E14B8F" w:rsidRDefault="00E14B8F">
      <w:pPr>
        <w:rPr>
          <w:rFonts w:asciiTheme="minorHAnsi" w:eastAsiaTheme="majorEastAsia" w:hAnsiTheme="minorHAnsi" w:cstheme="minorHAnsi"/>
          <w:color w:val="2F5496" w:themeColor="accent1" w:themeShade="BF"/>
          <w:sz w:val="26"/>
          <w:szCs w:val="26"/>
        </w:rPr>
      </w:pPr>
      <w:r>
        <w:rPr>
          <w:rFonts w:asciiTheme="minorHAnsi" w:hAnsiTheme="minorHAnsi" w:cstheme="minorHAnsi"/>
        </w:rPr>
        <w:br w:type="page"/>
      </w:r>
    </w:p>
    <w:p w14:paraId="44E424F4" w14:textId="4E9E07BE" w:rsidR="00557C35" w:rsidRPr="00E832A5" w:rsidRDefault="00557C35" w:rsidP="00CE6BE1">
      <w:pPr>
        <w:pStyle w:val="Heading2"/>
        <w:spacing w:line="276" w:lineRule="auto"/>
        <w:rPr>
          <w:rFonts w:asciiTheme="minorHAnsi" w:hAnsiTheme="minorHAnsi" w:cstheme="minorHAnsi"/>
        </w:rPr>
      </w:pPr>
      <w:r w:rsidRPr="00E832A5">
        <w:rPr>
          <w:rFonts w:asciiTheme="minorHAnsi" w:hAnsiTheme="minorHAnsi" w:cstheme="minorHAnsi"/>
        </w:rPr>
        <w:lastRenderedPageBreak/>
        <w:t>1.2.2 Residential</w:t>
      </w:r>
    </w:p>
    <w:p w14:paraId="79FF48BF" w14:textId="77777777" w:rsidR="00557C35" w:rsidRPr="00E832A5" w:rsidRDefault="00557C35" w:rsidP="00CE6BE1">
      <w:pPr>
        <w:spacing w:line="276" w:lineRule="auto"/>
        <w:rPr>
          <w:rFonts w:asciiTheme="minorHAnsi" w:hAnsiTheme="minorHAnsi" w:cstheme="minorHAnsi"/>
        </w:rPr>
      </w:pPr>
    </w:p>
    <w:p w14:paraId="698FF8E1" w14:textId="7779D27B" w:rsidR="00EC52D1" w:rsidRPr="00E832A5" w:rsidRDefault="00EC52D1" w:rsidP="00CE6BE1">
      <w:pPr>
        <w:pStyle w:val="BodyText"/>
        <w:spacing w:line="276" w:lineRule="auto"/>
        <w:jc w:val="both"/>
        <w:rPr>
          <w:rFonts w:asciiTheme="minorHAnsi" w:hAnsiTheme="minorHAnsi" w:cstheme="minorBidi"/>
          <w:b/>
          <w:sz w:val="22"/>
          <w:szCs w:val="22"/>
        </w:rPr>
      </w:pPr>
      <w:r w:rsidRPr="58161626">
        <w:rPr>
          <w:rFonts w:asciiTheme="minorHAnsi" w:hAnsiTheme="minorHAnsi" w:cstheme="minorBidi"/>
          <w:sz w:val="22"/>
          <w:szCs w:val="22"/>
        </w:rPr>
        <w:t xml:space="preserve">Figure 1.2.2-1 shows the comparison of Budget 2022 </w:t>
      </w:r>
      <w:r w:rsidR="003D1CE8">
        <w:rPr>
          <w:rFonts w:asciiTheme="minorHAnsi" w:hAnsiTheme="minorHAnsi" w:cstheme="minorBidi"/>
          <w:sz w:val="22"/>
          <w:szCs w:val="22"/>
        </w:rPr>
        <w:t xml:space="preserve">and Budget 2023 </w:t>
      </w:r>
      <w:r w:rsidRPr="58161626">
        <w:rPr>
          <w:rFonts w:asciiTheme="minorHAnsi" w:hAnsiTheme="minorHAnsi" w:cstheme="minorBidi"/>
          <w:sz w:val="22"/>
          <w:szCs w:val="22"/>
        </w:rPr>
        <w:t xml:space="preserve">with the </w:t>
      </w:r>
      <w:r w:rsidR="007D02F6">
        <w:rPr>
          <w:rFonts w:asciiTheme="minorHAnsi" w:hAnsiTheme="minorHAnsi" w:cstheme="minorBidi"/>
          <w:sz w:val="22"/>
          <w:szCs w:val="22"/>
        </w:rPr>
        <w:t>2023 IRP Update Load Forecast</w:t>
      </w:r>
      <w:r w:rsidRPr="58161626">
        <w:rPr>
          <w:rFonts w:asciiTheme="minorHAnsi" w:hAnsiTheme="minorHAnsi" w:cstheme="minorBidi"/>
          <w:sz w:val="22"/>
          <w:szCs w:val="22"/>
        </w:rPr>
        <w:t xml:space="preserve"> residential energy forecast. Over the 201</w:t>
      </w:r>
      <w:r w:rsidR="00B60A01" w:rsidRPr="58161626">
        <w:rPr>
          <w:rFonts w:asciiTheme="minorHAnsi" w:hAnsiTheme="minorHAnsi" w:cstheme="minorBidi"/>
          <w:sz w:val="22"/>
          <w:szCs w:val="22"/>
        </w:rPr>
        <w:t>2</w:t>
      </w:r>
      <w:r w:rsidRPr="58161626">
        <w:rPr>
          <w:rFonts w:asciiTheme="minorHAnsi" w:hAnsiTheme="minorHAnsi" w:cstheme="minorBidi"/>
          <w:sz w:val="22"/>
          <w:szCs w:val="22"/>
        </w:rPr>
        <w:t>-202</w:t>
      </w:r>
      <w:r w:rsidR="00B60A01" w:rsidRPr="58161626">
        <w:rPr>
          <w:rFonts w:asciiTheme="minorHAnsi" w:hAnsiTheme="minorHAnsi" w:cstheme="minorBidi"/>
          <w:sz w:val="22"/>
          <w:szCs w:val="22"/>
        </w:rPr>
        <w:t>2</w:t>
      </w:r>
      <w:r w:rsidRPr="58161626">
        <w:rPr>
          <w:rFonts w:asciiTheme="minorHAnsi" w:hAnsiTheme="minorHAnsi" w:cstheme="minorBidi"/>
          <w:sz w:val="22"/>
          <w:szCs w:val="22"/>
        </w:rPr>
        <w:t xml:space="preserve"> historical period, residential sales grew by an average rate of 2</w:t>
      </w:r>
      <w:r w:rsidR="00B60A01" w:rsidRPr="58161626">
        <w:rPr>
          <w:rFonts w:asciiTheme="minorHAnsi" w:hAnsiTheme="minorHAnsi" w:cstheme="minorBidi"/>
          <w:sz w:val="22"/>
          <w:szCs w:val="22"/>
        </w:rPr>
        <w:t>55</w:t>
      </w:r>
      <w:r w:rsidRPr="58161626">
        <w:rPr>
          <w:rFonts w:asciiTheme="minorHAnsi" w:hAnsiTheme="minorHAnsi" w:cstheme="minorBidi"/>
          <w:sz w:val="22"/>
          <w:szCs w:val="22"/>
        </w:rPr>
        <w:t xml:space="preserve"> GWh per year. The B</w:t>
      </w:r>
      <w:r w:rsidR="00A53F1B">
        <w:rPr>
          <w:rFonts w:asciiTheme="minorHAnsi" w:hAnsiTheme="minorHAnsi" w:cstheme="minorBidi"/>
          <w:sz w:val="22"/>
          <w:szCs w:val="22"/>
        </w:rPr>
        <w:t xml:space="preserve">udget </w:t>
      </w:r>
      <w:r w:rsidRPr="58161626">
        <w:rPr>
          <w:rFonts w:asciiTheme="minorHAnsi" w:hAnsiTheme="minorHAnsi" w:cstheme="minorBidi"/>
          <w:sz w:val="22"/>
          <w:szCs w:val="22"/>
        </w:rPr>
        <w:t>2</w:t>
      </w:r>
      <w:r w:rsidR="00A53F1B">
        <w:rPr>
          <w:rFonts w:asciiTheme="minorHAnsi" w:hAnsiTheme="minorHAnsi" w:cstheme="minorBidi"/>
          <w:sz w:val="22"/>
          <w:szCs w:val="22"/>
        </w:rPr>
        <w:t>0</w:t>
      </w:r>
      <w:r w:rsidR="00B60A01" w:rsidRPr="58161626">
        <w:rPr>
          <w:rFonts w:asciiTheme="minorHAnsi" w:hAnsiTheme="minorHAnsi" w:cstheme="minorBidi"/>
          <w:sz w:val="22"/>
          <w:szCs w:val="22"/>
        </w:rPr>
        <w:t>2</w:t>
      </w:r>
      <w:r w:rsidR="00A7538C">
        <w:rPr>
          <w:rFonts w:asciiTheme="minorHAnsi" w:hAnsiTheme="minorHAnsi" w:cstheme="minorBidi"/>
          <w:sz w:val="22"/>
          <w:szCs w:val="22"/>
        </w:rPr>
        <w:t>2</w:t>
      </w:r>
      <w:r w:rsidRPr="58161626">
        <w:rPr>
          <w:rFonts w:asciiTheme="minorHAnsi" w:hAnsiTheme="minorHAnsi" w:cstheme="minorBidi"/>
          <w:sz w:val="22"/>
          <w:szCs w:val="22"/>
        </w:rPr>
        <w:t xml:space="preserve"> forecast, which was completed during the </w:t>
      </w:r>
      <w:r w:rsidR="0072204C" w:rsidRPr="58161626">
        <w:rPr>
          <w:rFonts w:asciiTheme="minorHAnsi" w:hAnsiTheme="minorHAnsi" w:cstheme="minorBidi"/>
          <w:sz w:val="22"/>
          <w:szCs w:val="22"/>
        </w:rPr>
        <w:t xml:space="preserve">Covid </w:t>
      </w:r>
      <w:r w:rsidRPr="58161626">
        <w:rPr>
          <w:rFonts w:asciiTheme="minorHAnsi" w:hAnsiTheme="minorHAnsi" w:cstheme="minorBidi"/>
          <w:sz w:val="22"/>
          <w:szCs w:val="22"/>
        </w:rPr>
        <w:t xml:space="preserve">pandemic, had lower growth due to uncertainty about how quickly the economy and electricity sales would recover. </w:t>
      </w:r>
      <w:r w:rsidR="00265F7E">
        <w:rPr>
          <w:rFonts w:asciiTheme="minorHAnsi" w:hAnsiTheme="minorHAnsi" w:cstheme="minorBidi"/>
          <w:sz w:val="22"/>
          <w:szCs w:val="22"/>
        </w:rPr>
        <w:t>G</w:t>
      </w:r>
      <w:r w:rsidRPr="58161626">
        <w:rPr>
          <w:rFonts w:asciiTheme="minorHAnsi" w:hAnsiTheme="minorHAnsi" w:cstheme="minorBidi"/>
          <w:sz w:val="22"/>
          <w:szCs w:val="22"/>
        </w:rPr>
        <w:t xml:space="preserve">rowth </w:t>
      </w:r>
      <w:r w:rsidR="005B783E">
        <w:rPr>
          <w:rFonts w:asciiTheme="minorHAnsi" w:hAnsiTheme="minorHAnsi" w:cstheme="minorBidi"/>
          <w:sz w:val="22"/>
          <w:szCs w:val="22"/>
        </w:rPr>
        <w:t>in the 2023 IRP Update Load Forecast</w:t>
      </w:r>
      <w:r w:rsidR="005B783E" w:rsidRPr="58161626">
        <w:rPr>
          <w:rFonts w:asciiTheme="minorHAnsi" w:hAnsiTheme="minorHAnsi" w:cstheme="minorBidi"/>
          <w:sz w:val="22"/>
          <w:szCs w:val="22"/>
        </w:rPr>
        <w:t xml:space="preserve"> </w:t>
      </w:r>
      <w:r w:rsidRPr="58161626">
        <w:rPr>
          <w:rFonts w:asciiTheme="minorHAnsi" w:hAnsiTheme="minorHAnsi" w:cstheme="minorBidi"/>
          <w:sz w:val="22"/>
          <w:szCs w:val="22"/>
        </w:rPr>
        <w:t xml:space="preserve">is back in line with </w:t>
      </w:r>
      <w:r w:rsidR="001310C7" w:rsidRPr="58161626">
        <w:rPr>
          <w:rFonts w:asciiTheme="minorHAnsi" w:hAnsiTheme="minorHAnsi" w:cstheme="minorBidi"/>
          <w:sz w:val="22"/>
          <w:szCs w:val="22"/>
        </w:rPr>
        <w:t xml:space="preserve">the </w:t>
      </w:r>
      <w:r w:rsidRPr="58161626">
        <w:rPr>
          <w:rFonts w:asciiTheme="minorHAnsi" w:hAnsiTheme="minorHAnsi" w:cstheme="minorBidi"/>
          <w:sz w:val="22"/>
          <w:szCs w:val="22"/>
        </w:rPr>
        <w:t>histor</w:t>
      </w:r>
      <w:r w:rsidR="002E3CDA" w:rsidRPr="58161626">
        <w:rPr>
          <w:rFonts w:asciiTheme="minorHAnsi" w:hAnsiTheme="minorHAnsi" w:cstheme="minorBidi"/>
          <w:sz w:val="22"/>
          <w:szCs w:val="22"/>
        </w:rPr>
        <w:t xml:space="preserve">ical </w:t>
      </w:r>
      <w:r w:rsidR="001310C7" w:rsidRPr="58161626">
        <w:rPr>
          <w:rFonts w:asciiTheme="minorHAnsi" w:hAnsiTheme="minorHAnsi" w:cstheme="minorBidi"/>
          <w:sz w:val="22"/>
          <w:szCs w:val="22"/>
        </w:rPr>
        <w:t>rate</w:t>
      </w:r>
      <w:r w:rsidRPr="58161626">
        <w:rPr>
          <w:rFonts w:asciiTheme="minorHAnsi" w:hAnsiTheme="minorHAnsi" w:cstheme="minorBidi"/>
          <w:sz w:val="22"/>
          <w:szCs w:val="22"/>
        </w:rPr>
        <w:t xml:space="preserve"> and is above Budget 202</w:t>
      </w:r>
      <w:r w:rsidR="001310C7" w:rsidRPr="58161626">
        <w:rPr>
          <w:rFonts w:asciiTheme="minorHAnsi" w:hAnsiTheme="minorHAnsi" w:cstheme="minorBidi"/>
          <w:sz w:val="22"/>
          <w:szCs w:val="22"/>
        </w:rPr>
        <w:t>2</w:t>
      </w:r>
      <w:r w:rsidRPr="58161626">
        <w:rPr>
          <w:rFonts w:asciiTheme="minorHAnsi" w:hAnsiTheme="minorHAnsi" w:cstheme="minorBidi"/>
          <w:sz w:val="22"/>
          <w:szCs w:val="22"/>
        </w:rPr>
        <w:t xml:space="preserve"> </w:t>
      </w:r>
      <w:r w:rsidR="00635DA5">
        <w:rPr>
          <w:rFonts w:asciiTheme="minorHAnsi" w:hAnsiTheme="minorHAnsi" w:cstheme="minorBidi"/>
          <w:sz w:val="22"/>
          <w:szCs w:val="22"/>
        </w:rPr>
        <w:t>and Budget 2023</w:t>
      </w:r>
      <w:r w:rsidR="00FC71F2">
        <w:rPr>
          <w:rFonts w:asciiTheme="minorHAnsi" w:hAnsiTheme="minorHAnsi" w:cstheme="minorBidi"/>
          <w:sz w:val="22"/>
          <w:szCs w:val="22"/>
        </w:rPr>
        <w:t xml:space="preserve"> </w:t>
      </w:r>
      <w:r w:rsidRPr="58161626">
        <w:rPr>
          <w:rFonts w:asciiTheme="minorHAnsi" w:hAnsiTheme="minorHAnsi" w:cstheme="minorBidi"/>
          <w:sz w:val="22"/>
          <w:szCs w:val="22"/>
        </w:rPr>
        <w:t xml:space="preserve">over the forecast horizon, driven by robust growth in customers and </w:t>
      </w:r>
      <w:r w:rsidR="00C87EBB" w:rsidRPr="58161626">
        <w:rPr>
          <w:rFonts w:asciiTheme="minorHAnsi" w:hAnsiTheme="minorHAnsi" w:cstheme="minorBidi"/>
          <w:sz w:val="22"/>
          <w:szCs w:val="22"/>
        </w:rPr>
        <w:t xml:space="preserve">higher </w:t>
      </w:r>
      <w:r w:rsidRPr="58161626">
        <w:rPr>
          <w:rFonts w:asciiTheme="minorHAnsi" w:hAnsiTheme="minorHAnsi" w:cstheme="minorBidi"/>
          <w:sz w:val="22"/>
          <w:szCs w:val="22"/>
        </w:rPr>
        <w:t xml:space="preserve">expected growth in electric vehicles. </w:t>
      </w:r>
      <w:r w:rsidR="005263AC" w:rsidRPr="58161626">
        <w:rPr>
          <w:rFonts w:asciiTheme="minorHAnsi" w:hAnsiTheme="minorHAnsi" w:cstheme="minorBidi"/>
          <w:sz w:val="22"/>
          <w:szCs w:val="22"/>
        </w:rPr>
        <w:t xml:space="preserve">Since the </w:t>
      </w:r>
      <w:proofErr w:type="gramStart"/>
      <w:r w:rsidR="005263AC" w:rsidRPr="58161626">
        <w:rPr>
          <w:rFonts w:asciiTheme="minorHAnsi" w:hAnsiTheme="minorHAnsi" w:cstheme="minorBidi"/>
          <w:sz w:val="22"/>
          <w:szCs w:val="22"/>
        </w:rPr>
        <w:t>new</w:t>
      </w:r>
      <w:r w:rsidR="005263AC" w:rsidRPr="58161626" w:rsidDel="00194681">
        <w:rPr>
          <w:rFonts w:asciiTheme="minorHAnsi" w:hAnsiTheme="minorHAnsi" w:cstheme="minorBidi"/>
          <w:sz w:val="22"/>
          <w:szCs w:val="22"/>
        </w:rPr>
        <w:t xml:space="preserve"> </w:t>
      </w:r>
      <w:r w:rsidR="67A37DC8" w:rsidRPr="58161626">
        <w:rPr>
          <w:rFonts w:asciiTheme="minorHAnsi" w:hAnsiTheme="minorHAnsi" w:cstheme="minorBidi"/>
          <w:sz w:val="22"/>
          <w:szCs w:val="22"/>
        </w:rPr>
        <w:t>large</w:t>
      </w:r>
      <w:proofErr w:type="gramEnd"/>
      <w:r w:rsidR="67A37DC8" w:rsidRPr="58161626">
        <w:rPr>
          <w:rFonts w:asciiTheme="minorHAnsi" w:hAnsiTheme="minorHAnsi" w:cstheme="minorBidi"/>
          <w:sz w:val="22"/>
          <w:szCs w:val="22"/>
        </w:rPr>
        <w:t xml:space="preserve"> load </w:t>
      </w:r>
      <w:r w:rsidR="005263AC" w:rsidRPr="58161626">
        <w:rPr>
          <w:rFonts w:asciiTheme="minorHAnsi" w:hAnsiTheme="minorHAnsi" w:cstheme="minorBidi"/>
          <w:sz w:val="22"/>
          <w:szCs w:val="22"/>
        </w:rPr>
        <w:t xml:space="preserve">activity </w:t>
      </w:r>
      <w:r w:rsidR="00055563" w:rsidRPr="58161626">
        <w:rPr>
          <w:rFonts w:asciiTheme="minorHAnsi" w:hAnsiTheme="minorHAnsi" w:cstheme="minorBidi"/>
          <w:sz w:val="22"/>
          <w:szCs w:val="22"/>
        </w:rPr>
        <w:t>only impact</w:t>
      </w:r>
      <w:r w:rsidR="009B4AEF">
        <w:rPr>
          <w:rFonts w:asciiTheme="minorHAnsi" w:hAnsiTheme="minorHAnsi" w:cstheme="minorBidi"/>
          <w:sz w:val="22"/>
          <w:szCs w:val="22"/>
        </w:rPr>
        <w:t>s</w:t>
      </w:r>
      <w:r w:rsidR="00055563" w:rsidRPr="58161626">
        <w:rPr>
          <w:rFonts w:asciiTheme="minorHAnsi" w:hAnsiTheme="minorHAnsi" w:cstheme="minorBidi"/>
          <w:sz w:val="22"/>
          <w:szCs w:val="22"/>
        </w:rPr>
        <w:t xml:space="preserve"> the Commercial and </w:t>
      </w:r>
      <w:r w:rsidR="00B71F02" w:rsidRPr="58161626">
        <w:rPr>
          <w:rFonts w:asciiTheme="minorHAnsi" w:hAnsiTheme="minorHAnsi" w:cstheme="minorBidi"/>
          <w:sz w:val="22"/>
          <w:szCs w:val="22"/>
        </w:rPr>
        <w:t>I</w:t>
      </w:r>
      <w:r w:rsidR="00055563" w:rsidRPr="58161626">
        <w:rPr>
          <w:rFonts w:asciiTheme="minorHAnsi" w:hAnsiTheme="minorHAnsi" w:cstheme="minorBidi"/>
          <w:sz w:val="22"/>
          <w:szCs w:val="22"/>
        </w:rPr>
        <w:t xml:space="preserve">ndustrial classes, </w:t>
      </w:r>
      <w:r w:rsidR="007843E6" w:rsidRPr="58161626">
        <w:rPr>
          <w:rFonts w:asciiTheme="minorHAnsi" w:hAnsiTheme="minorHAnsi" w:cstheme="minorBidi"/>
          <w:sz w:val="22"/>
          <w:szCs w:val="22"/>
        </w:rPr>
        <w:t xml:space="preserve">there is no </w:t>
      </w:r>
      <w:r w:rsidR="003F3203" w:rsidRPr="58161626">
        <w:rPr>
          <w:rFonts w:asciiTheme="minorHAnsi" w:hAnsiTheme="minorHAnsi" w:cstheme="minorBidi"/>
          <w:sz w:val="22"/>
          <w:szCs w:val="22"/>
        </w:rPr>
        <w:t xml:space="preserve">additional </w:t>
      </w:r>
      <w:r w:rsidR="007843E6" w:rsidRPr="58161626">
        <w:rPr>
          <w:rFonts w:asciiTheme="minorHAnsi" w:hAnsiTheme="minorHAnsi" w:cstheme="minorBidi"/>
          <w:sz w:val="22"/>
          <w:szCs w:val="22"/>
        </w:rPr>
        <w:t xml:space="preserve">external adjustment </w:t>
      </w:r>
      <w:r w:rsidR="003F3203" w:rsidRPr="58161626">
        <w:rPr>
          <w:rFonts w:asciiTheme="minorHAnsi" w:hAnsiTheme="minorHAnsi" w:cstheme="minorBidi"/>
          <w:sz w:val="22"/>
          <w:szCs w:val="22"/>
        </w:rPr>
        <w:t>needed</w:t>
      </w:r>
      <w:r w:rsidR="00FF3EB9" w:rsidRPr="58161626">
        <w:rPr>
          <w:rFonts w:asciiTheme="minorHAnsi" w:hAnsiTheme="minorHAnsi" w:cstheme="minorBidi"/>
          <w:sz w:val="22"/>
          <w:szCs w:val="22"/>
        </w:rPr>
        <w:t xml:space="preserve"> </w:t>
      </w:r>
      <w:r w:rsidR="00A906FA" w:rsidRPr="58161626">
        <w:rPr>
          <w:rFonts w:asciiTheme="minorHAnsi" w:hAnsiTheme="minorHAnsi" w:cstheme="minorBidi"/>
          <w:sz w:val="22"/>
          <w:szCs w:val="22"/>
        </w:rPr>
        <w:t>or applied to the</w:t>
      </w:r>
      <w:r w:rsidR="00FF3EB9" w:rsidRPr="58161626">
        <w:rPr>
          <w:rFonts w:asciiTheme="minorHAnsi" w:hAnsiTheme="minorHAnsi" w:cstheme="minorBidi"/>
          <w:sz w:val="22"/>
          <w:szCs w:val="22"/>
        </w:rPr>
        <w:t xml:space="preserve"> </w:t>
      </w:r>
      <w:r w:rsidR="00F85D57">
        <w:rPr>
          <w:rFonts w:asciiTheme="minorHAnsi" w:hAnsiTheme="minorHAnsi" w:cstheme="minorBidi"/>
          <w:sz w:val="22"/>
          <w:szCs w:val="22"/>
        </w:rPr>
        <w:t xml:space="preserve">baseline </w:t>
      </w:r>
      <w:r w:rsidR="00FF3EB9" w:rsidRPr="58161626">
        <w:rPr>
          <w:rFonts w:asciiTheme="minorHAnsi" w:hAnsiTheme="minorHAnsi" w:cstheme="minorBidi"/>
          <w:sz w:val="22"/>
          <w:szCs w:val="22"/>
        </w:rPr>
        <w:t xml:space="preserve">Residential, Governmental </w:t>
      </w:r>
      <w:r w:rsidR="00B71F02" w:rsidRPr="58161626">
        <w:rPr>
          <w:rFonts w:asciiTheme="minorHAnsi" w:hAnsiTheme="minorHAnsi" w:cstheme="minorBidi"/>
          <w:sz w:val="22"/>
          <w:szCs w:val="22"/>
        </w:rPr>
        <w:t>L</w:t>
      </w:r>
      <w:r w:rsidR="00FF3EB9" w:rsidRPr="58161626">
        <w:rPr>
          <w:rFonts w:asciiTheme="minorHAnsi" w:hAnsiTheme="minorHAnsi" w:cstheme="minorBidi"/>
          <w:sz w:val="22"/>
          <w:szCs w:val="22"/>
        </w:rPr>
        <w:t xml:space="preserve">ighting and </w:t>
      </w:r>
      <w:r w:rsidR="00B71F02" w:rsidRPr="58161626">
        <w:rPr>
          <w:rFonts w:asciiTheme="minorHAnsi" w:hAnsiTheme="minorHAnsi" w:cstheme="minorBidi"/>
          <w:sz w:val="22"/>
          <w:szCs w:val="22"/>
        </w:rPr>
        <w:t>MARTA</w:t>
      </w:r>
      <w:r w:rsidR="00A906FA" w:rsidRPr="58161626">
        <w:rPr>
          <w:rFonts w:asciiTheme="minorHAnsi" w:hAnsiTheme="minorHAnsi" w:cstheme="minorBidi"/>
          <w:sz w:val="22"/>
          <w:szCs w:val="22"/>
        </w:rPr>
        <w:t xml:space="preserve"> classes</w:t>
      </w:r>
      <w:r w:rsidR="00A6408B" w:rsidRPr="58161626">
        <w:rPr>
          <w:rFonts w:asciiTheme="minorHAnsi" w:hAnsiTheme="minorHAnsi" w:cstheme="minorBidi"/>
          <w:sz w:val="22"/>
          <w:szCs w:val="22"/>
        </w:rPr>
        <w:t>.</w:t>
      </w:r>
    </w:p>
    <w:p w14:paraId="1C479251" w14:textId="77777777" w:rsidR="00EC52D1" w:rsidRPr="00E832A5" w:rsidRDefault="00EC52D1" w:rsidP="00CE6BE1">
      <w:pPr>
        <w:pStyle w:val="BodyTextIndent"/>
        <w:keepNext/>
        <w:spacing w:line="276" w:lineRule="auto"/>
        <w:ind w:left="0"/>
        <w:rPr>
          <w:rFonts w:asciiTheme="minorHAnsi" w:hAnsiTheme="minorHAnsi" w:cstheme="minorHAnsi"/>
          <w:b/>
          <w:sz w:val="22"/>
          <w:szCs w:val="22"/>
        </w:rPr>
      </w:pPr>
      <w:r w:rsidRPr="00E832A5">
        <w:rPr>
          <w:rFonts w:asciiTheme="minorHAnsi" w:hAnsiTheme="minorHAnsi" w:cstheme="minorHAnsi"/>
          <w:b/>
          <w:sz w:val="22"/>
          <w:szCs w:val="22"/>
        </w:rPr>
        <w:t>Figure 1.2.2-1 Residential Energy Forecast</w:t>
      </w:r>
    </w:p>
    <w:p w14:paraId="7685B624" w14:textId="48DFA0DD" w:rsidR="00557C35" w:rsidRPr="00E832A5" w:rsidRDefault="007075EF" w:rsidP="00CE6BE1">
      <w:pPr>
        <w:spacing w:line="276" w:lineRule="auto"/>
        <w:rPr>
          <w:rFonts w:asciiTheme="minorHAnsi" w:hAnsiTheme="minorHAnsi" w:cstheme="minorHAnsi"/>
          <w:sz w:val="22"/>
          <w:szCs w:val="22"/>
        </w:rPr>
      </w:pPr>
      <w:r w:rsidRPr="007075EF">
        <w:rPr>
          <w:rFonts w:asciiTheme="minorHAnsi" w:hAnsiTheme="minorHAnsi" w:cstheme="minorHAnsi"/>
          <w:noProof/>
          <w:sz w:val="22"/>
          <w:szCs w:val="22"/>
        </w:rPr>
        <w:drawing>
          <wp:inline distT="0" distB="0" distL="0" distR="0" wp14:anchorId="47E79627" wp14:editId="3DE6588B">
            <wp:extent cx="5943600" cy="3244215"/>
            <wp:effectExtent l="0" t="0" r="0" b="0"/>
            <wp:docPr id="1771983496" name="Picture 1771983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3244215"/>
                    </a:xfrm>
                    <a:prstGeom prst="rect">
                      <a:avLst/>
                    </a:prstGeom>
                    <a:noFill/>
                    <a:ln>
                      <a:noFill/>
                    </a:ln>
                  </pic:spPr>
                </pic:pic>
              </a:graphicData>
            </a:graphic>
          </wp:inline>
        </w:drawing>
      </w:r>
      <w:r w:rsidR="005C06D7" w:rsidRPr="00E832A5" w:rsidDel="005C06D7">
        <w:rPr>
          <w:rFonts w:asciiTheme="minorHAnsi" w:hAnsiTheme="minorHAnsi" w:cstheme="minorHAnsi"/>
          <w:noProof/>
          <w:sz w:val="22"/>
          <w:szCs w:val="22"/>
        </w:rPr>
        <w:t xml:space="preserve"> </w:t>
      </w:r>
    </w:p>
    <w:p w14:paraId="2BED414B" w14:textId="51EC509B" w:rsidR="00FC3881" w:rsidRPr="00E832A5" w:rsidRDefault="00FC3881" w:rsidP="00715E64">
      <w:pPr>
        <w:pStyle w:val="Heading2"/>
        <w:spacing w:before="240" w:after="240" w:line="276" w:lineRule="auto"/>
        <w:rPr>
          <w:rFonts w:asciiTheme="minorHAnsi" w:hAnsiTheme="minorHAnsi" w:cstheme="minorHAnsi"/>
          <w:b/>
          <w:color w:val="auto"/>
        </w:rPr>
      </w:pPr>
      <w:bookmarkStart w:id="2" w:name="_Toc93602742"/>
      <w:r w:rsidRPr="00E832A5">
        <w:rPr>
          <w:rFonts w:asciiTheme="minorHAnsi" w:hAnsiTheme="minorHAnsi" w:cstheme="minorHAnsi"/>
        </w:rPr>
        <w:t>1.2.3 Commercial</w:t>
      </w:r>
      <w:bookmarkEnd w:id="2"/>
    </w:p>
    <w:p w14:paraId="28BC617B" w14:textId="7475B3A5" w:rsidR="00FC3881" w:rsidRPr="00E832A5" w:rsidRDefault="00FC3881" w:rsidP="00CE6BE1">
      <w:pPr>
        <w:pStyle w:val="BodyTextIndent"/>
        <w:spacing w:line="276" w:lineRule="auto"/>
        <w:ind w:left="0"/>
        <w:jc w:val="both"/>
        <w:rPr>
          <w:rFonts w:asciiTheme="minorHAnsi" w:hAnsiTheme="minorHAnsi" w:cstheme="minorBidi"/>
          <w:sz w:val="22"/>
          <w:szCs w:val="22"/>
        </w:rPr>
      </w:pPr>
      <w:r w:rsidRPr="58161626">
        <w:rPr>
          <w:rFonts w:asciiTheme="minorHAnsi" w:hAnsiTheme="minorHAnsi" w:cstheme="minorBidi"/>
          <w:sz w:val="22"/>
          <w:szCs w:val="22"/>
        </w:rPr>
        <w:t>From 201</w:t>
      </w:r>
      <w:r w:rsidR="00A6408B" w:rsidRPr="58161626">
        <w:rPr>
          <w:rFonts w:asciiTheme="minorHAnsi" w:hAnsiTheme="minorHAnsi" w:cstheme="minorBidi"/>
          <w:sz w:val="22"/>
          <w:szCs w:val="22"/>
        </w:rPr>
        <w:t>2</w:t>
      </w:r>
      <w:r w:rsidRPr="58161626">
        <w:rPr>
          <w:rFonts w:asciiTheme="minorHAnsi" w:hAnsiTheme="minorHAnsi" w:cstheme="minorBidi"/>
          <w:sz w:val="22"/>
          <w:szCs w:val="22"/>
        </w:rPr>
        <w:t>-202</w:t>
      </w:r>
      <w:r w:rsidR="00A6408B" w:rsidRPr="58161626">
        <w:rPr>
          <w:rFonts w:asciiTheme="minorHAnsi" w:hAnsiTheme="minorHAnsi" w:cstheme="minorBidi"/>
          <w:sz w:val="22"/>
          <w:szCs w:val="22"/>
        </w:rPr>
        <w:t>2</w:t>
      </w:r>
      <w:r w:rsidRPr="58161626">
        <w:rPr>
          <w:rFonts w:asciiTheme="minorHAnsi" w:hAnsiTheme="minorHAnsi" w:cstheme="minorBidi"/>
          <w:sz w:val="22"/>
          <w:szCs w:val="22"/>
        </w:rPr>
        <w:t xml:space="preserve">, average annual growth in commercial sales </w:t>
      </w:r>
      <w:r w:rsidR="005D1372" w:rsidRPr="58161626">
        <w:rPr>
          <w:rFonts w:asciiTheme="minorHAnsi" w:hAnsiTheme="minorHAnsi" w:cstheme="minorBidi"/>
          <w:sz w:val="22"/>
          <w:szCs w:val="22"/>
        </w:rPr>
        <w:t>rose slightly</w:t>
      </w:r>
      <w:r w:rsidRPr="58161626">
        <w:rPr>
          <w:rFonts w:asciiTheme="minorHAnsi" w:hAnsiTheme="minorHAnsi" w:cstheme="minorBidi"/>
          <w:sz w:val="22"/>
          <w:szCs w:val="22"/>
        </w:rPr>
        <w:t xml:space="preserve">, </w:t>
      </w:r>
      <w:r w:rsidR="004B4E9B" w:rsidRPr="58161626">
        <w:rPr>
          <w:rFonts w:asciiTheme="minorHAnsi" w:hAnsiTheme="minorHAnsi" w:cstheme="minorBidi"/>
          <w:sz w:val="22"/>
          <w:szCs w:val="22"/>
        </w:rPr>
        <w:t>ris</w:t>
      </w:r>
      <w:r w:rsidRPr="58161626">
        <w:rPr>
          <w:rFonts w:asciiTheme="minorHAnsi" w:hAnsiTheme="minorHAnsi" w:cstheme="minorBidi"/>
          <w:sz w:val="22"/>
          <w:szCs w:val="22"/>
        </w:rPr>
        <w:t>ing by an average of 2</w:t>
      </w:r>
      <w:r w:rsidR="004B4E9B" w:rsidRPr="58161626">
        <w:rPr>
          <w:rFonts w:asciiTheme="minorHAnsi" w:hAnsiTheme="minorHAnsi" w:cstheme="minorBidi"/>
          <w:sz w:val="22"/>
          <w:szCs w:val="22"/>
        </w:rPr>
        <w:t>2</w:t>
      </w:r>
      <w:r w:rsidRPr="58161626">
        <w:rPr>
          <w:rFonts w:asciiTheme="minorHAnsi" w:hAnsiTheme="minorHAnsi" w:cstheme="minorBidi"/>
          <w:sz w:val="22"/>
          <w:szCs w:val="22"/>
        </w:rPr>
        <w:t xml:space="preserve"> GWh per year due in part to energy efficiency</w:t>
      </w:r>
      <w:r w:rsidR="004B4E9B" w:rsidRPr="58161626">
        <w:rPr>
          <w:rFonts w:asciiTheme="minorHAnsi" w:hAnsiTheme="minorHAnsi" w:cstheme="minorBidi"/>
          <w:sz w:val="22"/>
          <w:szCs w:val="22"/>
        </w:rPr>
        <w:t xml:space="preserve"> </w:t>
      </w:r>
      <w:r w:rsidR="00C53297" w:rsidRPr="58161626">
        <w:rPr>
          <w:rFonts w:asciiTheme="minorHAnsi" w:hAnsiTheme="minorHAnsi" w:cstheme="minorBidi"/>
          <w:sz w:val="22"/>
          <w:szCs w:val="22"/>
        </w:rPr>
        <w:t xml:space="preserve">partially </w:t>
      </w:r>
      <w:r w:rsidR="004B4E9B" w:rsidRPr="58161626">
        <w:rPr>
          <w:rFonts w:asciiTheme="minorHAnsi" w:hAnsiTheme="minorHAnsi" w:cstheme="minorBidi"/>
          <w:sz w:val="22"/>
          <w:szCs w:val="22"/>
        </w:rPr>
        <w:t xml:space="preserve">offsetting </w:t>
      </w:r>
      <w:r w:rsidR="00C53297" w:rsidRPr="58161626">
        <w:rPr>
          <w:rFonts w:asciiTheme="minorHAnsi" w:hAnsiTheme="minorHAnsi" w:cstheme="minorBidi"/>
          <w:sz w:val="22"/>
          <w:szCs w:val="22"/>
        </w:rPr>
        <w:t xml:space="preserve">the impacts of </w:t>
      </w:r>
      <w:r w:rsidR="004B4E9B" w:rsidRPr="58161626">
        <w:rPr>
          <w:rFonts w:asciiTheme="minorHAnsi" w:hAnsiTheme="minorHAnsi" w:cstheme="minorBidi"/>
          <w:sz w:val="22"/>
          <w:szCs w:val="22"/>
        </w:rPr>
        <w:t>customer growth</w:t>
      </w:r>
      <w:r w:rsidRPr="58161626">
        <w:rPr>
          <w:rFonts w:asciiTheme="minorHAnsi" w:hAnsiTheme="minorHAnsi" w:cstheme="minorBidi"/>
          <w:sz w:val="22"/>
          <w:szCs w:val="22"/>
        </w:rPr>
        <w:t>. Budget 2022 project</w:t>
      </w:r>
      <w:r w:rsidR="00474B10" w:rsidRPr="58161626">
        <w:rPr>
          <w:rFonts w:asciiTheme="minorHAnsi" w:hAnsiTheme="minorHAnsi" w:cstheme="minorBidi"/>
          <w:sz w:val="22"/>
          <w:szCs w:val="22"/>
        </w:rPr>
        <w:t>ed</w:t>
      </w:r>
      <w:r w:rsidRPr="58161626">
        <w:rPr>
          <w:rFonts w:asciiTheme="minorHAnsi" w:hAnsiTheme="minorHAnsi" w:cstheme="minorBidi"/>
          <w:sz w:val="22"/>
          <w:szCs w:val="22"/>
        </w:rPr>
        <w:t xml:space="preserve"> annual declines in sales of </w:t>
      </w:r>
      <w:r w:rsidR="00474B10" w:rsidRPr="58161626">
        <w:rPr>
          <w:rFonts w:asciiTheme="minorHAnsi" w:hAnsiTheme="minorHAnsi" w:cstheme="minorBidi"/>
          <w:sz w:val="22"/>
          <w:szCs w:val="22"/>
        </w:rPr>
        <w:t>2</w:t>
      </w:r>
      <w:r w:rsidRPr="58161626">
        <w:rPr>
          <w:rFonts w:asciiTheme="minorHAnsi" w:hAnsiTheme="minorHAnsi" w:cstheme="minorBidi"/>
          <w:sz w:val="22"/>
          <w:szCs w:val="22"/>
        </w:rPr>
        <w:t xml:space="preserve"> GWh </w:t>
      </w:r>
      <w:r w:rsidR="009E348B" w:rsidRPr="58161626">
        <w:rPr>
          <w:rFonts w:asciiTheme="minorHAnsi" w:hAnsiTheme="minorHAnsi" w:cstheme="minorBidi"/>
          <w:sz w:val="22"/>
          <w:szCs w:val="22"/>
        </w:rPr>
        <w:t>from 2023-2033</w:t>
      </w:r>
      <w:r w:rsidRPr="58161626">
        <w:rPr>
          <w:rFonts w:asciiTheme="minorHAnsi" w:hAnsiTheme="minorHAnsi" w:cstheme="minorBidi"/>
          <w:sz w:val="22"/>
          <w:szCs w:val="22"/>
        </w:rPr>
        <w:t xml:space="preserve"> before growth picks up in the outer years of the forecast, as seen in figure 1.2.3-1 below. The modest decline in sales through 2030 </w:t>
      </w:r>
      <w:r w:rsidR="00A906FA" w:rsidRPr="58161626">
        <w:rPr>
          <w:rFonts w:asciiTheme="minorHAnsi" w:hAnsiTheme="minorHAnsi" w:cstheme="minorBidi"/>
          <w:sz w:val="22"/>
          <w:szCs w:val="22"/>
        </w:rPr>
        <w:t xml:space="preserve">was </w:t>
      </w:r>
      <w:r w:rsidRPr="58161626">
        <w:rPr>
          <w:rFonts w:asciiTheme="minorHAnsi" w:hAnsiTheme="minorHAnsi" w:cstheme="minorBidi"/>
          <w:sz w:val="22"/>
          <w:szCs w:val="22"/>
        </w:rPr>
        <w:t xml:space="preserve">driven primarily by continued growth in energy efficiency. In the latter years of the forecast, growth picks up due to expected growth in commercial square footage and electric vehicles. </w:t>
      </w:r>
      <w:r w:rsidR="001F691D">
        <w:rPr>
          <w:rFonts w:asciiTheme="minorHAnsi" w:hAnsiTheme="minorHAnsi" w:cstheme="minorBidi"/>
          <w:sz w:val="22"/>
          <w:szCs w:val="22"/>
        </w:rPr>
        <w:t>The</w:t>
      </w:r>
      <w:r w:rsidR="001873AE">
        <w:rPr>
          <w:rFonts w:asciiTheme="minorHAnsi" w:hAnsiTheme="minorHAnsi" w:cstheme="minorBidi"/>
          <w:sz w:val="22"/>
          <w:szCs w:val="22"/>
        </w:rPr>
        <w:t xml:space="preserve"> 2023 IRP Update Load Forecast</w:t>
      </w:r>
      <w:r w:rsidR="298A61AF" w:rsidRPr="58161626" w:rsidDel="009E4B80">
        <w:rPr>
          <w:rFonts w:asciiTheme="minorHAnsi" w:hAnsiTheme="minorHAnsi" w:cstheme="minorBidi"/>
          <w:sz w:val="22"/>
          <w:szCs w:val="22"/>
        </w:rPr>
        <w:t xml:space="preserve"> </w:t>
      </w:r>
      <w:r w:rsidR="298A61AF" w:rsidRPr="58161626">
        <w:rPr>
          <w:rFonts w:asciiTheme="minorHAnsi" w:hAnsiTheme="minorHAnsi" w:cstheme="minorBidi"/>
          <w:sz w:val="22"/>
          <w:szCs w:val="22"/>
        </w:rPr>
        <w:t>includes medium</w:t>
      </w:r>
      <w:r w:rsidR="00060211" w:rsidRPr="58161626">
        <w:rPr>
          <w:rFonts w:asciiTheme="minorHAnsi" w:hAnsiTheme="minorHAnsi" w:cstheme="minorBidi"/>
          <w:sz w:val="22"/>
          <w:szCs w:val="22"/>
        </w:rPr>
        <w:t>-</w:t>
      </w:r>
      <w:r w:rsidR="298A61AF" w:rsidRPr="58161626">
        <w:rPr>
          <w:rFonts w:asciiTheme="minorHAnsi" w:hAnsiTheme="minorHAnsi" w:cstheme="minorBidi"/>
          <w:sz w:val="22"/>
          <w:szCs w:val="22"/>
        </w:rPr>
        <w:t xml:space="preserve"> and heavy</w:t>
      </w:r>
      <w:r w:rsidR="1205CFD8" w:rsidRPr="58161626">
        <w:rPr>
          <w:rFonts w:asciiTheme="minorHAnsi" w:hAnsiTheme="minorHAnsi" w:cstheme="minorBidi"/>
          <w:sz w:val="22"/>
          <w:szCs w:val="22"/>
        </w:rPr>
        <w:t>-</w:t>
      </w:r>
      <w:r w:rsidR="298A61AF" w:rsidRPr="58161626">
        <w:rPr>
          <w:rFonts w:asciiTheme="minorHAnsi" w:hAnsiTheme="minorHAnsi" w:cstheme="minorBidi"/>
          <w:sz w:val="22"/>
          <w:szCs w:val="22"/>
        </w:rPr>
        <w:t xml:space="preserve">duty electric vehicles </w:t>
      </w:r>
      <w:r w:rsidR="6B4C7179" w:rsidRPr="58161626">
        <w:rPr>
          <w:rFonts w:asciiTheme="minorHAnsi" w:hAnsiTheme="minorHAnsi" w:cstheme="minorBidi"/>
          <w:sz w:val="22"/>
          <w:szCs w:val="22"/>
        </w:rPr>
        <w:t xml:space="preserve">in addition to </w:t>
      </w:r>
      <w:r w:rsidR="298A61AF" w:rsidRPr="58161626">
        <w:rPr>
          <w:rFonts w:asciiTheme="minorHAnsi" w:hAnsiTheme="minorHAnsi" w:cstheme="minorBidi"/>
          <w:sz w:val="22"/>
          <w:szCs w:val="22"/>
        </w:rPr>
        <w:t>light</w:t>
      </w:r>
      <w:r w:rsidR="00402124" w:rsidRPr="58161626">
        <w:rPr>
          <w:rFonts w:asciiTheme="minorHAnsi" w:hAnsiTheme="minorHAnsi" w:cstheme="minorBidi"/>
          <w:sz w:val="22"/>
          <w:szCs w:val="22"/>
        </w:rPr>
        <w:t>-</w:t>
      </w:r>
      <w:r w:rsidR="00425F15" w:rsidRPr="58161626">
        <w:rPr>
          <w:rFonts w:asciiTheme="minorHAnsi" w:hAnsiTheme="minorHAnsi" w:cstheme="minorBidi"/>
          <w:sz w:val="22"/>
          <w:szCs w:val="22"/>
        </w:rPr>
        <w:t xml:space="preserve">duty </w:t>
      </w:r>
      <w:r w:rsidR="298A61AF" w:rsidRPr="58161626">
        <w:rPr>
          <w:rFonts w:asciiTheme="minorHAnsi" w:hAnsiTheme="minorHAnsi" w:cstheme="minorBidi"/>
          <w:sz w:val="22"/>
          <w:szCs w:val="22"/>
        </w:rPr>
        <w:t xml:space="preserve">vehicles. </w:t>
      </w:r>
      <w:r w:rsidR="00D61911">
        <w:rPr>
          <w:rFonts w:asciiTheme="minorHAnsi" w:hAnsiTheme="minorHAnsi" w:cstheme="minorBidi"/>
          <w:sz w:val="22"/>
          <w:szCs w:val="22"/>
        </w:rPr>
        <w:t xml:space="preserve">The 2023 IRP Update Load Forecast </w:t>
      </w:r>
      <w:r w:rsidR="00B424E1">
        <w:rPr>
          <w:rFonts w:asciiTheme="minorHAnsi" w:hAnsiTheme="minorHAnsi" w:cstheme="minorBidi"/>
          <w:sz w:val="22"/>
          <w:szCs w:val="22"/>
        </w:rPr>
        <w:t xml:space="preserve">begins to grow quickly </w:t>
      </w:r>
      <w:r w:rsidR="00287B2A" w:rsidRPr="58161626">
        <w:rPr>
          <w:rFonts w:asciiTheme="minorHAnsi" w:hAnsiTheme="minorHAnsi" w:cstheme="minorBidi"/>
          <w:sz w:val="22"/>
          <w:szCs w:val="22"/>
        </w:rPr>
        <w:t xml:space="preserve">beginning in </w:t>
      </w:r>
      <w:r w:rsidR="00B11196" w:rsidRPr="58161626">
        <w:rPr>
          <w:rFonts w:asciiTheme="minorHAnsi" w:hAnsiTheme="minorHAnsi" w:cstheme="minorBidi"/>
          <w:sz w:val="22"/>
          <w:szCs w:val="22"/>
        </w:rPr>
        <w:t xml:space="preserve">2025 as </w:t>
      </w:r>
      <w:proofErr w:type="gramStart"/>
      <w:r w:rsidR="00B11196" w:rsidRPr="58161626">
        <w:rPr>
          <w:rFonts w:asciiTheme="minorHAnsi" w:hAnsiTheme="minorHAnsi" w:cstheme="minorBidi"/>
          <w:sz w:val="22"/>
          <w:szCs w:val="22"/>
        </w:rPr>
        <w:t xml:space="preserve">new </w:t>
      </w:r>
      <w:r w:rsidR="00194681" w:rsidRPr="58161626">
        <w:rPr>
          <w:rFonts w:asciiTheme="minorHAnsi" w:hAnsiTheme="minorHAnsi" w:cstheme="minorBidi"/>
          <w:sz w:val="22"/>
          <w:szCs w:val="22"/>
        </w:rPr>
        <w:t>large</w:t>
      </w:r>
      <w:proofErr w:type="gramEnd"/>
      <w:r w:rsidR="00194681" w:rsidRPr="58161626">
        <w:rPr>
          <w:rFonts w:asciiTheme="minorHAnsi" w:hAnsiTheme="minorHAnsi" w:cstheme="minorBidi"/>
          <w:sz w:val="22"/>
          <w:szCs w:val="22"/>
        </w:rPr>
        <w:t xml:space="preserve"> customer </w:t>
      </w:r>
      <w:r w:rsidR="00B11196" w:rsidRPr="58161626">
        <w:rPr>
          <w:rFonts w:asciiTheme="minorHAnsi" w:hAnsiTheme="minorHAnsi" w:cstheme="minorBidi"/>
          <w:sz w:val="22"/>
          <w:szCs w:val="22"/>
        </w:rPr>
        <w:t>loads</w:t>
      </w:r>
      <w:r w:rsidR="00B11196" w:rsidRPr="58161626" w:rsidDel="00552C50">
        <w:rPr>
          <w:rFonts w:asciiTheme="minorHAnsi" w:hAnsiTheme="minorHAnsi" w:cstheme="minorBidi"/>
          <w:sz w:val="22"/>
          <w:szCs w:val="22"/>
        </w:rPr>
        <w:t xml:space="preserve"> </w:t>
      </w:r>
      <w:r w:rsidR="00B11196" w:rsidRPr="58161626">
        <w:rPr>
          <w:rFonts w:asciiTheme="minorHAnsi" w:hAnsiTheme="minorHAnsi" w:cstheme="minorBidi"/>
          <w:sz w:val="22"/>
          <w:szCs w:val="22"/>
        </w:rPr>
        <w:t xml:space="preserve">come </w:t>
      </w:r>
      <w:r w:rsidR="00B11196" w:rsidRPr="58161626">
        <w:rPr>
          <w:rFonts w:asciiTheme="minorHAnsi" w:hAnsiTheme="minorHAnsi" w:cstheme="minorBidi"/>
          <w:sz w:val="22"/>
          <w:szCs w:val="22"/>
        </w:rPr>
        <w:lastRenderedPageBreak/>
        <w:t>online</w:t>
      </w:r>
      <w:r w:rsidR="006C4578" w:rsidRPr="58161626">
        <w:rPr>
          <w:rFonts w:asciiTheme="minorHAnsi" w:hAnsiTheme="minorHAnsi" w:cstheme="minorBidi"/>
          <w:sz w:val="22"/>
          <w:szCs w:val="22"/>
        </w:rPr>
        <w:t xml:space="preserve">, with sales expected to increase </w:t>
      </w:r>
      <w:r w:rsidR="004C22B5">
        <w:rPr>
          <w:rFonts w:asciiTheme="minorHAnsi" w:hAnsiTheme="minorHAnsi" w:cstheme="minorBidi"/>
          <w:sz w:val="22"/>
          <w:szCs w:val="22"/>
        </w:rPr>
        <w:t>4,</w:t>
      </w:r>
      <w:r w:rsidR="00024961">
        <w:rPr>
          <w:rFonts w:asciiTheme="minorHAnsi" w:hAnsiTheme="minorHAnsi" w:cstheme="minorBidi"/>
          <w:sz w:val="22"/>
          <w:szCs w:val="22"/>
        </w:rPr>
        <w:t>534</w:t>
      </w:r>
      <w:r w:rsidR="001F6C6B" w:rsidRPr="58161626">
        <w:rPr>
          <w:rFonts w:asciiTheme="minorHAnsi" w:hAnsiTheme="minorHAnsi" w:cstheme="minorBidi"/>
          <w:sz w:val="22"/>
          <w:szCs w:val="22"/>
        </w:rPr>
        <w:t xml:space="preserve"> GWh</w:t>
      </w:r>
      <w:r w:rsidR="00755720" w:rsidRPr="58161626">
        <w:rPr>
          <w:rFonts w:asciiTheme="minorHAnsi" w:hAnsiTheme="minorHAnsi" w:cstheme="minorBidi"/>
          <w:sz w:val="22"/>
          <w:szCs w:val="22"/>
        </w:rPr>
        <w:t xml:space="preserve"> f</w:t>
      </w:r>
      <w:r w:rsidR="00906399" w:rsidRPr="58161626">
        <w:rPr>
          <w:rFonts w:asciiTheme="minorHAnsi" w:hAnsiTheme="minorHAnsi" w:cstheme="minorBidi"/>
          <w:sz w:val="22"/>
          <w:szCs w:val="22"/>
        </w:rPr>
        <w:t>rom 2023-2033</w:t>
      </w:r>
      <w:r w:rsidR="00755720" w:rsidRPr="58161626">
        <w:rPr>
          <w:rFonts w:asciiTheme="minorHAnsi" w:hAnsiTheme="minorHAnsi" w:cstheme="minorBidi"/>
          <w:sz w:val="22"/>
          <w:szCs w:val="22"/>
        </w:rPr>
        <w:t xml:space="preserve">. Growth in </w:t>
      </w:r>
      <w:r w:rsidR="33158FC2" w:rsidRPr="58161626">
        <w:rPr>
          <w:rFonts w:asciiTheme="minorHAnsi" w:hAnsiTheme="minorHAnsi" w:cstheme="minorBidi"/>
          <w:sz w:val="22"/>
          <w:szCs w:val="22"/>
        </w:rPr>
        <w:t>the</w:t>
      </w:r>
      <w:r w:rsidR="00755720" w:rsidRPr="58161626">
        <w:rPr>
          <w:rFonts w:asciiTheme="minorHAnsi" w:hAnsiTheme="minorHAnsi" w:cstheme="minorBidi"/>
          <w:sz w:val="22"/>
          <w:szCs w:val="22"/>
        </w:rPr>
        <w:t xml:space="preserve"> </w:t>
      </w:r>
      <w:r w:rsidR="000E2BD6" w:rsidRPr="58161626">
        <w:rPr>
          <w:rFonts w:asciiTheme="minorHAnsi" w:hAnsiTheme="minorHAnsi" w:cstheme="minorBidi"/>
          <w:sz w:val="22"/>
          <w:szCs w:val="22"/>
        </w:rPr>
        <w:t xml:space="preserve">2023 IRP </w:t>
      </w:r>
      <w:r w:rsidR="005C06D7" w:rsidRPr="58161626">
        <w:rPr>
          <w:rFonts w:asciiTheme="minorHAnsi" w:hAnsiTheme="minorHAnsi" w:cstheme="minorBidi"/>
          <w:sz w:val="22"/>
          <w:szCs w:val="22"/>
        </w:rPr>
        <w:t>U</w:t>
      </w:r>
      <w:r w:rsidR="000E2BD6" w:rsidRPr="58161626">
        <w:rPr>
          <w:rFonts w:asciiTheme="minorHAnsi" w:hAnsiTheme="minorHAnsi" w:cstheme="minorBidi"/>
          <w:sz w:val="22"/>
          <w:szCs w:val="22"/>
        </w:rPr>
        <w:t>pdate</w:t>
      </w:r>
      <w:r w:rsidR="00A906FA" w:rsidRPr="58161626">
        <w:rPr>
          <w:rFonts w:asciiTheme="minorHAnsi" w:hAnsiTheme="minorHAnsi" w:cstheme="minorBidi"/>
          <w:sz w:val="22"/>
          <w:szCs w:val="22"/>
        </w:rPr>
        <w:t xml:space="preserve"> Load Forecast</w:t>
      </w:r>
      <w:r w:rsidR="005C06D7" w:rsidRPr="58161626" w:rsidDel="00106CE5">
        <w:rPr>
          <w:rFonts w:asciiTheme="minorHAnsi" w:hAnsiTheme="minorHAnsi" w:cstheme="minorBidi"/>
          <w:sz w:val="22"/>
          <w:szCs w:val="22"/>
        </w:rPr>
        <w:t xml:space="preserve"> </w:t>
      </w:r>
      <w:r w:rsidR="00784819" w:rsidRPr="58161626">
        <w:rPr>
          <w:rFonts w:asciiTheme="minorHAnsi" w:hAnsiTheme="minorHAnsi" w:cstheme="minorBidi"/>
          <w:sz w:val="22"/>
          <w:szCs w:val="22"/>
        </w:rPr>
        <w:t xml:space="preserve">is even stronger over </w:t>
      </w:r>
      <w:r w:rsidR="0076540B" w:rsidRPr="58161626">
        <w:rPr>
          <w:rFonts w:asciiTheme="minorHAnsi" w:hAnsiTheme="minorHAnsi" w:cstheme="minorBidi"/>
          <w:sz w:val="22"/>
          <w:szCs w:val="22"/>
        </w:rPr>
        <w:t>this</w:t>
      </w:r>
      <w:r w:rsidR="00784819" w:rsidRPr="58161626">
        <w:rPr>
          <w:rFonts w:asciiTheme="minorHAnsi" w:hAnsiTheme="minorHAnsi" w:cstheme="minorBidi"/>
          <w:sz w:val="22"/>
          <w:szCs w:val="22"/>
        </w:rPr>
        <w:t xml:space="preserve"> period, increasing by 4,534 GWh per year.</w:t>
      </w:r>
      <w:r w:rsidR="000346A1" w:rsidRPr="58161626">
        <w:rPr>
          <w:rFonts w:asciiTheme="minorHAnsi" w:hAnsiTheme="minorHAnsi" w:cstheme="minorBidi"/>
          <w:sz w:val="22"/>
          <w:szCs w:val="22"/>
        </w:rPr>
        <w:t xml:space="preserve"> </w:t>
      </w:r>
      <w:r w:rsidR="00977553" w:rsidRPr="58161626">
        <w:rPr>
          <w:rFonts w:asciiTheme="minorHAnsi" w:hAnsiTheme="minorHAnsi" w:cstheme="minorBidi"/>
          <w:sz w:val="22"/>
          <w:szCs w:val="22"/>
        </w:rPr>
        <w:t xml:space="preserve">By </w:t>
      </w:r>
      <w:r w:rsidR="00A24DB0" w:rsidRPr="58161626">
        <w:rPr>
          <w:rFonts w:asciiTheme="minorHAnsi" w:hAnsiTheme="minorHAnsi" w:cstheme="minorBidi"/>
          <w:sz w:val="22"/>
          <w:szCs w:val="22"/>
        </w:rPr>
        <w:t>2030</w:t>
      </w:r>
      <w:r w:rsidR="00977553" w:rsidRPr="58161626">
        <w:rPr>
          <w:rFonts w:asciiTheme="minorHAnsi" w:hAnsiTheme="minorHAnsi" w:cstheme="minorBidi"/>
          <w:sz w:val="22"/>
          <w:szCs w:val="22"/>
        </w:rPr>
        <w:t xml:space="preserve">, </w:t>
      </w:r>
      <w:r w:rsidR="00A24DB0" w:rsidRPr="58161626">
        <w:rPr>
          <w:rFonts w:asciiTheme="minorHAnsi" w:hAnsiTheme="minorHAnsi" w:cstheme="minorBidi"/>
          <w:sz w:val="22"/>
          <w:szCs w:val="22"/>
        </w:rPr>
        <w:t xml:space="preserve">expected sales </w:t>
      </w:r>
      <w:r w:rsidR="00111AE0">
        <w:rPr>
          <w:rFonts w:asciiTheme="minorHAnsi" w:hAnsiTheme="minorHAnsi" w:cstheme="minorBidi"/>
          <w:sz w:val="22"/>
          <w:szCs w:val="22"/>
        </w:rPr>
        <w:t xml:space="preserve">in the 2023 </w:t>
      </w:r>
      <w:r w:rsidR="00F6710F">
        <w:rPr>
          <w:rFonts w:asciiTheme="minorHAnsi" w:hAnsiTheme="minorHAnsi" w:cstheme="minorBidi"/>
          <w:sz w:val="22"/>
          <w:szCs w:val="22"/>
        </w:rPr>
        <w:t xml:space="preserve">IRP Update Load Forecast </w:t>
      </w:r>
      <w:r w:rsidR="00A24DB0" w:rsidRPr="58161626">
        <w:rPr>
          <w:rFonts w:asciiTheme="minorHAnsi" w:hAnsiTheme="minorHAnsi" w:cstheme="minorBidi"/>
          <w:sz w:val="22"/>
          <w:szCs w:val="22"/>
        </w:rPr>
        <w:t>are</w:t>
      </w:r>
      <w:r w:rsidR="00977553" w:rsidRPr="58161626">
        <w:rPr>
          <w:rFonts w:asciiTheme="minorHAnsi" w:hAnsiTheme="minorHAnsi" w:cstheme="minorBidi"/>
          <w:sz w:val="22"/>
          <w:szCs w:val="22"/>
        </w:rPr>
        <w:t xml:space="preserve"> more than double </w:t>
      </w:r>
      <w:r w:rsidR="002B4B2E" w:rsidRPr="58161626">
        <w:rPr>
          <w:rFonts w:asciiTheme="minorHAnsi" w:hAnsiTheme="minorHAnsi" w:cstheme="minorBidi"/>
          <w:sz w:val="22"/>
          <w:szCs w:val="22"/>
        </w:rPr>
        <w:t xml:space="preserve">the </w:t>
      </w:r>
      <w:r w:rsidR="00311E0F" w:rsidRPr="58161626">
        <w:rPr>
          <w:rFonts w:asciiTheme="minorHAnsi" w:hAnsiTheme="minorHAnsi" w:cstheme="minorBidi"/>
          <w:sz w:val="22"/>
          <w:szCs w:val="22"/>
        </w:rPr>
        <w:t xml:space="preserve">expected GWh sales </w:t>
      </w:r>
      <w:r w:rsidR="002B4B2E" w:rsidRPr="58161626">
        <w:rPr>
          <w:rFonts w:asciiTheme="minorHAnsi" w:hAnsiTheme="minorHAnsi" w:cstheme="minorBidi"/>
          <w:sz w:val="22"/>
          <w:szCs w:val="22"/>
        </w:rPr>
        <w:t>of Budget 2022.</w:t>
      </w:r>
      <w:r w:rsidRPr="58161626">
        <w:rPr>
          <w:rFonts w:asciiTheme="minorHAnsi" w:hAnsiTheme="minorHAnsi" w:cstheme="minorBidi"/>
          <w:sz w:val="22"/>
          <w:szCs w:val="22"/>
        </w:rPr>
        <w:t xml:space="preserve"> </w:t>
      </w:r>
    </w:p>
    <w:p w14:paraId="0554DE27" w14:textId="77777777" w:rsidR="00FC3881" w:rsidRPr="00E832A5" w:rsidRDefault="00FC3881" w:rsidP="00CE6BE1">
      <w:pPr>
        <w:pStyle w:val="BodyTextIndent"/>
        <w:keepNext/>
        <w:spacing w:line="276" w:lineRule="auto"/>
        <w:ind w:left="0"/>
        <w:rPr>
          <w:rFonts w:asciiTheme="minorHAnsi" w:hAnsiTheme="minorHAnsi" w:cstheme="minorHAnsi"/>
          <w:b/>
          <w:sz w:val="22"/>
          <w:szCs w:val="22"/>
        </w:rPr>
      </w:pPr>
      <w:r w:rsidRPr="00E832A5">
        <w:rPr>
          <w:rFonts w:asciiTheme="minorHAnsi" w:hAnsiTheme="minorHAnsi" w:cstheme="minorHAnsi"/>
          <w:b/>
          <w:sz w:val="22"/>
          <w:szCs w:val="22"/>
        </w:rPr>
        <w:t>Figure 1.2.3-1: Commercial Energy Forecast</w:t>
      </w:r>
    </w:p>
    <w:p w14:paraId="238CAFB2" w14:textId="263F1C5C" w:rsidR="00FC3881" w:rsidRPr="00E832A5" w:rsidRDefault="004122CD" w:rsidP="00CE6BE1">
      <w:pPr>
        <w:spacing w:line="276" w:lineRule="auto"/>
        <w:rPr>
          <w:rFonts w:asciiTheme="minorHAnsi" w:hAnsiTheme="minorHAnsi" w:cstheme="minorHAnsi"/>
          <w:sz w:val="22"/>
          <w:szCs w:val="22"/>
        </w:rPr>
      </w:pPr>
      <w:r w:rsidRPr="004122CD">
        <w:rPr>
          <w:rFonts w:asciiTheme="minorHAnsi" w:hAnsiTheme="minorHAnsi" w:cstheme="minorHAnsi"/>
          <w:noProof/>
          <w:sz w:val="22"/>
          <w:szCs w:val="22"/>
        </w:rPr>
        <w:drawing>
          <wp:inline distT="0" distB="0" distL="0" distR="0" wp14:anchorId="72641578" wp14:editId="5BCBAF8A">
            <wp:extent cx="5943600" cy="3224530"/>
            <wp:effectExtent l="0" t="0" r="0" b="0"/>
            <wp:docPr id="1181189725" name="Picture 1181189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3224530"/>
                    </a:xfrm>
                    <a:prstGeom prst="rect">
                      <a:avLst/>
                    </a:prstGeom>
                    <a:noFill/>
                    <a:ln>
                      <a:noFill/>
                    </a:ln>
                  </pic:spPr>
                </pic:pic>
              </a:graphicData>
            </a:graphic>
          </wp:inline>
        </w:drawing>
      </w:r>
      <w:r w:rsidR="00FA47EB" w:rsidRPr="00E832A5" w:rsidDel="00A950F3">
        <w:rPr>
          <w:rFonts w:asciiTheme="minorHAnsi" w:hAnsiTheme="minorHAnsi" w:cstheme="minorHAnsi"/>
          <w:noProof/>
          <w:sz w:val="22"/>
          <w:szCs w:val="22"/>
        </w:rPr>
        <w:t xml:space="preserve"> </w:t>
      </w:r>
    </w:p>
    <w:p w14:paraId="3832E54C" w14:textId="77777777" w:rsidR="005E339E" w:rsidRPr="00E832A5" w:rsidRDefault="005E339E" w:rsidP="004608CA">
      <w:pPr>
        <w:pStyle w:val="Heading2"/>
        <w:spacing w:before="240" w:after="240" w:line="276" w:lineRule="auto"/>
        <w:rPr>
          <w:rFonts w:asciiTheme="minorHAnsi" w:hAnsiTheme="minorHAnsi" w:cstheme="minorHAnsi"/>
          <w:b/>
          <w:color w:val="auto"/>
        </w:rPr>
      </w:pPr>
      <w:bookmarkStart w:id="3" w:name="_Toc347120357"/>
      <w:bookmarkStart w:id="4" w:name="_Toc93602743"/>
      <w:r w:rsidRPr="00E832A5">
        <w:rPr>
          <w:rFonts w:asciiTheme="minorHAnsi" w:hAnsiTheme="minorHAnsi" w:cstheme="minorHAnsi"/>
        </w:rPr>
        <w:t>1.2.4 Industrial</w:t>
      </w:r>
      <w:bookmarkEnd w:id="3"/>
      <w:bookmarkEnd w:id="4"/>
    </w:p>
    <w:p w14:paraId="16F326A1" w14:textId="676C52C6" w:rsidR="005E339E" w:rsidRPr="00E832A5" w:rsidRDefault="005E339E" w:rsidP="00CE6BE1">
      <w:pPr>
        <w:pStyle w:val="BodyText"/>
        <w:spacing w:line="276" w:lineRule="auto"/>
        <w:jc w:val="both"/>
        <w:rPr>
          <w:rFonts w:asciiTheme="minorHAnsi" w:hAnsiTheme="minorHAnsi" w:cstheme="minorHAnsi"/>
          <w:b/>
          <w:sz w:val="22"/>
          <w:szCs w:val="22"/>
        </w:rPr>
      </w:pPr>
      <w:r w:rsidRPr="00E832A5">
        <w:rPr>
          <w:rFonts w:asciiTheme="minorHAnsi" w:hAnsiTheme="minorHAnsi" w:cstheme="minorHAnsi"/>
          <w:sz w:val="22"/>
          <w:szCs w:val="22"/>
        </w:rPr>
        <w:t>Historical industrial sales from 201</w:t>
      </w:r>
      <w:r w:rsidR="00D92A21" w:rsidRPr="00E832A5">
        <w:rPr>
          <w:rFonts w:asciiTheme="minorHAnsi" w:hAnsiTheme="minorHAnsi" w:cstheme="minorHAnsi"/>
          <w:sz w:val="22"/>
          <w:szCs w:val="22"/>
        </w:rPr>
        <w:t>2</w:t>
      </w:r>
      <w:r w:rsidRPr="00E832A5">
        <w:rPr>
          <w:rFonts w:asciiTheme="minorHAnsi" w:hAnsiTheme="minorHAnsi" w:cstheme="minorHAnsi"/>
          <w:sz w:val="22"/>
          <w:szCs w:val="22"/>
        </w:rPr>
        <w:t>-202</w:t>
      </w:r>
      <w:r w:rsidR="00D92A21" w:rsidRPr="00E832A5">
        <w:rPr>
          <w:rFonts w:asciiTheme="minorHAnsi" w:hAnsiTheme="minorHAnsi" w:cstheme="minorHAnsi"/>
          <w:sz w:val="22"/>
          <w:szCs w:val="22"/>
        </w:rPr>
        <w:t>2</w:t>
      </w:r>
      <w:r w:rsidRPr="00E832A5">
        <w:rPr>
          <w:rFonts w:asciiTheme="minorHAnsi" w:hAnsiTheme="minorHAnsi" w:cstheme="minorHAnsi"/>
          <w:sz w:val="22"/>
          <w:szCs w:val="22"/>
        </w:rPr>
        <w:t xml:space="preserve"> </w:t>
      </w:r>
      <w:r w:rsidR="006E64A0" w:rsidRPr="00E832A5">
        <w:rPr>
          <w:rFonts w:asciiTheme="minorHAnsi" w:hAnsiTheme="minorHAnsi" w:cstheme="minorHAnsi"/>
          <w:sz w:val="22"/>
          <w:szCs w:val="22"/>
        </w:rPr>
        <w:t>rose</w:t>
      </w:r>
      <w:r w:rsidRPr="00E832A5">
        <w:rPr>
          <w:rFonts w:asciiTheme="minorHAnsi" w:hAnsiTheme="minorHAnsi" w:cstheme="minorHAnsi"/>
          <w:sz w:val="22"/>
          <w:szCs w:val="22"/>
        </w:rPr>
        <w:t xml:space="preserve"> by an average of </w:t>
      </w:r>
      <w:r w:rsidR="00D92A21" w:rsidRPr="00E832A5">
        <w:rPr>
          <w:rFonts w:asciiTheme="minorHAnsi" w:hAnsiTheme="minorHAnsi" w:cstheme="minorHAnsi"/>
          <w:sz w:val="22"/>
          <w:szCs w:val="22"/>
        </w:rPr>
        <w:t>78</w:t>
      </w:r>
      <w:r w:rsidRPr="00E832A5">
        <w:rPr>
          <w:rFonts w:asciiTheme="minorHAnsi" w:hAnsiTheme="minorHAnsi" w:cstheme="minorHAnsi"/>
          <w:sz w:val="22"/>
          <w:szCs w:val="22"/>
        </w:rPr>
        <w:t xml:space="preserve"> GWh per year. Figure 1.2.4-1 shows a comparison of Budget 2022</w:t>
      </w:r>
      <w:r w:rsidR="0089053B" w:rsidRPr="00E832A5">
        <w:rPr>
          <w:rFonts w:asciiTheme="minorHAnsi" w:hAnsiTheme="minorHAnsi" w:cstheme="minorHAnsi"/>
          <w:sz w:val="22"/>
          <w:szCs w:val="22"/>
        </w:rPr>
        <w:t>,</w:t>
      </w:r>
      <w:r w:rsidRPr="00E832A5">
        <w:rPr>
          <w:rFonts w:asciiTheme="minorHAnsi" w:hAnsiTheme="minorHAnsi" w:cstheme="minorHAnsi"/>
          <w:sz w:val="22"/>
          <w:szCs w:val="22"/>
        </w:rPr>
        <w:t xml:space="preserve"> Budget </w:t>
      </w:r>
      <w:proofErr w:type="gramStart"/>
      <w:r w:rsidRPr="00E832A5">
        <w:rPr>
          <w:rFonts w:asciiTheme="minorHAnsi" w:hAnsiTheme="minorHAnsi" w:cstheme="minorHAnsi"/>
          <w:sz w:val="22"/>
          <w:szCs w:val="22"/>
        </w:rPr>
        <w:t>202</w:t>
      </w:r>
      <w:r w:rsidR="004608CA">
        <w:rPr>
          <w:rFonts w:asciiTheme="minorHAnsi" w:hAnsiTheme="minorHAnsi" w:cstheme="minorHAnsi"/>
          <w:sz w:val="22"/>
          <w:szCs w:val="22"/>
        </w:rPr>
        <w:t>3</w:t>
      </w:r>
      <w:proofErr w:type="gramEnd"/>
      <w:r w:rsidR="0089053B" w:rsidRPr="00E832A5">
        <w:rPr>
          <w:rFonts w:asciiTheme="minorHAnsi" w:hAnsiTheme="minorHAnsi" w:cstheme="minorHAnsi"/>
          <w:sz w:val="22"/>
          <w:szCs w:val="22"/>
        </w:rPr>
        <w:t xml:space="preserve"> and </w:t>
      </w:r>
      <w:r w:rsidR="00097724">
        <w:rPr>
          <w:rFonts w:asciiTheme="minorHAnsi" w:hAnsiTheme="minorHAnsi" w:cstheme="minorHAnsi"/>
          <w:sz w:val="22"/>
          <w:szCs w:val="22"/>
        </w:rPr>
        <w:t xml:space="preserve">the </w:t>
      </w:r>
      <w:r w:rsidR="006A118D" w:rsidRPr="00E832A5">
        <w:rPr>
          <w:rFonts w:asciiTheme="minorHAnsi" w:hAnsiTheme="minorHAnsi" w:cstheme="minorHAnsi"/>
          <w:sz w:val="22"/>
          <w:szCs w:val="22"/>
        </w:rPr>
        <w:t>2023 IRP Update</w:t>
      </w:r>
      <w:r w:rsidR="00097724">
        <w:rPr>
          <w:rFonts w:asciiTheme="minorHAnsi" w:hAnsiTheme="minorHAnsi" w:cstheme="minorHAnsi"/>
          <w:sz w:val="22"/>
          <w:szCs w:val="22"/>
        </w:rPr>
        <w:t xml:space="preserve"> Load Forecast</w:t>
      </w:r>
      <w:r w:rsidR="006B1A20" w:rsidRPr="00E832A5">
        <w:rPr>
          <w:rFonts w:asciiTheme="minorHAnsi" w:hAnsiTheme="minorHAnsi" w:cstheme="minorHAnsi"/>
          <w:sz w:val="22"/>
          <w:szCs w:val="22"/>
        </w:rPr>
        <w:t>.</w:t>
      </w:r>
      <w:r w:rsidRPr="00E832A5">
        <w:rPr>
          <w:rFonts w:asciiTheme="minorHAnsi" w:hAnsiTheme="minorHAnsi" w:cstheme="minorHAnsi"/>
          <w:sz w:val="22"/>
          <w:szCs w:val="22"/>
        </w:rPr>
        <w:t xml:space="preserve"> </w:t>
      </w:r>
    </w:p>
    <w:p w14:paraId="091DA9E9" w14:textId="292FE216" w:rsidR="005E339E" w:rsidRPr="00E832A5" w:rsidRDefault="005E339E" w:rsidP="00CE6BE1">
      <w:pPr>
        <w:pStyle w:val="BodyText"/>
        <w:spacing w:line="276" w:lineRule="auto"/>
        <w:jc w:val="both"/>
        <w:rPr>
          <w:rFonts w:asciiTheme="minorHAnsi" w:hAnsiTheme="minorHAnsi" w:cstheme="minorHAnsi"/>
          <w:b/>
          <w:sz w:val="22"/>
          <w:szCs w:val="22"/>
        </w:rPr>
      </w:pPr>
      <w:r w:rsidRPr="00E832A5">
        <w:rPr>
          <w:rFonts w:asciiTheme="minorHAnsi" w:hAnsiTheme="minorHAnsi" w:cstheme="minorHAnsi"/>
          <w:sz w:val="22"/>
          <w:szCs w:val="22"/>
        </w:rPr>
        <w:t xml:space="preserve">Industrial sales in Budget 2022 </w:t>
      </w:r>
      <w:r w:rsidR="00CD13EC" w:rsidRPr="00E832A5">
        <w:rPr>
          <w:rFonts w:asciiTheme="minorHAnsi" w:hAnsiTheme="minorHAnsi" w:cstheme="minorHAnsi"/>
          <w:sz w:val="22"/>
          <w:szCs w:val="22"/>
        </w:rPr>
        <w:t xml:space="preserve">were expected to </w:t>
      </w:r>
      <w:r w:rsidRPr="00E832A5">
        <w:rPr>
          <w:rFonts w:asciiTheme="minorHAnsi" w:hAnsiTheme="minorHAnsi" w:cstheme="minorHAnsi"/>
          <w:sz w:val="22"/>
          <w:szCs w:val="22"/>
        </w:rPr>
        <w:t>gr</w:t>
      </w:r>
      <w:r w:rsidR="00CD13EC" w:rsidRPr="00E832A5">
        <w:rPr>
          <w:rFonts w:asciiTheme="minorHAnsi" w:hAnsiTheme="minorHAnsi" w:cstheme="minorHAnsi"/>
          <w:sz w:val="22"/>
          <w:szCs w:val="22"/>
        </w:rPr>
        <w:t>o</w:t>
      </w:r>
      <w:r w:rsidRPr="00E832A5">
        <w:rPr>
          <w:rFonts w:asciiTheme="minorHAnsi" w:hAnsiTheme="minorHAnsi" w:cstheme="minorHAnsi"/>
          <w:sz w:val="22"/>
          <w:szCs w:val="22"/>
        </w:rPr>
        <w:t>w slowly</w:t>
      </w:r>
      <w:r w:rsidR="00917C71" w:rsidRPr="00E832A5">
        <w:rPr>
          <w:rFonts w:asciiTheme="minorHAnsi" w:hAnsiTheme="minorHAnsi" w:cstheme="minorHAnsi"/>
          <w:sz w:val="22"/>
          <w:szCs w:val="22"/>
        </w:rPr>
        <w:t xml:space="preserve"> </w:t>
      </w:r>
      <w:r w:rsidR="00CD13EC" w:rsidRPr="00E832A5">
        <w:rPr>
          <w:rFonts w:asciiTheme="minorHAnsi" w:hAnsiTheme="minorHAnsi" w:cstheme="minorHAnsi"/>
          <w:sz w:val="22"/>
          <w:szCs w:val="22"/>
        </w:rPr>
        <w:t xml:space="preserve">after the pandemic, and then pick up </w:t>
      </w:r>
      <w:r w:rsidR="004A0E1F" w:rsidRPr="00E832A5">
        <w:rPr>
          <w:rFonts w:asciiTheme="minorHAnsi" w:hAnsiTheme="minorHAnsi" w:cstheme="minorHAnsi"/>
          <w:sz w:val="22"/>
          <w:szCs w:val="22"/>
        </w:rPr>
        <w:t xml:space="preserve">in the outer years of the forecast, driven </w:t>
      </w:r>
      <w:r w:rsidRPr="00E832A5">
        <w:rPr>
          <w:rFonts w:asciiTheme="minorHAnsi" w:hAnsiTheme="minorHAnsi" w:cstheme="minorHAnsi"/>
          <w:sz w:val="22"/>
          <w:szCs w:val="22"/>
        </w:rPr>
        <w:t>primarily by growth in Industrial Production.</w:t>
      </w:r>
      <w:r w:rsidR="00BD12F6" w:rsidRPr="00E832A5">
        <w:rPr>
          <w:rFonts w:asciiTheme="minorHAnsi" w:hAnsiTheme="minorHAnsi" w:cstheme="minorHAnsi"/>
          <w:sz w:val="22"/>
          <w:szCs w:val="22"/>
        </w:rPr>
        <w:t xml:space="preserve"> </w:t>
      </w:r>
      <w:r w:rsidR="00D23955">
        <w:rPr>
          <w:rFonts w:asciiTheme="minorHAnsi" w:hAnsiTheme="minorHAnsi" w:cstheme="minorHAnsi"/>
          <w:sz w:val="22"/>
          <w:szCs w:val="22"/>
        </w:rPr>
        <w:t>T</w:t>
      </w:r>
      <w:r w:rsidR="00ED69CD">
        <w:rPr>
          <w:rFonts w:asciiTheme="minorHAnsi" w:hAnsiTheme="minorHAnsi" w:cstheme="minorHAnsi"/>
          <w:sz w:val="22"/>
          <w:szCs w:val="22"/>
        </w:rPr>
        <w:t>he</w:t>
      </w:r>
      <w:r w:rsidR="00BD12F6" w:rsidRPr="00E832A5">
        <w:rPr>
          <w:rFonts w:asciiTheme="minorHAnsi" w:hAnsiTheme="minorHAnsi" w:cstheme="minorHAnsi"/>
          <w:sz w:val="22"/>
          <w:szCs w:val="22"/>
        </w:rPr>
        <w:t xml:space="preserve"> </w:t>
      </w:r>
      <w:r w:rsidR="001C532C" w:rsidRPr="00E832A5">
        <w:rPr>
          <w:rFonts w:asciiTheme="minorHAnsi" w:hAnsiTheme="minorHAnsi" w:cstheme="minorHAnsi"/>
          <w:sz w:val="22"/>
          <w:szCs w:val="22"/>
        </w:rPr>
        <w:t>2023 IRP Update</w:t>
      </w:r>
      <w:r w:rsidR="00ED69CD">
        <w:rPr>
          <w:rFonts w:asciiTheme="minorHAnsi" w:hAnsiTheme="minorHAnsi" w:cstheme="minorHAnsi"/>
          <w:sz w:val="22"/>
          <w:szCs w:val="22"/>
        </w:rPr>
        <w:t xml:space="preserve"> Load Forecast</w:t>
      </w:r>
      <w:r w:rsidR="00A950F3" w:rsidRPr="00E832A5" w:rsidDel="006B1A20">
        <w:rPr>
          <w:rFonts w:asciiTheme="minorHAnsi" w:hAnsiTheme="minorHAnsi" w:cstheme="minorHAnsi"/>
          <w:sz w:val="22"/>
          <w:szCs w:val="22"/>
        </w:rPr>
        <w:t xml:space="preserve"> </w:t>
      </w:r>
      <w:r w:rsidR="002F6431" w:rsidRPr="00E832A5">
        <w:rPr>
          <w:rFonts w:asciiTheme="minorHAnsi" w:hAnsiTheme="minorHAnsi" w:cstheme="minorHAnsi"/>
          <w:sz w:val="22"/>
          <w:szCs w:val="22"/>
        </w:rPr>
        <w:t>begin</w:t>
      </w:r>
      <w:r w:rsidR="00D23955">
        <w:rPr>
          <w:rFonts w:asciiTheme="minorHAnsi" w:hAnsiTheme="minorHAnsi" w:cstheme="minorHAnsi"/>
          <w:sz w:val="22"/>
          <w:szCs w:val="22"/>
        </w:rPr>
        <w:t>s</w:t>
      </w:r>
      <w:r w:rsidR="002F6431" w:rsidRPr="00E832A5">
        <w:rPr>
          <w:rFonts w:asciiTheme="minorHAnsi" w:hAnsiTheme="minorHAnsi" w:cstheme="minorHAnsi"/>
          <w:sz w:val="22"/>
          <w:szCs w:val="22"/>
        </w:rPr>
        <w:t xml:space="preserve"> to grow quickly </w:t>
      </w:r>
      <w:r w:rsidR="003A7F57" w:rsidRPr="00E832A5">
        <w:rPr>
          <w:rFonts w:asciiTheme="minorHAnsi" w:hAnsiTheme="minorHAnsi" w:cstheme="minorHAnsi"/>
          <w:sz w:val="22"/>
          <w:szCs w:val="22"/>
        </w:rPr>
        <w:t xml:space="preserve">in 2025 and beyond as </w:t>
      </w:r>
      <w:proofErr w:type="gramStart"/>
      <w:r w:rsidR="00B65F6F" w:rsidRPr="00E832A5">
        <w:rPr>
          <w:rFonts w:asciiTheme="minorHAnsi" w:hAnsiTheme="minorHAnsi" w:cstheme="minorHAnsi"/>
          <w:sz w:val="22"/>
          <w:szCs w:val="22"/>
        </w:rPr>
        <w:t>new large</w:t>
      </w:r>
      <w:proofErr w:type="gramEnd"/>
      <w:r w:rsidR="00B65F6F" w:rsidRPr="00E832A5">
        <w:rPr>
          <w:rFonts w:asciiTheme="minorHAnsi" w:hAnsiTheme="minorHAnsi" w:cstheme="minorHAnsi"/>
          <w:sz w:val="22"/>
          <w:szCs w:val="22"/>
        </w:rPr>
        <w:t xml:space="preserve"> customer load</w:t>
      </w:r>
      <w:r w:rsidR="003A7F57" w:rsidRPr="00E832A5">
        <w:rPr>
          <w:rFonts w:asciiTheme="minorHAnsi" w:hAnsiTheme="minorHAnsi" w:cstheme="minorHAnsi"/>
          <w:sz w:val="22"/>
          <w:szCs w:val="22"/>
        </w:rPr>
        <w:t xml:space="preserve"> projects come online</w:t>
      </w:r>
      <w:r w:rsidR="00FF6D1E" w:rsidRPr="00E832A5">
        <w:rPr>
          <w:rFonts w:asciiTheme="minorHAnsi" w:hAnsiTheme="minorHAnsi" w:cstheme="minorHAnsi"/>
          <w:sz w:val="22"/>
          <w:szCs w:val="22"/>
        </w:rPr>
        <w:t xml:space="preserve">. Over the 2023-2033 period, </w:t>
      </w:r>
      <w:r w:rsidR="00642C04">
        <w:rPr>
          <w:rFonts w:asciiTheme="minorHAnsi" w:hAnsiTheme="minorHAnsi" w:cstheme="minorHAnsi"/>
          <w:sz w:val="22"/>
          <w:szCs w:val="22"/>
        </w:rPr>
        <w:t xml:space="preserve">the 2023 </w:t>
      </w:r>
      <w:r w:rsidR="00FB7B06">
        <w:rPr>
          <w:rFonts w:asciiTheme="minorHAnsi" w:hAnsiTheme="minorHAnsi" w:cstheme="minorHAnsi"/>
          <w:sz w:val="22"/>
          <w:szCs w:val="22"/>
        </w:rPr>
        <w:t>IRP Update Load Forecast</w:t>
      </w:r>
      <w:r w:rsidR="00FF6D1E" w:rsidRPr="00E832A5">
        <w:rPr>
          <w:rFonts w:asciiTheme="minorHAnsi" w:hAnsiTheme="minorHAnsi" w:cstheme="minorHAnsi"/>
          <w:sz w:val="22"/>
          <w:szCs w:val="22"/>
        </w:rPr>
        <w:t xml:space="preserve"> is expected to </w:t>
      </w:r>
      <w:r w:rsidR="00512059" w:rsidRPr="00E832A5">
        <w:rPr>
          <w:rFonts w:asciiTheme="minorHAnsi" w:hAnsiTheme="minorHAnsi" w:cstheme="minorHAnsi"/>
          <w:sz w:val="22"/>
          <w:szCs w:val="22"/>
        </w:rPr>
        <w:t xml:space="preserve">add </w:t>
      </w:r>
      <w:r w:rsidR="00832938" w:rsidRPr="00E832A5" w:rsidDel="00FB7B06">
        <w:rPr>
          <w:rFonts w:asciiTheme="minorHAnsi" w:hAnsiTheme="minorHAnsi" w:cstheme="minorHAnsi"/>
          <w:sz w:val="22"/>
          <w:szCs w:val="22"/>
        </w:rPr>
        <w:t>1,</w:t>
      </w:r>
      <w:r w:rsidR="00FB7B06">
        <w:rPr>
          <w:rFonts w:asciiTheme="minorHAnsi" w:hAnsiTheme="minorHAnsi" w:cstheme="minorHAnsi"/>
          <w:sz w:val="22"/>
          <w:szCs w:val="22"/>
        </w:rPr>
        <w:t>304</w:t>
      </w:r>
      <w:r w:rsidR="00832938" w:rsidRPr="00E832A5">
        <w:rPr>
          <w:rFonts w:asciiTheme="minorHAnsi" w:hAnsiTheme="minorHAnsi" w:cstheme="minorHAnsi"/>
          <w:sz w:val="22"/>
          <w:szCs w:val="22"/>
        </w:rPr>
        <w:t xml:space="preserve"> GWh per year compared to just 215 GW</w:t>
      </w:r>
      <w:r w:rsidR="00D9609E" w:rsidRPr="00E832A5">
        <w:rPr>
          <w:rFonts w:asciiTheme="minorHAnsi" w:hAnsiTheme="minorHAnsi" w:cstheme="minorHAnsi"/>
          <w:sz w:val="22"/>
          <w:szCs w:val="22"/>
        </w:rPr>
        <w:t>h</w:t>
      </w:r>
      <w:r w:rsidR="00832938" w:rsidRPr="00E832A5">
        <w:rPr>
          <w:rFonts w:asciiTheme="minorHAnsi" w:hAnsiTheme="minorHAnsi" w:cstheme="minorHAnsi"/>
          <w:sz w:val="22"/>
          <w:szCs w:val="22"/>
        </w:rPr>
        <w:t xml:space="preserve"> per year in Budget 2022</w:t>
      </w:r>
      <w:r w:rsidR="00F223D6">
        <w:rPr>
          <w:rFonts w:asciiTheme="minorHAnsi" w:hAnsiTheme="minorHAnsi" w:cstheme="minorHAnsi"/>
          <w:sz w:val="22"/>
          <w:szCs w:val="22"/>
        </w:rPr>
        <w:t xml:space="preserve"> and 345 GWh per year in Budget 2023</w:t>
      </w:r>
      <w:r w:rsidR="00832938" w:rsidRPr="00E832A5">
        <w:rPr>
          <w:rFonts w:asciiTheme="minorHAnsi" w:hAnsiTheme="minorHAnsi" w:cstheme="minorHAnsi"/>
          <w:sz w:val="22"/>
          <w:szCs w:val="22"/>
        </w:rPr>
        <w:t>.</w:t>
      </w:r>
    </w:p>
    <w:p w14:paraId="321CEB38" w14:textId="77777777" w:rsidR="005E339E" w:rsidRPr="00E832A5" w:rsidRDefault="005E339E" w:rsidP="00CE6BE1">
      <w:pPr>
        <w:pStyle w:val="BodyTextIndent"/>
        <w:keepNext/>
        <w:spacing w:line="276" w:lineRule="auto"/>
        <w:ind w:left="0"/>
        <w:rPr>
          <w:rFonts w:asciiTheme="minorHAnsi" w:hAnsiTheme="minorHAnsi" w:cstheme="minorHAnsi"/>
          <w:b/>
        </w:rPr>
      </w:pPr>
      <w:r w:rsidRPr="00E832A5">
        <w:rPr>
          <w:rFonts w:asciiTheme="minorHAnsi" w:hAnsiTheme="minorHAnsi" w:cstheme="minorHAnsi"/>
          <w:b/>
        </w:rPr>
        <w:lastRenderedPageBreak/>
        <w:t>Figure 1.2.4-1: Industrial Energy Forecast</w:t>
      </w:r>
    </w:p>
    <w:p w14:paraId="7B2D06CA" w14:textId="01CC8546" w:rsidR="001231D1" w:rsidRPr="00E832A5" w:rsidRDefault="00E7103D" w:rsidP="00CE6BE1">
      <w:pPr>
        <w:spacing w:line="276" w:lineRule="auto"/>
        <w:rPr>
          <w:rFonts w:asciiTheme="minorHAnsi" w:hAnsiTheme="minorHAnsi" w:cstheme="minorHAnsi"/>
        </w:rPr>
      </w:pPr>
      <w:r w:rsidRPr="00E7103D">
        <w:rPr>
          <w:rFonts w:asciiTheme="minorHAnsi" w:hAnsiTheme="minorHAnsi" w:cstheme="minorHAnsi"/>
          <w:noProof/>
        </w:rPr>
        <w:drawing>
          <wp:inline distT="0" distB="0" distL="0" distR="0" wp14:anchorId="607D96EE" wp14:editId="35B87E28">
            <wp:extent cx="5943600" cy="3217545"/>
            <wp:effectExtent l="0" t="0" r="0" b="1905"/>
            <wp:docPr id="2111949463" name="Picture 2111949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3217545"/>
                    </a:xfrm>
                    <a:prstGeom prst="rect">
                      <a:avLst/>
                    </a:prstGeom>
                    <a:noFill/>
                    <a:ln>
                      <a:noFill/>
                    </a:ln>
                  </pic:spPr>
                </pic:pic>
              </a:graphicData>
            </a:graphic>
          </wp:inline>
        </w:drawing>
      </w:r>
      <w:r w:rsidR="00CF4BC3" w:rsidRPr="00E832A5" w:rsidDel="00AD66D1">
        <w:rPr>
          <w:rFonts w:asciiTheme="minorHAnsi" w:hAnsiTheme="minorHAnsi" w:cstheme="minorHAnsi"/>
          <w:noProof/>
        </w:rPr>
        <w:t xml:space="preserve"> </w:t>
      </w:r>
    </w:p>
    <w:p w14:paraId="1B99B27E" w14:textId="77777777" w:rsidR="00671846" w:rsidRPr="00E832A5" w:rsidRDefault="00671846" w:rsidP="00CE6BE1">
      <w:pPr>
        <w:spacing w:line="276" w:lineRule="auto"/>
        <w:rPr>
          <w:rFonts w:asciiTheme="minorHAnsi" w:hAnsiTheme="minorHAnsi" w:cstheme="minorHAnsi"/>
        </w:rPr>
      </w:pPr>
    </w:p>
    <w:p w14:paraId="5D5F7EA0" w14:textId="77777777" w:rsidR="005E7C65" w:rsidRPr="00E832A5" w:rsidRDefault="005E7C65" w:rsidP="00D67BAC">
      <w:pPr>
        <w:pStyle w:val="Heading2"/>
        <w:spacing w:before="240" w:after="240" w:line="276" w:lineRule="auto"/>
        <w:rPr>
          <w:rFonts w:asciiTheme="minorHAnsi" w:hAnsiTheme="minorHAnsi" w:cstheme="minorHAnsi"/>
          <w:b/>
          <w:color w:val="auto"/>
        </w:rPr>
      </w:pPr>
      <w:bookmarkStart w:id="5" w:name="_Toc156382606"/>
      <w:bookmarkStart w:id="6" w:name="_Toc347120359"/>
      <w:bookmarkStart w:id="7" w:name="_Toc93602744"/>
      <w:r w:rsidRPr="00E832A5">
        <w:rPr>
          <w:rFonts w:asciiTheme="minorHAnsi" w:hAnsiTheme="minorHAnsi" w:cstheme="minorHAnsi"/>
        </w:rPr>
        <w:t>1.2.5 Other Retail: Governmental Lighting, MARTA</w:t>
      </w:r>
      <w:bookmarkEnd w:id="5"/>
      <w:bookmarkEnd w:id="6"/>
      <w:bookmarkEnd w:id="7"/>
    </w:p>
    <w:p w14:paraId="41C78030" w14:textId="5B263FEB" w:rsidR="005E7C65" w:rsidRPr="00E832A5" w:rsidRDefault="005E7C65" w:rsidP="00CE6BE1">
      <w:pPr>
        <w:pStyle w:val="BodyText"/>
        <w:spacing w:line="276" w:lineRule="auto"/>
        <w:jc w:val="both"/>
        <w:rPr>
          <w:rFonts w:asciiTheme="minorHAnsi" w:hAnsiTheme="minorHAnsi" w:cstheme="minorHAnsi"/>
          <w:b/>
          <w:sz w:val="22"/>
          <w:szCs w:val="22"/>
        </w:rPr>
      </w:pPr>
      <w:r w:rsidRPr="00E832A5">
        <w:rPr>
          <w:rFonts w:asciiTheme="minorHAnsi" w:hAnsiTheme="minorHAnsi" w:cstheme="minorHAnsi"/>
          <w:sz w:val="22"/>
          <w:szCs w:val="22"/>
        </w:rPr>
        <w:t xml:space="preserve">Regulated </w:t>
      </w:r>
      <w:r w:rsidR="00F70A69" w:rsidRPr="00E832A5">
        <w:rPr>
          <w:rFonts w:asciiTheme="minorHAnsi" w:hAnsiTheme="minorHAnsi" w:cstheme="minorHAnsi"/>
          <w:sz w:val="22"/>
          <w:szCs w:val="22"/>
        </w:rPr>
        <w:t>G</w:t>
      </w:r>
      <w:r w:rsidRPr="00E832A5">
        <w:rPr>
          <w:rFonts w:asciiTheme="minorHAnsi" w:hAnsiTheme="minorHAnsi" w:cstheme="minorHAnsi"/>
          <w:sz w:val="22"/>
          <w:szCs w:val="22"/>
        </w:rPr>
        <w:t xml:space="preserve">overnmental </w:t>
      </w:r>
      <w:r w:rsidR="00F70A69" w:rsidRPr="00E832A5">
        <w:rPr>
          <w:rFonts w:asciiTheme="minorHAnsi" w:hAnsiTheme="minorHAnsi" w:cstheme="minorHAnsi"/>
          <w:sz w:val="22"/>
          <w:szCs w:val="22"/>
        </w:rPr>
        <w:t>L</w:t>
      </w:r>
      <w:r w:rsidRPr="00E832A5">
        <w:rPr>
          <w:rFonts w:asciiTheme="minorHAnsi" w:hAnsiTheme="minorHAnsi" w:cstheme="minorHAnsi"/>
          <w:sz w:val="22"/>
          <w:szCs w:val="22"/>
        </w:rPr>
        <w:t xml:space="preserve">ighting and MARTA are Georgia Power’s two smallest classes. Combined, they account for </w:t>
      </w:r>
      <w:r w:rsidR="001B248E" w:rsidRPr="00E832A5">
        <w:rPr>
          <w:rFonts w:asciiTheme="minorHAnsi" w:hAnsiTheme="minorHAnsi" w:cstheme="minorHAnsi"/>
          <w:sz w:val="22"/>
          <w:szCs w:val="22"/>
        </w:rPr>
        <w:t>about</w:t>
      </w:r>
      <w:r w:rsidRPr="00E832A5">
        <w:rPr>
          <w:rFonts w:asciiTheme="minorHAnsi" w:hAnsiTheme="minorHAnsi" w:cstheme="minorHAnsi"/>
          <w:sz w:val="22"/>
          <w:szCs w:val="22"/>
        </w:rPr>
        <w:t xml:space="preserve"> </w:t>
      </w:r>
      <w:r w:rsidR="006A445F" w:rsidRPr="00E832A5">
        <w:rPr>
          <w:rFonts w:asciiTheme="minorHAnsi" w:hAnsiTheme="minorHAnsi" w:cstheme="minorHAnsi"/>
          <w:sz w:val="22"/>
          <w:szCs w:val="22"/>
        </w:rPr>
        <w:t>0.5</w:t>
      </w:r>
      <w:r w:rsidRPr="00E832A5">
        <w:rPr>
          <w:rFonts w:asciiTheme="minorHAnsi" w:hAnsiTheme="minorHAnsi" w:cstheme="minorHAnsi"/>
          <w:sz w:val="22"/>
          <w:szCs w:val="22"/>
        </w:rPr>
        <w:t xml:space="preserve">% of total sales. The regulated governmental lighting forecast is comprised of roadway lighting and traffic control. Governmental lighting sales have declined significantly since 2014 as Georgia Power worked with local municipalities to convert traditional streetlights to LED lights, which use much less energy. Budget 2022 </w:t>
      </w:r>
      <w:r w:rsidR="00071708">
        <w:rPr>
          <w:rFonts w:asciiTheme="minorHAnsi" w:hAnsiTheme="minorHAnsi" w:cstheme="minorHAnsi"/>
          <w:sz w:val="22"/>
          <w:szCs w:val="22"/>
        </w:rPr>
        <w:t xml:space="preserve">and Budget 2023 </w:t>
      </w:r>
      <w:r w:rsidRPr="00E832A5">
        <w:rPr>
          <w:rFonts w:asciiTheme="minorHAnsi" w:hAnsiTheme="minorHAnsi" w:cstheme="minorHAnsi"/>
          <w:sz w:val="22"/>
          <w:szCs w:val="22"/>
        </w:rPr>
        <w:t>recognize</w:t>
      </w:r>
      <w:r w:rsidR="0078095D" w:rsidRPr="00E832A5">
        <w:rPr>
          <w:rFonts w:asciiTheme="minorHAnsi" w:hAnsiTheme="minorHAnsi" w:cstheme="minorHAnsi"/>
          <w:sz w:val="22"/>
          <w:szCs w:val="22"/>
        </w:rPr>
        <w:t>d</w:t>
      </w:r>
      <w:r w:rsidRPr="00E832A5">
        <w:rPr>
          <w:rFonts w:asciiTheme="minorHAnsi" w:hAnsiTheme="minorHAnsi" w:cstheme="minorHAnsi"/>
          <w:sz w:val="22"/>
          <w:szCs w:val="22"/>
        </w:rPr>
        <w:t xml:space="preserve"> that over time traditional streetlights will be replaced with LEDs as they reach the end of their useful lives. </w:t>
      </w:r>
      <w:r w:rsidR="00E52570" w:rsidRPr="00E832A5">
        <w:rPr>
          <w:rFonts w:asciiTheme="minorHAnsi" w:hAnsiTheme="minorHAnsi" w:cstheme="minorHAnsi"/>
          <w:sz w:val="22"/>
          <w:szCs w:val="22"/>
        </w:rPr>
        <w:t xml:space="preserve">The </w:t>
      </w:r>
      <w:r w:rsidR="001038B4" w:rsidRPr="000B28D4">
        <w:rPr>
          <w:rStyle w:val="cf01"/>
          <w:rFonts w:asciiTheme="minorHAnsi" w:hAnsiTheme="minorHAnsi" w:cstheme="minorHAnsi"/>
          <w:sz w:val="22"/>
          <w:szCs w:val="22"/>
        </w:rPr>
        <w:t>2023 IRP Update Load Forecast</w:t>
      </w:r>
      <w:r w:rsidR="000B28D4">
        <w:rPr>
          <w:rStyle w:val="cf01"/>
          <w:rFonts w:asciiTheme="minorHAnsi" w:hAnsiTheme="minorHAnsi" w:cstheme="minorHAnsi"/>
          <w:sz w:val="22"/>
          <w:szCs w:val="22"/>
        </w:rPr>
        <w:t xml:space="preserve"> </w:t>
      </w:r>
      <w:r w:rsidRPr="00E832A5">
        <w:rPr>
          <w:rFonts w:asciiTheme="minorHAnsi" w:hAnsiTheme="minorHAnsi" w:cstheme="minorHAnsi"/>
          <w:sz w:val="22"/>
          <w:szCs w:val="22"/>
        </w:rPr>
        <w:t xml:space="preserve">governmental lighting forecast </w:t>
      </w:r>
      <w:r w:rsidR="00E52570" w:rsidRPr="00E832A5">
        <w:rPr>
          <w:rFonts w:asciiTheme="minorHAnsi" w:hAnsiTheme="minorHAnsi" w:cstheme="minorHAnsi"/>
          <w:sz w:val="22"/>
          <w:szCs w:val="22"/>
        </w:rPr>
        <w:t xml:space="preserve">follows a similar trajectory </w:t>
      </w:r>
      <w:r w:rsidRPr="00E832A5">
        <w:rPr>
          <w:rFonts w:asciiTheme="minorHAnsi" w:hAnsiTheme="minorHAnsi" w:cstheme="minorHAnsi"/>
          <w:sz w:val="22"/>
          <w:szCs w:val="22"/>
        </w:rPr>
        <w:t>over the forecast horizon</w:t>
      </w:r>
      <w:r w:rsidR="00BD4ECB" w:rsidRPr="00E832A5">
        <w:rPr>
          <w:rFonts w:asciiTheme="minorHAnsi" w:hAnsiTheme="minorHAnsi" w:cstheme="minorHAnsi"/>
          <w:sz w:val="22"/>
          <w:szCs w:val="22"/>
        </w:rPr>
        <w:t xml:space="preserve"> for the same reason</w:t>
      </w:r>
      <w:r w:rsidRPr="00E832A5">
        <w:rPr>
          <w:rFonts w:asciiTheme="minorHAnsi" w:hAnsiTheme="minorHAnsi" w:cstheme="minorHAnsi"/>
          <w:sz w:val="22"/>
          <w:szCs w:val="22"/>
        </w:rPr>
        <w:t>, as shown in Figure 1.2.5-1.</w:t>
      </w:r>
    </w:p>
    <w:p w14:paraId="5747F571" w14:textId="77777777" w:rsidR="005E7C65" w:rsidRPr="00E832A5" w:rsidRDefault="005E7C65" w:rsidP="00CE6BE1">
      <w:pPr>
        <w:pStyle w:val="BodyTextIndent"/>
        <w:keepNext/>
        <w:spacing w:line="276" w:lineRule="auto"/>
        <w:ind w:left="0"/>
        <w:rPr>
          <w:rFonts w:asciiTheme="minorHAnsi" w:hAnsiTheme="minorHAnsi" w:cstheme="minorHAnsi"/>
          <w:b/>
        </w:rPr>
      </w:pPr>
      <w:r w:rsidRPr="00E832A5">
        <w:rPr>
          <w:rFonts w:asciiTheme="minorHAnsi" w:hAnsiTheme="minorHAnsi" w:cstheme="minorHAnsi"/>
          <w:b/>
        </w:rPr>
        <w:lastRenderedPageBreak/>
        <w:t>Figure 1.2.5-1: Governmental Lighting Energy Forecast</w:t>
      </w:r>
    </w:p>
    <w:p w14:paraId="76CCB30C" w14:textId="53F4B1D7" w:rsidR="005E3F28" w:rsidRPr="00E832A5" w:rsidRDefault="002B5AF7" w:rsidP="00CE6BE1">
      <w:pPr>
        <w:spacing w:line="276" w:lineRule="auto"/>
        <w:rPr>
          <w:rFonts w:asciiTheme="minorHAnsi" w:hAnsiTheme="minorHAnsi" w:cstheme="minorHAnsi"/>
        </w:rPr>
      </w:pPr>
      <w:r w:rsidRPr="002B5AF7">
        <w:rPr>
          <w:rFonts w:asciiTheme="minorHAnsi" w:hAnsiTheme="minorHAnsi" w:cstheme="minorHAnsi"/>
          <w:noProof/>
        </w:rPr>
        <w:drawing>
          <wp:inline distT="0" distB="0" distL="0" distR="0" wp14:anchorId="06E84C73" wp14:editId="08D7DCA4">
            <wp:extent cx="5943600" cy="3227705"/>
            <wp:effectExtent l="0" t="0" r="0" b="0"/>
            <wp:docPr id="1065880128" name="Picture 1065880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3227705"/>
                    </a:xfrm>
                    <a:prstGeom prst="rect">
                      <a:avLst/>
                    </a:prstGeom>
                    <a:noFill/>
                    <a:ln>
                      <a:noFill/>
                    </a:ln>
                  </pic:spPr>
                </pic:pic>
              </a:graphicData>
            </a:graphic>
          </wp:inline>
        </w:drawing>
      </w:r>
      <w:r w:rsidR="003E4934" w:rsidRPr="00E832A5" w:rsidDel="003E4934">
        <w:rPr>
          <w:rFonts w:asciiTheme="minorHAnsi" w:hAnsiTheme="minorHAnsi" w:cstheme="minorHAnsi"/>
          <w:noProof/>
        </w:rPr>
        <w:t xml:space="preserve"> </w:t>
      </w:r>
    </w:p>
    <w:p w14:paraId="14E0D61D" w14:textId="77777777" w:rsidR="005E3F28" w:rsidRPr="00E832A5" w:rsidRDefault="005E3F28" w:rsidP="00CE6BE1">
      <w:pPr>
        <w:spacing w:line="276" w:lineRule="auto"/>
        <w:rPr>
          <w:rFonts w:asciiTheme="minorHAnsi" w:hAnsiTheme="minorHAnsi" w:cstheme="minorHAnsi"/>
        </w:rPr>
      </w:pPr>
    </w:p>
    <w:p w14:paraId="7198DA81" w14:textId="77777777" w:rsidR="006D7978" w:rsidRPr="00E832A5" w:rsidRDefault="006D7978" w:rsidP="00CE6BE1">
      <w:pPr>
        <w:spacing w:line="276" w:lineRule="auto"/>
        <w:rPr>
          <w:rFonts w:asciiTheme="minorHAnsi" w:hAnsiTheme="minorHAnsi" w:cstheme="minorHAnsi"/>
        </w:rPr>
      </w:pPr>
    </w:p>
    <w:p w14:paraId="54831FB2" w14:textId="0DB74385" w:rsidR="005E3F28" w:rsidRPr="00E832A5" w:rsidRDefault="005E3F28" w:rsidP="00CE6BE1">
      <w:pPr>
        <w:pStyle w:val="BodyText"/>
        <w:spacing w:line="276" w:lineRule="auto"/>
        <w:jc w:val="both"/>
        <w:rPr>
          <w:rFonts w:asciiTheme="minorHAnsi" w:hAnsiTheme="minorHAnsi" w:cstheme="minorHAnsi"/>
          <w:b/>
          <w:sz w:val="22"/>
          <w:szCs w:val="22"/>
        </w:rPr>
      </w:pPr>
      <w:r w:rsidRPr="00E832A5">
        <w:rPr>
          <w:rFonts w:asciiTheme="minorHAnsi" w:hAnsiTheme="minorHAnsi" w:cstheme="minorHAnsi"/>
          <w:bCs/>
          <w:sz w:val="22"/>
          <w:szCs w:val="22"/>
        </w:rPr>
        <w:t>Energy sales to MARTA dropped significantly in 2020 as ridership fell due to the Covid-19 pandemic. As seen in Figure 1.2.5-2, the</w:t>
      </w:r>
      <w:r w:rsidRPr="00E832A5">
        <w:rPr>
          <w:rFonts w:asciiTheme="minorHAnsi" w:hAnsiTheme="minorHAnsi" w:cstheme="minorHAnsi"/>
          <w:sz w:val="22"/>
          <w:szCs w:val="22"/>
        </w:rPr>
        <w:t xml:space="preserve"> Budget 2022 MARTA energy forecast </w:t>
      </w:r>
      <w:r w:rsidR="00D42F67" w:rsidRPr="00E832A5">
        <w:rPr>
          <w:rFonts w:asciiTheme="minorHAnsi" w:hAnsiTheme="minorHAnsi" w:cstheme="minorHAnsi"/>
          <w:sz w:val="22"/>
          <w:szCs w:val="22"/>
        </w:rPr>
        <w:t xml:space="preserve">assumed that </w:t>
      </w:r>
      <w:r w:rsidR="00CA73F4" w:rsidRPr="00E832A5">
        <w:rPr>
          <w:rFonts w:asciiTheme="minorHAnsi" w:hAnsiTheme="minorHAnsi" w:cstheme="minorHAnsi"/>
          <w:sz w:val="22"/>
          <w:szCs w:val="22"/>
        </w:rPr>
        <w:t>sales</w:t>
      </w:r>
      <w:r w:rsidR="00D42F67" w:rsidRPr="00E832A5">
        <w:rPr>
          <w:rFonts w:asciiTheme="minorHAnsi" w:hAnsiTheme="minorHAnsi" w:cstheme="minorHAnsi"/>
          <w:sz w:val="22"/>
          <w:szCs w:val="22"/>
        </w:rPr>
        <w:t xml:space="preserve"> wo</w:t>
      </w:r>
      <w:r w:rsidR="00CA73F4" w:rsidRPr="00E832A5">
        <w:rPr>
          <w:rFonts w:asciiTheme="minorHAnsi" w:hAnsiTheme="minorHAnsi" w:cstheme="minorHAnsi"/>
          <w:sz w:val="22"/>
          <w:szCs w:val="22"/>
        </w:rPr>
        <w:t>uld recover</w:t>
      </w:r>
      <w:r w:rsidR="00772AB3">
        <w:rPr>
          <w:rFonts w:asciiTheme="minorHAnsi" w:hAnsiTheme="minorHAnsi" w:cstheme="minorHAnsi"/>
          <w:sz w:val="22"/>
          <w:szCs w:val="22"/>
        </w:rPr>
        <w:t>, although</w:t>
      </w:r>
      <w:r w:rsidR="00CA73F4" w:rsidRPr="00E832A5" w:rsidDel="000212B3">
        <w:rPr>
          <w:rFonts w:asciiTheme="minorHAnsi" w:hAnsiTheme="minorHAnsi" w:cstheme="minorHAnsi"/>
          <w:sz w:val="22"/>
          <w:szCs w:val="22"/>
        </w:rPr>
        <w:t xml:space="preserve"> </w:t>
      </w:r>
      <w:r w:rsidR="002F3F38" w:rsidRPr="00E832A5">
        <w:rPr>
          <w:rFonts w:asciiTheme="minorHAnsi" w:hAnsiTheme="minorHAnsi" w:cstheme="minorHAnsi"/>
          <w:sz w:val="22"/>
          <w:szCs w:val="22"/>
        </w:rPr>
        <w:t xml:space="preserve">not to pre-pandemic levels over the forecast horizon. </w:t>
      </w:r>
      <w:r w:rsidR="000F394C" w:rsidRPr="00E832A5">
        <w:rPr>
          <w:rFonts w:asciiTheme="minorHAnsi" w:hAnsiTheme="minorHAnsi" w:cstheme="minorHAnsi"/>
          <w:sz w:val="22"/>
          <w:szCs w:val="22"/>
        </w:rPr>
        <w:t>However, actual s</w:t>
      </w:r>
      <w:r w:rsidR="00D66A75" w:rsidRPr="00E832A5">
        <w:rPr>
          <w:rFonts w:asciiTheme="minorHAnsi" w:hAnsiTheme="minorHAnsi" w:cstheme="minorHAnsi"/>
          <w:sz w:val="22"/>
          <w:szCs w:val="22"/>
        </w:rPr>
        <w:t xml:space="preserve">ales were </w:t>
      </w:r>
      <w:r w:rsidR="00A65225" w:rsidRPr="00E832A5">
        <w:rPr>
          <w:rFonts w:asciiTheme="minorHAnsi" w:hAnsiTheme="minorHAnsi" w:cstheme="minorHAnsi"/>
          <w:sz w:val="22"/>
          <w:szCs w:val="22"/>
        </w:rPr>
        <w:t xml:space="preserve">relatively flat from 2020-2022 as </w:t>
      </w:r>
      <w:r w:rsidR="00665818" w:rsidRPr="00E832A5">
        <w:rPr>
          <w:rFonts w:asciiTheme="minorHAnsi" w:hAnsiTheme="minorHAnsi" w:cstheme="minorHAnsi"/>
          <w:sz w:val="22"/>
          <w:szCs w:val="22"/>
        </w:rPr>
        <w:t>workers travel</w:t>
      </w:r>
      <w:r w:rsidR="00852B99">
        <w:rPr>
          <w:rFonts w:asciiTheme="minorHAnsi" w:hAnsiTheme="minorHAnsi" w:cstheme="minorHAnsi"/>
          <w:sz w:val="22"/>
          <w:szCs w:val="22"/>
        </w:rPr>
        <w:t>led</w:t>
      </w:r>
      <w:r w:rsidR="00665818" w:rsidRPr="00E832A5">
        <w:rPr>
          <w:rFonts w:asciiTheme="minorHAnsi" w:hAnsiTheme="minorHAnsi" w:cstheme="minorHAnsi"/>
          <w:sz w:val="22"/>
          <w:szCs w:val="22"/>
        </w:rPr>
        <w:t xml:space="preserve"> to the office less</w:t>
      </w:r>
      <w:r w:rsidRPr="00E832A5">
        <w:rPr>
          <w:rFonts w:asciiTheme="minorHAnsi" w:hAnsiTheme="minorHAnsi" w:cstheme="minorHAnsi"/>
          <w:sz w:val="22"/>
          <w:szCs w:val="22"/>
        </w:rPr>
        <w:t>, a</w:t>
      </w:r>
      <w:r w:rsidR="0053549D" w:rsidRPr="00E832A5">
        <w:rPr>
          <w:rFonts w:asciiTheme="minorHAnsi" w:hAnsiTheme="minorHAnsi" w:cstheme="minorHAnsi"/>
          <w:sz w:val="22"/>
          <w:szCs w:val="22"/>
        </w:rPr>
        <w:t>nd</w:t>
      </w:r>
      <w:r w:rsidRPr="00E832A5">
        <w:rPr>
          <w:rFonts w:asciiTheme="minorHAnsi" w:hAnsiTheme="minorHAnsi" w:cstheme="minorHAnsi"/>
          <w:sz w:val="22"/>
          <w:szCs w:val="22"/>
        </w:rPr>
        <w:t xml:space="preserve"> worker fears of contracting Covid </w:t>
      </w:r>
      <w:r w:rsidR="00F363DB" w:rsidRPr="00E832A5">
        <w:rPr>
          <w:rFonts w:asciiTheme="minorHAnsi" w:hAnsiTheme="minorHAnsi" w:cstheme="minorHAnsi"/>
          <w:sz w:val="22"/>
          <w:szCs w:val="22"/>
        </w:rPr>
        <w:t>continue</w:t>
      </w:r>
      <w:r w:rsidR="000F394C" w:rsidRPr="00E832A5">
        <w:rPr>
          <w:rFonts w:asciiTheme="minorHAnsi" w:hAnsiTheme="minorHAnsi" w:cstheme="minorHAnsi"/>
          <w:sz w:val="22"/>
          <w:szCs w:val="22"/>
        </w:rPr>
        <w:t>d</w:t>
      </w:r>
      <w:r w:rsidR="00F363DB" w:rsidRPr="00E832A5">
        <w:rPr>
          <w:rFonts w:asciiTheme="minorHAnsi" w:hAnsiTheme="minorHAnsi" w:cstheme="minorHAnsi"/>
          <w:sz w:val="22"/>
          <w:szCs w:val="22"/>
        </w:rPr>
        <w:t xml:space="preserve"> to </w:t>
      </w:r>
      <w:r w:rsidRPr="00E832A5">
        <w:rPr>
          <w:rFonts w:asciiTheme="minorHAnsi" w:hAnsiTheme="minorHAnsi" w:cstheme="minorHAnsi"/>
          <w:sz w:val="22"/>
          <w:szCs w:val="22"/>
        </w:rPr>
        <w:t xml:space="preserve">have a negative impact on </w:t>
      </w:r>
      <w:r w:rsidR="0053549D" w:rsidRPr="00E832A5">
        <w:rPr>
          <w:rFonts w:asciiTheme="minorHAnsi" w:hAnsiTheme="minorHAnsi" w:cstheme="minorHAnsi"/>
          <w:sz w:val="22"/>
          <w:szCs w:val="22"/>
        </w:rPr>
        <w:t>MARTA ridership</w:t>
      </w:r>
      <w:r w:rsidR="000F394C" w:rsidRPr="00E832A5">
        <w:rPr>
          <w:rFonts w:asciiTheme="minorHAnsi" w:hAnsiTheme="minorHAnsi" w:cstheme="minorHAnsi"/>
          <w:sz w:val="22"/>
          <w:szCs w:val="22"/>
        </w:rPr>
        <w:t>. En</w:t>
      </w:r>
      <w:r w:rsidRPr="00E832A5">
        <w:rPr>
          <w:rFonts w:asciiTheme="minorHAnsi" w:hAnsiTheme="minorHAnsi" w:cstheme="minorHAnsi"/>
          <w:sz w:val="22"/>
          <w:szCs w:val="22"/>
        </w:rPr>
        <w:t xml:space="preserve">ergy use </w:t>
      </w:r>
      <w:r w:rsidR="001F1236" w:rsidRPr="00E832A5">
        <w:rPr>
          <w:rFonts w:asciiTheme="minorHAnsi" w:hAnsiTheme="minorHAnsi" w:cstheme="minorHAnsi"/>
          <w:sz w:val="22"/>
          <w:szCs w:val="22"/>
        </w:rPr>
        <w:t xml:space="preserve">is expected to remain at this lower level over the </w:t>
      </w:r>
      <w:r w:rsidR="00485B56">
        <w:rPr>
          <w:rFonts w:asciiTheme="minorHAnsi" w:hAnsiTheme="minorHAnsi" w:cstheme="minorHAnsi"/>
          <w:sz w:val="22"/>
          <w:szCs w:val="22"/>
        </w:rPr>
        <w:t>2023</w:t>
      </w:r>
      <w:r w:rsidR="00CA2C6A">
        <w:rPr>
          <w:rFonts w:asciiTheme="minorHAnsi" w:hAnsiTheme="minorHAnsi" w:cstheme="minorHAnsi"/>
          <w:sz w:val="22"/>
          <w:szCs w:val="22"/>
        </w:rPr>
        <w:t xml:space="preserve"> IRP Update Load Forecast</w:t>
      </w:r>
      <w:r w:rsidR="001F1236" w:rsidRPr="00E832A5">
        <w:rPr>
          <w:rFonts w:asciiTheme="minorHAnsi" w:hAnsiTheme="minorHAnsi" w:cstheme="minorHAnsi"/>
          <w:sz w:val="22"/>
          <w:szCs w:val="22"/>
        </w:rPr>
        <w:t xml:space="preserve"> horizon</w:t>
      </w:r>
      <w:r w:rsidR="00844804" w:rsidRPr="00E832A5">
        <w:rPr>
          <w:rFonts w:asciiTheme="minorHAnsi" w:hAnsiTheme="minorHAnsi" w:cstheme="minorHAnsi"/>
          <w:sz w:val="22"/>
          <w:szCs w:val="22"/>
        </w:rPr>
        <w:t>.</w:t>
      </w:r>
    </w:p>
    <w:p w14:paraId="2440FCFB" w14:textId="77777777" w:rsidR="005E3F28" w:rsidRPr="00E832A5" w:rsidRDefault="005E3F28" w:rsidP="00CE6BE1">
      <w:pPr>
        <w:pStyle w:val="BodyTextIndent"/>
        <w:keepNext/>
        <w:spacing w:line="276" w:lineRule="auto"/>
        <w:ind w:left="0"/>
        <w:rPr>
          <w:rFonts w:asciiTheme="minorHAnsi" w:hAnsiTheme="minorHAnsi" w:cstheme="minorHAnsi"/>
          <w:b/>
          <w:sz w:val="22"/>
          <w:szCs w:val="22"/>
        </w:rPr>
      </w:pPr>
      <w:r w:rsidRPr="00E832A5">
        <w:rPr>
          <w:rFonts w:asciiTheme="minorHAnsi" w:hAnsiTheme="minorHAnsi" w:cstheme="minorHAnsi"/>
          <w:b/>
          <w:sz w:val="22"/>
          <w:szCs w:val="22"/>
        </w:rPr>
        <w:lastRenderedPageBreak/>
        <w:t>Figure 1.2.5-2: MARTA Energy Forecast</w:t>
      </w:r>
    </w:p>
    <w:p w14:paraId="37AE833F" w14:textId="122744A1" w:rsidR="005E3F28" w:rsidRPr="00E832A5" w:rsidRDefault="00564BED" w:rsidP="00CE6BE1">
      <w:pPr>
        <w:spacing w:line="276" w:lineRule="auto"/>
        <w:rPr>
          <w:rFonts w:asciiTheme="minorHAnsi" w:hAnsiTheme="minorHAnsi" w:cstheme="minorHAnsi"/>
          <w:sz w:val="22"/>
          <w:szCs w:val="22"/>
        </w:rPr>
      </w:pPr>
      <w:r w:rsidRPr="00564BED">
        <w:rPr>
          <w:rFonts w:asciiTheme="minorHAnsi" w:hAnsiTheme="minorHAnsi" w:cstheme="minorHAnsi"/>
          <w:noProof/>
          <w:sz w:val="22"/>
          <w:szCs w:val="22"/>
        </w:rPr>
        <w:drawing>
          <wp:inline distT="0" distB="0" distL="0" distR="0" wp14:anchorId="63ABFED1" wp14:editId="7D0DB6B5">
            <wp:extent cx="5943600" cy="3221355"/>
            <wp:effectExtent l="0" t="0" r="0" b="0"/>
            <wp:docPr id="757110124" name="Picture 757110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3221355"/>
                    </a:xfrm>
                    <a:prstGeom prst="rect">
                      <a:avLst/>
                    </a:prstGeom>
                    <a:noFill/>
                    <a:ln>
                      <a:noFill/>
                    </a:ln>
                  </pic:spPr>
                </pic:pic>
              </a:graphicData>
            </a:graphic>
          </wp:inline>
        </w:drawing>
      </w:r>
      <w:r w:rsidR="00B7698E" w:rsidRPr="00E832A5" w:rsidDel="00C96766">
        <w:rPr>
          <w:rFonts w:asciiTheme="minorHAnsi" w:hAnsiTheme="minorHAnsi" w:cstheme="minorHAnsi"/>
          <w:noProof/>
          <w:sz w:val="22"/>
          <w:szCs w:val="22"/>
        </w:rPr>
        <w:t xml:space="preserve"> </w:t>
      </w:r>
    </w:p>
    <w:p w14:paraId="35FD86CF" w14:textId="77777777" w:rsidR="00710D06" w:rsidRPr="00E832A5" w:rsidRDefault="00710D06" w:rsidP="00CE6BE1">
      <w:pPr>
        <w:spacing w:line="276" w:lineRule="auto"/>
        <w:rPr>
          <w:rFonts w:asciiTheme="minorHAnsi" w:hAnsiTheme="minorHAnsi" w:cstheme="minorHAnsi"/>
          <w:sz w:val="22"/>
          <w:szCs w:val="22"/>
        </w:rPr>
      </w:pPr>
    </w:p>
    <w:p w14:paraId="19051FFE" w14:textId="77777777" w:rsidR="00A11A85" w:rsidRPr="00E832A5" w:rsidRDefault="00A11A85" w:rsidP="00CE6BE1">
      <w:pPr>
        <w:spacing w:line="276" w:lineRule="auto"/>
        <w:rPr>
          <w:rFonts w:asciiTheme="minorHAnsi" w:hAnsiTheme="minorHAnsi" w:cstheme="minorHAnsi"/>
          <w:b/>
          <w:sz w:val="22"/>
          <w:szCs w:val="22"/>
        </w:rPr>
      </w:pPr>
      <w:r w:rsidRPr="00E832A5">
        <w:rPr>
          <w:rFonts w:asciiTheme="minorHAnsi" w:hAnsiTheme="minorHAnsi" w:cstheme="minorHAnsi"/>
          <w:b/>
          <w:sz w:val="22"/>
          <w:szCs w:val="22"/>
        </w:rPr>
        <w:br w:type="page"/>
      </w:r>
    </w:p>
    <w:p w14:paraId="5F82D2A6" w14:textId="61CD38B3" w:rsidR="00817E05" w:rsidRPr="00E832A5" w:rsidRDefault="00817E05" w:rsidP="00CE6BE1">
      <w:pPr>
        <w:spacing w:line="276" w:lineRule="auto"/>
        <w:rPr>
          <w:rFonts w:asciiTheme="minorHAnsi" w:hAnsiTheme="minorHAnsi" w:cstheme="minorHAnsi"/>
          <w:b/>
          <w:sz w:val="22"/>
          <w:szCs w:val="22"/>
        </w:rPr>
      </w:pPr>
      <w:r w:rsidRPr="00E832A5">
        <w:rPr>
          <w:rFonts w:asciiTheme="minorHAnsi" w:hAnsiTheme="minorHAnsi" w:cstheme="minorHAnsi"/>
          <w:b/>
          <w:sz w:val="22"/>
          <w:szCs w:val="22"/>
        </w:rPr>
        <w:lastRenderedPageBreak/>
        <w:t>1.2.</w:t>
      </w:r>
      <w:r w:rsidR="00C05C02" w:rsidRPr="00E832A5">
        <w:rPr>
          <w:rFonts w:asciiTheme="minorHAnsi" w:hAnsiTheme="minorHAnsi" w:cstheme="minorHAnsi"/>
          <w:b/>
          <w:sz w:val="22"/>
          <w:szCs w:val="22"/>
        </w:rPr>
        <w:t>6</w:t>
      </w:r>
      <w:r w:rsidRPr="00E832A5">
        <w:rPr>
          <w:rFonts w:asciiTheme="minorHAnsi" w:hAnsiTheme="minorHAnsi" w:cstheme="minorHAnsi"/>
          <w:b/>
          <w:sz w:val="22"/>
          <w:szCs w:val="22"/>
        </w:rPr>
        <w:t xml:space="preserve"> Forecast Summary</w:t>
      </w:r>
    </w:p>
    <w:p w14:paraId="697C6CE4" w14:textId="77777777" w:rsidR="00C05C02" w:rsidRPr="00E832A5" w:rsidRDefault="00C05C02" w:rsidP="00CE6BE1">
      <w:pPr>
        <w:spacing w:line="276" w:lineRule="auto"/>
        <w:rPr>
          <w:rFonts w:asciiTheme="minorHAnsi" w:hAnsiTheme="minorHAnsi" w:cstheme="minorHAnsi"/>
          <w:b/>
          <w:sz w:val="22"/>
          <w:szCs w:val="22"/>
        </w:rPr>
      </w:pPr>
    </w:p>
    <w:p w14:paraId="3206E869" w14:textId="7806F0AA" w:rsidR="008056E0" w:rsidRPr="00E832A5" w:rsidRDefault="008056E0" w:rsidP="00CE6BE1">
      <w:pPr>
        <w:spacing w:line="276" w:lineRule="auto"/>
        <w:rPr>
          <w:rFonts w:asciiTheme="minorHAnsi" w:hAnsiTheme="minorHAnsi" w:cstheme="minorHAnsi"/>
          <w:b/>
          <w:sz w:val="22"/>
          <w:szCs w:val="22"/>
        </w:rPr>
      </w:pPr>
      <w:r w:rsidRPr="00E832A5">
        <w:rPr>
          <w:rFonts w:asciiTheme="minorHAnsi" w:hAnsiTheme="minorHAnsi" w:cstheme="minorHAnsi"/>
          <w:b/>
          <w:sz w:val="22"/>
          <w:szCs w:val="22"/>
        </w:rPr>
        <w:t xml:space="preserve">Figure </w:t>
      </w:r>
      <w:r w:rsidR="00432BC0" w:rsidRPr="00E832A5">
        <w:rPr>
          <w:rFonts w:asciiTheme="minorHAnsi" w:hAnsiTheme="minorHAnsi" w:cstheme="minorHAnsi"/>
          <w:b/>
          <w:sz w:val="22"/>
          <w:szCs w:val="22"/>
        </w:rPr>
        <w:t>1.2.6-1</w:t>
      </w:r>
      <w:r w:rsidR="00F25DD3" w:rsidRPr="00E832A5">
        <w:rPr>
          <w:rFonts w:asciiTheme="minorHAnsi" w:hAnsiTheme="minorHAnsi" w:cstheme="minorHAnsi"/>
          <w:b/>
          <w:sz w:val="22"/>
          <w:szCs w:val="22"/>
        </w:rPr>
        <w:t xml:space="preserve"> </w:t>
      </w:r>
      <w:r w:rsidR="00521F55">
        <w:rPr>
          <w:rFonts w:asciiTheme="minorHAnsi" w:hAnsiTheme="minorHAnsi" w:cstheme="minorHAnsi"/>
          <w:b/>
          <w:sz w:val="22"/>
          <w:szCs w:val="22"/>
        </w:rPr>
        <w:t xml:space="preserve">2023 </w:t>
      </w:r>
      <w:r w:rsidR="006A6BDD">
        <w:rPr>
          <w:rFonts w:asciiTheme="minorHAnsi" w:hAnsiTheme="minorHAnsi" w:cstheme="minorHAnsi"/>
          <w:b/>
          <w:sz w:val="22"/>
          <w:szCs w:val="22"/>
        </w:rPr>
        <w:t>IRP Update Load Forecast</w:t>
      </w:r>
      <w:r w:rsidR="00F25DD3" w:rsidRPr="00E832A5">
        <w:rPr>
          <w:rFonts w:asciiTheme="minorHAnsi" w:hAnsiTheme="minorHAnsi" w:cstheme="minorHAnsi"/>
          <w:b/>
          <w:sz w:val="22"/>
          <w:szCs w:val="22"/>
        </w:rPr>
        <w:t xml:space="preserve"> </w:t>
      </w:r>
      <w:r w:rsidR="001B6E8B" w:rsidRPr="00E832A5">
        <w:rPr>
          <w:rFonts w:asciiTheme="minorHAnsi" w:hAnsiTheme="minorHAnsi" w:cstheme="minorHAnsi"/>
          <w:b/>
          <w:sz w:val="22"/>
          <w:szCs w:val="22"/>
        </w:rPr>
        <w:t>Annual Summary</w:t>
      </w:r>
    </w:p>
    <w:p w14:paraId="13E8E1F9" w14:textId="77777777" w:rsidR="00D755C3" w:rsidRDefault="00D755C3" w:rsidP="00CE6BE1">
      <w:pPr>
        <w:spacing w:line="276" w:lineRule="auto"/>
        <w:rPr>
          <w:rFonts w:asciiTheme="minorHAnsi" w:hAnsiTheme="minorHAnsi" w:cstheme="minorHAnsi"/>
          <w:noProof/>
          <w:sz w:val="22"/>
          <w:szCs w:val="22"/>
        </w:rPr>
      </w:pPr>
    </w:p>
    <w:p w14:paraId="6B63740B" w14:textId="55BD651A" w:rsidR="00A11A85" w:rsidRPr="00E832A5" w:rsidRDefault="0089628F" w:rsidP="00CE6BE1">
      <w:pPr>
        <w:spacing w:line="276" w:lineRule="auto"/>
        <w:rPr>
          <w:rFonts w:asciiTheme="minorHAnsi" w:hAnsiTheme="minorHAnsi" w:cstheme="minorHAnsi"/>
          <w:sz w:val="22"/>
          <w:szCs w:val="22"/>
        </w:rPr>
      </w:pPr>
      <w:r w:rsidRPr="0089628F">
        <w:rPr>
          <w:rFonts w:asciiTheme="minorHAnsi" w:hAnsiTheme="minorHAnsi" w:cstheme="minorHAnsi"/>
          <w:noProof/>
          <w:sz w:val="22"/>
          <w:szCs w:val="22"/>
        </w:rPr>
        <w:drawing>
          <wp:inline distT="0" distB="0" distL="0" distR="0" wp14:anchorId="0EE0DC0B" wp14:editId="70DB6F1B">
            <wp:extent cx="6220291" cy="3383280"/>
            <wp:effectExtent l="0" t="0" r="9525" b="7620"/>
            <wp:docPr id="75363702" name="Picture 75363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220291" cy="3383280"/>
                    </a:xfrm>
                    <a:prstGeom prst="rect">
                      <a:avLst/>
                    </a:prstGeom>
                    <a:noFill/>
                    <a:ln>
                      <a:noFill/>
                    </a:ln>
                  </pic:spPr>
                </pic:pic>
              </a:graphicData>
            </a:graphic>
          </wp:inline>
        </w:drawing>
      </w:r>
    </w:p>
    <w:p w14:paraId="77074DA4" w14:textId="77777777" w:rsidR="00446EA0" w:rsidRPr="00E832A5" w:rsidRDefault="00446EA0" w:rsidP="00CE6BE1">
      <w:pPr>
        <w:spacing w:line="276" w:lineRule="auto"/>
        <w:rPr>
          <w:rFonts w:asciiTheme="minorHAnsi" w:eastAsiaTheme="majorEastAsia" w:hAnsiTheme="minorHAnsi" w:cstheme="minorHAnsi"/>
          <w:b/>
          <w:color w:val="2F5496" w:themeColor="accent1" w:themeShade="BF"/>
          <w:sz w:val="22"/>
          <w:szCs w:val="22"/>
        </w:rPr>
      </w:pPr>
      <w:r w:rsidRPr="00E832A5">
        <w:rPr>
          <w:rFonts w:asciiTheme="minorHAnsi" w:hAnsiTheme="minorHAnsi" w:cstheme="minorHAnsi"/>
          <w:b/>
          <w:sz w:val="22"/>
          <w:szCs w:val="22"/>
        </w:rPr>
        <w:br w:type="page"/>
      </w:r>
    </w:p>
    <w:p w14:paraId="6412465F" w14:textId="5E8AA75C" w:rsidR="001776A4" w:rsidRDefault="001776A4" w:rsidP="00CE6BE1">
      <w:pPr>
        <w:spacing w:line="276" w:lineRule="auto"/>
        <w:rPr>
          <w:rFonts w:asciiTheme="minorHAnsi" w:hAnsiTheme="minorHAnsi" w:cstheme="minorHAnsi"/>
          <w:b/>
          <w:sz w:val="22"/>
          <w:szCs w:val="22"/>
        </w:rPr>
      </w:pPr>
      <w:r w:rsidRPr="00E832A5">
        <w:rPr>
          <w:rFonts w:asciiTheme="minorHAnsi" w:hAnsiTheme="minorHAnsi" w:cstheme="minorHAnsi"/>
          <w:b/>
          <w:sz w:val="22"/>
          <w:szCs w:val="22"/>
        </w:rPr>
        <w:lastRenderedPageBreak/>
        <w:t>Figure 1.2.6-</w:t>
      </w:r>
      <w:r w:rsidR="00644211" w:rsidRPr="00E832A5">
        <w:rPr>
          <w:rFonts w:asciiTheme="minorHAnsi" w:hAnsiTheme="minorHAnsi" w:cstheme="minorHAnsi"/>
          <w:b/>
          <w:sz w:val="22"/>
          <w:szCs w:val="22"/>
        </w:rPr>
        <w:t>2</w:t>
      </w:r>
      <w:r w:rsidRPr="00E832A5">
        <w:rPr>
          <w:rFonts w:asciiTheme="minorHAnsi" w:hAnsiTheme="minorHAnsi" w:cstheme="minorHAnsi"/>
          <w:b/>
          <w:sz w:val="22"/>
          <w:szCs w:val="22"/>
        </w:rPr>
        <w:t xml:space="preserve"> </w:t>
      </w:r>
      <w:r w:rsidR="004932B5">
        <w:rPr>
          <w:rFonts w:asciiTheme="minorHAnsi" w:hAnsiTheme="minorHAnsi" w:cstheme="minorHAnsi"/>
          <w:b/>
          <w:sz w:val="22"/>
          <w:szCs w:val="22"/>
        </w:rPr>
        <w:t>2023 IRP Update Load Forecast</w:t>
      </w:r>
      <w:r w:rsidRPr="00E832A5">
        <w:rPr>
          <w:rFonts w:asciiTheme="minorHAnsi" w:hAnsiTheme="minorHAnsi" w:cstheme="minorHAnsi"/>
          <w:b/>
          <w:sz w:val="22"/>
          <w:szCs w:val="22"/>
        </w:rPr>
        <w:t xml:space="preserve"> </w:t>
      </w:r>
      <w:r w:rsidR="008D43BC" w:rsidRPr="00E832A5">
        <w:rPr>
          <w:rFonts w:asciiTheme="minorHAnsi" w:hAnsiTheme="minorHAnsi" w:cstheme="minorHAnsi"/>
          <w:b/>
          <w:sz w:val="22"/>
          <w:szCs w:val="22"/>
        </w:rPr>
        <w:t xml:space="preserve">Customer </w:t>
      </w:r>
      <w:r w:rsidRPr="00E832A5">
        <w:rPr>
          <w:rFonts w:asciiTheme="minorHAnsi" w:hAnsiTheme="minorHAnsi" w:cstheme="minorHAnsi"/>
          <w:b/>
          <w:sz w:val="22"/>
          <w:szCs w:val="22"/>
        </w:rPr>
        <w:t>Annual Summary</w:t>
      </w:r>
      <w:r w:rsidR="00446EA0" w:rsidRPr="00E832A5">
        <w:rPr>
          <w:rFonts w:asciiTheme="minorHAnsi" w:hAnsiTheme="minorHAnsi" w:cstheme="minorHAnsi"/>
          <w:b/>
          <w:sz w:val="22"/>
          <w:szCs w:val="22"/>
        </w:rPr>
        <w:t xml:space="preserve"> (Year End)</w:t>
      </w:r>
    </w:p>
    <w:p w14:paraId="4ED932FF" w14:textId="77777777" w:rsidR="004932B5" w:rsidRPr="00E832A5" w:rsidRDefault="004932B5" w:rsidP="00CE6BE1">
      <w:pPr>
        <w:spacing w:line="276" w:lineRule="auto"/>
        <w:rPr>
          <w:rFonts w:asciiTheme="minorHAnsi" w:hAnsiTheme="minorHAnsi" w:cstheme="minorHAnsi"/>
          <w:sz w:val="22"/>
          <w:szCs w:val="22"/>
        </w:rPr>
      </w:pPr>
    </w:p>
    <w:p w14:paraId="3922B595" w14:textId="6123A536" w:rsidR="001776A4" w:rsidRPr="00E832A5" w:rsidRDefault="00A31C48" w:rsidP="00CE6BE1">
      <w:pPr>
        <w:spacing w:line="276" w:lineRule="auto"/>
        <w:rPr>
          <w:rFonts w:asciiTheme="minorHAnsi" w:hAnsiTheme="minorHAnsi" w:cstheme="minorHAnsi"/>
          <w:sz w:val="22"/>
          <w:szCs w:val="22"/>
        </w:rPr>
      </w:pPr>
      <w:r w:rsidRPr="00E832A5">
        <w:rPr>
          <w:rFonts w:asciiTheme="minorHAnsi" w:hAnsiTheme="minorHAnsi" w:cstheme="minorHAnsi"/>
          <w:noProof/>
          <w:sz w:val="22"/>
          <w:szCs w:val="22"/>
        </w:rPr>
        <w:drawing>
          <wp:inline distT="0" distB="0" distL="0" distR="0" wp14:anchorId="14480DBC" wp14:editId="20D5E29B">
            <wp:extent cx="5943600" cy="4740275"/>
            <wp:effectExtent l="0" t="0" r="0" b="3175"/>
            <wp:docPr id="995381024" name="Picture 99538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4740275"/>
                    </a:xfrm>
                    <a:prstGeom prst="rect">
                      <a:avLst/>
                    </a:prstGeom>
                    <a:noFill/>
                    <a:ln>
                      <a:noFill/>
                    </a:ln>
                  </pic:spPr>
                </pic:pic>
              </a:graphicData>
            </a:graphic>
          </wp:inline>
        </w:drawing>
      </w:r>
    </w:p>
    <w:p w14:paraId="4E9EB7E3" w14:textId="77777777" w:rsidR="00C34D9E" w:rsidRPr="00E832A5" w:rsidRDefault="00C34D9E" w:rsidP="00CE6BE1">
      <w:pPr>
        <w:spacing w:line="276" w:lineRule="auto"/>
        <w:jc w:val="center"/>
        <w:rPr>
          <w:rFonts w:asciiTheme="minorHAnsi" w:hAnsiTheme="minorHAnsi" w:cstheme="minorHAnsi"/>
          <w:sz w:val="22"/>
          <w:szCs w:val="22"/>
        </w:rPr>
      </w:pPr>
    </w:p>
    <w:p w14:paraId="6F9C5DF5" w14:textId="28B732BC" w:rsidR="00611AFF" w:rsidRPr="00E832A5" w:rsidRDefault="00611AFF" w:rsidP="005D6568">
      <w:pPr>
        <w:pStyle w:val="Heading1"/>
        <w:spacing w:after="240" w:line="276" w:lineRule="auto"/>
        <w:rPr>
          <w:rFonts w:asciiTheme="minorHAnsi" w:hAnsiTheme="minorHAnsi" w:cstheme="minorHAnsi"/>
        </w:rPr>
      </w:pPr>
      <w:r w:rsidRPr="00E832A5">
        <w:rPr>
          <w:rFonts w:asciiTheme="minorHAnsi" w:hAnsiTheme="minorHAnsi" w:cstheme="minorHAnsi"/>
        </w:rPr>
        <w:t xml:space="preserve">1.3 </w:t>
      </w:r>
      <w:r w:rsidRPr="00E832A5">
        <w:rPr>
          <w:rFonts w:asciiTheme="minorHAnsi" w:hAnsiTheme="minorHAnsi" w:cstheme="minorHAnsi"/>
        </w:rPr>
        <w:tab/>
        <w:t>E</w:t>
      </w:r>
      <w:r w:rsidR="00F05174" w:rsidRPr="00E832A5">
        <w:rPr>
          <w:rFonts w:asciiTheme="minorHAnsi" w:hAnsiTheme="minorHAnsi" w:cstheme="minorHAnsi"/>
        </w:rPr>
        <w:t>CONOMICS</w:t>
      </w:r>
    </w:p>
    <w:p w14:paraId="37BC2FA7" w14:textId="04F7B13B" w:rsidR="00A1018C" w:rsidRPr="00E832A5" w:rsidRDefault="008D79BF" w:rsidP="00CE6BE1">
      <w:pPr>
        <w:spacing w:line="276" w:lineRule="auto"/>
        <w:jc w:val="both"/>
        <w:rPr>
          <w:rFonts w:asciiTheme="minorHAnsi" w:hAnsiTheme="minorHAnsi"/>
          <w:sz w:val="22"/>
          <w:szCs w:val="22"/>
        </w:rPr>
      </w:pPr>
      <w:r w:rsidRPr="58161626">
        <w:rPr>
          <w:rFonts w:asciiTheme="minorHAnsi" w:hAnsiTheme="minorHAnsi"/>
          <w:sz w:val="22"/>
          <w:szCs w:val="22"/>
        </w:rPr>
        <w:t xml:space="preserve">Georgia’s economy </w:t>
      </w:r>
      <w:r w:rsidR="00E23D7A" w:rsidRPr="58161626">
        <w:rPr>
          <w:rFonts w:asciiTheme="minorHAnsi" w:hAnsiTheme="minorHAnsi"/>
          <w:sz w:val="22"/>
          <w:szCs w:val="22"/>
        </w:rPr>
        <w:t xml:space="preserve">has solidly recovered from the </w:t>
      </w:r>
      <w:r w:rsidR="006E054A" w:rsidRPr="58161626">
        <w:rPr>
          <w:rFonts w:asciiTheme="minorHAnsi" w:hAnsiTheme="minorHAnsi"/>
          <w:sz w:val="22"/>
          <w:szCs w:val="22"/>
        </w:rPr>
        <w:t>impact of the pandemic</w:t>
      </w:r>
      <w:r w:rsidR="00F50179" w:rsidRPr="58161626">
        <w:rPr>
          <w:rFonts w:asciiTheme="minorHAnsi" w:hAnsiTheme="minorHAnsi"/>
          <w:sz w:val="22"/>
          <w:szCs w:val="22"/>
        </w:rPr>
        <w:t xml:space="preserve"> and is outpacing the U.S. in terms of </w:t>
      </w:r>
      <w:r w:rsidR="00D666BA" w:rsidRPr="58161626">
        <w:rPr>
          <w:rFonts w:asciiTheme="minorHAnsi" w:hAnsiTheme="minorHAnsi"/>
          <w:sz w:val="22"/>
          <w:szCs w:val="22"/>
        </w:rPr>
        <w:t>employment, unemployment</w:t>
      </w:r>
      <w:r w:rsidR="00F5007E" w:rsidRPr="58161626">
        <w:rPr>
          <w:rFonts w:asciiTheme="minorHAnsi" w:hAnsiTheme="minorHAnsi"/>
          <w:sz w:val="22"/>
          <w:szCs w:val="22"/>
        </w:rPr>
        <w:t>,</w:t>
      </w:r>
      <w:r w:rsidR="00D666BA" w:rsidRPr="58161626">
        <w:rPr>
          <w:rFonts w:asciiTheme="minorHAnsi" w:hAnsiTheme="minorHAnsi"/>
          <w:sz w:val="22"/>
          <w:szCs w:val="22"/>
        </w:rPr>
        <w:t xml:space="preserve"> and </w:t>
      </w:r>
      <w:r w:rsidR="009C72EF" w:rsidRPr="58161626">
        <w:rPr>
          <w:rFonts w:asciiTheme="minorHAnsi" w:hAnsiTheme="minorHAnsi"/>
          <w:sz w:val="22"/>
          <w:szCs w:val="22"/>
        </w:rPr>
        <w:t>Gross Product</w:t>
      </w:r>
      <w:r w:rsidR="006E054A" w:rsidRPr="58161626">
        <w:rPr>
          <w:rFonts w:asciiTheme="minorHAnsi" w:hAnsiTheme="minorHAnsi"/>
          <w:sz w:val="22"/>
          <w:szCs w:val="22"/>
        </w:rPr>
        <w:t xml:space="preserve">. </w:t>
      </w:r>
      <w:r w:rsidR="007F5F1B" w:rsidRPr="58161626">
        <w:rPr>
          <w:rFonts w:asciiTheme="minorHAnsi" w:hAnsiTheme="minorHAnsi"/>
          <w:sz w:val="22"/>
          <w:szCs w:val="22"/>
        </w:rPr>
        <w:t xml:space="preserve">Georgia </w:t>
      </w:r>
      <w:r w:rsidR="001F742D">
        <w:rPr>
          <w:rFonts w:asciiTheme="minorHAnsi" w:hAnsiTheme="minorHAnsi"/>
          <w:sz w:val="22"/>
          <w:szCs w:val="22"/>
        </w:rPr>
        <w:t xml:space="preserve">was </w:t>
      </w:r>
      <w:r w:rsidR="007F5F1B" w:rsidRPr="58161626">
        <w:rPr>
          <w:rFonts w:asciiTheme="minorHAnsi" w:hAnsiTheme="minorHAnsi"/>
          <w:sz w:val="22"/>
          <w:szCs w:val="22"/>
        </w:rPr>
        <w:t xml:space="preserve">one of the first </w:t>
      </w:r>
      <w:r w:rsidR="006B471D" w:rsidRPr="58161626">
        <w:rPr>
          <w:rFonts w:asciiTheme="minorHAnsi" w:hAnsiTheme="minorHAnsi"/>
          <w:sz w:val="22"/>
          <w:szCs w:val="22"/>
        </w:rPr>
        <w:t xml:space="preserve">10 states to </w:t>
      </w:r>
      <w:r w:rsidR="001A1C2B">
        <w:rPr>
          <w:rFonts w:asciiTheme="minorHAnsi" w:hAnsiTheme="minorHAnsi"/>
          <w:sz w:val="22"/>
          <w:szCs w:val="22"/>
        </w:rPr>
        <w:t xml:space="preserve">surpass </w:t>
      </w:r>
      <w:r w:rsidR="004B16EA">
        <w:rPr>
          <w:rFonts w:asciiTheme="minorHAnsi" w:hAnsiTheme="minorHAnsi"/>
          <w:sz w:val="22"/>
          <w:szCs w:val="22"/>
        </w:rPr>
        <w:t>its pre-pandemic level</w:t>
      </w:r>
      <w:r w:rsidR="00332096">
        <w:rPr>
          <w:rFonts w:asciiTheme="minorHAnsi" w:hAnsiTheme="minorHAnsi"/>
          <w:sz w:val="22"/>
          <w:szCs w:val="22"/>
        </w:rPr>
        <w:t xml:space="preserve"> </w:t>
      </w:r>
      <w:r w:rsidR="00793D5C">
        <w:rPr>
          <w:rFonts w:asciiTheme="minorHAnsi" w:hAnsiTheme="minorHAnsi"/>
          <w:sz w:val="22"/>
          <w:szCs w:val="22"/>
        </w:rPr>
        <w:t>of total employment</w:t>
      </w:r>
      <w:r w:rsidR="006B471D" w:rsidRPr="58161626">
        <w:rPr>
          <w:rFonts w:asciiTheme="minorHAnsi" w:hAnsiTheme="minorHAnsi"/>
          <w:sz w:val="22"/>
          <w:szCs w:val="22"/>
        </w:rPr>
        <w:t>.</w:t>
      </w:r>
      <w:r w:rsidR="006E7FE1" w:rsidRPr="58161626">
        <w:rPr>
          <w:rFonts w:asciiTheme="minorHAnsi" w:hAnsiTheme="minorHAnsi"/>
          <w:sz w:val="22"/>
          <w:szCs w:val="22"/>
        </w:rPr>
        <w:t xml:space="preserve"> </w:t>
      </w:r>
      <w:r w:rsidR="00913C1F" w:rsidRPr="58161626">
        <w:rPr>
          <w:rFonts w:asciiTheme="minorHAnsi" w:hAnsiTheme="minorHAnsi"/>
          <w:sz w:val="22"/>
          <w:szCs w:val="22"/>
        </w:rPr>
        <w:t>As of August 2023, the state</w:t>
      </w:r>
      <w:r w:rsidR="00C93706">
        <w:rPr>
          <w:rFonts w:asciiTheme="minorHAnsi" w:hAnsiTheme="minorHAnsi"/>
          <w:sz w:val="22"/>
          <w:szCs w:val="22"/>
        </w:rPr>
        <w:t xml:space="preserve">’s </w:t>
      </w:r>
      <w:r w:rsidR="002B377A">
        <w:rPr>
          <w:rFonts w:asciiTheme="minorHAnsi" w:hAnsiTheme="minorHAnsi"/>
          <w:sz w:val="22"/>
          <w:szCs w:val="22"/>
        </w:rPr>
        <w:t xml:space="preserve">total </w:t>
      </w:r>
      <w:r w:rsidR="00BB0608">
        <w:rPr>
          <w:rFonts w:asciiTheme="minorHAnsi" w:hAnsiTheme="minorHAnsi"/>
          <w:sz w:val="22"/>
          <w:szCs w:val="22"/>
        </w:rPr>
        <w:t>number of jobs</w:t>
      </w:r>
      <w:r w:rsidR="001C4F55">
        <w:rPr>
          <w:rFonts w:asciiTheme="minorHAnsi" w:hAnsiTheme="minorHAnsi"/>
          <w:sz w:val="22"/>
          <w:szCs w:val="22"/>
        </w:rPr>
        <w:t xml:space="preserve"> </w:t>
      </w:r>
      <w:r w:rsidR="009406EE">
        <w:rPr>
          <w:rFonts w:asciiTheme="minorHAnsi" w:hAnsiTheme="minorHAnsi"/>
          <w:sz w:val="22"/>
          <w:szCs w:val="22"/>
        </w:rPr>
        <w:t>is 250,000</w:t>
      </w:r>
      <w:r w:rsidR="000D1654">
        <w:rPr>
          <w:rFonts w:asciiTheme="minorHAnsi" w:hAnsiTheme="minorHAnsi"/>
          <w:sz w:val="22"/>
          <w:szCs w:val="22"/>
        </w:rPr>
        <w:t xml:space="preserve">, or </w:t>
      </w:r>
      <w:r w:rsidR="00CD7DDA">
        <w:rPr>
          <w:rFonts w:asciiTheme="minorHAnsi" w:hAnsiTheme="minorHAnsi"/>
          <w:sz w:val="22"/>
          <w:szCs w:val="22"/>
        </w:rPr>
        <w:t>5.3%</w:t>
      </w:r>
      <w:r w:rsidR="004F77DA">
        <w:rPr>
          <w:rFonts w:asciiTheme="minorHAnsi" w:hAnsiTheme="minorHAnsi"/>
          <w:sz w:val="22"/>
          <w:szCs w:val="22"/>
        </w:rPr>
        <w:t>,</w:t>
      </w:r>
      <w:r w:rsidR="00CD7DDA">
        <w:rPr>
          <w:rFonts w:asciiTheme="minorHAnsi" w:hAnsiTheme="minorHAnsi"/>
          <w:sz w:val="22"/>
          <w:szCs w:val="22"/>
        </w:rPr>
        <w:t xml:space="preserve"> </w:t>
      </w:r>
      <w:r w:rsidR="004F77DA">
        <w:rPr>
          <w:rFonts w:asciiTheme="minorHAnsi" w:hAnsiTheme="minorHAnsi"/>
          <w:sz w:val="22"/>
          <w:szCs w:val="22"/>
        </w:rPr>
        <w:t>higher</w:t>
      </w:r>
      <w:r w:rsidR="009406EE">
        <w:rPr>
          <w:rFonts w:asciiTheme="minorHAnsi" w:hAnsiTheme="minorHAnsi"/>
          <w:sz w:val="22"/>
          <w:szCs w:val="22"/>
        </w:rPr>
        <w:t xml:space="preserve"> </w:t>
      </w:r>
      <w:r w:rsidR="004F77DA">
        <w:rPr>
          <w:rFonts w:asciiTheme="minorHAnsi" w:hAnsiTheme="minorHAnsi"/>
          <w:sz w:val="22"/>
          <w:szCs w:val="22"/>
        </w:rPr>
        <w:t xml:space="preserve">than </w:t>
      </w:r>
      <w:r w:rsidR="00F46D34">
        <w:rPr>
          <w:rFonts w:asciiTheme="minorHAnsi" w:hAnsiTheme="minorHAnsi"/>
          <w:sz w:val="22"/>
          <w:szCs w:val="22"/>
        </w:rPr>
        <w:t>before the pandemic</w:t>
      </w:r>
      <w:r w:rsidR="00AB16A2" w:rsidRPr="58161626">
        <w:rPr>
          <w:rFonts w:asciiTheme="minorHAnsi" w:hAnsiTheme="minorHAnsi"/>
          <w:sz w:val="22"/>
          <w:szCs w:val="22"/>
        </w:rPr>
        <w:t>.</w:t>
      </w:r>
      <w:r w:rsidR="00A44483" w:rsidRPr="58161626">
        <w:rPr>
          <w:rFonts w:asciiTheme="minorHAnsi" w:hAnsiTheme="minorHAnsi"/>
          <w:sz w:val="22"/>
          <w:szCs w:val="22"/>
        </w:rPr>
        <w:t xml:space="preserve"> </w:t>
      </w:r>
      <w:r w:rsidR="00A15111">
        <w:rPr>
          <w:rFonts w:asciiTheme="minorHAnsi" w:hAnsiTheme="minorHAnsi"/>
          <w:sz w:val="22"/>
          <w:szCs w:val="22"/>
        </w:rPr>
        <w:t xml:space="preserve">Total </w:t>
      </w:r>
      <w:r w:rsidR="00631AD5" w:rsidRPr="58161626">
        <w:rPr>
          <w:rFonts w:asciiTheme="minorHAnsi" w:hAnsiTheme="minorHAnsi"/>
          <w:sz w:val="22"/>
          <w:szCs w:val="22"/>
        </w:rPr>
        <w:t>U.S.</w:t>
      </w:r>
      <w:r w:rsidR="00505F5E" w:rsidRPr="58161626">
        <w:rPr>
          <w:rFonts w:asciiTheme="minorHAnsi" w:hAnsiTheme="minorHAnsi"/>
          <w:sz w:val="22"/>
          <w:szCs w:val="22"/>
        </w:rPr>
        <w:t xml:space="preserve"> employment</w:t>
      </w:r>
      <w:r w:rsidR="00475995" w:rsidRPr="58161626">
        <w:rPr>
          <w:rFonts w:asciiTheme="minorHAnsi" w:hAnsiTheme="minorHAnsi"/>
          <w:sz w:val="22"/>
          <w:szCs w:val="22"/>
        </w:rPr>
        <w:t>, by comparison</w:t>
      </w:r>
      <w:r w:rsidR="00533A43" w:rsidRPr="58161626">
        <w:rPr>
          <w:rFonts w:asciiTheme="minorHAnsi" w:hAnsiTheme="minorHAnsi"/>
          <w:sz w:val="22"/>
          <w:szCs w:val="22"/>
        </w:rPr>
        <w:t xml:space="preserve"> </w:t>
      </w:r>
      <w:r w:rsidR="00F61CC8" w:rsidRPr="58161626">
        <w:rPr>
          <w:rFonts w:asciiTheme="minorHAnsi" w:hAnsiTheme="minorHAnsi"/>
          <w:sz w:val="22"/>
          <w:szCs w:val="22"/>
        </w:rPr>
        <w:t xml:space="preserve">is </w:t>
      </w:r>
      <w:r w:rsidR="00DC3C73" w:rsidRPr="58161626">
        <w:rPr>
          <w:rFonts w:asciiTheme="minorHAnsi" w:hAnsiTheme="minorHAnsi"/>
          <w:sz w:val="22"/>
          <w:szCs w:val="22"/>
        </w:rPr>
        <w:t xml:space="preserve">up </w:t>
      </w:r>
      <w:r w:rsidR="1D87CE5B" w:rsidRPr="58161626">
        <w:rPr>
          <w:rFonts w:asciiTheme="minorHAnsi" w:hAnsiTheme="minorHAnsi"/>
          <w:sz w:val="22"/>
          <w:szCs w:val="22"/>
        </w:rPr>
        <w:t xml:space="preserve">only </w:t>
      </w:r>
      <w:r w:rsidR="005609EB" w:rsidRPr="58161626">
        <w:rPr>
          <w:rFonts w:asciiTheme="minorHAnsi" w:hAnsiTheme="minorHAnsi"/>
          <w:sz w:val="22"/>
          <w:szCs w:val="22"/>
        </w:rPr>
        <w:t>2.7%</w:t>
      </w:r>
      <w:r w:rsidR="00F61CC8" w:rsidRPr="58161626">
        <w:rPr>
          <w:rFonts w:asciiTheme="minorHAnsi" w:hAnsiTheme="minorHAnsi"/>
          <w:sz w:val="22"/>
          <w:szCs w:val="22"/>
        </w:rPr>
        <w:t xml:space="preserve"> </w:t>
      </w:r>
      <w:r w:rsidR="00DC3C73" w:rsidRPr="58161626">
        <w:rPr>
          <w:rFonts w:asciiTheme="minorHAnsi" w:hAnsiTheme="minorHAnsi"/>
          <w:sz w:val="22"/>
          <w:szCs w:val="22"/>
        </w:rPr>
        <w:t xml:space="preserve">over </w:t>
      </w:r>
      <w:r w:rsidR="0061143D">
        <w:rPr>
          <w:rFonts w:asciiTheme="minorHAnsi" w:hAnsiTheme="minorHAnsi"/>
          <w:sz w:val="22"/>
          <w:szCs w:val="22"/>
        </w:rPr>
        <w:t>its pre-pandemic level</w:t>
      </w:r>
      <w:r w:rsidR="00DC3C73" w:rsidRPr="58161626">
        <w:rPr>
          <w:rFonts w:asciiTheme="minorHAnsi" w:hAnsiTheme="minorHAnsi"/>
          <w:sz w:val="22"/>
          <w:szCs w:val="22"/>
        </w:rPr>
        <w:t xml:space="preserve">. </w:t>
      </w:r>
      <w:r w:rsidR="00CE61D6" w:rsidRPr="58161626">
        <w:rPr>
          <w:rFonts w:asciiTheme="minorHAnsi" w:hAnsiTheme="minorHAnsi"/>
          <w:sz w:val="22"/>
          <w:szCs w:val="22"/>
        </w:rPr>
        <w:t xml:space="preserve">Through August, Georgia has added </w:t>
      </w:r>
      <w:r w:rsidR="007A7ECA" w:rsidRPr="58161626">
        <w:rPr>
          <w:rFonts w:asciiTheme="minorHAnsi" w:hAnsiTheme="minorHAnsi"/>
          <w:sz w:val="22"/>
          <w:szCs w:val="22"/>
        </w:rPr>
        <w:t>more than</w:t>
      </w:r>
      <w:r w:rsidR="00CE61D6" w:rsidRPr="58161626">
        <w:rPr>
          <w:rFonts w:asciiTheme="minorHAnsi" w:hAnsiTheme="minorHAnsi"/>
          <w:sz w:val="22"/>
          <w:szCs w:val="22"/>
        </w:rPr>
        <w:t xml:space="preserve"> </w:t>
      </w:r>
      <w:r w:rsidR="00953C2A" w:rsidRPr="58161626">
        <w:rPr>
          <w:rFonts w:asciiTheme="minorHAnsi" w:hAnsiTheme="minorHAnsi"/>
          <w:sz w:val="22"/>
          <w:szCs w:val="22"/>
        </w:rPr>
        <w:t>68,000 job</w:t>
      </w:r>
      <w:r w:rsidR="00FB7871" w:rsidRPr="58161626">
        <w:rPr>
          <w:rFonts w:asciiTheme="minorHAnsi" w:hAnsiTheme="minorHAnsi"/>
          <w:sz w:val="22"/>
          <w:szCs w:val="22"/>
        </w:rPr>
        <w:t xml:space="preserve">s, up 1.4% </w:t>
      </w:r>
      <w:r w:rsidR="00DA3DCD" w:rsidRPr="58161626">
        <w:rPr>
          <w:rFonts w:asciiTheme="minorHAnsi" w:hAnsiTheme="minorHAnsi"/>
          <w:sz w:val="22"/>
          <w:szCs w:val="22"/>
        </w:rPr>
        <w:t>since last year</w:t>
      </w:r>
      <w:r w:rsidR="00372B21" w:rsidRPr="58161626">
        <w:rPr>
          <w:rFonts w:asciiTheme="minorHAnsi" w:hAnsiTheme="minorHAnsi"/>
          <w:sz w:val="22"/>
          <w:szCs w:val="22"/>
        </w:rPr>
        <w:t xml:space="preserve">, while the U.S. </w:t>
      </w:r>
      <w:r w:rsidR="00C3451F" w:rsidRPr="58161626">
        <w:rPr>
          <w:rFonts w:asciiTheme="minorHAnsi" w:hAnsiTheme="minorHAnsi"/>
          <w:sz w:val="22"/>
          <w:szCs w:val="22"/>
        </w:rPr>
        <w:t>is up 1.2%</w:t>
      </w:r>
      <w:r w:rsidR="009D67AD" w:rsidRPr="58161626">
        <w:rPr>
          <w:rFonts w:asciiTheme="minorHAnsi" w:hAnsiTheme="minorHAnsi"/>
          <w:sz w:val="22"/>
          <w:szCs w:val="22"/>
        </w:rPr>
        <w:t xml:space="preserve"> since last year.</w:t>
      </w:r>
      <w:r w:rsidR="007B37E6" w:rsidRPr="58161626">
        <w:rPr>
          <w:rFonts w:asciiTheme="minorHAnsi" w:hAnsiTheme="minorHAnsi"/>
          <w:sz w:val="22"/>
          <w:szCs w:val="22"/>
        </w:rPr>
        <w:t xml:space="preserve"> </w:t>
      </w:r>
      <w:r w:rsidR="00064943" w:rsidRPr="58161626">
        <w:rPr>
          <w:rFonts w:asciiTheme="minorHAnsi" w:hAnsiTheme="minorHAnsi"/>
          <w:sz w:val="22"/>
          <w:szCs w:val="22"/>
        </w:rPr>
        <w:t>Georgia’s unemployment rate</w:t>
      </w:r>
      <w:r w:rsidR="007221B8" w:rsidRPr="58161626">
        <w:rPr>
          <w:rFonts w:asciiTheme="minorHAnsi" w:hAnsiTheme="minorHAnsi"/>
          <w:sz w:val="22"/>
          <w:szCs w:val="22"/>
        </w:rPr>
        <w:t xml:space="preserve">, at </w:t>
      </w:r>
      <w:r w:rsidR="001C24F3" w:rsidRPr="58161626">
        <w:rPr>
          <w:rFonts w:asciiTheme="minorHAnsi" w:hAnsiTheme="minorHAnsi"/>
          <w:sz w:val="22"/>
          <w:szCs w:val="22"/>
        </w:rPr>
        <w:t>3.3%</w:t>
      </w:r>
      <w:r w:rsidR="00064943" w:rsidRPr="58161626">
        <w:rPr>
          <w:rFonts w:asciiTheme="minorHAnsi" w:hAnsiTheme="minorHAnsi"/>
          <w:sz w:val="22"/>
          <w:szCs w:val="22"/>
        </w:rPr>
        <w:t xml:space="preserve"> </w:t>
      </w:r>
      <w:r w:rsidR="00C30D30" w:rsidRPr="58161626">
        <w:rPr>
          <w:rFonts w:asciiTheme="minorHAnsi" w:hAnsiTheme="minorHAnsi"/>
          <w:sz w:val="22"/>
          <w:szCs w:val="22"/>
        </w:rPr>
        <w:t>in August</w:t>
      </w:r>
      <w:r w:rsidR="00064943" w:rsidRPr="58161626">
        <w:rPr>
          <w:rFonts w:asciiTheme="minorHAnsi" w:hAnsiTheme="minorHAnsi"/>
          <w:sz w:val="22"/>
          <w:szCs w:val="22"/>
        </w:rPr>
        <w:t xml:space="preserve"> </w:t>
      </w:r>
      <w:r w:rsidR="003E2FF4" w:rsidRPr="58161626">
        <w:rPr>
          <w:rFonts w:asciiTheme="minorHAnsi" w:hAnsiTheme="minorHAnsi"/>
          <w:sz w:val="22"/>
          <w:szCs w:val="22"/>
        </w:rPr>
        <w:t>2023</w:t>
      </w:r>
      <w:r w:rsidR="00807ACE">
        <w:rPr>
          <w:rFonts w:asciiTheme="minorHAnsi" w:hAnsiTheme="minorHAnsi"/>
          <w:sz w:val="22"/>
          <w:szCs w:val="22"/>
        </w:rPr>
        <w:t>,</w:t>
      </w:r>
      <w:r w:rsidR="00064943" w:rsidRPr="58161626">
        <w:rPr>
          <w:rFonts w:asciiTheme="minorHAnsi" w:hAnsiTheme="minorHAnsi"/>
          <w:sz w:val="22"/>
          <w:szCs w:val="22"/>
        </w:rPr>
        <w:t xml:space="preserve"> </w:t>
      </w:r>
      <w:r w:rsidR="007221B8" w:rsidRPr="58161626">
        <w:rPr>
          <w:rFonts w:asciiTheme="minorHAnsi" w:hAnsiTheme="minorHAnsi"/>
          <w:sz w:val="22"/>
          <w:szCs w:val="22"/>
        </w:rPr>
        <w:t xml:space="preserve">remains near </w:t>
      </w:r>
      <w:r w:rsidR="003E2FF4" w:rsidRPr="58161626">
        <w:rPr>
          <w:rFonts w:asciiTheme="minorHAnsi" w:hAnsiTheme="minorHAnsi"/>
          <w:sz w:val="22"/>
          <w:szCs w:val="22"/>
        </w:rPr>
        <w:t xml:space="preserve">its historic low, and </w:t>
      </w:r>
      <w:r w:rsidR="00FB4805" w:rsidRPr="58161626">
        <w:rPr>
          <w:rFonts w:asciiTheme="minorHAnsi" w:hAnsiTheme="minorHAnsi"/>
          <w:sz w:val="22"/>
          <w:szCs w:val="22"/>
        </w:rPr>
        <w:t>is</w:t>
      </w:r>
      <w:r w:rsidR="003E2FF4" w:rsidRPr="58161626">
        <w:rPr>
          <w:rFonts w:asciiTheme="minorHAnsi" w:hAnsiTheme="minorHAnsi"/>
          <w:sz w:val="22"/>
          <w:szCs w:val="22"/>
        </w:rPr>
        <w:t xml:space="preserve"> below the U.S. rate of </w:t>
      </w:r>
      <w:r w:rsidR="00E16341" w:rsidRPr="58161626">
        <w:rPr>
          <w:rFonts w:asciiTheme="minorHAnsi" w:hAnsiTheme="minorHAnsi"/>
          <w:sz w:val="22"/>
          <w:szCs w:val="22"/>
        </w:rPr>
        <w:t>3.8%.</w:t>
      </w:r>
      <w:r w:rsidR="007221B8" w:rsidRPr="58161626">
        <w:rPr>
          <w:rFonts w:asciiTheme="minorHAnsi" w:hAnsiTheme="minorHAnsi"/>
          <w:sz w:val="22"/>
          <w:szCs w:val="22"/>
        </w:rPr>
        <w:t xml:space="preserve"> </w:t>
      </w:r>
    </w:p>
    <w:p w14:paraId="73085594" w14:textId="77777777" w:rsidR="00F53FD5" w:rsidRPr="00E832A5" w:rsidRDefault="00F53FD5" w:rsidP="00CE6BE1">
      <w:pPr>
        <w:spacing w:line="276" w:lineRule="auto"/>
        <w:jc w:val="both"/>
        <w:rPr>
          <w:rFonts w:asciiTheme="minorHAnsi" w:hAnsiTheme="minorHAnsi" w:cstheme="minorHAnsi"/>
          <w:sz w:val="22"/>
          <w:szCs w:val="22"/>
        </w:rPr>
      </w:pPr>
    </w:p>
    <w:p w14:paraId="02709982" w14:textId="54937EDD" w:rsidR="00F53FD5" w:rsidRPr="00E832A5" w:rsidRDefault="00B00F34" w:rsidP="00CE6BE1">
      <w:pPr>
        <w:spacing w:line="276" w:lineRule="auto"/>
        <w:jc w:val="both"/>
        <w:rPr>
          <w:rFonts w:asciiTheme="minorHAnsi" w:hAnsiTheme="minorHAnsi"/>
          <w:sz w:val="22"/>
          <w:szCs w:val="22"/>
        </w:rPr>
      </w:pPr>
      <w:r w:rsidRPr="58161626">
        <w:rPr>
          <w:rFonts w:asciiTheme="minorHAnsi" w:hAnsiTheme="minorHAnsi"/>
          <w:sz w:val="22"/>
          <w:szCs w:val="22"/>
        </w:rPr>
        <w:t xml:space="preserve">With respect to </w:t>
      </w:r>
      <w:r w:rsidR="00585CFF" w:rsidRPr="58161626">
        <w:rPr>
          <w:rFonts w:asciiTheme="minorHAnsi" w:hAnsiTheme="minorHAnsi"/>
          <w:sz w:val="22"/>
          <w:szCs w:val="22"/>
        </w:rPr>
        <w:t>real (i.e.</w:t>
      </w:r>
      <w:r w:rsidR="00C12778" w:rsidRPr="58161626">
        <w:rPr>
          <w:rFonts w:asciiTheme="minorHAnsi" w:hAnsiTheme="minorHAnsi"/>
          <w:sz w:val="22"/>
          <w:szCs w:val="22"/>
        </w:rPr>
        <w:t>, inflation adjusted</w:t>
      </w:r>
      <w:r w:rsidR="006A0064" w:rsidRPr="58161626">
        <w:rPr>
          <w:rFonts w:asciiTheme="minorHAnsi" w:hAnsiTheme="minorHAnsi"/>
          <w:sz w:val="22"/>
          <w:szCs w:val="22"/>
        </w:rPr>
        <w:t>) output</w:t>
      </w:r>
      <w:r w:rsidR="00424E52" w:rsidRPr="58161626">
        <w:rPr>
          <w:rFonts w:asciiTheme="minorHAnsi" w:hAnsiTheme="minorHAnsi"/>
          <w:sz w:val="22"/>
          <w:szCs w:val="22"/>
        </w:rPr>
        <w:t xml:space="preserve"> since the pandemic</w:t>
      </w:r>
      <w:r w:rsidR="006A0064" w:rsidRPr="58161626">
        <w:rPr>
          <w:rFonts w:asciiTheme="minorHAnsi" w:hAnsiTheme="minorHAnsi"/>
          <w:sz w:val="22"/>
          <w:szCs w:val="22"/>
        </w:rPr>
        <w:t xml:space="preserve">, Georgia </w:t>
      </w:r>
      <w:r w:rsidR="007E0D19" w:rsidRPr="58161626">
        <w:rPr>
          <w:rFonts w:asciiTheme="minorHAnsi" w:hAnsiTheme="minorHAnsi"/>
          <w:sz w:val="22"/>
          <w:szCs w:val="22"/>
        </w:rPr>
        <w:t xml:space="preserve">has </w:t>
      </w:r>
      <w:r w:rsidR="008A2530" w:rsidRPr="58161626">
        <w:rPr>
          <w:rFonts w:asciiTheme="minorHAnsi" w:hAnsiTheme="minorHAnsi"/>
          <w:sz w:val="22"/>
          <w:szCs w:val="22"/>
        </w:rPr>
        <w:t xml:space="preserve">grown faster than the </w:t>
      </w:r>
      <w:r w:rsidR="00211AE1" w:rsidRPr="58161626">
        <w:rPr>
          <w:rFonts w:asciiTheme="minorHAnsi" w:hAnsiTheme="minorHAnsi"/>
          <w:sz w:val="22"/>
          <w:szCs w:val="22"/>
        </w:rPr>
        <w:t xml:space="preserve">overall </w:t>
      </w:r>
      <w:r w:rsidR="008A2530" w:rsidRPr="58161626">
        <w:rPr>
          <w:rFonts w:asciiTheme="minorHAnsi" w:hAnsiTheme="minorHAnsi"/>
          <w:sz w:val="22"/>
          <w:szCs w:val="22"/>
        </w:rPr>
        <w:t xml:space="preserve">U.S. </w:t>
      </w:r>
      <w:r w:rsidR="00211AE1" w:rsidRPr="58161626">
        <w:rPr>
          <w:rFonts w:asciiTheme="minorHAnsi" w:hAnsiTheme="minorHAnsi"/>
          <w:sz w:val="22"/>
          <w:szCs w:val="22"/>
        </w:rPr>
        <w:t>economy</w:t>
      </w:r>
      <w:r w:rsidR="008A2530" w:rsidRPr="58161626">
        <w:rPr>
          <w:rFonts w:asciiTheme="minorHAnsi" w:hAnsiTheme="minorHAnsi"/>
          <w:sz w:val="22"/>
          <w:szCs w:val="22"/>
        </w:rPr>
        <w:t xml:space="preserve">. </w:t>
      </w:r>
      <w:r w:rsidR="000C4990" w:rsidRPr="58161626">
        <w:rPr>
          <w:rFonts w:asciiTheme="minorHAnsi" w:hAnsiTheme="minorHAnsi"/>
          <w:sz w:val="22"/>
          <w:szCs w:val="22"/>
        </w:rPr>
        <w:t xml:space="preserve">As of Q1-2023, </w:t>
      </w:r>
      <w:r w:rsidR="003B59E2" w:rsidRPr="58161626">
        <w:rPr>
          <w:rFonts w:asciiTheme="minorHAnsi" w:hAnsiTheme="minorHAnsi"/>
          <w:sz w:val="22"/>
          <w:szCs w:val="22"/>
        </w:rPr>
        <w:t>Ge</w:t>
      </w:r>
      <w:r w:rsidR="003204B8" w:rsidRPr="58161626">
        <w:rPr>
          <w:rFonts w:asciiTheme="minorHAnsi" w:hAnsiTheme="minorHAnsi"/>
          <w:sz w:val="22"/>
          <w:szCs w:val="22"/>
        </w:rPr>
        <w:t xml:space="preserve">orgia’s </w:t>
      </w:r>
      <w:r w:rsidR="001D7650">
        <w:rPr>
          <w:rFonts w:asciiTheme="minorHAnsi" w:hAnsiTheme="minorHAnsi"/>
          <w:sz w:val="22"/>
          <w:szCs w:val="22"/>
        </w:rPr>
        <w:t xml:space="preserve">real </w:t>
      </w:r>
      <w:r w:rsidR="00627EC6" w:rsidRPr="58161626">
        <w:rPr>
          <w:rFonts w:asciiTheme="minorHAnsi" w:hAnsiTheme="minorHAnsi"/>
          <w:sz w:val="22"/>
          <w:szCs w:val="22"/>
        </w:rPr>
        <w:t xml:space="preserve">Gross State Product </w:t>
      </w:r>
      <w:r w:rsidR="0042106E" w:rsidRPr="58161626">
        <w:rPr>
          <w:rFonts w:asciiTheme="minorHAnsi" w:hAnsiTheme="minorHAnsi"/>
          <w:sz w:val="22"/>
          <w:szCs w:val="22"/>
        </w:rPr>
        <w:t>was 6.8% higher than its pre-</w:t>
      </w:r>
      <w:r w:rsidR="0042106E" w:rsidRPr="58161626">
        <w:rPr>
          <w:rFonts w:asciiTheme="minorHAnsi" w:hAnsiTheme="minorHAnsi"/>
          <w:sz w:val="22"/>
          <w:szCs w:val="22"/>
        </w:rPr>
        <w:lastRenderedPageBreak/>
        <w:t>pandemic peak</w:t>
      </w:r>
      <w:r w:rsidR="0089749E" w:rsidRPr="58161626">
        <w:rPr>
          <w:rFonts w:asciiTheme="minorHAnsi" w:hAnsiTheme="minorHAnsi"/>
          <w:sz w:val="22"/>
          <w:szCs w:val="22"/>
        </w:rPr>
        <w:t xml:space="preserve">, compared to </w:t>
      </w:r>
      <w:r w:rsidR="00773BA6" w:rsidRPr="58161626">
        <w:rPr>
          <w:rFonts w:asciiTheme="minorHAnsi" w:hAnsiTheme="minorHAnsi"/>
          <w:sz w:val="22"/>
          <w:szCs w:val="22"/>
        </w:rPr>
        <w:t>5.6% for the U.S.</w:t>
      </w:r>
      <w:r w:rsidR="00722798" w:rsidRPr="58161626">
        <w:rPr>
          <w:rFonts w:asciiTheme="minorHAnsi" w:hAnsiTheme="minorHAnsi"/>
          <w:sz w:val="22"/>
          <w:szCs w:val="22"/>
        </w:rPr>
        <w:t xml:space="preserve"> </w:t>
      </w:r>
      <w:r w:rsidR="00073D97" w:rsidRPr="58161626">
        <w:rPr>
          <w:rFonts w:asciiTheme="minorHAnsi" w:hAnsiTheme="minorHAnsi"/>
          <w:sz w:val="22"/>
          <w:szCs w:val="22"/>
        </w:rPr>
        <w:t xml:space="preserve">In </w:t>
      </w:r>
      <w:r w:rsidR="00985705" w:rsidRPr="58161626">
        <w:rPr>
          <w:rFonts w:asciiTheme="minorHAnsi" w:hAnsiTheme="minorHAnsi"/>
          <w:sz w:val="22"/>
          <w:szCs w:val="22"/>
        </w:rPr>
        <w:t xml:space="preserve">Q1-2023, </w:t>
      </w:r>
      <w:r w:rsidR="00981561" w:rsidRPr="58161626">
        <w:rPr>
          <w:rFonts w:asciiTheme="minorHAnsi" w:hAnsiTheme="minorHAnsi"/>
          <w:sz w:val="22"/>
          <w:szCs w:val="22"/>
        </w:rPr>
        <w:t>the Georgia economy grew at a 2.4% annual pace</w:t>
      </w:r>
      <w:r w:rsidR="0089294C" w:rsidRPr="58161626">
        <w:rPr>
          <w:rFonts w:asciiTheme="minorHAnsi" w:hAnsiTheme="minorHAnsi"/>
          <w:sz w:val="22"/>
          <w:szCs w:val="22"/>
        </w:rPr>
        <w:t xml:space="preserve"> compared to a 2% pace for the </w:t>
      </w:r>
      <w:r w:rsidR="007858FF" w:rsidRPr="58161626">
        <w:rPr>
          <w:rFonts w:asciiTheme="minorHAnsi" w:hAnsiTheme="minorHAnsi"/>
          <w:sz w:val="22"/>
          <w:szCs w:val="22"/>
        </w:rPr>
        <w:t>U.S.</w:t>
      </w:r>
    </w:p>
    <w:p w14:paraId="558BC274" w14:textId="77777777" w:rsidR="00A1018C" w:rsidRPr="00E832A5" w:rsidRDefault="00A1018C" w:rsidP="00CE6BE1">
      <w:pPr>
        <w:spacing w:line="276" w:lineRule="auto"/>
        <w:jc w:val="both"/>
        <w:rPr>
          <w:rFonts w:asciiTheme="minorHAnsi" w:hAnsiTheme="minorHAnsi" w:cstheme="minorHAnsi"/>
          <w:sz w:val="22"/>
          <w:szCs w:val="22"/>
          <w:highlight w:val="yellow"/>
        </w:rPr>
      </w:pPr>
    </w:p>
    <w:p w14:paraId="5E9DC4A5" w14:textId="2ECDCA47" w:rsidR="00611AFF" w:rsidRPr="00E832A5" w:rsidRDefault="007C5060" w:rsidP="00CE6BE1">
      <w:pPr>
        <w:spacing w:line="276" w:lineRule="auto"/>
        <w:jc w:val="both"/>
        <w:rPr>
          <w:rFonts w:asciiTheme="minorHAnsi" w:hAnsiTheme="minorHAnsi"/>
          <w:sz w:val="22"/>
          <w:szCs w:val="22"/>
        </w:rPr>
      </w:pPr>
      <w:r w:rsidRPr="58161626">
        <w:rPr>
          <w:rFonts w:asciiTheme="minorHAnsi" w:hAnsiTheme="minorHAnsi"/>
          <w:sz w:val="22"/>
          <w:szCs w:val="22"/>
        </w:rPr>
        <w:t xml:space="preserve">Georgia is benefitting from </w:t>
      </w:r>
      <w:r w:rsidR="00562970" w:rsidRPr="58161626">
        <w:rPr>
          <w:rFonts w:asciiTheme="minorHAnsi" w:hAnsiTheme="minorHAnsi"/>
          <w:sz w:val="22"/>
          <w:szCs w:val="22"/>
        </w:rPr>
        <w:t>strong population growth</w:t>
      </w:r>
      <w:r w:rsidR="00D57D98" w:rsidRPr="58161626">
        <w:rPr>
          <w:rFonts w:asciiTheme="minorHAnsi" w:hAnsiTheme="minorHAnsi"/>
          <w:sz w:val="22"/>
          <w:szCs w:val="22"/>
        </w:rPr>
        <w:t xml:space="preserve"> and is </w:t>
      </w:r>
      <w:r w:rsidR="006036FA" w:rsidRPr="58161626">
        <w:rPr>
          <w:rFonts w:asciiTheme="minorHAnsi" w:hAnsiTheme="minorHAnsi"/>
          <w:sz w:val="22"/>
          <w:szCs w:val="22"/>
        </w:rPr>
        <w:t xml:space="preserve">currently </w:t>
      </w:r>
      <w:r w:rsidR="00D57D98" w:rsidRPr="58161626">
        <w:rPr>
          <w:rFonts w:asciiTheme="minorHAnsi" w:hAnsiTheme="minorHAnsi"/>
          <w:sz w:val="22"/>
          <w:szCs w:val="22"/>
        </w:rPr>
        <w:t xml:space="preserve">the </w:t>
      </w:r>
      <w:r w:rsidR="00E76944" w:rsidRPr="58161626">
        <w:rPr>
          <w:rFonts w:asciiTheme="minorHAnsi" w:hAnsiTheme="minorHAnsi"/>
          <w:sz w:val="22"/>
          <w:szCs w:val="22"/>
        </w:rPr>
        <w:t>eighth most populous state</w:t>
      </w:r>
      <w:r w:rsidR="009E03E7">
        <w:rPr>
          <w:rFonts w:asciiTheme="minorHAnsi" w:hAnsiTheme="minorHAnsi"/>
          <w:sz w:val="22"/>
          <w:szCs w:val="22"/>
        </w:rPr>
        <w:t xml:space="preserve"> in the nation</w:t>
      </w:r>
      <w:r w:rsidR="00562970" w:rsidRPr="58161626">
        <w:rPr>
          <w:rFonts w:asciiTheme="minorHAnsi" w:hAnsiTheme="minorHAnsi"/>
          <w:sz w:val="22"/>
          <w:szCs w:val="22"/>
        </w:rPr>
        <w:t xml:space="preserve">. </w:t>
      </w:r>
      <w:r w:rsidR="005D4350" w:rsidRPr="58161626">
        <w:rPr>
          <w:rFonts w:asciiTheme="minorHAnsi" w:hAnsiTheme="minorHAnsi"/>
          <w:sz w:val="22"/>
          <w:szCs w:val="22"/>
        </w:rPr>
        <w:t xml:space="preserve">Since the 2020 Census, </w:t>
      </w:r>
      <w:r w:rsidR="00831EE5" w:rsidRPr="58161626">
        <w:rPr>
          <w:rFonts w:asciiTheme="minorHAnsi" w:hAnsiTheme="minorHAnsi"/>
          <w:sz w:val="22"/>
          <w:szCs w:val="22"/>
        </w:rPr>
        <w:t xml:space="preserve">the state has added </w:t>
      </w:r>
      <w:r w:rsidR="003A5EEF" w:rsidRPr="58161626">
        <w:rPr>
          <w:rFonts w:asciiTheme="minorHAnsi" w:hAnsiTheme="minorHAnsi"/>
          <w:sz w:val="22"/>
          <w:szCs w:val="22"/>
        </w:rPr>
        <w:t xml:space="preserve">nearly 201,000 </w:t>
      </w:r>
      <w:r w:rsidR="00E15F7E" w:rsidRPr="58161626">
        <w:rPr>
          <w:rFonts w:asciiTheme="minorHAnsi" w:hAnsiTheme="minorHAnsi"/>
          <w:sz w:val="22"/>
          <w:szCs w:val="22"/>
        </w:rPr>
        <w:t>residents</w:t>
      </w:r>
      <w:r w:rsidR="00625E8D" w:rsidRPr="58161626">
        <w:rPr>
          <w:rFonts w:asciiTheme="minorHAnsi" w:hAnsiTheme="minorHAnsi"/>
          <w:sz w:val="22"/>
          <w:szCs w:val="22"/>
        </w:rPr>
        <w:t xml:space="preserve">, </w:t>
      </w:r>
      <w:r w:rsidR="6FC8EC24" w:rsidRPr="58161626">
        <w:rPr>
          <w:rFonts w:asciiTheme="minorHAnsi" w:hAnsiTheme="minorHAnsi"/>
          <w:sz w:val="22"/>
          <w:szCs w:val="22"/>
        </w:rPr>
        <w:t xml:space="preserve">which is the </w:t>
      </w:r>
      <w:r w:rsidR="00625E8D" w:rsidRPr="58161626">
        <w:rPr>
          <w:rFonts w:asciiTheme="minorHAnsi" w:hAnsiTheme="minorHAnsi"/>
          <w:sz w:val="22"/>
          <w:szCs w:val="22"/>
        </w:rPr>
        <w:t>fourth highest increase</w:t>
      </w:r>
      <w:r w:rsidR="00217A8F" w:rsidRPr="58161626">
        <w:rPr>
          <w:rFonts w:asciiTheme="minorHAnsi" w:hAnsiTheme="minorHAnsi"/>
          <w:sz w:val="22"/>
          <w:szCs w:val="22"/>
        </w:rPr>
        <w:t xml:space="preserve"> in the U.S.</w:t>
      </w:r>
      <w:r w:rsidR="005E3EF3" w:rsidRPr="58161626">
        <w:rPr>
          <w:rFonts w:asciiTheme="minorHAnsi" w:hAnsiTheme="minorHAnsi"/>
          <w:sz w:val="22"/>
          <w:szCs w:val="22"/>
        </w:rPr>
        <w:t xml:space="preserve"> </w:t>
      </w:r>
      <w:r w:rsidR="00406E3F" w:rsidRPr="58161626">
        <w:rPr>
          <w:rFonts w:asciiTheme="minorHAnsi" w:hAnsiTheme="minorHAnsi"/>
          <w:sz w:val="22"/>
          <w:szCs w:val="22"/>
        </w:rPr>
        <w:t>In terms of percentage growth</w:t>
      </w:r>
      <w:r w:rsidR="004B78FB" w:rsidRPr="58161626">
        <w:rPr>
          <w:rFonts w:asciiTheme="minorHAnsi" w:hAnsiTheme="minorHAnsi"/>
          <w:sz w:val="22"/>
          <w:szCs w:val="22"/>
        </w:rPr>
        <w:t>, Georgia’s population</w:t>
      </w:r>
      <w:r w:rsidR="00E76944" w:rsidRPr="58161626">
        <w:rPr>
          <w:rFonts w:asciiTheme="minorHAnsi" w:hAnsiTheme="minorHAnsi"/>
          <w:sz w:val="22"/>
          <w:szCs w:val="22"/>
        </w:rPr>
        <w:t xml:space="preserve"> has grown 1.9% </w:t>
      </w:r>
      <w:r w:rsidR="00930283" w:rsidRPr="58161626">
        <w:rPr>
          <w:rFonts w:asciiTheme="minorHAnsi" w:hAnsiTheme="minorHAnsi"/>
          <w:sz w:val="22"/>
          <w:szCs w:val="22"/>
        </w:rPr>
        <w:t>from 2020</w:t>
      </w:r>
      <w:r w:rsidR="00BF7C23" w:rsidRPr="58161626">
        <w:rPr>
          <w:rFonts w:asciiTheme="minorHAnsi" w:hAnsiTheme="minorHAnsi"/>
          <w:sz w:val="22"/>
          <w:szCs w:val="22"/>
        </w:rPr>
        <w:t>-2022</w:t>
      </w:r>
      <w:r w:rsidR="008D0B72" w:rsidRPr="58161626">
        <w:rPr>
          <w:rFonts w:asciiTheme="minorHAnsi" w:hAnsiTheme="minorHAnsi"/>
          <w:sz w:val="22"/>
          <w:szCs w:val="22"/>
        </w:rPr>
        <w:t xml:space="preserve"> compared to </w:t>
      </w:r>
      <w:r w:rsidR="00560203" w:rsidRPr="58161626">
        <w:rPr>
          <w:rFonts w:asciiTheme="minorHAnsi" w:hAnsiTheme="minorHAnsi"/>
          <w:sz w:val="22"/>
          <w:szCs w:val="22"/>
        </w:rPr>
        <w:t xml:space="preserve">0.6% growth for the U.S. </w:t>
      </w:r>
      <w:r w:rsidR="000212DB" w:rsidRPr="58161626">
        <w:rPr>
          <w:rFonts w:asciiTheme="minorHAnsi" w:hAnsiTheme="minorHAnsi"/>
          <w:sz w:val="22"/>
          <w:szCs w:val="22"/>
        </w:rPr>
        <w:t xml:space="preserve">Net domestic migration </w:t>
      </w:r>
      <w:r w:rsidR="00BA1C48" w:rsidRPr="58161626">
        <w:rPr>
          <w:rFonts w:asciiTheme="minorHAnsi" w:hAnsiTheme="minorHAnsi"/>
          <w:sz w:val="22"/>
          <w:szCs w:val="22"/>
        </w:rPr>
        <w:t>accounted f</w:t>
      </w:r>
      <w:r w:rsidR="00B87153" w:rsidRPr="58161626">
        <w:rPr>
          <w:rFonts w:asciiTheme="minorHAnsi" w:hAnsiTheme="minorHAnsi"/>
          <w:sz w:val="22"/>
          <w:szCs w:val="22"/>
        </w:rPr>
        <w:t>o</w:t>
      </w:r>
      <w:r w:rsidR="00BA1C48" w:rsidRPr="58161626">
        <w:rPr>
          <w:rFonts w:asciiTheme="minorHAnsi" w:hAnsiTheme="minorHAnsi"/>
          <w:sz w:val="22"/>
          <w:szCs w:val="22"/>
        </w:rPr>
        <w:t>r</w:t>
      </w:r>
      <w:r w:rsidR="00034EBB" w:rsidRPr="58161626">
        <w:rPr>
          <w:rFonts w:asciiTheme="minorHAnsi" w:hAnsiTheme="minorHAnsi"/>
          <w:sz w:val="22"/>
          <w:szCs w:val="22"/>
        </w:rPr>
        <w:t xml:space="preserve"> </w:t>
      </w:r>
      <w:r w:rsidR="00CD2A04" w:rsidRPr="58161626">
        <w:rPr>
          <w:rFonts w:asciiTheme="minorHAnsi" w:hAnsiTheme="minorHAnsi"/>
          <w:sz w:val="22"/>
          <w:szCs w:val="22"/>
        </w:rPr>
        <w:t xml:space="preserve">nearly 64% </w:t>
      </w:r>
      <w:r w:rsidR="00034EBB" w:rsidRPr="58161626">
        <w:rPr>
          <w:rFonts w:asciiTheme="minorHAnsi" w:hAnsiTheme="minorHAnsi"/>
          <w:sz w:val="22"/>
          <w:szCs w:val="22"/>
        </w:rPr>
        <w:t xml:space="preserve">of the population </w:t>
      </w:r>
      <w:r w:rsidR="005F51B1" w:rsidRPr="58161626">
        <w:rPr>
          <w:rFonts w:asciiTheme="minorHAnsi" w:hAnsiTheme="minorHAnsi"/>
          <w:sz w:val="22"/>
          <w:szCs w:val="22"/>
        </w:rPr>
        <w:t>increase since 2020</w:t>
      </w:r>
      <w:r w:rsidR="0019717C" w:rsidRPr="58161626">
        <w:rPr>
          <w:rFonts w:asciiTheme="minorHAnsi" w:hAnsiTheme="minorHAnsi"/>
          <w:sz w:val="22"/>
          <w:szCs w:val="22"/>
        </w:rPr>
        <w:t xml:space="preserve">, as </w:t>
      </w:r>
      <w:r w:rsidR="00DF6C16" w:rsidRPr="58161626">
        <w:rPr>
          <w:rFonts w:asciiTheme="minorHAnsi" w:hAnsiTheme="minorHAnsi"/>
          <w:sz w:val="22"/>
          <w:szCs w:val="22"/>
        </w:rPr>
        <w:t xml:space="preserve">the state welcomed </w:t>
      </w:r>
      <w:r w:rsidR="00A6573B" w:rsidRPr="58161626">
        <w:rPr>
          <w:rFonts w:asciiTheme="minorHAnsi" w:hAnsiTheme="minorHAnsi"/>
          <w:sz w:val="22"/>
          <w:szCs w:val="22"/>
        </w:rPr>
        <w:t xml:space="preserve">over 128,000 </w:t>
      </w:r>
      <w:r w:rsidR="002C7477" w:rsidRPr="58161626">
        <w:rPr>
          <w:rFonts w:asciiTheme="minorHAnsi" w:hAnsiTheme="minorHAnsi"/>
          <w:sz w:val="22"/>
          <w:szCs w:val="22"/>
        </w:rPr>
        <w:t>residents from other states</w:t>
      </w:r>
      <w:r w:rsidR="009A1942" w:rsidRPr="58161626">
        <w:rPr>
          <w:rFonts w:asciiTheme="minorHAnsi" w:hAnsiTheme="minorHAnsi"/>
          <w:sz w:val="22"/>
          <w:szCs w:val="22"/>
        </w:rPr>
        <w:t xml:space="preserve">. </w:t>
      </w:r>
      <w:r w:rsidR="00E607A0" w:rsidRPr="58161626">
        <w:rPr>
          <w:rFonts w:asciiTheme="minorHAnsi" w:hAnsiTheme="minorHAnsi"/>
          <w:sz w:val="22"/>
          <w:szCs w:val="22"/>
        </w:rPr>
        <w:t xml:space="preserve">This is the seventh highest increase </w:t>
      </w:r>
      <w:r w:rsidR="00E80958" w:rsidRPr="58161626">
        <w:rPr>
          <w:rFonts w:asciiTheme="minorHAnsi" w:hAnsiTheme="minorHAnsi"/>
          <w:sz w:val="22"/>
          <w:szCs w:val="22"/>
        </w:rPr>
        <w:t>in residents among</w:t>
      </w:r>
      <w:r w:rsidR="00C114CD" w:rsidRPr="58161626">
        <w:rPr>
          <w:rFonts w:asciiTheme="minorHAnsi" w:hAnsiTheme="minorHAnsi"/>
          <w:sz w:val="22"/>
          <w:szCs w:val="22"/>
        </w:rPr>
        <w:t xml:space="preserve"> the </w:t>
      </w:r>
      <w:r w:rsidR="00080C82" w:rsidRPr="58161626">
        <w:rPr>
          <w:rFonts w:asciiTheme="minorHAnsi" w:hAnsiTheme="minorHAnsi"/>
          <w:sz w:val="22"/>
          <w:szCs w:val="22"/>
        </w:rPr>
        <w:t xml:space="preserve">50 states. </w:t>
      </w:r>
      <w:r w:rsidR="000F12D6" w:rsidRPr="58161626">
        <w:rPr>
          <w:rFonts w:asciiTheme="minorHAnsi" w:hAnsiTheme="minorHAnsi"/>
          <w:sz w:val="22"/>
          <w:szCs w:val="22"/>
        </w:rPr>
        <w:t>International migration</w:t>
      </w:r>
      <w:r w:rsidR="00436E87" w:rsidRPr="58161626">
        <w:rPr>
          <w:rFonts w:asciiTheme="minorHAnsi" w:hAnsiTheme="minorHAnsi"/>
          <w:sz w:val="22"/>
          <w:szCs w:val="22"/>
        </w:rPr>
        <w:t xml:space="preserve"> added </w:t>
      </w:r>
      <w:r w:rsidR="00A36DF0" w:rsidRPr="58161626">
        <w:rPr>
          <w:rFonts w:asciiTheme="minorHAnsi" w:hAnsiTheme="minorHAnsi"/>
          <w:sz w:val="22"/>
          <w:szCs w:val="22"/>
        </w:rPr>
        <w:t>over 38,000 residents</w:t>
      </w:r>
      <w:r w:rsidR="008A0B95" w:rsidRPr="58161626">
        <w:rPr>
          <w:rFonts w:asciiTheme="minorHAnsi" w:hAnsiTheme="minorHAnsi"/>
          <w:sz w:val="22"/>
          <w:szCs w:val="22"/>
        </w:rPr>
        <w:t xml:space="preserve">, while </w:t>
      </w:r>
      <w:r w:rsidR="001C3AE8" w:rsidRPr="58161626">
        <w:rPr>
          <w:rFonts w:asciiTheme="minorHAnsi" w:hAnsiTheme="minorHAnsi"/>
          <w:sz w:val="22"/>
          <w:szCs w:val="22"/>
        </w:rPr>
        <w:t xml:space="preserve">natural </w:t>
      </w:r>
      <w:r w:rsidR="000E4ECB" w:rsidRPr="58161626">
        <w:rPr>
          <w:rFonts w:asciiTheme="minorHAnsi" w:hAnsiTheme="minorHAnsi"/>
          <w:sz w:val="22"/>
          <w:szCs w:val="22"/>
        </w:rPr>
        <w:t>growth, calculated as birth</w:t>
      </w:r>
      <w:r w:rsidR="00F6695D" w:rsidRPr="58161626">
        <w:rPr>
          <w:rFonts w:asciiTheme="minorHAnsi" w:hAnsiTheme="minorHAnsi"/>
          <w:sz w:val="22"/>
          <w:szCs w:val="22"/>
        </w:rPr>
        <w:t>s</w:t>
      </w:r>
      <w:r w:rsidR="000E4ECB" w:rsidRPr="58161626">
        <w:rPr>
          <w:rFonts w:asciiTheme="minorHAnsi" w:hAnsiTheme="minorHAnsi"/>
          <w:sz w:val="22"/>
          <w:szCs w:val="22"/>
        </w:rPr>
        <w:t xml:space="preserve"> </w:t>
      </w:r>
      <w:r w:rsidR="00284222" w:rsidRPr="58161626">
        <w:rPr>
          <w:rFonts w:asciiTheme="minorHAnsi" w:hAnsiTheme="minorHAnsi"/>
          <w:sz w:val="22"/>
          <w:szCs w:val="22"/>
        </w:rPr>
        <w:t>minus deaths</w:t>
      </w:r>
      <w:r w:rsidR="000332A0" w:rsidRPr="58161626">
        <w:rPr>
          <w:rFonts w:asciiTheme="minorHAnsi" w:hAnsiTheme="minorHAnsi"/>
          <w:sz w:val="22"/>
          <w:szCs w:val="22"/>
        </w:rPr>
        <w:t>,</w:t>
      </w:r>
      <w:r w:rsidR="000E3E0D" w:rsidRPr="58161626">
        <w:rPr>
          <w:rFonts w:asciiTheme="minorHAnsi" w:hAnsiTheme="minorHAnsi"/>
          <w:sz w:val="22"/>
          <w:szCs w:val="22"/>
        </w:rPr>
        <w:t xml:space="preserve"> </w:t>
      </w:r>
      <w:r w:rsidR="00C778C4" w:rsidRPr="58161626">
        <w:rPr>
          <w:rFonts w:asciiTheme="minorHAnsi" w:hAnsiTheme="minorHAnsi"/>
          <w:sz w:val="22"/>
          <w:szCs w:val="22"/>
        </w:rPr>
        <w:t>increased by just over 33,000</w:t>
      </w:r>
      <w:r w:rsidR="00765239" w:rsidRPr="58161626">
        <w:rPr>
          <w:rFonts w:asciiTheme="minorHAnsi" w:hAnsiTheme="minorHAnsi"/>
          <w:sz w:val="22"/>
          <w:szCs w:val="22"/>
        </w:rPr>
        <w:t xml:space="preserve"> </w:t>
      </w:r>
      <w:r w:rsidR="001D3951" w:rsidRPr="58161626">
        <w:rPr>
          <w:rFonts w:asciiTheme="minorHAnsi" w:hAnsiTheme="minorHAnsi"/>
          <w:sz w:val="22"/>
          <w:szCs w:val="22"/>
        </w:rPr>
        <w:t>from 2020-2022</w:t>
      </w:r>
      <w:r w:rsidR="003E6B1A" w:rsidRPr="58161626">
        <w:rPr>
          <w:rFonts w:asciiTheme="minorHAnsi" w:hAnsiTheme="minorHAnsi"/>
          <w:sz w:val="22"/>
          <w:szCs w:val="22"/>
        </w:rPr>
        <w:t xml:space="preserve">, </w:t>
      </w:r>
      <w:r w:rsidR="4CDBAA8C" w:rsidRPr="58161626">
        <w:rPr>
          <w:rFonts w:asciiTheme="minorHAnsi" w:hAnsiTheme="minorHAnsi"/>
          <w:sz w:val="22"/>
          <w:szCs w:val="22"/>
        </w:rPr>
        <w:t xml:space="preserve">which is </w:t>
      </w:r>
      <w:r w:rsidR="003E6B1A" w:rsidRPr="58161626">
        <w:rPr>
          <w:rFonts w:asciiTheme="minorHAnsi" w:hAnsiTheme="minorHAnsi"/>
          <w:sz w:val="22"/>
          <w:szCs w:val="22"/>
        </w:rPr>
        <w:t xml:space="preserve">the sixth highest </w:t>
      </w:r>
      <w:r w:rsidR="54158936" w:rsidRPr="58161626">
        <w:rPr>
          <w:rFonts w:asciiTheme="minorHAnsi" w:hAnsiTheme="minorHAnsi"/>
          <w:sz w:val="22"/>
          <w:szCs w:val="22"/>
        </w:rPr>
        <w:t xml:space="preserve">increase </w:t>
      </w:r>
      <w:r w:rsidR="003E6B1A" w:rsidRPr="58161626">
        <w:rPr>
          <w:rFonts w:asciiTheme="minorHAnsi" w:hAnsiTheme="minorHAnsi"/>
          <w:sz w:val="22"/>
          <w:szCs w:val="22"/>
        </w:rPr>
        <w:t>in the nation</w:t>
      </w:r>
      <w:r w:rsidR="001D3951" w:rsidRPr="58161626">
        <w:rPr>
          <w:rFonts w:asciiTheme="minorHAnsi" w:hAnsiTheme="minorHAnsi"/>
          <w:sz w:val="22"/>
          <w:szCs w:val="22"/>
        </w:rPr>
        <w:t>.</w:t>
      </w:r>
      <w:r w:rsidR="00BA1C48" w:rsidRPr="58161626">
        <w:rPr>
          <w:rFonts w:asciiTheme="minorHAnsi" w:hAnsiTheme="minorHAnsi"/>
          <w:sz w:val="22"/>
          <w:szCs w:val="22"/>
        </w:rPr>
        <w:t xml:space="preserve"> </w:t>
      </w:r>
      <w:r w:rsidR="00E06FB0" w:rsidRPr="58161626">
        <w:rPr>
          <w:rFonts w:asciiTheme="minorHAnsi" w:hAnsiTheme="minorHAnsi"/>
          <w:sz w:val="22"/>
          <w:szCs w:val="22"/>
        </w:rPr>
        <w:t xml:space="preserve">Robust population growth </w:t>
      </w:r>
      <w:r w:rsidR="00425F0B" w:rsidRPr="58161626">
        <w:rPr>
          <w:rFonts w:asciiTheme="minorHAnsi" w:hAnsiTheme="minorHAnsi"/>
          <w:sz w:val="22"/>
          <w:szCs w:val="22"/>
        </w:rPr>
        <w:t xml:space="preserve">over the past few years has supported a steady increase </w:t>
      </w:r>
      <w:r w:rsidR="009D2FA3" w:rsidRPr="58161626">
        <w:rPr>
          <w:rFonts w:asciiTheme="minorHAnsi" w:hAnsiTheme="minorHAnsi"/>
          <w:sz w:val="22"/>
          <w:szCs w:val="22"/>
        </w:rPr>
        <w:t xml:space="preserve">in </w:t>
      </w:r>
      <w:r w:rsidR="00C53734" w:rsidRPr="58161626">
        <w:rPr>
          <w:rFonts w:asciiTheme="minorHAnsi" w:hAnsiTheme="minorHAnsi"/>
          <w:sz w:val="22"/>
          <w:szCs w:val="22"/>
        </w:rPr>
        <w:t>Georgia’s labor force</w:t>
      </w:r>
      <w:r w:rsidR="46F9464A" w:rsidRPr="58161626">
        <w:rPr>
          <w:rFonts w:asciiTheme="minorHAnsi" w:hAnsiTheme="minorHAnsi"/>
          <w:sz w:val="22"/>
          <w:szCs w:val="22"/>
        </w:rPr>
        <w:t xml:space="preserve">, which is </w:t>
      </w:r>
      <w:r w:rsidR="00E844C6" w:rsidRPr="58161626">
        <w:rPr>
          <w:rFonts w:asciiTheme="minorHAnsi" w:hAnsiTheme="minorHAnsi"/>
          <w:sz w:val="22"/>
          <w:szCs w:val="22"/>
        </w:rPr>
        <w:t xml:space="preserve">essential </w:t>
      </w:r>
      <w:r w:rsidR="0B808FBE" w:rsidRPr="58161626">
        <w:rPr>
          <w:rFonts w:asciiTheme="minorHAnsi" w:hAnsiTheme="minorHAnsi"/>
          <w:sz w:val="22"/>
          <w:szCs w:val="22"/>
        </w:rPr>
        <w:t>to</w:t>
      </w:r>
      <w:r w:rsidR="00C5057F" w:rsidRPr="58161626">
        <w:rPr>
          <w:rFonts w:asciiTheme="minorHAnsi" w:hAnsiTheme="minorHAnsi"/>
          <w:sz w:val="22"/>
          <w:szCs w:val="22"/>
        </w:rPr>
        <w:t xml:space="preserve"> continued </w:t>
      </w:r>
      <w:r w:rsidR="591B4B1F" w:rsidRPr="58161626">
        <w:rPr>
          <w:rFonts w:asciiTheme="minorHAnsi" w:hAnsiTheme="minorHAnsi"/>
          <w:sz w:val="22"/>
          <w:szCs w:val="22"/>
        </w:rPr>
        <w:t xml:space="preserve">economic </w:t>
      </w:r>
      <w:r w:rsidR="00CF0854" w:rsidRPr="58161626">
        <w:rPr>
          <w:rFonts w:asciiTheme="minorHAnsi" w:hAnsiTheme="minorHAnsi"/>
          <w:sz w:val="22"/>
          <w:szCs w:val="22"/>
        </w:rPr>
        <w:t>growth</w:t>
      </w:r>
      <w:r w:rsidR="007244E1" w:rsidRPr="58161626">
        <w:rPr>
          <w:rFonts w:asciiTheme="minorHAnsi" w:hAnsiTheme="minorHAnsi"/>
          <w:sz w:val="22"/>
          <w:szCs w:val="22"/>
        </w:rPr>
        <w:t>.</w:t>
      </w:r>
    </w:p>
    <w:p w14:paraId="16A1F25F" w14:textId="77777777" w:rsidR="00562970" w:rsidRPr="00E832A5" w:rsidRDefault="00562970" w:rsidP="00CE6BE1">
      <w:pPr>
        <w:spacing w:line="276" w:lineRule="auto"/>
        <w:jc w:val="both"/>
        <w:rPr>
          <w:rFonts w:asciiTheme="minorHAnsi" w:hAnsiTheme="minorHAnsi" w:cstheme="minorHAnsi"/>
          <w:sz w:val="22"/>
          <w:szCs w:val="22"/>
        </w:rPr>
      </w:pPr>
    </w:p>
    <w:p w14:paraId="3B822767" w14:textId="07B56AFC" w:rsidR="000150EE" w:rsidRPr="00E832A5" w:rsidRDefault="00513A99" w:rsidP="00CE6BE1">
      <w:pPr>
        <w:spacing w:line="276" w:lineRule="auto"/>
        <w:jc w:val="both"/>
        <w:rPr>
          <w:rFonts w:asciiTheme="minorHAnsi" w:hAnsiTheme="minorHAnsi"/>
          <w:sz w:val="22"/>
          <w:szCs w:val="22"/>
        </w:rPr>
      </w:pPr>
      <w:r w:rsidRPr="58161626">
        <w:rPr>
          <w:rFonts w:asciiTheme="minorHAnsi" w:hAnsiTheme="minorHAnsi"/>
          <w:sz w:val="22"/>
          <w:szCs w:val="22"/>
        </w:rPr>
        <w:t>Georgia’s projected employment outlook and favorable living costs will support</w:t>
      </w:r>
      <w:r w:rsidR="00E41ECD">
        <w:rPr>
          <w:rFonts w:asciiTheme="minorHAnsi" w:hAnsiTheme="minorHAnsi"/>
          <w:sz w:val="22"/>
          <w:szCs w:val="22"/>
        </w:rPr>
        <w:t xml:space="preserve"> migration to the state</w:t>
      </w:r>
      <w:r w:rsidRPr="58161626">
        <w:rPr>
          <w:rFonts w:asciiTheme="minorHAnsi" w:hAnsiTheme="minorHAnsi"/>
          <w:sz w:val="22"/>
          <w:szCs w:val="22"/>
        </w:rPr>
        <w:t xml:space="preserve"> which in turn drives population growth and household formation. In the forecast, Georgia’s population is expected to increase an average of 0.</w:t>
      </w:r>
      <w:r w:rsidR="00F6731B" w:rsidRPr="58161626">
        <w:rPr>
          <w:rFonts w:asciiTheme="minorHAnsi" w:hAnsiTheme="minorHAnsi"/>
          <w:sz w:val="22"/>
          <w:szCs w:val="22"/>
        </w:rPr>
        <w:t>8</w:t>
      </w:r>
      <w:r w:rsidRPr="58161626">
        <w:rPr>
          <w:rFonts w:asciiTheme="minorHAnsi" w:hAnsiTheme="minorHAnsi"/>
          <w:sz w:val="22"/>
          <w:szCs w:val="22"/>
        </w:rPr>
        <w:t>% per year between 202</w:t>
      </w:r>
      <w:r w:rsidR="00F6731B" w:rsidRPr="58161626">
        <w:rPr>
          <w:rFonts w:asciiTheme="minorHAnsi" w:hAnsiTheme="minorHAnsi"/>
          <w:sz w:val="22"/>
          <w:szCs w:val="22"/>
        </w:rPr>
        <w:t>3</w:t>
      </w:r>
      <w:r w:rsidRPr="58161626">
        <w:rPr>
          <w:rFonts w:asciiTheme="minorHAnsi" w:hAnsiTheme="minorHAnsi"/>
          <w:sz w:val="22"/>
          <w:szCs w:val="22"/>
        </w:rPr>
        <w:t xml:space="preserve"> and 20</w:t>
      </w:r>
      <w:r w:rsidR="00F6731B" w:rsidRPr="58161626">
        <w:rPr>
          <w:rFonts w:asciiTheme="minorHAnsi" w:hAnsiTheme="minorHAnsi"/>
          <w:sz w:val="22"/>
          <w:szCs w:val="22"/>
        </w:rPr>
        <w:t>4</w:t>
      </w:r>
      <w:r w:rsidRPr="58161626">
        <w:rPr>
          <w:rFonts w:asciiTheme="minorHAnsi" w:hAnsiTheme="minorHAnsi"/>
          <w:sz w:val="22"/>
          <w:szCs w:val="22"/>
        </w:rPr>
        <w:t>3, while the nation’s population is expected to increase by 0.</w:t>
      </w:r>
      <w:r w:rsidR="00F6731B" w:rsidRPr="58161626">
        <w:rPr>
          <w:rFonts w:asciiTheme="minorHAnsi" w:hAnsiTheme="minorHAnsi"/>
          <w:sz w:val="22"/>
          <w:szCs w:val="22"/>
        </w:rPr>
        <w:t>4</w:t>
      </w:r>
      <w:r w:rsidRPr="58161626">
        <w:rPr>
          <w:rFonts w:asciiTheme="minorHAnsi" w:hAnsiTheme="minorHAnsi"/>
          <w:sz w:val="22"/>
          <w:szCs w:val="22"/>
        </w:rPr>
        <w:t xml:space="preserve">% per year. </w:t>
      </w:r>
      <w:r w:rsidR="000150EE" w:rsidRPr="58161626">
        <w:rPr>
          <w:rFonts w:asciiTheme="minorHAnsi" w:hAnsiTheme="minorHAnsi"/>
          <w:sz w:val="22"/>
          <w:szCs w:val="22"/>
        </w:rPr>
        <w:t>Increases in Georgia’s population, households and business formations are expected to provide a firm foundation for robust long-term economic growth in the state.</w:t>
      </w:r>
    </w:p>
    <w:p w14:paraId="71C7C602" w14:textId="1AFEDA95" w:rsidR="008E2F36" w:rsidRPr="00E832A5" w:rsidRDefault="008E2F36" w:rsidP="00642666">
      <w:pPr>
        <w:pStyle w:val="Heading1"/>
        <w:spacing w:after="240" w:line="276" w:lineRule="auto"/>
        <w:rPr>
          <w:rFonts w:asciiTheme="minorHAnsi" w:hAnsiTheme="minorHAnsi" w:cstheme="minorHAnsi"/>
        </w:rPr>
      </w:pPr>
      <w:r w:rsidRPr="00E832A5">
        <w:rPr>
          <w:rFonts w:asciiTheme="minorHAnsi" w:hAnsiTheme="minorHAnsi" w:cstheme="minorHAnsi"/>
        </w:rPr>
        <w:t>1.</w:t>
      </w:r>
      <w:r w:rsidR="00FD0C37" w:rsidRPr="00E832A5">
        <w:rPr>
          <w:rFonts w:asciiTheme="minorHAnsi" w:hAnsiTheme="minorHAnsi" w:cstheme="minorHAnsi"/>
        </w:rPr>
        <w:t>4</w:t>
      </w:r>
      <w:r w:rsidRPr="00E832A5">
        <w:rPr>
          <w:rFonts w:asciiTheme="minorHAnsi" w:hAnsiTheme="minorHAnsi" w:cstheme="minorHAnsi"/>
        </w:rPr>
        <w:tab/>
        <w:t>L</w:t>
      </w:r>
      <w:r w:rsidR="00611AFF" w:rsidRPr="00E832A5">
        <w:rPr>
          <w:rFonts w:asciiTheme="minorHAnsi" w:hAnsiTheme="minorHAnsi" w:cstheme="minorHAnsi"/>
        </w:rPr>
        <w:t>OAD</w:t>
      </w:r>
      <w:r w:rsidRPr="00E832A5">
        <w:rPr>
          <w:rFonts w:asciiTheme="minorHAnsi" w:hAnsiTheme="minorHAnsi" w:cstheme="minorHAnsi"/>
        </w:rPr>
        <w:t xml:space="preserve"> </w:t>
      </w:r>
      <w:r w:rsidR="00611AFF" w:rsidRPr="00E832A5">
        <w:rPr>
          <w:rFonts w:asciiTheme="minorHAnsi" w:hAnsiTheme="minorHAnsi" w:cstheme="minorHAnsi"/>
        </w:rPr>
        <w:t>FORECAST</w:t>
      </w:r>
      <w:r w:rsidR="00FD0C37" w:rsidRPr="00E832A5">
        <w:rPr>
          <w:rFonts w:asciiTheme="minorHAnsi" w:hAnsiTheme="minorHAnsi" w:cstheme="minorHAnsi"/>
        </w:rPr>
        <w:t xml:space="preserve"> ASSUMPTIONS </w:t>
      </w:r>
      <w:r w:rsidR="00106357" w:rsidRPr="00E832A5">
        <w:rPr>
          <w:rFonts w:asciiTheme="minorHAnsi" w:hAnsiTheme="minorHAnsi" w:cstheme="minorHAnsi"/>
        </w:rPr>
        <w:t>AND</w:t>
      </w:r>
      <w:r w:rsidR="00FD0C37" w:rsidRPr="00E832A5">
        <w:rPr>
          <w:rFonts w:asciiTheme="minorHAnsi" w:hAnsiTheme="minorHAnsi" w:cstheme="minorHAnsi"/>
        </w:rPr>
        <w:t xml:space="preserve"> METHODOLOGY</w:t>
      </w:r>
    </w:p>
    <w:p w14:paraId="73A42566" w14:textId="2A9A9CF5" w:rsidR="008B1A8A" w:rsidRPr="00E832A5" w:rsidRDefault="00146263" w:rsidP="00CE6BE1">
      <w:pPr>
        <w:spacing w:line="276" w:lineRule="auto"/>
        <w:jc w:val="both"/>
        <w:rPr>
          <w:rFonts w:asciiTheme="minorHAnsi" w:hAnsiTheme="minorHAnsi"/>
          <w:sz w:val="22"/>
          <w:szCs w:val="22"/>
        </w:rPr>
      </w:pPr>
      <w:r w:rsidRPr="58161626">
        <w:rPr>
          <w:rFonts w:asciiTheme="minorHAnsi" w:hAnsiTheme="minorHAnsi"/>
          <w:sz w:val="22"/>
          <w:szCs w:val="22"/>
        </w:rPr>
        <w:t xml:space="preserve">Although the Company </w:t>
      </w:r>
      <w:r w:rsidR="000B6D66" w:rsidRPr="58161626">
        <w:rPr>
          <w:rFonts w:asciiTheme="minorHAnsi" w:hAnsiTheme="minorHAnsi"/>
          <w:sz w:val="22"/>
          <w:szCs w:val="22"/>
        </w:rPr>
        <w:t>introduce</w:t>
      </w:r>
      <w:r w:rsidR="63885CC3" w:rsidRPr="58161626">
        <w:rPr>
          <w:rFonts w:asciiTheme="minorHAnsi" w:hAnsiTheme="minorHAnsi"/>
          <w:sz w:val="22"/>
          <w:szCs w:val="22"/>
        </w:rPr>
        <w:t>d</w:t>
      </w:r>
      <w:r w:rsidR="000B6D66" w:rsidRPr="58161626">
        <w:rPr>
          <w:rFonts w:asciiTheme="minorHAnsi" w:hAnsiTheme="minorHAnsi"/>
          <w:sz w:val="22"/>
          <w:szCs w:val="22"/>
        </w:rPr>
        <w:t xml:space="preserve"> a </w:t>
      </w:r>
      <w:r w:rsidR="00497B0B" w:rsidRPr="58161626">
        <w:rPr>
          <w:rFonts w:asciiTheme="minorHAnsi" w:hAnsiTheme="minorHAnsi"/>
          <w:sz w:val="22"/>
          <w:szCs w:val="22"/>
        </w:rPr>
        <w:t xml:space="preserve">new </w:t>
      </w:r>
      <w:r w:rsidR="000B6D66" w:rsidRPr="58161626">
        <w:rPr>
          <w:rFonts w:asciiTheme="minorHAnsi" w:hAnsiTheme="minorHAnsi"/>
          <w:sz w:val="22"/>
          <w:szCs w:val="22"/>
        </w:rPr>
        <w:t xml:space="preserve">methodology </w:t>
      </w:r>
      <w:r w:rsidR="003F0A83" w:rsidRPr="58161626">
        <w:rPr>
          <w:rFonts w:asciiTheme="minorHAnsi" w:hAnsiTheme="minorHAnsi"/>
          <w:sz w:val="22"/>
          <w:szCs w:val="22"/>
        </w:rPr>
        <w:t xml:space="preserve">for forecasting </w:t>
      </w:r>
      <w:r w:rsidR="00497B0B" w:rsidRPr="58161626">
        <w:rPr>
          <w:rFonts w:asciiTheme="minorHAnsi" w:hAnsiTheme="minorHAnsi"/>
          <w:sz w:val="22"/>
          <w:szCs w:val="22"/>
        </w:rPr>
        <w:t xml:space="preserve">the load of </w:t>
      </w:r>
      <w:r w:rsidR="052AFEBD" w:rsidRPr="58161626" w:rsidDel="00B6160E">
        <w:rPr>
          <w:rFonts w:asciiTheme="minorHAnsi" w:hAnsiTheme="minorHAnsi"/>
          <w:sz w:val="22"/>
          <w:szCs w:val="22"/>
        </w:rPr>
        <w:t>large</w:t>
      </w:r>
      <w:r w:rsidR="00B6160E" w:rsidRPr="58161626">
        <w:rPr>
          <w:rFonts w:asciiTheme="minorHAnsi" w:hAnsiTheme="minorHAnsi"/>
          <w:sz w:val="22"/>
          <w:szCs w:val="22"/>
        </w:rPr>
        <w:t xml:space="preserve"> new</w:t>
      </w:r>
      <w:r w:rsidR="003F0A83" w:rsidRPr="58161626">
        <w:rPr>
          <w:rFonts w:asciiTheme="minorHAnsi" w:hAnsiTheme="minorHAnsi"/>
          <w:sz w:val="22"/>
          <w:szCs w:val="22"/>
        </w:rPr>
        <w:t xml:space="preserve"> customers</w:t>
      </w:r>
      <w:r w:rsidR="6E41FB51" w:rsidRPr="58161626">
        <w:rPr>
          <w:rFonts w:asciiTheme="minorHAnsi" w:hAnsiTheme="minorHAnsi"/>
          <w:sz w:val="22"/>
          <w:szCs w:val="22"/>
        </w:rPr>
        <w:t xml:space="preserve"> to account for the state’s extraordinary growth</w:t>
      </w:r>
      <w:r w:rsidRPr="58161626">
        <w:rPr>
          <w:rFonts w:asciiTheme="minorHAnsi" w:hAnsiTheme="minorHAnsi"/>
          <w:sz w:val="22"/>
          <w:szCs w:val="22"/>
        </w:rPr>
        <w:t xml:space="preserve">, </w:t>
      </w:r>
      <w:r w:rsidR="1BC6AB91" w:rsidRPr="58161626">
        <w:rPr>
          <w:rFonts w:asciiTheme="minorHAnsi" w:hAnsiTheme="minorHAnsi"/>
          <w:sz w:val="22"/>
          <w:szCs w:val="22"/>
        </w:rPr>
        <w:t>it</w:t>
      </w:r>
      <w:r w:rsidRPr="58161626">
        <w:rPr>
          <w:rFonts w:asciiTheme="minorHAnsi" w:hAnsiTheme="minorHAnsi"/>
          <w:sz w:val="22"/>
          <w:szCs w:val="22"/>
        </w:rPr>
        <w:t xml:space="preserve"> used the same methodologies</w:t>
      </w:r>
      <w:r w:rsidR="008B1A8A" w:rsidRPr="58161626">
        <w:rPr>
          <w:rFonts w:asciiTheme="minorHAnsi" w:hAnsiTheme="minorHAnsi"/>
          <w:sz w:val="22"/>
          <w:szCs w:val="22"/>
        </w:rPr>
        <w:t xml:space="preserve"> employed in the 2022 IRP to prepare</w:t>
      </w:r>
      <w:r w:rsidRPr="58161626">
        <w:rPr>
          <w:rFonts w:asciiTheme="minorHAnsi" w:hAnsiTheme="minorHAnsi"/>
          <w:sz w:val="22"/>
          <w:szCs w:val="22"/>
        </w:rPr>
        <w:t xml:space="preserve"> its </w:t>
      </w:r>
      <w:r w:rsidR="009F5151" w:rsidRPr="58161626">
        <w:rPr>
          <w:rFonts w:asciiTheme="minorHAnsi" w:hAnsiTheme="minorHAnsi"/>
          <w:sz w:val="22"/>
          <w:szCs w:val="22"/>
        </w:rPr>
        <w:t>base</w:t>
      </w:r>
      <w:r w:rsidR="004A3791">
        <w:rPr>
          <w:rFonts w:asciiTheme="minorHAnsi" w:hAnsiTheme="minorHAnsi"/>
          <w:sz w:val="22"/>
          <w:szCs w:val="22"/>
        </w:rPr>
        <w:t>line</w:t>
      </w:r>
      <w:r w:rsidR="002C1651" w:rsidRPr="58161626">
        <w:rPr>
          <w:rFonts w:asciiTheme="minorHAnsi" w:hAnsiTheme="minorHAnsi"/>
          <w:sz w:val="22"/>
          <w:szCs w:val="22"/>
        </w:rPr>
        <w:t xml:space="preserve"> </w:t>
      </w:r>
      <w:r w:rsidRPr="58161626">
        <w:rPr>
          <w:rFonts w:asciiTheme="minorHAnsi" w:hAnsiTheme="minorHAnsi"/>
          <w:sz w:val="22"/>
          <w:szCs w:val="22"/>
        </w:rPr>
        <w:t>load forecast</w:t>
      </w:r>
      <w:r w:rsidR="009F5151" w:rsidRPr="58161626">
        <w:rPr>
          <w:rFonts w:asciiTheme="minorHAnsi" w:hAnsiTheme="minorHAnsi"/>
          <w:sz w:val="22"/>
          <w:szCs w:val="22"/>
        </w:rPr>
        <w:t xml:space="preserve"> for the 2023 IRP Update</w:t>
      </w:r>
      <w:r w:rsidR="00847614">
        <w:rPr>
          <w:rFonts w:asciiTheme="minorHAnsi" w:hAnsiTheme="minorHAnsi"/>
          <w:sz w:val="22"/>
          <w:szCs w:val="22"/>
        </w:rPr>
        <w:t xml:space="preserve"> Load Forecast</w:t>
      </w:r>
      <w:r w:rsidRPr="58161626">
        <w:rPr>
          <w:rFonts w:asciiTheme="minorHAnsi" w:hAnsiTheme="minorHAnsi"/>
          <w:sz w:val="22"/>
          <w:szCs w:val="22"/>
        </w:rPr>
        <w:t>.</w:t>
      </w:r>
      <w:r w:rsidR="008B1A8A" w:rsidRPr="58161626">
        <w:rPr>
          <w:rFonts w:asciiTheme="minorHAnsi" w:hAnsiTheme="minorHAnsi"/>
          <w:sz w:val="22"/>
          <w:szCs w:val="22"/>
        </w:rPr>
        <w:t xml:space="preserve"> The underlying base</w:t>
      </w:r>
      <w:r w:rsidR="00463422">
        <w:rPr>
          <w:rFonts w:asciiTheme="minorHAnsi" w:hAnsiTheme="minorHAnsi"/>
          <w:sz w:val="22"/>
          <w:szCs w:val="22"/>
        </w:rPr>
        <w:t>line</w:t>
      </w:r>
      <w:r w:rsidR="008B1A8A" w:rsidRPr="58161626">
        <w:rPr>
          <w:rFonts w:asciiTheme="minorHAnsi" w:hAnsiTheme="minorHAnsi"/>
          <w:sz w:val="22"/>
          <w:szCs w:val="22"/>
        </w:rPr>
        <w:t xml:space="preserve"> forecast was prepared using the economic outlook for the United States and Georgia, energy prices, and market profiles for class end uses. The economic forecast continues to provide a description of the economy for the next 20 years and includes many elements of the economy such as gross product, population, employment, commercial building square footage, and industrial production. The economic and demographic forecasts for</w:t>
      </w:r>
      <w:r w:rsidR="008E3D09" w:rsidRPr="58161626" w:rsidDel="00A742DD">
        <w:rPr>
          <w:rFonts w:asciiTheme="minorHAnsi" w:hAnsiTheme="minorHAnsi"/>
          <w:sz w:val="22"/>
          <w:szCs w:val="22"/>
        </w:rPr>
        <w:t xml:space="preserve"> </w:t>
      </w:r>
      <w:r w:rsidR="008E3D09" w:rsidRPr="58161626">
        <w:rPr>
          <w:rFonts w:asciiTheme="minorHAnsi" w:hAnsiTheme="minorHAnsi"/>
          <w:sz w:val="22"/>
          <w:szCs w:val="22"/>
        </w:rPr>
        <w:t>the 2023 IRP Update Load Forecast</w:t>
      </w:r>
      <w:r w:rsidR="008B1A8A" w:rsidRPr="58161626" w:rsidDel="00861D51">
        <w:rPr>
          <w:rFonts w:asciiTheme="minorHAnsi" w:hAnsiTheme="minorHAnsi"/>
          <w:sz w:val="22"/>
          <w:szCs w:val="22"/>
        </w:rPr>
        <w:t xml:space="preserve"> </w:t>
      </w:r>
      <w:r w:rsidR="008B1A8A" w:rsidRPr="58161626">
        <w:rPr>
          <w:rFonts w:asciiTheme="minorHAnsi" w:hAnsiTheme="minorHAnsi"/>
          <w:sz w:val="22"/>
          <w:szCs w:val="22"/>
        </w:rPr>
        <w:t xml:space="preserve">were obtained from </w:t>
      </w:r>
      <w:r w:rsidR="0997276B" w:rsidRPr="58161626">
        <w:rPr>
          <w:rFonts w:asciiTheme="minorHAnsi" w:hAnsiTheme="minorHAnsi"/>
          <w:sz w:val="22"/>
          <w:szCs w:val="22"/>
        </w:rPr>
        <w:t>S</w:t>
      </w:r>
      <w:r w:rsidR="7FCAA717" w:rsidRPr="58161626">
        <w:rPr>
          <w:rFonts w:asciiTheme="minorHAnsi" w:hAnsiTheme="minorHAnsi"/>
          <w:sz w:val="22"/>
          <w:szCs w:val="22"/>
        </w:rPr>
        <w:t xml:space="preserve">&amp;P Global (formerly </w:t>
      </w:r>
      <w:r w:rsidR="008B1A8A" w:rsidRPr="58161626">
        <w:rPr>
          <w:rFonts w:asciiTheme="minorHAnsi" w:hAnsiTheme="minorHAnsi"/>
          <w:sz w:val="22"/>
          <w:szCs w:val="22"/>
        </w:rPr>
        <w:t>IHS Markit</w:t>
      </w:r>
      <w:r w:rsidR="4776B5B8" w:rsidRPr="58161626">
        <w:rPr>
          <w:rFonts w:asciiTheme="minorHAnsi" w:hAnsiTheme="minorHAnsi"/>
          <w:sz w:val="22"/>
          <w:szCs w:val="22"/>
        </w:rPr>
        <w:t>)</w:t>
      </w:r>
      <w:r w:rsidR="08353F9F" w:rsidRPr="58161626">
        <w:rPr>
          <w:rFonts w:asciiTheme="minorHAnsi" w:hAnsiTheme="minorHAnsi"/>
          <w:sz w:val="22"/>
          <w:szCs w:val="22"/>
        </w:rPr>
        <w:t>,</w:t>
      </w:r>
      <w:r w:rsidR="008B1A8A" w:rsidRPr="58161626">
        <w:rPr>
          <w:rFonts w:asciiTheme="minorHAnsi" w:hAnsiTheme="minorHAnsi"/>
          <w:sz w:val="22"/>
          <w:szCs w:val="22"/>
        </w:rPr>
        <w:t xml:space="preserve"> a national provider of economic data and forecasts. </w:t>
      </w:r>
    </w:p>
    <w:p w14:paraId="7B3B9D7B" w14:textId="77777777" w:rsidR="008B1A8A" w:rsidRPr="00E832A5" w:rsidRDefault="008B1A8A" w:rsidP="00CE6BE1">
      <w:pPr>
        <w:spacing w:line="276" w:lineRule="auto"/>
        <w:jc w:val="both"/>
        <w:rPr>
          <w:rFonts w:asciiTheme="minorHAnsi" w:hAnsiTheme="minorHAnsi" w:cstheme="minorHAnsi"/>
          <w:sz w:val="22"/>
          <w:szCs w:val="22"/>
        </w:rPr>
      </w:pPr>
    </w:p>
    <w:p w14:paraId="39157963" w14:textId="21C974F6" w:rsidR="008B1A8A" w:rsidRPr="00E832A5" w:rsidRDefault="008B1A8A" w:rsidP="00CE6BE1">
      <w:pPr>
        <w:spacing w:line="276" w:lineRule="auto"/>
        <w:jc w:val="both"/>
        <w:rPr>
          <w:rFonts w:asciiTheme="minorHAnsi" w:hAnsiTheme="minorHAnsi"/>
          <w:sz w:val="22"/>
          <w:szCs w:val="22"/>
        </w:rPr>
      </w:pPr>
      <w:r w:rsidRPr="58161626">
        <w:rPr>
          <w:rFonts w:asciiTheme="minorHAnsi" w:hAnsiTheme="minorHAnsi"/>
          <w:sz w:val="22"/>
          <w:szCs w:val="22"/>
        </w:rPr>
        <w:t>Consistent with the approach take</w:t>
      </w:r>
      <w:r w:rsidR="00DC1E69" w:rsidRPr="58161626">
        <w:rPr>
          <w:rFonts w:asciiTheme="minorHAnsi" w:hAnsiTheme="minorHAnsi"/>
          <w:sz w:val="22"/>
          <w:szCs w:val="22"/>
        </w:rPr>
        <w:t>n</w:t>
      </w:r>
      <w:r w:rsidRPr="58161626">
        <w:rPr>
          <w:rFonts w:asciiTheme="minorHAnsi" w:hAnsiTheme="minorHAnsi"/>
          <w:sz w:val="22"/>
          <w:szCs w:val="22"/>
        </w:rPr>
        <w:t xml:space="preserve"> in the 2022 IRP, the models used to produce </w:t>
      </w:r>
      <w:r w:rsidR="1BCF840C" w:rsidRPr="58161626">
        <w:rPr>
          <w:rFonts w:asciiTheme="minorHAnsi" w:hAnsiTheme="minorHAnsi"/>
          <w:sz w:val="22"/>
          <w:szCs w:val="22"/>
        </w:rPr>
        <w:t xml:space="preserve">the </w:t>
      </w:r>
      <w:r w:rsidR="008E3D09" w:rsidRPr="58161626">
        <w:rPr>
          <w:rFonts w:asciiTheme="minorHAnsi" w:hAnsiTheme="minorHAnsi"/>
          <w:sz w:val="22"/>
          <w:szCs w:val="22"/>
        </w:rPr>
        <w:t xml:space="preserve">2023 IRP Update Load Forecast </w:t>
      </w:r>
      <w:r w:rsidRPr="58161626">
        <w:rPr>
          <w:rFonts w:asciiTheme="minorHAnsi" w:hAnsiTheme="minorHAnsi"/>
          <w:sz w:val="22"/>
          <w:szCs w:val="22"/>
        </w:rPr>
        <w:t>short- and long-term energy forecasts include a variety of economic and demographic variables as drivers of energy use. Weather, income, employment, historical load data, and industry standards for electrical equipment are among the variables used in the forecasting models. “Normal” weather is defined as the average of Cooling Degree Hours (“CDH”) and Heating Degree Hours (“HDH”) from 1980-202</w:t>
      </w:r>
      <w:r w:rsidR="28F940F8" w:rsidRPr="58161626">
        <w:rPr>
          <w:rFonts w:asciiTheme="minorHAnsi" w:hAnsiTheme="minorHAnsi"/>
          <w:sz w:val="22"/>
          <w:szCs w:val="22"/>
        </w:rPr>
        <w:t>2</w:t>
      </w:r>
      <w:r w:rsidRPr="58161626">
        <w:rPr>
          <w:rFonts w:asciiTheme="minorHAnsi" w:hAnsiTheme="minorHAnsi"/>
          <w:sz w:val="22"/>
          <w:szCs w:val="22"/>
        </w:rPr>
        <w:t>.</w:t>
      </w:r>
    </w:p>
    <w:p w14:paraId="07DE8EA1" w14:textId="77777777" w:rsidR="008B1A8A" w:rsidRPr="00E832A5" w:rsidRDefault="008B1A8A" w:rsidP="00CE6BE1">
      <w:pPr>
        <w:spacing w:line="276" w:lineRule="auto"/>
        <w:jc w:val="both"/>
        <w:rPr>
          <w:rFonts w:asciiTheme="minorHAnsi" w:hAnsiTheme="minorHAnsi" w:cstheme="minorHAnsi"/>
          <w:sz w:val="22"/>
          <w:szCs w:val="22"/>
        </w:rPr>
      </w:pPr>
    </w:p>
    <w:p w14:paraId="45539BDF" w14:textId="3F3A879F" w:rsidR="008B1A8A" w:rsidRPr="00E832A5" w:rsidRDefault="008B1A8A" w:rsidP="00CE6BE1">
      <w:pPr>
        <w:spacing w:line="276" w:lineRule="auto"/>
        <w:jc w:val="both"/>
        <w:rPr>
          <w:rFonts w:asciiTheme="minorHAnsi" w:hAnsiTheme="minorHAnsi"/>
          <w:sz w:val="22"/>
          <w:szCs w:val="22"/>
        </w:rPr>
      </w:pPr>
      <w:r w:rsidRPr="58161626">
        <w:rPr>
          <w:rFonts w:asciiTheme="minorHAnsi" w:hAnsiTheme="minorHAnsi"/>
          <w:sz w:val="22"/>
          <w:szCs w:val="22"/>
        </w:rPr>
        <w:t>Short-term energy projections for residential, commercial, industrial</w:t>
      </w:r>
      <w:r w:rsidR="00165F9B" w:rsidRPr="58161626">
        <w:rPr>
          <w:rFonts w:asciiTheme="minorHAnsi" w:hAnsiTheme="minorHAnsi"/>
          <w:sz w:val="22"/>
          <w:szCs w:val="22"/>
        </w:rPr>
        <w:t>, governmental lighting</w:t>
      </w:r>
      <w:r w:rsidR="0094600D" w:rsidRPr="58161626">
        <w:rPr>
          <w:rFonts w:asciiTheme="minorHAnsi" w:hAnsiTheme="minorHAnsi"/>
          <w:sz w:val="22"/>
          <w:szCs w:val="22"/>
        </w:rPr>
        <w:t>,</w:t>
      </w:r>
      <w:r w:rsidRPr="58161626">
        <w:rPr>
          <w:rFonts w:asciiTheme="minorHAnsi" w:hAnsiTheme="minorHAnsi"/>
          <w:sz w:val="22"/>
          <w:szCs w:val="22"/>
        </w:rPr>
        <w:t xml:space="preserve"> and MARTA are based on linear regression models. Except for governmental lighting and MARTA, the long-term forecast models are end-use models. </w:t>
      </w:r>
      <w:r w:rsidR="005A6BDE">
        <w:rPr>
          <w:rFonts w:asciiTheme="minorHAnsi" w:hAnsiTheme="minorHAnsi"/>
          <w:sz w:val="22"/>
          <w:szCs w:val="22"/>
        </w:rPr>
        <w:t>T</w:t>
      </w:r>
      <w:r w:rsidR="007A111C" w:rsidRPr="58161626">
        <w:rPr>
          <w:rFonts w:asciiTheme="minorHAnsi" w:hAnsiTheme="minorHAnsi"/>
          <w:sz w:val="22"/>
          <w:szCs w:val="22"/>
        </w:rPr>
        <w:t>he 2023 IRP Update Load Forecast</w:t>
      </w:r>
      <w:r w:rsidR="008A6386" w:rsidRPr="58161626">
        <w:rPr>
          <w:rFonts w:asciiTheme="minorHAnsi" w:hAnsiTheme="minorHAnsi"/>
          <w:sz w:val="22"/>
          <w:szCs w:val="22"/>
        </w:rPr>
        <w:t xml:space="preserve"> </w:t>
      </w:r>
      <w:r w:rsidRPr="58161626">
        <w:rPr>
          <w:rFonts w:asciiTheme="minorHAnsi" w:hAnsiTheme="minorHAnsi"/>
          <w:sz w:val="22"/>
          <w:szCs w:val="22"/>
        </w:rPr>
        <w:t xml:space="preserve">uses the Load Management </w:t>
      </w:r>
      <w:r w:rsidRPr="58161626">
        <w:rPr>
          <w:rFonts w:asciiTheme="minorHAnsi" w:hAnsiTheme="minorHAnsi"/>
          <w:sz w:val="22"/>
          <w:szCs w:val="22"/>
        </w:rPr>
        <w:lastRenderedPageBreak/>
        <w:t>Analysis and Planning (“</w:t>
      </w:r>
      <w:proofErr w:type="spellStart"/>
      <w:r w:rsidRPr="58161626">
        <w:rPr>
          <w:rFonts w:asciiTheme="minorHAnsi" w:hAnsiTheme="minorHAnsi"/>
          <w:sz w:val="22"/>
          <w:szCs w:val="22"/>
        </w:rPr>
        <w:t>LoadMAP</w:t>
      </w:r>
      <w:proofErr w:type="spellEnd"/>
      <w:r w:rsidRPr="58161626">
        <w:rPr>
          <w:rFonts w:asciiTheme="minorHAnsi" w:hAnsiTheme="minorHAnsi"/>
          <w:sz w:val="22"/>
          <w:szCs w:val="22"/>
        </w:rPr>
        <w:t xml:space="preserve">”) model to produce the long-term residential, commercial, and industrial forecasts. The </w:t>
      </w:r>
      <w:r w:rsidR="002D37D2" w:rsidRPr="58161626">
        <w:rPr>
          <w:rFonts w:asciiTheme="minorHAnsi" w:hAnsiTheme="minorHAnsi"/>
          <w:sz w:val="22"/>
          <w:szCs w:val="22"/>
        </w:rPr>
        <w:t>governmental lighting and</w:t>
      </w:r>
      <w:r w:rsidRPr="58161626">
        <w:rPr>
          <w:rFonts w:asciiTheme="minorHAnsi" w:hAnsiTheme="minorHAnsi"/>
          <w:sz w:val="22"/>
          <w:szCs w:val="22"/>
        </w:rPr>
        <w:t xml:space="preserve"> MARTA long-term forecast</w:t>
      </w:r>
      <w:r w:rsidR="002D37D2" w:rsidRPr="58161626">
        <w:rPr>
          <w:rFonts w:asciiTheme="minorHAnsi" w:hAnsiTheme="minorHAnsi"/>
          <w:sz w:val="22"/>
          <w:szCs w:val="22"/>
        </w:rPr>
        <w:t>s</w:t>
      </w:r>
      <w:r w:rsidRPr="58161626">
        <w:rPr>
          <w:rFonts w:asciiTheme="minorHAnsi" w:hAnsiTheme="minorHAnsi"/>
          <w:sz w:val="22"/>
          <w:szCs w:val="22"/>
        </w:rPr>
        <w:t xml:space="preserve"> use the linear regression model</w:t>
      </w:r>
      <w:r w:rsidR="00957EE7" w:rsidRPr="58161626">
        <w:rPr>
          <w:rFonts w:asciiTheme="minorHAnsi" w:hAnsiTheme="minorHAnsi"/>
          <w:sz w:val="22"/>
          <w:szCs w:val="22"/>
        </w:rPr>
        <w:t>s</w:t>
      </w:r>
      <w:r w:rsidRPr="58161626">
        <w:rPr>
          <w:rFonts w:asciiTheme="minorHAnsi" w:hAnsiTheme="minorHAnsi"/>
          <w:sz w:val="22"/>
          <w:szCs w:val="22"/>
        </w:rPr>
        <w:t xml:space="preserve"> developed for the short-term forecast.</w:t>
      </w:r>
    </w:p>
    <w:p w14:paraId="338F9ABF" w14:textId="6902CFE1" w:rsidR="008B1A8A" w:rsidRPr="00E832A5" w:rsidRDefault="008B1A8A" w:rsidP="00CE6BE1">
      <w:pPr>
        <w:spacing w:line="276" w:lineRule="auto"/>
        <w:jc w:val="both"/>
        <w:rPr>
          <w:rFonts w:asciiTheme="minorHAnsi" w:hAnsiTheme="minorHAnsi" w:cstheme="minorHAnsi"/>
          <w:sz w:val="22"/>
          <w:szCs w:val="22"/>
        </w:rPr>
      </w:pPr>
    </w:p>
    <w:p w14:paraId="2BEDD716" w14:textId="1B29D60D" w:rsidR="00642102" w:rsidRPr="00E832A5" w:rsidRDefault="00642102" w:rsidP="00CE6BE1">
      <w:pPr>
        <w:spacing w:line="276" w:lineRule="auto"/>
        <w:jc w:val="both"/>
        <w:rPr>
          <w:rFonts w:asciiTheme="minorHAnsi" w:hAnsiTheme="minorHAnsi" w:cstheme="minorHAnsi"/>
          <w:sz w:val="22"/>
          <w:szCs w:val="22"/>
        </w:rPr>
      </w:pPr>
      <w:r w:rsidRPr="00E832A5">
        <w:rPr>
          <w:rFonts w:asciiTheme="minorHAnsi" w:hAnsiTheme="minorHAnsi" w:cstheme="minorHAnsi"/>
          <w:sz w:val="22"/>
          <w:szCs w:val="22"/>
        </w:rPr>
        <w:t>The short- and long-term models forecast organic growth based on historical trends, including net customer additions, historic adoption of energy efficiency</w:t>
      </w:r>
      <w:r w:rsidR="007D37CC">
        <w:rPr>
          <w:rFonts w:asciiTheme="minorHAnsi" w:hAnsiTheme="minorHAnsi" w:cstheme="minorHAnsi"/>
          <w:sz w:val="22"/>
          <w:szCs w:val="22"/>
        </w:rPr>
        <w:t>,</w:t>
      </w:r>
      <w:r w:rsidRPr="00E832A5">
        <w:rPr>
          <w:rFonts w:asciiTheme="minorHAnsi" w:hAnsiTheme="minorHAnsi" w:cstheme="minorHAnsi"/>
          <w:sz w:val="22"/>
          <w:szCs w:val="22"/>
        </w:rPr>
        <w:t xml:space="preserve"> the future effect of existing energy efficiency standards, changes in economic conditions</w:t>
      </w:r>
      <w:r w:rsidR="00D32776" w:rsidRPr="00E832A5">
        <w:rPr>
          <w:rFonts w:asciiTheme="minorHAnsi" w:hAnsiTheme="minorHAnsi" w:cstheme="minorHAnsi"/>
          <w:sz w:val="22"/>
          <w:szCs w:val="22"/>
        </w:rPr>
        <w:t xml:space="preserve"> and demographics, and trends that develop over time that are part of the Company’s historical data, which get propagated throughout the forecast. </w:t>
      </w:r>
    </w:p>
    <w:p w14:paraId="54E825E6" w14:textId="77777777" w:rsidR="00642102" w:rsidRPr="00E832A5" w:rsidRDefault="00642102" w:rsidP="00CE6BE1">
      <w:pPr>
        <w:spacing w:line="276" w:lineRule="auto"/>
        <w:jc w:val="both"/>
        <w:rPr>
          <w:rFonts w:asciiTheme="minorHAnsi" w:hAnsiTheme="minorHAnsi" w:cstheme="minorHAnsi"/>
          <w:sz w:val="22"/>
          <w:szCs w:val="22"/>
        </w:rPr>
      </w:pPr>
    </w:p>
    <w:p w14:paraId="5A0493AF" w14:textId="41A1119B" w:rsidR="00EB3F05" w:rsidRPr="00E832A5" w:rsidRDefault="008B1A8A" w:rsidP="00CE6BE1">
      <w:pPr>
        <w:spacing w:line="276" w:lineRule="auto"/>
        <w:jc w:val="both"/>
        <w:rPr>
          <w:rFonts w:asciiTheme="minorHAnsi" w:hAnsiTheme="minorHAnsi"/>
          <w:sz w:val="22"/>
          <w:szCs w:val="22"/>
        </w:rPr>
      </w:pPr>
      <w:r w:rsidRPr="58161626">
        <w:rPr>
          <w:rFonts w:asciiTheme="minorHAnsi" w:hAnsiTheme="minorHAnsi"/>
          <w:sz w:val="22"/>
          <w:szCs w:val="22"/>
        </w:rPr>
        <w:t>The results of the short-term and long-term models are integrated into a unified forecast. In</w:t>
      </w:r>
      <w:r w:rsidR="007D37CC" w:rsidRPr="58161626" w:rsidDel="009C7F48">
        <w:rPr>
          <w:rFonts w:asciiTheme="minorHAnsi" w:hAnsiTheme="minorHAnsi"/>
          <w:sz w:val="22"/>
          <w:szCs w:val="22"/>
        </w:rPr>
        <w:t xml:space="preserve"> </w:t>
      </w:r>
      <w:r w:rsidR="007D37CC" w:rsidRPr="58161626">
        <w:rPr>
          <w:rFonts w:asciiTheme="minorHAnsi" w:hAnsiTheme="minorHAnsi"/>
          <w:sz w:val="22"/>
          <w:szCs w:val="22"/>
        </w:rPr>
        <w:t>the 2023 IRP Update Load Forecast</w:t>
      </w:r>
      <w:r w:rsidRPr="58161626">
        <w:rPr>
          <w:rFonts w:asciiTheme="minorHAnsi" w:hAnsiTheme="minorHAnsi"/>
          <w:sz w:val="22"/>
          <w:szCs w:val="22"/>
        </w:rPr>
        <w:t>, the short-term forecast results were used for the years 202</w:t>
      </w:r>
      <w:r w:rsidR="0002688E" w:rsidRPr="58161626">
        <w:rPr>
          <w:rFonts w:asciiTheme="minorHAnsi" w:hAnsiTheme="minorHAnsi"/>
          <w:sz w:val="22"/>
          <w:szCs w:val="22"/>
        </w:rPr>
        <w:t>3</w:t>
      </w:r>
      <w:r w:rsidRPr="58161626">
        <w:rPr>
          <w:rFonts w:asciiTheme="minorHAnsi" w:hAnsiTheme="minorHAnsi"/>
          <w:sz w:val="22"/>
          <w:szCs w:val="22"/>
        </w:rPr>
        <w:t xml:space="preserve"> through </w:t>
      </w:r>
      <w:r w:rsidR="51E67D04" w:rsidRPr="58161626">
        <w:rPr>
          <w:rFonts w:asciiTheme="minorHAnsi" w:hAnsiTheme="minorHAnsi"/>
          <w:sz w:val="22"/>
          <w:szCs w:val="22"/>
        </w:rPr>
        <w:t>202</w:t>
      </w:r>
      <w:r w:rsidR="540C757C" w:rsidRPr="58161626">
        <w:rPr>
          <w:rFonts w:asciiTheme="minorHAnsi" w:hAnsiTheme="minorHAnsi"/>
          <w:sz w:val="22"/>
          <w:szCs w:val="22"/>
        </w:rPr>
        <w:t>7</w:t>
      </w:r>
      <w:r w:rsidRPr="58161626">
        <w:rPr>
          <w:rFonts w:asciiTheme="minorHAnsi" w:hAnsiTheme="minorHAnsi"/>
          <w:sz w:val="22"/>
          <w:szCs w:val="22"/>
        </w:rPr>
        <w:t xml:space="preserve"> and the long-term results were used for </w:t>
      </w:r>
      <w:r w:rsidR="51E67D04" w:rsidRPr="58161626">
        <w:rPr>
          <w:rFonts w:asciiTheme="minorHAnsi" w:hAnsiTheme="minorHAnsi"/>
          <w:sz w:val="22"/>
          <w:szCs w:val="22"/>
        </w:rPr>
        <w:t>202</w:t>
      </w:r>
      <w:r w:rsidR="0442CA1E" w:rsidRPr="58161626">
        <w:rPr>
          <w:rFonts w:asciiTheme="minorHAnsi" w:hAnsiTheme="minorHAnsi"/>
          <w:sz w:val="22"/>
          <w:szCs w:val="22"/>
        </w:rPr>
        <w:t>8</w:t>
      </w:r>
      <w:r w:rsidRPr="58161626">
        <w:rPr>
          <w:rFonts w:asciiTheme="minorHAnsi" w:hAnsiTheme="minorHAnsi"/>
          <w:sz w:val="22"/>
          <w:szCs w:val="22"/>
        </w:rPr>
        <w:t xml:space="preserve"> to 204</w:t>
      </w:r>
      <w:r w:rsidR="00412D22" w:rsidRPr="58161626">
        <w:rPr>
          <w:rFonts w:asciiTheme="minorHAnsi" w:hAnsiTheme="minorHAnsi"/>
          <w:sz w:val="22"/>
          <w:szCs w:val="22"/>
        </w:rPr>
        <w:t>3</w:t>
      </w:r>
      <w:r w:rsidRPr="58161626">
        <w:rPr>
          <w:rFonts w:asciiTheme="minorHAnsi" w:hAnsiTheme="minorHAnsi"/>
          <w:sz w:val="22"/>
          <w:szCs w:val="22"/>
        </w:rPr>
        <w:t xml:space="preserve">. </w:t>
      </w:r>
      <w:r w:rsidR="009C7F48">
        <w:rPr>
          <w:rFonts w:asciiTheme="minorHAnsi" w:hAnsiTheme="minorHAnsi"/>
          <w:sz w:val="22"/>
          <w:szCs w:val="22"/>
        </w:rPr>
        <w:t>The 2023 IRP Update Load Forecast</w:t>
      </w:r>
      <w:r w:rsidRPr="58161626">
        <w:rPr>
          <w:rFonts w:asciiTheme="minorHAnsi" w:hAnsiTheme="minorHAnsi"/>
          <w:sz w:val="22"/>
          <w:szCs w:val="22"/>
        </w:rPr>
        <w:t xml:space="preserve"> uses hourly </w:t>
      </w:r>
      <w:r w:rsidR="005F585A" w:rsidRPr="58161626">
        <w:rPr>
          <w:rFonts w:asciiTheme="minorHAnsi" w:hAnsiTheme="minorHAnsi"/>
          <w:sz w:val="22"/>
          <w:szCs w:val="22"/>
        </w:rPr>
        <w:t>Metrix Peak Demand model</w:t>
      </w:r>
      <w:r w:rsidR="00BD5ED0" w:rsidRPr="58161626">
        <w:rPr>
          <w:rFonts w:asciiTheme="minorHAnsi" w:hAnsiTheme="minorHAnsi"/>
          <w:sz w:val="22"/>
          <w:szCs w:val="22"/>
        </w:rPr>
        <w:t>s</w:t>
      </w:r>
      <w:r w:rsidR="005F585A" w:rsidRPr="58161626">
        <w:rPr>
          <w:rFonts w:asciiTheme="minorHAnsi" w:hAnsiTheme="minorHAnsi"/>
          <w:sz w:val="22"/>
          <w:szCs w:val="22"/>
        </w:rPr>
        <w:t xml:space="preserve"> (“MPD”)</w:t>
      </w:r>
      <w:r w:rsidR="00BD5ED0" w:rsidRPr="58161626">
        <w:rPr>
          <w:rFonts w:asciiTheme="minorHAnsi" w:hAnsiTheme="minorHAnsi"/>
          <w:sz w:val="22"/>
          <w:szCs w:val="22"/>
        </w:rPr>
        <w:t xml:space="preserve"> </w:t>
      </w:r>
      <w:r w:rsidR="00F90558" w:rsidRPr="58161626">
        <w:rPr>
          <w:rFonts w:asciiTheme="minorHAnsi" w:hAnsiTheme="minorHAnsi"/>
          <w:sz w:val="22"/>
          <w:szCs w:val="22"/>
        </w:rPr>
        <w:t xml:space="preserve">for each class </w:t>
      </w:r>
      <w:r w:rsidRPr="58161626">
        <w:rPr>
          <w:rFonts w:asciiTheme="minorHAnsi" w:hAnsiTheme="minorHAnsi"/>
          <w:sz w:val="22"/>
          <w:szCs w:val="22"/>
        </w:rPr>
        <w:t>to predict Georgia Power’s weather-normal peak demands</w:t>
      </w:r>
      <w:r w:rsidR="001420F8" w:rsidRPr="58161626">
        <w:rPr>
          <w:rFonts w:asciiTheme="minorHAnsi" w:hAnsiTheme="minorHAnsi"/>
          <w:sz w:val="22"/>
          <w:szCs w:val="22"/>
        </w:rPr>
        <w:t xml:space="preserve"> over the 2023 – 2043 forecast period</w:t>
      </w:r>
      <w:r w:rsidRPr="58161626">
        <w:rPr>
          <w:rFonts w:asciiTheme="minorHAnsi" w:hAnsiTheme="minorHAnsi"/>
          <w:sz w:val="22"/>
          <w:szCs w:val="22"/>
        </w:rPr>
        <w:t xml:space="preserve">. </w:t>
      </w:r>
    </w:p>
    <w:p w14:paraId="2AFC6F29" w14:textId="77777777" w:rsidR="00711EC6" w:rsidRPr="00E832A5" w:rsidRDefault="00711EC6" w:rsidP="00CE6BE1">
      <w:pPr>
        <w:spacing w:line="276" w:lineRule="auto"/>
        <w:jc w:val="both"/>
        <w:rPr>
          <w:rFonts w:asciiTheme="minorHAnsi" w:hAnsiTheme="minorHAnsi" w:cstheme="minorHAnsi"/>
          <w:sz w:val="22"/>
          <w:szCs w:val="22"/>
        </w:rPr>
      </w:pPr>
    </w:p>
    <w:p w14:paraId="0C0D08C2" w14:textId="6DCDEAAE" w:rsidR="00D32776" w:rsidRPr="00E832A5" w:rsidRDefault="00DC056F" w:rsidP="002C7108">
      <w:pPr>
        <w:pStyle w:val="Heading1"/>
        <w:spacing w:after="240" w:line="276" w:lineRule="auto"/>
        <w:rPr>
          <w:rFonts w:asciiTheme="minorHAnsi" w:hAnsiTheme="minorHAnsi" w:cstheme="minorHAnsi"/>
        </w:rPr>
      </w:pPr>
      <w:r w:rsidRPr="00E832A5">
        <w:rPr>
          <w:rFonts w:asciiTheme="minorHAnsi" w:hAnsiTheme="minorHAnsi" w:cstheme="minorHAnsi"/>
        </w:rPr>
        <w:t>1.</w:t>
      </w:r>
      <w:r w:rsidR="00642102" w:rsidRPr="00E832A5">
        <w:rPr>
          <w:rFonts w:asciiTheme="minorHAnsi" w:hAnsiTheme="minorHAnsi" w:cstheme="minorHAnsi"/>
        </w:rPr>
        <w:t>5</w:t>
      </w:r>
      <w:r w:rsidRPr="00E832A5">
        <w:rPr>
          <w:rFonts w:asciiTheme="minorHAnsi" w:hAnsiTheme="minorHAnsi" w:cstheme="minorHAnsi"/>
        </w:rPr>
        <w:tab/>
      </w:r>
      <w:r w:rsidR="00106357" w:rsidRPr="00E832A5">
        <w:rPr>
          <w:rFonts w:asciiTheme="minorHAnsi" w:hAnsiTheme="minorHAnsi" w:cstheme="minorHAnsi"/>
        </w:rPr>
        <w:t xml:space="preserve">FORECAST </w:t>
      </w:r>
      <w:r w:rsidR="00D226E4" w:rsidRPr="00E832A5">
        <w:rPr>
          <w:rFonts w:asciiTheme="minorHAnsi" w:hAnsiTheme="minorHAnsi" w:cstheme="minorHAnsi"/>
        </w:rPr>
        <w:t>ADJUSTMENTS FOR</w:t>
      </w:r>
      <w:r w:rsidR="00DD2028" w:rsidRPr="00E832A5">
        <w:rPr>
          <w:rFonts w:asciiTheme="minorHAnsi" w:hAnsiTheme="minorHAnsi" w:cstheme="minorHAnsi"/>
        </w:rPr>
        <w:t xml:space="preserve"> L</w:t>
      </w:r>
      <w:r w:rsidR="00D226E4" w:rsidRPr="00E832A5">
        <w:rPr>
          <w:rFonts w:asciiTheme="minorHAnsi" w:hAnsiTheme="minorHAnsi" w:cstheme="minorHAnsi"/>
        </w:rPr>
        <w:t>ARGE</w:t>
      </w:r>
      <w:r w:rsidR="00DD2028" w:rsidRPr="00E832A5">
        <w:rPr>
          <w:rFonts w:asciiTheme="minorHAnsi" w:hAnsiTheme="minorHAnsi" w:cstheme="minorHAnsi"/>
        </w:rPr>
        <w:t xml:space="preserve"> C</w:t>
      </w:r>
      <w:r w:rsidR="005A7E59" w:rsidRPr="00E832A5">
        <w:rPr>
          <w:rFonts w:asciiTheme="minorHAnsi" w:hAnsiTheme="minorHAnsi" w:cstheme="minorHAnsi"/>
        </w:rPr>
        <w:t>USTOMERS</w:t>
      </w:r>
      <w:r w:rsidR="00911942" w:rsidRPr="00E832A5">
        <w:rPr>
          <w:rFonts w:asciiTheme="minorHAnsi" w:hAnsiTheme="minorHAnsi" w:cstheme="minorHAnsi"/>
        </w:rPr>
        <w:t xml:space="preserve">: </w:t>
      </w:r>
      <w:r w:rsidR="00C914CB" w:rsidRPr="00E832A5">
        <w:rPr>
          <w:rFonts w:asciiTheme="minorHAnsi" w:hAnsiTheme="minorHAnsi" w:cstheme="minorHAnsi"/>
        </w:rPr>
        <w:t>M</w:t>
      </w:r>
      <w:r w:rsidR="005A7E59" w:rsidRPr="00E832A5">
        <w:rPr>
          <w:rFonts w:asciiTheme="minorHAnsi" w:hAnsiTheme="minorHAnsi" w:cstheme="minorHAnsi"/>
        </w:rPr>
        <w:t>ETHODOLOGY</w:t>
      </w:r>
      <w:r w:rsidR="00C914CB" w:rsidRPr="00E832A5">
        <w:rPr>
          <w:rFonts w:asciiTheme="minorHAnsi" w:hAnsiTheme="minorHAnsi" w:cstheme="minorHAnsi"/>
        </w:rPr>
        <w:t xml:space="preserve"> </w:t>
      </w:r>
      <w:r w:rsidR="005A7E59" w:rsidRPr="00E832A5">
        <w:rPr>
          <w:rFonts w:asciiTheme="minorHAnsi" w:hAnsiTheme="minorHAnsi" w:cstheme="minorHAnsi"/>
        </w:rPr>
        <w:t>AND</w:t>
      </w:r>
      <w:r w:rsidR="00911942" w:rsidRPr="00E832A5">
        <w:rPr>
          <w:rFonts w:asciiTheme="minorHAnsi" w:hAnsiTheme="minorHAnsi" w:cstheme="minorHAnsi"/>
        </w:rPr>
        <w:t xml:space="preserve"> A</w:t>
      </w:r>
      <w:r w:rsidR="005A7E59" w:rsidRPr="00E832A5">
        <w:rPr>
          <w:rFonts w:asciiTheme="minorHAnsi" w:hAnsiTheme="minorHAnsi" w:cstheme="minorHAnsi"/>
        </w:rPr>
        <w:t>SSUMPTIONS</w:t>
      </w:r>
      <w:r w:rsidR="00C914CB" w:rsidRPr="00E832A5">
        <w:rPr>
          <w:rFonts w:asciiTheme="minorHAnsi" w:hAnsiTheme="minorHAnsi" w:cstheme="minorHAnsi"/>
        </w:rPr>
        <w:t xml:space="preserve"> </w:t>
      </w:r>
    </w:p>
    <w:p w14:paraId="7C8A59BC" w14:textId="2BC3D3D6" w:rsidR="003F0982" w:rsidRPr="00E832A5" w:rsidRDefault="003F0982" w:rsidP="00CE6BE1">
      <w:pPr>
        <w:spacing w:line="276" w:lineRule="auto"/>
        <w:jc w:val="both"/>
        <w:rPr>
          <w:rFonts w:asciiTheme="minorHAnsi" w:hAnsiTheme="minorHAnsi" w:cstheme="minorHAnsi"/>
          <w:sz w:val="22"/>
          <w:szCs w:val="22"/>
        </w:rPr>
      </w:pPr>
      <w:r w:rsidRPr="00E832A5">
        <w:rPr>
          <w:rFonts w:asciiTheme="minorHAnsi" w:hAnsiTheme="minorHAnsi" w:cstheme="minorHAnsi"/>
          <w:sz w:val="22"/>
          <w:szCs w:val="22"/>
        </w:rPr>
        <w:t xml:space="preserve">As mentioned previously, </w:t>
      </w:r>
      <w:r w:rsidR="00C91514" w:rsidRPr="00E832A5">
        <w:rPr>
          <w:rFonts w:asciiTheme="minorHAnsi" w:hAnsiTheme="minorHAnsi" w:cstheme="minorHAnsi"/>
          <w:sz w:val="22"/>
          <w:szCs w:val="22"/>
        </w:rPr>
        <w:t>Georgia Power’s</w:t>
      </w:r>
      <w:r w:rsidRPr="00E832A5">
        <w:rPr>
          <w:rFonts w:asciiTheme="minorHAnsi" w:hAnsiTheme="minorHAnsi" w:cstheme="minorHAnsi"/>
          <w:sz w:val="22"/>
          <w:szCs w:val="22"/>
        </w:rPr>
        <w:t xml:space="preserve"> </w:t>
      </w:r>
      <w:r w:rsidR="007D37CC">
        <w:rPr>
          <w:rFonts w:asciiTheme="minorHAnsi" w:hAnsiTheme="minorHAnsi" w:cstheme="minorHAnsi"/>
          <w:sz w:val="22"/>
          <w:szCs w:val="22"/>
        </w:rPr>
        <w:t>2023 IRP Update</w:t>
      </w:r>
      <w:r w:rsidRPr="00E832A5">
        <w:rPr>
          <w:rFonts w:asciiTheme="minorHAnsi" w:hAnsiTheme="minorHAnsi" w:cstheme="minorHAnsi"/>
          <w:sz w:val="22"/>
          <w:szCs w:val="22"/>
        </w:rPr>
        <w:t xml:space="preserve"> Load Forecast </w:t>
      </w:r>
      <w:r w:rsidR="006548DF" w:rsidRPr="00E832A5">
        <w:rPr>
          <w:rFonts w:asciiTheme="minorHAnsi" w:hAnsiTheme="minorHAnsi" w:cstheme="minorHAnsi"/>
          <w:sz w:val="22"/>
          <w:szCs w:val="22"/>
        </w:rPr>
        <w:t>utilizes</w:t>
      </w:r>
      <w:r w:rsidRPr="00E832A5">
        <w:rPr>
          <w:rFonts w:asciiTheme="minorHAnsi" w:hAnsiTheme="minorHAnsi" w:cstheme="minorHAnsi"/>
          <w:sz w:val="22"/>
          <w:szCs w:val="22"/>
        </w:rPr>
        <w:t xml:space="preserve"> a probabilistic approach to evaluate the range and likelihood of </w:t>
      </w:r>
      <w:r w:rsidR="006522F5">
        <w:rPr>
          <w:rFonts w:asciiTheme="minorHAnsi" w:hAnsiTheme="minorHAnsi" w:cstheme="minorHAnsi"/>
          <w:sz w:val="22"/>
          <w:szCs w:val="22"/>
        </w:rPr>
        <w:t xml:space="preserve">future </w:t>
      </w:r>
      <w:r w:rsidRPr="00E832A5">
        <w:rPr>
          <w:rFonts w:asciiTheme="minorHAnsi" w:hAnsiTheme="minorHAnsi" w:cstheme="minorHAnsi"/>
          <w:sz w:val="22"/>
          <w:szCs w:val="22"/>
        </w:rPr>
        <w:t>potential outcomes of the load growth</w:t>
      </w:r>
      <w:r w:rsidR="00990BC7" w:rsidRPr="00E832A5">
        <w:rPr>
          <w:rFonts w:asciiTheme="minorHAnsi" w:hAnsiTheme="minorHAnsi" w:cstheme="minorHAnsi"/>
          <w:sz w:val="22"/>
          <w:szCs w:val="22"/>
        </w:rPr>
        <w:t xml:space="preserve"> from </w:t>
      </w:r>
      <w:proofErr w:type="gramStart"/>
      <w:r w:rsidR="009B02DD" w:rsidRPr="00E832A5">
        <w:rPr>
          <w:rFonts w:asciiTheme="minorHAnsi" w:hAnsiTheme="minorHAnsi" w:cstheme="minorHAnsi"/>
          <w:sz w:val="22"/>
          <w:szCs w:val="22"/>
        </w:rPr>
        <w:t>new large</w:t>
      </w:r>
      <w:proofErr w:type="gramEnd"/>
      <w:r w:rsidR="009B02DD" w:rsidRPr="00E832A5">
        <w:rPr>
          <w:rFonts w:asciiTheme="minorHAnsi" w:hAnsiTheme="minorHAnsi" w:cstheme="minorHAnsi"/>
          <w:sz w:val="22"/>
          <w:szCs w:val="22"/>
        </w:rPr>
        <w:t xml:space="preserve"> customers</w:t>
      </w:r>
      <w:r w:rsidR="00FE3C08" w:rsidRPr="00E832A5">
        <w:rPr>
          <w:rFonts w:asciiTheme="minorHAnsi" w:hAnsiTheme="minorHAnsi" w:cstheme="minorHAnsi"/>
          <w:sz w:val="22"/>
          <w:szCs w:val="22"/>
        </w:rPr>
        <w:t xml:space="preserve">. The results </w:t>
      </w:r>
      <w:r w:rsidR="00043951" w:rsidRPr="00E832A5">
        <w:rPr>
          <w:rFonts w:asciiTheme="minorHAnsi" w:hAnsiTheme="minorHAnsi" w:cstheme="minorHAnsi"/>
          <w:sz w:val="22"/>
          <w:szCs w:val="22"/>
        </w:rPr>
        <w:t>of this approach</w:t>
      </w:r>
      <w:r w:rsidRPr="00E832A5">
        <w:rPr>
          <w:rFonts w:asciiTheme="minorHAnsi" w:hAnsiTheme="minorHAnsi" w:cstheme="minorHAnsi"/>
          <w:sz w:val="22"/>
          <w:szCs w:val="22"/>
        </w:rPr>
        <w:t xml:space="preserve"> support </w:t>
      </w:r>
      <w:r w:rsidR="004356A8" w:rsidRPr="00E832A5">
        <w:rPr>
          <w:rFonts w:asciiTheme="minorHAnsi" w:hAnsiTheme="minorHAnsi" w:cstheme="minorHAnsi"/>
          <w:sz w:val="22"/>
          <w:szCs w:val="22"/>
        </w:rPr>
        <w:t>the</w:t>
      </w:r>
      <w:r w:rsidRPr="00E832A5">
        <w:rPr>
          <w:rFonts w:asciiTheme="minorHAnsi" w:hAnsiTheme="minorHAnsi" w:cstheme="minorHAnsi"/>
          <w:sz w:val="22"/>
          <w:szCs w:val="22"/>
        </w:rPr>
        <w:t xml:space="preserve"> external adjustment applied to </w:t>
      </w:r>
      <w:r w:rsidR="00043951" w:rsidRPr="00E832A5">
        <w:rPr>
          <w:rFonts w:asciiTheme="minorHAnsi" w:hAnsiTheme="minorHAnsi" w:cstheme="minorHAnsi"/>
          <w:sz w:val="22"/>
          <w:szCs w:val="22"/>
        </w:rPr>
        <w:t xml:space="preserve">the </w:t>
      </w:r>
      <w:r w:rsidR="007F5090" w:rsidRPr="00E832A5">
        <w:rPr>
          <w:rFonts w:asciiTheme="minorHAnsi" w:hAnsiTheme="minorHAnsi" w:cstheme="minorHAnsi"/>
          <w:sz w:val="22"/>
          <w:szCs w:val="22"/>
        </w:rPr>
        <w:t xml:space="preserve">Commercial and Industrial </w:t>
      </w:r>
      <w:r w:rsidR="00885A26" w:rsidRPr="00E832A5">
        <w:rPr>
          <w:rFonts w:asciiTheme="minorHAnsi" w:hAnsiTheme="minorHAnsi" w:cstheme="minorHAnsi"/>
          <w:sz w:val="22"/>
          <w:szCs w:val="22"/>
        </w:rPr>
        <w:t xml:space="preserve">load and </w:t>
      </w:r>
      <w:r w:rsidRPr="00E832A5">
        <w:rPr>
          <w:rFonts w:asciiTheme="minorHAnsi" w:hAnsiTheme="minorHAnsi" w:cstheme="minorHAnsi"/>
          <w:sz w:val="22"/>
          <w:szCs w:val="22"/>
        </w:rPr>
        <w:t>energy forecast</w:t>
      </w:r>
      <w:r w:rsidR="00885A26" w:rsidRPr="00E832A5">
        <w:rPr>
          <w:rFonts w:asciiTheme="minorHAnsi" w:hAnsiTheme="minorHAnsi" w:cstheme="minorHAnsi"/>
          <w:sz w:val="22"/>
          <w:szCs w:val="22"/>
        </w:rPr>
        <w:t>s</w:t>
      </w:r>
      <w:r w:rsidRPr="00E832A5">
        <w:rPr>
          <w:rFonts w:asciiTheme="minorHAnsi" w:hAnsiTheme="minorHAnsi" w:cstheme="minorHAnsi"/>
          <w:sz w:val="22"/>
          <w:szCs w:val="22"/>
        </w:rPr>
        <w:t>.</w:t>
      </w:r>
      <w:r w:rsidR="00DA3318" w:rsidRPr="00E832A5">
        <w:rPr>
          <w:rFonts w:asciiTheme="minorHAnsi" w:hAnsiTheme="minorHAnsi" w:cstheme="minorHAnsi"/>
          <w:sz w:val="22"/>
          <w:szCs w:val="22"/>
        </w:rPr>
        <w:t xml:space="preserve"> This section </w:t>
      </w:r>
      <w:r w:rsidR="00451018" w:rsidRPr="00E832A5">
        <w:rPr>
          <w:rFonts w:asciiTheme="minorHAnsi" w:hAnsiTheme="minorHAnsi" w:cstheme="minorHAnsi"/>
          <w:sz w:val="22"/>
          <w:szCs w:val="22"/>
        </w:rPr>
        <w:t xml:space="preserve">describes the </w:t>
      </w:r>
      <w:r w:rsidR="005C7A8D" w:rsidRPr="00E832A5">
        <w:rPr>
          <w:rFonts w:asciiTheme="minorHAnsi" w:hAnsiTheme="minorHAnsi" w:cstheme="minorHAnsi"/>
          <w:sz w:val="22"/>
          <w:szCs w:val="22"/>
        </w:rPr>
        <w:t xml:space="preserve">methodology and assumptions </w:t>
      </w:r>
      <w:r w:rsidR="006F153E" w:rsidRPr="00E832A5">
        <w:rPr>
          <w:rFonts w:asciiTheme="minorHAnsi" w:hAnsiTheme="minorHAnsi" w:cstheme="minorHAnsi"/>
          <w:sz w:val="22"/>
          <w:szCs w:val="22"/>
        </w:rPr>
        <w:t xml:space="preserve">behind the </w:t>
      </w:r>
      <w:r w:rsidR="00451018" w:rsidRPr="00E832A5">
        <w:rPr>
          <w:rFonts w:asciiTheme="minorHAnsi" w:hAnsiTheme="minorHAnsi" w:cstheme="minorHAnsi"/>
          <w:sz w:val="22"/>
          <w:szCs w:val="22"/>
        </w:rPr>
        <w:t xml:space="preserve">probabilistic approach </w:t>
      </w:r>
      <w:r w:rsidR="006F153E" w:rsidRPr="00E832A5">
        <w:rPr>
          <w:rFonts w:asciiTheme="minorHAnsi" w:hAnsiTheme="minorHAnsi" w:cstheme="minorHAnsi"/>
          <w:sz w:val="22"/>
          <w:szCs w:val="22"/>
        </w:rPr>
        <w:t>that is used</w:t>
      </w:r>
      <w:r w:rsidR="00451018" w:rsidRPr="00E832A5">
        <w:rPr>
          <w:rFonts w:asciiTheme="minorHAnsi" w:hAnsiTheme="minorHAnsi" w:cstheme="minorHAnsi"/>
          <w:sz w:val="22"/>
          <w:szCs w:val="22"/>
        </w:rPr>
        <w:t xml:space="preserve">. </w:t>
      </w:r>
    </w:p>
    <w:p w14:paraId="547311A7" w14:textId="77777777" w:rsidR="003F0982" w:rsidRPr="00E832A5" w:rsidRDefault="003F0982" w:rsidP="00CE6BE1">
      <w:pPr>
        <w:spacing w:line="276" w:lineRule="auto"/>
        <w:jc w:val="both"/>
        <w:rPr>
          <w:rFonts w:asciiTheme="minorHAnsi" w:hAnsiTheme="minorHAnsi" w:cstheme="minorHAnsi"/>
          <w:sz w:val="22"/>
          <w:szCs w:val="22"/>
        </w:rPr>
      </w:pPr>
    </w:p>
    <w:p w14:paraId="086B5BA1" w14:textId="50E4E231" w:rsidR="00597CA2" w:rsidRPr="00E832A5" w:rsidRDefault="00515E08" w:rsidP="00CE6BE1">
      <w:pPr>
        <w:spacing w:line="276" w:lineRule="auto"/>
        <w:jc w:val="both"/>
        <w:rPr>
          <w:rFonts w:asciiTheme="minorHAnsi" w:hAnsiTheme="minorHAnsi"/>
          <w:sz w:val="22"/>
          <w:szCs w:val="22"/>
        </w:rPr>
      </w:pPr>
      <w:r w:rsidRPr="58161626">
        <w:rPr>
          <w:rFonts w:asciiTheme="minorHAnsi" w:hAnsiTheme="minorHAnsi"/>
          <w:sz w:val="22"/>
          <w:szCs w:val="22"/>
        </w:rPr>
        <w:t>In</w:t>
      </w:r>
      <w:r w:rsidR="00D32776" w:rsidRPr="58161626">
        <w:rPr>
          <w:rFonts w:asciiTheme="minorHAnsi" w:hAnsiTheme="minorHAnsi"/>
          <w:sz w:val="22"/>
          <w:szCs w:val="22"/>
        </w:rPr>
        <w:t xml:space="preserve"> </w:t>
      </w:r>
      <w:r w:rsidR="007D37CC" w:rsidRPr="58161626">
        <w:rPr>
          <w:rFonts w:asciiTheme="minorHAnsi" w:hAnsiTheme="minorHAnsi"/>
          <w:sz w:val="22"/>
          <w:szCs w:val="22"/>
        </w:rPr>
        <w:t>the 2023 IRP Update Load Forecast</w:t>
      </w:r>
      <w:r w:rsidR="00D32776" w:rsidRPr="58161626">
        <w:rPr>
          <w:rFonts w:asciiTheme="minorHAnsi" w:hAnsiTheme="minorHAnsi"/>
          <w:sz w:val="22"/>
          <w:szCs w:val="22"/>
        </w:rPr>
        <w:t xml:space="preserve">, the Company made an external adjustment to </w:t>
      </w:r>
      <w:r w:rsidR="12A9DF90" w:rsidRPr="58161626">
        <w:rPr>
          <w:rFonts w:asciiTheme="minorHAnsi" w:hAnsiTheme="minorHAnsi"/>
          <w:sz w:val="22"/>
          <w:szCs w:val="22"/>
        </w:rPr>
        <w:t>its</w:t>
      </w:r>
      <w:r w:rsidR="00D32776" w:rsidRPr="58161626">
        <w:rPr>
          <w:rFonts w:asciiTheme="minorHAnsi" w:hAnsiTheme="minorHAnsi"/>
          <w:sz w:val="22"/>
          <w:szCs w:val="22"/>
        </w:rPr>
        <w:t xml:space="preserve"> </w:t>
      </w:r>
      <w:r w:rsidR="002F49EE">
        <w:rPr>
          <w:rFonts w:asciiTheme="minorHAnsi" w:hAnsiTheme="minorHAnsi"/>
          <w:sz w:val="22"/>
          <w:szCs w:val="22"/>
        </w:rPr>
        <w:t xml:space="preserve">baseline </w:t>
      </w:r>
      <w:r w:rsidR="00D32776" w:rsidRPr="58161626">
        <w:rPr>
          <w:rFonts w:asciiTheme="minorHAnsi" w:hAnsiTheme="minorHAnsi"/>
          <w:sz w:val="22"/>
          <w:szCs w:val="22"/>
        </w:rPr>
        <w:t xml:space="preserve">forecast to account for the increased </w:t>
      </w:r>
      <w:r w:rsidR="00F27E77">
        <w:rPr>
          <w:rFonts w:asciiTheme="minorHAnsi" w:hAnsiTheme="minorHAnsi"/>
          <w:sz w:val="22"/>
          <w:szCs w:val="22"/>
        </w:rPr>
        <w:t xml:space="preserve">large </w:t>
      </w:r>
      <w:r w:rsidR="00D32776" w:rsidRPr="58161626">
        <w:rPr>
          <w:rFonts w:asciiTheme="minorHAnsi" w:hAnsiTheme="minorHAnsi"/>
          <w:sz w:val="22"/>
          <w:szCs w:val="22"/>
        </w:rPr>
        <w:t xml:space="preserve">load additions described herein. An external adjustment is needed for these loads since </w:t>
      </w:r>
      <w:r w:rsidR="0A8E4775" w:rsidRPr="58161626">
        <w:rPr>
          <w:rFonts w:asciiTheme="minorHAnsi" w:hAnsiTheme="minorHAnsi"/>
          <w:sz w:val="22"/>
          <w:szCs w:val="22"/>
        </w:rPr>
        <w:t>Georgia’s</w:t>
      </w:r>
      <w:r w:rsidR="00D72AEA" w:rsidRPr="58161626">
        <w:rPr>
          <w:rFonts w:asciiTheme="minorHAnsi" w:hAnsiTheme="minorHAnsi"/>
          <w:sz w:val="22"/>
          <w:szCs w:val="22"/>
        </w:rPr>
        <w:t xml:space="preserve"> unprecedented </w:t>
      </w:r>
      <w:r w:rsidR="00D32776" w:rsidRPr="58161626">
        <w:rPr>
          <w:rFonts w:asciiTheme="minorHAnsi" w:hAnsiTheme="minorHAnsi"/>
          <w:sz w:val="22"/>
          <w:szCs w:val="22"/>
        </w:rPr>
        <w:t xml:space="preserve">economic development growth would not otherwise be captured in the historical trends </w:t>
      </w:r>
      <w:r w:rsidR="1509978B" w:rsidRPr="58161626">
        <w:rPr>
          <w:rFonts w:asciiTheme="minorHAnsi" w:hAnsiTheme="minorHAnsi"/>
          <w:sz w:val="22"/>
          <w:szCs w:val="22"/>
        </w:rPr>
        <w:t>underlying</w:t>
      </w:r>
      <w:r w:rsidR="00D32776" w:rsidRPr="58161626">
        <w:rPr>
          <w:rFonts w:asciiTheme="minorHAnsi" w:hAnsiTheme="minorHAnsi"/>
          <w:sz w:val="22"/>
          <w:szCs w:val="22"/>
        </w:rPr>
        <w:t xml:space="preserve"> the base</w:t>
      </w:r>
      <w:r w:rsidR="00F71754">
        <w:rPr>
          <w:rFonts w:asciiTheme="minorHAnsi" w:hAnsiTheme="minorHAnsi"/>
          <w:sz w:val="22"/>
          <w:szCs w:val="22"/>
        </w:rPr>
        <w:t>line</w:t>
      </w:r>
      <w:r w:rsidR="00D32776" w:rsidRPr="58161626">
        <w:rPr>
          <w:rFonts w:asciiTheme="minorHAnsi" w:hAnsiTheme="minorHAnsi"/>
          <w:sz w:val="22"/>
          <w:szCs w:val="22"/>
        </w:rPr>
        <w:t xml:space="preserve"> forecast. </w:t>
      </w:r>
      <w:r w:rsidR="00DE5E1B" w:rsidRPr="58161626">
        <w:rPr>
          <w:rFonts w:asciiTheme="minorHAnsi" w:hAnsiTheme="minorHAnsi"/>
          <w:sz w:val="22"/>
          <w:szCs w:val="22"/>
        </w:rPr>
        <w:t>Georgia Power has made external adjustmen</w:t>
      </w:r>
      <w:r w:rsidR="00F77492" w:rsidRPr="58161626">
        <w:rPr>
          <w:rFonts w:asciiTheme="minorHAnsi" w:hAnsiTheme="minorHAnsi"/>
          <w:sz w:val="22"/>
          <w:szCs w:val="22"/>
        </w:rPr>
        <w:t>t</w:t>
      </w:r>
      <w:r w:rsidR="00DE5E1B" w:rsidRPr="58161626">
        <w:rPr>
          <w:rFonts w:asciiTheme="minorHAnsi" w:hAnsiTheme="minorHAnsi"/>
          <w:sz w:val="22"/>
          <w:szCs w:val="22"/>
        </w:rPr>
        <w:t>s for large new customers in the past</w:t>
      </w:r>
      <w:r w:rsidR="00F77492" w:rsidRPr="58161626">
        <w:rPr>
          <w:rFonts w:asciiTheme="minorHAnsi" w:hAnsiTheme="minorHAnsi"/>
          <w:sz w:val="22"/>
          <w:szCs w:val="22"/>
        </w:rPr>
        <w:t>. For example, the Company adjusted its forecast in the 2016 and 2019 IRPs to account for the addition of the Elba Island Liquified Natural Gas facility</w:t>
      </w:r>
      <w:r w:rsidR="006D5FFE" w:rsidRPr="58161626">
        <w:rPr>
          <w:rFonts w:asciiTheme="minorHAnsi" w:hAnsiTheme="minorHAnsi"/>
          <w:sz w:val="22"/>
          <w:szCs w:val="22"/>
        </w:rPr>
        <w:t xml:space="preserve">, which represented a completely new industry </w:t>
      </w:r>
      <w:r w:rsidR="00375118" w:rsidRPr="58161626">
        <w:rPr>
          <w:rFonts w:asciiTheme="minorHAnsi" w:hAnsiTheme="minorHAnsi"/>
          <w:sz w:val="22"/>
          <w:szCs w:val="22"/>
        </w:rPr>
        <w:t>to the state.</w:t>
      </w:r>
      <w:r w:rsidR="00D32776" w:rsidRPr="58161626">
        <w:rPr>
          <w:rFonts w:asciiTheme="minorHAnsi" w:hAnsiTheme="minorHAnsi"/>
          <w:sz w:val="22"/>
          <w:szCs w:val="22"/>
        </w:rPr>
        <w:t xml:space="preserve"> </w:t>
      </w:r>
    </w:p>
    <w:p w14:paraId="3FEEB681" w14:textId="77777777" w:rsidR="00BC2009" w:rsidRPr="00E832A5" w:rsidRDefault="00BC2009" w:rsidP="00CE6BE1">
      <w:pPr>
        <w:spacing w:line="276" w:lineRule="auto"/>
        <w:jc w:val="both"/>
        <w:rPr>
          <w:rFonts w:asciiTheme="minorHAnsi" w:hAnsiTheme="minorHAnsi" w:cstheme="minorHAnsi"/>
          <w:sz w:val="22"/>
          <w:szCs w:val="22"/>
        </w:rPr>
      </w:pPr>
    </w:p>
    <w:p w14:paraId="481DF656" w14:textId="4DD96AB3" w:rsidR="00D32776" w:rsidRPr="00E832A5" w:rsidRDefault="007B2686" w:rsidP="00CE6BE1">
      <w:pPr>
        <w:spacing w:line="276" w:lineRule="auto"/>
        <w:jc w:val="both"/>
        <w:rPr>
          <w:rFonts w:asciiTheme="minorHAnsi" w:hAnsiTheme="minorHAnsi"/>
          <w:sz w:val="22"/>
          <w:szCs w:val="22"/>
        </w:rPr>
      </w:pPr>
      <w:r w:rsidRPr="58161626">
        <w:rPr>
          <w:rFonts w:asciiTheme="minorHAnsi" w:hAnsiTheme="minorHAnsi"/>
          <w:sz w:val="22"/>
          <w:szCs w:val="22"/>
        </w:rPr>
        <w:t>Notwithstanding prior large load external adjustments to the forecast, t</w:t>
      </w:r>
      <w:r w:rsidR="00BC2009" w:rsidRPr="58161626">
        <w:rPr>
          <w:rFonts w:asciiTheme="minorHAnsi" w:hAnsiTheme="minorHAnsi"/>
          <w:sz w:val="22"/>
          <w:szCs w:val="22"/>
        </w:rPr>
        <w:t xml:space="preserve">he </w:t>
      </w:r>
      <w:r w:rsidR="002D13A4" w:rsidRPr="58161626">
        <w:rPr>
          <w:rFonts w:asciiTheme="minorHAnsi" w:hAnsiTheme="minorHAnsi"/>
          <w:sz w:val="22"/>
          <w:szCs w:val="22"/>
        </w:rPr>
        <w:t>C</w:t>
      </w:r>
      <w:r w:rsidR="00BC2009" w:rsidRPr="58161626">
        <w:rPr>
          <w:rFonts w:asciiTheme="minorHAnsi" w:hAnsiTheme="minorHAnsi"/>
          <w:sz w:val="22"/>
          <w:szCs w:val="22"/>
        </w:rPr>
        <w:t xml:space="preserve">ompany has never seen such a </w:t>
      </w:r>
      <w:r w:rsidR="002D13A4" w:rsidRPr="58161626">
        <w:rPr>
          <w:rFonts w:asciiTheme="minorHAnsi" w:hAnsiTheme="minorHAnsi"/>
          <w:sz w:val="22"/>
          <w:szCs w:val="22"/>
        </w:rPr>
        <w:t xml:space="preserve">significant </w:t>
      </w:r>
      <w:r w:rsidR="00BC2009" w:rsidRPr="58161626">
        <w:rPr>
          <w:rFonts w:asciiTheme="minorHAnsi" w:hAnsiTheme="minorHAnsi"/>
          <w:sz w:val="22"/>
          <w:szCs w:val="22"/>
        </w:rPr>
        <w:t xml:space="preserve">number of </w:t>
      </w:r>
      <w:proofErr w:type="gramStart"/>
      <w:r w:rsidR="00B3665D" w:rsidRPr="58161626">
        <w:rPr>
          <w:rFonts w:asciiTheme="minorHAnsi" w:hAnsiTheme="minorHAnsi"/>
          <w:sz w:val="22"/>
          <w:szCs w:val="22"/>
        </w:rPr>
        <w:t xml:space="preserve">new </w:t>
      </w:r>
      <w:r w:rsidR="002D13A4" w:rsidRPr="58161626">
        <w:rPr>
          <w:rFonts w:asciiTheme="minorHAnsi" w:hAnsiTheme="minorHAnsi"/>
          <w:sz w:val="22"/>
          <w:szCs w:val="22"/>
        </w:rPr>
        <w:t>large</w:t>
      </w:r>
      <w:proofErr w:type="gramEnd"/>
      <w:r w:rsidR="002D13A4" w:rsidRPr="58161626">
        <w:rPr>
          <w:rFonts w:asciiTheme="minorHAnsi" w:hAnsiTheme="minorHAnsi"/>
          <w:sz w:val="22"/>
          <w:szCs w:val="22"/>
        </w:rPr>
        <w:t xml:space="preserve"> </w:t>
      </w:r>
      <w:r w:rsidR="00B3665D" w:rsidRPr="58161626">
        <w:rPr>
          <w:rFonts w:asciiTheme="minorHAnsi" w:hAnsiTheme="minorHAnsi"/>
          <w:sz w:val="22"/>
          <w:szCs w:val="22"/>
        </w:rPr>
        <w:t>customer</w:t>
      </w:r>
      <w:r w:rsidR="00BC2009" w:rsidRPr="58161626">
        <w:rPr>
          <w:rFonts w:asciiTheme="minorHAnsi" w:hAnsiTheme="minorHAnsi"/>
          <w:sz w:val="22"/>
          <w:szCs w:val="22"/>
        </w:rPr>
        <w:t xml:space="preserve"> projects</w:t>
      </w:r>
      <w:r w:rsidR="002D13A4" w:rsidRPr="58161626">
        <w:rPr>
          <w:rFonts w:asciiTheme="minorHAnsi" w:hAnsiTheme="minorHAnsi"/>
          <w:sz w:val="22"/>
          <w:szCs w:val="22"/>
        </w:rPr>
        <w:t xml:space="preserve"> </w:t>
      </w:r>
      <w:r w:rsidR="005A5868" w:rsidRPr="58161626">
        <w:rPr>
          <w:rFonts w:asciiTheme="minorHAnsi" w:hAnsiTheme="minorHAnsi"/>
          <w:sz w:val="22"/>
          <w:szCs w:val="22"/>
        </w:rPr>
        <w:t xml:space="preserve">materialize in such a short </w:t>
      </w:r>
      <w:r w:rsidR="00105EDF" w:rsidRPr="58161626">
        <w:rPr>
          <w:rFonts w:asciiTheme="minorHAnsi" w:hAnsiTheme="minorHAnsi"/>
          <w:sz w:val="22"/>
          <w:szCs w:val="22"/>
        </w:rPr>
        <w:t>period of time</w:t>
      </w:r>
      <w:r w:rsidR="005A5868" w:rsidRPr="58161626">
        <w:rPr>
          <w:rFonts w:asciiTheme="minorHAnsi" w:hAnsiTheme="minorHAnsi"/>
          <w:sz w:val="22"/>
          <w:szCs w:val="22"/>
        </w:rPr>
        <w:t xml:space="preserve">. As a result, </w:t>
      </w:r>
      <w:r w:rsidR="005F0292" w:rsidRPr="58161626">
        <w:rPr>
          <w:rFonts w:asciiTheme="minorHAnsi" w:hAnsiTheme="minorHAnsi"/>
          <w:sz w:val="22"/>
          <w:szCs w:val="22"/>
        </w:rPr>
        <w:t xml:space="preserve">Georgia Power </w:t>
      </w:r>
      <w:r w:rsidR="00825140" w:rsidRPr="58161626">
        <w:rPr>
          <w:rFonts w:asciiTheme="minorHAnsi" w:hAnsiTheme="minorHAnsi"/>
          <w:sz w:val="22"/>
          <w:szCs w:val="22"/>
        </w:rPr>
        <w:t xml:space="preserve">has </w:t>
      </w:r>
      <w:r w:rsidR="005F0292" w:rsidRPr="58161626">
        <w:rPr>
          <w:rFonts w:asciiTheme="minorHAnsi" w:hAnsiTheme="minorHAnsi"/>
          <w:sz w:val="22"/>
          <w:szCs w:val="22"/>
        </w:rPr>
        <w:t>had to develop a way to estimate the impacts of these projects on its system</w:t>
      </w:r>
      <w:r w:rsidR="00825140" w:rsidRPr="58161626">
        <w:rPr>
          <w:rFonts w:asciiTheme="minorHAnsi" w:hAnsiTheme="minorHAnsi"/>
          <w:sz w:val="22"/>
          <w:szCs w:val="22"/>
        </w:rPr>
        <w:t xml:space="preserve">, </w:t>
      </w:r>
      <w:r w:rsidR="009E5259" w:rsidRPr="58161626">
        <w:rPr>
          <w:rFonts w:asciiTheme="minorHAnsi" w:hAnsiTheme="minorHAnsi"/>
          <w:sz w:val="22"/>
          <w:szCs w:val="22"/>
        </w:rPr>
        <w:t xml:space="preserve">while </w:t>
      </w:r>
      <w:r w:rsidR="1ACFD650" w:rsidRPr="58161626">
        <w:rPr>
          <w:rFonts w:asciiTheme="minorHAnsi" w:hAnsiTheme="minorHAnsi"/>
          <w:sz w:val="22"/>
          <w:szCs w:val="22"/>
        </w:rPr>
        <w:t>also addressing</w:t>
      </w:r>
      <w:r w:rsidR="009E5259" w:rsidRPr="58161626">
        <w:rPr>
          <w:rFonts w:asciiTheme="minorHAnsi" w:hAnsiTheme="minorHAnsi"/>
          <w:sz w:val="22"/>
          <w:szCs w:val="22"/>
        </w:rPr>
        <w:t xml:space="preserve"> </w:t>
      </w:r>
      <w:r w:rsidR="21366CB4" w:rsidRPr="58161626">
        <w:rPr>
          <w:rFonts w:asciiTheme="minorHAnsi" w:hAnsiTheme="minorHAnsi"/>
          <w:sz w:val="22"/>
          <w:szCs w:val="22"/>
        </w:rPr>
        <w:t xml:space="preserve">the inherent </w:t>
      </w:r>
      <w:r w:rsidR="009E5259" w:rsidRPr="58161626">
        <w:rPr>
          <w:rFonts w:asciiTheme="minorHAnsi" w:hAnsiTheme="minorHAnsi"/>
          <w:sz w:val="22"/>
          <w:szCs w:val="22"/>
        </w:rPr>
        <w:t>uncertaint</w:t>
      </w:r>
      <w:r w:rsidR="6E4816EC" w:rsidRPr="58161626">
        <w:rPr>
          <w:rFonts w:asciiTheme="minorHAnsi" w:hAnsiTheme="minorHAnsi"/>
          <w:sz w:val="22"/>
          <w:szCs w:val="22"/>
        </w:rPr>
        <w:t>ies</w:t>
      </w:r>
      <w:r w:rsidR="009E5259" w:rsidRPr="58161626">
        <w:rPr>
          <w:rFonts w:asciiTheme="minorHAnsi" w:hAnsiTheme="minorHAnsi"/>
          <w:sz w:val="22"/>
          <w:szCs w:val="22"/>
        </w:rPr>
        <w:t xml:space="preserve"> </w:t>
      </w:r>
      <w:r w:rsidR="5B3C71DA" w:rsidRPr="58161626">
        <w:rPr>
          <w:rFonts w:asciiTheme="minorHAnsi" w:hAnsiTheme="minorHAnsi"/>
          <w:sz w:val="22"/>
          <w:szCs w:val="22"/>
        </w:rPr>
        <w:t>around</w:t>
      </w:r>
      <w:r w:rsidR="009E5259" w:rsidRPr="58161626">
        <w:rPr>
          <w:rFonts w:asciiTheme="minorHAnsi" w:hAnsiTheme="minorHAnsi"/>
          <w:sz w:val="22"/>
          <w:szCs w:val="22"/>
        </w:rPr>
        <w:t xml:space="preserve"> </w:t>
      </w:r>
      <w:r w:rsidR="00E21B22" w:rsidRPr="58161626">
        <w:rPr>
          <w:rFonts w:asciiTheme="minorHAnsi" w:hAnsiTheme="minorHAnsi"/>
          <w:sz w:val="22"/>
          <w:szCs w:val="22"/>
        </w:rPr>
        <w:t xml:space="preserve">whether </w:t>
      </w:r>
      <w:r w:rsidR="4CC01E1A" w:rsidRPr="58161626">
        <w:rPr>
          <w:rFonts w:asciiTheme="minorHAnsi" w:hAnsiTheme="minorHAnsi"/>
          <w:sz w:val="22"/>
          <w:szCs w:val="22"/>
        </w:rPr>
        <w:t>such</w:t>
      </w:r>
      <w:r w:rsidR="00E21B22" w:rsidRPr="58161626">
        <w:rPr>
          <w:rFonts w:asciiTheme="minorHAnsi" w:hAnsiTheme="minorHAnsi"/>
          <w:sz w:val="22"/>
          <w:szCs w:val="22"/>
        </w:rPr>
        <w:t xml:space="preserve"> project</w:t>
      </w:r>
      <w:r w:rsidR="600E7B9A" w:rsidRPr="58161626">
        <w:rPr>
          <w:rFonts w:asciiTheme="minorHAnsi" w:hAnsiTheme="minorHAnsi"/>
          <w:sz w:val="22"/>
          <w:szCs w:val="22"/>
        </w:rPr>
        <w:t>s</w:t>
      </w:r>
      <w:r w:rsidR="00E21B22" w:rsidRPr="58161626">
        <w:rPr>
          <w:rFonts w:asciiTheme="minorHAnsi" w:hAnsiTheme="minorHAnsi"/>
          <w:sz w:val="22"/>
          <w:szCs w:val="22"/>
        </w:rPr>
        <w:t xml:space="preserve"> will </w:t>
      </w:r>
      <w:r w:rsidR="7A2B0115" w:rsidRPr="58161626">
        <w:rPr>
          <w:rFonts w:asciiTheme="minorHAnsi" w:hAnsiTheme="minorHAnsi"/>
          <w:sz w:val="22"/>
          <w:szCs w:val="22"/>
        </w:rPr>
        <w:t xml:space="preserve">ultimately </w:t>
      </w:r>
      <w:r w:rsidR="3C82A048" w:rsidRPr="58161626">
        <w:rPr>
          <w:rFonts w:asciiTheme="minorHAnsi" w:hAnsiTheme="minorHAnsi"/>
          <w:sz w:val="22"/>
          <w:szCs w:val="22"/>
        </w:rPr>
        <w:t xml:space="preserve">locate in Georgia, </w:t>
      </w:r>
      <w:r w:rsidR="1D1CC845" w:rsidRPr="58161626">
        <w:rPr>
          <w:rFonts w:asciiTheme="minorHAnsi" w:hAnsiTheme="minorHAnsi"/>
          <w:sz w:val="22"/>
          <w:szCs w:val="22"/>
        </w:rPr>
        <w:t>select</w:t>
      </w:r>
      <w:r w:rsidR="00E23912" w:rsidRPr="58161626">
        <w:rPr>
          <w:rFonts w:asciiTheme="minorHAnsi" w:hAnsiTheme="minorHAnsi"/>
          <w:sz w:val="22"/>
          <w:szCs w:val="22"/>
        </w:rPr>
        <w:t xml:space="preserve"> G</w:t>
      </w:r>
      <w:r w:rsidR="00CD0401" w:rsidRPr="58161626">
        <w:rPr>
          <w:rFonts w:asciiTheme="minorHAnsi" w:hAnsiTheme="minorHAnsi"/>
          <w:sz w:val="22"/>
          <w:szCs w:val="22"/>
        </w:rPr>
        <w:t>eo</w:t>
      </w:r>
      <w:r w:rsidR="00E23912" w:rsidRPr="58161626">
        <w:rPr>
          <w:rFonts w:asciiTheme="minorHAnsi" w:hAnsiTheme="minorHAnsi"/>
          <w:sz w:val="22"/>
          <w:szCs w:val="22"/>
        </w:rPr>
        <w:t>rgia Power</w:t>
      </w:r>
      <w:r w:rsidR="01487104" w:rsidRPr="58161626">
        <w:rPr>
          <w:rFonts w:asciiTheme="minorHAnsi" w:hAnsiTheme="minorHAnsi"/>
          <w:sz w:val="22"/>
          <w:szCs w:val="22"/>
        </w:rPr>
        <w:t xml:space="preserve"> as </w:t>
      </w:r>
      <w:r w:rsidR="76E7E129" w:rsidRPr="58161626">
        <w:rPr>
          <w:rFonts w:asciiTheme="minorHAnsi" w:hAnsiTheme="minorHAnsi"/>
          <w:sz w:val="22"/>
          <w:szCs w:val="22"/>
        </w:rPr>
        <w:t xml:space="preserve">the electric </w:t>
      </w:r>
      <w:r w:rsidR="01487104" w:rsidRPr="58161626">
        <w:rPr>
          <w:rFonts w:asciiTheme="minorHAnsi" w:hAnsiTheme="minorHAnsi"/>
          <w:sz w:val="22"/>
          <w:szCs w:val="22"/>
        </w:rPr>
        <w:t>service provider</w:t>
      </w:r>
      <w:r w:rsidR="00E23912" w:rsidRPr="58161626">
        <w:rPr>
          <w:rFonts w:asciiTheme="minorHAnsi" w:hAnsiTheme="minorHAnsi"/>
          <w:sz w:val="22"/>
          <w:szCs w:val="22"/>
        </w:rPr>
        <w:t>,</w:t>
      </w:r>
      <w:r w:rsidR="00C80B96" w:rsidRPr="58161626">
        <w:rPr>
          <w:rFonts w:asciiTheme="minorHAnsi" w:hAnsiTheme="minorHAnsi"/>
          <w:sz w:val="22"/>
          <w:szCs w:val="22"/>
        </w:rPr>
        <w:t xml:space="preserve"> </w:t>
      </w:r>
      <w:r w:rsidR="007C4465">
        <w:rPr>
          <w:rFonts w:asciiTheme="minorHAnsi" w:hAnsiTheme="minorHAnsi"/>
          <w:sz w:val="22"/>
          <w:szCs w:val="22"/>
        </w:rPr>
        <w:t>and</w:t>
      </w:r>
      <w:r w:rsidR="00C80B96" w:rsidRPr="58161626">
        <w:rPr>
          <w:rFonts w:asciiTheme="minorHAnsi" w:hAnsiTheme="minorHAnsi"/>
          <w:sz w:val="22"/>
          <w:szCs w:val="22"/>
        </w:rPr>
        <w:t xml:space="preserve"> come online</w:t>
      </w:r>
      <w:r w:rsidR="002C1FF6" w:rsidRPr="58161626">
        <w:rPr>
          <w:rFonts w:asciiTheme="minorHAnsi" w:hAnsiTheme="minorHAnsi"/>
          <w:sz w:val="22"/>
          <w:szCs w:val="22"/>
        </w:rPr>
        <w:t xml:space="preserve"> </w:t>
      </w:r>
      <w:r w:rsidR="06002CBC" w:rsidRPr="58161626">
        <w:rPr>
          <w:rFonts w:asciiTheme="minorHAnsi" w:hAnsiTheme="minorHAnsi"/>
          <w:sz w:val="22"/>
          <w:szCs w:val="22"/>
        </w:rPr>
        <w:t xml:space="preserve">with the </w:t>
      </w:r>
      <w:r w:rsidR="3D9125DD" w:rsidRPr="58161626">
        <w:rPr>
          <w:rFonts w:asciiTheme="minorHAnsi" w:hAnsiTheme="minorHAnsi"/>
          <w:sz w:val="22"/>
          <w:szCs w:val="22"/>
        </w:rPr>
        <w:t>anticipated</w:t>
      </w:r>
      <w:r w:rsidR="007C01DF" w:rsidRPr="58161626">
        <w:rPr>
          <w:rFonts w:asciiTheme="minorHAnsi" w:hAnsiTheme="minorHAnsi"/>
          <w:sz w:val="22"/>
          <w:szCs w:val="22"/>
        </w:rPr>
        <w:t xml:space="preserve"> load. </w:t>
      </w:r>
      <w:r w:rsidR="000A2EE1" w:rsidRPr="58161626">
        <w:rPr>
          <w:rFonts w:asciiTheme="minorHAnsi" w:hAnsiTheme="minorHAnsi"/>
          <w:sz w:val="22"/>
          <w:szCs w:val="22"/>
        </w:rPr>
        <w:t xml:space="preserve">The probabilistic model </w:t>
      </w:r>
      <w:r w:rsidR="71057CE7" w:rsidRPr="58161626">
        <w:rPr>
          <w:rFonts w:asciiTheme="minorHAnsi" w:hAnsiTheme="minorHAnsi"/>
          <w:sz w:val="22"/>
          <w:szCs w:val="22"/>
        </w:rPr>
        <w:t xml:space="preserve">Georgia Power </w:t>
      </w:r>
      <w:r w:rsidR="000A2EE1" w:rsidRPr="58161626">
        <w:rPr>
          <w:rFonts w:asciiTheme="minorHAnsi" w:hAnsiTheme="minorHAnsi"/>
          <w:sz w:val="22"/>
          <w:szCs w:val="22"/>
        </w:rPr>
        <w:t xml:space="preserve">developed </w:t>
      </w:r>
      <w:r w:rsidR="4356C8F7" w:rsidRPr="58161626">
        <w:rPr>
          <w:rFonts w:asciiTheme="minorHAnsi" w:hAnsiTheme="minorHAnsi"/>
          <w:sz w:val="22"/>
          <w:szCs w:val="22"/>
        </w:rPr>
        <w:t xml:space="preserve">to address these considerations </w:t>
      </w:r>
      <w:r w:rsidR="000A2EE1" w:rsidRPr="58161626">
        <w:rPr>
          <w:rFonts w:asciiTheme="minorHAnsi" w:hAnsiTheme="minorHAnsi"/>
          <w:sz w:val="22"/>
          <w:szCs w:val="22"/>
        </w:rPr>
        <w:t xml:space="preserve">is discussed </w:t>
      </w:r>
      <w:r w:rsidR="6B2318A5" w:rsidRPr="58161626">
        <w:rPr>
          <w:rFonts w:asciiTheme="minorHAnsi" w:hAnsiTheme="minorHAnsi"/>
          <w:sz w:val="22"/>
          <w:szCs w:val="22"/>
        </w:rPr>
        <w:t>in the</w:t>
      </w:r>
      <w:r w:rsidR="005E45D2">
        <w:rPr>
          <w:rFonts w:asciiTheme="minorHAnsi" w:hAnsiTheme="minorHAnsi"/>
          <w:sz w:val="22"/>
          <w:szCs w:val="22"/>
        </w:rPr>
        <w:t xml:space="preserve"> section</w:t>
      </w:r>
      <w:r w:rsidR="6B2318A5" w:rsidRPr="58161626">
        <w:rPr>
          <w:rFonts w:asciiTheme="minorHAnsi" w:hAnsiTheme="minorHAnsi"/>
          <w:sz w:val="22"/>
          <w:szCs w:val="22"/>
        </w:rPr>
        <w:t xml:space="preserve"> </w:t>
      </w:r>
      <w:r w:rsidR="000A2EE1" w:rsidRPr="58161626">
        <w:rPr>
          <w:rFonts w:asciiTheme="minorHAnsi" w:hAnsiTheme="minorHAnsi"/>
          <w:sz w:val="22"/>
          <w:szCs w:val="22"/>
        </w:rPr>
        <w:t>below.</w:t>
      </w:r>
    </w:p>
    <w:p w14:paraId="2DE569EF" w14:textId="77777777" w:rsidR="00717B04" w:rsidRPr="00B20D17" w:rsidRDefault="00717B04" w:rsidP="00CE6BE1">
      <w:pPr>
        <w:spacing w:line="276" w:lineRule="auto"/>
        <w:jc w:val="both"/>
        <w:rPr>
          <w:rFonts w:asciiTheme="minorHAnsi" w:hAnsiTheme="minorHAnsi" w:cstheme="minorHAnsi"/>
        </w:rPr>
      </w:pPr>
      <w:bookmarkStart w:id="8" w:name="_Toc142468253"/>
    </w:p>
    <w:p w14:paraId="6FD71A23" w14:textId="2A01146F" w:rsidR="004F5320" w:rsidRPr="00E832A5" w:rsidRDefault="001D5125" w:rsidP="00BD1F59">
      <w:pPr>
        <w:pStyle w:val="Heading2"/>
        <w:spacing w:before="240" w:after="240" w:line="276" w:lineRule="auto"/>
        <w:rPr>
          <w:rFonts w:asciiTheme="minorHAnsi" w:hAnsiTheme="minorHAnsi" w:cstheme="minorHAnsi"/>
        </w:rPr>
      </w:pPr>
      <w:r w:rsidRPr="00E832A5">
        <w:rPr>
          <w:rFonts w:asciiTheme="minorHAnsi" w:hAnsiTheme="minorHAnsi" w:cstheme="minorHAnsi"/>
        </w:rPr>
        <w:lastRenderedPageBreak/>
        <w:t>1.</w:t>
      </w:r>
      <w:r w:rsidR="007D4C9A" w:rsidRPr="00E832A5">
        <w:rPr>
          <w:rFonts w:asciiTheme="minorHAnsi" w:hAnsiTheme="minorHAnsi" w:cstheme="minorHAnsi"/>
        </w:rPr>
        <w:t>5</w:t>
      </w:r>
      <w:r w:rsidR="00FB3E30" w:rsidRPr="00E832A5">
        <w:rPr>
          <w:rFonts w:asciiTheme="minorHAnsi" w:hAnsiTheme="minorHAnsi" w:cstheme="minorHAnsi"/>
        </w:rPr>
        <w:t>.1</w:t>
      </w:r>
      <w:r w:rsidRPr="00E832A5">
        <w:rPr>
          <w:rFonts w:asciiTheme="minorHAnsi" w:hAnsiTheme="minorHAnsi" w:cstheme="minorHAnsi"/>
        </w:rPr>
        <w:tab/>
      </w:r>
      <w:r w:rsidR="00C4673B" w:rsidRPr="00E832A5">
        <w:rPr>
          <w:rFonts w:asciiTheme="minorHAnsi" w:hAnsiTheme="minorHAnsi" w:cstheme="minorHAnsi"/>
        </w:rPr>
        <w:t>MODEL OVERVIEW</w:t>
      </w:r>
    </w:p>
    <w:p w14:paraId="5BE5E36F" w14:textId="474CCB70" w:rsidR="00DC056F" w:rsidRPr="00E832A5" w:rsidRDefault="00CB7C0F" w:rsidP="00BD1F59">
      <w:pPr>
        <w:pStyle w:val="Heading3"/>
        <w:spacing w:before="240" w:after="240" w:line="276" w:lineRule="auto"/>
        <w:rPr>
          <w:rFonts w:asciiTheme="minorHAnsi" w:hAnsiTheme="minorHAnsi" w:cstheme="minorHAnsi"/>
        </w:rPr>
      </w:pPr>
      <w:r w:rsidRPr="00E832A5">
        <w:rPr>
          <w:rFonts w:asciiTheme="minorHAnsi" w:hAnsiTheme="minorHAnsi" w:cstheme="minorHAnsi"/>
        </w:rPr>
        <w:t>1.5.1.1</w:t>
      </w:r>
      <w:r w:rsidR="00CE3ACD" w:rsidRPr="00E832A5">
        <w:rPr>
          <w:rFonts w:asciiTheme="minorHAnsi" w:hAnsiTheme="minorHAnsi" w:cstheme="minorHAnsi"/>
        </w:rPr>
        <w:t xml:space="preserve"> </w:t>
      </w:r>
      <w:r w:rsidR="008714D3" w:rsidRPr="00E832A5">
        <w:rPr>
          <w:rFonts w:asciiTheme="minorHAnsi" w:hAnsiTheme="minorHAnsi" w:cstheme="minorHAnsi"/>
        </w:rPr>
        <w:t>Known</w:t>
      </w:r>
      <w:r w:rsidR="00F959F9" w:rsidRPr="00E832A5">
        <w:rPr>
          <w:rFonts w:asciiTheme="minorHAnsi" w:hAnsiTheme="minorHAnsi" w:cstheme="minorHAnsi"/>
        </w:rPr>
        <w:t xml:space="preserve"> Project</w:t>
      </w:r>
      <w:r w:rsidR="001D5125" w:rsidRPr="00E832A5">
        <w:rPr>
          <w:rFonts w:asciiTheme="minorHAnsi" w:hAnsiTheme="minorHAnsi" w:cstheme="minorHAnsi"/>
        </w:rPr>
        <w:t xml:space="preserve"> Inputs</w:t>
      </w:r>
    </w:p>
    <w:p w14:paraId="1DDC6FE2" w14:textId="3B4CBF24" w:rsidR="001D5125" w:rsidRPr="00E832A5" w:rsidRDefault="00F75632" w:rsidP="00AE2C75">
      <w:pPr>
        <w:keepNext/>
        <w:keepLines/>
        <w:spacing w:after="240" w:line="276" w:lineRule="auto"/>
        <w:jc w:val="both"/>
        <w:rPr>
          <w:rFonts w:asciiTheme="minorHAnsi" w:hAnsiTheme="minorHAnsi"/>
          <w:sz w:val="22"/>
          <w:szCs w:val="22"/>
        </w:rPr>
      </w:pPr>
      <w:r w:rsidRPr="58161626">
        <w:rPr>
          <w:rFonts w:asciiTheme="minorHAnsi" w:hAnsiTheme="minorHAnsi"/>
          <w:sz w:val="22"/>
          <w:szCs w:val="22"/>
        </w:rPr>
        <w:t xml:space="preserve">For each </w:t>
      </w:r>
      <w:r w:rsidR="3576EBE1" w:rsidRPr="58161626">
        <w:rPr>
          <w:rFonts w:asciiTheme="minorHAnsi" w:hAnsiTheme="minorHAnsi"/>
          <w:sz w:val="22"/>
          <w:szCs w:val="22"/>
        </w:rPr>
        <w:t xml:space="preserve">large load </w:t>
      </w:r>
      <w:proofErr w:type="gramStart"/>
      <w:r w:rsidR="00BA5066" w:rsidRPr="58161626">
        <w:rPr>
          <w:rFonts w:asciiTheme="minorHAnsi" w:hAnsiTheme="minorHAnsi"/>
          <w:sz w:val="22"/>
          <w:szCs w:val="22"/>
        </w:rPr>
        <w:t>project</w:t>
      </w:r>
      <w:proofErr w:type="gramEnd"/>
      <w:r w:rsidR="007065A4" w:rsidRPr="58161626" w:rsidDel="00042AE0">
        <w:rPr>
          <w:rFonts w:asciiTheme="minorHAnsi" w:hAnsiTheme="minorHAnsi"/>
          <w:sz w:val="22"/>
          <w:szCs w:val="22"/>
        </w:rPr>
        <w:t xml:space="preserve"> </w:t>
      </w:r>
      <w:r w:rsidRPr="58161626">
        <w:rPr>
          <w:rFonts w:asciiTheme="minorHAnsi" w:hAnsiTheme="minorHAnsi"/>
          <w:sz w:val="22"/>
          <w:szCs w:val="22"/>
        </w:rPr>
        <w:t xml:space="preserve">the Company has evaluated and included in the </w:t>
      </w:r>
      <w:r w:rsidR="00E60FBE" w:rsidRPr="58161626">
        <w:rPr>
          <w:rFonts w:asciiTheme="minorHAnsi" w:hAnsiTheme="minorHAnsi"/>
          <w:sz w:val="22"/>
          <w:szCs w:val="22"/>
        </w:rPr>
        <w:t>2023 IRP Update</w:t>
      </w:r>
      <w:r w:rsidR="00A813E8">
        <w:rPr>
          <w:rFonts w:asciiTheme="minorHAnsi" w:hAnsiTheme="minorHAnsi"/>
          <w:sz w:val="22"/>
          <w:szCs w:val="22"/>
        </w:rPr>
        <w:t xml:space="preserve"> Load</w:t>
      </w:r>
      <w:r w:rsidR="00B65BA3" w:rsidRPr="58161626">
        <w:rPr>
          <w:rFonts w:asciiTheme="minorHAnsi" w:hAnsiTheme="minorHAnsi"/>
          <w:sz w:val="22"/>
          <w:szCs w:val="22"/>
        </w:rPr>
        <w:t xml:space="preserve"> </w:t>
      </w:r>
      <w:r w:rsidR="006570F5">
        <w:rPr>
          <w:rFonts w:asciiTheme="minorHAnsi" w:hAnsiTheme="minorHAnsi"/>
          <w:sz w:val="22"/>
          <w:szCs w:val="22"/>
        </w:rPr>
        <w:t>F</w:t>
      </w:r>
      <w:r w:rsidRPr="58161626">
        <w:rPr>
          <w:rFonts w:asciiTheme="minorHAnsi" w:hAnsiTheme="minorHAnsi"/>
          <w:sz w:val="22"/>
          <w:szCs w:val="22"/>
        </w:rPr>
        <w:t>orecast, the</w:t>
      </w:r>
      <w:r w:rsidR="001D5125" w:rsidRPr="58161626">
        <w:rPr>
          <w:rFonts w:asciiTheme="minorHAnsi" w:hAnsiTheme="minorHAnsi"/>
          <w:sz w:val="22"/>
          <w:szCs w:val="22"/>
        </w:rPr>
        <w:t xml:space="preserve"> following information</w:t>
      </w:r>
      <w:r w:rsidR="00C31898" w:rsidRPr="58161626">
        <w:rPr>
          <w:rFonts w:asciiTheme="minorHAnsi" w:hAnsiTheme="minorHAnsi"/>
          <w:sz w:val="22"/>
          <w:szCs w:val="22"/>
        </w:rPr>
        <w:t xml:space="preserve"> is provided</w:t>
      </w:r>
      <w:r w:rsidR="4A758B3E" w:rsidRPr="58161626">
        <w:rPr>
          <w:rFonts w:asciiTheme="minorHAnsi" w:hAnsiTheme="minorHAnsi"/>
          <w:sz w:val="22"/>
          <w:szCs w:val="22"/>
        </w:rPr>
        <w:t>:</w:t>
      </w:r>
    </w:p>
    <w:p w14:paraId="2CBCF2D1" w14:textId="6C2086CF" w:rsidR="001D5125" w:rsidRPr="00E832A5" w:rsidRDefault="001D5125" w:rsidP="00CE6BE1">
      <w:pPr>
        <w:keepNext/>
        <w:keepLines/>
        <w:tabs>
          <w:tab w:val="left" w:pos="720"/>
        </w:tabs>
        <w:spacing w:line="276" w:lineRule="auto"/>
        <w:ind w:left="720" w:hanging="360"/>
        <w:jc w:val="both"/>
        <w:rPr>
          <w:rFonts w:asciiTheme="minorHAnsi" w:hAnsiTheme="minorHAnsi" w:cstheme="minorHAnsi"/>
          <w:sz w:val="22"/>
          <w:szCs w:val="22"/>
        </w:rPr>
      </w:pPr>
      <w:r w:rsidRPr="00E832A5">
        <w:rPr>
          <w:rFonts w:asciiTheme="minorHAnsi" w:hAnsiTheme="minorHAnsi" w:cstheme="minorHAnsi"/>
          <w:sz w:val="22"/>
          <w:szCs w:val="22"/>
        </w:rPr>
        <w:t>•</w:t>
      </w:r>
      <w:r w:rsidRPr="00E832A5">
        <w:rPr>
          <w:rFonts w:asciiTheme="minorHAnsi" w:hAnsiTheme="minorHAnsi" w:cstheme="minorHAnsi"/>
          <w:sz w:val="22"/>
          <w:szCs w:val="22"/>
        </w:rPr>
        <w:tab/>
      </w:r>
      <w:r w:rsidR="005567B1" w:rsidRPr="00E832A5">
        <w:rPr>
          <w:rFonts w:asciiTheme="minorHAnsi" w:hAnsiTheme="minorHAnsi" w:cstheme="minorHAnsi"/>
          <w:b/>
          <w:sz w:val="22"/>
          <w:szCs w:val="22"/>
        </w:rPr>
        <w:t>Commercial Operation Date</w:t>
      </w:r>
      <w:r w:rsidRPr="00E832A5">
        <w:rPr>
          <w:rFonts w:asciiTheme="minorHAnsi" w:hAnsiTheme="minorHAnsi" w:cstheme="minorHAnsi"/>
          <w:sz w:val="22"/>
          <w:szCs w:val="22"/>
        </w:rPr>
        <w:t xml:space="preserve">: When </w:t>
      </w:r>
      <w:r w:rsidR="00AC0FC6" w:rsidRPr="00E832A5">
        <w:rPr>
          <w:rFonts w:asciiTheme="minorHAnsi" w:hAnsiTheme="minorHAnsi" w:cstheme="minorHAnsi"/>
          <w:sz w:val="22"/>
          <w:szCs w:val="22"/>
        </w:rPr>
        <w:t xml:space="preserve">the </w:t>
      </w:r>
      <w:r w:rsidRPr="00E832A5">
        <w:rPr>
          <w:rFonts w:asciiTheme="minorHAnsi" w:hAnsiTheme="minorHAnsi" w:cstheme="minorHAnsi"/>
          <w:sz w:val="22"/>
          <w:szCs w:val="22"/>
        </w:rPr>
        <w:t>initial load is expected to start.</w:t>
      </w:r>
    </w:p>
    <w:p w14:paraId="67BBFADD" w14:textId="77777777" w:rsidR="001D5125" w:rsidRPr="00E832A5" w:rsidRDefault="001D5125" w:rsidP="00CE6BE1">
      <w:pPr>
        <w:keepNext/>
        <w:keepLines/>
        <w:tabs>
          <w:tab w:val="left" w:pos="720"/>
        </w:tabs>
        <w:spacing w:line="276" w:lineRule="auto"/>
        <w:ind w:left="720" w:hanging="360"/>
        <w:jc w:val="both"/>
        <w:rPr>
          <w:rFonts w:asciiTheme="minorHAnsi" w:hAnsiTheme="minorHAnsi" w:cstheme="minorHAnsi"/>
          <w:sz w:val="22"/>
          <w:szCs w:val="22"/>
        </w:rPr>
      </w:pPr>
      <w:r w:rsidRPr="00E832A5">
        <w:rPr>
          <w:rFonts w:asciiTheme="minorHAnsi" w:hAnsiTheme="minorHAnsi" w:cstheme="minorHAnsi"/>
          <w:sz w:val="22"/>
          <w:szCs w:val="22"/>
        </w:rPr>
        <w:t>•</w:t>
      </w:r>
      <w:r w:rsidRPr="00E832A5">
        <w:rPr>
          <w:rFonts w:asciiTheme="minorHAnsi" w:hAnsiTheme="minorHAnsi" w:cstheme="minorHAnsi"/>
          <w:sz w:val="22"/>
          <w:szCs w:val="22"/>
        </w:rPr>
        <w:tab/>
      </w:r>
      <w:r w:rsidRPr="00E832A5">
        <w:rPr>
          <w:rFonts w:asciiTheme="minorHAnsi" w:hAnsiTheme="minorHAnsi" w:cstheme="minorHAnsi"/>
          <w:b/>
          <w:sz w:val="22"/>
          <w:szCs w:val="22"/>
        </w:rPr>
        <w:t>Ramp-Up</w:t>
      </w:r>
      <w:r w:rsidRPr="00E832A5">
        <w:rPr>
          <w:rFonts w:asciiTheme="minorHAnsi" w:hAnsiTheme="minorHAnsi" w:cstheme="minorHAnsi"/>
          <w:sz w:val="22"/>
          <w:szCs w:val="22"/>
        </w:rPr>
        <w:t>: A year-by-year load trajectory.</w:t>
      </w:r>
    </w:p>
    <w:p w14:paraId="3193E04E" w14:textId="19437154" w:rsidR="001D5125" w:rsidRPr="00E832A5" w:rsidRDefault="001D5125" w:rsidP="00CE6BE1">
      <w:pPr>
        <w:keepNext/>
        <w:keepLines/>
        <w:tabs>
          <w:tab w:val="left" w:pos="720"/>
        </w:tabs>
        <w:spacing w:line="276" w:lineRule="auto"/>
        <w:ind w:left="720" w:hanging="360"/>
        <w:jc w:val="both"/>
        <w:rPr>
          <w:rFonts w:asciiTheme="minorHAnsi" w:hAnsiTheme="minorHAnsi" w:cstheme="minorHAnsi"/>
          <w:sz w:val="22"/>
          <w:szCs w:val="22"/>
        </w:rPr>
      </w:pPr>
      <w:r w:rsidRPr="00E832A5">
        <w:rPr>
          <w:rFonts w:asciiTheme="minorHAnsi" w:hAnsiTheme="minorHAnsi" w:cstheme="minorHAnsi"/>
          <w:sz w:val="22"/>
          <w:szCs w:val="22"/>
        </w:rPr>
        <w:t>•</w:t>
      </w:r>
      <w:r w:rsidRPr="00E832A5">
        <w:rPr>
          <w:rFonts w:asciiTheme="minorHAnsi" w:hAnsiTheme="minorHAnsi" w:cstheme="minorHAnsi"/>
          <w:sz w:val="22"/>
          <w:szCs w:val="22"/>
        </w:rPr>
        <w:tab/>
      </w:r>
      <w:r w:rsidRPr="00E832A5">
        <w:rPr>
          <w:rFonts w:asciiTheme="minorHAnsi" w:hAnsiTheme="minorHAnsi" w:cstheme="minorHAnsi"/>
          <w:b/>
          <w:sz w:val="22"/>
          <w:szCs w:val="22"/>
        </w:rPr>
        <w:t>Announced Load</w:t>
      </w:r>
      <w:r w:rsidRPr="00E832A5">
        <w:rPr>
          <w:rFonts w:asciiTheme="minorHAnsi" w:hAnsiTheme="minorHAnsi" w:cstheme="minorHAnsi"/>
          <w:sz w:val="22"/>
          <w:szCs w:val="22"/>
        </w:rPr>
        <w:t xml:space="preserve">: The </w:t>
      </w:r>
      <w:r w:rsidR="0005580A" w:rsidRPr="00E832A5">
        <w:rPr>
          <w:rFonts w:asciiTheme="minorHAnsi" w:hAnsiTheme="minorHAnsi" w:cstheme="minorHAnsi"/>
          <w:sz w:val="22"/>
          <w:szCs w:val="22"/>
        </w:rPr>
        <w:t xml:space="preserve">design capacity for </w:t>
      </w:r>
      <w:r w:rsidRPr="00E832A5">
        <w:rPr>
          <w:rFonts w:asciiTheme="minorHAnsi" w:hAnsiTheme="minorHAnsi" w:cstheme="minorHAnsi"/>
          <w:sz w:val="22"/>
          <w:szCs w:val="22"/>
        </w:rPr>
        <w:t xml:space="preserve">the project </w:t>
      </w:r>
      <w:r w:rsidR="00B45726" w:rsidRPr="00E832A5">
        <w:rPr>
          <w:rFonts w:asciiTheme="minorHAnsi" w:hAnsiTheme="minorHAnsi" w:cstheme="minorHAnsi"/>
          <w:sz w:val="22"/>
          <w:szCs w:val="22"/>
        </w:rPr>
        <w:t>load</w:t>
      </w:r>
      <w:r w:rsidRPr="00E832A5">
        <w:rPr>
          <w:rFonts w:asciiTheme="minorHAnsi" w:hAnsiTheme="minorHAnsi" w:cstheme="minorHAnsi"/>
          <w:sz w:val="22"/>
          <w:szCs w:val="22"/>
        </w:rPr>
        <w:t xml:space="preserve">. This </w:t>
      </w:r>
      <w:r w:rsidR="00DB13A2" w:rsidRPr="00E832A5">
        <w:rPr>
          <w:rFonts w:asciiTheme="minorHAnsi" w:hAnsiTheme="minorHAnsi" w:cstheme="minorHAnsi"/>
          <w:sz w:val="22"/>
          <w:szCs w:val="22"/>
        </w:rPr>
        <w:t xml:space="preserve">corresponds to </w:t>
      </w:r>
      <w:r w:rsidRPr="00E832A5">
        <w:rPr>
          <w:rFonts w:asciiTheme="minorHAnsi" w:hAnsiTheme="minorHAnsi" w:cstheme="minorHAnsi"/>
          <w:sz w:val="22"/>
          <w:szCs w:val="22"/>
        </w:rPr>
        <w:t>the maximum load of the ramp-up</w:t>
      </w:r>
      <w:r w:rsidR="0050524B" w:rsidRPr="00E832A5">
        <w:rPr>
          <w:rFonts w:asciiTheme="minorHAnsi" w:hAnsiTheme="minorHAnsi" w:cstheme="minorHAnsi"/>
          <w:sz w:val="22"/>
          <w:szCs w:val="22"/>
        </w:rPr>
        <w:t xml:space="preserve"> schedule provided by </w:t>
      </w:r>
      <w:r w:rsidR="001D23DB" w:rsidRPr="00E832A5">
        <w:rPr>
          <w:rFonts w:asciiTheme="minorHAnsi" w:hAnsiTheme="minorHAnsi" w:cstheme="minorHAnsi"/>
          <w:sz w:val="22"/>
          <w:szCs w:val="22"/>
        </w:rPr>
        <w:t xml:space="preserve">each </w:t>
      </w:r>
      <w:r w:rsidR="0050524B" w:rsidRPr="00E832A5">
        <w:rPr>
          <w:rFonts w:asciiTheme="minorHAnsi" w:hAnsiTheme="minorHAnsi" w:cstheme="minorHAnsi"/>
          <w:sz w:val="22"/>
          <w:szCs w:val="22"/>
        </w:rPr>
        <w:t>customer</w:t>
      </w:r>
      <w:r w:rsidR="009427C9" w:rsidRPr="00E832A5">
        <w:rPr>
          <w:rFonts w:asciiTheme="minorHAnsi" w:hAnsiTheme="minorHAnsi" w:cstheme="minorHAnsi"/>
          <w:sz w:val="22"/>
          <w:szCs w:val="22"/>
        </w:rPr>
        <w:t>.</w:t>
      </w:r>
      <w:r w:rsidR="006D4022" w:rsidRPr="00E832A5">
        <w:rPr>
          <w:rFonts w:asciiTheme="minorHAnsi" w:hAnsiTheme="minorHAnsi" w:cstheme="minorHAnsi"/>
          <w:sz w:val="22"/>
          <w:szCs w:val="22"/>
        </w:rPr>
        <w:t xml:space="preserve"> </w:t>
      </w:r>
      <w:r w:rsidR="00E459D9">
        <w:rPr>
          <w:rFonts w:asciiTheme="minorHAnsi" w:hAnsiTheme="minorHAnsi" w:cstheme="minorHAnsi"/>
          <w:sz w:val="22"/>
          <w:szCs w:val="22"/>
        </w:rPr>
        <w:t xml:space="preserve">The Company’s </w:t>
      </w:r>
      <w:r w:rsidR="002C2094">
        <w:rPr>
          <w:rFonts w:asciiTheme="minorHAnsi" w:hAnsiTheme="minorHAnsi" w:cstheme="minorHAnsi"/>
          <w:sz w:val="22"/>
          <w:szCs w:val="22"/>
        </w:rPr>
        <w:t xml:space="preserve">Power Delivery </w:t>
      </w:r>
      <w:r w:rsidR="00F25326">
        <w:rPr>
          <w:rFonts w:asciiTheme="minorHAnsi" w:hAnsiTheme="minorHAnsi" w:cstheme="minorHAnsi"/>
          <w:sz w:val="22"/>
          <w:szCs w:val="22"/>
        </w:rPr>
        <w:t>organization</w:t>
      </w:r>
      <w:r w:rsidR="00E459D9">
        <w:rPr>
          <w:rFonts w:asciiTheme="minorHAnsi" w:hAnsiTheme="minorHAnsi" w:cstheme="minorHAnsi"/>
          <w:sz w:val="22"/>
          <w:szCs w:val="22"/>
        </w:rPr>
        <w:t xml:space="preserve"> </w:t>
      </w:r>
      <w:r w:rsidR="00D2648C" w:rsidRPr="00E832A5">
        <w:rPr>
          <w:rFonts w:asciiTheme="minorHAnsi" w:hAnsiTheme="minorHAnsi" w:cstheme="minorHAnsi"/>
          <w:sz w:val="22"/>
          <w:szCs w:val="22"/>
        </w:rPr>
        <w:t xml:space="preserve">uses this information </w:t>
      </w:r>
      <w:r w:rsidR="00D2648C" w:rsidRPr="00E832A5">
        <w:rPr>
          <w:rStyle w:val="cf01"/>
          <w:rFonts w:asciiTheme="minorHAnsi" w:hAnsiTheme="minorHAnsi" w:cstheme="minorHAnsi"/>
          <w:sz w:val="22"/>
          <w:szCs w:val="22"/>
        </w:rPr>
        <w:t>to properly size the facilities and purchase equipment to serve the new load.</w:t>
      </w:r>
      <w:r w:rsidR="00D2648C" w:rsidRPr="00E832A5">
        <w:rPr>
          <w:rFonts w:asciiTheme="minorHAnsi" w:hAnsiTheme="minorHAnsi" w:cstheme="minorHAnsi"/>
          <w:sz w:val="22"/>
          <w:szCs w:val="22"/>
        </w:rPr>
        <w:t xml:space="preserve"> </w:t>
      </w:r>
    </w:p>
    <w:p w14:paraId="4E624FA2" w14:textId="3A82BFF4" w:rsidR="001D5125" w:rsidRPr="00E832A5" w:rsidRDefault="001D5125" w:rsidP="00CE6BE1">
      <w:pPr>
        <w:keepNext/>
        <w:keepLines/>
        <w:tabs>
          <w:tab w:val="left" w:pos="720"/>
        </w:tabs>
        <w:spacing w:line="276" w:lineRule="auto"/>
        <w:ind w:left="720" w:hanging="360"/>
        <w:jc w:val="both"/>
        <w:rPr>
          <w:rFonts w:asciiTheme="minorHAnsi" w:hAnsiTheme="minorHAnsi" w:cstheme="minorHAnsi"/>
          <w:sz w:val="22"/>
          <w:szCs w:val="22"/>
        </w:rPr>
      </w:pPr>
      <w:r w:rsidRPr="00E832A5">
        <w:rPr>
          <w:rFonts w:asciiTheme="minorHAnsi" w:hAnsiTheme="minorHAnsi" w:cstheme="minorHAnsi"/>
          <w:sz w:val="22"/>
          <w:szCs w:val="22"/>
        </w:rPr>
        <w:t>•</w:t>
      </w:r>
      <w:r w:rsidRPr="00E832A5">
        <w:rPr>
          <w:rFonts w:asciiTheme="minorHAnsi" w:hAnsiTheme="minorHAnsi" w:cstheme="minorHAnsi"/>
          <w:sz w:val="22"/>
          <w:szCs w:val="22"/>
        </w:rPr>
        <w:tab/>
      </w:r>
      <w:r w:rsidRPr="00E832A5">
        <w:rPr>
          <w:rFonts w:asciiTheme="minorHAnsi" w:hAnsiTheme="minorHAnsi" w:cstheme="minorHAnsi"/>
          <w:b/>
          <w:sz w:val="22"/>
          <w:szCs w:val="22"/>
        </w:rPr>
        <w:t>Class</w:t>
      </w:r>
      <w:r w:rsidRPr="00E832A5">
        <w:rPr>
          <w:rFonts w:asciiTheme="minorHAnsi" w:hAnsiTheme="minorHAnsi" w:cstheme="minorHAnsi"/>
          <w:sz w:val="22"/>
          <w:szCs w:val="22"/>
        </w:rPr>
        <w:t>: Industrial or Commercial.</w:t>
      </w:r>
    </w:p>
    <w:p w14:paraId="79501FCA" w14:textId="717758C9" w:rsidR="00D47822" w:rsidRPr="00E832A5" w:rsidRDefault="001D5125" w:rsidP="00BD1F59">
      <w:pPr>
        <w:keepNext/>
        <w:keepLines/>
        <w:tabs>
          <w:tab w:val="left" w:pos="720"/>
        </w:tabs>
        <w:spacing w:line="276" w:lineRule="auto"/>
        <w:ind w:left="720" w:hanging="360"/>
        <w:jc w:val="both"/>
        <w:rPr>
          <w:rFonts w:asciiTheme="minorHAnsi" w:hAnsiTheme="minorHAnsi" w:cstheme="minorHAnsi"/>
        </w:rPr>
      </w:pPr>
      <w:r w:rsidRPr="58161626">
        <w:rPr>
          <w:rFonts w:asciiTheme="minorHAnsi" w:hAnsiTheme="minorHAnsi"/>
          <w:sz w:val="22"/>
          <w:szCs w:val="22"/>
        </w:rPr>
        <w:t>•</w:t>
      </w:r>
      <w:r>
        <w:tab/>
      </w:r>
      <w:r w:rsidRPr="58161626">
        <w:rPr>
          <w:rFonts w:asciiTheme="minorHAnsi" w:hAnsiTheme="minorHAnsi"/>
          <w:b/>
          <w:bCs/>
          <w:sz w:val="22"/>
          <w:szCs w:val="22"/>
        </w:rPr>
        <w:t>Segment</w:t>
      </w:r>
      <w:r w:rsidRPr="58161626">
        <w:rPr>
          <w:rFonts w:asciiTheme="minorHAnsi" w:hAnsiTheme="minorHAnsi"/>
          <w:sz w:val="22"/>
          <w:szCs w:val="22"/>
        </w:rPr>
        <w:t xml:space="preserve">: </w:t>
      </w:r>
      <w:r w:rsidR="29C7FDD7" w:rsidRPr="58161626">
        <w:rPr>
          <w:rFonts w:asciiTheme="minorHAnsi" w:hAnsiTheme="minorHAnsi"/>
          <w:sz w:val="22"/>
          <w:szCs w:val="22"/>
        </w:rPr>
        <w:t>This criteri</w:t>
      </w:r>
      <w:r w:rsidR="007078F4">
        <w:rPr>
          <w:rFonts w:asciiTheme="minorHAnsi" w:hAnsiTheme="minorHAnsi"/>
          <w:sz w:val="22"/>
          <w:szCs w:val="22"/>
        </w:rPr>
        <w:t>on</w:t>
      </w:r>
      <w:r w:rsidR="29C7FDD7" w:rsidRPr="58161626">
        <w:rPr>
          <w:rFonts w:asciiTheme="minorHAnsi" w:hAnsiTheme="minorHAnsi"/>
          <w:sz w:val="22"/>
          <w:szCs w:val="22"/>
        </w:rPr>
        <w:t xml:space="preserve"> corresponds to the </w:t>
      </w:r>
      <w:proofErr w:type="gramStart"/>
      <w:r w:rsidR="7A9841F0" w:rsidRPr="58161626">
        <w:rPr>
          <w:rFonts w:asciiTheme="minorHAnsi" w:hAnsiTheme="minorHAnsi"/>
          <w:sz w:val="22"/>
          <w:szCs w:val="22"/>
        </w:rPr>
        <w:t xml:space="preserve">particular </w:t>
      </w:r>
      <w:r w:rsidR="29C7FDD7" w:rsidRPr="58161626">
        <w:rPr>
          <w:rFonts w:asciiTheme="minorHAnsi" w:hAnsiTheme="minorHAnsi"/>
          <w:sz w:val="22"/>
          <w:szCs w:val="22"/>
        </w:rPr>
        <w:t>segment</w:t>
      </w:r>
      <w:proofErr w:type="gramEnd"/>
      <w:r w:rsidR="29C7FDD7" w:rsidRPr="58161626">
        <w:rPr>
          <w:rFonts w:asciiTheme="minorHAnsi" w:hAnsiTheme="minorHAnsi"/>
          <w:sz w:val="22"/>
          <w:szCs w:val="22"/>
        </w:rPr>
        <w:t xml:space="preserve"> of </w:t>
      </w:r>
      <w:r w:rsidR="22F7E48C" w:rsidRPr="58161626">
        <w:rPr>
          <w:rFonts w:asciiTheme="minorHAnsi" w:hAnsiTheme="minorHAnsi"/>
          <w:sz w:val="22"/>
          <w:szCs w:val="22"/>
        </w:rPr>
        <w:t xml:space="preserve">a business within a </w:t>
      </w:r>
      <w:r w:rsidR="29C7FDD7" w:rsidRPr="58161626">
        <w:rPr>
          <w:rFonts w:asciiTheme="minorHAnsi" w:hAnsiTheme="minorHAnsi"/>
          <w:sz w:val="22"/>
          <w:szCs w:val="22"/>
        </w:rPr>
        <w:t xml:space="preserve">customer class, such as </w:t>
      </w:r>
      <w:r w:rsidR="1DC2D02C" w:rsidRPr="58161626">
        <w:rPr>
          <w:rFonts w:asciiTheme="minorHAnsi" w:hAnsiTheme="minorHAnsi"/>
          <w:sz w:val="22"/>
          <w:szCs w:val="22"/>
        </w:rPr>
        <w:t>c</w:t>
      </w:r>
      <w:r w:rsidRPr="58161626">
        <w:rPr>
          <w:rFonts w:asciiTheme="minorHAnsi" w:hAnsiTheme="minorHAnsi"/>
          <w:sz w:val="22"/>
          <w:szCs w:val="22"/>
        </w:rPr>
        <w:t xml:space="preserve">ryptocurrency, </w:t>
      </w:r>
      <w:r w:rsidR="1BE47E09" w:rsidRPr="58161626">
        <w:rPr>
          <w:rFonts w:asciiTheme="minorHAnsi" w:hAnsiTheme="minorHAnsi"/>
          <w:sz w:val="22"/>
          <w:szCs w:val="22"/>
        </w:rPr>
        <w:t>d</w:t>
      </w:r>
      <w:r w:rsidRPr="58161626">
        <w:rPr>
          <w:rFonts w:asciiTheme="minorHAnsi" w:hAnsiTheme="minorHAnsi"/>
          <w:sz w:val="22"/>
          <w:szCs w:val="22"/>
        </w:rPr>
        <w:t xml:space="preserve">atacenter, </w:t>
      </w:r>
      <w:r w:rsidR="33DCB81F" w:rsidRPr="58161626">
        <w:rPr>
          <w:rFonts w:asciiTheme="minorHAnsi" w:hAnsiTheme="minorHAnsi"/>
          <w:sz w:val="22"/>
          <w:szCs w:val="22"/>
        </w:rPr>
        <w:t>w</w:t>
      </w:r>
      <w:r w:rsidRPr="58161626">
        <w:rPr>
          <w:rFonts w:asciiTheme="minorHAnsi" w:hAnsiTheme="minorHAnsi"/>
          <w:sz w:val="22"/>
          <w:szCs w:val="22"/>
        </w:rPr>
        <w:t xml:space="preserve">arehouse, </w:t>
      </w:r>
      <w:r w:rsidR="75038031" w:rsidRPr="58161626">
        <w:rPr>
          <w:rFonts w:asciiTheme="minorHAnsi" w:hAnsiTheme="minorHAnsi"/>
          <w:sz w:val="22"/>
          <w:szCs w:val="22"/>
        </w:rPr>
        <w:t>b</w:t>
      </w:r>
      <w:r w:rsidRPr="58161626">
        <w:rPr>
          <w:rFonts w:asciiTheme="minorHAnsi" w:hAnsiTheme="minorHAnsi"/>
          <w:sz w:val="22"/>
          <w:szCs w:val="22"/>
        </w:rPr>
        <w:t xml:space="preserve">attery </w:t>
      </w:r>
      <w:r w:rsidR="2A488072" w:rsidRPr="58161626">
        <w:rPr>
          <w:rFonts w:asciiTheme="minorHAnsi" w:hAnsiTheme="minorHAnsi"/>
          <w:sz w:val="22"/>
          <w:szCs w:val="22"/>
        </w:rPr>
        <w:t>m</w:t>
      </w:r>
      <w:r w:rsidRPr="58161626">
        <w:rPr>
          <w:rFonts w:asciiTheme="minorHAnsi" w:hAnsiTheme="minorHAnsi"/>
          <w:sz w:val="22"/>
          <w:szCs w:val="22"/>
        </w:rPr>
        <w:t xml:space="preserve">anufacturing, </w:t>
      </w:r>
      <w:r w:rsidR="00190DAA">
        <w:rPr>
          <w:rFonts w:asciiTheme="minorHAnsi" w:hAnsiTheme="minorHAnsi"/>
          <w:sz w:val="22"/>
          <w:szCs w:val="22"/>
        </w:rPr>
        <w:t>c</w:t>
      </w:r>
      <w:r w:rsidRPr="58161626">
        <w:rPr>
          <w:rFonts w:asciiTheme="minorHAnsi" w:hAnsiTheme="minorHAnsi"/>
          <w:sz w:val="22"/>
          <w:szCs w:val="22"/>
        </w:rPr>
        <w:t xml:space="preserve">hemicals, </w:t>
      </w:r>
      <w:r w:rsidR="290F061D" w:rsidRPr="58161626">
        <w:rPr>
          <w:rFonts w:asciiTheme="minorHAnsi" w:hAnsiTheme="minorHAnsi"/>
          <w:sz w:val="22"/>
          <w:szCs w:val="22"/>
        </w:rPr>
        <w:t xml:space="preserve">and </w:t>
      </w:r>
      <w:r w:rsidR="4A81F2C7" w:rsidRPr="58161626">
        <w:rPr>
          <w:rFonts w:asciiTheme="minorHAnsi" w:hAnsiTheme="minorHAnsi"/>
          <w:sz w:val="22"/>
          <w:szCs w:val="22"/>
        </w:rPr>
        <w:t>s</w:t>
      </w:r>
      <w:r w:rsidRPr="58161626">
        <w:rPr>
          <w:rFonts w:asciiTheme="minorHAnsi" w:hAnsiTheme="minorHAnsi"/>
          <w:sz w:val="22"/>
          <w:szCs w:val="22"/>
        </w:rPr>
        <w:t>olar.</w:t>
      </w:r>
    </w:p>
    <w:p w14:paraId="6D847B35" w14:textId="5078E865" w:rsidR="008714D3" w:rsidRPr="00E832A5" w:rsidRDefault="00265E96" w:rsidP="00BD1F59">
      <w:pPr>
        <w:pStyle w:val="Heading3"/>
        <w:spacing w:before="240" w:after="240" w:line="276" w:lineRule="auto"/>
        <w:rPr>
          <w:rFonts w:asciiTheme="minorHAnsi" w:hAnsiTheme="minorHAnsi" w:cstheme="minorHAnsi"/>
        </w:rPr>
      </w:pPr>
      <w:r w:rsidRPr="00E832A5">
        <w:rPr>
          <w:rFonts w:asciiTheme="minorHAnsi" w:hAnsiTheme="minorHAnsi" w:cstheme="minorHAnsi"/>
        </w:rPr>
        <w:t>1.5.1.2 Modeling</w:t>
      </w:r>
      <w:r w:rsidR="008714D3" w:rsidRPr="00E832A5">
        <w:rPr>
          <w:rFonts w:asciiTheme="minorHAnsi" w:hAnsiTheme="minorHAnsi" w:cstheme="minorHAnsi"/>
        </w:rPr>
        <w:t xml:space="preserve"> </w:t>
      </w:r>
      <w:r w:rsidR="00F959F9" w:rsidRPr="00E832A5">
        <w:rPr>
          <w:rFonts w:asciiTheme="minorHAnsi" w:hAnsiTheme="minorHAnsi" w:cstheme="minorHAnsi"/>
        </w:rPr>
        <w:t xml:space="preserve">Project </w:t>
      </w:r>
      <w:r w:rsidR="008714D3" w:rsidRPr="00E832A5">
        <w:rPr>
          <w:rFonts w:asciiTheme="minorHAnsi" w:hAnsiTheme="minorHAnsi" w:cstheme="minorHAnsi"/>
        </w:rPr>
        <w:t>Uncertainty</w:t>
      </w:r>
    </w:p>
    <w:p w14:paraId="09389115" w14:textId="7232ADF8" w:rsidR="008714D3" w:rsidRPr="00E832A5" w:rsidRDefault="0005537F" w:rsidP="00CE6BE1">
      <w:pPr>
        <w:spacing w:line="276" w:lineRule="auto"/>
        <w:jc w:val="both"/>
        <w:rPr>
          <w:rFonts w:asciiTheme="minorHAnsi" w:hAnsiTheme="minorHAnsi" w:cstheme="minorHAnsi"/>
          <w:sz w:val="22"/>
          <w:szCs w:val="22"/>
        </w:rPr>
      </w:pPr>
      <w:r w:rsidRPr="00E832A5">
        <w:rPr>
          <w:rFonts w:asciiTheme="minorHAnsi" w:hAnsiTheme="minorHAnsi" w:cstheme="minorHAnsi"/>
          <w:sz w:val="22"/>
          <w:szCs w:val="22"/>
        </w:rPr>
        <w:t>Each</w:t>
      </w:r>
      <w:r w:rsidR="008714D3" w:rsidRPr="00E832A5" w:rsidDel="00964D3F">
        <w:rPr>
          <w:rFonts w:asciiTheme="minorHAnsi" w:hAnsiTheme="minorHAnsi" w:cstheme="minorHAnsi"/>
          <w:sz w:val="22"/>
          <w:szCs w:val="22"/>
        </w:rPr>
        <w:t xml:space="preserve"> </w:t>
      </w:r>
      <w:r w:rsidR="00A43B85">
        <w:rPr>
          <w:rFonts w:asciiTheme="minorHAnsi" w:hAnsiTheme="minorHAnsi" w:cstheme="minorHAnsi"/>
          <w:sz w:val="22"/>
          <w:szCs w:val="22"/>
        </w:rPr>
        <w:t>l</w:t>
      </w:r>
      <w:r w:rsidR="004039E8" w:rsidRPr="00E832A5">
        <w:rPr>
          <w:rFonts w:asciiTheme="minorHAnsi" w:hAnsiTheme="minorHAnsi" w:cstheme="minorHAnsi"/>
          <w:sz w:val="22"/>
          <w:szCs w:val="22"/>
        </w:rPr>
        <w:t xml:space="preserve">arge load </w:t>
      </w:r>
      <w:r w:rsidR="008714D3" w:rsidRPr="00E832A5">
        <w:rPr>
          <w:rFonts w:asciiTheme="minorHAnsi" w:hAnsiTheme="minorHAnsi" w:cstheme="minorHAnsi"/>
          <w:sz w:val="22"/>
          <w:szCs w:val="22"/>
        </w:rPr>
        <w:t>project contains multiple dimensions of uncertainty</w:t>
      </w:r>
      <w:r w:rsidR="008F1BE4">
        <w:rPr>
          <w:rFonts w:asciiTheme="minorHAnsi" w:hAnsiTheme="minorHAnsi" w:cstheme="minorHAnsi"/>
          <w:sz w:val="22"/>
          <w:szCs w:val="22"/>
        </w:rPr>
        <w:t xml:space="preserve"> that</w:t>
      </w:r>
      <w:r w:rsidR="008714D3" w:rsidRPr="00E832A5">
        <w:rPr>
          <w:rFonts w:asciiTheme="minorHAnsi" w:hAnsiTheme="minorHAnsi" w:cstheme="minorHAnsi"/>
          <w:sz w:val="22"/>
          <w:szCs w:val="22"/>
        </w:rPr>
        <w:t xml:space="preserve"> must be considered</w:t>
      </w:r>
      <w:r w:rsidR="003D580F" w:rsidRPr="00E832A5">
        <w:rPr>
          <w:rFonts w:asciiTheme="minorHAnsi" w:hAnsiTheme="minorHAnsi" w:cstheme="minorHAnsi"/>
          <w:sz w:val="22"/>
          <w:szCs w:val="22"/>
        </w:rPr>
        <w:t xml:space="preserve"> </w:t>
      </w:r>
      <w:r w:rsidR="00C71649">
        <w:rPr>
          <w:rFonts w:asciiTheme="minorHAnsi" w:hAnsiTheme="minorHAnsi" w:cstheme="minorHAnsi"/>
          <w:sz w:val="22"/>
          <w:szCs w:val="22"/>
        </w:rPr>
        <w:t>and analyzed</w:t>
      </w:r>
      <w:r w:rsidR="008714D3" w:rsidRPr="00E832A5">
        <w:rPr>
          <w:rFonts w:asciiTheme="minorHAnsi" w:hAnsiTheme="minorHAnsi" w:cstheme="minorHAnsi"/>
          <w:sz w:val="22"/>
          <w:szCs w:val="22"/>
        </w:rPr>
        <w:t xml:space="preserve">. The first element of uncertainty </w:t>
      </w:r>
      <w:r w:rsidR="00892F0F">
        <w:rPr>
          <w:rFonts w:asciiTheme="minorHAnsi" w:hAnsiTheme="minorHAnsi" w:cstheme="minorHAnsi"/>
          <w:sz w:val="22"/>
          <w:szCs w:val="22"/>
        </w:rPr>
        <w:t xml:space="preserve">to consider is </w:t>
      </w:r>
      <w:r w:rsidR="000573F8">
        <w:rPr>
          <w:rFonts w:asciiTheme="minorHAnsi" w:hAnsiTheme="minorHAnsi" w:cstheme="minorHAnsi"/>
          <w:sz w:val="22"/>
          <w:szCs w:val="22"/>
        </w:rPr>
        <w:t xml:space="preserve">whether </w:t>
      </w:r>
      <w:r w:rsidR="008714D3" w:rsidRPr="00E832A5">
        <w:rPr>
          <w:rFonts w:asciiTheme="minorHAnsi" w:hAnsiTheme="minorHAnsi" w:cstheme="minorHAnsi"/>
          <w:sz w:val="22"/>
          <w:szCs w:val="22"/>
        </w:rPr>
        <w:t xml:space="preserve">the </w:t>
      </w:r>
      <w:r w:rsidR="000573F8">
        <w:rPr>
          <w:rFonts w:asciiTheme="minorHAnsi" w:hAnsiTheme="minorHAnsi" w:cstheme="minorHAnsi"/>
          <w:sz w:val="22"/>
          <w:szCs w:val="22"/>
        </w:rPr>
        <w:t>potential customers will choose to locate in</w:t>
      </w:r>
      <w:r w:rsidR="000573F8" w:rsidDel="00E86F1E">
        <w:rPr>
          <w:rFonts w:asciiTheme="minorHAnsi" w:hAnsiTheme="minorHAnsi" w:cstheme="minorHAnsi"/>
          <w:sz w:val="22"/>
          <w:szCs w:val="22"/>
        </w:rPr>
        <w:t xml:space="preserve"> </w:t>
      </w:r>
      <w:r w:rsidR="0053213A">
        <w:rPr>
          <w:rFonts w:asciiTheme="minorHAnsi" w:hAnsiTheme="minorHAnsi" w:cstheme="minorHAnsi"/>
          <w:sz w:val="22"/>
          <w:szCs w:val="22"/>
        </w:rPr>
        <w:t>Georgia</w:t>
      </w:r>
      <w:r w:rsidR="008714D3" w:rsidRPr="00E832A5">
        <w:rPr>
          <w:rFonts w:asciiTheme="minorHAnsi" w:hAnsiTheme="minorHAnsi" w:cstheme="minorHAnsi"/>
          <w:sz w:val="22"/>
          <w:szCs w:val="22"/>
        </w:rPr>
        <w:t xml:space="preserve">. A customer may </w:t>
      </w:r>
      <w:r w:rsidR="0037300E" w:rsidRPr="00E832A5">
        <w:rPr>
          <w:rFonts w:asciiTheme="minorHAnsi" w:hAnsiTheme="minorHAnsi" w:cstheme="minorHAnsi"/>
          <w:sz w:val="22"/>
          <w:szCs w:val="22"/>
        </w:rPr>
        <w:t>ultimately</w:t>
      </w:r>
      <w:r w:rsidR="008714D3" w:rsidRPr="00E832A5">
        <w:rPr>
          <w:rFonts w:asciiTheme="minorHAnsi" w:hAnsiTheme="minorHAnsi" w:cstheme="minorHAnsi"/>
          <w:sz w:val="22"/>
          <w:szCs w:val="22"/>
        </w:rPr>
        <w:t xml:space="preserve"> end up choosing a different state as the location of </w:t>
      </w:r>
      <w:r w:rsidR="00EA0AD1">
        <w:rPr>
          <w:rFonts w:asciiTheme="minorHAnsi" w:hAnsiTheme="minorHAnsi" w:cstheme="minorHAnsi"/>
          <w:sz w:val="22"/>
          <w:szCs w:val="22"/>
        </w:rPr>
        <w:t xml:space="preserve">a </w:t>
      </w:r>
      <w:r w:rsidR="008714D3" w:rsidRPr="00E832A5">
        <w:rPr>
          <w:rFonts w:asciiTheme="minorHAnsi" w:hAnsiTheme="minorHAnsi" w:cstheme="minorHAnsi"/>
          <w:sz w:val="22"/>
          <w:szCs w:val="22"/>
        </w:rPr>
        <w:t xml:space="preserve">project despite initial indications of interest in Georgia. </w:t>
      </w:r>
      <w:r w:rsidR="008963D7">
        <w:rPr>
          <w:rFonts w:asciiTheme="minorHAnsi" w:hAnsiTheme="minorHAnsi" w:cstheme="minorHAnsi"/>
          <w:sz w:val="22"/>
          <w:szCs w:val="22"/>
        </w:rPr>
        <w:t>If a large load customer elects to locate in Georgia</w:t>
      </w:r>
      <w:r w:rsidR="008714D3" w:rsidRPr="00E832A5">
        <w:rPr>
          <w:rFonts w:asciiTheme="minorHAnsi" w:hAnsiTheme="minorHAnsi" w:cstheme="minorHAnsi"/>
          <w:sz w:val="22"/>
          <w:szCs w:val="22"/>
        </w:rPr>
        <w:t xml:space="preserve">, </w:t>
      </w:r>
      <w:r w:rsidR="00716D55" w:rsidRPr="00E832A5">
        <w:rPr>
          <w:rFonts w:asciiTheme="minorHAnsi" w:hAnsiTheme="minorHAnsi" w:cstheme="minorHAnsi"/>
          <w:sz w:val="22"/>
          <w:szCs w:val="22"/>
        </w:rPr>
        <w:t xml:space="preserve">there is still uncertainty </w:t>
      </w:r>
      <w:r w:rsidR="008714D3" w:rsidRPr="00E832A5">
        <w:rPr>
          <w:rFonts w:asciiTheme="minorHAnsi" w:hAnsiTheme="minorHAnsi" w:cstheme="minorHAnsi"/>
          <w:sz w:val="22"/>
          <w:szCs w:val="22"/>
        </w:rPr>
        <w:t>due to the competitive nature of the bidding process</w:t>
      </w:r>
      <w:r w:rsidR="0089546B">
        <w:rPr>
          <w:rFonts w:asciiTheme="minorHAnsi" w:hAnsiTheme="minorHAnsi" w:cstheme="minorHAnsi"/>
          <w:sz w:val="22"/>
          <w:szCs w:val="22"/>
        </w:rPr>
        <w:t xml:space="preserve"> for large load customers among electric service providers in the state</w:t>
      </w:r>
      <w:r w:rsidR="00296C8C">
        <w:rPr>
          <w:rFonts w:asciiTheme="minorHAnsi" w:hAnsiTheme="minorHAnsi" w:cstheme="minorHAnsi"/>
          <w:sz w:val="22"/>
          <w:szCs w:val="22"/>
        </w:rPr>
        <w:t xml:space="preserve">, and </w:t>
      </w:r>
      <w:r w:rsidR="001313C4">
        <w:rPr>
          <w:rFonts w:asciiTheme="minorHAnsi" w:hAnsiTheme="minorHAnsi" w:cstheme="minorHAnsi"/>
          <w:sz w:val="22"/>
          <w:szCs w:val="22"/>
        </w:rPr>
        <w:t>a</w:t>
      </w:r>
      <w:r w:rsidR="008714D3" w:rsidRPr="00E832A5">
        <w:rPr>
          <w:rFonts w:asciiTheme="minorHAnsi" w:hAnsiTheme="minorHAnsi" w:cstheme="minorHAnsi"/>
          <w:sz w:val="22"/>
          <w:szCs w:val="22"/>
        </w:rPr>
        <w:t xml:space="preserve"> customer may choose an electric</w:t>
      </w:r>
      <w:r w:rsidR="00254A68">
        <w:rPr>
          <w:rFonts w:asciiTheme="minorHAnsi" w:hAnsiTheme="minorHAnsi" w:cstheme="minorHAnsi"/>
          <w:sz w:val="22"/>
          <w:szCs w:val="22"/>
        </w:rPr>
        <w:t xml:space="preserve"> service </w:t>
      </w:r>
      <w:r w:rsidR="008714D3" w:rsidRPr="00E832A5">
        <w:rPr>
          <w:rFonts w:asciiTheme="minorHAnsi" w:hAnsiTheme="minorHAnsi" w:cstheme="minorHAnsi"/>
          <w:sz w:val="22"/>
          <w:szCs w:val="22"/>
        </w:rPr>
        <w:t xml:space="preserve">provider other than </w:t>
      </w:r>
      <w:r w:rsidR="000D7547" w:rsidRPr="00E832A5">
        <w:rPr>
          <w:rFonts w:asciiTheme="minorHAnsi" w:hAnsiTheme="minorHAnsi" w:cstheme="minorHAnsi"/>
          <w:sz w:val="22"/>
          <w:szCs w:val="22"/>
        </w:rPr>
        <w:t>Georgia Power</w:t>
      </w:r>
      <w:r w:rsidR="008714D3" w:rsidRPr="00E832A5">
        <w:rPr>
          <w:rFonts w:asciiTheme="minorHAnsi" w:hAnsiTheme="minorHAnsi" w:cstheme="minorHAnsi"/>
          <w:sz w:val="22"/>
          <w:szCs w:val="22"/>
        </w:rPr>
        <w:t xml:space="preserve">. </w:t>
      </w:r>
      <w:r w:rsidR="009654C4" w:rsidRPr="00E832A5">
        <w:rPr>
          <w:rFonts w:asciiTheme="minorHAnsi" w:hAnsiTheme="minorHAnsi" w:cstheme="minorHAnsi"/>
          <w:sz w:val="22"/>
          <w:szCs w:val="22"/>
        </w:rPr>
        <w:t>There is even</w:t>
      </w:r>
      <w:r w:rsidR="008714D3" w:rsidRPr="00E832A5">
        <w:rPr>
          <w:rFonts w:asciiTheme="minorHAnsi" w:hAnsiTheme="minorHAnsi" w:cstheme="minorHAnsi"/>
          <w:sz w:val="22"/>
          <w:szCs w:val="22"/>
        </w:rPr>
        <w:t xml:space="preserve"> </w:t>
      </w:r>
      <w:r w:rsidR="00873FB0">
        <w:rPr>
          <w:rFonts w:asciiTheme="minorHAnsi" w:hAnsiTheme="minorHAnsi" w:cstheme="minorHAnsi"/>
          <w:sz w:val="22"/>
          <w:szCs w:val="22"/>
        </w:rPr>
        <w:t xml:space="preserve">some </w:t>
      </w:r>
      <w:r w:rsidR="009654C4" w:rsidRPr="00E832A5">
        <w:rPr>
          <w:rFonts w:asciiTheme="minorHAnsi" w:hAnsiTheme="minorHAnsi" w:cstheme="minorHAnsi"/>
          <w:sz w:val="22"/>
          <w:szCs w:val="22"/>
        </w:rPr>
        <w:t xml:space="preserve">uncertainty </w:t>
      </w:r>
      <w:r w:rsidR="00550D59" w:rsidRPr="00E832A5">
        <w:rPr>
          <w:rFonts w:asciiTheme="minorHAnsi" w:hAnsiTheme="minorHAnsi" w:cstheme="minorHAnsi"/>
          <w:sz w:val="22"/>
          <w:szCs w:val="22"/>
        </w:rPr>
        <w:t>once a</w:t>
      </w:r>
      <w:r w:rsidR="008714D3" w:rsidRPr="00E832A5">
        <w:rPr>
          <w:rFonts w:asciiTheme="minorHAnsi" w:hAnsiTheme="minorHAnsi" w:cstheme="minorHAnsi"/>
          <w:sz w:val="22"/>
          <w:szCs w:val="22"/>
        </w:rPr>
        <w:t xml:space="preserve"> </w:t>
      </w:r>
      <w:r w:rsidR="00D52EBE">
        <w:rPr>
          <w:rFonts w:asciiTheme="minorHAnsi" w:hAnsiTheme="minorHAnsi" w:cstheme="minorHAnsi"/>
          <w:sz w:val="22"/>
          <w:szCs w:val="22"/>
        </w:rPr>
        <w:t xml:space="preserve">customer selects </w:t>
      </w:r>
      <w:r w:rsidR="00243BCD">
        <w:rPr>
          <w:rFonts w:asciiTheme="minorHAnsi" w:hAnsiTheme="minorHAnsi" w:cstheme="minorHAnsi"/>
          <w:sz w:val="22"/>
          <w:szCs w:val="22"/>
        </w:rPr>
        <w:t>Georgia Power as its electric service provider</w:t>
      </w:r>
      <w:r w:rsidR="008714D3" w:rsidRPr="00E832A5">
        <w:rPr>
          <w:rFonts w:asciiTheme="minorHAnsi" w:hAnsiTheme="minorHAnsi" w:cstheme="minorHAnsi"/>
          <w:sz w:val="22"/>
          <w:szCs w:val="22"/>
        </w:rPr>
        <w:t>,</w:t>
      </w:r>
      <w:r w:rsidR="00550D59" w:rsidRPr="00E832A5">
        <w:rPr>
          <w:rFonts w:asciiTheme="minorHAnsi" w:hAnsiTheme="minorHAnsi" w:cstheme="minorHAnsi"/>
          <w:sz w:val="22"/>
          <w:szCs w:val="22"/>
        </w:rPr>
        <w:t xml:space="preserve"> </w:t>
      </w:r>
      <w:r w:rsidR="00243BCD">
        <w:rPr>
          <w:rFonts w:asciiTheme="minorHAnsi" w:hAnsiTheme="minorHAnsi" w:cstheme="minorHAnsi"/>
          <w:sz w:val="22"/>
          <w:szCs w:val="22"/>
        </w:rPr>
        <w:t>as</w:t>
      </w:r>
      <w:r w:rsidR="00243BCD" w:rsidRPr="00E832A5">
        <w:rPr>
          <w:rFonts w:asciiTheme="minorHAnsi" w:hAnsiTheme="minorHAnsi" w:cstheme="minorHAnsi"/>
          <w:sz w:val="22"/>
          <w:szCs w:val="22"/>
        </w:rPr>
        <w:t xml:space="preserve"> </w:t>
      </w:r>
      <w:r w:rsidR="00550D59" w:rsidRPr="00E832A5">
        <w:rPr>
          <w:rFonts w:asciiTheme="minorHAnsi" w:hAnsiTheme="minorHAnsi" w:cstheme="minorHAnsi"/>
          <w:sz w:val="22"/>
          <w:szCs w:val="22"/>
        </w:rPr>
        <w:t xml:space="preserve">the </w:t>
      </w:r>
      <w:r w:rsidR="008714D3" w:rsidRPr="00E832A5">
        <w:rPr>
          <w:rFonts w:asciiTheme="minorHAnsi" w:hAnsiTheme="minorHAnsi" w:cstheme="minorHAnsi"/>
          <w:sz w:val="22"/>
          <w:szCs w:val="22"/>
        </w:rPr>
        <w:t xml:space="preserve">project </w:t>
      </w:r>
      <w:r w:rsidR="00243BCD">
        <w:rPr>
          <w:rFonts w:asciiTheme="minorHAnsi" w:hAnsiTheme="minorHAnsi" w:cstheme="minorHAnsi"/>
          <w:sz w:val="22"/>
          <w:szCs w:val="22"/>
        </w:rPr>
        <w:t xml:space="preserve">could </w:t>
      </w:r>
      <w:r w:rsidR="008714D3" w:rsidRPr="00E832A5">
        <w:rPr>
          <w:rFonts w:asciiTheme="minorHAnsi" w:hAnsiTheme="minorHAnsi" w:cstheme="minorHAnsi"/>
          <w:sz w:val="22"/>
          <w:szCs w:val="22"/>
        </w:rPr>
        <w:t xml:space="preserve">fail </w:t>
      </w:r>
      <w:r w:rsidR="0089546B">
        <w:rPr>
          <w:rFonts w:asciiTheme="minorHAnsi" w:hAnsiTheme="minorHAnsi" w:cstheme="minorHAnsi"/>
          <w:sz w:val="22"/>
          <w:szCs w:val="22"/>
        </w:rPr>
        <w:t xml:space="preserve">to materialize </w:t>
      </w:r>
      <w:r w:rsidR="008714D3" w:rsidRPr="00E832A5">
        <w:rPr>
          <w:rFonts w:asciiTheme="minorHAnsi" w:hAnsiTheme="minorHAnsi" w:cstheme="minorHAnsi"/>
          <w:sz w:val="22"/>
          <w:szCs w:val="22"/>
        </w:rPr>
        <w:t xml:space="preserve">due to </w:t>
      </w:r>
      <w:r w:rsidR="00243BCD">
        <w:rPr>
          <w:rFonts w:asciiTheme="minorHAnsi" w:hAnsiTheme="minorHAnsi" w:cstheme="minorHAnsi"/>
          <w:sz w:val="22"/>
          <w:szCs w:val="22"/>
        </w:rPr>
        <w:t xml:space="preserve">unforeseen </w:t>
      </w:r>
      <w:r w:rsidR="008714D3" w:rsidRPr="00E832A5">
        <w:rPr>
          <w:rFonts w:asciiTheme="minorHAnsi" w:hAnsiTheme="minorHAnsi" w:cstheme="minorHAnsi"/>
          <w:sz w:val="22"/>
          <w:szCs w:val="22"/>
        </w:rPr>
        <w:t xml:space="preserve">circumstances </w:t>
      </w:r>
      <w:r w:rsidR="00BA548E">
        <w:rPr>
          <w:rFonts w:asciiTheme="minorHAnsi" w:hAnsiTheme="minorHAnsi" w:cstheme="minorHAnsi"/>
          <w:sz w:val="22"/>
          <w:szCs w:val="22"/>
        </w:rPr>
        <w:t xml:space="preserve">such </w:t>
      </w:r>
      <w:r w:rsidR="00F76C5A">
        <w:rPr>
          <w:rFonts w:asciiTheme="minorHAnsi" w:hAnsiTheme="minorHAnsi" w:cstheme="minorHAnsi"/>
          <w:sz w:val="22"/>
          <w:szCs w:val="22"/>
        </w:rPr>
        <w:t xml:space="preserve">as </w:t>
      </w:r>
      <w:r w:rsidR="008714D3" w:rsidRPr="00E832A5">
        <w:rPr>
          <w:rFonts w:asciiTheme="minorHAnsi" w:hAnsiTheme="minorHAnsi" w:cstheme="minorHAnsi"/>
          <w:sz w:val="22"/>
          <w:szCs w:val="22"/>
        </w:rPr>
        <w:t>financial</w:t>
      </w:r>
      <w:r w:rsidR="00BA548E">
        <w:rPr>
          <w:rFonts w:asciiTheme="minorHAnsi" w:hAnsiTheme="minorHAnsi" w:cstheme="minorHAnsi"/>
          <w:sz w:val="22"/>
          <w:szCs w:val="22"/>
        </w:rPr>
        <w:t xml:space="preserve"> or </w:t>
      </w:r>
      <w:r w:rsidR="00B70B48">
        <w:rPr>
          <w:rFonts w:asciiTheme="minorHAnsi" w:hAnsiTheme="minorHAnsi" w:cstheme="minorHAnsi"/>
          <w:sz w:val="22"/>
          <w:szCs w:val="22"/>
        </w:rPr>
        <w:t>other</w:t>
      </w:r>
      <w:r w:rsidR="008714D3" w:rsidRPr="00E832A5">
        <w:rPr>
          <w:rFonts w:asciiTheme="minorHAnsi" w:hAnsiTheme="minorHAnsi" w:cstheme="minorHAnsi"/>
          <w:sz w:val="22"/>
          <w:szCs w:val="22"/>
        </w:rPr>
        <w:t xml:space="preserve"> economic</w:t>
      </w:r>
      <w:r w:rsidR="00BA548E">
        <w:rPr>
          <w:rFonts w:asciiTheme="minorHAnsi" w:hAnsiTheme="minorHAnsi" w:cstheme="minorHAnsi"/>
          <w:sz w:val="22"/>
          <w:szCs w:val="22"/>
        </w:rPr>
        <w:t xml:space="preserve"> conditions</w:t>
      </w:r>
      <w:r w:rsidR="008714D3" w:rsidRPr="00E832A5">
        <w:rPr>
          <w:rFonts w:asciiTheme="minorHAnsi" w:hAnsiTheme="minorHAnsi" w:cstheme="minorHAnsi"/>
          <w:sz w:val="22"/>
          <w:szCs w:val="22"/>
        </w:rPr>
        <w:t xml:space="preserve">. </w:t>
      </w:r>
      <w:r w:rsidR="003836AF" w:rsidRPr="00E832A5">
        <w:rPr>
          <w:rFonts w:asciiTheme="minorHAnsi" w:hAnsiTheme="minorHAnsi" w:cstheme="minorHAnsi"/>
          <w:sz w:val="22"/>
          <w:szCs w:val="22"/>
        </w:rPr>
        <w:t>In addition</w:t>
      </w:r>
      <w:r w:rsidR="008714D3" w:rsidRPr="00E832A5">
        <w:rPr>
          <w:rFonts w:asciiTheme="minorHAnsi" w:hAnsiTheme="minorHAnsi" w:cstheme="minorHAnsi"/>
          <w:sz w:val="22"/>
          <w:szCs w:val="22"/>
        </w:rPr>
        <w:t xml:space="preserve">, based on </w:t>
      </w:r>
      <w:r w:rsidR="000D7547" w:rsidRPr="00E832A5">
        <w:rPr>
          <w:rFonts w:asciiTheme="minorHAnsi" w:hAnsiTheme="minorHAnsi" w:cstheme="minorHAnsi"/>
          <w:sz w:val="22"/>
          <w:szCs w:val="22"/>
        </w:rPr>
        <w:t>Georgia Power’s</w:t>
      </w:r>
      <w:r w:rsidR="008714D3" w:rsidRPr="00E832A5">
        <w:rPr>
          <w:rFonts w:asciiTheme="minorHAnsi" w:hAnsiTheme="minorHAnsi" w:cstheme="minorHAnsi"/>
          <w:sz w:val="22"/>
          <w:szCs w:val="22"/>
        </w:rPr>
        <w:t xml:space="preserve"> experience, </w:t>
      </w:r>
      <w:r w:rsidR="007560E1">
        <w:rPr>
          <w:rFonts w:asciiTheme="minorHAnsi" w:hAnsiTheme="minorHAnsi" w:cstheme="minorHAnsi"/>
          <w:sz w:val="22"/>
          <w:szCs w:val="22"/>
        </w:rPr>
        <w:t>the</w:t>
      </w:r>
      <w:r w:rsidR="008714D3" w:rsidRPr="00E832A5">
        <w:rPr>
          <w:rFonts w:asciiTheme="minorHAnsi" w:hAnsiTheme="minorHAnsi" w:cstheme="minorHAnsi"/>
          <w:sz w:val="22"/>
          <w:szCs w:val="22"/>
        </w:rPr>
        <w:t xml:space="preserve"> load </w:t>
      </w:r>
      <w:r w:rsidR="00881790">
        <w:rPr>
          <w:rFonts w:asciiTheme="minorHAnsi" w:hAnsiTheme="minorHAnsi" w:cstheme="minorHAnsi"/>
          <w:sz w:val="22"/>
          <w:szCs w:val="22"/>
        </w:rPr>
        <w:t xml:space="preserve">announced by a customer </w:t>
      </w:r>
      <w:r w:rsidR="008714D3" w:rsidRPr="00E832A5">
        <w:rPr>
          <w:rFonts w:asciiTheme="minorHAnsi" w:hAnsiTheme="minorHAnsi" w:cstheme="minorHAnsi"/>
          <w:sz w:val="22"/>
          <w:szCs w:val="22"/>
        </w:rPr>
        <w:t xml:space="preserve">is </w:t>
      </w:r>
      <w:r w:rsidR="00986DBA" w:rsidRPr="00E832A5">
        <w:rPr>
          <w:rFonts w:asciiTheme="minorHAnsi" w:hAnsiTheme="minorHAnsi" w:cstheme="minorHAnsi"/>
          <w:sz w:val="22"/>
          <w:szCs w:val="22"/>
        </w:rPr>
        <w:t xml:space="preserve">only </w:t>
      </w:r>
      <w:r w:rsidR="008714D3" w:rsidRPr="00E832A5">
        <w:rPr>
          <w:rFonts w:asciiTheme="minorHAnsi" w:hAnsiTheme="minorHAnsi" w:cstheme="minorHAnsi"/>
          <w:sz w:val="22"/>
          <w:szCs w:val="22"/>
        </w:rPr>
        <w:t xml:space="preserve">an estimate </w:t>
      </w:r>
      <w:r w:rsidR="00BF3CEA">
        <w:rPr>
          <w:rFonts w:asciiTheme="minorHAnsi" w:hAnsiTheme="minorHAnsi" w:cstheme="minorHAnsi"/>
          <w:sz w:val="22"/>
          <w:szCs w:val="22"/>
        </w:rPr>
        <w:t xml:space="preserve">of its </w:t>
      </w:r>
      <w:r w:rsidR="00641239">
        <w:rPr>
          <w:rFonts w:asciiTheme="minorHAnsi" w:hAnsiTheme="minorHAnsi" w:cstheme="minorHAnsi"/>
          <w:sz w:val="22"/>
          <w:szCs w:val="22"/>
        </w:rPr>
        <w:t xml:space="preserve">metered </w:t>
      </w:r>
      <w:r w:rsidR="005C2E5E">
        <w:rPr>
          <w:rFonts w:asciiTheme="minorHAnsi" w:hAnsiTheme="minorHAnsi" w:cstheme="minorHAnsi"/>
          <w:sz w:val="22"/>
          <w:szCs w:val="22"/>
        </w:rPr>
        <w:t>load</w:t>
      </w:r>
      <w:r w:rsidR="00106C7B">
        <w:rPr>
          <w:rFonts w:asciiTheme="minorHAnsi" w:hAnsiTheme="minorHAnsi" w:cstheme="minorHAnsi"/>
          <w:sz w:val="22"/>
          <w:szCs w:val="22"/>
        </w:rPr>
        <w:t xml:space="preserve">, which </w:t>
      </w:r>
      <w:r w:rsidR="00E9399B">
        <w:rPr>
          <w:rFonts w:asciiTheme="minorHAnsi" w:hAnsiTheme="minorHAnsi" w:cstheme="minorHAnsi"/>
          <w:sz w:val="22"/>
          <w:szCs w:val="22"/>
        </w:rPr>
        <w:t>can</w:t>
      </w:r>
      <w:r w:rsidR="008714D3" w:rsidRPr="00E832A5">
        <w:rPr>
          <w:rFonts w:asciiTheme="minorHAnsi" w:hAnsiTheme="minorHAnsi" w:cstheme="minorHAnsi"/>
          <w:sz w:val="22"/>
          <w:szCs w:val="22"/>
        </w:rPr>
        <w:t xml:space="preserve"> materialize at a lower level than </w:t>
      </w:r>
      <w:r w:rsidR="0078187C">
        <w:rPr>
          <w:rFonts w:asciiTheme="minorHAnsi" w:hAnsiTheme="minorHAnsi" w:cstheme="minorHAnsi"/>
          <w:sz w:val="22"/>
          <w:szCs w:val="22"/>
        </w:rPr>
        <w:t xml:space="preserve">that at the time of </w:t>
      </w:r>
      <w:r w:rsidR="008714D3" w:rsidRPr="00E832A5">
        <w:rPr>
          <w:rFonts w:asciiTheme="minorHAnsi" w:hAnsiTheme="minorHAnsi" w:cstheme="minorHAnsi"/>
          <w:sz w:val="22"/>
          <w:szCs w:val="22"/>
        </w:rPr>
        <w:t xml:space="preserve">the </w:t>
      </w:r>
      <w:r w:rsidR="006D6E93">
        <w:rPr>
          <w:rFonts w:asciiTheme="minorHAnsi" w:hAnsiTheme="minorHAnsi" w:cstheme="minorHAnsi"/>
          <w:sz w:val="22"/>
          <w:szCs w:val="22"/>
        </w:rPr>
        <w:t>customer’s</w:t>
      </w:r>
      <w:r w:rsidR="008714D3" w:rsidRPr="00E832A5">
        <w:rPr>
          <w:rFonts w:asciiTheme="minorHAnsi" w:hAnsiTheme="minorHAnsi" w:cstheme="minorHAnsi"/>
          <w:sz w:val="22"/>
          <w:szCs w:val="22"/>
        </w:rPr>
        <w:t xml:space="preserve"> </w:t>
      </w:r>
      <w:r w:rsidR="000E5425" w:rsidRPr="00E832A5">
        <w:rPr>
          <w:rFonts w:asciiTheme="minorHAnsi" w:hAnsiTheme="minorHAnsi" w:cstheme="minorHAnsi"/>
          <w:sz w:val="22"/>
          <w:szCs w:val="22"/>
        </w:rPr>
        <w:t xml:space="preserve">initial </w:t>
      </w:r>
      <w:r w:rsidR="008714D3" w:rsidRPr="00E832A5">
        <w:rPr>
          <w:rFonts w:asciiTheme="minorHAnsi" w:hAnsiTheme="minorHAnsi" w:cstheme="minorHAnsi"/>
          <w:sz w:val="22"/>
          <w:szCs w:val="22"/>
        </w:rPr>
        <w:t xml:space="preserve">announcement. </w:t>
      </w:r>
      <w:r w:rsidR="00B725F1">
        <w:rPr>
          <w:rFonts w:asciiTheme="minorHAnsi" w:hAnsiTheme="minorHAnsi" w:cstheme="minorHAnsi"/>
          <w:sz w:val="22"/>
          <w:szCs w:val="22"/>
        </w:rPr>
        <w:t xml:space="preserve">Finally, the commercial operation date of a </w:t>
      </w:r>
      <w:r w:rsidR="00903DD9">
        <w:rPr>
          <w:rFonts w:asciiTheme="minorHAnsi" w:hAnsiTheme="minorHAnsi" w:cstheme="minorHAnsi"/>
          <w:sz w:val="22"/>
          <w:szCs w:val="22"/>
        </w:rPr>
        <w:t>project</w:t>
      </w:r>
      <w:r w:rsidR="008714D3" w:rsidRPr="00E832A5">
        <w:rPr>
          <w:rFonts w:asciiTheme="minorHAnsi" w:hAnsiTheme="minorHAnsi" w:cstheme="minorHAnsi"/>
          <w:sz w:val="22"/>
          <w:szCs w:val="22"/>
        </w:rPr>
        <w:t xml:space="preserve"> can be delayed, </w:t>
      </w:r>
      <w:r w:rsidR="00903DD9">
        <w:rPr>
          <w:rFonts w:asciiTheme="minorHAnsi" w:hAnsiTheme="minorHAnsi" w:cstheme="minorHAnsi"/>
          <w:sz w:val="22"/>
          <w:szCs w:val="22"/>
        </w:rPr>
        <w:t xml:space="preserve">thus </w:t>
      </w:r>
      <w:r w:rsidR="008714D3" w:rsidRPr="00E832A5">
        <w:rPr>
          <w:rFonts w:asciiTheme="minorHAnsi" w:hAnsiTheme="minorHAnsi" w:cstheme="minorHAnsi"/>
          <w:sz w:val="22"/>
          <w:szCs w:val="22"/>
        </w:rPr>
        <w:t>causing load to materialize later than initially expected.</w:t>
      </w:r>
      <w:r w:rsidR="000D7547" w:rsidRPr="00E832A5">
        <w:rPr>
          <w:rFonts w:asciiTheme="minorHAnsi" w:hAnsiTheme="minorHAnsi" w:cstheme="minorHAnsi"/>
          <w:sz w:val="22"/>
          <w:szCs w:val="22"/>
        </w:rPr>
        <w:t xml:space="preserve"> Figure </w:t>
      </w:r>
      <w:r w:rsidR="00A8321B" w:rsidRPr="00E832A5">
        <w:rPr>
          <w:rFonts w:asciiTheme="minorHAnsi" w:hAnsiTheme="minorHAnsi" w:cstheme="minorHAnsi"/>
          <w:sz w:val="22"/>
          <w:szCs w:val="22"/>
        </w:rPr>
        <w:t>1.5.1.2-1</w:t>
      </w:r>
      <w:r w:rsidR="000D7547" w:rsidRPr="00E832A5">
        <w:rPr>
          <w:rFonts w:asciiTheme="minorHAnsi" w:hAnsiTheme="minorHAnsi" w:cstheme="minorHAnsi"/>
          <w:sz w:val="22"/>
          <w:szCs w:val="22"/>
        </w:rPr>
        <w:t xml:space="preserve"> below illustrates th</w:t>
      </w:r>
      <w:r w:rsidR="00406FC3">
        <w:rPr>
          <w:rFonts w:asciiTheme="minorHAnsi" w:hAnsiTheme="minorHAnsi" w:cstheme="minorHAnsi"/>
          <w:sz w:val="22"/>
          <w:szCs w:val="22"/>
        </w:rPr>
        <w:t xml:space="preserve">e Company’s </w:t>
      </w:r>
      <w:r w:rsidR="000D7547" w:rsidRPr="00E832A5">
        <w:rPr>
          <w:rFonts w:asciiTheme="minorHAnsi" w:hAnsiTheme="minorHAnsi" w:cstheme="minorHAnsi"/>
          <w:sz w:val="22"/>
          <w:szCs w:val="22"/>
        </w:rPr>
        <w:t xml:space="preserve">process and sequencing </w:t>
      </w:r>
      <w:r w:rsidR="00F53C76">
        <w:rPr>
          <w:rFonts w:asciiTheme="minorHAnsi" w:hAnsiTheme="minorHAnsi" w:cstheme="minorHAnsi"/>
          <w:sz w:val="22"/>
          <w:szCs w:val="22"/>
        </w:rPr>
        <w:t xml:space="preserve">for the evaluation </w:t>
      </w:r>
      <w:r w:rsidR="000D7547" w:rsidRPr="00E832A5">
        <w:rPr>
          <w:rFonts w:asciiTheme="minorHAnsi" w:hAnsiTheme="minorHAnsi" w:cstheme="minorHAnsi"/>
          <w:sz w:val="22"/>
          <w:szCs w:val="22"/>
        </w:rPr>
        <w:t>of uncertainties</w:t>
      </w:r>
      <w:r w:rsidR="007546CF">
        <w:rPr>
          <w:rFonts w:asciiTheme="minorHAnsi" w:hAnsiTheme="minorHAnsi" w:cstheme="minorHAnsi"/>
          <w:sz w:val="22"/>
          <w:szCs w:val="22"/>
        </w:rPr>
        <w:t xml:space="preserve"> related to large load projects</w:t>
      </w:r>
      <w:r w:rsidR="000D7547" w:rsidRPr="00E832A5">
        <w:rPr>
          <w:rFonts w:asciiTheme="minorHAnsi" w:hAnsiTheme="minorHAnsi" w:cstheme="minorHAnsi"/>
          <w:sz w:val="22"/>
          <w:szCs w:val="22"/>
        </w:rPr>
        <w:t>.</w:t>
      </w:r>
    </w:p>
    <w:p w14:paraId="46FBFB74" w14:textId="1F038398" w:rsidR="000D7547" w:rsidRPr="00E832A5" w:rsidRDefault="000D7547" w:rsidP="00CE6BE1">
      <w:pPr>
        <w:spacing w:line="276" w:lineRule="auto"/>
        <w:jc w:val="both"/>
        <w:rPr>
          <w:rFonts w:asciiTheme="minorHAnsi" w:hAnsiTheme="minorHAnsi" w:cstheme="minorHAnsi"/>
          <w:sz w:val="22"/>
          <w:szCs w:val="22"/>
        </w:rPr>
      </w:pPr>
    </w:p>
    <w:p w14:paraId="64DC11C4" w14:textId="4EF0F24F" w:rsidR="000D7547" w:rsidRPr="00E832A5" w:rsidRDefault="000D7547" w:rsidP="00CE6BE1">
      <w:pPr>
        <w:keepNext/>
        <w:spacing w:after="240" w:line="276" w:lineRule="auto"/>
        <w:jc w:val="center"/>
        <w:rPr>
          <w:rFonts w:asciiTheme="minorHAnsi" w:hAnsiTheme="minorHAnsi" w:cstheme="minorHAnsi"/>
          <w:b/>
          <w:sz w:val="22"/>
          <w:szCs w:val="22"/>
        </w:rPr>
      </w:pPr>
      <w:r w:rsidRPr="00E832A5">
        <w:rPr>
          <w:rFonts w:asciiTheme="minorHAnsi" w:hAnsiTheme="minorHAnsi" w:cstheme="minorHAnsi"/>
          <w:b/>
          <w:sz w:val="22"/>
          <w:szCs w:val="22"/>
        </w:rPr>
        <w:lastRenderedPageBreak/>
        <w:t xml:space="preserve">Figure </w:t>
      </w:r>
      <w:r w:rsidR="00E30D72" w:rsidRPr="00E832A5">
        <w:rPr>
          <w:rFonts w:asciiTheme="minorHAnsi" w:hAnsiTheme="minorHAnsi" w:cstheme="minorHAnsi"/>
          <w:b/>
          <w:bCs/>
          <w:sz w:val="22"/>
          <w:szCs w:val="22"/>
        </w:rPr>
        <w:t>1</w:t>
      </w:r>
      <w:r w:rsidRPr="00E832A5">
        <w:rPr>
          <w:rFonts w:asciiTheme="minorHAnsi" w:hAnsiTheme="minorHAnsi" w:cstheme="minorHAnsi"/>
          <w:b/>
          <w:bCs/>
          <w:sz w:val="22"/>
          <w:szCs w:val="22"/>
        </w:rPr>
        <w:t>.</w:t>
      </w:r>
      <w:r w:rsidR="00D723D6" w:rsidRPr="00E832A5">
        <w:rPr>
          <w:rFonts w:asciiTheme="minorHAnsi" w:hAnsiTheme="minorHAnsi" w:cstheme="minorHAnsi"/>
          <w:b/>
          <w:bCs/>
          <w:sz w:val="22"/>
          <w:szCs w:val="22"/>
        </w:rPr>
        <w:t>5</w:t>
      </w:r>
      <w:r w:rsidR="00D723D6" w:rsidRPr="00E832A5">
        <w:rPr>
          <w:rFonts w:asciiTheme="minorHAnsi" w:hAnsiTheme="minorHAnsi" w:cstheme="minorHAnsi"/>
          <w:b/>
          <w:sz w:val="22"/>
          <w:szCs w:val="22"/>
        </w:rPr>
        <w:t>.</w:t>
      </w:r>
      <w:r w:rsidR="00593588" w:rsidRPr="00E832A5">
        <w:rPr>
          <w:rFonts w:asciiTheme="minorHAnsi" w:hAnsiTheme="minorHAnsi" w:cstheme="minorHAnsi"/>
          <w:b/>
          <w:sz w:val="22"/>
          <w:szCs w:val="22"/>
        </w:rPr>
        <w:t>1</w:t>
      </w:r>
      <w:r w:rsidRPr="00E832A5">
        <w:rPr>
          <w:rFonts w:asciiTheme="minorHAnsi" w:hAnsiTheme="minorHAnsi" w:cstheme="minorHAnsi"/>
          <w:b/>
          <w:sz w:val="22"/>
          <w:szCs w:val="22"/>
        </w:rPr>
        <w:t xml:space="preserve">.2-1: </w:t>
      </w:r>
      <w:r w:rsidR="00345D03" w:rsidRPr="00E832A5">
        <w:rPr>
          <w:rFonts w:asciiTheme="minorHAnsi" w:hAnsiTheme="minorHAnsi" w:cstheme="minorHAnsi"/>
          <w:b/>
          <w:sz w:val="22"/>
          <w:szCs w:val="22"/>
        </w:rPr>
        <w:t xml:space="preserve">Sequencing </w:t>
      </w:r>
      <w:r w:rsidRPr="00E832A5">
        <w:rPr>
          <w:rFonts w:asciiTheme="minorHAnsi" w:hAnsiTheme="minorHAnsi" w:cstheme="minorHAnsi"/>
          <w:b/>
          <w:sz w:val="22"/>
          <w:szCs w:val="22"/>
        </w:rPr>
        <w:t xml:space="preserve">of Large Load </w:t>
      </w:r>
      <w:r w:rsidR="00437186" w:rsidRPr="00E832A5">
        <w:rPr>
          <w:rFonts w:asciiTheme="minorHAnsi" w:hAnsiTheme="minorHAnsi" w:cstheme="minorHAnsi"/>
          <w:b/>
          <w:sz w:val="22"/>
          <w:szCs w:val="22"/>
        </w:rPr>
        <w:t xml:space="preserve">and Sources of </w:t>
      </w:r>
      <w:r w:rsidRPr="00E832A5">
        <w:rPr>
          <w:rFonts w:asciiTheme="minorHAnsi" w:hAnsiTheme="minorHAnsi" w:cstheme="minorHAnsi"/>
          <w:b/>
          <w:sz w:val="22"/>
          <w:szCs w:val="22"/>
        </w:rPr>
        <w:t>Uncertainty</w:t>
      </w:r>
    </w:p>
    <w:p w14:paraId="79900271" w14:textId="7BA60F5A" w:rsidR="000D7547" w:rsidRPr="00E832A5" w:rsidRDefault="000D7547" w:rsidP="00CE6BE1">
      <w:pPr>
        <w:keepNext/>
        <w:spacing w:line="276" w:lineRule="auto"/>
        <w:jc w:val="center"/>
        <w:rPr>
          <w:rFonts w:asciiTheme="minorHAnsi" w:hAnsiTheme="minorHAnsi" w:cstheme="minorHAnsi"/>
          <w:sz w:val="22"/>
          <w:szCs w:val="22"/>
        </w:rPr>
      </w:pPr>
    </w:p>
    <w:p w14:paraId="54370F47" w14:textId="2F7B64D0" w:rsidR="008714D3" w:rsidRPr="00B20D17" w:rsidRDefault="00AB5E12" w:rsidP="00CE6BE1">
      <w:pPr>
        <w:spacing w:line="276" w:lineRule="auto"/>
        <w:jc w:val="both"/>
        <w:rPr>
          <w:rFonts w:asciiTheme="minorHAnsi" w:hAnsiTheme="minorHAnsi" w:cstheme="minorHAnsi"/>
        </w:rPr>
      </w:pPr>
      <w:r>
        <w:rPr>
          <w:rFonts w:asciiTheme="minorHAnsi" w:hAnsiTheme="minorHAnsi" w:cstheme="minorHAnsi"/>
          <w:noProof/>
        </w:rPr>
        <w:drawing>
          <wp:inline distT="0" distB="0" distL="0" distR="0" wp14:anchorId="22856948" wp14:editId="4C62AED9">
            <wp:extent cx="5943600" cy="2643505"/>
            <wp:effectExtent l="0" t="0" r="0" b="4445"/>
            <wp:docPr id="498336761" name="Picture 498336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336761" name="Picture 498336761"/>
                    <pic:cNvPicPr/>
                  </pic:nvPicPr>
                  <pic:blipFill>
                    <a:blip r:embed="rId20">
                      <a:extLst>
                        <a:ext uri="{28A0092B-C50C-407E-A947-70E740481C1C}">
                          <a14:useLocalDpi xmlns:a14="http://schemas.microsoft.com/office/drawing/2010/main" val="0"/>
                        </a:ext>
                      </a:extLst>
                    </a:blip>
                    <a:stretch>
                      <a:fillRect/>
                    </a:stretch>
                  </pic:blipFill>
                  <pic:spPr>
                    <a:xfrm>
                      <a:off x="0" y="0"/>
                      <a:ext cx="5943600" cy="2643505"/>
                    </a:xfrm>
                    <a:prstGeom prst="rect">
                      <a:avLst/>
                    </a:prstGeom>
                  </pic:spPr>
                </pic:pic>
              </a:graphicData>
            </a:graphic>
          </wp:inline>
        </w:drawing>
      </w:r>
    </w:p>
    <w:p w14:paraId="467BB1C2" w14:textId="73D95377" w:rsidR="00465D31" w:rsidRPr="00E832A5" w:rsidRDefault="00FE5F6A" w:rsidP="00BD1F59">
      <w:pPr>
        <w:pStyle w:val="Heading3"/>
        <w:spacing w:before="240" w:after="240" w:line="276" w:lineRule="auto"/>
        <w:rPr>
          <w:rFonts w:asciiTheme="minorHAnsi" w:hAnsiTheme="minorHAnsi" w:cstheme="minorHAnsi"/>
          <w:b/>
        </w:rPr>
      </w:pPr>
      <w:r w:rsidRPr="00E832A5">
        <w:rPr>
          <w:rFonts w:asciiTheme="minorHAnsi" w:hAnsiTheme="minorHAnsi" w:cstheme="minorHAnsi"/>
        </w:rPr>
        <w:t>1.5</w:t>
      </w:r>
      <w:r w:rsidR="0090713D" w:rsidRPr="00E832A5">
        <w:rPr>
          <w:rFonts w:asciiTheme="minorHAnsi" w:hAnsiTheme="minorHAnsi" w:cstheme="minorHAnsi"/>
          <w:b/>
        </w:rPr>
        <w:t>.</w:t>
      </w:r>
      <w:r w:rsidR="0090713D" w:rsidRPr="00E832A5">
        <w:rPr>
          <w:rFonts w:asciiTheme="minorHAnsi" w:hAnsiTheme="minorHAnsi" w:cstheme="minorHAnsi"/>
        </w:rPr>
        <w:t>1.3</w:t>
      </w:r>
      <w:r w:rsidR="00465D31" w:rsidRPr="00E832A5">
        <w:rPr>
          <w:rFonts w:asciiTheme="minorHAnsi" w:hAnsiTheme="minorHAnsi" w:cstheme="minorHAnsi"/>
        </w:rPr>
        <w:tab/>
        <w:t>Project Success</w:t>
      </w:r>
    </w:p>
    <w:p w14:paraId="5858E79D" w14:textId="454A3292" w:rsidR="008714D3" w:rsidRPr="00E832A5" w:rsidRDefault="002C658A" w:rsidP="00CE6BE1">
      <w:pPr>
        <w:spacing w:line="276" w:lineRule="auto"/>
        <w:jc w:val="both"/>
        <w:rPr>
          <w:rFonts w:asciiTheme="minorHAnsi" w:hAnsiTheme="minorHAnsi" w:cstheme="minorHAnsi"/>
          <w:sz w:val="22"/>
          <w:szCs w:val="22"/>
        </w:rPr>
      </w:pPr>
      <w:r>
        <w:rPr>
          <w:rFonts w:asciiTheme="minorHAnsi" w:hAnsiTheme="minorHAnsi" w:cstheme="minorHAnsi"/>
          <w:sz w:val="22"/>
          <w:szCs w:val="22"/>
        </w:rPr>
        <w:t>The Company uses a</w:t>
      </w:r>
      <w:r w:rsidR="008714D3" w:rsidRPr="00E832A5">
        <w:rPr>
          <w:rFonts w:asciiTheme="minorHAnsi" w:hAnsiTheme="minorHAnsi" w:cstheme="minorHAnsi"/>
          <w:sz w:val="22"/>
          <w:szCs w:val="22"/>
        </w:rPr>
        <w:t xml:space="preserve"> probabilistic approach to account for the uncertaint</w:t>
      </w:r>
      <w:r w:rsidR="00186E18">
        <w:rPr>
          <w:rFonts w:asciiTheme="minorHAnsi" w:hAnsiTheme="minorHAnsi" w:cstheme="minorHAnsi"/>
          <w:sz w:val="22"/>
          <w:szCs w:val="22"/>
        </w:rPr>
        <w:t>ies</w:t>
      </w:r>
      <w:r w:rsidR="008714D3" w:rsidRPr="00E832A5">
        <w:rPr>
          <w:rFonts w:asciiTheme="minorHAnsi" w:hAnsiTheme="minorHAnsi" w:cstheme="minorHAnsi"/>
          <w:sz w:val="22"/>
          <w:szCs w:val="22"/>
        </w:rPr>
        <w:t xml:space="preserve"> </w:t>
      </w:r>
      <w:r w:rsidR="00E2171B" w:rsidRPr="00E832A5">
        <w:rPr>
          <w:rFonts w:asciiTheme="minorHAnsi" w:hAnsiTheme="minorHAnsi" w:cstheme="minorHAnsi"/>
          <w:sz w:val="22"/>
          <w:szCs w:val="22"/>
        </w:rPr>
        <w:t xml:space="preserve">described in the previous section </w:t>
      </w:r>
      <w:r w:rsidR="008714D3" w:rsidRPr="00E832A5">
        <w:rPr>
          <w:rFonts w:asciiTheme="minorHAnsi" w:hAnsiTheme="minorHAnsi" w:cstheme="minorHAnsi"/>
          <w:sz w:val="22"/>
          <w:szCs w:val="22"/>
        </w:rPr>
        <w:t xml:space="preserve">to determine the </w:t>
      </w:r>
      <w:r w:rsidR="00FB5BFE">
        <w:rPr>
          <w:rFonts w:asciiTheme="minorHAnsi" w:hAnsiTheme="minorHAnsi" w:cstheme="minorHAnsi"/>
          <w:sz w:val="22"/>
          <w:szCs w:val="22"/>
        </w:rPr>
        <w:t xml:space="preserve">likelihood of </w:t>
      </w:r>
      <w:r w:rsidR="008714D3" w:rsidRPr="00E832A5">
        <w:rPr>
          <w:rFonts w:asciiTheme="minorHAnsi" w:hAnsiTheme="minorHAnsi" w:cstheme="minorHAnsi"/>
          <w:sz w:val="22"/>
          <w:szCs w:val="22"/>
        </w:rPr>
        <w:t xml:space="preserve">success or failure of an individual project. The success of a project </w:t>
      </w:r>
      <w:r w:rsidR="008A4990">
        <w:rPr>
          <w:rFonts w:asciiTheme="minorHAnsi" w:hAnsiTheme="minorHAnsi" w:cstheme="minorHAnsi"/>
          <w:sz w:val="22"/>
          <w:szCs w:val="22"/>
        </w:rPr>
        <w:t xml:space="preserve">requires each of the following </w:t>
      </w:r>
      <w:r w:rsidR="00BA6B09" w:rsidRPr="00E832A5">
        <w:rPr>
          <w:rFonts w:asciiTheme="minorHAnsi" w:hAnsiTheme="minorHAnsi" w:cstheme="minorHAnsi"/>
          <w:sz w:val="22"/>
          <w:szCs w:val="22"/>
        </w:rPr>
        <w:t>three</w:t>
      </w:r>
      <w:r w:rsidR="008714D3" w:rsidRPr="00E832A5">
        <w:rPr>
          <w:rFonts w:asciiTheme="minorHAnsi" w:hAnsiTheme="minorHAnsi" w:cstheme="minorHAnsi"/>
          <w:sz w:val="22"/>
          <w:szCs w:val="22"/>
        </w:rPr>
        <w:t xml:space="preserve"> events:</w:t>
      </w:r>
    </w:p>
    <w:p w14:paraId="00015AE5" w14:textId="77777777" w:rsidR="008714D3" w:rsidRPr="00E832A5" w:rsidRDefault="008714D3" w:rsidP="00CE6BE1">
      <w:pPr>
        <w:spacing w:line="276" w:lineRule="auto"/>
        <w:jc w:val="both"/>
        <w:rPr>
          <w:rFonts w:asciiTheme="minorHAnsi" w:hAnsiTheme="minorHAnsi" w:cstheme="minorHAnsi"/>
          <w:sz w:val="22"/>
          <w:szCs w:val="22"/>
        </w:rPr>
      </w:pPr>
    </w:p>
    <w:p w14:paraId="639F1488" w14:textId="62AF1F1A" w:rsidR="008714D3" w:rsidRPr="00E832A5" w:rsidRDefault="008714D3" w:rsidP="00CE6BE1">
      <w:pPr>
        <w:pStyle w:val="ListParagraph"/>
        <w:numPr>
          <w:ilvl w:val="0"/>
          <w:numId w:val="15"/>
        </w:numPr>
        <w:spacing w:after="160" w:line="276" w:lineRule="auto"/>
        <w:jc w:val="both"/>
        <w:rPr>
          <w:rFonts w:asciiTheme="minorHAnsi" w:hAnsiTheme="minorHAnsi" w:cstheme="minorHAnsi"/>
          <w:sz w:val="22"/>
          <w:szCs w:val="22"/>
        </w:rPr>
      </w:pPr>
      <w:r w:rsidRPr="00E832A5">
        <w:rPr>
          <w:rFonts w:asciiTheme="minorHAnsi" w:hAnsiTheme="minorHAnsi" w:cstheme="minorHAnsi"/>
          <w:sz w:val="22"/>
          <w:szCs w:val="22"/>
        </w:rPr>
        <w:t xml:space="preserve">Georgia is chosen as the location of the project. </w:t>
      </w:r>
    </w:p>
    <w:p w14:paraId="68E39ABE" w14:textId="4CA16A84" w:rsidR="008714D3" w:rsidRPr="00E832A5" w:rsidRDefault="00BA6B09" w:rsidP="00CE6BE1">
      <w:pPr>
        <w:pStyle w:val="ListParagraph"/>
        <w:numPr>
          <w:ilvl w:val="0"/>
          <w:numId w:val="15"/>
        </w:numPr>
        <w:spacing w:after="160" w:line="276" w:lineRule="auto"/>
        <w:jc w:val="both"/>
        <w:rPr>
          <w:rFonts w:asciiTheme="minorHAnsi" w:hAnsiTheme="minorHAnsi" w:cstheme="minorHAnsi"/>
          <w:sz w:val="22"/>
          <w:szCs w:val="22"/>
        </w:rPr>
      </w:pPr>
      <w:r w:rsidRPr="00E832A5">
        <w:rPr>
          <w:rFonts w:asciiTheme="minorHAnsi" w:hAnsiTheme="minorHAnsi" w:cstheme="minorHAnsi"/>
          <w:sz w:val="22"/>
          <w:szCs w:val="22"/>
        </w:rPr>
        <w:t>Georgia Power</w:t>
      </w:r>
      <w:r w:rsidR="008714D3" w:rsidRPr="00E832A5">
        <w:rPr>
          <w:rFonts w:asciiTheme="minorHAnsi" w:hAnsiTheme="minorHAnsi" w:cstheme="minorHAnsi"/>
          <w:sz w:val="22"/>
          <w:szCs w:val="22"/>
        </w:rPr>
        <w:t xml:space="preserve"> is chosen as the electric</w:t>
      </w:r>
      <w:r w:rsidRPr="00E832A5">
        <w:rPr>
          <w:rFonts w:asciiTheme="minorHAnsi" w:hAnsiTheme="minorHAnsi" w:cstheme="minorHAnsi"/>
          <w:sz w:val="22"/>
          <w:szCs w:val="22"/>
        </w:rPr>
        <w:t xml:space="preserve"> service</w:t>
      </w:r>
      <w:r w:rsidR="008714D3" w:rsidRPr="00E832A5">
        <w:rPr>
          <w:rFonts w:asciiTheme="minorHAnsi" w:hAnsiTheme="minorHAnsi" w:cstheme="minorHAnsi"/>
          <w:sz w:val="22"/>
          <w:szCs w:val="22"/>
        </w:rPr>
        <w:t xml:space="preserve"> provider f</w:t>
      </w:r>
      <w:r w:rsidR="00EA1771" w:rsidRPr="00E832A5">
        <w:rPr>
          <w:rFonts w:asciiTheme="minorHAnsi" w:hAnsiTheme="minorHAnsi" w:cstheme="minorHAnsi"/>
          <w:sz w:val="22"/>
          <w:szCs w:val="22"/>
        </w:rPr>
        <w:t>or</w:t>
      </w:r>
      <w:r w:rsidR="008714D3" w:rsidRPr="00E832A5">
        <w:rPr>
          <w:rFonts w:asciiTheme="minorHAnsi" w:hAnsiTheme="minorHAnsi" w:cstheme="minorHAnsi"/>
          <w:sz w:val="22"/>
          <w:szCs w:val="22"/>
        </w:rPr>
        <w:t xml:space="preserve"> the project. </w:t>
      </w:r>
    </w:p>
    <w:p w14:paraId="7EB45618" w14:textId="04E557C5" w:rsidR="008714D3" w:rsidRPr="00E832A5" w:rsidRDefault="008714D3" w:rsidP="00CE6BE1">
      <w:pPr>
        <w:pStyle w:val="ListParagraph"/>
        <w:numPr>
          <w:ilvl w:val="0"/>
          <w:numId w:val="15"/>
        </w:numPr>
        <w:spacing w:after="160" w:line="276" w:lineRule="auto"/>
        <w:jc w:val="both"/>
        <w:rPr>
          <w:rFonts w:asciiTheme="minorHAnsi" w:hAnsiTheme="minorHAnsi" w:cstheme="minorHAnsi"/>
          <w:sz w:val="22"/>
          <w:szCs w:val="22"/>
        </w:rPr>
      </w:pPr>
      <w:r w:rsidRPr="00E832A5">
        <w:rPr>
          <w:rFonts w:asciiTheme="minorHAnsi" w:hAnsiTheme="minorHAnsi" w:cstheme="minorHAnsi"/>
          <w:sz w:val="22"/>
          <w:szCs w:val="22"/>
        </w:rPr>
        <w:t xml:space="preserve">The project </w:t>
      </w:r>
      <w:r w:rsidR="00BA6B09" w:rsidRPr="00E832A5">
        <w:rPr>
          <w:rFonts w:asciiTheme="minorHAnsi" w:hAnsiTheme="minorHAnsi" w:cstheme="minorHAnsi"/>
          <w:sz w:val="22"/>
          <w:szCs w:val="22"/>
        </w:rPr>
        <w:t>reaches</w:t>
      </w:r>
      <w:r w:rsidRPr="00E832A5">
        <w:rPr>
          <w:rFonts w:asciiTheme="minorHAnsi" w:hAnsiTheme="minorHAnsi" w:cstheme="minorHAnsi"/>
          <w:sz w:val="22"/>
          <w:szCs w:val="22"/>
        </w:rPr>
        <w:t xml:space="preserve"> </w:t>
      </w:r>
      <w:r w:rsidR="00ED04E7">
        <w:rPr>
          <w:rFonts w:asciiTheme="minorHAnsi" w:hAnsiTheme="minorHAnsi" w:cstheme="minorHAnsi"/>
          <w:sz w:val="22"/>
          <w:szCs w:val="22"/>
        </w:rPr>
        <w:t>commercial operation</w:t>
      </w:r>
      <w:r w:rsidRPr="00E832A5">
        <w:rPr>
          <w:rFonts w:asciiTheme="minorHAnsi" w:hAnsiTheme="minorHAnsi" w:cstheme="minorHAnsi"/>
          <w:sz w:val="22"/>
          <w:szCs w:val="22"/>
        </w:rPr>
        <w:t xml:space="preserve"> after a contract has been signed with </w:t>
      </w:r>
      <w:r w:rsidR="00BA6B09" w:rsidRPr="00E832A5">
        <w:rPr>
          <w:rFonts w:asciiTheme="minorHAnsi" w:hAnsiTheme="minorHAnsi" w:cstheme="minorHAnsi"/>
          <w:sz w:val="22"/>
          <w:szCs w:val="22"/>
        </w:rPr>
        <w:t>Georgia Power</w:t>
      </w:r>
      <w:r w:rsidRPr="00E832A5">
        <w:rPr>
          <w:rFonts w:asciiTheme="minorHAnsi" w:hAnsiTheme="minorHAnsi" w:cstheme="minorHAnsi"/>
          <w:sz w:val="22"/>
          <w:szCs w:val="22"/>
        </w:rPr>
        <w:t>.</w:t>
      </w:r>
    </w:p>
    <w:p w14:paraId="3848332D" w14:textId="034FCE33" w:rsidR="008714D3" w:rsidRPr="00E832A5" w:rsidRDefault="00851BD5" w:rsidP="00BD1F59">
      <w:pPr>
        <w:pStyle w:val="Heading3"/>
        <w:spacing w:before="240" w:after="240" w:line="276" w:lineRule="auto"/>
        <w:rPr>
          <w:rFonts w:asciiTheme="minorHAnsi" w:hAnsiTheme="minorHAnsi" w:cstheme="minorHAnsi"/>
        </w:rPr>
      </w:pPr>
      <w:r w:rsidRPr="00E832A5">
        <w:rPr>
          <w:rFonts w:asciiTheme="minorHAnsi" w:hAnsiTheme="minorHAnsi" w:cstheme="minorHAnsi"/>
        </w:rPr>
        <w:t>1.5.1.4</w:t>
      </w:r>
      <w:r w:rsidR="008714D3" w:rsidRPr="00E832A5">
        <w:rPr>
          <w:rFonts w:asciiTheme="minorHAnsi" w:hAnsiTheme="minorHAnsi" w:cstheme="minorHAnsi"/>
        </w:rPr>
        <w:tab/>
        <w:t>State Selection</w:t>
      </w:r>
    </w:p>
    <w:p w14:paraId="669253E0" w14:textId="6F634FAA" w:rsidR="00215996" w:rsidRPr="00E832A5" w:rsidRDefault="00A3766F" w:rsidP="00CE6BE1">
      <w:pPr>
        <w:spacing w:line="276" w:lineRule="auto"/>
        <w:jc w:val="both"/>
        <w:rPr>
          <w:rFonts w:asciiTheme="minorHAnsi" w:hAnsiTheme="minorHAnsi" w:cstheme="minorHAnsi"/>
          <w:sz w:val="22"/>
          <w:szCs w:val="22"/>
        </w:rPr>
      </w:pPr>
      <w:r w:rsidRPr="00E832A5">
        <w:rPr>
          <w:rFonts w:asciiTheme="minorHAnsi" w:hAnsiTheme="minorHAnsi" w:cstheme="minorHAnsi"/>
          <w:sz w:val="22"/>
          <w:szCs w:val="22"/>
        </w:rPr>
        <w:t xml:space="preserve">Customers often </w:t>
      </w:r>
      <w:r w:rsidR="006A28DF" w:rsidRPr="00E832A5">
        <w:rPr>
          <w:rFonts w:asciiTheme="minorHAnsi" w:hAnsiTheme="minorHAnsi" w:cstheme="minorHAnsi"/>
          <w:sz w:val="22"/>
          <w:szCs w:val="22"/>
        </w:rPr>
        <w:t>evaluate</w:t>
      </w:r>
      <w:r w:rsidRPr="00E832A5">
        <w:rPr>
          <w:rFonts w:asciiTheme="minorHAnsi" w:hAnsiTheme="minorHAnsi" w:cstheme="minorHAnsi"/>
          <w:sz w:val="22"/>
          <w:szCs w:val="22"/>
        </w:rPr>
        <w:t xml:space="preserve"> </w:t>
      </w:r>
      <w:r w:rsidR="001945AF" w:rsidRPr="00E832A5">
        <w:rPr>
          <w:rFonts w:asciiTheme="minorHAnsi" w:hAnsiTheme="minorHAnsi" w:cstheme="minorHAnsi"/>
          <w:sz w:val="22"/>
          <w:szCs w:val="22"/>
        </w:rPr>
        <w:t>sites in multiple</w:t>
      </w:r>
      <w:r w:rsidRPr="00E832A5">
        <w:rPr>
          <w:rFonts w:asciiTheme="minorHAnsi" w:hAnsiTheme="minorHAnsi" w:cstheme="minorHAnsi"/>
          <w:sz w:val="22"/>
          <w:szCs w:val="22"/>
        </w:rPr>
        <w:t xml:space="preserve"> states before finalizing the location of a project. Mathematically, state selection can be treated as a binary event</w:t>
      </w:r>
      <w:r w:rsidR="00F040F0" w:rsidRPr="00E832A5">
        <w:rPr>
          <w:rFonts w:asciiTheme="minorHAnsi" w:hAnsiTheme="minorHAnsi" w:cstheme="minorHAnsi"/>
          <w:sz w:val="22"/>
          <w:szCs w:val="22"/>
        </w:rPr>
        <w:t>, with</w:t>
      </w:r>
      <w:r w:rsidRPr="00E832A5">
        <w:rPr>
          <w:rFonts w:asciiTheme="minorHAnsi" w:hAnsiTheme="minorHAnsi" w:cstheme="minorHAnsi"/>
          <w:sz w:val="22"/>
          <w:szCs w:val="22"/>
        </w:rPr>
        <w:t xml:space="preserve"> </w:t>
      </w:r>
      <w:r w:rsidR="00983520">
        <w:rPr>
          <w:rFonts w:asciiTheme="minorHAnsi" w:hAnsiTheme="minorHAnsi" w:cstheme="minorHAnsi"/>
          <w:sz w:val="22"/>
          <w:szCs w:val="22"/>
        </w:rPr>
        <w:t>one</w:t>
      </w:r>
      <w:r w:rsidRPr="00E832A5">
        <w:rPr>
          <w:rFonts w:asciiTheme="minorHAnsi" w:hAnsiTheme="minorHAnsi" w:cstheme="minorHAnsi"/>
          <w:sz w:val="22"/>
          <w:szCs w:val="22"/>
        </w:rPr>
        <w:t xml:space="preserve"> </w:t>
      </w:r>
      <w:r w:rsidR="00CB66D4">
        <w:rPr>
          <w:rFonts w:asciiTheme="minorHAnsi" w:hAnsiTheme="minorHAnsi" w:cstheme="minorHAnsi"/>
          <w:sz w:val="22"/>
          <w:szCs w:val="22"/>
        </w:rPr>
        <w:t>(</w:t>
      </w:r>
      <w:r w:rsidRPr="00E832A5">
        <w:rPr>
          <w:rFonts w:asciiTheme="minorHAnsi" w:hAnsiTheme="minorHAnsi" w:cstheme="minorHAnsi"/>
          <w:sz w:val="22"/>
          <w:szCs w:val="22"/>
        </w:rPr>
        <w:t>1</w:t>
      </w:r>
      <w:r w:rsidR="00CB66D4">
        <w:rPr>
          <w:rFonts w:asciiTheme="minorHAnsi" w:hAnsiTheme="minorHAnsi" w:cstheme="minorHAnsi"/>
          <w:sz w:val="22"/>
          <w:szCs w:val="22"/>
        </w:rPr>
        <w:t>)</w:t>
      </w:r>
      <w:r w:rsidRPr="00E832A5">
        <w:rPr>
          <w:rFonts w:asciiTheme="minorHAnsi" w:hAnsiTheme="minorHAnsi" w:cstheme="minorHAnsi"/>
          <w:sz w:val="22"/>
          <w:szCs w:val="22"/>
        </w:rPr>
        <w:t xml:space="preserve"> </w:t>
      </w:r>
      <w:r w:rsidR="00F20126" w:rsidRPr="00E832A5">
        <w:rPr>
          <w:rFonts w:asciiTheme="minorHAnsi" w:hAnsiTheme="minorHAnsi" w:cstheme="minorHAnsi"/>
          <w:sz w:val="22"/>
          <w:szCs w:val="22"/>
        </w:rPr>
        <w:t>assigned f</w:t>
      </w:r>
      <w:r w:rsidRPr="00E832A5">
        <w:rPr>
          <w:rFonts w:asciiTheme="minorHAnsi" w:hAnsiTheme="minorHAnsi" w:cstheme="minorHAnsi"/>
          <w:sz w:val="22"/>
          <w:szCs w:val="22"/>
        </w:rPr>
        <w:t xml:space="preserve">or </w:t>
      </w:r>
      <w:r w:rsidR="00F20126" w:rsidRPr="00E832A5">
        <w:rPr>
          <w:rFonts w:asciiTheme="minorHAnsi" w:hAnsiTheme="minorHAnsi" w:cstheme="minorHAnsi"/>
          <w:sz w:val="22"/>
          <w:szCs w:val="22"/>
        </w:rPr>
        <w:t xml:space="preserve">customers that select </w:t>
      </w:r>
      <w:r w:rsidR="007929BA" w:rsidRPr="00E832A5">
        <w:rPr>
          <w:rFonts w:asciiTheme="minorHAnsi" w:hAnsiTheme="minorHAnsi" w:cstheme="minorHAnsi"/>
          <w:sz w:val="22"/>
          <w:szCs w:val="22"/>
        </w:rPr>
        <w:t xml:space="preserve">Georgia </w:t>
      </w:r>
      <w:r w:rsidR="00F20126" w:rsidRPr="00E832A5">
        <w:rPr>
          <w:rFonts w:asciiTheme="minorHAnsi" w:hAnsiTheme="minorHAnsi" w:cstheme="minorHAnsi"/>
          <w:sz w:val="22"/>
          <w:szCs w:val="22"/>
        </w:rPr>
        <w:t xml:space="preserve">and </w:t>
      </w:r>
      <w:r w:rsidR="00983520">
        <w:rPr>
          <w:rFonts w:asciiTheme="minorHAnsi" w:hAnsiTheme="minorHAnsi" w:cstheme="minorHAnsi"/>
          <w:sz w:val="22"/>
          <w:szCs w:val="22"/>
        </w:rPr>
        <w:t>zero</w:t>
      </w:r>
      <w:r w:rsidRPr="00E832A5">
        <w:rPr>
          <w:rFonts w:asciiTheme="minorHAnsi" w:hAnsiTheme="minorHAnsi" w:cstheme="minorHAnsi"/>
          <w:sz w:val="22"/>
          <w:szCs w:val="22"/>
        </w:rPr>
        <w:t xml:space="preserve"> </w:t>
      </w:r>
      <w:r w:rsidR="00CB66D4">
        <w:rPr>
          <w:rFonts w:asciiTheme="minorHAnsi" w:hAnsiTheme="minorHAnsi" w:cstheme="minorHAnsi"/>
          <w:sz w:val="22"/>
          <w:szCs w:val="22"/>
        </w:rPr>
        <w:t>(0)</w:t>
      </w:r>
      <w:r w:rsidRPr="00E832A5">
        <w:rPr>
          <w:rFonts w:asciiTheme="minorHAnsi" w:hAnsiTheme="minorHAnsi" w:cstheme="minorHAnsi"/>
          <w:sz w:val="22"/>
          <w:szCs w:val="22"/>
        </w:rPr>
        <w:t xml:space="preserve"> </w:t>
      </w:r>
      <w:r w:rsidR="00355DE8" w:rsidRPr="00E832A5">
        <w:rPr>
          <w:rFonts w:asciiTheme="minorHAnsi" w:hAnsiTheme="minorHAnsi" w:cstheme="minorHAnsi"/>
          <w:sz w:val="22"/>
          <w:szCs w:val="22"/>
        </w:rPr>
        <w:t xml:space="preserve">for </w:t>
      </w:r>
      <w:r w:rsidR="005B2AFF" w:rsidRPr="00E832A5">
        <w:rPr>
          <w:rFonts w:asciiTheme="minorHAnsi" w:hAnsiTheme="minorHAnsi" w:cstheme="minorHAnsi"/>
          <w:sz w:val="22"/>
          <w:szCs w:val="22"/>
        </w:rPr>
        <w:t>customers that select a different state</w:t>
      </w:r>
      <w:r w:rsidR="00753D44">
        <w:rPr>
          <w:rFonts w:asciiTheme="minorHAnsi" w:hAnsiTheme="minorHAnsi" w:cstheme="minorHAnsi"/>
          <w:sz w:val="22"/>
          <w:szCs w:val="22"/>
        </w:rPr>
        <w:t>.</w:t>
      </w:r>
      <w:r w:rsidR="005B2AFF" w:rsidRPr="00E832A5">
        <w:rPr>
          <w:rFonts w:asciiTheme="minorHAnsi" w:hAnsiTheme="minorHAnsi" w:cstheme="minorHAnsi"/>
          <w:sz w:val="22"/>
          <w:szCs w:val="22"/>
        </w:rPr>
        <w:t xml:space="preserve"> </w:t>
      </w:r>
      <w:r w:rsidR="00215996" w:rsidRPr="00E832A5">
        <w:rPr>
          <w:rFonts w:asciiTheme="minorHAnsi" w:hAnsiTheme="minorHAnsi" w:cstheme="minorHAnsi"/>
          <w:sz w:val="22"/>
          <w:szCs w:val="22"/>
        </w:rPr>
        <w:t>For those customers contemplating G</w:t>
      </w:r>
      <w:r w:rsidR="3192AAF1" w:rsidRPr="00E832A5">
        <w:rPr>
          <w:rFonts w:asciiTheme="minorHAnsi" w:hAnsiTheme="minorHAnsi" w:cstheme="minorHAnsi"/>
          <w:sz w:val="22"/>
          <w:szCs w:val="22"/>
        </w:rPr>
        <w:t>eorgia</w:t>
      </w:r>
      <w:r w:rsidR="00215996" w:rsidRPr="00E832A5">
        <w:rPr>
          <w:rFonts w:asciiTheme="minorHAnsi" w:hAnsiTheme="minorHAnsi" w:cstheme="minorHAnsi"/>
          <w:sz w:val="22"/>
          <w:szCs w:val="22"/>
        </w:rPr>
        <w:t xml:space="preserve"> as a place for doing business, </w:t>
      </w:r>
      <w:r w:rsidR="000F7B80" w:rsidRPr="00E832A5">
        <w:rPr>
          <w:rFonts w:asciiTheme="minorHAnsi" w:hAnsiTheme="minorHAnsi" w:cstheme="minorHAnsi"/>
          <w:sz w:val="22"/>
          <w:szCs w:val="22"/>
        </w:rPr>
        <w:t>a probability</w:t>
      </w:r>
      <w:r w:rsidR="00176FB7" w:rsidRPr="00E832A5">
        <w:rPr>
          <w:rFonts w:asciiTheme="minorHAnsi" w:hAnsiTheme="minorHAnsi" w:cstheme="minorHAnsi"/>
          <w:sz w:val="22"/>
          <w:szCs w:val="22"/>
        </w:rPr>
        <w:t xml:space="preserve"> (</w:t>
      </w:r>
      <w:r w:rsidR="002F1E6F">
        <w:rPr>
          <w:rFonts w:asciiTheme="minorHAnsi" w:hAnsiTheme="minorHAnsi" w:cstheme="minorHAnsi"/>
          <w:sz w:val="22"/>
          <w:szCs w:val="22"/>
        </w:rPr>
        <w:t xml:space="preserve">referred to as </w:t>
      </w:r>
      <w:r w:rsidR="00176FB7" w:rsidRPr="00E832A5">
        <w:rPr>
          <w:rFonts w:asciiTheme="minorHAnsi" w:hAnsiTheme="minorHAnsi" w:cstheme="minorHAnsi"/>
          <w:sz w:val="22"/>
          <w:szCs w:val="22"/>
        </w:rPr>
        <w:t>P1)</w:t>
      </w:r>
      <w:r w:rsidR="000F7B80" w:rsidRPr="00E832A5">
        <w:rPr>
          <w:rFonts w:asciiTheme="minorHAnsi" w:hAnsiTheme="minorHAnsi" w:cstheme="minorHAnsi"/>
          <w:sz w:val="22"/>
          <w:szCs w:val="22"/>
        </w:rPr>
        <w:t xml:space="preserve"> can be assigned</w:t>
      </w:r>
      <w:r w:rsidR="00933059" w:rsidRPr="00E832A5">
        <w:rPr>
          <w:rFonts w:asciiTheme="minorHAnsi" w:hAnsiTheme="minorHAnsi" w:cstheme="minorHAnsi"/>
          <w:sz w:val="22"/>
          <w:szCs w:val="22"/>
        </w:rPr>
        <w:t xml:space="preserve"> for the likelihood of state selection. </w:t>
      </w:r>
      <w:r w:rsidR="0069407B">
        <w:rPr>
          <w:rFonts w:asciiTheme="minorHAnsi" w:hAnsiTheme="minorHAnsi" w:cstheme="minorHAnsi"/>
          <w:sz w:val="22"/>
          <w:szCs w:val="22"/>
        </w:rPr>
        <w:t>L</w:t>
      </w:r>
      <w:r w:rsidR="00DE4FF7" w:rsidRPr="00E832A5">
        <w:rPr>
          <w:rFonts w:asciiTheme="minorHAnsi" w:hAnsiTheme="minorHAnsi" w:cstheme="minorHAnsi"/>
          <w:sz w:val="22"/>
          <w:szCs w:val="22"/>
        </w:rPr>
        <w:t xml:space="preserve">ikelihood can be estimated based on </w:t>
      </w:r>
      <w:r w:rsidR="00215996" w:rsidRPr="00E832A5">
        <w:rPr>
          <w:rFonts w:asciiTheme="minorHAnsi" w:hAnsiTheme="minorHAnsi" w:cstheme="minorHAnsi"/>
          <w:sz w:val="22"/>
          <w:szCs w:val="22"/>
        </w:rPr>
        <w:t xml:space="preserve">a historical </w:t>
      </w:r>
      <w:r w:rsidR="00131F64">
        <w:rPr>
          <w:rFonts w:asciiTheme="minorHAnsi" w:hAnsiTheme="minorHAnsi" w:cstheme="minorHAnsi"/>
          <w:sz w:val="22"/>
          <w:szCs w:val="22"/>
        </w:rPr>
        <w:t>selection</w:t>
      </w:r>
      <w:r w:rsidR="00215996" w:rsidRPr="00E832A5">
        <w:rPr>
          <w:rFonts w:asciiTheme="minorHAnsi" w:hAnsiTheme="minorHAnsi" w:cstheme="minorHAnsi"/>
          <w:sz w:val="22"/>
          <w:szCs w:val="22"/>
        </w:rPr>
        <w:t xml:space="preserve"> rate </w:t>
      </w:r>
      <w:r w:rsidR="00DE4FF7" w:rsidRPr="00E832A5">
        <w:rPr>
          <w:rFonts w:asciiTheme="minorHAnsi" w:hAnsiTheme="minorHAnsi" w:cstheme="minorHAnsi"/>
          <w:sz w:val="22"/>
          <w:szCs w:val="22"/>
        </w:rPr>
        <w:t xml:space="preserve">that is </w:t>
      </w:r>
      <w:r w:rsidR="00215996" w:rsidRPr="00E832A5">
        <w:rPr>
          <w:rFonts w:asciiTheme="minorHAnsi" w:hAnsiTheme="minorHAnsi" w:cstheme="minorHAnsi"/>
          <w:sz w:val="22"/>
          <w:szCs w:val="22"/>
        </w:rPr>
        <w:t xml:space="preserve">calculated based on the number of projects that chose Georgia versus the number of projects that </w:t>
      </w:r>
      <w:r w:rsidR="00540B68">
        <w:rPr>
          <w:rFonts w:asciiTheme="minorHAnsi" w:hAnsiTheme="minorHAnsi" w:cstheme="minorHAnsi"/>
          <w:sz w:val="22"/>
          <w:szCs w:val="22"/>
        </w:rPr>
        <w:t>did not</w:t>
      </w:r>
      <w:r w:rsidR="00215996" w:rsidRPr="00E832A5">
        <w:rPr>
          <w:rFonts w:asciiTheme="minorHAnsi" w:hAnsiTheme="minorHAnsi" w:cstheme="minorHAnsi"/>
          <w:sz w:val="22"/>
          <w:szCs w:val="22"/>
        </w:rPr>
        <w:t xml:space="preserve">. </w:t>
      </w:r>
    </w:p>
    <w:p w14:paraId="0C28A161" w14:textId="13874E22" w:rsidR="008714D3" w:rsidRPr="00E832A5" w:rsidRDefault="00851BD5" w:rsidP="00FC4ECB">
      <w:pPr>
        <w:pStyle w:val="Heading3"/>
        <w:spacing w:before="240" w:after="240" w:line="276" w:lineRule="auto"/>
        <w:rPr>
          <w:rFonts w:asciiTheme="minorHAnsi" w:hAnsiTheme="minorHAnsi" w:cstheme="minorHAnsi"/>
        </w:rPr>
      </w:pPr>
      <w:r w:rsidRPr="00E832A5">
        <w:rPr>
          <w:rFonts w:asciiTheme="minorHAnsi" w:hAnsiTheme="minorHAnsi" w:cstheme="minorHAnsi"/>
        </w:rPr>
        <w:t>1.5.1.5</w:t>
      </w:r>
      <w:r w:rsidR="008714D3" w:rsidRPr="00E832A5">
        <w:rPr>
          <w:rFonts w:asciiTheme="minorHAnsi" w:hAnsiTheme="minorHAnsi" w:cstheme="minorHAnsi"/>
        </w:rPr>
        <w:tab/>
        <w:t xml:space="preserve">Electric </w:t>
      </w:r>
      <w:r w:rsidR="00843164">
        <w:rPr>
          <w:rFonts w:asciiTheme="minorHAnsi" w:hAnsiTheme="minorHAnsi" w:cstheme="minorHAnsi"/>
        </w:rPr>
        <w:t xml:space="preserve">Service </w:t>
      </w:r>
      <w:r w:rsidR="008714D3" w:rsidRPr="00E832A5">
        <w:rPr>
          <w:rFonts w:asciiTheme="minorHAnsi" w:hAnsiTheme="minorHAnsi" w:cstheme="minorHAnsi"/>
        </w:rPr>
        <w:t>Provider</w:t>
      </w:r>
    </w:p>
    <w:p w14:paraId="715F2BAD" w14:textId="64A47FB4" w:rsidR="00B46B06" w:rsidRPr="00E832A5" w:rsidRDefault="00843164" w:rsidP="00CE6BE1">
      <w:pPr>
        <w:spacing w:line="276" w:lineRule="auto"/>
        <w:jc w:val="both"/>
        <w:rPr>
          <w:rFonts w:asciiTheme="minorHAnsi" w:hAnsiTheme="minorHAnsi" w:cstheme="minorHAnsi"/>
          <w:sz w:val="22"/>
          <w:szCs w:val="22"/>
        </w:rPr>
      </w:pPr>
      <w:r>
        <w:rPr>
          <w:rFonts w:asciiTheme="minorHAnsi" w:hAnsiTheme="minorHAnsi" w:cstheme="minorHAnsi"/>
          <w:sz w:val="22"/>
          <w:szCs w:val="22"/>
        </w:rPr>
        <w:t>W</w:t>
      </w:r>
      <w:r w:rsidR="00A3766F" w:rsidRPr="00E832A5">
        <w:rPr>
          <w:rFonts w:asciiTheme="minorHAnsi" w:hAnsiTheme="minorHAnsi" w:cstheme="minorHAnsi"/>
          <w:sz w:val="22"/>
          <w:szCs w:val="22"/>
        </w:rPr>
        <w:t xml:space="preserve">hether a customer chooses </w:t>
      </w:r>
      <w:r w:rsidR="00E67AB4">
        <w:rPr>
          <w:rFonts w:asciiTheme="minorHAnsi" w:hAnsiTheme="minorHAnsi" w:cstheme="minorHAnsi"/>
          <w:sz w:val="22"/>
          <w:szCs w:val="22"/>
        </w:rPr>
        <w:t>Georgia Power</w:t>
      </w:r>
      <w:r w:rsidR="00E67AB4" w:rsidRPr="00E832A5">
        <w:rPr>
          <w:rFonts w:asciiTheme="minorHAnsi" w:hAnsiTheme="minorHAnsi" w:cstheme="minorHAnsi"/>
          <w:sz w:val="22"/>
          <w:szCs w:val="22"/>
        </w:rPr>
        <w:t xml:space="preserve"> </w:t>
      </w:r>
      <w:r w:rsidR="00A3766F" w:rsidRPr="00E832A5">
        <w:rPr>
          <w:rFonts w:asciiTheme="minorHAnsi" w:hAnsiTheme="minorHAnsi" w:cstheme="minorHAnsi"/>
          <w:sz w:val="22"/>
          <w:szCs w:val="22"/>
        </w:rPr>
        <w:t xml:space="preserve">as </w:t>
      </w:r>
      <w:r>
        <w:rPr>
          <w:rFonts w:asciiTheme="minorHAnsi" w:hAnsiTheme="minorHAnsi" w:cstheme="minorHAnsi"/>
          <w:sz w:val="22"/>
          <w:szCs w:val="22"/>
        </w:rPr>
        <w:t>its</w:t>
      </w:r>
      <w:r w:rsidR="00A3766F" w:rsidRPr="00E832A5">
        <w:rPr>
          <w:rFonts w:asciiTheme="minorHAnsi" w:hAnsiTheme="minorHAnsi" w:cstheme="minorHAnsi"/>
          <w:sz w:val="22"/>
          <w:szCs w:val="22"/>
        </w:rPr>
        <w:t xml:space="preserve"> electric</w:t>
      </w:r>
      <w:r w:rsidR="00757A2A" w:rsidRPr="00E832A5">
        <w:rPr>
          <w:rFonts w:asciiTheme="minorHAnsi" w:hAnsiTheme="minorHAnsi" w:cstheme="minorHAnsi"/>
          <w:sz w:val="22"/>
          <w:szCs w:val="22"/>
        </w:rPr>
        <w:t xml:space="preserve"> service</w:t>
      </w:r>
      <w:r w:rsidR="00A3766F" w:rsidRPr="00E832A5">
        <w:rPr>
          <w:rFonts w:asciiTheme="minorHAnsi" w:hAnsiTheme="minorHAnsi" w:cstheme="minorHAnsi"/>
          <w:sz w:val="22"/>
          <w:szCs w:val="22"/>
        </w:rPr>
        <w:t xml:space="preserve"> provider can </w:t>
      </w:r>
      <w:r>
        <w:rPr>
          <w:rFonts w:asciiTheme="minorHAnsi" w:hAnsiTheme="minorHAnsi" w:cstheme="minorHAnsi"/>
          <w:sz w:val="22"/>
          <w:szCs w:val="22"/>
        </w:rPr>
        <w:t>also</w:t>
      </w:r>
      <w:r w:rsidR="00A3766F" w:rsidRPr="00E832A5">
        <w:rPr>
          <w:rFonts w:asciiTheme="minorHAnsi" w:hAnsiTheme="minorHAnsi" w:cstheme="minorHAnsi"/>
          <w:sz w:val="22"/>
          <w:szCs w:val="22"/>
        </w:rPr>
        <w:t xml:space="preserve"> be treated </w:t>
      </w:r>
      <w:r w:rsidR="00680C9D" w:rsidRPr="00E832A5">
        <w:rPr>
          <w:rFonts w:asciiTheme="minorHAnsi" w:hAnsiTheme="minorHAnsi" w:cstheme="minorHAnsi"/>
          <w:sz w:val="22"/>
          <w:szCs w:val="22"/>
        </w:rPr>
        <w:t xml:space="preserve">as </w:t>
      </w:r>
      <w:r w:rsidR="00A3766F" w:rsidRPr="00E832A5">
        <w:rPr>
          <w:rFonts w:asciiTheme="minorHAnsi" w:hAnsiTheme="minorHAnsi" w:cstheme="minorHAnsi"/>
          <w:sz w:val="22"/>
          <w:szCs w:val="22"/>
        </w:rPr>
        <w:t xml:space="preserve">a binary event. The probability of </w:t>
      </w:r>
      <w:r w:rsidR="00E67AB4">
        <w:rPr>
          <w:rFonts w:asciiTheme="minorHAnsi" w:hAnsiTheme="minorHAnsi" w:cstheme="minorHAnsi"/>
          <w:sz w:val="22"/>
          <w:szCs w:val="22"/>
        </w:rPr>
        <w:t>Georgia Power</w:t>
      </w:r>
      <w:r w:rsidR="00E67AB4" w:rsidRPr="00E832A5">
        <w:rPr>
          <w:rFonts w:asciiTheme="minorHAnsi" w:hAnsiTheme="minorHAnsi" w:cstheme="minorHAnsi"/>
          <w:sz w:val="22"/>
          <w:szCs w:val="22"/>
        </w:rPr>
        <w:t xml:space="preserve"> </w:t>
      </w:r>
      <w:r w:rsidR="00A3766F" w:rsidRPr="00E832A5">
        <w:rPr>
          <w:rFonts w:asciiTheme="minorHAnsi" w:hAnsiTheme="minorHAnsi" w:cstheme="minorHAnsi"/>
          <w:sz w:val="22"/>
          <w:szCs w:val="22"/>
        </w:rPr>
        <w:t xml:space="preserve">being chosen </w:t>
      </w:r>
      <w:r w:rsidR="00872331">
        <w:rPr>
          <w:rFonts w:asciiTheme="minorHAnsi" w:hAnsiTheme="minorHAnsi" w:cstheme="minorHAnsi"/>
          <w:sz w:val="22"/>
          <w:szCs w:val="22"/>
        </w:rPr>
        <w:t xml:space="preserve">as the provider </w:t>
      </w:r>
      <w:r w:rsidR="00176FB7" w:rsidRPr="00E832A5">
        <w:rPr>
          <w:rFonts w:asciiTheme="minorHAnsi" w:hAnsiTheme="minorHAnsi" w:cstheme="minorHAnsi"/>
          <w:sz w:val="22"/>
          <w:szCs w:val="22"/>
        </w:rPr>
        <w:t>(</w:t>
      </w:r>
      <w:r w:rsidR="002F1E6F">
        <w:rPr>
          <w:rFonts w:asciiTheme="minorHAnsi" w:hAnsiTheme="minorHAnsi" w:cstheme="minorHAnsi"/>
          <w:sz w:val="22"/>
          <w:szCs w:val="22"/>
        </w:rPr>
        <w:t xml:space="preserve">referred to as </w:t>
      </w:r>
      <w:r w:rsidR="00176FB7" w:rsidRPr="00E832A5">
        <w:rPr>
          <w:rFonts w:asciiTheme="minorHAnsi" w:hAnsiTheme="minorHAnsi" w:cstheme="minorHAnsi"/>
          <w:sz w:val="22"/>
          <w:szCs w:val="22"/>
        </w:rPr>
        <w:t xml:space="preserve">P2) </w:t>
      </w:r>
      <w:r w:rsidR="00A3766F" w:rsidRPr="00E832A5">
        <w:rPr>
          <w:rFonts w:asciiTheme="minorHAnsi" w:hAnsiTheme="minorHAnsi" w:cstheme="minorHAnsi"/>
          <w:sz w:val="22"/>
          <w:szCs w:val="22"/>
        </w:rPr>
        <w:t xml:space="preserve">is determined by the </w:t>
      </w:r>
      <w:r w:rsidR="00872331">
        <w:rPr>
          <w:rFonts w:asciiTheme="minorHAnsi" w:hAnsiTheme="minorHAnsi" w:cstheme="minorHAnsi"/>
          <w:sz w:val="22"/>
          <w:szCs w:val="22"/>
        </w:rPr>
        <w:t xml:space="preserve">Company </w:t>
      </w:r>
      <w:r w:rsidR="00A3766F" w:rsidRPr="00E832A5">
        <w:rPr>
          <w:rFonts w:asciiTheme="minorHAnsi" w:hAnsiTheme="minorHAnsi" w:cstheme="minorHAnsi"/>
          <w:sz w:val="22"/>
          <w:szCs w:val="22"/>
        </w:rPr>
        <w:t xml:space="preserve">based on factors such as competition from other </w:t>
      </w:r>
      <w:r w:rsidR="00E67AB4">
        <w:rPr>
          <w:rFonts w:asciiTheme="minorHAnsi" w:hAnsiTheme="minorHAnsi" w:cstheme="minorHAnsi"/>
          <w:sz w:val="22"/>
          <w:szCs w:val="22"/>
        </w:rPr>
        <w:t xml:space="preserve">electric service </w:t>
      </w:r>
      <w:r w:rsidR="00A3766F" w:rsidRPr="00E832A5">
        <w:rPr>
          <w:rFonts w:asciiTheme="minorHAnsi" w:hAnsiTheme="minorHAnsi" w:cstheme="minorHAnsi"/>
          <w:sz w:val="22"/>
          <w:szCs w:val="22"/>
        </w:rPr>
        <w:t xml:space="preserve">providers, </w:t>
      </w:r>
      <w:r w:rsidR="009B2CEC" w:rsidRPr="00E832A5">
        <w:rPr>
          <w:rFonts w:asciiTheme="minorHAnsi" w:hAnsiTheme="minorHAnsi" w:cstheme="minorHAnsi"/>
          <w:sz w:val="22"/>
          <w:szCs w:val="22"/>
        </w:rPr>
        <w:t xml:space="preserve">an </w:t>
      </w:r>
      <w:r w:rsidR="00A3766F" w:rsidRPr="00E832A5">
        <w:rPr>
          <w:rFonts w:asciiTheme="minorHAnsi" w:hAnsiTheme="minorHAnsi" w:cstheme="minorHAnsi"/>
          <w:sz w:val="22"/>
          <w:szCs w:val="22"/>
        </w:rPr>
        <w:t xml:space="preserve">existing relationship with a customer, </w:t>
      </w:r>
      <w:r w:rsidR="00E67AB4">
        <w:rPr>
          <w:rFonts w:asciiTheme="minorHAnsi" w:hAnsiTheme="minorHAnsi" w:cstheme="minorHAnsi"/>
          <w:sz w:val="22"/>
          <w:szCs w:val="22"/>
        </w:rPr>
        <w:t xml:space="preserve">and </w:t>
      </w:r>
      <w:r w:rsidR="00872331">
        <w:rPr>
          <w:rFonts w:asciiTheme="minorHAnsi" w:hAnsiTheme="minorHAnsi" w:cstheme="minorHAnsi"/>
          <w:sz w:val="22"/>
          <w:szCs w:val="22"/>
        </w:rPr>
        <w:t xml:space="preserve">the </w:t>
      </w:r>
      <w:r w:rsidR="00A3766F" w:rsidRPr="00E832A5">
        <w:rPr>
          <w:rFonts w:asciiTheme="minorHAnsi" w:hAnsiTheme="minorHAnsi" w:cstheme="minorHAnsi"/>
          <w:sz w:val="22"/>
          <w:szCs w:val="22"/>
        </w:rPr>
        <w:t xml:space="preserve">progress of </w:t>
      </w:r>
      <w:r w:rsidR="00076BC9">
        <w:rPr>
          <w:rFonts w:asciiTheme="minorHAnsi" w:hAnsiTheme="minorHAnsi" w:cstheme="minorHAnsi"/>
          <w:sz w:val="22"/>
          <w:szCs w:val="22"/>
        </w:rPr>
        <w:t>discussions</w:t>
      </w:r>
      <w:r w:rsidR="00E67AB4">
        <w:rPr>
          <w:rFonts w:asciiTheme="minorHAnsi" w:hAnsiTheme="minorHAnsi" w:cstheme="minorHAnsi"/>
          <w:sz w:val="22"/>
          <w:szCs w:val="22"/>
        </w:rPr>
        <w:t xml:space="preserve"> with </w:t>
      </w:r>
      <w:r w:rsidR="00076BC9">
        <w:rPr>
          <w:rFonts w:asciiTheme="minorHAnsi" w:hAnsiTheme="minorHAnsi" w:cstheme="minorHAnsi"/>
          <w:sz w:val="22"/>
          <w:szCs w:val="22"/>
        </w:rPr>
        <w:t xml:space="preserve">a </w:t>
      </w:r>
      <w:r w:rsidR="00E67AB4">
        <w:rPr>
          <w:rFonts w:asciiTheme="minorHAnsi" w:hAnsiTheme="minorHAnsi" w:cstheme="minorHAnsi"/>
          <w:sz w:val="22"/>
          <w:szCs w:val="22"/>
        </w:rPr>
        <w:t>customer</w:t>
      </w:r>
      <w:r w:rsidR="00076BC9">
        <w:rPr>
          <w:rFonts w:asciiTheme="minorHAnsi" w:hAnsiTheme="minorHAnsi" w:cstheme="minorHAnsi"/>
          <w:sz w:val="22"/>
          <w:szCs w:val="22"/>
        </w:rPr>
        <w:t>.</w:t>
      </w:r>
    </w:p>
    <w:p w14:paraId="41750E1E" w14:textId="17CA9D24" w:rsidR="00757A2A" w:rsidRPr="00E832A5" w:rsidRDefault="00851BD5" w:rsidP="00FC4ECB">
      <w:pPr>
        <w:pStyle w:val="Heading3"/>
        <w:spacing w:before="240" w:after="240" w:line="276" w:lineRule="auto"/>
        <w:rPr>
          <w:rFonts w:asciiTheme="minorHAnsi" w:hAnsiTheme="minorHAnsi" w:cstheme="minorHAnsi"/>
        </w:rPr>
      </w:pPr>
      <w:r w:rsidRPr="00E832A5">
        <w:rPr>
          <w:rFonts w:asciiTheme="minorHAnsi" w:hAnsiTheme="minorHAnsi" w:cstheme="minorHAnsi"/>
        </w:rPr>
        <w:lastRenderedPageBreak/>
        <w:t>1.5.1.6</w:t>
      </w:r>
      <w:r w:rsidR="00757A2A" w:rsidRPr="00E832A5">
        <w:rPr>
          <w:rFonts w:asciiTheme="minorHAnsi" w:hAnsiTheme="minorHAnsi" w:cstheme="minorHAnsi"/>
        </w:rPr>
        <w:tab/>
        <w:t>Project Reaching COD</w:t>
      </w:r>
    </w:p>
    <w:p w14:paraId="0110D839" w14:textId="2321B6DB" w:rsidR="00757A2A" w:rsidRPr="00E832A5" w:rsidRDefault="00757A2A" w:rsidP="00CE6BE1">
      <w:pPr>
        <w:spacing w:line="276" w:lineRule="auto"/>
        <w:jc w:val="both"/>
        <w:rPr>
          <w:rFonts w:asciiTheme="minorHAnsi" w:hAnsiTheme="minorHAnsi" w:cstheme="minorHAnsi"/>
          <w:sz w:val="22"/>
          <w:szCs w:val="22"/>
        </w:rPr>
      </w:pPr>
      <w:r w:rsidRPr="00E832A5">
        <w:rPr>
          <w:rFonts w:asciiTheme="minorHAnsi" w:hAnsiTheme="minorHAnsi" w:cstheme="minorHAnsi"/>
          <w:sz w:val="22"/>
          <w:szCs w:val="22"/>
        </w:rPr>
        <w:t xml:space="preserve">The probability of </w:t>
      </w:r>
      <w:r w:rsidR="000C151C">
        <w:rPr>
          <w:rFonts w:asciiTheme="minorHAnsi" w:hAnsiTheme="minorHAnsi" w:cstheme="minorHAnsi"/>
          <w:sz w:val="22"/>
          <w:szCs w:val="22"/>
        </w:rPr>
        <w:t>projects</w:t>
      </w:r>
      <w:r w:rsidRPr="00E832A5">
        <w:rPr>
          <w:rFonts w:asciiTheme="minorHAnsi" w:hAnsiTheme="minorHAnsi" w:cstheme="minorHAnsi"/>
          <w:sz w:val="22"/>
          <w:szCs w:val="22"/>
        </w:rPr>
        <w:t xml:space="preserve"> reaching </w:t>
      </w:r>
      <w:r w:rsidR="000C151C">
        <w:rPr>
          <w:rFonts w:asciiTheme="minorHAnsi" w:hAnsiTheme="minorHAnsi" w:cstheme="minorHAnsi"/>
          <w:sz w:val="22"/>
          <w:szCs w:val="22"/>
        </w:rPr>
        <w:t xml:space="preserve">commercial operation </w:t>
      </w:r>
      <w:r w:rsidR="002F1E6F">
        <w:rPr>
          <w:rFonts w:asciiTheme="minorHAnsi" w:hAnsiTheme="minorHAnsi" w:cstheme="minorHAnsi"/>
          <w:sz w:val="22"/>
          <w:szCs w:val="22"/>
        </w:rPr>
        <w:t>(referred to as P3)</w:t>
      </w:r>
      <w:r w:rsidR="00AE7A39">
        <w:rPr>
          <w:rFonts w:asciiTheme="minorHAnsi" w:hAnsiTheme="minorHAnsi" w:cstheme="minorHAnsi"/>
          <w:sz w:val="22"/>
          <w:szCs w:val="22"/>
        </w:rPr>
        <w:t xml:space="preserve"> </w:t>
      </w:r>
      <w:r w:rsidRPr="00E832A5" w:rsidDel="00C24A18">
        <w:rPr>
          <w:rFonts w:asciiTheme="minorHAnsi" w:hAnsiTheme="minorHAnsi" w:cstheme="minorHAnsi"/>
          <w:sz w:val="22"/>
          <w:szCs w:val="22"/>
        </w:rPr>
        <w:t xml:space="preserve">is </w:t>
      </w:r>
      <w:r w:rsidRPr="00E832A5">
        <w:rPr>
          <w:rFonts w:asciiTheme="minorHAnsi" w:hAnsiTheme="minorHAnsi" w:cstheme="minorHAnsi"/>
          <w:sz w:val="22"/>
          <w:szCs w:val="22"/>
        </w:rPr>
        <w:t xml:space="preserve">determined by </w:t>
      </w:r>
      <w:r w:rsidR="007119BC">
        <w:rPr>
          <w:rFonts w:asciiTheme="minorHAnsi" w:hAnsiTheme="minorHAnsi" w:cstheme="minorHAnsi"/>
          <w:sz w:val="22"/>
          <w:szCs w:val="22"/>
        </w:rPr>
        <w:t xml:space="preserve">reviewing </w:t>
      </w:r>
      <w:r w:rsidRPr="00E832A5">
        <w:rPr>
          <w:rFonts w:asciiTheme="minorHAnsi" w:hAnsiTheme="minorHAnsi" w:cstheme="minorHAnsi"/>
          <w:sz w:val="22"/>
          <w:szCs w:val="22"/>
        </w:rPr>
        <w:t xml:space="preserve">the number of projects that reached </w:t>
      </w:r>
      <w:r w:rsidR="007119BC">
        <w:rPr>
          <w:rFonts w:asciiTheme="minorHAnsi" w:hAnsiTheme="minorHAnsi" w:cstheme="minorHAnsi"/>
          <w:sz w:val="22"/>
          <w:szCs w:val="22"/>
        </w:rPr>
        <w:t xml:space="preserve">commercial operation </w:t>
      </w:r>
      <w:r w:rsidRPr="00E832A5">
        <w:rPr>
          <w:rFonts w:asciiTheme="minorHAnsi" w:hAnsiTheme="minorHAnsi" w:cstheme="minorHAnsi"/>
          <w:sz w:val="22"/>
          <w:szCs w:val="22"/>
        </w:rPr>
        <w:t xml:space="preserve">versus the total number of projects </w:t>
      </w:r>
      <w:r w:rsidR="007460BF">
        <w:rPr>
          <w:rFonts w:asciiTheme="minorHAnsi" w:hAnsiTheme="minorHAnsi" w:cstheme="minorHAnsi"/>
          <w:sz w:val="22"/>
          <w:szCs w:val="22"/>
        </w:rPr>
        <w:t>Georgia Power was selected to serve</w:t>
      </w:r>
      <w:r w:rsidR="00B46B06" w:rsidRPr="00E832A5">
        <w:rPr>
          <w:rFonts w:asciiTheme="minorHAnsi" w:hAnsiTheme="minorHAnsi" w:cstheme="minorHAnsi"/>
          <w:sz w:val="22"/>
          <w:szCs w:val="22"/>
        </w:rPr>
        <w:t xml:space="preserve">. </w:t>
      </w:r>
    </w:p>
    <w:p w14:paraId="6798FD7C" w14:textId="73415A5B" w:rsidR="00BA6B09" w:rsidRPr="00E832A5" w:rsidRDefault="00BA6B09" w:rsidP="00CE6BE1">
      <w:pPr>
        <w:spacing w:line="276" w:lineRule="auto"/>
        <w:jc w:val="both"/>
        <w:rPr>
          <w:rFonts w:asciiTheme="minorHAnsi" w:hAnsiTheme="minorHAnsi" w:cstheme="minorHAnsi"/>
          <w:b/>
          <w:sz w:val="22"/>
          <w:szCs w:val="22"/>
        </w:rPr>
      </w:pPr>
    </w:p>
    <w:p w14:paraId="200F56C7" w14:textId="2FA8396B" w:rsidR="00757A2A" w:rsidRPr="00E832A5" w:rsidRDefault="00757A2A" w:rsidP="00CE6BE1">
      <w:pPr>
        <w:spacing w:line="276" w:lineRule="auto"/>
        <w:jc w:val="both"/>
        <w:rPr>
          <w:rFonts w:asciiTheme="minorHAnsi" w:hAnsiTheme="minorHAnsi" w:cstheme="minorHAnsi"/>
          <w:sz w:val="22"/>
          <w:szCs w:val="22"/>
        </w:rPr>
      </w:pPr>
      <w:r w:rsidRPr="00E832A5">
        <w:rPr>
          <w:rFonts w:asciiTheme="minorHAnsi" w:hAnsiTheme="minorHAnsi" w:cstheme="minorHAnsi"/>
          <w:sz w:val="22"/>
          <w:szCs w:val="22"/>
        </w:rPr>
        <w:t xml:space="preserve">For a </w:t>
      </w:r>
      <w:r w:rsidR="00B87C82" w:rsidRPr="00E832A5">
        <w:rPr>
          <w:rFonts w:asciiTheme="minorHAnsi" w:hAnsiTheme="minorHAnsi" w:cstheme="minorHAnsi"/>
          <w:sz w:val="22"/>
          <w:szCs w:val="22"/>
        </w:rPr>
        <w:t xml:space="preserve">new </w:t>
      </w:r>
      <w:r w:rsidRPr="00E832A5">
        <w:rPr>
          <w:rFonts w:asciiTheme="minorHAnsi" w:hAnsiTheme="minorHAnsi" w:cstheme="minorHAnsi"/>
          <w:sz w:val="22"/>
          <w:szCs w:val="22"/>
        </w:rPr>
        <w:t>large</w:t>
      </w:r>
      <w:r w:rsidR="00100FB1" w:rsidRPr="00E832A5">
        <w:rPr>
          <w:rFonts w:asciiTheme="minorHAnsi" w:hAnsiTheme="minorHAnsi" w:cstheme="minorHAnsi"/>
          <w:sz w:val="22"/>
          <w:szCs w:val="22"/>
        </w:rPr>
        <w:t xml:space="preserve"> </w:t>
      </w:r>
      <w:r w:rsidRPr="00E832A5">
        <w:rPr>
          <w:rFonts w:asciiTheme="minorHAnsi" w:hAnsiTheme="minorHAnsi" w:cstheme="minorHAnsi"/>
          <w:sz w:val="22"/>
          <w:szCs w:val="22"/>
        </w:rPr>
        <w:t xml:space="preserve">load project to </w:t>
      </w:r>
      <w:r w:rsidR="00C335EE">
        <w:rPr>
          <w:rFonts w:asciiTheme="minorHAnsi" w:hAnsiTheme="minorHAnsi" w:cstheme="minorHAnsi"/>
          <w:sz w:val="22"/>
          <w:szCs w:val="22"/>
        </w:rPr>
        <w:t xml:space="preserve">be considered </w:t>
      </w:r>
      <w:r w:rsidR="00AE7A39" w:rsidRPr="00E832A5">
        <w:rPr>
          <w:rFonts w:asciiTheme="minorHAnsi" w:hAnsiTheme="minorHAnsi" w:cstheme="minorHAnsi"/>
          <w:sz w:val="22"/>
          <w:szCs w:val="22"/>
        </w:rPr>
        <w:t>succe</w:t>
      </w:r>
      <w:r w:rsidR="00AE7A39">
        <w:rPr>
          <w:rFonts w:asciiTheme="minorHAnsi" w:hAnsiTheme="minorHAnsi" w:cstheme="minorHAnsi"/>
          <w:sz w:val="22"/>
          <w:szCs w:val="22"/>
        </w:rPr>
        <w:t>ssful</w:t>
      </w:r>
      <w:r w:rsidRPr="00E832A5">
        <w:rPr>
          <w:rFonts w:asciiTheme="minorHAnsi" w:hAnsiTheme="minorHAnsi" w:cstheme="minorHAnsi"/>
          <w:sz w:val="22"/>
          <w:szCs w:val="22"/>
        </w:rPr>
        <w:t xml:space="preserve">, all three </w:t>
      </w:r>
      <w:r w:rsidR="00ED36C3">
        <w:rPr>
          <w:rFonts w:asciiTheme="minorHAnsi" w:hAnsiTheme="minorHAnsi" w:cstheme="minorHAnsi"/>
          <w:sz w:val="22"/>
          <w:szCs w:val="22"/>
        </w:rPr>
        <w:t xml:space="preserve">of the </w:t>
      </w:r>
      <w:r w:rsidRPr="00E832A5">
        <w:rPr>
          <w:rFonts w:asciiTheme="minorHAnsi" w:hAnsiTheme="minorHAnsi" w:cstheme="minorHAnsi"/>
          <w:sz w:val="22"/>
          <w:szCs w:val="22"/>
        </w:rPr>
        <w:t>above events (i.e., state selection, G</w:t>
      </w:r>
      <w:r w:rsidR="005321C6">
        <w:rPr>
          <w:rFonts w:asciiTheme="minorHAnsi" w:hAnsiTheme="minorHAnsi" w:cstheme="minorHAnsi"/>
          <w:sz w:val="22"/>
          <w:szCs w:val="22"/>
        </w:rPr>
        <w:t xml:space="preserve">eorgia Power being </w:t>
      </w:r>
      <w:r w:rsidRPr="00E832A5">
        <w:rPr>
          <w:rFonts w:asciiTheme="minorHAnsi" w:hAnsiTheme="minorHAnsi" w:cstheme="minorHAnsi"/>
          <w:sz w:val="22"/>
          <w:szCs w:val="22"/>
        </w:rPr>
        <w:t>chosen as electric service provider</w:t>
      </w:r>
      <w:r w:rsidR="005321C6">
        <w:rPr>
          <w:rFonts w:asciiTheme="minorHAnsi" w:hAnsiTheme="minorHAnsi" w:cstheme="minorHAnsi"/>
          <w:sz w:val="22"/>
          <w:szCs w:val="22"/>
        </w:rPr>
        <w:t xml:space="preserve">, </w:t>
      </w:r>
      <w:r w:rsidRPr="00E832A5">
        <w:rPr>
          <w:rFonts w:asciiTheme="minorHAnsi" w:hAnsiTheme="minorHAnsi" w:cstheme="minorHAnsi"/>
          <w:sz w:val="22"/>
          <w:szCs w:val="22"/>
        </w:rPr>
        <w:t xml:space="preserve">and </w:t>
      </w:r>
      <w:r w:rsidR="005321C6">
        <w:rPr>
          <w:rFonts w:asciiTheme="minorHAnsi" w:hAnsiTheme="minorHAnsi" w:cstheme="minorHAnsi"/>
          <w:sz w:val="22"/>
          <w:szCs w:val="22"/>
        </w:rPr>
        <w:t xml:space="preserve">the </w:t>
      </w:r>
      <w:r w:rsidRPr="00E832A5">
        <w:rPr>
          <w:rFonts w:asciiTheme="minorHAnsi" w:hAnsiTheme="minorHAnsi" w:cstheme="minorHAnsi"/>
          <w:sz w:val="22"/>
          <w:szCs w:val="22"/>
        </w:rPr>
        <w:t xml:space="preserve">project reaching </w:t>
      </w:r>
      <w:r w:rsidR="005321C6">
        <w:rPr>
          <w:rFonts w:asciiTheme="minorHAnsi" w:hAnsiTheme="minorHAnsi" w:cstheme="minorHAnsi"/>
          <w:sz w:val="22"/>
          <w:szCs w:val="22"/>
        </w:rPr>
        <w:t>commercial operation</w:t>
      </w:r>
      <w:r w:rsidRPr="00E832A5">
        <w:rPr>
          <w:rFonts w:asciiTheme="minorHAnsi" w:hAnsiTheme="minorHAnsi" w:cstheme="minorHAnsi"/>
          <w:sz w:val="22"/>
          <w:szCs w:val="22"/>
        </w:rPr>
        <w:t>) must occur. In other words, project success</w:t>
      </w:r>
      <w:r w:rsidR="00D57E52">
        <w:rPr>
          <w:rFonts w:asciiTheme="minorHAnsi" w:hAnsiTheme="minorHAnsi" w:cstheme="minorHAnsi"/>
          <w:sz w:val="22"/>
          <w:szCs w:val="22"/>
        </w:rPr>
        <w:t xml:space="preserve"> or </w:t>
      </w:r>
      <w:r w:rsidRPr="00E832A5">
        <w:rPr>
          <w:rFonts w:asciiTheme="minorHAnsi" w:hAnsiTheme="minorHAnsi" w:cstheme="minorHAnsi"/>
          <w:sz w:val="22"/>
          <w:szCs w:val="22"/>
        </w:rPr>
        <w:t xml:space="preserve">failure is a binary event </w:t>
      </w:r>
      <w:r w:rsidR="001C6FF0">
        <w:rPr>
          <w:rFonts w:asciiTheme="minorHAnsi" w:hAnsiTheme="minorHAnsi" w:cstheme="minorHAnsi"/>
          <w:sz w:val="22"/>
          <w:szCs w:val="22"/>
        </w:rPr>
        <w:t xml:space="preserve">that is reflected </w:t>
      </w:r>
      <w:r w:rsidR="00E63F5B">
        <w:rPr>
          <w:rFonts w:asciiTheme="minorHAnsi" w:hAnsiTheme="minorHAnsi" w:cstheme="minorHAnsi"/>
          <w:sz w:val="22"/>
          <w:szCs w:val="22"/>
        </w:rPr>
        <w:t xml:space="preserve">by the </w:t>
      </w:r>
      <w:r w:rsidRPr="00E832A5">
        <w:rPr>
          <w:rFonts w:asciiTheme="minorHAnsi" w:hAnsiTheme="minorHAnsi" w:cstheme="minorHAnsi"/>
          <w:sz w:val="22"/>
          <w:szCs w:val="22"/>
        </w:rPr>
        <w:t xml:space="preserve">probability </w:t>
      </w:r>
      <w:r w:rsidR="00E63F5B">
        <w:rPr>
          <w:rFonts w:asciiTheme="minorHAnsi" w:hAnsiTheme="minorHAnsi" w:cstheme="minorHAnsi"/>
          <w:sz w:val="22"/>
          <w:szCs w:val="22"/>
        </w:rPr>
        <w:t>formula</w:t>
      </w:r>
      <w:r w:rsidRPr="00E832A5">
        <w:rPr>
          <w:rFonts w:asciiTheme="minorHAnsi" w:hAnsiTheme="minorHAnsi" w:cstheme="minorHAnsi"/>
          <w:sz w:val="22"/>
          <w:szCs w:val="22"/>
        </w:rPr>
        <w:t xml:space="preserve"> P=P1*P2*P3.</w:t>
      </w:r>
    </w:p>
    <w:p w14:paraId="4A75CB92" w14:textId="6DFF581C" w:rsidR="00BA6B09" w:rsidRPr="00E832A5" w:rsidRDefault="00006C22" w:rsidP="00FC4ECB">
      <w:pPr>
        <w:pStyle w:val="Heading3"/>
        <w:spacing w:before="240" w:after="240" w:line="276" w:lineRule="auto"/>
        <w:rPr>
          <w:rFonts w:asciiTheme="minorHAnsi" w:hAnsiTheme="minorHAnsi" w:cstheme="minorHAnsi"/>
        </w:rPr>
      </w:pPr>
      <w:r w:rsidRPr="00E832A5">
        <w:rPr>
          <w:rFonts w:asciiTheme="minorHAnsi" w:hAnsiTheme="minorHAnsi" w:cstheme="minorHAnsi"/>
        </w:rPr>
        <w:t>1.5.1.7</w:t>
      </w:r>
      <w:r w:rsidR="00BA6B09" w:rsidRPr="00E832A5">
        <w:rPr>
          <w:rFonts w:asciiTheme="minorHAnsi" w:hAnsiTheme="minorHAnsi" w:cstheme="minorHAnsi"/>
        </w:rPr>
        <w:tab/>
        <w:t xml:space="preserve">Announced Load vs. </w:t>
      </w:r>
      <w:r w:rsidR="00641239">
        <w:rPr>
          <w:rFonts w:asciiTheme="minorHAnsi" w:hAnsiTheme="minorHAnsi" w:cstheme="minorHAnsi"/>
        </w:rPr>
        <w:t>Metered</w:t>
      </w:r>
      <w:r w:rsidR="00641239" w:rsidRPr="00E832A5">
        <w:rPr>
          <w:rFonts w:asciiTheme="minorHAnsi" w:hAnsiTheme="minorHAnsi" w:cstheme="minorHAnsi"/>
        </w:rPr>
        <w:t xml:space="preserve"> </w:t>
      </w:r>
      <w:r w:rsidR="00BA6B09" w:rsidRPr="00E832A5">
        <w:rPr>
          <w:rFonts w:asciiTheme="minorHAnsi" w:hAnsiTheme="minorHAnsi" w:cstheme="minorHAnsi"/>
        </w:rPr>
        <w:t>Load</w:t>
      </w:r>
    </w:p>
    <w:p w14:paraId="4529F646" w14:textId="2F0E520A" w:rsidR="00BA6B09" w:rsidRPr="00E832A5" w:rsidRDefault="00BA6B09" w:rsidP="00FC4ECB">
      <w:pPr>
        <w:spacing w:line="276" w:lineRule="auto"/>
        <w:jc w:val="both"/>
        <w:rPr>
          <w:rFonts w:asciiTheme="minorHAnsi" w:hAnsiTheme="minorHAnsi" w:cstheme="minorHAnsi"/>
          <w:sz w:val="22"/>
          <w:szCs w:val="22"/>
        </w:rPr>
      </w:pPr>
      <w:r w:rsidRPr="00E832A5">
        <w:rPr>
          <w:rFonts w:asciiTheme="minorHAnsi" w:hAnsiTheme="minorHAnsi" w:cstheme="minorHAnsi"/>
          <w:sz w:val="22"/>
          <w:szCs w:val="22"/>
        </w:rPr>
        <w:t>To account for the</w:t>
      </w:r>
      <w:r w:rsidR="0036438B" w:rsidRPr="00E832A5">
        <w:rPr>
          <w:rFonts w:asciiTheme="minorHAnsi" w:hAnsiTheme="minorHAnsi" w:cstheme="minorHAnsi"/>
          <w:sz w:val="22"/>
          <w:szCs w:val="22"/>
        </w:rPr>
        <w:t xml:space="preserve"> potential</w:t>
      </w:r>
      <w:r w:rsidRPr="00E832A5">
        <w:rPr>
          <w:rFonts w:asciiTheme="minorHAnsi" w:hAnsiTheme="minorHAnsi" w:cstheme="minorHAnsi"/>
          <w:sz w:val="22"/>
          <w:szCs w:val="22"/>
        </w:rPr>
        <w:t xml:space="preserve"> </w:t>
      </w:r>
      <w:r w:rsidR="00951413">
        <w:rPr>
          <w:rFonts w:asciiTheme="minorHAnsi" w:hAnsiTheme="minorHAnsi" w:cstheme="minorHAnsi"/>
          <w:sz w:val="22"/>
          <w:szCs w:val="22"/>
        </w:rPr>
        <w:t>difference</w:t>
      </w:r>
      <w:r w:rsidRPr="00E832A5">
        <w:rPr>
          <w:rFonts w:asciiTheme="minorHAnsi" w:hAnsiTheme="minorHAnsi" w:cstheme="minorHAnsi"/>
          <w:sz w:val="22"/>
          <w:szCs w:val="22"/>
        </w:rPr>
        <w:t xml:space="preserve"> between the </w:t>
      </w:r>
      <w:r w:rsidR="006D62B9">
        <w:rPr>
          <w:rFonts w:asciiTheme="minorHAnsi" w:hAnsiTheme="minorHAnsi" w:cstheme="minorHAnsi"/>
          <w:sz w:val="22"/>
          <w:szCs w:val="22"/>
        </w:rPr>
        <w:t xml:space="preserve">metered </w:t>
      </w:r>
      <w:r w:rsidRPr="00E832A5">
        <w:rPr>
          <w:rFonts w:asciiTheme="minorHAnsi" w:hAnsiTheme="minorHAnsi" w:cstheme="minorHAnsi"/>
          <w:sz w:val="22"/>
          <w:szCs w:val="22"/>
        </w:rPr>
        <w:t xml:space="preserve">load </w:t>
      </w:r>
      <w:r w:rsidR="00C243E8">
        <w:rPr>
          <w:rFonts w:asciiTheme="minorHAnsi" w:hAnsiTheme="minorHAnsi" w:cstheme="minorHAnsi"/>
          <w:sz w:val="22"/>
          <w:szCs w:val="22"/>
        </w:rPr>
        <w:t>being served</w:t>
      </w:r>
      <w:r w:rsidR="00152681">
        <w:rPr>
          <w:rFonts w:asciiTheme="minorHAnsi" w:hAnsiTheme="minorHAnsi" w:cstheme="minorHAnsi"/>
          <w:sz w:val="22"/>
          <w:szCs w:val="22"/>
        </w:rPr>
        <w:t>, as measured</w:t>
      </w:r>
      <w:r w:rsidRPr="00E832A5">
        <w:rPr>
          <w:rFonts w:asciiTheme="minorHAnsi" w:hAnsiTheme="minorHAnsi" w:cstheme="minorHAnsi"/>
          <w:sz w:val="22"/>
          <w:szCs w:val="22"/>
        </w:rPr>
        <w:t xml:space="preserve"> at the </w:t>
      </w:r>
      <w:r w:rsidR="00152681">
        <w:rPr>
          <w:rFonts w:asciiTheme="minorHAnsi" w:hAnsiTheme="minorHAnsi" w:cstheme="minorHAnsi"/>
          <w:sz w:val="22"/>
          <w:szCs w:val="22"/>
        </w:rPr>
        <w:t xml:space="preserve">customer’s </w:t>
      </w:r>
      <w:r w:rsidRPr="00E832A5">
        <w:rPr>
          <w:rFonts w:asciiTheme="minorHAnsi" w:hAnsiTheme="minorHAnsi" w:cstheme="minorHAnsi"/>
          <w:sz w:val="22"/>
          <w:szCs w:val="22"/>
        </w:rPr>
        <w:t>meter</w:t>
      </w:r>
      <w:r w:rsidR="009773CC">
        <w:rPr>
          <w:rFonts w:asciiTheme="minorHAnsi" w:hAnsiTheme="minorHAnsi" w:cstheme="minorHAnsi"/>
          <w:sz w:val="22"/>
          <w:szCs w:val="22"/>
        </w:rPr>
        <w:t>,</w:t>
      </w:r>
      <w:r w:rsidR="00DE27EE">
        <w:rPr>
          <w:rFonts w:asciiTheme="minorHAnsi" w:hAnsiTheme="minorHAnsi" w:cstheme="minorHAnsi"/>
          <w:sz w:val="22"/>
          <w:szCs w:val="22"/>
        </w:rPr>
        <w:t xml:space="preserve"> </w:t>
      </w:r>
      <w:r w:rsidR="00D33F10" w:rsidRPr="00E832A5">
        <w:rPr>
          <w:rFonts w:asciiTheme="minorHAnsi" w:hAnsiTheme="minorHAnsi" w:cstheme="minorHAnsi"/>
          <w:sz w:val="22"/>
          <w:szCs w:val="22"/>
        </w:rPr>
        <w:t>versus</w:t>
      </w:r>
      <w:r w:rsidRPr="00E832A5">
        <w:rPr>
          <w:rFonts w:asciiTheme="minorHAnsi" w:hAnsiTheme="minorHAnsi" w:cstheme="minorHAnsi"/>
          <w:sz w:val="22"/>
          <w:szCs w:val="22"/>
        </w:rPr>
        <w:t xml:space="preserve"> </w:t>
      </w:r>
      <w:r w:rsidR="009773CC">
        <w:rPr>
          <w:rFonts w:asciiTheme="minorHAnsi" w:hAnsiTheme="minorHAnsi" w:cstheme="minorHAnsi"/>
          <w:sz w:val="22"/>
          <w:szCs w:val="22"/>
        </w:rPr>
        <w:t xml:space="preserve">the load </w:t>
      </w:r>
      <w:r w:rsidRPr="00E832A5">
        <w:rPr>
          <w:rFonts w:asciiTheme="minorHAnsi" w:hAnsiTheme="minorHAnsi" w:cstheme="minorHAnsi"/>
          <w:sz w:val="22"/>
          <w:szCs w:val="22"/>
        </w:rPr>
        <w:t xml:space="preserve">announced </w:t>
      </w:r>
      <w:r w:rsidR="009773CC">
        <w:rPr>
          <w:rFonts w:asciiTheme="minorHAnsi" w:hAnsiTheme="minorHAnsi" w:cstheme="minorHAnsi"/>
          <w:sz w:val="22"/>
          <w:szCs w:val="22"/>
        </w:rPr>
        <w:t>by the customer</w:t>
      </w:r>
      <w:r w:rsidRPr="00E832A5">
        <w:rPr>
          <w:rFonts w:asciiTheme="minorHAnsi" w:hAnsiTheme="minorHAnsi" w:cstheme="minorHAnsi"/>
          <w:sz w:val="22"/>
          <w:szCs w:val="22"/>
        </w:rPr>
        <w:t xml:space="preserve">, the ratio (in %) between </w:t>
      </w:r>
      <w:r w:rsidR="006D62B9">
        <w:rPr>
          <w:rFonts w:asciiTheme="minorHAnsi" w:hAnsiTheme="minorHAnsi" w:cstheme="minorHAnsi"/>
          <w:sz w:val="22"/>
          <w:szCs w:val="22"/>
        </w:rPr>
        <w:t>metered</w:t>
      </w:r>
      <w:r w:rsidR="006D62B9" w:rsidRPr="00E832A5">
        <w:rPr>
          <w:rFonts w:asciiTheme="minorHAnsi" w:hAnsiTheme="minorHAnsi" w:cstheme="minorHAnsi"/>
          <w:sz w:val="22"/>
          <w:szCs w:val="22"/>
        </w:rPr>
        <w:t xml:space="preserve"> </w:t>
      </w:r>
      <w:r w:rsidRPr="00E832A5">
        <w:rPr>
          <w:rFonts w:asciiTheme="minorHAnsi" w:hAnsiTheme="minorHAnsi" w:cstheme="minorHAnsi"/>
          <w:sz w:val="22"/>
          <w:szCs w:val="22"/>
        </w:rPr>
        <w:t xml:space="preserve">load and announced load is </w:t>
      </w:r>
      <w:r w:rsidR="002F1414" w:rsidRPr="00E832A5">
        <w:rPr>
          <w:rFonts w:asciiTheme="minorHAnsi" w:hAnsiTheme="minorHAnsi" w:cstheme="minorHAnsi"/>
          <w:sz w:val="22"/>
          <w:szCs w:val="22"/>
        </w:rPr>
        <w:t xml:space="preserve">treated </w:t>
      </w:r>
      <w:r w:rsidRPr="00E832A5">
        <w:rPr>
          <w:rFonts w:asciiTheme="minorHAnsi" w:hAnsiTheme="minorHAnsi" w:cstheme="minorHAnsi"/>
          <w:sz w:val="22"/>
          <w:szCs w:val="22"/>
        </w:rPr>
        <w:t>as a range</w:t>
      </w:r>
      <w:r w:rsidR="0034358A" w:rsidRPr="00E832A5">
        <w:rPr>
          <w:rFonts w:asciiTheme="minorHAnsi" w:hAnsiTheme="minorHAnsi" w:cstheme="minorHAnsi"/>
          <w:sz w:val="22"/>
          <w:szCs w:val="22"/>
        </w:rPr>
        <w:t>.</w:t>
      </w:r>
      <w:r w:rsidR="00333C1F" w:rsidRPr="00E832A5">
        <w:rPr>
          <w:rFonts w:asciiTheme="minorHAnsi" w:hAnsiTheme="minorHAnsi" w:cstheme="minorHAnsi"/>
          <w:sz w:val="22"/>
          <w:szCs w:val="22"/>
        </w:rPr>
        <w:t xml:space="preserve"> </w:t>
      </w:r>
      <w:r w:rsidR="00E21946" w:rsidRPr="00E832A5">
        <w:rPr>
          <w:rFonts w:asciiTheme="minorHAnsi" w:hAnsiTheme="minorHAnsi" w:cstheme="minorHAnsi"/>
          <w:sz w:val="22"/>
          <w:szCs w:val="22"/>
        </w:rPr>
        <w:t xml:space="preserve">In the </w:t>
      </w:r>
      <w:r w:rsidR="007E1259" w:rsidRPr="00E832A5">
        <w:rPr>
          <w:rFonts w:asciiTheme="minorHAnsi" w:hAnsiTheme="minorHAnsi" w:cstheme="minorHAnsi"/>
          <w:sz w:val="22"/>
          <w:szCs w:val="22"/>
        </w:rPr>
        <w:t>absence</w:t>
      </w:r>
      <w:r w:rsidR="00E21946" w:rsidRPr="00E832A5">
        <w:rPr>
          <w:rFonts w:asciiTheme="minorHAnsi" w:hAnsiTheme="minorHAnsi" w:cstheme="minorHAnsi"/>
          <w:sz w:val="22"/>
          <w:szCs w:val="22"/>
        </w:rPr>
        <w:t xml:space="preserve"> of </w:t>
      </w:r>
      <w:r w:rsidR="007E1259" w:rsidRPr="00E832A5">
        <w:rPr>
          <w:rFonts w:asciiTheme="minorHAnsi" w:hAnsiTheme="minorHAnsi" w:cstheme="minorHAnsi"/>
          <w:sz w:val="22"/>
          <w:szCs w:val="22"/>
        </w:rPr>
        <w:t xml:space="preserve">actual historical data, </w:t>
      </w:r>
      <w:r w:rsidR="00B457C9">
        <w:rPr>
          <w:rFonts w:asciiTheme="minorHAnsi" w:hAnsiTheme="minorHAnsi" w:cstheme="minorHAnsi"/>
          <w:sz w:val="22"/>
          <w:szCs w:val="22"/>
        </w:rPr>
        <w:t xml:space="preserve">the </w:t>
      </w:r>
      <w:r w:rsidR="00095BC5" w:rsidRPr="00E832A5">
        <w:rPr>
          <w:rFonts w:asciiTheme="minorHAnsi" w:hAnsiTheme="minorHAnsi" w:cstheme="minorHAnsi"/>
          <w:sz w:val="22"/>
          <w:szCs w:val="22"/>
        </w:rPr>
        <w:t xml:space="preserve">Company </w:t>
      </w:r>
      <w:r w:rsidR="00B457C9">
        <w:rPr>
          <w:rFonts w:asciiTheme="minorHAnsi" w:hAnsiTheme="minorHAnsi" w:cstheme="minorHAnsi"/>
          <w:sz w:val="22"/>
          <w:szCs w:val="22"/>
        </w:rPr>
        <w:t>identifies</w:t>
      </w:r>
      <w:r w:rsidR="00095BC5" w:rsidRPr="00E832A5">
        <w:rPr>
          <w:rFonts w:asciiTheme="minorHAnsi" w:hAnsiTheme="minorHAnsi" w:cstheme="minorHAnsi"/>
          <w:sz w:val="22"/>
          <w:szCs w:val="22"/>
        </w:rPr>
        <w:t xml:space="preserve"> </w:t>
      </w:r>
      <w:r w:rsidR="003C305E" w:rsidRPr="00E832A5">
        <w:rPr>
          <w:rFonts w:asciiTheme="minorHAnsi" w:hAnsiTheme="minorHAnsi" w:cstheme="minorHAnsi"/>
          <w:sz w:val="22"/>
          <w:szCs w:val="22"/>
        </w:rPr>
        <w:t xml:space="preserve">minimum and maximum </w:t>
      </w:r>
      <w:r w:rsidR="00417CBE" w:rsidRPr="00E832A5">
        <w:rPr>
          <w:rFonts w:asciiTheme="minorHAnsi" w:hAnsiTheme="minorHAnsi" w:cstheme="minorHAnsi"/>
          <w:sz w:val="22"/>
          <w:szCs w:val="22"/>
        </w:rPr>
        <w:t>value</w:t>
      </w:r>
      <w:r w:rsidR="00923BB2" w:rsidRPr="00E832A5">
        <w:rPr>
          <w:rFonts w:asciiTheme="minorHAnsi" w:hAnsiTheme="minorHAnsi" w:cstheme="minorHAnsi"/>
          <w:sz w:val="22"/>
          <w:szCs w:val="22"/>
        </w:rPr>
        <w:t>s</w:t>
      </w:r>
      <w:r w:rsidR="00417CBE" w:rsidRPr="00E832A5">
        <w:rPr>
          <w:rFonts w:asciiTheme="minorHAnsi" w:hAnsiTheme="minorHAnsi" w:cstheme="minorHAnsi"/>
          <w:sz w:val="22"/>
          <w:szCs w:val="22"/>
        </w:rPr>
        <w:t xml:space="preserve"> for this range</w:t>
      </w:r>
      <w:r w:rsidR="00923BB2" w:rsidRPr="00E832A5">
        <w:rPr>
          <w:rFonts w:asciiTheme="minorHAnsi" w:hAnsiTheme="minorHAnsi" w:cstheme="minorHAnsi"/>
          <w:sz w:val="22"/>
          <w:szCs w:val="22"/>
        </w:rPr>
        <w:t>,</w:t>
      </w:r>
      <w:r w:rsidR="0083620E" w:rsidRPr="00E832A5">
        <w:rPr>
          <w:rFonts w:asciiTheme="minorHAnsi" w:hAnsiTheme="minorHAnsi" w:cstheme="minorHAnsi"/>
          <w:sz w:val="22"/>
          <w:szCs w:val="22"/>
        </w:rPr>
        <w:t xml:space="preserve"> as well as a most likely outcome</w:t>
      </w:r>
      <w:r w:rsidR="00F12805" w:rsidRPr="00E832A5">
        <w:rPr>
          <w:rFonts w:asciiTheme="minorHAnsi" w:hAnsiTheme="minorHAnsi" w:cstheme="minorHAnsi"/>
          <w:sz w:val="22"/>
          <w:szCs w:val="22"/>
        </w:rPr>
        <w:t xml:space="preserve">. </w:t>
      </w:r>
      <w:r w:rsidR="009A4D3C" w:rsidRPr="00E832A5">
        <w:rPr>
          <w:rFonts w:asciiTheme="minorHAnsi" w:hAnsiTheme="minorHAnsi" w:cstheme="minorHAnsi"/>
          <w:sz w:val="22"/>
          <w:szCs w:val="22"/>
        </w:rPr>
        <w:t xml:space="preserve">For example, in the case of data centers, </w:t>
      </w:r>
      <w:r w:rsidR="00A66680" w:rsidRPr="00E832A5">
        <w:rPr>
          <w:rFonts w:asciiTheme="minorHAnsi" w:hAnsiTheme="minorHAnsi" w:cstheme="minorHAnsi"/>
          <w:sz w:val="22"/>
          <w:szCs w:val="22"/>
        </w:rPr>
        <w:t xml:space="preserve">the range </w:t>
      </w:r>
      <w:r w:rsidR="00476F85" w:rsidRPr="00E832A5">
        <w:rPr>
          <w:rFonts w:asciiTheme="minorHAnsi" w:hAnsiTheme="minorHAnsi" w:cstheme="minorHAnsi"/>
          <w:sz w:val="22"/>
          <w:szCs w:val="22"/>
        </w:rPr>
        <w:t xml:space="preserve">is between </w:t>
      </w:r>
      <w:r w:rsidR="00742C25" w:rsidRPr="00166DAE">
        <w:rPr>
          <w:rFonts w:asciiTheme="minorHAnsi" w:hAnsiTheme="minorHAnsi" w:cstheme="minorHAnsi"/>
          <w:b/>
          <w:bCs/>
          <w:sz w:val="16"/>
          <w:szCs w:val="16"/>
        </w:rPr>
        <w:t>REDACTED</w:t>
      </w:r>
      <w:r w:rsidR="007548C0" w:rsidRPr="00E832A5">
        <w:rPr>
          <w:rFonts w:asciiTheme="minorHAnsi" w:hAnsiTheme="minorHAnsi" w:cstheme="minorHAnsi"/>
          <w:sz w:val="22"/>
          <w:szCs w:val="22"/>
        </w:rPr>
        <w:t xml:space="preserve">% and </w:t>
      </w:r>
      <w:r w:rsidR="00175D88" w:rsidRPr="00166DAE">
        <w:rPr>
          <w:rFonts w:asciiTheme="minorHAnsi" w:hAnsiTheme="minorHAnsi" w:cstheme="minorHAnsi"/>
          <w:b/>
          <w:bCs/>
          <w:sz w:val="16"/>
          <w:szCs w:val="16"/>
        </w:rPr>
        <w:t>REDACTED</w:t>
      </w:r>
      <w:r w:rsidR="007548C0" w:rsidRPr="00E832A5">
        <w:rPr>
          <w:rFonts w:asciiTheme="minorHAnsi" w:hAnsiTheme="minorHAnsi" w:cstheme="minorHAnsi"/>
          <w:sz w:val="22"/>
          <w:szCs w:val="22"/>
        </w:rPr>
        <w:t>%</w:t>
      </w:r>
      <w:r w:rsidR="005B04BE" w:rsidRPr="00E832A5">
        <w:rPr>
          <w:rFonts w:asciiTheme="minorHAnsi" w:hAnsiTheme="minorHAnsi" w:cstheme="minorHAnsi"/>
          <w:sz w:val="22"/>
          <w:szCs w:val="22"/>
        </w:rPr>
        <w:t xml:space="preserve"> of </w:t>
      </w:r>
      <w:r w:rsidR="00D67E9A">
        <w:rPr>
          <w:rFonts w:asciiTheme="minorHAnsi" w:hAnsiTheme="minorHAnsi" w:cstheme="minorHAnsi"/>
          <w:sz w:val="22"/>
          <w:szCs w:val="22"/>
        </w:rPr>
        <w:t xml:space="preserve">the customer’s </w:t>
      </w:r>
      <w:r w:rsidR="005B04BE" w:rsidRPr="00E832A5">
        <w:rPr>
          <w:rFonts w:asciiTheme="minorHAnsi" w:hAnsiTheme="minorHAnsi" w:cstheme="minorHAnsi"/>
          <w:sz w:val="22"/>
          <w:szCs w:val="22"/>
        </w:rPr>
        <w:t xml:space="preserve">announced load, with a </w:t>
      </w:r>
      <w:r w:rsidR="00166DAE">
        <w:rPr>
          <w:rFonts w:asciiTheme="minorHAnsi" w:hAnsiTheme="minorHAnsi" w:cstheme="minorHAnsi"/>
          <w:sz w:val="22"/>
          <w:szCs w:val="22"/>
        </w:rPr>
        <w:br/>
      </w:r>
      <w:r w:rsidR="005B04BE" w:rsidRPr="00E832A5">
        <w:rPr>
          <w:rFonts w:asciiTheme="minorHAnsi" w:hAnsiTheme="minorHAnsi" w:cstheme="minorHAnsi"/>
          <w:sz w:val="22"/>
          <w:szCs w:val="22"/>
        </w:rPr>
        <w:t xml:space="preserve">most likely outcome of </w:t>
      </w:r>
      <w:r w:rsidR="00C6632B" w:rsidRPr="00E2401A">
        <w:rPr>
          <w:rFonts w:asciiTheme="minorHAnsi" w:hAnsiTheme="minorHAnsi" w:cstheme="minorHAnsi"/>
          <w:b/>
          <w:bCs/>
          <w:sz w:val="16"/>
          <w:szCs w:val="16"/>
        </w:rPr>
        <w:t>REDACTED</w:t>
      </w:r>
      <w:r w:rsidR="005B04BE" w:rsidRPr="00E832A5">
        <w:rPr>
          <w:rFonts w:asciiTheme="minorHAnsi" w:hAnsiTheme="minorHAnsi" w:cstheme="minorHAnsi"/>
          <w:sz w:val="22"/>
          <w:szCs w:val="22"/>
        </w:rPr>
        <w:t>%</w:t>
      </w:r>
      <w:r w:rsidR="00674ECF" w:rsidRPr="00E832A5">
        <w:rPr>
          <w:rFonts w:asciiTheme="minorHAnsi" w:hAnsiTheme="minorHAnsi" w:cstheme="minorHAnsi"/>
          <w:sz w:val="22"/>
          <w:szCs w:val="22"/>
        </w:rPr>
        <w:t>. Mathematically</w:t>
      </w:r>
      <w:r w:rsidR="00380908" w:rsidRPr="00E832A5">
        <w:rPr>
          <w:rFonts w:asciiTheme="minorHAnsi" w:hAnsiTheme="minorHAnsi" w:cstheme="minorHAnsi"/>
          <w:sz w:val="22"/>
          <w:szCs w:val="22"/>
        </w:rPr>
        <w:t xml:space="preserve">, this is </w:t>
      </w:r>
      <w:r w:rsidR="004D69EA" w:rsidRPr="00E832A5">
        <w:rPr>
          <w:rFonts w:asciiTheme="minorHAnsi" w:hAnsiTheme="minorHAnsi" w:cstheme="minorHAnsi"/>
          <w:sz w:val="22"/>
          <w:szCs w:val="22"/>
        </w:rPr>
        <w:t xml:space="preserve">modeled </w:t>
      </w:r>
      <w:r w:rsidR="0048478E" w:rsidRPr="00E832A5">
        <w:rPr>
          <w:rFonts w:asciiTheme="minorHAnsi" w:hAnsiTheme="minorHAnsi" w:cstheme="minorHAnsi"/>
          <w:sz w:val="22"/>
          <w:szCs w:val="22"/>
        </w:rPr>
        <w:t xml:space="preserve">with </w:t>
      </w:r>
      <w:r w:rsidR="007A6976" w:rsidRPr="00E832A5">
        <w:rPr>
          <w:rFonts w:asciiTheme="minorHAnsi" w:hAnsiTheme="minorHAnsi" w:cstheme="minorHAnsi"/>
          <w:sz w:val="22"/>
          <w:szCs w:val="22"/>
        </w:rPr>
        <w:t>a t</w:t>
      </w:r>
      <w:r w:rsidR="0048478E" w:rsidRPr="00E832A5">
        <w:rPr>
          <w:rFonts w:asciiTheme="minorHAnsi" w:hAnsiTheme="minorHAnsi" w:cstheme="minorHAnsi"/>
          <w:sz w:val="22"/>
          <w:szCs w:val="22"/>
        </w:rPr>
        <w:t>riangular distribution</w:t>
      </w:r>
      <w:r w:rsidR="00A66680" w:rsidRPr="00E832A5">
        <w:rPr>
          <w:rFonts w:asciiTheme="minorHAnsi" w:hAnsiTheme="minorHAnsi" w:cstheme="minorHAnsi"/>
          <w:sz w:val="22"/>
          <w:szCs w:val="22"/>
        </w:rPr>
        <w:t xml:space="preserve"> </w:t>
      </w:r>
      <w:r w:rsidR="002038E5" w:rsidRPr="00E832A5">
        <w:rPr>
          <w:rFonts w:asciiTheme="minorHAnsi" w:hAnsiTheme="minorHAnsi" w:cstheme="minorHAnsi"/>
          <w:sz w:val="22"/>
          <w:szCs w:val="22"/>
        </w:rPr>
        <w:t>(se</w:t>
      </w:r>
      <w:r w:rsidR="001F5272" w:rsidRPr="00E832A5">
        <w:rPr>
          <w:rFonts w:asciiTheme="minorHAnsi" w:hAnsiTheme="minorHAnsi" w:cstheme="minorHAnsi"/>
          <w:sz w:val="22"/>
          <w:szCs w:val="22"/>
        </w:rPr>
        <w:t xml:space="preserve">e Section </w:t>
      </w:r>
      <w:r w:rsidR="00FB1825" w:rsidRPr="00E832A5">
        <w:rPr>
          <w:rFonts w:asciiTheme="minorHAnsi" w:hAnsiTheme="minorHAnsi" w:cstheme="minorHAnsi"/>
          <w:sz w:val="22"/>
          <w:szCs w:val="22"/>
        </w:rPr>
        <w:t>1.5</w:t>
      </w:r>
      <w:r w:rsidR="00620B52" w:rsidRPr="00E832A5">
        <w:rPr>
          <w:rFonts w:asciiTheme="minorHAnsi" w:hAnsiTheme="minorHAnsi" w:cstheme="minorHAnsi"/>
          <w:sz w:val="22"/>
          <w:szCs w:val="22"/>
        </w:rPr>
        <w:t>.3</w:t>
      </w:r>
      <w:r w:rsidR="001F5272" w:rsidRPr="00E832A5">
        <w:rPr>
          <w:rFonts w:asciiTheme="minorHAnsi" w:hAnsiTheme="minorHAnsi" w:cstheme="minorHAnsi"/>
          <w:sz w:val="22"/>
          <w:szCs w:val="22"/>
        </w:rPr>
        <w:t xml:space="preserve"> for more technical details)</w:t>
      </w:r>
      <w:r w:rsidR="008D5CAA">
        <w:rPr>
          <w:rFonts w:asciiTheme="minorHAnsi" w:hAnsiTheme="minorHAnsi" w:cstheme="minorHAnsi"/>
          <w:sz w:val="22"/>
          <w:szCs w:val="22"/>
        </w:rPr>
        <w:t>.</w:t>
      </w:r>
    </w:p>
    <w:p w14:paraId="730DC6CC" w14:textId="77777777" w:rsidR="00BA6B09" w:rsidRPr="00E832A5" w:rsidRDefault="00BA6B09" w:rsidP="00677999">
      <w:pPr>
        <w:spacing w:line="276" w:lineRule="auto"/>
        <w:jc w:val="both"/>
        <w:rPr>
          <w:rFonts w:asciiTheme="minorHAnsi" w:hAnsiTheme="minorHAnsi" w:cstheme="minorHAnsi"/>
          <w:sz w:val="22"/>
          <w:szCs w:val="22"/>
        </w:rPr>
      </w:pPr>
    </w:p>
    <w:p w14:paraId="729071DA" w14:textId="79E6C894" w:rsidR="00BA6B09" w:rsidRPr="00E832A5" w:rsidRDefault="00BA6B09" w:rsidP="00677999">
      <w:pPr>
        <w:spacing w:line="276" w:lineRule="auto"/>
        <w:jc w:val="both"/>
        <w:rPr>
          <w:rFonts w:asciiTheme="minorHAnsi" w:hAnsiTheme="minorHAnsi" w:cstheme="minorHAnsi"/>
          <w:sz w:val="22"/>
          <w:szCs w:val="22"/>
        </w:rPr>
      </w:pPr>
      <w:r w:rsidRPr="00E832A5">
        <w:rPr>
          <w:rFonts w:asciiTheme="minorHAnsi" w:hAnsiTheme="minorHAnsi" w:cstheme="minorHAnsi"/>
          <w:sz w:val="22"/>
          <w:szCs w:val="22"/>
        </w:rPr>
        <w:t xml:space="preserve">Table </w:t>
      </w:r>
      <w:r w:rsidR="00F40627" w:rsidRPr="00E832A5">
        <w:rPr>
          <w:rFonts w:asciiTheme="minorHAnsi" w:hAnsiTheme="minorHAnsi" w:cstheme="minorHAnsi"/>
          <w:sz w:val="22"/>
          <w:szCs w:val="22"/>
        </w:rPr>
        <w:t>1.5.1.7</w:t>
      </w:r>
      <w:r w:rsidRPr="00E832A5">
        <w:rPr>
          <w:rFonts w:asciiTheme="minorHAnsi" w:hAnsiTheme="minorHAnsi" w:cstheme="minorHAnsi"/>
          <w:sz w:val="22"/>
          <w:szCs w:val="22"/>
        </w:rPr>
        <w:t xml:space="preserve">-1 below demonstrates the parameter inputs for modeling the </w:t>
      </w:r>
      <w:r w:rsidR="00456047">
        <w:rPr>
          <w:rFonts w:asciiTheme="minorHAnsi" w:hAnsiTheme="minorHAnsi" w:cstheme="minorHAnsi"/>
          <w:sz w:val="22"/>
          <w:szCs w:val="22"/>
        </w:rPr>
        <w:t>metered</w:t>
      </w:r>
      <w:r w:rsidR="00456047" w:rsidRPr="00E832A5">
        <w:rPr>
          <w:rFonts w:asciiTheme="minorHAnsi" w:hAnsiTheme="minorHAnsi" w:cstheme="minorHAnsi"/>
          <w:sz w:val="22"/>
          <w:szCs w:val="22"/>
        </w:rPr>
        <w:t xml:space="preserve"> </w:t>
      </w:r>
      <w:r w:rsidRPr="00E832A5">
        <w:rPr>
          <w:rFonts w:asciiTheme="minorHAnsi" w:hAnsiTheme="minorHAnsi" w:cstheme="minorHAnsi"/>
          <w:sz w:val="22"/>
          <w:szCs w:val="22"/>
        </w:rPr>
        <w:t>load compared to the announced load, based on the customer class and segment.</w:t>
      </w:r>
    </w:p>
    <w:p w14:paraId="2A6C9EC6" w14:textId="77777777" w:rsidR="00BA6B09" w:rsidRPr="00B20D17" w:rsidRDefault="00BA6B09" w:rsidP="00CE6BE1">
      <w:pPr>
        <w:spacing w:line="276" w:lineRule="auto"/>
        <w:jc w:val="both"/>
        <w:rPr>
          <w:rFonts w:asciiTheme="minorHAnsi" w:hAnsiTheme="minorHAnsi" w:cstheme="minorHAnsi"/>
        </w:rPr>
      </w:pPr>
    </w:p>
    <w:p w14:paraId="2413DF08" w14:textId="653F85A8" w:rsidR="00BA6B09" w:rsidRPr="00E832A5" w:rsidRDefault="00BA6B09" w:rsidP="00CE6BE1">
      <w:pPr>
        <w:keepNext/>
        <w:spacing w:line="276" w:lineRule="auto"/>
        <w:jc w:val="center"/>
        <w:rPr>
          <w:rFonts w:asciiTheme="minorHAnsi" w:hAnsiTheme="minorHAnsi" w:cstheme="minorHAnsi"/>
          <w:b/>
          <w:bCs/>
          <w:sz w:val="22"/>
          <w:szCs w:val="22"/>
        </w:rPr>
      </w:pPr>
      <w:r w:rsidRPr="0095089D">
        <w:rPr>
          <w:rFonts w:asciiTheme="minorHAnsi" w:hAnsiTheme="minorHAnsi" w:cstheme="minorHAnsi"/>
          <w:b/>
          <w:sz w:val="22"/>
          <w:szCs w:val="22"/>
        </w:rPr>
        <w:t xml:space="preserve">Table </w:t>
      </w:r>
      <w:r w:rsidR="00F40627" w:rsidRPr="0095089D">
        <w:rPr>
          <w:rFonts w:asciiTheme="minorHAnsi" w:hAnsiTheme="minorHAnsi" w:cstheme="minorHAnsi"/>
          <w:b/>
          <w:sz w:val="22"/>
          <w:szCs w:val="22"/>
        </w:rPr>
        <w:t>1.5</w:t>
      </w:r>
      <w:r w:rsidR="00A33538" w:rsidRPr="0095089D">
        <w:rPr>
          <w:rFonts w:asciiTheme="minorHAnsi" w:hAnsiTheme="minorHAnsi" w:cstheme="minorHAnsi"/>
          <w:b/>
          <w:sz w:val="22"/>
          <w:szCs w:val="22"/>
        </w:rPr>
        <w:t>.1.7-1</w:t>
      </w:r>
      <w:r w:rsidRPr="0095089D">
        <w:rPr>
          <w:rFonts w:asciiTheme="minorHAnsi" w:hAnsiTheme="minorHAnsi" w:cstheme="minorHAnsi"/>
          <w:b/>
          <w:sz w:val="22"/>
          <w:szCs w:val="22"/>
        </w:rPr>
        <w:t xml:space="preserve">: Specifications of Triangular Distributions for </w:t>
      </w:r>
      <w:r w:rsidR="00456047" w:rsidRPr="0095089D">
        <w:rPr>
          <w:rFonts w:asciiTheme="minorHAnsi" w:hAnsiTheme="minorHAnsi" w:cstheme="minorHAnsi"/>
          <w:b/>
          <w:bCs/>
          <w:sz w:val="22"/>
          <w:szCs w:val="22"/>
        </w:rPr>
        <w:t>Metered</w:t>
      </w:r>
      <w:r w:rsidR="00456047" w:rsidRPr="0095089D">
        <w:rPr>
          <w:rFonts w:asciiTheme="minorHAnsi" w:hAnsiTheme="minorHAnsi" w:cstheme="minorHAnsi"/>
          <w:b/>
          <w:sz w:val="22"/>
          <w:szCs w:val="22"/>
        </w:rPr>
        <w:t xml:space="preserve"> </w:t>
      </w:r>
      <w:r w:rsidRPr="0095089D">
        <w:rPr>
          <w:rFonts w:asciiTheme="minorHAnsi" w:hAnsiTheme="minorHAnsi" w:cstheme="minorHAnsi"/>
          <w:b/>
          <w:sz w:val="22"/>
          <w:szCs w:val="22"/>
        </w:rPr>
        <w:t>vs. Announced</w:t>
      </w:r>
    </w:p>
    <w:p w14:paraId="4F224754" w14:textId="77777777" w:rsidR="0032363D" w:rsidRPr="00E832A5" w:rsidRDefault="0032363D" w:rsidP="00CE6BE1">
      <w:pPr>
        <w:keepNext/>
        <w:spacing w:line="276" w:lineRule="auto"/>
        <w:jc w:val="both"/>
        <w:rPr>
          <w:rFonts w:asciiTheme="minorHAnsi" w:hAnsiTheme="minorHAnsi" w:cstheme="minorHAnsi"/>
          <w:b/>
          <w:bCs/>
          <w:sz w:val="22"/>
          <w:szCs w:val="22"/>
        </w:rPr>
      </w:pPr>
    </w:p>
    <w:tbl>
      <w:tblPr>
        <w:tblW w:w="8938" w:type="dxa"/>
        <w:jc w:val="center"/>
        <w:tblLook w:val="04A0" w:firstRow="1" w:lastRow="0" w:firstColumn="1" w:lastColumn="0" w:noHBand="0" w:noVBand="1"/>
      </w:tblPr>
      <w:tblGrid>
        <w:gridCol w:w="1636"/>
        <w:gridCol w:w="3275"/>
        <w:gridCol w:w="1191"/>
        <w:gridCol w:w="1191"/>
        <w:gridCol w:w="1680"/>
      </w:tblGrid>
      <w:tr w:rsidR="00BA6B09" w:rsidRPr="00E832A5" w14:paraId="1EE96419" w14:textId="77777777" w:rsidTr="00216DD4">
        <w:trPr>
          <w:trHeight w:val="285"/>
          <w:jc w:val="center"/>
        </w:trPr>
        <w:tc>
          <w:tcPr>
            <w:tcW w:w="1636" w:type="dxa"/>
            <w:tcBorders>
              <w:top w:val="nil"/>
              <w:left w:val="nil"/>
              <w:bottom w:val="nil"/>
              <w:right w:val="nil"/>
            </w:tcBorders>
            <w:shd w:val="clear" w:color="auto" w:fill="auto"/>
            <w:noWrap/>
            <w:vAlign w:val="center"/>
            <w:hideMark/>
          </w:tcPr>
          <w:p w14:paraId="29600C3A" w14:textId="77777777" w:rsidR="00BA6B09" w:rsidRPr="00E832A5" w:rsidRDefault="00BA6B09" w:rsidP="00CE6BE1">
            <w:pPr>
              <w:keepNext/>
              <w:keepLines/>
              <w:spacing w:line="276" w:lineRule="auto"/>
              <w:jc w:val="both"/>
              <w:rPr>
                <w:rFonts w:asciiTheme="minorHAnsi" w:eastAsia="Microsoft YaHei" w:hAnsiTheme="minorHAnsi" w:cstheme="minorHAnsi"/>
                <w:i/>
                <w:iCs/>
                <w:color w:val="000000"/>
                <w:sz w:val="22"/>
                <w:szCs w:val="22"/>
                <w:u w:val="single"/>
              </w:rPr>
            </w:pPr>
            <w:r w:rsidRPr="00E832A5">
              <w:rPr>
                <w:rFonts w:asciiTheme="minorHAnsi" w:eastAsia="Microsoft YaHei" w:hAnsiTheme="minorHAnsi" w:cstheme="minorHAnsi"/>
                <w:i/>
                <w:iCs/>
                <w:color w:val="000000"/>
                <w:sz w:val="22"/>
                <w:szCs w:val="22"/>
                <w:u w:val="single"/>
              </w:rPr>
              <w:t>Class</w:t>
            </w:r>
          </w:p>
        </w:tc>
        <w:tc>
          <w:tcPr>
            <w:tcW w:w="3275" w:type="dxa"/>
            <w:tcBorders>
              <w:top w:val="nil"/>
              <w:left w:val="nil"/>
              <w:bottom w:val="nil"/>
              <w:right w:val="nil"/>
            </w:tcBorders>
            <w:shd w:val="clear" w:color="auto" w:fill="auto"/>
            <w:noWrap/>
            <w:vAlign w:val="center"/>
            <w:hideMark/>
          </w:tcPr>
          <w:p w14:paraId="64C1CA23" w14:textId="77777777" w:rsidR="00BA6B09" w:rsidRPr="00E832A5" w:rsidRDefault="00BA6B09" w:rsidP="00CE6BE1">
            <w:pPr>
              <w:keepNext/>
              <w:keepLines/>
              <w:spacing w:line="276" w:lineRule="auto"/>
              <w:jc w:val="both"/>
              <w:rPr>
                <w:rFonts w:asciiTheme="minorHAnsi" w:eastAsia="Microsoft YaHei" w:hAnsiTheme="minorHAnsi" w:cstheme="minorHAnsi"/>
                <w:i/>
                <w:iCs/>
                <w:color w:val="000000"/>
                <w:sz w:val="22"/>
                <w:szCs w:val="22"/>
                <w:u w:val="single"/>
              </w:rPr>
            </w:pPr>
            <w:r w:rsidRPr="00E832A5">
              <w:rPr>
                <w:rFonts w:asciiTheme="minorHAnsi" w:eastAsia="Microsoft YaHei" w:hAnsiTheme="minorHAnsi" w:cstheme="minorHAnsi"/>
                <w:i/>
                <w:iCs/>
                <w:color w:val="000000"/>
                <w:sz w:val="22"/>
                <w:szCs w:val="22"/>
                <w:u w:val="single"/>
              </w:rPr>
              <w:t>Segment</w:t>
            </w:r>
          </w:p>
        </w:tc>
        <w:tc>
          <w:tcPr>
            <w:tcW w:w="1191" w:type="dxa"/>
            <w:tcBorders>
              <w:top w:val="nil"/>
              <w:left w:val="nil"/>
              <w:bottom w:val="nil"/>
              <w:right w:val="nil"/>
            </w:tcBorders>
            <w:shd w:val="clear" w:color="auto" w:fill="auto"/>
            <w:noWrap/>
            <w:vAlign w:val="center"/>
            <w:hideMark/>
          </w:tcPr>
          <w:p w14:paraId="79747BF9" w14:textId="77777777" w:rsidR="00BA6B09" w:rsidRPr="00E832A5" w:rsidRDefault="00BA6B09" w:rsidP="00CE6BE1">
            <w:pPr>
              <w:keepNext/>
              <w:keepLines/>
              <w:spacing w:line="276" w:lineRule="auto"/>
              <w:jc w:val="both"/>
              <w:rPr>
                <w:rFonts w:asciiTheme="minorHAnsi" w:eastAsia="Microsoft YaHei" w:hAnsiTheme="minorHAnsi" w:cstheme="minorHAnsi"/>
                <w:i/>
                <w:iCs/>
                <w:color w:val="000000"/>
                <w:sz w:val="22"/>
                <w:szCs w:val="22"/>
                <w:u w:val="single"/>
              </w:rPr>
            </w:pPr>
            <w:r w:rsidRPr="00E832A5">
              <w:rPr>
                <w:rFonts w:asciiTheme="minorHAnsi" w:eastAsia="Microsoft YaHei" w:hAnsiTheme="minorHAnsi" w:cstheme="minorHAnsi"/>
                <w:i/>
                <w:iCs/>
                <w:color w:val="000000"/>
                <w:sz w:val="22"/>
                <w:szCs w:val="22"/>
                <w:u w:val="single"/>
              </w:rPr>
              <w:t>Low</w:t>
            </w:r>
          </w:p>
        </w:tc>
        <w:tc>
          <w:tcPr>
            <w:tcW w:w="1156" w:type="dxa"/>
            <w:tcBorders>
              <w:top w:val="nil"/>
              <w:left w:val="nil"/>
              <w:bottom w:val="nil"/>
              <w:right w:val="nil"/>
            </w:tcBorders>
            <w:shd w:val="clear" w:color="auto" w:fill="auto"/>
            <w:noWrap/>
            <w:vAlign w:val="center"/>
            <w:hideMark/>
          </w:tcPr>
          <w:p w14:paraId="04C508CE" w14:textId="77777777" w:rsidR="00BA6B09" w:rsidRPr="00E832A5" w:rsidRDefault="00BA6B09" w:rsidP="00CE6BE1">
            <w:pPr>
              <w:keepNext/>
              <w:keepLines/>
              <w:spacing w:line="276" w:lineRule="auto"/>
              <w:jc w:val="both"/>
              <w:rPr>
                <w:rFonts w:asciiTheme="minorHAnsi" w:eastAsia="Microsoft YaHei" w:hAnsiTheme="minorHAnsi" w:cstheme="minorHAnsi"/>
                <w:i/>
                <w:iCs/>
                <w:color w:val="000000"/>
                <w:sz w:val="22"/>
                <w:szCs w:val="22"/>
                <w:u w:val="single"/>
              </w:rPr>
            </w:pPr>
            <w:r w:rsidRPr="00E832A5">
              <w:rPr>
                <w:rFonts w:asciiTheme="minorHAnsi" w:eastAsia="Microsoft YaHei" w:hAnsiTheme="minorHAnsi" w:cstheme="minorHAnsi"/>
                <w:i/>
                <w:iCs/>
                <w:color w:val="000000"/>
                <w:sz w:val="22"/>
                <w:szCs w:val="22"/>
                <w:u w:val="single"/>
              </w:rPr>
              <w:t>Mid</w:t>
            </w:r>
          </w:p>
        </w:tc>
        <w:tc>
          <w:tcPr>
            <w:tcW w:w="1680" w:type="dxa"/>
            <w:tcBorders>
              <w:top w:val="nil"/>
              <w:left w:val="nil"/>
              <w:bottom w:val="nil"/>
              <w:right w:val="nil"/>
            </w:tcBorders>
            <w:shd w:val="clear" w:color="auto" w:fill="auto"/>
            <w:noWrap/>
            <w:vAlign w:val="center"/>
            <w:hideMark/>
          </w:tcPr>
          <w:p w14:paraId="15EF785E" w14:textId="77777777" w:rsidR="00BA6B09" w:rsidRPr="00E832A5" w:rsidRDefault="00BA6B09" w:rsidP="00CE6BE1">
            <w:pPr>
              <w:keepNext/>
              <w:keepLines/>
              <w:spacing w:line="276" w:lineRule="auto"/>
              <w:jc w:val="both"/>
              <w:rPr>
                <w:rFonts w:asciiTheme="minorHAnsi" w:eastAsia="Microsoft YaHei" w:hAnsiTheme="minorHAnsi" w:cstheme="minorHAnsi"/>
                <w:i/>
                <w:iCs/>
                <w:color w:val="000000"/>
                <w:sz w:val="22"/>
                <w:szCs w:val="22"/>
                <w:u w:val="single"/>
              </w:rPr>
            </w:pPr>
            <w:r w:rsidRPr="00E832A5">
              <w:rPr>
                <w:rFonts w:asciiTheme="minorHAnsi" w:eastAsia="Microsoft YaHei" w:hAnsiTheme="minorHAnsi" w:cstheme="minorHAnsi"/>
                <w:i/>
                <w:iCs/>
                <w:color w:val="000000"/>
                <w:sz w:val="22"/>
                <w:szCs w:val="22"/>
                <w:u w:val="single"/>
              </w:rPr>
              <w:t>High</w:t>
            </w:r>
          </w:p>
        </w:tc>
      </w:tr>
      <w:tr w:rsidR="00890C0E" w:rsidRPr="00E832A5" w14:paraId="6C54F65F" w14:textId="77777777" w:rsidTr="005026D1">
        <w:trPr>
          <w:trHeight w:val="285"/>
          <w:jc w:val="center"/>
        </w:trPr>
        <w:tc>
          <w:tcPr>
            <w:tcW w:w="1636" w:type="dxa"/>
            <w:tcBorders>
              <w:top w:val="nil"/>
              <w:left w:val="nil"/>
              <w:bottom w:val="nil"/>
              <w:right w:val="nil"/>
            </w:tcBorders>
            <w:shd w:val="clear" w:color="auto" w:fill="auto"/>
            <w:noWrap/>
            <w:vAlign w:val="center"/>
            <w:hideMark/>
          </w:tcPr>
          <w:p w14:paraId="7AB1E487" w14:textId="77777777" w:rsidR="00890C0E" w:rsidRPr="00E832A5" w:rsidRDefault="00890C0E" w:rsidP="00890C0E">
            <w:pPr>
              <w:keepNext/>
              <w:keepLines/>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Commercial</w:t>
            </w:r>
          </w:p>
        </w:tc>
        <w:tc>
          <w:tcPr>
            <w:tcW w:w="3275" w:type="dxa"/>
            <w:tcBorders>
              <w:top w:val="nil"/>
              <w:left w:val="nil"/>
              <w:bottom w:val="nil"/>
              <w:right w:val="nil"/>
            </w:tcBorders>
            <w:shd w:val="clear" w:color="auto" w:fill="auto"/>
            <w:noWrap/>
            <w:vAlign w:val="center"/>
            <w:hideMark/>
          </w:tcPr>
          <w:p w14:paraId="1598F9E5" w14:textId="77777777" w:rsidR="00890C0E" w:rsidRPr="00E832A5" w:rsidRDefault="00890C0E" w:rsidP="00890C0E">
            <w:pPr>
              <w:keepNext/>
              <w:keepLines/>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Cryptocurrency</w:t>
            </w:r>
          </w:p>
        </w:tc>
        <w:tc>
          <w:tcPr>
            <w:tcW w:w="1191" w:type="dxa"/>
            <w:tcBorders>
              <w:top w:val="nil"/>
              <w:left w:val="nil"/>
              <w:bottom w:val="nil"/>
              <w:right w:val="nil"/>
            </w:tcBorders>
            <w:shd w:val="clear" w:color="auto" w:fill="auto"/>
            <w:noWrap/>
            <w:vAlign w:val="center"/>
            <w:hideMark/>
          </w:tcPr>
          <w:p w14:paraId="28B77A91" w14:textId="02AE7BBC" w:rsidR="00890C0E" w:rsidRPr="00216DD4" w:rsidRDefault="00890C0E" w:rsidP="00890C0E">
            <w:pPr>
              <w:keepNext/>
              <w:keepLines/>
              <w:spacing w:line="276" w:lineRule="auto"/>
              <w:rPr>
                <w:rFonts w:asciiTheme="minorHAnsi" w:eastAsia="Microsoft YaHei" w:hAnsiTheme="minorHAnsi" w:cstheme="minorHAnsi"/>
                <w:color w:val="000000"/>
                <w:sz w:val="22"/>
                <w:szCs w:val="22"/>
                <w:highlight w:val="yellow"/>
              </w:rPr>
            </w:pPr>
            <w:r w:rsidRPr="00216DD4">
              <w:rPr>
                <w:rFonts w:asciiTheme="minorHAnsi" w:hAnsiTheme="minorHAnsi" w:cstheme="minorHAnsi"/>
                <w:b/>
                <w:bCs/>
                <w:sz w:val="22"/>
                <w:szCs w:val="22"/>
              </w:rPr>
              <w:t>REDACTED</w:t>
            </w:r>
          </w:p>
        </w:tc>
        <w:tc>
          <w:tcPr>
            <w:tcW w:w="1156" w:type="dxa"/>
            <w:tcBorders>
              <w:top w:val="nil"/>
              <w:left w:val="nil"/>
              <w:bottom w:val="nil"/>
              <w:right w:val="nil"/>
            </w:tcBorders>
            <w:shd w:val="clear" w:color="auto" w:fill="auto"/>
            <w:noWrap/>
            <w:hideMark/>
          </w:tcPr>
          <w:p w14:paraId="21E5E53E" w14:textId="171ABD7F" w:rsidR="00890C0E" w:rsidRPr="00A1616D" w:rsidRDefault="00890C0E" w:rsidP="00890C0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
                <w:bCs/>
                <w:sz w:val="22"/>
                <w:szCs w:val="22"/>
              </w:rPr>
              <w:t>REDACTED</w:t>
            </w:r>
          </w:p>
        </w:tc>
        <w:tc>
          <w:tcPr>
            <w:tcW w:w="1680" w:type="dxa"/>
            <w:tcBorders>
              <w:top w:val="nil"/>
              <w:left w:val="nil"/>
              <w:bottom w:val="nil"/>
              <w:right w:val="nil"/>
            </w:tcBorders>
            <w:shd w:val="clear" w:color="auto" w:fill="auto"/>
            <w:noWrap/>
            <w:hideMark/>
          </w:tcPr>
          <w:p w14:paraId="0B9849D4" w14:textId="3E01CF2F" w:rsidR="00890C0E" w:rsidRPr="00A1616D" w:rsidRDefault="00890C0E" w:rsidP="00890C0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
                <w:bCs/>
                <w:sz w:val="22"/>
                <w:szCs w:val="22"/>
              </w:rPr>
              <w:t>REDACTED</w:t>
            </w:r>
          </w:p>
        </w:tc>
      </w:tr>
      <w:tr w:rsidR="00890C0E" w:rsidRPr="00E832A5" w14:paraId="427C9231" w14:textId="77777777" w:rsidTr="005026D1">
        <w:trPr>
          <w:trHeight w:val="285"/>
          <w:jc w:val="center"/>
        </w:trPr>
        <w:tc>
          <w:tcPr>
            <w:tcW w:w="1636" w:type="dxa"/>
            <w:tcBorders>
              <w:top w:val="nil"/>
              <w:left w:val="nil"/>
              <w:bottom w:val="nil"/>
              <w:right w:val="nil"/>
            </w:tcBorders>
            <w:shd w:val="clear" w:color="auto" w:fill="auto"/>
            <w:noWrap/>
            <w:vAlign w:val="center"/>
            <w:hideMark/>
          </w:tcPr>
          <w:p w14:paraId="127C88BC" w14:textId="77777777" w:rsidR="00890C0E" w:rsidRPr="00E832A5" w:rsidRDefault="00890C0E" w:rsidP="00890C0E">
            <w:pPr>
              <w:keepNext/>
              <w:keepLines/>
              <w:spacing w:line="276" w:lineRule="auto"/>
              <w:jc w:val="both"/>
              <w:rPr>
                <w:rFonts w:asciiTheme="minorHAnsi" w:eastAsia="Microsoft YaHei" w:hAnsiTheme="minorHAnsi" w:cstheme="minorHAnsi"/>
                <w:color w:val="000000"/>
                <w:sz w:val="22"/>
                <w:szCs w:val="22"/>
              </w:rPr>
            </w:pPr>
          </w:p>
        </w:tc>
        <w:tc>
          <w:tcPr>
            <w:tcW w:w="3275" w:type="dxa"/>
            <w:tcBorders>
              <w:top w:val="nil"/>
              <w:left w:val="nil"/>
              <w:bottom w:val="nil"/>
              <w:right w:val="nil"/>
            </w:tcBorders>
            <w:shd w:val="clear" w:color="auto" w:fill="auto"/>
            <w:noWrap/>
            <w:vAlign w:val="center"/>
            <w:hideMark/>
          </w:tcPr>
          <w:p w14:paraId="4E964F44" w14:textId="77777777" w:rsidR="00890C0E" w:rsidRPr="00E832A5" w:rsidRDefault="00890C0E" w:rsidP="00890C0E">
            <w:pPr>
              <w:keepNext/>
              <w:keepLines/>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Datacenter</w:t>
            </w:r>
          </w:p>
        </w:tc>
        <w:tc>
          <w:tcPr>
            <w:tcW w:w="1191" w:type="dxa"/>
            <w:tcBorders>
              <w:top w:val="nil"/>
              <w:left w:val="nil"/>
              <w:bottom w:val="nil"/>
              <w:right w:val="nil"/>
            </w:tcBorders>
            <w:shd w:val="clear" w:color="auto" w:fill="auto"/>
            <w:noWrap/>
            <w:vAlign w:val="center"/>
            <w:hideMark/>
          </w:tcPr>
          <w:p w14:paraId="776BBBAA" w14:textId="5C475A15" w:rsidR="00890C0E" w:rsidRPr="00A1616D" w:rsidRDefault="00890C0E" w:rsidP="00890C0E">
            <w:pPr>
              <w:keepNext/>
              <w:keepLines/>
              <w:spacing w:line="276" w:lineRule="auto"/>
              <w:jc w:val="both"/>
              <w:rPr>
                <w:rFonts w:asciiTheme="minorHAnsi" w:eastAsia="Microsoft YaHei" w:hAnsiTheme="minorHAnsi" w:cstheme="minorHAnsi"/>
                <w:color w:val="000000"/>
                <w:sz w:val="22"/>
                <w:szCs w:val="22"/>
                <w:highlight w:val="yellow"/>
              </w:rPr>
            </w:pPr>
            <w:r w:rsidRPr="00216DD4">
              <w:rPr>
                <w:rFonts w:asciiTheme="minorHAnsi" w:hAnsiTheme="minorHAnsi" w:cstheme="minorHAnsi"/>
                <w:b/>
                <w:bCs/>
                <w:sz w:val="22"/>
                <w:szCs w:val="22"/>
              </w:rPr>
              <w:t>REDACTED</w:t>
            </w:r>
          </w:p>
        </w:tc>
        <w:tc>
          <w:tcPr>
            <w:tcW w:w="1156" w:type="dxa"/>
            <w:tcBorders>
              <w:top w:val="nil"/>
              <w:left w:val="nil"/>
              <w:bottom w:val="nil"/>
              <w:right w:val="nil"/>
            </w:tcBorders>
            <w:shd w:val="clear" w:color="auto" w:fill="auto"/>
            <w:noWrap/>
            <w:hideMark/>
          </w:tcPr>
          <w:p w14:paraId="7B0B7266" w14:textId="0ED81983" w:rsidR="00890C0E" w:rsidRPr="00A1616D" w:rsidRDefault="00890C0E" w:rsidP="00890C0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
                <w:bCs/>
                <w:sz w:val="22"/>
                <w:szCs w:val="22"/>
              </w:rPr>
              <w:t>REDACTED</w:t>
            </w:r>
          </w:p>
        </w:tc>
        <w:tc>
          <w:tcPr>
            <w:tcW w:w="1680" w:type="dxa"/>
            <w:tcBorders>
              <w:top w:val="nil"/>
              <w:left w:val="nil"/>
              <w:bottom w:val="nil"/>
              <w:right w:val="nil"/>
            </w:tcBorders>
            <w:shd w:val="clear" w:color="auto" w:fill="auto"/>
            <w:noWrap/>
            <w:hideMark/>
          </w:tcPr>
          <w:p w14:paraId="0130A6D3" w14:textId="5A696A39" w:rsidR="00890C0E" w:rsidRPr="00A1616D" w:rsidRDefault="00890C0E" w:rsidP="00890C0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
                <w:bCs/>
                <w:sz w:val="22"/>
                <w:szCs w:val="22"/>
              </w:rPr>
              <w:t>REDACTED</w:t>
            </w:r>
          </w:p>
        </w:tc>
      </w:tr>
      <w:tr w:rsidR="00890C0E" w:rsidRPr="00E832A5" w14:paraId="724B9631" w14:textId="77777777" w:rsidTr="005026D1">
        <w:trPr>
          <w:trHeight w:val="285"/>
          <w:jc w:val="center"/>
        </w:trPr>
        <w:tc>
          <w:tcPr>
            <w:tcW w:w="1636" w:type="dxa"/>
            <w:tcBorders>
              <w:top w:val="nil"/>
              <w:left w:val="nil"/>
              <w:bottom w:val="nil"/>
              <w:right w:val="nil"/>
            </w:tcBorders>
            <w:shd w:val="clear" w:color="auto" w:fill="auto"/>
            <w:noWrap/>
            <w:vAlign w:val="center"/>
            <w:hideMark/>
          </w:tcPr>
          <w:p w14:paraId="40013BB7" w14:textId="77777777" w:rsidR="00890C0E" w:rsidRPr="00E832A5" w:rsidRDefault="00890C0E" w:rsidP="00890C0E">
            <w:pPr>
              <w:keepNext/>
              <w:keepLines/>
              <w:spacing w:line="276" w:lineRule="auto"/>
              <w:jc w:val="both"/>
              <w:rPr>
                <w:rFonts w:asciiTheme="minorHAnsi" w:eastAsia="Microsoft YaHei" w:hAnsiTheme="minorHAnsi" w:cstheme="minorHAnsi"/>
                <w:color w:val="000000"/>
                <w:sz w:val="22"/>
                <w:szCs w:val="22"/>
              </w:rPr>
            </w:pPr>
          </w:p>
        </w:tc>
        <w:tc>
          <w:tcPr>
            <w:tcW w:w="3275" w:type="dxa"/>
            <w:tcBorders>
              <w:top w:val="nil"/>
              <w:left w:val="nil"/>
              <w:bottom w:val="nil"/>
              <w:right w:val="nil"/>
            </w:tcBorders>
            <w:shd w:val="clear" w:color="auto" w:fill="auto"/>
            <w:noWrap/>
            <w:vAlign w:val="center"/>
            <w:hideMark/>
          </w:tcPr>
          <w:p w14:paraId="0A5CBF97" w14:textId="77777777" w:rsidR="00890C0E" w:rsidRPr="00E832A5" w:rsidRDefault="00890C0E" w:rsidP="00890C0E">
            <w:pPr>
              <w:keepNext/>
              <w:keepLines/>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Miscellaneous</w:t>
            </w:r>
          </w:p>
        </w:tc>
        <w:tc>
          <w:tcPr>
            <w:tcW w:w="1191" w:type="dxa"/>
            <w:tcBorders>
              <w:top w:val="nil"/>
              <w:left w:val="nil"/>
              <w:bottom w:val="nil"/>
              <w:right w:val="nil"/>
            </w:tcBorders>
            <w:shd w:val="clear" w:color="auto" w:fill="auto"/>
            <w:noWrap/>
            <w:hideMark/>
          </w:tcPr>
          <w:p w14:paraId="232EAABF" w14:textId="250325A8" w:rsidR="00890C0E" w:rsidRPr="00A1616D" w:rsidRDefault="00890C0E" w:rsidP="00890C0E">
            <w:pPr>
              <w:keepNext/>
              <w:keepLines/>
              <w:spacing w:line="276" w:lineRule="auto"/>
              <w:jc w:val="both"/>
              <w:rPr>
                <w:rFonts w:asciiTheme="minorHAnsi" w:eastAsia="Microsoft YaHei" w:hAnsiTheme="minorHAnsi" w:cstheme="minorHAnsi"/>
                <w:color w:val="000000"/>
                <w:sz w:val="22"/>
                <w:szCs w:val="22"/>
                <w:highlight w:val="yellow"/>
              </w:rPr>
            </w:pPr>
            <w:r w:rsidRPr="00E377FF">
              <w:rPr>
                <w:rFonts w:asciiTheme="minorHAnsi" w:hAnsiTheme="minorHAnsi" w:cstheme="minorHAnsi"/>
                <w:b/>
                <w:bCs/>
                <w:sz w:val="22"/>
                <w:szCs w:val="22"/>
              </w:rPr>
              <w:t>REDACTED</w:t>
            </w:r>
          </w:p>
        </w:tc>
        <w:tc>
          <w:tcPr>
            <w:tcW w:w="1156" w:type="dxa"/>
            <w:tcBorders>
              <w:top w:val="nil"/>
              <w:left w:val="nil"/>
              <w:bottom w:val="nil"/>
              <w:right w:val="nil"/>
            </w:tcBorders>
            <w:shd w:val="clear" w:color="auto" w:fill="auto"/>
            <w:noWrap/>
            <w:hideMark/>
          </w:tcPr>
          <w:p w14:paraId="50591F47" w14:textId="1F24B677" w:rsidR="00890C0E" w:rsidRPr="00A1616D" w:rsidRDefault="00890C0E" w:rsidP="00890C0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
                <w:bCs/>
                <w:sz w:val="22"/>
                <w:szCs w:val="22"/>
              </w:rPr>
              <w:t>REDACTED</w:t>
            </w:r>
          </w:p>
        </w:tc>
        <w:tc>
          <w:tcPr>
            <w:tcW w:w="1680" w:type="dxa"/>
            <w:tcBorders>
              <w:top w:val="nil"/>
              <w:left w:val="nil"/>
              <w:bottom w:val="nil"/>
              <w:right w:val="nil"/>
            </w:tcBorders>
            <w:shd w:val="clear" w:color="auto" w:fill="auto"/>
            <w:noWrap/>
            <w:hideMark/>
          </w:tcPr>
          <w:p w14:paraId="0611C1FC" w14:textId="071E1F82" w:rsidR="00890C0E" w:rsidRPr="00A1616D" w:rsidRDefault="00890C0E" w:rsidP="00890C0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
                <w:bCs/>
                <w:sz w:val="22"/>
                <w:szCs w:val="22"/>
              </w:rPr>
              <w:t>REDACTED</w:t>
            </w:r>
          </w:p>
        </w:tc>
      </w:tr>
      <w:tr w:rsidR="00890C0E" w:rsidRPr="00E832A5" w14:paraId="411ECC76" w14:textId="77777777" w:rsidTr="005026D1">
        <w:trPr>
          <w:trHeight w:val="285"/>
          <w:jc w:val="center"/>
        </w:trPr>
        <w:tc>
          <w:tcPr>
            <w:tcW w:w="1636" w:type="dxa"/>
            <w:tcBorders>
              <w:top w:val="nil"/>
              <w:left w:val="nil"/>
              <w:bottom w:val="nil"/>
              <w:right w:val="nil"/>
            </w:tcBorders>
            <w:shd w:val="clear" w:color="auto" w:fill="auto"/>
            <w:noWrap/>
            <w:vAlign w:val="center"/>
            <w:hideMark/>
          </w:tcPr>
          <w:p w14:paraId="58CDD81A" w14:textId="77777777" w:rsidR="00890C0E" w:rsidRPr="00E832A5" w:rsidRDefault="00890C0E" w:rsidP="00890C0E">
            <w:pPr>
              <w:keepNext/>
              <w:keepLines/>
              <w:spacing w:line="276" w:lineRule="auto"/>
              <w:jc w:val="both"/>
              <w:rPr>
                <w:rFonts w:asciiTheme="minorHAnsi" w:eastAsia="Microsoft YaHei" w:hAnsiTheme="minorHAnsi" w:cstheme="minorHAnsi"/>
                <w:color w:val="000000"/>
                <w:sz w:val="22"/>
                <w:szCs w:val="22"/>
              </w:rPr>
            </w:pPr>
          </w:p>
        </w:tc>
        <w:tc>
          <w:tcPr>
            <w:tcW w:w="3275" w:type="dxa"/>
            <w:tcBorders>
              <w:top w:val="nil"/>
              <w:left w:val="nil"/>
              <w:bottom w:val="nil"/>
              <w:right w:val="nil"/>
            </w:tcBorders>
            <w:shd w:val="clear" w:color="auto" w:fill="auto"/>
            <w:noWrap/>
            <w:vAlign w:val="center"/>
            <w:hideMark/>
          </w:tcPr>
          <w:p w14:paraId="6BE8327D" w14:textId="77777777" w:rsidR="00890C0E" w:rsidRPr="00E832A5" w:rsidRDefault="00890C0E" w:rsidP="00890C0E">
            <w:pPr>
              <w:keepNext/>
              <w:keepLines/>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Warehouse</w:t>
            </w:r>
          </w:p>
        </w:tc>
        <w:tc>
          <w:tcPr>
            <w:tcW w:w="1191" w:type="dxa"/>
            <w:tcBorders>
              <w:top w:val="nil"/>
              <w:left w:val="nil"/>
              <w:bottom w:val="nil"/>
              <w:right w:val="nil"/>
            </w:tcBorders>
            <w:shd w:val="clear" w:color="auto" w:fill="auto"/>
            <w:noWrap/>
            <w:hideMark/>
          </w:tcPr>
          <w:p w14:paraId="45E5C578" w14:textId="1516AC74" w:rsidR="00890C0E" w:rsidRPr="00A1616D" w:rsidRDefault="00890C0E" w:rsidP="00890C0E">
            <w:pPr>
              <w:keepNext/>
              <w:keepLines/>
              <w:spacing w:line="276" w:lineRule="auto"/>
              <w:jc w:val="both"/>
              <w:rPr>
                <w:rFonts w:asciiTheme="minorHAnsi" w:eastAsia="Microsoft YaHei" w:hAnsiTheme="minorHAnsi" w:cstheme="minorHAnsi"/>
                <w:color w:val="000000"/>
                <w:sz w:val="22"/>
                <w:szCs w:val="22"/>
                <w:highlight w:val="yellow"/>
              </w:rPr>
            </w:pPr>
            <w:r w:rsidRPr="00E377FF">
              <w:rPr>
                <w:rFonts w:asciiTheme="minorHAnsi" w:hAnsiTheme="minorHAnsi" w:cstheme="minorHAnsi"/>
                <w:b/>
                <w:bCs/>
                <w:sz w:val="22"/>
                <w:szCs w:val="22"/>
              </w:rPr>
              <w:t>REDACTED</w:t>
            </w:r>
          </w:p>
        </w:tc>
        <w:tc>
          <w:tcPr>
            <w:tcW w:w="1156" w:type="dxa"/>
            <w:tcBorders>
              <w:top w:val="nil"/>
              <w:left w:val="nil"/>
              <w:bottom w:val="nil"/>
              <w:right w:val="nil"/>
            </w:tcBorders>
            <w:shd w:val="clear" w:color="auto" w:fill="auto"/>
            <w:noWrap/>
            <w:hideMark/>
          </w:tcPr>
          <w:p w14:paraId="1AD56157" w14:textId="5926D6D1" w:rsidR="00890C0E" w:rsidRPr="00A1616D" w:rsidRDefault="00890C0E" w:rsidP="00890C0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
                <w:bCs/>
                <w:sz w:val="22"/>
                <w:szCs w:val="22"/>
              </w:rPr>
              <w:t>REDACTED</w:t>
            </w:r>
          </w:p>
        </w:tc>
        <w:tc>
          <w:tcPr>
            <w:tcW w:w="1680" w:type="dxa"/>
            <w:tcBorders>
              <w:top w:val="nil"/>
              <w:left w:val="nil"/>
              <w:bottom w:val="nil"/>
              <w:right w:val="nil"/>
            </w:tcBorders>
            <w:shd w:val="clear" w:color="auto" w:fill="auto"/>
            <w:noWrap/>
            <w:hideMark/>
          </w:tcPr>
          <w:p w14:paraId="07040ACB" w14:textId="2E8C96B7" w:rsidR="00890C0E" w:rsidRPr="00A1616D" w:rsidRDefault="00890C0E" w:rsidP="00890C0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
                <w:bCs/>
                <w:sz w:val="22"/>
                <w:szCs w:val="22"/>
              </w:rPr>
              <w:t>REDACTED</w:t>
            </w:r>
          </w:p>
        </w:tc>
      </w:tr>
      <w:tr w:rsidR="00890C0E" w:rsidRPr="00E832A5" w14:paraId="719AADD9" w14:textId="77777777" w:rsidTr="005026D1">
        <w:trPr>
          <w:trHeight w:val="285"/>
          <w:jc w:val="center"/>
        </w:trPr>
        <w:tc>
          <w:tcPr>
            <w:tcW w:w="1636" w:type="dxa"/>
            <w:tcBorders>
              <w:top w:val="nil"/>
              <w:left w:val="nil"/>
              <w:bottom w:val="nil"/>
              <w:right w:val="nil"/>
            </w:tcBorders>
            <w:shd w:val="clear" w:color="auto" w:fill="auto"/>
            <w:noWrap/>
            <w:vAlign w:val="center"/>
            <w:hideMark/>
          </w:tcPr>
          <w:p w14:paraId="5596A5FB" w14:textId="77777777" w:rsidR="00890C0E" w:rsidRPr="00E832A5" w:rsidRDefault="00890C0E" w:rsidP="00890C0E">
            <w:pPr>
              <w:keepNext/>
              <w:keepLines/>
              <w:spacing w:line="276" w:lineRule="auto"/>
              <w:jc w:val="both"/>
              <w:rPr>
                <w:rFonts w:asciiTheme="minorHAnsi" w:eastAsia="Microsoft YaHei" w:hAnsiTheme="minorHAnsi" w:cstheme="minorHAnsi"/>
                <w:color w:val="000000"/>
                <w:sz w:val="22"/>
                <w:szCs w:val="22"/>
              </w:rPr>
            </w:pPr>
          </w:p>
        </w:tc>
        <w:tc>
          <w:tcPr>
            <w:tcW w:w="3275" w:type="dxa"/>
            <w:tcBorders>
              <w:top w:val="nil"/>
              <w:left w:val="nil"/>
              <w:bottom w:val="nil"/>
              <w:right w:val="nil"/>
            </w:tcBorders>
            <w:shd w:val="clear" w:color="auto" w:fill="auto"/>
            <w:noWrap/>
            <w:vAlign w:val="center"/>
            <w:hideMark/>
          </w:tcPr>
          <w:p w14:paraId="0F6A633B" w14:textId="77777777" w:rsidR="00890C0E" w:rsidRPr="00E832A5" w:rsidRDefault="00890C0E" w:rsidP="00890C0E">
            <w:pPr>
              <w:keepNext/>
              <w:keepLines/>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Distribution</w:t>
            </w:r>
          </w:p>
        </w:tc>
        <w:tc>
          <w:tcPr>
            <w:tcW w:w="1191" w:type="dxa"/>
            <w:tcBorders>
              <w:top w:val="nil"/>
              <w:left w:val="nil"/>
              <w:bottom w:val="nil"/>
              <w:right w:val="nil"/>
            </w:tcBorders>
            <w:shd w:val="clear" w:color="auto" w:fill="auto"/>
            <w:noWrap/>
            <w:hideMark/>
          </w:tcPr>
          <w:p w14:paraId="7F6D8820" w14:textId="0AEAF83B" w:rsidR="00890C0E" w:rsidRPr="00A1616D" w:rsidRDefault="00890C0E" w:rsidP="00890C0E">
            <w:pPr>
              <w:keepNext/>
              <w:keepLines/>
              <w:spacing w:line="276" w:lineRule="auto"/>
              <w:jc w:val="both"/>
              <w:rPr>
                <w:rFonts w:asciiTheme="minorHAnsi" w:eastAsia="Microsoft YaHei" w:hAnsiTheme="minorHAnsi" w:cstheme="minorHAnsi"/>
                <w:color w:val="000000"/>
                <w:sz w:val="22"/>
                <w:szCs w:val="22"/>
                <w:highlight w:val="yellow"/>
              </w:rPr>
            </w:pPr>
            <w:r w:rsidRPr="00E377FF">
              <w:rPr>
                <w:rFonts w:asciiTheme="minorHAnsi" w:hAnsiTheme="minorHAnsi" w:cstheme="minorHAnsi"/>
                <w:b/>
                <w:bCs/>
                <w:sz w:val="22"/>
                <w:szCs w:val="22"/>
              </w:rPr>
              <w:t>REDACTED</w:t>
            </w:r>
          </w:p>
        </w:tc>
        <w:tc>
          <w:tcPr>
            <w:tcW w:w="1156" w:type="dxa"/>
            <w:tcBorders>
              <w:top w:val="nil"/>
              <w:left w:val="nil"/>
              <w:bottom w:val="nil"/>
              <w:right w:val="nil"/>
            </w:tcBorders>
            <w:shd w:val="clear" w:color="auto" w:fill="auto"/>
            <w:noWrap/>
            <w:hideMark/>
          </w:tcPr>
          <w:p w14:paraId="280C2E96" w14:textId="5F8F44CD" w:rsidR="00890C0E" w:rsidRPr="00A1616D" w:rsidRDefault="00890C0E" w:rsidP="00890C0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
                <w:bCs/>
                <w:sz w:val="22"/>
                <w:szCs w:val="22"/>
              </w:rPr>
              <w:t>REDACTED</w:t>
            </w:r>
          </w:p>
        </w:tc>
        <w:tc>
          <w:tcPr>
            <w:tcW w:w="1680" w:type="dxa"/>
            <w:tcBorders>
              <w:top w:val="nil"/>
              <w:left w:val="nil"/>
              <w:bottom w:val="nil"/>
              <w:right w:val="nil"/>
            </w:tcBorders>
            <w:shd w:val="clear" w:color="auto" w:fill="auto"/>
            <w:noWrap/>
            <w:hideMark/>
          </w:tcPr>
          <w:p w14:paraId="7663E6D0" w14:textId="3110D410" w:rsidR="00890C0E" w:rsidRPr="00A1616D" w:rsidRDefault="00890C0E" w:rsidP="00890C0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
                <w:bCs/>
                <w:sz w:val="22"/>
                <w:szCs w:val="22"/>
              </w:rPr>
              <w:t>REDACTED</w:t>
            </w:r>
          </w:p>
        </w:tc>
      </w:tr>
      <w:tr w:rsidR="00890C0E" w:rsidRPr="00E832A5" w14:paraId="426FEB32" w14:textId="77777777" w:rsidTr="005026D1">
        <w:trPr>
          <w:trHeight w:val="285"/>
          <w:jc w:val="center"/>
        </w:trPr>
        <w:tc>
          <w:tcPr>
            <w:tcW w:w="1636" w:type="dxa"/>
            <w:tcBorders>
              <w:top w:val="nil"/>
              <w:left w:val="nil"/>
              <w:bottom w:val="nil"/>
              <w:right w:val="nil"/>
            </w:tcBorders>
            <w:shd w:val="clear" w:color="auto" w:fill="auto"/>
            <w:noWrap/>
            <w:vAlign w:val="center"/>
            <w:hideMark/>
          </w:tcPr>
          <w:p w14:paraId="560C5A70" w14:textId="77777777" w:rsidR="00890C0E" w:rsidRPr="00E832A5" w:rsidRDefault="00890C0E" w:rsidP="00890C0E">
            <w:pPr>
              <w:keepNext/>
              <w:keepLines/>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Industrial</w:t>
            </w:r>
          </w:p>
        </w:tc>
        <w:tc>
          <w:tcPr>
            <w:tcW w:w="3275" w:type="dxa"/>
            <w:tcBorders>
              <w:top w:val="nil"/>
              <w:left w:val="nil"/>
              <w:bottom w:val="nil"/>
              <w:right w:val="nil"/>
            </w:tcBorders>
            <w:shd w:val="clear" w:color="auto" w:fill="auto"/>
            <w:noWrap/>
            <w:vAlign w:val="center"/>
            <w:hideMark/>
          </w:tcPr>
          <w:p w14:paraId="32F6573A" w14:textId="0F5A1BB2" w:rsidR="00890C0E" w:rsidRPr="00E832A5" w:rsidRDefault="00890C0E" w:rsidP="00890C0E">
            <w:pPr>
              <w:keepNext/>
              <w:keepLines/>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All Segments</w:t>
            </w:r>
          </w:p>
        </w:tc>
        <w:tc>
          <w:tcPr>
            <w:tcW w:w="1191" w:type="dxa"/>
            <w:tcBorders>
              <w:top w:val="nil"/>
              <w:left w:val="nil"/>
              <w:bottom w:val="nil"/>
              <w:right w:val="nil"/>
            </w:tcBorders>
            <w:shd w:val="clear" w:color="auto" w:fill="auto"/>
            <w:noWrap/>
            <w:hideMark/>
          </w:tcPr>
          <w:p w14:paraId="2F7D0C0F" w14:textId="389210A0" w:rsidR="00890C0E" w:rsidRPr="00A1616D" w:rsidRDefault="00890C0E" w:rsidP="00890C0E">
            <w:pPr>
              <w:keepNext/>
              <w:keepLines/>
              <w:spacing w:line="276" w:lineRule="auto"/>
              <w:jc w:val="both"/>
              <w:rPr>
                <w:rFonts w:asciiTheme="minorHAnsi" w:eastAsia="Microsoft YaHei" w:hAnsiTheme="minorHAnsi" w:cstheme="minorHAnsi"/>
                <w:color w:val="000000"/>
                <w:sz w:val="22"/>
                <w:szCs w:val="22"/>
                <w:highlight w:val="yellow"/>
              </w:rPr>
            </w:pPr>
            <w:r w:rsidRPr="00E377FF">
              <w:rPr>
                <w:rFonts w:asciiTheme="minorHAnsi" w:hAnsiTheme="minorHAnsi" w:cstheme="minorHAnsi"/>
                <w:b/>
                <w:bCs/>
                <w:sz w:val="22"/>
                <w:szCs w:val="22"/>
              </w:rPr>
              <w:t>REDACTED</w:t>
            </w:r>
          </w:p>
        </w:tc>
        <w:tc>
          <w:tcPr>
            <w:tcW w:w="1156" w:type="dxa"/>
            <w:tcBorders>
              <w:top w:val="nil"/>
              <w:left w:val="nil"/>
              <w:bottom w:val="nil"/>
              <w:right w:val="nil"/>
            </w:tcBorders>
            <w:shd w:val="clear" w:color="auto" w:fill="auto"/>
            <w:noWrap/>
            <w:hideMark/>
          </w:tcPr>
          <w:p w14:paraId="6B4479EE" w14:textId="7EEF4731" w:rsidR="00890C0E" w:rsidRPr="00A1616D" w:rsidRDefault="00890C0E" w:rsidP="00890C0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
                <w:bCs/>
                <w:sz w:val="22"/>
                <w:szCs w:val="22"/>
              </w:rPr>
              <w:t>REDACTED</w:t>
            </w:r>
          </w:p>
        </w:tc>
        <w:tc>
          <w:tcPr>
            <w:tcW w:w="1680" w:type="dxa"/>
            <w:tcBorders>
              <w:top w:val="nil"/>
              <w:left w:val="nil"/>
              <w:bottom w:val="nil"/>
              <w:right w:val="nil"/>
            </w:tcBorders>
            <w:shd w:val="clear" w:color="auto" w:fill="auto"/>
            <w:noWrap/>
            <w:hideMark/>
          </w:tcPr>
          <w:p w14:paraId="3D06A189" w14:textId="4E4077D1" w:rsidR="00890C0E" w:rsidRPr="00A1616D" w:rsidRDefault="00890C0E" w:rsidP="00890C0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
                <w:bCs/>
                <w:sz w:val="22"/>
                <w:szCs w:val="22"/>
              </w:rPr>
              <w:t>REDACTED</w:t>
            </w:r>
          </w:p>
        </w:tc>
      </w:tr>
    </w:tbl>
    <w:p w14:paraId="2D344CDF" w14:textId="77777777" w:rsidR="00BA6B09" w:rsidRPr="00B20D17" w:rsidRDefault="00BA6B09" w:rsidP="00E832A5">
      <w:pPr>
        <w:spacing w:line="276" w:lineRule="auto"/>
        <w:jc w:val="both"/>
        <w:rPr>
          <w:rFonts w:asciiTheme="minorHAnsi" w:eastAsia="Microsoft YaHei" w:hAnsiTheme="minorHAnsi" w:cstheme="minorHAnsi"/>
          <w:color w:val="000000"/>
        </w:rPr>
      </w:pPr>
    </w:p>
    <w:p w14:paraId="2B1C7D1A" w14:textId="3F208965" w:rsidR="008714D3" w:rsidRPr="00E832A5" w:rsidRDefault="00A33538" w:rsidP="00FC4ECB">
      <w:pPr>
        <w:pStyle w:val="Heading3"/>
        <w:spacing w:before="240" w:after="240" w:line="276" w:lineRule="auto"/>
        <w:rPr>
          <w:rFonts w:asciiTheme="minorHAnsi" w:hAnsiTheme="minorHAnsi" w:cstheme="minorHAnsi"/>
        </w:rPr>
      </w:pPr>
      <w:r w:rsidRPr="00E832A5">
        <w:rPr>
          <w:rFonts w:asciiTheme="minorHAnsi" w:hAnsiTheme="minorHAnsi" w:cstheme="minorHAnsi"/>
        </w:rPr>
        <w:t>1.5.1.8</w:t>
      </w:r>
      <w:r w:rsidR="008714D3" w:rsidRPr="00E832A5">
        <w:rPr>
          <w:rFonts w:asciiTheme="minorHAnsi" w:hAnsiTheme="minorHAnsi" w:cstheme="minorHAnsi"/>
        </w:rPr>
        <w:tab/>
        <w:t>Commercial Operations Date Delay</w:t>
      </w:r>
    </w:p>
    <w:p w14:paraId="1A8B99C9" w14:textId="29B2AC3A" w:rsidR="001132C1" w:rsidRPr="00E832A5" w:rsidRDefault="00C94803" w:rsidP="00E832A5">
      <w:pPr>
        <w:spacing w:line="276" w:lineRule="auto"/>
        <w:jc w:val="both"/>
        <w:rPr>
          <w:rFonts w:asciiTheme="minorHAnsi" w:hAnsiTheme="minorHAnsi" w:cstheme="minorHAnsi"/>
          <w:sz w:val="22"/>
          <w:szCs w:val="22"/>
        </w:rPr>
      </w:pPr>
      <w:r w:rsidRPr="00E832A5">
        <w:rPr>
          <w:rFonts w:asciiTheme="minorHAnsi" w:hAnsiTheme="minorHAnsi" w:cstheme="minorHAnsi"/>
          <w:sz w:val="22"/>
          <w:szCs w:val="22"/>
        </w:rPr>
        <w:t xml:space="preserve">Projects often </w:t>
      </w:r>
      <w:r w:rsidR="004139C1" w:rsidRPr="00E832A5">
        <w:rPr>
          <w:rFonts w:asciiTheme="minorHAnsi" w:hAnsiTheme="minorHAnsi" w:cstheme="minorHAnsi"/>
          <w:sz w:val="22"/>
          <w:szCs w:val="22"/>
        </w:rPr>
        <w:t>experience delays</w:t>
      </w:r>
      <w:r w:rsidR="00697A8B" w:rsidRPr="00E832A5">
        <w:rPr>
          <w:rFonts w:asciiTheme="minorHAnsi" w:hAnsiTheme="minorHAnsi" w:cstheme="minorHAnsi"/>
          <w:sz w:val="22"/>
          <w:szCs w:val="22"/>
        </w:rPr>
        <w:t xml:space="preserve"> </w:t>
      </w:r>
      <w:r w:rsidR="00C2169B" w:rsidRPr="00E832A5">
        <w:rPr>
          <w:rFonts w:asciiTheme="minorHAnsi" w:hAnsiTheme="minorHAnsi" w:cstheme="minorHAnsi"/>
          <w:sz w:val="22"/>
          <w:szCs w:val="22"/>
        </w:rPr>
        <w:t xml:space="preserve">in their </w:t>
      </w:r>
      <w:r w:rsidR="004B2BA7">
        <w:rPr>
          <w:rFonts w:asciiTheme="minorHAnsi" w:hAnsiTheme="minorHAnsi" w:cstheme="minorHAnsi"/>
          <w:sz w:val="22"/>
          <w:szCs w:val="22"/>
        </w:rPr>
        <w:t>commercial operation date</w:t>
      </w:r>
      <w:r w:rsidR="00C51D96" w:rsidRPr="00E832A5">
        <w:rPr>
          <w:rFonts w:asciiTheme="minorHAnsi" w:hAnsiTheme="minorHAnsi" w:cstheme="minorHAnsi"/>
          <w:sz w:val="22"/>
          <w:szCs w:val="22"/>
        </w:rPr>
        <w:t xml:space="preserve">. </w:t>
      </w:r>
      <w:r w:rsidR="009622CE" w:rsidRPr="00E832A5">
        <w:rPr>
          <w:rFonts w:asciiTheme="minorHAnsi" w:hAnsiTheme="minorHAnsi" w:cstheme="minorHAnsi"/>
          <w:sz w:val="22"/>
          <w:szCs w:val="22"/>
        </w:rPr>
        <w:t>The expected delay</w:t>
      </w:r>
      <w:r w:rsidR="004076A7" w:rsidRPr="00E832A5">
        <w:rPr>
          <w:rFonts w:asciiTheme="minorHAnsi" w:hAnsiTheme="minorHAnsi" w:cstheme="minorHAnsi"/>
          <w:sz w:val="22"/>
          <w:szCs w:val="22"/>
        </w:rPr>
        <w:t>s</w:t>
      </w:r>
      <w:r w:rsidR="00C51D96" w:rsidRPr="00E832A5">
        <w:rPr>
          <w:rFonts w:asciiTheme="minorHAnsi" w:hAnsiTheme="minorHAnsi" w:cstheme="minorHAnsi"/>
          <w:sz w:val="22"/>
          <w:szCs w:val="22"/>
        </w:rPr>
        <w:t xml:space="preserve"> </w:t>
      </w:r>
      <w:r w:rsidR="001A7E2E" w:rsidRPr="00E832A5">
        <w:rPr>
          <w:rFonts w:asciiTheme="minorHAnsi" w:hAnsiTheme="minorHAnsi" w:cstheme="minorHAnsi"/>
          <w:sz w:val="22"/>
          <w:szCs w:val="22"/>
        </w:rPr>
        <w:t xml:space="preserve">are shown in </w:t>
      </w:r>
      <w:r w:rsidR="00B440CA" w:rsidRPr="00E832A5">
        <w:rPr>
          <w:rFonts w:asciiTheme="minorHAnsi" w:hAnsiTheme="minorHAnsi" w:cstheme="minorHAnsi"/>
          <w:sz w:val="22"/>
          <w:szCs w:val="22"/>
        </w:rPr>
        <w:t>T</w:t>
      </w:r>
      <w:r w:rsidR="001A7E2E" w:rsidRPr="00E832A5">
        <w:rPr>
          <w:rFonts w:asciiTheme="minorHAnsi" w:hAnsiTheme="minorHAnsi" w:cstheme="minorHAnsi"/>
          <w:sz w:val="22"/>
          <w:szCs w:val="22"/>
        </w:rPr>
        <w:t xml:space="preserve">able </w:t>
      </w:r>
      <w:r w:rsidR="00B943E7" w:rsidRPr="00E832A5">
        <w:rPr>
          <w:rFonts w:asciiTheme="minorHAnsi" w:hAnsiTheme="minorHAnsi" w:cstheme="minorHAnsi"/>
          <w:sz w:val="22"/>
          <w:szCs w:val="22"/>
        </w:rPr>
        <w:t>1.5.1.8-1</w:t>
      </w:r>
      <w:r w:rsidR="00DF010C" w:rsidRPr="00E832A5">
        <w:rPr>
          <w:rFonts w:asciiTheme="minorHAnsi" w:hAnsiTheme="minorHAnsi" w:cstheme="minorHAnsi"/>
          <w:sz w:val="22"/>
          <w:szCs w:val="22"/>
        </w:rPr>
        <w:t xml:space="preserve"> and can range between </w:t>
      </w:r>
      <w:r w:rsidR="0095089D" w:rsidRPr="00216DD4">
        <w:rPr>
          <w:rFonts w:asciiTheme="minorHAnsi" w:hAnsiTheme="minorHAnsi" w:cstheme="minorHAnsi"/>
          <w:b/>
          <w:bCs/>
          <w:sz w:val="22"/>
          <w:szCs w:val="22"/>
        </w:rPr>
        <w:t>REDACTED</w:t>
      </w:r>
      <w:r w:rsidR="0095089D" w:rsidRPr="0095089D">
        <w:rPr>
          <w:rFonts w:asciiTheme="minorHAnsi" w:hAnsiTheme="minorHAnsi" w:cstheme="minorHAnsi"/>
          <w:b/>
          <w:bCs/>
          <w:sz w:val="22"/>
          <w:szCs w:val="22"/>
        </w:rPr>
        <w:t xml:space="preserve"> </w:t>
      </w:r>
      <w:proofErr w:type="spellStart"/>
      <w:r w:rsidR="0095089D" w:rsidRPr="00216DD4">
        <w:rPr>
          <w:rFonts w:asciiTheme="minorHAnsi" w:hAnsiTheme="minorHAnsi" w:cstheme="minorHAnsi"/>
          <w:b/>
          <w:bCs/>
          <w:sz w:val="22"/>
          <w:szCs w:val="22"/>
        </w:rPr>
        <w:t>REDACTED</w:t>
      </w:r>
      <w:proofErr w:type="spellEnd"/>
      <w:r w:rsidR="0095089D" w:rsidRPr="0095089D">
        <w:rPr>
          <w:rFonts w:asciiTheme="minorHAnsi" w:hAnsiTheme="minorHAnsi" w:cstheme="minorHAnsi"/>
          <w:b/>
          <w:bCs/>
          <w:sz w:val="22"/>
          <w:szCs w:val="22"/>
        </w:rPr>
        <w:t xml:space="preserve"> </w:t>
      </w:r>
      <w:proofErr w:type="spellStart"/>
      <w:r w:rsidR="0095089D" w:rsidRPr="00216DD4">
        <w:rPr>
          <w:rFonts w:asciiTheme="minorHAnsi" w:hAnsiTheme="minorHAnsi" w:cstheme="minorHAnsi"/>
          <w:b/>
          <w:bCs/>
          <w:sz w:val="22"/>
          <w:szCs w:val="22"/>
        </w:rPr>
        <w:t>REDACTED</w:t>
      </w:r>
      <w:proofErr w:type="spellEnd"/>
      <w:r w:rsidR="0095089D" w:rsidRPr="0095089D">
        <w:rPr>
          <w:rFonts w:asciiTheme="minorHAnsi" w:hAnsiTheme="minorHAnsi" w:cstheme="minorHAnsi"/>
          <w:b/>
          <w:bCs/>
          <w:sz w:val="22"/>
          <w:szCs w:val="22"/>
        </w:rPr>
        <w:t xml:space="preserve"> </w:t>
      </w:r>
      <w:proofErr w:type="spellStart"/>
      <w:r w:rsidR="0095089D" w:rsidRPr="00216DD4">
        <w:rPr>
          <w:rFonts w:asciiTheme="minorHAnsi" w:hAnsiTheme="minorHAnsi" w:cstheme="minorHAnsi"/>
          <w:b/>
          <w:bCs/>
          <w:sz w:val="22"/>
          <w:szCs w:val="22"/>
        </w:rPr>
        <w:t>REDACTED</w:t>
      </w:r>
      <w:proofErr w:type="spellEnd"/>
      <w:r w:rsidR="0095089D" w:rsidRPr="0095089D">
        <w:rPr>
          <w:rFonts w:asciiTheme="minorHAnsi" w:hAnsiTheme="minorHAnsi" w:cstheme="minorHAnsi"/>
          <w:b/>
          <w:bCs/>
          <w:sz w:val="22"/>
          <w:szCs w:val="22"/>
        </w:rPr>
        <w:t xml:space="preserve"> </w:t>
      </w:r>
      <w:proofErr w:type="spellStart"/>
      <w:r w:rsidR="0095089D" w:rsidRPr="00216DD4">
        <w:rPr>
          <w:rFonts w:asciiTheme="minorHAnsi" w:hAnsiTheme="minorHAnsi" w:cstheme="minorHAnsi"/>
          <w:b/>
          <w:bCs/>
          <w:sz w:val="22"/>
          <w:szCs w:val="22"/>
        </w:rPr>
        <w:t>REDACTED</w:t>
      </w:r>
      <w:proofErr w:type="spellEnd"/>
      <w:r w:rsidR="004264C9" w:rsidRPr="00E832A5">
        <w:rPr>
          <w:rFonts w:asciiTheme="minorHAnsi" w:hAnsiTheme="minorHAnsi" w:cstheme="minorHAnsi"/>
          <w:sz w:val="22"/>
          <w:szCs w:val="22"/>
        </w:rPr>
        <w:t>.</w:t>
      </w:r>
      <w:r w:rsidR="002754CB" w:rsidRPr="00E832A5">
        <w:rPr>
          <w:rFonts w:asciiTheme="minorHAnsi" w:hAnsiTheme="minorHAnsi" w:cstheme="minorHAnsi"/>
          <w:sz w:val="22"/>
          <w:szCs w:val="22"/>
        </w:rPr>
        <w:t xml:space="preserve"> </w:t>
      </w:r>
      <w:r w:rsidR="001C1BC5" w:rsidRPr="00E832A5">
        <w:rPr>
          <w:rFonts w:asciiTheme="minorHAnsi" w:hAnsiTheme="minorHAnsi" w:cstheme="minorHAnsi"/>
          <w:sz w:val="22"/>
          <w:szCs w:val="22"/>
        </w:rPr>
        <w:t>T</w:t>
      </w:r>
      <w:r w:rsidR="00E57892" w:rsidRPr="00E832A5">
        <w:rPr>
          <w:rFonts w:asciiTheme="minorHAnsi" w:hAnsiTheme="minorHAnsi" w:cstheme="minorHAnsi"/>
          <w:sz w:val="22"/>
          <w:szCs w:val="22"/>
        </w:rPr>
        <w:t xml:space="preserve">he parameter inputs </w:t>
      </w:r>
      <w:r w:rsidR="00D16C76" w:rsidRPr="00E832A5">
        <w:rPr>
          <w:rFonts w:asciiTheme="minorHAnsi" w:hAnsiTheme="minorHAnsi" w:cstheme="minorHAnsi"/>
          <w:sz w:val="22"/>
          <w:szCs w:val="22"/>
        </w:rPr>
        <w:t>for modeling the probability of delays</w:t>
      </w:r>
      <w:r w:rsidR="00FA6169" w:rsidRPr="00E832A5">
        <w:rPr>
          <w:rFonts w:asciiTheme="minorHAnsi" w:hAnsiTheme="minorHAnsi" w:cstheme="minorHAnsi"/>
          <w:sz w:val="22"/>
          <w:szCs w:val="22"/>
        </w:rPr>
        <w:t xml:space="preserve"> </w:t>
      </w:r>
      <w:r w:rsidR="004B2BA7">
        <w:rPr>
          <w:rFonts w:asciiTheme="minorHAnsi" w:hAnsiTheme="minorHAnsi" w:cstheme="minorHAnsi"/>
          <w:sz w:val="22"/>
          <w:szCs w:val="22"/>
        </w:rPr>
        <w:t xml:space="preserve">in commercial operation </w:t>
      </w:r>
      <w:r w:rsidR="00FA6169" w:rsidRPr="00E832A5">
        <w:rPr>
          <w:rFonts w:asciiTheme="minorHAnsi" w:hAnsiTheme="minorHAnsi" w:cstheme="minorHAnsi"/>
          <w:sz w:val="22"/>
          <w:szCs w:val="22"/>
        </w:rPr>
        <w:t xml:space="preserve">are based on </w:t>
      </w:r>
      <w:r w:rsidR="00262B55">
        <w:rPr>
          <w:rFonts w:asciiTheme="minorHAnsi" w:hAnsiTheme="minorHAnsi" w:cstheme="minorHAnsi"/>
          <w:sz w:val="22"/>
          <w:szCs w:val="22"/>
        </w:rPr>
        <w:t xml:space="preserve">the </w:t>
      </w:r>
      <w:r w:rsidR="003B6A44" w:rsidRPr="00E832A5">
        <w:rPr>
          <w:rFonts w:asciiTheme="minorHAnsi" w:hAnsiTheme="minorHAnsi" w:cstheme="minorHAnsi"/>
          <w:sz w:val="22"/>
          <w:szCs w:val="22"/>
        </w:rPr>
        <w:t>Company</w:t>
      </w:r>
      <w:r w:rsidR="00262B55">
        <w:rPr>
          <w:rFonts w:asciiTheme="minorHAnsi" w:hAnsiTheme="minorHAnsi" w:cstheme="minorHAnsi"/>
          <w:sz w:val="22"/>
          <w:szCs w:val="22"/>
        </w:rPr>
        <w:t>’s</w:t>
      </w:r>
      <w:r w:rsidR="003B6A44" w:rsidRPr="00E832A5">
        <w:rPr>
          <w:rFonts w:asciiTheme="minorHAnsi" w:hAnsiTheme="minorHAnsi" w:cstheme="minorHAnsi"/>
          <w:sz w:val="22"/>
          <w:szCs w:val="22"/>
        </w:rPr>
        <w:t xml:space="preserve"> </w:t>
      </w:r>
      <w:r w:rsidR="00D04BEB">
        <w:rPr>
          <w:rFonts w:asciiTheme="minorHAnsi" w:hAnsiTheme="minorHAnsi" w:cstheme="minorHAnsi"/>
          <w:sz w:val="22"/>
          <w:szCs w:val="22"/>
        </w:rPr>
        <w:t>estimates</w:t>
      </w:r>
      <w:r w:rsidR="00FA6169" w:rsidRPr="00E832A5">
        <w:rPr>
          <w:rFonts w:asciiTheme="minorHAnsi" w:hAnsiTheme="minorHAnsi" w:cstheme="minorHAnsi"/>
          <w:sz w:val="22"/>
          <w:szCs w:val="22"/>
        </w:rPr>
        <w:t>.</w:t>
      </w:r>
    </w:p>
    <w:p w14:paraId="420B444A" w14:textId="77777777" w:rsidR="00CF613A" w:rsidRPr="00E832A5" w:rsidRDefault="00CF613A" w:rsidP="00E832A5">
      <w:pPr>
        <w:spacing w:line="276" w:lineRule="auto"/>
        <w:jc w:val="both"/>
        <w:rPr>
          <w:rFonts w:asciiTheme="minorHAnsi" w:hAnsiTheme="minorHAnsi" w:cstheme="minorHAnsi"/>
          <w:sz w:val="22"/>
          <w:szCs w:val="22"/>
        </w:rPr>
      </w:pPr>
    </w:p>
    <w:p w14:paraId="4EAE375A" w14:textId="77777777" w:rsidR="00CF613A" w:rsidRPr="00E832A5" w:rsidRDefault="00CF613A" w:rsidP="00E832A5">
      <w:pPr>
        <w:keepNext/>
        <w:keepLines/>
        <w:widowControl w:val="0"/>
        <w:spacing w:line="276" w:lineRule="auto"/>
        <w:jc w:val="center"/>
        <w:rPr>
          <w:rFonts w:asciiTheme="minorHAnsi" w:hAnsiTheme="minorHAnsi" w:cstheme="minorHAnsi"/>
          <w:b/>
          <w:sz w:val="22"/>
          <w:szCs w:val="22"/>
        </w:rPr>
      </w:pPr>
      <w:r w:rsidRPr="0095089D">
        <w:rPr>
          <w:rFonts w:asciiTheme="minorHAnsi" w:hAnsiTheme="minorHAnsi" w:cstheme="minorHAnsi"/>
          <w:b/>
          <w:sz w:val="22"/>
          <w:szCs w:val="22"/>
        </w:rPr>
        <w:lastRenderedPageBreak/>
        <w:t>Table 1.5.1.8-1: Specifications of Triangular Distributions for Delay</w:t>
      </w:r>
    </w:p>
    <w:tbl>
      <w:tblPr>
        <w:tblW w:w="8379" w:type="dxa"/>
        <w:jc w:val="center"/>
        <w:tblLook w:val="04A0" w:firstRow="1" w:lastRow="0" w:firstColumn="1" w:lastColumn="0" w:noHBand="0" w:noVBand="1"/>
      </w:tblPr>
      <w:tblGrid>
        <w:gridCol w:w="1636"/>
        <w:gridCol w:w="3275"/>
        <w:gridCol w:w="1191"/>
        <w:gridCol w:w="1191"/>
        <w:gridCol w:w="1191"/>
      </w:tblGrid>
      <w:tr w:rsidR="00CF613A" w:rsidRPr="00E832A5" w14:paraId="2DCF9DCF" w14:textId="77777777">
        <w:trPr>
          <w:trHeight w:val="285"/>
          <w:jc w:val="center"/>
        </w:trPr>
        <w:tc>
          <w:tcPr>
            <w:tcW w:w="1636" w:type="dxa"/>
            <w:tcBorders>
              <w:top w:val="nil"/>
              <w:left w:val="nil"/>
              <w:bottom w:val="nil"/>
              <w:right w:val="nil"/>
            </w:tcBorders>
            <w:shd w:val="clear" w:color="auto" w:fill="auto"/>
            <w:noWrap/>
            <w:vAlign w:val="center"/>
            <w:hideMark/>
          </w:tcPr>
          <w:p w14:paraId="0C8E5F2D" w14:textId="77777777" w:rsidR="00CF613A" w:rsidRPr="00E832A5" w:rsidRDefault="00CF613A" w:rsidP="00E832A5">
            <w:pPr>
              <w:keepNext/>
              <w:keepLines/>
              <w:widowControl w:val="0"/>
              <w:spacing w:line="276" w:lineRule="auto"/>
              <w:jc w:val="both"/>
              <w:rPr>
                <w:rFonts w:asciiTheme="minorHAnsi" w:eastAsia="Microsoft YaHei" w:hAnsiTheme="minorHAnsi" w:cstheme="minorHAnsi"/>
                <w:i/>
                <w:iCs/>
                <w:color w:val="000000"/>
                <w:sz w:val="22"/>
                <w:szCs w:val="22"/>
                <w:u w:val="single"/>
              </w:rPr>
            </w:pPr>
            <w:r w:rsidRPr="00E832A5">
              <w:rPr>
                <w:rFonts w:asciiTheme="minorHAnsi" w:eastAsia="Microsoft YaHei" w:hAnsiTheme="minorHAnsi" w:cstheme="minorHAnsi"/>
                <w:i/>
                <w:iCs/>
                <w:color w:val="000000"/>
                <w:sz w:val="22"/>
                <w:szCs w:val="22"/>
                <w:u w:val="single"/>
              </w:rPr>
              <w:t>Class</w:t>
            </w:r>
          </w:p>
        </w:tc>
        <w:tc>
          <w:tcPr>
            <w:tcW w:w="3275" w:type="dxa"/>
            <w:tcBorders>
              <w:top w:val="nil"/>
              <w:left w:val="nil"/>
              <w:bottom w:val="nil"/>
              <w:right w:val="nil"/>
            </w:tcBorders>
            <w:shd w:val="clear" w:color="auto" w:fill="auto"/>
            <w:noWrap/>
            <w:vAlign w:val="center"/>
            <w:hideMark/>
          </w:tcPr>
          <w:p w14:paraId="4CE5EEE7" w14:textId="77777777" w:rsidR="00CF613A" w:rsidRPr="00E832A5" w:rsidRDefault="00CF613A" w:rsidP="00E832A5">
            <w:pPr>
              <w:keepNext/>
              <w:keepLines/>
              <w:widowControl w:val="0"/>
              <w:spacing w:line="276" w:lineRule="auto"/>
              <w:jc w:val="both"/>
              <w:rPr>
                <w:rFonts w:asciiTheme="minorHAnsi" w:eastAsia="Microsoft YaHei" w:hAnsiTheme="minorHAnsi" w:cstheme="minorHAnsi"/>
                <w:i/>
                <w:iCs/>
                <w:color w:val="000000"/>
                <w:sz w:val="22"/>
                <w:szCs w:val="22"/>
                <w:u w:val="single"/>
              </w:rPr>
            </w:pPr>
            <w:r w:rsidRPr="00E832A5">
              <w:rPr>
                <w:rFonts w:asciiTheme="minorHAnsi" w:eastAsia="Microsoft YaHei" w:hAnsiTheme="minorHAnsi" w:cstheme="minorHAnsi"/>
                <w:i/>
                <w:iCs/>
                <w:color w:val="000000"/>
                <w:sz w:val="22"/>
                <w:szCs w:val="22"/>
                <w:u w:val="single"/>
              </w:rPr>
              <w:t>Segment</w:t>
            </w:r>
          </w:p>
        </w:tc>
        <w:tc>
          <w:tcPr>
            <w:tcW w:w="1156" w:type="dxa"/>
            <w:tcBorders>
              <w:top w:val="nil"/>
              <w:left w:val="nil"/>
              <w:bottom w:val="nil"/>
              <w:right w:val="nil"/>
            </w:tcBorders>
            <w:shd w:val="clear" w:color="auto" w:fill="auto"/>
            <w:noWrap/>
            <w:vAlign w:val="center"/>
            <w:hideMark/>
          </w:tcPr>
          <w:p w14:paraId="2C0AFE8B" w14:textId="77777777" w:rsidR="00CF613A" w:rsidRPr="00E832A5" w:rsidRDefault="00CF613A" w:rsidP="00E832A5">
            <w:pPr>
              <w:keepNext/>
              <w:keepLines/>
              <w:widowControl w:val="0"/>
              <w:spacing w:line="276" w:lineRule="auto"/>
              <w:jc w:val="both"/>
              <w:rPr>
                <w:rFonts w:asciiTheme="minorHAnsi" w:eastAsia="Microsoft YaHei" w:hAnsiTheme="minorHAnsi" w:cstheme="minorHAnsi"/>
                <w:i/>
                <w:iCs/>
                <w:color w:val="000000"/>
                <w:sz w:val="22"/>
                <w:szCs w:val="22"/>
                <w:u w:val="single"/>
              </w:rPr>
            </w:pPr>
            <w:r w:rsidRPr="00E832A5">
              <w:rPr>
                <w:rFonts w:asciiTheme="minorHAnsi" w:eastAsia="Microsoft YaHei" w:hAnsiTheme="minorHAnsi" w:cstheme="minorHAnsi"/>
                <w:i/>
                <w:iCs/>
                <w:color w:val="000000"/>
                <w:sz w:val="22"/>
                <w:szCs w:val="22"/>
                <w:u w:val="single"/>
              </w:rPr>
              <w:t>Low</w:t>
            </w:r>
          </w:p>
        </w:tc>
        <w:tc>
          <w:tcPr>
            <w:tcW w:w="1156" w:type="dxa"/>
            <w:tcBorders>
              <w:top w:val="nil"/>
              <w:left w:val="nil"/>
              <w:bottom w:val="nil"/>
              <w:right w:val="nil"/>
            </w:tcBorders>
            <w:shd w:val="clear" w:color="auto" w:fill="auto"/>
            <w:noWrap/>
            <w:vAlign w:val="center"/>
            <w:hideMark/>
          </w:tcPr>
          <w:p w14:paraId="3CD3E02E" w14:textId="77777777" w:rsidR="00CF613A" w:rsidRPr="00E832A5" w:rsidRDefault="00CF613A" w:rsidP="00E832A5">
            <w:pPr>
              <w:keepNext/>
              <w:keepLines/>
              <w:widowControl w:val="0"/>
              <w:spacing w:line="276" w:lineRule="auto"/>
              <w:jc w:val="both"/>
              <w:rPr>
                <w:rFonts w:asciiTheme="minorHAnsi" w:eastAsia="Microsoft YaHei" w:hAnsiTheme="minorHAnsi" w:cstheme="minorHAnsi"/>
                <w:i/>
                <w:iCs/>
                <w:color w:val="000000"/>
                <w:sz w:val="22"/>
                <w:szCs w:val="22"/>
                <w:u w:val="single"/>
              </w:rPr>
            </w:pPr>
            <w:r w:rsidRPr="00E832A5">
              <w:rPr>
                <w:rFonts w:asciiTheme="minorHAnsi" w:eastAsia="Microsoft YaHei" w:hAnsiTheme="minorHAnsi" w:cstheme="minorHAnsi"/>
                <w:i/>
                <w:iCs/>
                <w:color w:val="000000"/>
                <w:sz w:val="22"/>
                <w:szCs w:val="22"/>
                <w:u w:val="single"/>
              </w:rPr>
              <w:t>Mid</w:t>
            </w:r>
          </w:p>
        </w:tc>
        <w:tc>
          <w:tcPr>
            <w:tcW w:w="1156" w:type="dxa"/>
            <w:tcBorders>
              <w:top w:val="nil"/>
              <w:left w:val="nil"/>
              <w:bottom w:val="nil"/>
              <w:right w:val="nil"/>
            </w:tcBorders>
            <w:shd w:val="clear" w:color="auto" w:fill="auto"/>
            <w:noWrap/>
            <w:vAlign w:val="center"/>
            <w:hideMark/>
          </w:tcPr>
          <w:p w14:paraId="274C1BB4" w14:textId="77777777" w:rsidR="00CF613A" w:rsidRPr="00E832A5" w:rsidRDefault="00CF613A" w:rsidP="00E832A5">
            <w:pPr>
              <w:keepNext/>
              <w:keepLines/>
              <w:widowControl w:val="0"/>
              <w:spacing w:line="276" w:lineRule="auto"/>
              <w:jc w:val="both"/>
              <w:rPr>
                <w:rFonts w:asciiTheme="minorHAnsi" w:eastAsia="Microsoft YaHei" w:hAnsiTheme="minorHAnsi" w:cstheme="minorHAnsi"/>
                <w:i/>
                <w:iCs/>
                <w:color w:val="000000"/>
                <w:sz w:val="22"/>
                <w:szCs w:val="22"/>
                <w:u w:val="single"/>
              </w:rPr>
            </w:pPr>
            <w:r w:rsidRPr="00E832A5">
              <w:rPr>
                <w:rFonts w:asciiTheme="minorHAnsi" w:eastAsia="Microsoft YaHei" w:hAnsiTheme="minorHAnsi" w:cstheme="minorHAnsi"/>
                <w:i/>
                <w:iCs/>
                <w:color w:val="000000"/>
                <w:sz w:val="22"/>
                <w:szCs w:val="22"/>
                <w:u w:val="single"/>
              </w:rPr>
              <w:t>High</w:t>
            </w:r>
          </w:p>
        </w:tc>
      </w:tr>
      <w:tr w:rsidR="00890C0E" w:rsidRPr="00E832A5" w14:paraId="47C886F8" w14:textId="77777777" w:rsidTr="0082339C">
        <w:trPr>
          <w:trHeight w:val="285"/>
          <w:jc w:val="center"/>
        </w:trPr>
        <w:tc>
          <w:tcPr>
            <w:tcW w:w="1636" w:type="dxa"/>
            <w:tcBorders>
              <w:top w:val="nil"/>
              <w:left w:val="nil"/>
              <w:bottom w:val="nil"/>
              <w:right w:val="nil"/>
            </w:tcBorders>
            <w:shd w:val="clear" w:color="auto" w:fill="auto"/>
            <w:noWrap/>
            <w:vAlign w:val="center"/>
            <w:hideMark/>
          </w:tcPr>
          <w:p w14:paraId="10E5EABD" w14:textId="77777777" w:rsidR="00890C0E" w:rsidRPr="00E832A5" w:rsidRDefault="00890C0E" w:rsidP="00890C0E">
            <w:pPr>
              <w:keepNext/>
              <w:keepLines/>
              <w:widowControl w:val="0"/>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Commercial</w:t>
            </w:r>
          </w:p>
        </w:tc>
        <w:tc>
          <w:tcPr>
            <w:tcW w:w="3275" w:type="dxa"/>
            <w:tcBorders>
              <w:top w:val="nil"/>
              <w:left w:val="nil"/>
              <w:bottom w:val="nil"/>
              <w:right w:val="nil"/>
            </w:tcBorders>
            <w:shd w:val="clear" w:color="auto" w:fill="auto"/>
            <w:noWrap/>
            <w:vAlign w:val="center"/>
            <w:hideMark/>
          </w:tcPr>
          <w:p w14:paraId="5F6B14A6" w14:textId="77777777" w:rsidR="00890C0E" w:rsidRPr="00E832A5" w:rsidRDefault="00890C0E" w:rsidP="00890C0E">
            <w:pPr>
              <w:keepNext/>
              <w:keepLines/>
              <w:widowControl w:val="0"/>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All segments</w:t>
            </w:r>
          </w:p>
        </w:tc>
        <w:tc>
          <w:tcPr>
            <w:tcW w:w="1156" w:type="dxa"/>
            <w:tcBorders>
              <w:top w:val="nil"/>
              <w:left w:val="nil"/>
              <w:bottom w:val="nil"/>
              <w:right w:val="nil"/>
            </w:tcBorders>
            <w:shd w:val="clear" w:color="auto" w:fill="auto"/>
            <w:noWrap/>
            <w:hideMark/>
          </w:tcPr>
          <w:p w14:paraId="2A0402CA" w14:textId="39720518" w:rsidR="00890C0E" w:rsidRPr="00453ED8" w:rsidRDefault="00890C0E" w:rsidP="00890C0E">
            <w:pPr>
              <w:keepNext/>
              <w:keepLines/>
              <w:widowControl w:val="0"/>
              <w:spacing w:line="276" w:lineRule="auto"/>
              <w:jc w:val="both"/>
              <w:rPr>
                <w:rFonts w:asciiTheme="minorHAnsi" w:eastAsia="Microsoft YaHei" w:hAnsiTheme="minorHAnsi" w:cstheme="minorHAnsi"/>
                <w:color w:val="000000"/>
                <w:sz w:val="22"/>
                <w:szCs w:val="22"/>
                <w:highlight w:val="yellow"/>
              </w:rPr>
            </w:pPr>
            <w:r w:rsidRPr="007160EC">
              <w:rPr>
                <w:rFonts w:asciiTheme="minorHAnsi" w:hAnsiTheme="minorHAnsi" w:cstheme="minorHAnsi"/>
                <w:b/>
                <w:bCs/>
                <w:sz w:val="22"/>
                <w:szCs w:val="22"/>
              </w:rPr>
              <w:t>REDACTED</w:t>
            </w:r>
          </w:p>
        </w:tc>
        <w:tc>
          <w:tcPr>
            <w:tcW w:w="1156" w:type="dxa"/>
            <w:tcBorders>
              <w:top w:val="nil"/>
              <w:left w:val="nil"/>
              <w:bottom w:val="nil"/>
              <w:right w:val="nil"/>
            </w:tcBorders>
            <w:shd w:val="clear" w:color="auto" w:fill="auto"/>
            <w:noWrap/>
            <w:hideMark/>
          </w:tcPr>
          <w:p w14:paraId="76EBDB18" w14:textId="4F09B78C" w:rsidR="00890C0E" w:rsidRPr="00453ED8" w:rsidRDefault="00890C0E" w:rsidP="00890C0E">
            <w:pPr>
              <w:keepNext/>
              <w:keepLines/>
              <w:widowControl w:val="0"/>
              <w:spacing w:line="276" w:lineRule="auto"/>
              <w:jc w:val="both"/>
              <w:rPr>
                <w:rFonts w:asciiTheme="minorHAnsi" w:eastAsia="Microsoft YaHei" w:hAnsiTheme="minorHAnsi" w:cstheme="minorHAnsi"/>
                <w:color w:val="000000"/>
                <w:sz w:val="22"/>
                <w:szCs w:val="22"/>
                <w:highlight w:val="yellow"/>
              </w:rPr>
            </w:pPr>
            <w:r w:rsidRPr="007160EC">
              <w:rPr>
                <w:rFonts w:asciiTheme="minorHAnsi" w:hAnsiTheme="minorHAnsi" w:cstheme="minorHAnsi"/>
                <w:b/>
                <w:bCs/>
                <w:sz w:val="22"/>
                <w:szCs w:val="22"/>
              </w:rPr>
              <w:t>REDACTED</w:t>
            </w:r>
          </w:p>
        </w:tc>
        <w:tc>
          <w:tcPr>
            <w:tcW w:w="1156" w:type="dxa"/>
            <w:tcBorders>
              <w:top w:val="nil"/>
              <w:left w:val="nil"/>
              <w:bottom w:val="nil"/>
              <w:right w:val="nil"/>
            </w:tcBorders>
            <w:shd w:val="clear" w:color="auto" w:fill="auto"/>
            <w:noWrap/>
            <w:hideMark/>
          </w:tcPr>
          <w:p w14:paraId="51410E25" w14:textId="7BB023CA" w:rsidR="00890C0E" w:rsidRPr="00453ED8" w:rsidRDefault="00890C0E" w:rsidP="00890C0E">
            <w:pPr>
              <w:keepNext/>
              <w:keepLines/>
              <w:widowControl w:val="0"/>
              <w:spacing w:line="276" w:lineRule="auto"/>
              <w:jc w:val="both"/>
              <w:rPr>
                <w:rFonts w:asciiTheme="minorHAnsi" w:eastAsia="Microsoft YaHei" w:hAnsiTheme="minorHAnsi" w:cstheme="minorHAnsi"/>
                <w:color w:val="000000"/>
                <w:sz w:val="22"/>
                <w:szCs w:val="22"/>
                <w:highlight w:val="yellow"/>
              </w:rPr>
            </w:pPr>
            <w:r w:rsidRPr="007160EC">
              <w:rPr>
                <w:rFonts w:asciiTheme="minorHAnsi" w:hAnsiTheme="minorHAnsi" w:cstheme="minorHAnsi"/>
                <w:b/>
                <w:bCs/>
                <w:sz w:val="22"/>
                <w:szCs w:val="22"/>
              </w:rPr>
              <w:t>REDACTED</w:t>
            </w:r>
          </w:p>
        </w:tc>
      </w:tr>
      <w:tr w:rsidR="00890C0E" w:rsidRPr="00E832A5" w14:paraId="02EAFA94" w14:textId="77777777" w:rsidTr="0082339C">
        <w:trPr>
          <w:trHeight w:val="285"/>
          <w:jc w:val="center"/>
        </w:trPr>
        <w:tc>
          <w:tcPr>
            <w:tcW w:w="1636" w:type="dxa"/>
            <w:tcBorders>
              <w:top w:val="nil"/>
              <w:left w:val="nil"/>
              <w:bottom w:val="nil"/>
              <w:right w:val="nil"/>
            </w:tcBorders>
            <w:shd w:val="clear" w:color="auto" w:fill="auto"/>
            <w:noWrap/>
            <w:vAlign w:val="center"/>
            <w:hideMark/>
          </w:tcPr>
          <w:p w14:paraId="72EEB6A7" w14:textId="77777777" w:rsidR="00890C0E" w:rsidRPr="00E832A5" w:rsidRDefault="00890C0E" w:rsidP="00890C0E">
            <w:pPr>
              <w:keepNext/>
              <w:keepLines/>
              <w:widowControl w:val="0"/>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Industrial</w:t>
            </w:r>
          </w:p>
        </w:tc>
        <w:tc>
          <w:tcPr>
            <w:tcW w:w="3275" w:type="dxa"/>
            <w:tcBorders>
              <w:top w:val="nil"/>
              <w:left w:val="nil"/>
              <w:bottom w:val="nil"/>
              <w:right w:val="nil"/>
            </w:tcBorders>
            <w:shd w:val="clear" w:color="auto" w:fill="auto"/>
            <w:noWrap/>
            <w:vAlign w:val="center"/>
          </w:tcPr>
          <w:p w14:paraId="4AE20759" w14:textId="77777777" w:rsidR="00890C0E" w:rsidRPr="00E832A5" w:rsidRDefault="00890C0E" w:rsidP="00890C0E">
            <w:pPr>
              <w:keepNext/>
              <w:keepLines/>
              <w:widowControl w:val="0"/>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All Segments</w:t>
            </w:r>
          </w:p>
        </w:tc>
        <w:tc>
          <w:tcPr>
            <w:tcW w:w="1156" w:type="dxa"/>
            <w:tcBorders>
              <w:top w:val="nil"/>
              <w:left w:val="nil"/>
              <w:bottom w:val="nil"/>
              <w:right w:val="nil"/>
            </w:tcBorders>
            <w:shd w:val="clear" w:color="auto" w:fill="auto"/>
            <w:noWrap/>
          </w:tcPr>
          <w:p w14:paraId="5C40C3B6" w14:textId="60D1DE10" w:rsidR="00890C0E" w:rsidRPr="00453ED8" w:rsidRDefault="00890C0E" w:rsidP="00890C0E">
            <w:pPr>
              <w:keepNext/>
              <w:keepLines/>
              <w:widowControl w:val="0"/>
              <w:spacing w:line="276" w:lineRule="auto"/>
              <w:jc w:val="both"/>
              <w:rPr>
                <w:rFonts w:asciiTheme="minorHAnsi" w:eastAsia="Microsoft YaHei" w:hAnsiTheme="minorHAnsi" w:cstheme="minorHAnsi"/>
                <w:color w:val="000000"/>
                <w:sz w:val="22"/>
                <w:szCs w:val="22"/>
                <w:highlight w:val="yellow"/>
              </w:rPr>
            </w:pPr>
            <w:r w:rsidRPr="007160EC">
              <w:rPr>
                <w:rFonts w:asciiTheme="minorHAnsi" w:hAnsiTheme="minorHAnsi" w:cstheme="minorHAnsi"/>
                <w:b/>
                <w:bCs/>
                <w:sz w:val="22"/>
                <w:szCs w:val="22"/>
              </w:rPr>
              <w:t>REDACTED</w:t>
            </w:r>
          </w:p>
        </w:tc>
        <w:tc>
          <w:tcPr>
            <w:tcW w:w="1156" w:type="dxa"/>
            <w:tcBorders>
              <w:top w:val="nil"/>
              <w:left w:val="nil"/>
              <w:bottom w:val="nil"/>
              <w:right w:val="nil"/>
            </w:tcBorders>
            <w:shd w:val="clear" w:color="auto" w:fill="auto"/>
            <w:noWrap/>
          </w:tcPr>
          <w:p w14:paraId="3BA109EA" w14:textId="4348ADCC" w:rsidR="00890C0E" w:rsidRPr="00453ED8" w:rsidRDefault="00890C0E" w:rsidP="00890C0E">
            <w:pPr>
              <w:keepNext/>
              <w:keepLines/>
              <w:widowControl w:val="0"/>
              <w:spacing w:line="276" w:lineRule="auto"/>
              <w:jc w:val="both"/>
              <w:rPr>
                <w:rFonts w:asciiTheme="minorHAnsi" w:eastAsia="Microsoft YaHei" w:hAnsiTheme="minorHAnsi" w:cstheme="minorHAnsi"/>
                <w:color w:val="000000"/>
                <w:sz w:val="22"/>
                <w:szCs w:val="22"/>
                <w:highlight w:val="yellow"/>
              </w:rPr>
            </w:pPr>
            <w:r w:rsidRPr="007160EC">
              <w:rPr>
                <w:rFonts w:asciiTheme="minorHAnsi" w:hAnsiTheme="minorHAnsi" w:cstheme="minorHAnsi"/>
                <w:b/>
                <w:bCs/>
                <w:sz w:val="22"/>
                <w:szCs w:val="22"/>
              </w:rPr>
              <w:t>REDACTED</w:t>
            </w:r>
          </w:p>
        </w:tc>
        <w:tc>
          <w:tcPr>
            <w:tcW w:w="1156" w:type="dxa"/>
            <w:tcBorders>
              <w:top w:val="nil"/>
              <w:left w:val="nil"/>
              <w:bottom w:val="nil"/>
              <w:right w:val="nil"/>
            </w:tcBorders>
            <w:shd w:val="clear" w:color="auto" w:fill="auto"/>
            <w:noWrap/>
          </w:tcPr>
          <w:p w14:paraId="2C0625F5" w14:textId="299ADF7C" w:rsidR="00890C0E" w:rsidRPr="00453ED8" w:rsidRDefault="00890C0E" w:rsidP="00890C0E">
            <w:pPr>
              <w:keepNext/>
              <w:keepLines/>
              <w:widowControl w:val="0"/>
              <w:spacing w:line="276" w:lineRule="auto"/>
              <w:jc w:val="both"/>
              <w:rPr>
                <w:rFonts w:asciiTheme="minorHAnsi" w:eastAsia="Microsoft YaHei" w:hAnsiTheme="minorHAnsi" w:cstheme="minorHAnsi"/>
                <w:color w:val="000000"/>
                <w:sz w:val="22"/>
                <w:szCs w:val="22"/>
                <w:highlight w:val="yellow"/>
              </w:rPr>
            </w:pPr>
            <w:r w:rsidRPr="007160EC">
              <w:rPr>
                <w:rFonts w:asciiTheme="minorHAnsi" w:hAnsiTheme="minorHAnsi" w:cstheme="minorHAnsi"/>
                <w:b/>
                <w:bCs/>
                <w:sz w:val="22"/>
                <w:szCs w:val="22"/>
              </w:rPr>
              <w:t>REDACTED</w:t>
            </w:r>
          </w:p>
        </w:tc>
      </w:tr>
      <w:tr w:rsidR="009A303E" w:rsidRPr="00E832A5" w14:paraId="3E3C3D39" w14:textId="77777777">
        <w:trPr>
          <w:trHeight w:val="285"/>
          <w:jc w:val="center"/>
        </w:trPr>
        <w:tc>
          <w:tcPr>
            <w:tcW w:w="1636" w:type="dxa"/>
            <w:tcBorders>
              <w:top w:val="nil"/>
              <w:left w:val="nil"/>
              <w:bottom w:val="nil"/>
              <w:right w:val="nil"/>
            </w:tcBorders>
            <w:shd w:val="clear" w:color="auto" w:fill="auto"/>
            <w:noWrap/>
            <w:vAlign w:val="center"/>
          </w:tcPr>
          <w:p w14:paraId="52BE2676" w14:textId="77777777" w:rsidR="009A303E" w:rsidRPr="00E832A5" w:rsidRDefault="009A303E" w:rsidP="00E832A5">
            <w:pPr>
              <w:keepNext/>
              <w:keepLines/>
              <w:widowControl w:val="0"/>
              <w:spacing w:line="276" w:lineRule="auto"/>
              <w:jc w:val="both"/>
              <w:rPr>
                <w:rFonts w:asciiTheme="minorHAnsi" w:eastAsia="Microsoft YaHei" w:hAnsiTheme="minorHAnsi" w:cstheme="minorHAnsi"/>
                <w:color w:val="000000"/>
                <w:sz w:val="22"/>
                <w:szCs w:val="22"/>
              </w:rPr>
            </w:pPr>
          </w:p>
        </w:tc>
        <w:tc>
          <w:tcPr>
            <w:tcW w:w="3275" w:type="dxa"/>
            <w:tcBorders>
              <w:top w:val="nil"/>
              <w:left w:val="nil"/>
              <w:bottom w:val="nil"/>
              <w:right w:val="nil"/>
            </w:tcBorders>
            <w:shd w:val="clear" w:color="auto" w:fill="auto"/>
            <w:noWrap/>
            <w:vAlign w:val="center"/>
          </w:tcPr>
          <w:p w14:paraId="63D65FFF" w14:textId="77777777" w:rsidR="009A303E" w:rsidRPr="00E832A5" w:rsidRDefault="009A303E" w:rsidP="00E832A5">
            <w:pPr>
              <w:keepNext/>
              <w:keepLines/>
              <w:widowControl w:val="0"/>
              <w:spacing w:line="276" w:lineRule="auto"/>
              <w:jc w:val="both"/>
              <w:rPr>
                <w:rFonts w:asciiTheme="minorHAnsi" w:eastAsia="Microsoft YaHei" w:hAnsiTheme="minorHAnsi" w:cstheme="minorHAnsi"/>
                <w:color w:val="000000"/>
                <w:sz w:val="22"/>
                <w:szCs w:val="22"/>
              </w:rPr>
            </w:pPr>
          </w:p>
        </w:tc>
        <w:tc>
          <w:tcPr>
            <w:tcW w:w="1156" w:type="dxa"/>
            <w:tcBorders>
              <w:top w:val="nil"/>
              <w:left w:val="nil"/>
              <w:bottom w:val="nil"/>
              <w:right w:val="nil"/>
            </w:tcBorders>
            <w:shd w:val="clear" w:color="auto" w:fill="auto"/>
            <w:noWrap/>
            <w:vAlign w:val="center"/>
          </w:tcPr>
          <w:p w14:paraId="322D9F64" w14:textId="77777777" w:rsidR="009A303E" w:rsidRPr="00E832A5" w:rsidRDefault="009A303E" w:rsidP="00E832A5">
            <w:pPr>
              <w:keepNext/>
              <w:keepLines/>
              <w:widowControl w:val="0"/>
              <w:spacing w:line="276" w:lineRule="auto"/>
              <w:jc w:val="both"/>
              <w:rPr>
                <w:rFonts w:asciiTheme="minorHAnsi" w:eastAsia="Microsoft YaHei" w:hAnsiTheme="minorHAnsi" w:cstheme="minorHAnsi"/>
                <w:color w:val="000000"/>
                <w:sz w:val="20"/>
                <w:szCs w:val="20"/>
              </w:rPr>
            </w:pPr>
          </w:p>
        </w:tc>
        <w:tc>
          <w:tcPr>
            <w:tcW w:w="1156" w:type="dxa"/>
            <w:tcBorders>
              <w:top w:val="nil"/>
              <w:left w:val="nil"/>
              <w:bottom w:val="nil"/>
              <w:right w:val="nil"/>
            </w:tcBorders>
            <w:shd w:val="clear" w:color="auto" w:fill="auto"/>
            <w:noWrap/>
            <w:vAlign w:val="center"/>
          </w:tcPr>
          <w:p w14:paraId="1B488C6F" w14:textId="77777777" w:rsidR="009A303E" w:rsidRPr="00E832A5" w:rsidRDefault="009A303E" w:rsidP="00E832A5">
            <w:pPr>
              <w:keepNext/>
              <w:keepLines/>
              <w:widowControl w:val="0"/>
              <w:spacing w:line="276" w:lineRule="auto"/>
              <w:jc w:val="both"/>
              <w:rPr>
                <w:rFonts w:asciiTheme="minorHAnsi" w:eastAsia="Microsoft YaHei" w:hAnsiTheme="minorHAnsi" w:cstheme="minorHAnsi"/>
                <w:color w:val="000000"/>
                <w:sz w:val="20"/>
                <w:szCs w:val="20"/>
              </w:rPr>
            </w:pPr>
          </w:p>
        </w:tc>
        <w:tc>
          <w:tcPr>
            <w:tcW w:w="1156" w:type="dxa"/>
            <w:tcBorders>
              <w:top w:val="nil"/>
              <w:left w:val="nil"/>
              <w:bottom w:val="nil"/>
              <w:right w:val="nil"/>
            </w:tcBorders>
            <w:shd w:val="clear" w:color="auto" w:fill="auto"/>
            <w:noWrap/>
            <w:vAlign w:val="center"/>
          </w:tcPr>
          <w:p w14:paraId="49402E47" w14:textId="77777777" w:rsidR="009A303E" w:rsidRPr="00E832A5" w:rsidRDefault="009A303E" w:rsidP="00E832A5">
            <w:pPr>
              <w:keepNext/>
              <w:keepLines/>
              <w:widowControl w:val="0"/>
              <w:spacing w:line="276" w:lineRule="auto"/>
              <w:jc w:val="both"/>
              <w:rPr>
                <w:rFonts w:asciiTheme="minorHAnsi" w:eastAsia="Microsoft YaHei" w:hAnsiTheme="minorHAnsi" w:cstheme="minorHAnsi"/>
                <w:color w:val="000000"/>
                <w:sz w:val="20"/>
                <w:szCs w:val="20"/>
              </w:rPr>
            </w:pPr>
          </w:p>
        </w:tc>
      </w:tr>
    </w:tbl>
    <w:p w14:paraId="3E9203C9" w14:textId="0002A187" w:rsidR="00081C73" w:rsidRPr="00E832A5" w:rsidRDefault="007D5F56" w:rsidP="00FC4ECB">
      <w:pPr>
        <w:pStyle w:val="Heading2"/>
        <w:spacing w:before="240" w:after="240" w:line="276" w:lineRule="auto"/>
        <w:rPr>
          <w:rFonts w:asciiTheme="minorHAnsi" w:hAnsiTheme="minorHAnsi" w:cstheme="minorHAnsi"/>
        </w:rPr>
      </w:pPr>
      <w:r w:rsidRPr="00E832A5">
        <w:rPr>
          <w:rFonts w:asciiTheme="minorHAnsi" w:hAnsiTheme="minorHAnsi" w:cstheme="minorHAnsi"/>
        </w:rPr>
        <w:t>1.5.2</w:t>
      </w:r>
      <w:r w:rsidR="00081C73" w:rsidRPr="00E832A5">
        <w:rPr>
          <w:rFonts w:asciiTheme="minorHAnsi" w:hAnsiTheme="minorHAnsi" w:cstheme="minorHAnsi"/>
        </w:rPr>
        <w:tab/>
      </w:r>
      <w:r w:rsidR="00C33A52" w:rsidRPr="00E832A5">
        <w:rPr>
          <w:rFonts w:asciiTheme="minorHAnsi" w:hAnsiTheme="minorHAnsi" w:cstheme="minorHAnsi"/>
        </w:rPr>
        <w:t>MODELING THE PORTFOLIO</w:t>
      </w:r>
    </w:p>
    <w:bookmarkEnd w:id="8"/>
    <w:p w14:paraId="7D7EDF16" w14:textId="66835D2C" w:rsidR="004A78E6" w:rsidRPr="00E832A5" w:rsidRDefault="00B75047" w:rsidP="00235C8F">
      <w:pPr>
        <w:keepNext/>
        <w:keepLines/>
        <w:spacing w:line="276" w:lineRule="auto"/>
        <w:jc w:val="both"/>
        <w:rPr>
          <w:rFonts w:asciiTheme="minorHAnsi" w:hAnsiTheme="minorHAnsi" w:cstheme="minorHAnsi"/>
          <w:sz w:val="22"/>
          <w:szCs w:val="22"/>
        </w:rPr>
      </w:pPr>
      <w:r>
        <w:rPr>
          <w:rFonts w:asciiTheme="minorHAnsi" w:hAnsiTheme="minorHAnsi" w:cstheme="minorHAnsi"/>
          <w:sz w:val="22"/>
          <w:szCs w:val="22"/>
        </w:rPr>
        <w:t>The</w:t>
      </w:r>
      <w:r w:rsidR="00E316B4" w:rsidRPr="00E832A5">
        <w:rPr>
          <w:rFonts w:asciiTheme="minorHAnsi" w:hAnsiTheme="minorHAnsi" w:cstheme="minorHAnsi"/>
          <w:sz w:val="22"/>
          <w:szCs w:val="22"/>
        </w:rPr>
        <w:t xml:space="preserve"> portfolio of large load</w:t>
      </w:r>
      <w:r>
        <w:rPr>
          <w:rFonts w:asciiTheme="minorHAnsi" w:hAnsiTheme="minorHAnsi" w:cstheme="minorHAnsi"/>
          <w:sz w:val="22"/>
          <w:szCs w:val="22"/>
        </w:rPr>
        <w:t xml:space="preserve"> projects </w:t>
      </w:r>
      <w:r w:rsidR="00F65033">
        <w:rPr>
          <w:rFonts w:asciiTheme="minorHAnsi" w:hAnsiTheme="minorHAnsi" w:cstheme="minorHAnsi"/>
          <w:sz w:val="22"/>
          <w:szCs w:val="22"/>
        </w:rPr>
        <w:t>being assessed by the Company</w:t>
      </w:r>
      <w:r w:rsidR="00B634E9" w:rsidRPr="00E832A5" w:rsidDel="002813B3">
        <w:rPr>
          <w:rFonts w:asciiTheme="minorHAnsi" w:hAnsiTheme="minorHAnsi" w:cstheme="minorHAnsi"/>
          <w:sz w:val="22"/>
          <w:szCs w:val="22"/>
        </w:rPr>
        <w:t xml:space="preserve"> </w:t>
      </w:r>
      <w:r w:rsidR="0074311B">
        <w:rPr>
          <w:rFonts w:asciiTheme="minorHAnsi" w:hAnsiTheme="minorHAnsi" w:cstheme="minorHAnsi"/>
          <w:sz w:val="22"/>
          <w:szCs w:val="22"/>
        </w:rPr>
        <w:t>consists of</w:t>
      </w:r>
      <w:r>
        <w:rPr>
          <w:rFonts w:asciiTheme="minorHAnsi" w:hAnsiTheme="minorHAnsi" w:cstheme="minorHAnsi"/>
          <w:sz w:val="22"/>
          <w:szCs w:val="22"/>
        </w:rPr>
        <w:t xml:space="preserve"> projects</w:t>
      </w:r>
      <w:r w:rsidR="00B634E9" w:rsidRPr="00E832A5">
        <w:rPr>
          <w:rFonts w:asciiTheme="minorHAnsi" w:hAnsiTheme="minorHAnsi" w:cstheme="minorHAnsi"/>
          <w:sz w:val="22"/>
          <w:szCs w:val="22"/>
        </w:rPr>
        <w:t xml:space="preserve"> in </w:t>
      </w:r>
      <w:r w:rsidR="0074311B">
        <w:rPr>
          <w:rFonts w:asciiTheme="minorHAnsi" w:hAnsiTheme="minorHAnsi" w:cstheme="minorHAnsi"/>
          <w:sz w:val="22"/>
          <w:szCs w:val="22"/>
        </w:rPr>
        <w:t>numerous</w:t>
      </w:r>
      <w:r w:rsidR="00B634E9" w:rsidRPr="00E832A5">
        <w:rPr>
          <w:rFonts w:asciiTheme="minorHAnsi" w:hAnsiTheme="minorHAnsi" w:cstheme="minorHAnsi"/>
          <w:sz w:val="22"/>
          <w:szCs w:val="22"/>
        </w:rPr>
        <w:t xml:space="preserve"> </w:t>
      </w:r>
      <w:r w:rsidR="00664F88" w:rsidRPr="00E832A5">
        <w:rPr>
          <w:rFonts w:asciiTheme="minorHAnsi" w:hAnsiTheme="minorHAnsi" w:cstheme="minorHAnsi"/>
          <w:sz w:val="22"/>
          <w:szCs w:val="22"/>
        </w:rPr>
        <w:t>phases</w:t>
      </w:r>
      <w:r w:rsidR="00B634E9" w:rsidRPr="00E832A5">
        <w:rPr>
          <w:rFonts w:asciiTheme="minorHAnsi" w:hAnsiTheme="minorHAnsi" w:cstheme="minorHAnsi"/>
          <w:sz w:val="22"/>
          <w:szCs w:val="22"/>
        </w:rPr>
        <w:t xml:space="preserve"> of development</w:t>
      </w:r>
      <w:r w:rsidR="0074311B">
        <w:rPr>
          <w:rFonts w:asciiTheme="minorHAnsi" w:hAnsiTheme="minorHAnsi" w:cstheme="minorHAnsi"/>
          <w:sz w:val="22"/>
          <w:szCs w:val="22"/>
        </w:rPr>
        <w:t>,</w:t>
      </w:r>
      <w:r w:rsidR="0072066E" w:rsidRPr="00E832A5">
        <w:rPr>
          <w:rFonts w:asciiTheme="minorHAnsi" w:hAnsiTheme="minorHAnsi" w:cstheme="minorHAnsi"/>
          <w:sz w:val="22"/>
          <w:szCs w:val="22"/>
        </w:rPr>
        <w:t xml:space="preserve"> ranging from </w:t>
      </w:r>
      <w:r w:rsidR="008837CB" w:rsidRPr="00E832A5">
        <w:rPr>
          <w:rFonts w:asciiTheme="minorHAnsi" w:hAnsiTheme="minorHAnsi" w:cstheme="minorHAnsi"/>
          <w:sz w:val="22"/>
          <w:szCs w:val="22"/>
        </w:rPr>
        <w:t>early stages</w:t>
      </w:r>
      <w:r w:rsidR="00D85FD5" w:rsidRPr="00E832A5">
        <w:rPr>
          <w:rFonts w:asciiTheme="minorHAnsi" w:hAnsiTheme="minorHAnsi" w:cstheme="minorHAnsi"/>
          <w:sz w:val="22"/>
          <w:szCs w:val="22"/>
        </w:rPr>
        <w:t>, such as</w:t>
      </w:r>
      <w:r w:rsidR="008837CB" w:rsidRPr="00E832A5">
        <w:rPr>
          <w:rFonts w:asciiTheme="minorHAnsi" w:hAnsiTheme="minorHAnsi" w:cstheme="minorHAnsi"/>
          <w:sz w:val="22"/>
          <w:szCs w:val="22"/>
        </w:rPr>
        <w:t xml:space="preserve"> </w:t>
      </w:r>
      <w:r w:rsidR="0074311B">
        <w:rPr>
          <w:rFonts w:asciiTheme="minorHAnsi" w:hAnsiTheme="minorHAnsi" w:cstheme="minorHAnsi"/>
          <w:sz w:val="22"/>
          <w:szCs w:val="22"/>
        </w:rPr>
        <w:t xml:space="preserve">the </w:t>
      </w:r>
      <w:r w:rsidR="008837CB" w:rsidRPr="00E832A5">
        <w:rPr>
          <w:rFonts w:asciiTheme="minorHAnsi" w:hAnsiTheme="minorHAnsi" w:cstheme="minorHAnsi"/>
          <w:sz w:val="22"/>
          <w:szCs w:val="22"/>
        </w:rPr>
        <w:t>state</w:t>
      </w:r>
      <w:r w:rsidR="003E66E8" w:rsidRPr="00E832A5">
        <w:rPr>
          <w:rFonts w:asciiTheme="minorHAnsi" w:hAnsiTheme="minorHAnsi" w:cstheme="minorHAnsi"/>
          <w:sz w:val="22"/>
          <w:szCs w:val="22"/>
        </w:rPr>
        <w:t xml:space="preserve"> </w:t>
      </w:r>
      <w:r w:rsidR="00D85FD5" w:rsidRPr="00E832A5">
        <w:rPr>
          <w:rFonts w:asciiTheme="minorHAnsi" w:hAnsiTheme="minorHAnsi" w:cstheme="minorHAnsi"/>
          <w:sz w:val="22"/>
          <w:szCs w:val="22"/>
        </w:rPr>
        <w:t>selection</w:t>
      </w:r>
      <w:r w:rsidR="004721A4" w:rsidRPr="00E832A5">
        <w:rPr>
          <w:rFonts w:asciiTheme="minorHAnsi" w:hAnsiTheme="minorHAnsi" w:cstheme="minorHAnsi"/>
          <w:sz w:val="22"/>
          <w:szCs w:val="22"/>
        </w:rPr>
        <w:t xml:space="preserve"> or</w:t>
      </w:r>
      <w:r w:rsidR="00D85FD5" w:rsidRPr="00E832A5">
        <w:rPr>
          <w:rFonts w:asciiTheme="minorHAnsi" w:hAnsiTheme="minorHAnsi" w:cstheme="minorHAnsi"/>
          <w:sz w:val="22"/>
          <w:szCs w:val="22"/>
        </w:rPr>
        <w:t xml:space="preserve"> site selection</w:t>
      </w:r>
      <w:r w:rsidR="0074311B">
        <w:rPr>
          <w:rFonts w:asciiTheme="minorHAnsi" w:hAnsiTheme="minorHAnsi" w:cstheme="minorHAnsi"/>
          <w:sz w:val="22"/>
          <w:szCs w:val="22"/>
        </w:rPr>
        <w:t xml:space="preserve"> phase</w:t>
      </w:r>
      <w:r w:rsidR="00BA2C76">
        <w:rPr>
          <w:rFonts w:asciiTheme="minorHAnsi" w:hAnsiTheme="minorHAnsi" w:cstheme="minorHAnsi"/>
          <w:sz w:val="22"/>
          <w:szCs w:val="22"/>
        </w:rPr>
        <w:t>s</w:t>
      </w:r>
      <w:r w:rsidR="007B1CB2" w:rsidRPr="00E832A5">
        <w:rPr>
          <w:rFonts w:asciiTheme="minorHAnsi" w:hAnsiTheme="minorHAnsi" w:cstheme="minorHAnsi"/>
          <w:sz w:val="22"/>
          <w:szCs w:val="22"/>
        </w:rPr>
        <w:t xml:space="preserve">, to </w:t>
      </w:r>
      <w:r w:rsidR="0074311B">
        <w:rPr>
          <w:rFonts w:asciiTheme="minorHAnsi" w:hAnsiTheme="minorHAnsi" w:cstheme="minorHAnsi"/>
          <w:sz w:val="22"/>
          <w:szCs w:val="22"/>
        </w:rPr>
        <w:t xml:space="preserve">those </w:t>
      </w:r>
      <w:r w:rsidR="00150E80">
        <w:rPr>
          <w:rFonts w:asciiTheme="minorHAnsi" w:hAnsiTheme="minorHAnsi" w:cstheme="minorHAnsi"/>
          <w:sz w:val="22"/>
          <w:szCs w:val="22"/>
        </w:rPr>
        <w:t xml:space="preserve">under construction and </w:t>
      </w:r>
      <w:r w:rsidR="001B5710">
        <w:rPr>
          <w:rFonts w:asciiTheme="minorHAnsi" w:hAnsiTheme="minorHAnsi" w:cstheme="minorHAnsi"/>
          <w:sz w:val="22"/>
          <w:szCs w:val="22"/>
        </w:rPr>
        <w:t xml:space="preserve">projected to be </w:t>
      </w:r>
      <w:r w:rsidR="00DC74AE" w:rsidRPr="00E832A5">
        <w:rPr>
          <w:rFonts w:asciiTheme="minorHAnsi" w:hAnsiTheme="minorHAnsi" w:cstheme="minorHAnsi"/>
          <w:sz w:val="22"/>
          <w:szCs w:val="22"/>
        </w:rPr>
        <w:t xml:space="preserve">served by </w:t>
      </w:r>
      <w:r w:rsidR="00076296" w:rsidRPr="00E832A5">
        <w:rPr>
          <w:rFonts w:asciiTheme="minorHAnsi" w:hAnsiTheme="minorHAnsi" w:cstheme="minorHAnsi"/>
          <w:sz w:val="22"/>
          <w:szCs w:val="22"/>
        </w:rPr>
        <w:t>the Company.</w:t>
      </w:r>
      <w:r w:rsidR="00730A98" w:rsidRPr="00E832A5">
        <w:rPr>
          <w:rFonts w:asciiTheme="minorHAnsi" w:hAnsiTheme="minorHAnsi" w:cstheme="minorHAnsi"/>
          <w:sz w:val="22"/>
          <w:szCs w:val="22"/>
        </w:rPr>
        <w:t xml:space="preserve"> </w:t>
      </w:r>
      <w:r w:rsidR="0013487A" w:rsidRPr="00E832A5">
        <w:rPr>
          <w:rFonts w:asciiTheme="minorHAnsi" w:hAnsiTheme="minorHAnsi" w:cstheme="minorHAnsi"/>
          <w:sz w:val="22"/>
          <w:szCs w:val="22"/>
        </w:rPr>
        <w:t>This creates</w:t>
      </w:r>
      <w:r w:rsidR="00730A98" w:rsidRPr="00E832A5">
        <w:rPr>
          <w:rFonts w:asciiTheme="minorHAnsi" w:hAnsiTheme="minorHAnsi" w:cstheme="minorHAnsi"/>
          <w:sz w:val="22"/>
          <w:szCs w:val="22"/>
        </w:rPr>
        <w:t xml:space="preserve"> multiple dimensions of uncertainty</w:t>
      </w:r>
      <w:r w:rsidR="00240408" w:rsidRPr="00E832A5">
        <w:rPr>
          <w:rFonts w:asciiTheme="minorHAnsi" w:hAnsiTheme="minorHAnsi" w:cstheme="minorHAnsi"/>
          <w:sz w:val="22"/>
          <w:szCs w:val="22"/>
        </w:rPr>
        <w:t xml:space="preserve"> </w:t>
      </w:r>
      <w:r w:rsidR="0013487A" w:rsidRPr="00E832A5">
        <w:rPr>
          <w:rFonts w:asciiTheme="minorHAnsi" w:hAnsiTheme="minorHAnsi" w:cstheme="minorHAnsi"/>
          <w:sz w:val="22"/>
          <w:szCs w:val="22"/>
        </w:rPr>
        <w:t xml:space="preserve">for each project </w:t>
      </w:r>
      <w:r w:rsidR="00240408" w:rsidRPr="00E832A5">
        <w:rPr>
          <w:rFonts w:asciiTheme="minorHAnsi" w:hAnsiTheme="minorHAnsi" w:cstheme="minorHAnsi"/>
          <w:sz w:val="22"/>
          <w:szCs w:val="22"/>
        </w:rPr>
        <w:t>that requires</w:t>
      </w:r>
      <w:r w:rsidR="00B760A0" w:rsidRPr="00E832A5">
        <w:rPr>
          <w:rFonts w:asciiTheme="minorHAnsi" w:hAnsiTheme="minorHAnsi" w:cstheme="minorHAnsi"/>
          <w:sz w:val="22"/>
          <w:szCs w:val="22"/>
        </w:rPr>
        <w:t xml:space="preserve"> a </w:t>
      </w:r>
      <w:r w:rsidR="00DE4858" w:rsidRPr="00E832A5">
        <w:rPr>
          <w:rFonts w:asciiTheme="minorHAnsi" w:hAnsiTheme="minorHAnsi" w:cstheme="minorHAnsi"/>
          <w:sz w:val="22"/>
          <w:szCs w:val="22"/>
        </w:rPr>
        <w:t>Monte Carlo simulation</w:t>
      </w:r>
      <w:r w:rsidR="003F736C" w:rsidRPr="00E832A5">
        <w:rPr>
          <w:rFonts w:asciiTheme="minorHAnsi" w:hAnsiTheme="minorHAnsi" w:cstheme="minorHAnsi"/>
          <w:sz w:val="22"/>
          <w:szCs w:val="22"/>
        </w:rPr>
        <w:t xml:space="preserve"> model </w:t>
      </w:r>
      <w:r w:rsidR="001F18B0" w:rsidRPr="00E832A5">
        <w:rPr>
          <w:rFonts w:asciiTheme="minorHAnsi" w:hAnsiTheme="minorHAnsi" w:cstheme="minorHAnsi"/>
          <w:sz w:val="22"/>
          <w:szCs w:val="22"/>
        </w:rPr>
        <w:t xml:space="preserve">to </w:t>
      </w:r>
      <w:r w:rsidR="00322EA0" w:rsidRPr="00E832A5">
        <w:rPr>
          <w:rFonts w:asciiTheme="minorHAnsi" w:hAnsiTheme="minorHAnsi" w:cstheme="minorHAnsi"/>
          <w:sz w:val="22"/>
          <w:szCs w:val="22"/>
        </w:rPr>
        <w:t>quantify</w:t>
      </w:r>
      <w:r w:rsidR="001F18B0" w:rsidRPr="00E832A5">
        <w:rPr>
          <w:rFonts w:asciiTheme="minorHAnsi" w:hAnsiTheme="minorHAnsi" w:cstheme="minorHAnsi"/>
          <w:sz w:val="22"/>
          <w:szCs w:val="22"/>
        </w:rPr>
        <w:t xml:space="preserve"> a </w:t>
      </w:r>
      <w:r w:rsidR="00F23FF9" w:rsidRPr="00E832A5">
        <w:rPr>
          <w:rFonts w:asciiTheme="minorHAnsi" w:hAnsiTheme="minorHAnsi" w:cstheme="minorHAnsi"/>
          <w:sz w:val="22"/>
          <w:szCs w:val="22"/>
        </w:rPr>
        <w:t xml:space="preserve">range of </w:t>
      </w:r>
      <w:r w:rsidR="00837503" w:rsidRPr="00E832A5">
        <w:rPr>
          <w:rFonts w:asciiTheme="minorHAnsi" w:hAnsiTheme="minorHAnsi" w:cstheme="minorHAnsi"/>
          <w:sz w:val="22"/>
          <w:szCs w:val="22"/>
        </w:rPr>
        <w:t>expected load</w:t>
      </w:r>
      <w:r w:rsidR="00D11537" w:rsidRPr="00E832A5">
        <w:rPr>
          <w:rFonts w:asciiTheme="minorHAnsi" w:hAnsiTheme="minorHAnsi" w:cstheme="minorHAnsi"/>
          <w:sz w:val="22"/>
          <w:szCs w:val="22"/>
        </w:rPr>
        <w:t xml:space="preserve"> to serve</w:t>
      </w:r>
      <w:r w:rsidR="00837503" w:rsidRPr="00E832A5">
        <w:rPr>
          <w:rFonts w:asciiTheme="minorHAnsi" w:hAnsiTheme="minorHAnsi" w:cstheme="minorHAnsi"/>
          <w:sz w:val="22"/>
          <w:szCs w:val="22"/>
        </w:rPr>
        <w:t>.</w:t>
      </w:r>
    </w:p>
    <w:p w14:paraId="5B1A773A" w14:textId="77777777" w:rsidR="00C962AA" w:rsidRPr="00E832A5" w:rsidRDefault="00C962AA" w:rsidP="00235C8F">
      <w:pPr>
        <w:keepNext/>
        <w:keepLines/>
        <w:spacing w:line="276" w:lineRule="auto"/>
        <w:jc w:val="both"/>
        <w:rPr>
          <w:rFonts w:asciiTheme="minorHAnsi" w:hAnsiTheme="minorHAnsi" w:cstheme="minorHAnsi"/>
          <w:sz w:val="22"/>
          <w:szCs w:val="22"/>
        </w:rPr>
      </w:pPr>
    </w:p>
    <w:p w14:paraId="75810244" w14:textId="18628494" w:rsidR="00073377" w:rsidRPr="00E832A5" w:rsidRDefault="00073377" w:rsidP="00FC4ECB">
      <w:pPr>
        <w:spacing w:line="276" w:lineRule="auto"/>
        <w:jc w:val="both"/>
        <w:rPr>
          <w:rFonts w:asciiTheme="minorHAnsi" w:hAnsiTheme="minorHAnsi" w:cstheme="minorHAnsi"/>
          <w:sz w:val="22"/>
          <w:szCs w:val="22"/>
        </w:rPr>
      </w:pPr>
      <w:r w:rsidRPr="00E832A5">
        <w:rPr>
          <w:rFonts w:asciiTheme="minorHAnsi" w:hAnsiTheme="minorHAnsi" w:cstheme="minorHAnsi"/>
          <w:sz w:val="22"/>
          <w:szCs w:val="22"/>
        </w:rPr>
        <w:t xml:space="preserve">Monte Carlo simulation is a mathematical technique that is used to estimate the possible outcomes of </w:t>
      </w:r>
      <w:r w:rsidR="00D7790B">
        <w:rPr>
          <w:rFonts w:asciiTheme="minorHAnsi" w:hAnsiTheme="minorHAnsi" w:cstheme="minorHAnsi"/>
          <w:sz w:val="22"/>
          <w:szCs w:val="22"/>
        </w:rPr>
        <w:t>a portfolio</w:t>
      </w:r>
      <w:r w:rsidR="00C426A6">
        <w:rPr>
          <w:rFonts w:asciiTheme="minorHAnsi" w:hAnsiTheme="minorHAnsi" w:cstheme="minorHAnsi"/>
          <w:sz w:val="22"/>
          <w:szCs w:val="22"/>
        </w:rPr>
        <w:t xml:space="preserve"> with </w:t>
      </w:r>
      <w:r w:rsidRPr="00E832A5">
        <w:rPr>
          <w:rFonts w:asciiTheme="minorHAnsi" w:hAnsiTheme="minorHAnsi" w:cstheme="minorHAnsi"/>
          <w:sz w:val="22"/>
          <w:szCs w:val="22"/>
        </w:rPr>
        <w:t>uncertain event</w:t>
      </w:r>
      <w:r w:rsidR="00C426A6">
        <w:rPr>
          <w:rFonts w:asciiTheme="minorHAnsi" w:hAnsiTheme="minorHAnsi" w:cstheme="minorHAnsi"/>
          <w:sz w:val="22"/>
          <w:szCs w:val="22"/>
        </w:rPr>
        <w:t>s</w:t>
      </w:r>
      <w:r w:rsidRPr="00E832A5">
        <w:rPr>
          <w:rFonts w:asciiTheme="minorHAnsi" w:hAnsiTheme="minorHAnsi" w:cstheme="minorHAnsi"/>
          <w:sz w:val="22"/>
          <w:szCs w:val="22"/>
        </w:rPr>
        <w:t xml:space="preserve">. Unlike a normal forecasting model, Monte Carlo simulation predicts a set of outcomes based on an estimated range of values versus a set of fixed input values. </w:t>
      </w:r>
      <w:r w:rsidR="00F82DF8">
        <w:rPr>
          <w:rFonts w:asciiTheme="minorHAnsi" w:hAnsiTheme="minorHAnsi" w:cstheme="minorHAnsi"/>
          <w:sz w:val="22"/>
          <w:szCs w:val="22"/>
        </w:rPr>
        <w:t>The simulation</w:t>
      </w:r>
      <w:r w:rsidRPr="00E832A5">
        <w:rPr>
          <w:rFonts w:asciiTheme="minorHAnsi" w:hAnsiTheme="minorHAnsi" w:cstheme="minorHAnsi"/>
          <w:sz w:val="22"/>
          <w:szCs w:val="22"/>
        </w:rPr>
        <w:t xml:space="preserve"> assigns random values to input variables with uncertainty based on probability distributions such as triangular distributions mentioned in Section 1.5.1.7 and calculates </w:t>
      </w:r>
      <w:r w:rsidR="00D55A81">
        <w:rPr>
          <w:rFonts w:asciiTheme="minorHAnsi" w:hAnsiTheme="minorHAnsi" w:cstheme="minorHAnsi"/>
          <w:sz w:val="22"/>
          <w:szCs w:val="22"/>
        </w:rPr>
        <w:t>an</w:t>
      </w:r>
      <w:r w:rsidR="00D55A81" w:rsidRPr="00E832A5">
        <w:rPr>
          <w:rFonts w:asciiTheme="minorHAnsi" w:hAnsiTheme="minorHAnsi" w:cstheme="minorHAnsi"/>
          <w:sz w:val="22"/>
          <w:szCs w:val="22"/>
        </w:rPr>
        <w:t xml:space="preserve"> </w:t>
      </w:r>
      <w:r w:rsidRPr="00E832A5">
        <w:rPr>
          <w:rFonts w:asciiTheme="minorHAnsi" w:hAnsiTheme="minorHAnsi" w:cstheme="minorHAnsi"/>
          <w:sz w:val="22"/>
          <w:szCs w:val="22"/>
        </w:rPr>
        <w:t xml:space="preserve">outcome. It then repeats the process over and over (at least thousands of times typically), each time using a different set of random inputs, to produce </w:t>
      </w:r>
      <w:proofErr w:type="gramStart"/>
      <w:r w:rsidRPr="00E832A5">
        <w:rPr>
          <w:rFonts w:asciiTheme="minorHAnsi" w:hAnsiTheme="minorHAnsi" w:cstheme="minorHAnsi"/>
          <w:sz w:val="22"/>
          <w:szCs w:val="22"/>
        </w:rPr>
        <w:t>a large number of</w:t>
      </w:r>
      <w:proofErr w:type="gramEnd"/>
      <w:r w:rsidRPr="00E832A5">
        <w:rPr>
          <w:rFonts w:asciiTheme="minorHAnsi" w:hAnsiTheme="minorHAnsi" w:cstheme="minorHAnsi"/>
          <w:sz w:val="22"/>
          <w:szCs w:val="22"/>
        </w:rPr>
        <w:t xml:space="preserve"> outcomes.</w:t>
      </w:r>
    </w:p>
    <w:p w14:paraId="40FE5D09" w14:textId="75B18854" w:rsidR="000204A3" w:rsidRPr="00E832A5" w:rsidRDefault="004C33A9" w:rsidP="0084034E">
      <w:pPr>
        <w:pStyle w:val="Heading3"/>
        <w:spacing w:before="240" w:after="240" w:line="276" w:lineRule="auto"/>
        <w:rPr>
          <w:rFonts w:asciiTheme="minorHAnsi" w:hAnsiTheme="minorHAnsi" w:cstheme="minorHAnsi"/>
        </w:rPr>
      </w:pPr>
      <w:r w:rsidRPr="00E832A5">
        <w:rPr>
          <w:rFonts w:asciiTheme="minorHAnsi" w:hAnsiTheme="minorHAnsi" w:cstheme="minorHAnsi"/>
        </w:rPr>
        <w:t>1.5.2.</w:t>
      </w:r>
      <w:r w:rsidR="006F2129" w:rsidRPr="00E832A5">
        <w:rPr>
          <w:rFonts w:asciiTheme="minorHAnsi" w:hAnsiTheme="minorHAnsi" w:cstheme="minorHAnsi"/>
        </w:rPr>
        <w:t>1</w:t>
      </w:r>
      <w:r w:rsidR="000204A3" w:rsidRPr="00E832A5">
        <w:rPr>
          <w:rFonts w:asciiTheme="minorHAnsi" w:hAnsiTheme="minorHAnsi" w:cstheme="minorHAnsi"/>
        </w:rPr>
        <w:t xml:space="preserve"> Model Implementation</w:t>
      </w:r>
    </w:p>
    <w:p w14:paraId="5FE39078" w14:textId="05356F12" w:rsidR="000E39CC" w:rsidRPr="00E832A5" w:rsidRDefault="000E39CC" w:rsidP="0084034E">
      <w:pPr>
        <w:spacing w:line="276" w:lineRule="auto"/>
        <w:jc w:val="both"/>
        <w:rPr>
          <w:rFonts w:asciiTheme="minorHAnsi" w:hAnsiTheme="minorHAnsi" w:cstheme="minorHAnsi"/>
          <w:sz w:val="22"/>
          <w:szCs w:val="22"/>
        </w:rPr>
      </w:pPr>
      <w:r w:rsidRPr="00E832A5">
        <w:rPr>
          <w:rFonts w:asciiTheme="minorHAnsi" w:hAnsiTheme="minorHAnsi" w:cstheme="minorHAnsi"/>
          <w:sz w:val="22"/>
          <w:szCs w:val="22"/>
        </w:rPr>
        <w:t xml:space="preserve">The </w:t>
      </w:r>
      <w:r w:rsidR="00115DFA" w:rsidRPr="00E832A5">
        <w:rPr>
          <w:rFonts w:asciiTheme="minorHAnsi" w:hAnsiTheme="minorHAnsi" w:cstheme="minorHAnsi"/>
          <w:sz w:val="22"/>
          <w:szCs w:val="22"/>
        </w:rPr>
        <w:t>model</w:t>
      </w:r>
      <w:r w:rsidRPr="00E832A5">
        <w:rPr>
          <w:rFonts w:asciiTheme="minorHAnsi" w:hAnsiTheme="minorHAnsi" w:cstheme="minorHAnsi"/>
          <w:sz w:val="22"/>
          <w:szCs w:val="22"/>
        </w:rPr>
        <w:t xml:space="preserve"> described in this </w:t>
      </w:r>
      <w:r w:rsidR="00146E96" w:rsidRPr="00E832A5">
        <w:rPr>
          <w:rFonts w:asciiTheme="minorHAnsi" w:hAnsiTheme="minorHAnsi" w:cstheme="minorHAnsi"/>
          <w:sz w:val="22"/>
          <w:szCs w:val="22"/>
        </w:rPr>
        <w:t xml:space="preserve">appendix </w:t>
      </w:r>
      <w:r w:rsidRPr="00E832A5">
        <w:rPr>
          <w:rFonts w:asciiTheme="minorHAnsi" w:hAnsiTheme="minorHAnsi" w:cstheme="minorHAnsi"/>
          <w:sz w:val="22"/>
          <w:szCs w:val="22"/>
        </w:rPr>
        <w:t>is implemented in Excel with a third-party add-in called @Risk. @Risk allows incorporating probability distributions into an Excel spreadsheet so that Monte Carlo simulation and analysis can be done to track the range of potential outcomes and calculate a wide array of statistics (average, standard deviation, percentiles, etc.).</w:t>
      </w:r>
    </w:p>
    <w:p w14:paraId="1F7834AD" w14:textId="51795B2E" w:rsidR="368051A0" w:rsidRPr="00E832A5" w:rsidRDefault="368051A0" w:rsidP="0084034E">
      <w:pPr>
        <w:spacing w:line="276" w:lineRule="auto"/>
        <w:jc w:val="both"/>
        <w:rPr>
          <w:rFonts w:asciiTheme="minorHAnsi" w:hAnsiTheme="minorHAnsi" w:cstheme="minorHAnsi"/>
          <w:sz w:val="22"/>
          <w:szCs w:val="22"/>
        </w:rPr>
      </w:pPr>
    </w:p>
    <w:p w14:paraId="0238784E" w14:textId="68048F9D" w:rsidR="004935D4" w:rsidRPr="00E832A5" w:rsidRDefault="004935D4" w:rsidP="0084034E">
      <w:pPr>
        <w:spacing w:line="276" w:lineRule="auto"/>
        <w:jc w:val="both"/>
        <w:rPr>
          <w:rFonts w:asciiTheme="minorHAnsi" w:hAnsiTheme="minorHAnsi" w:cstheme="minorHAnsi"/>
        </w:rPr>
      </w:pPr>
      <w:r w:rsidRPr="00E832A5">
        <w:rPr>
          <w:rFonts w:asciiTheme="minorHAnsi" w:hAnsiTheme="minorHAnsi" w:cstheme="minorHAnsi"/>
          <w:sz w:val="22"/>
          <w:szCs w:val="22"/>
        </w:rPr>
        <w:t xml:space="preserve">For each project in the model, there are </w:t>
      </w:r>
      <w:r w:rsidR="00A00CB1">
        <w:rPr>
          <w:rFonts w:asciiTheme="minorHAnsi" w:hAnsiTheme="minorHAnsi" w:cstheme="minorHAnsi"/>
          <w:sz w:val="22"/>
          <w:szCs w:val="22"/>
        </w:rPr>
        <w:t>three</w:t>
      </w:r>
      <w:r w:rsidR="00A00CB1" w:rsidRPr="00E832A5">
        <w:rPr>
          <w:rFonts w:asciiTheme="minorHAnsi" w:hAnsiTheme="minorHAnsi" w:cstheme="minorHAnsi"/>
          <w:sz w:val="22"/>
          <w:szCs w:val="22"/>
        </w:rPr>
        <w:t xml:space="preserve"> </w:t>
      </w:r>
      <w:r w:rsidRPr="00E832A5">
        <w:rPr>
          <w:rFonts w:asciiTheme="minorHAnsi" w:hAnsiTheme="minorHAnsi" w:cstheme="minorHAnsi"/>
          <w:sz w:val="22"/>
          <w:szCs w:val="22"/>
        </w:rPr>
        <w:t xml:space="preserve">random numbers being drawn for success/failure, </w:t>
      </w:r>
      <w:r w:rsidR="001525A6">
        <w:rPr>
          <w:rFonts w:asciiTheme="minorHAnsi" w:hAnsiTheme="minorHAnsi" w:cstheme="minorHAnsi"/>
          <w:sz w:val="22"/>
          <w:szCs w:val="22"/>
        </w:rPr>
        <w:t>metered</w:t>
      </w:r>
      <w:r w:rsidRPr="00E832A5">
        <w:rPr>
          <w:rFonts w:asciiTheme="minorHAnsi" w:hAnsiTheme="minorHAnsi" w:cstheme="minorHAnsi"/>
          <w:sz w:val="22"/>
          <w:szCs w:val="22"/>
        </w:rPr>
        <w:t>/announced ratio</w:t>
      </w:r>
      <w:r w:rsidR="0007195D">
        <w:rPr>
          <w:rFonts w:asciiTheme="minorHAnsi" w:hAnsiTheme="minorHAnsi" w:cstheme="minorHAnsi"/>
          <w:sz w:val="22"/>
          <w:szCs w:val="22"/>
        </w:rPr>
        <w:t>,</w:t>
      </w:r>
      <w:r w:rsidRPr="00E832A5">
        <w:rPr>
          <w:rFonts w:asciiTheme="minorHAnsi" w:hAnsiTheme="minorHAnsi" w:cstheme="minorHAnsi"/>
          <w:sz w:val="22"/>
          <w:szCs w:val="22"/>
        </w:rPr>
        <w:t xml:space="preserve"> and delay in COD from the distributions described in Section 1.5.1. For a particular draw, if the success/failure random number is 0, or failure, the load of the project is 0 and </w:t>
      </w:r>
      <w:r w:rsidR="0007195D">
        <w:rPr>
          <w:rFonts w:asciiTheme="minorHAnsi" w:hAnsiTheme="minorHAnsi" w:cstheme="minorHAnsi"/>
          <w:sz w:val="22"/>
          <w:szCs w:val="22"/>
        </w:rPr>
        <w:t xml:space="preserve">the project is </w:t>
      </w:r>
      <w:r w:rsidRPr="00E832A5">
        <w:rPr>
          <w:rFonts w:asciiTheme="minorHAnsi" w:hAnsiTheme="minorHAnsi" w:cstheme="minorHAnsi"/>
          <w:sz w:val="22"/>
          <w:szCs w:val="22"/>
        </w:rPr>
        <w:t>excluded from the portfolio. If the success/failure random number is 1</w:t>
      </w:r>
      <w:r w:rsidR="0007195D">
        <w:rPr>
          <w:rFonts w:asciiTheme="minorHAnsi" w:hAnsiTheme="minorHAnsi" w:cstheme="minorHAnsi"/>
          <w:sz w:val="22"/>
          <w:szCs w:val="22"/>
        </w:rPr>
        <w:t>,</w:t>
      </w:r>
      <w:r w:rsidRPr="00E832A5">
        <w:rPr>
          <w:rFonts w:asciiTheme="minorHAnsi" w:hAnsiTheme="minorHAnsi" w:cstheme="minorHAnsi"/>
          <w:sz w:val="22"/>
          <w:szCs w:val="22"/>
        </w:rPr>
        <w:t xml:space="preserve"> or success, the announced load ramp-up gets scaled by the </w:t>
      </w:r>
      <w:r w:rsidR="001525A6">
        <w:rPr>
          <w:rFonts w:asciiTheme="minorHAnsi" w:hAnsiTheme="minorHAnsi" w:cstheme="minorHAnsi"/>
          <w:sz w:val="22"/>
          <w:szCs w:val="22"/>
        </w:rPr>
        <w:t>metered</w:t>
      </w:r>
      <w:r w:rsidRPr="00E832A5">
        <w:rPr>
          <w:rFonts w:asciiTheme="minorHAnsi" w:hAnsiTheme="minorHAnsi" w:cstheme="minorHAnsi"/>
          <w:sz w:val="22"/>
          <w:szCs w:val="22"/>
        </w:rPr>
        <w:t>/announced ratio random number and then shift</w:t>
      </w:r>
      <w:r w:rsidR="0007195D">
        <w:rPr>
          <w:rFonts w:asciiTheme="minorHAnsi" w:hAnsiTheme="minorHAnsi" w:cstheme="minorHAnsi"/>
          <w:sz w:val="22"/>
          <w:szCs w:val="22"/>
        </w:rPr>
        <w:t>ed</w:t>
      </w:r>
      <w:r w:rsidR="00A61402">
        <w:rPr>
          <w:rFonts w:asciiTheme="minorHAnsi" w:hAnsiTheme="minorHAnsi" w:cstheme="minorHAnsi"/>
          <w:sz w:val="22"/>
          <w:szCs w:val="22"/>
        </w:rPr>
        <w:t xml:space="preserve"> according to</w:t>
      </w:r>
      <w:r w:rsidRPr="00E832A5">
        <w:rPr>
          <w:rFonts w:asciiTheme="minorHAnsi" w:hAnsiTheme="minorHAnsi" w:cstheme="minorHAnsi"/>
          <w:sz w:val="22"/>
          <w:szCs w:val="22"/>
        </w:rPr>
        <w:t xml:space="preserve"> the timing of the ramp-up by the number of months determined by the delay in COD random number. Finally, this adjusted and shifted ramp-up is aggregated year by year into the portfolio level.</w:t>
      </w:r>
    </w:p>
    <w:p w14:paraId="2F3D2D11" w14:textId="7A0974B3" w:rsidR="000E39CC" w:rsidRPr="00E832A5" w:rsidRDefault="006E71BF" w:rsidP="00FC4ECB">
      <w:pPr>
        <w:pStyle w:val="Heading3"/>
        <w:spacing w:before="240" w:after="240" w:line="276" w:lineRule="auto"/>
        <w:rPr>
          <w:rFonts w:asciiTheme="minorHAnsi" w:hAnsiTheme="minorHAnsi" w:cstheme="minorHAnsi"/>
        </w:rPr>
      </w:pPr>
      <w:r w:rsidRPr="00E832A5">
        <w:rPr>
          <w:rFonts w:asciiTheme="minorHAnsi" w:hAnsiTheme="minorHAnsi" w:cstheme="minorHAnsi"/>
        </w:rPr>
        <w:t>1.5.2.</w:t>
      </w:r>
      <w:r w:rsidR="006F2129" w:rsidRPr="00E832A5">
        <w:rPr>
          <w:rFonts w:asciiTheme="minorHAnsi" w:hAnsiTheme="minorHAnsi" w:cstheme="minorHAnsi"/>
        </w:rPr>
        <w:t>2</w:t>
      </w:r>
      <w:r w:rsidRPr="00E832A5">
        <w:rPr>
          <w:rFonts w:asciiTheme="minorHAnsi" w:hAnsiTheme="minorHAnsi" w:cstheme="minorHAnsi"/>
        </w:rPr>
        <w:t xml:space="preserve"> </w:t>
      </w:r>
      <w:r w:rsidR="000E39CC" w:rsidRPr="00E832A5">
        <w:rPr>
          <w:rFonts w:asciiTheme="minorHAnsi" w:hAnsiTheme="minorHAnsi" w:cstheme="minorHAnsi"/>
        </w:rPr>
        <w:t>Simulation Results</w:t>
      </w:r>
    </w:p>
    <w:p w14:paraId="377A9B92" w14:textId="7BD99F4F" w:rsidR="00BB15F3" w:rsidRPr="00E832A5" w:rsidRDefault="00731825" w:rsidP="007A19FC">
      <w:pPr>
        <w:spacing w:line="276" w:lineRule="auto"/>
        <w:jc w:val="both"/>
        <w:rPr>
          <w:rFonts w:asciiTheme="minorHAnsi" w:hAnsiTheme="minorHAnsi" w:cstheme="minorHAnsi"/>
          <w:sz w:val="22"/>
          <w:szCs w:val="22"/>
        </w:rPr>
      </w:pPr>
      <w:r w:rsidRPr="00E832A5">
        <w:rPr>
          <w:rFonts w:asciiTheme="minorHAnsi" w:hAnsiTheme="minorHAnsi" w:cstheme="minorHAnsi"/>
          <w:sz w:val="22"/>
          <w:szCs w:val="22"/>
        </w:rPr>
        <w:t>The procedure described in section 1.5.2.1 is repeated 100,000 times</w:t>
      </w:r>
      <w:r w:rsidR="00EE697D" w:rsidRPr="00E832A5">
        <w:rPr>
          <w:rFonts w:asciiTheme="minorHAnsi" w:hAnsiTheme="minorHAnsi" w:cstheme="minorHAnsi"/>
          <w:sz w:val="22"/>
          <w:szCs w:val="22"/>
        </w:rPr>
        <w:t xml:space="preserve">. </w:t>
      </w:r>
      <w:r w:rsidR="000373BE" w:rsidRPr="00E832A5">
        <w:rPr>
          <w:rFonts w:asciiTheme="minorHAnsi" w:hAnsiTheme="minorHAnsi" w:cstheme="minorHAnsi"/>
          <w:sz w:val="22"/>
          <w:szCs w:val="22"/>
        </w:rPr>
        <w:t>Then, t</w:t>
      </w:r>
      <w:r w:rsidRPr="00E832A5">
        <w:rPr>
          <w:rFonts w:asciiTheme="minorHAnsi" w:hAnsiTheme="minorHAnsi" w:cstheme="minorHAnsi"/>
          <w:sz w:val="22"/>
          <w:szCs w:val="22"/>
        </w:rPr>
        <w:t>he</w:t>
      </w:r>
      <w:r w:rsidR="00EE697D" w:rsidRPr="00E832A5">
        <w:rPr>
          <w:rFonts w:asciiTheme="minorHAnsi" w:hAnsiTheme="minorHAnsi" w:cstheme="minorHAnsi"/>
          <w:sz w:val="22"/>
          <w:szCs w:val="22"/>
        </w:rPr>
        <w:t>se</w:t>
      </w:r>
      <w:r w:rsidRPr="00E832A5">
        <w:rPr>
          <w:rFonts w:asciiTheme="minorHAnsi" w:hAnsiTheme="minorHAnsi" w:cstheme="minorHAnsi"/>
          <w:sz w:val="22"/>
          <w:szCs w:val="22"/>
        </w:rPr>
        <w:t xml:space="preserve"> </w:t>
      </w:r>
      <w:r w:rsidR="00C74771" w:rsidRPr="00E832A5">
        <w:rPr>
          <w:rFonts w:asciiTheme="minorHAnsi" w:hAnsiTheme="minorHAnsi" w:cstheme="minorHAnsi"/>
          <w:sz w:val="22"/>
          <w:szCs w:val="22"/>
        </w:rPr>
        <w:t xml:space="preserve">100,000 </w:t>
      </w:r>
      <w:r w:rsidR="000D23C7" w:rsidRPr="00E832A5">
        <w:rPr>
          <w:rFonts w:asciiTheme="minorHAnsi" w:hAnsiTheme="minorHAnsi" w:cstheme="minorHAnsi"/>
          <w:sz w:val="22"/>
          <w:szCs w:val="22"/>
        </w:rPr>
        <w:t xml:space="preserve">load </w:t>
      </w:r>
      <w:r w:rsidR="00C74771" w:rsidRPr="00E832A5">
        <w:rPr>
          <w:rFonts w:asciiTheme="minorHAnsi" w:hAnsiTheme="minorHAnsi" w:cstheme="minorHAnsi"/>
          <w:sz w:val="22"/>
          <w:szCs w:val="22"/>
        </w:rPr>
        <w:t>iterations</w:t>
      </w:r>
      <w:r w:rsidRPr="00E832A5">
        <w:rPr>
          <w:rFonts w:asciiTheme="minorHAnsi" w:hAnsiTheme="minorHAnsi" w:cstheme="minorHAnsi"/>
          <w:sz w:val="22"/>
          <w:szCs w:val="22"/>
        </w:rPr>
        <w:t xml:space="preserve"> get ranked for each year </w:t>
      </w:r>
      <w:proofErr w:type="gramStart"/>
      <w:r w:rsidR="004A6E30" w:rsidRPr="00E832A5">
        <w:rPr>
          <w:rFonts w:asciiTheme="minorHAnsi" w:hAnsiTheme="minorHAnsi" w:cstheme="minorHAnsi"/>
          <w:sz w:val="22"/>
          <w:szCs w:val="22"/>
        </w:rPr>
        <w:t>in order to</w:t>
      </w:r>
      <w:proofErr w:type="gramEnd"/>
      <w:r w:rsidRPr="00E832A5">
        <w:rPr>
          <w:rFonts w:asciiTheme="minorHAnsi" w:hAnsiTheme="minorHAnsi" w:cstheme="minorHAnsi"/>
          <w:sz w:val="22"/>
          <w:szCs w:val="22"/>
        </w:rPr>
        <w:t xml:space="preserve"> calculate </w:t>
      </w:r>
      <w:r w:rsidR="00D57E1B" w:rsidRPr="00E832A5">
        <w:rPr>
          <w:rFonts w:asciiTheme="minorHAnsi" w:hAnsiTheme="minorHAnsi" w:cstheme="minorHAnsi"/>
          <w:sz w:val="22"/>
          <w:szCs w:val="22"/>
        </w:rPr>
        <w:t xml:space="preserve">load </w:t>
      </w:r>
      <w:r w:rsidRPr="00E832A5">
        <w:rPr>
          <w:rFonts w:asciiTheme="minorHAnsi" w:hAnsiTheme="minorHAnsi" w:cstheme="minorHAnsi"/>
          <w:sz w:val="22"/>
          <w:szCs w:val="22"/>
        </w:rPr>
        <w:t>percentiles</w:t>
      </w:r>
      <w:r w:rsidR="007D56AE" w:rsidRPr="00E832A5">
        <w:rPr>
          <w:rFonts w:asciiTheme="minorHAnsi" w:hAnsiTheme="minorHAnsi" w:cstheme="minorHAnsi"/>
          <w:sz w:val="22"/>
          <w:szCs w:val="22"/>
        </w:rPr>
        <w:t xml:space="preserve">, which </w:t>
      </w:r>
      <w:r w:rsidR="00926BEA" w:rsidRPr="00E832A5">
        <w:rPr>
          <w:rFonts w:asciiTheme="minorHAnsi" w:hAnsiTheme="minorHAnsi" w:cstheme="minorHAnsi"/>
          <w:sz w:val="22"/>
          <w:szCs w:val="22"/>
        </w:rPr>
        <w:t>helps the Company</w:t>
      </w:r>
      <w:r w:rsidR="007D56AE" w:rsidRPr="00E832A5">
        <w:rPr>
          <w:rFonts w:asciiTheme="minorHAnsi" w:hAnsiTheme="minorHAnsi" w:cstheme="minorHAnsi"/>
          <w:sz w:val="22"/>
          <w:szCs w:val="22"/>
        </w:rPr>
        <w:t xml:space="preserve"> to </w:t>
      </w:r>
      <w:r w:rsidR="00926BEA" w:rsidRPr="00E832A5">
        <w:rPr>
          <w:rFonts w:asciiTheme="minorHAnsi" w:hAnsiTheme="minorHAnsi" w:cstheme="minorHAnsi"/>
          <w:sz w:val="22"/>
          <w:szCs w:val="22"/>
        </w:rPr>
        <w:t xml:space="preserve">understand </w:t>
      </w:r>
      <w:r w:rsidR="004B0465">
        <w:rPr>
          <w:rFonts w:asciiTheme="minorHAnsi" w:hAnsiTheme="minorHAnsi" w:cstheme="minorHAnsi"/>
          <w:sz w:val="22"/>
          <w:szCs w:val="22"/>
        </w:rPr>
        <w:t xml:space="preserve">the load range </w:t>
      </w:r>
      <w:r w:rsidR="00926BEA" w:rsidRPr="00E832A5">
        <w:rPr>
          <w:rFonts w:asciiTheme="minorHAnsi" w:hAnsiTheme="minorHAnsi" w:cstheme="minorHAnsi"/>
          <w:sz w:val="22"/>
          <w:szCs w:val="22"/>
        </w:rPr>
        <w:t xml:space="preserve">and compare </w:t>
      </w:r>
      <w:r w:rsidR="00DF44C3" w:rsidRPr="00E832A5">
        <w:rPr>
          <w:rFonts w:asciiTheme="minorHAnsi" w:hAnsiTheme="minorHAnsi" w:cstheme="minorHAnsi"/>
          <w:sz w:val="22"/>
          <w:szCs w:val="22"/>
        </w:rPr>
        <w:t xml:space="preserve">the likelihood of </w:t>
      </w:r>
      <w:r w:rsidR="00E42372" w:rsidRPr="00E832A5">
        <w:rPr>
          <w:rFonts w:asciiTheme="minorHAnsi" w:hAnsiTheme="minorHAnsi" w:cstheme="minorHAnsi"/>
          <w:sz w:val="22"/>
          <w:szCs w:val="22"/>
        </w:rPr>
        <w:t>load outcomes</w:t>
      </w:r>
      <w:r w:rsidR="00AD69A9" w:rsidRPr="00E832A5">
        <w:rPr>
          <w:rFonts w:asciiTheme="minorHAnsi" w:hAnsiTheme="minorHAnsi" w:cstheme="minorHAnsi"/>
          <w:sz w:val="22"/>
          <w:szCs w:val="22"/>
        </w:rPr>
        <w:t xml:space="preserve"> </w:t>
      </w:r>
      <w:r w:rsidR="00DF44C3" w:rsidRPr="00E832A5">
        <w:rPr>
          <w:rFonts w:asciiTheme="minorHAnsi" w:hAnsiTheme="minorHAnsi" w:cstheme="minorHAnsi"/>
          <w:sz w:val="22"/>
          <w:szCs w:val="22"/>
        </w:rPr>
        <w:t>for the portfolio.</w:t>
      </w:r>
      <w:r w:rsidR="005446D1">
        <w:rPr>
          <w:rFonts w:asciiTheme="minorHAnsi" w:hAnsiTheme="minorHAnsi" w:cstheme="minorHAnsi"/>
          <w:sz w:val="22"/>
          <w:szCs w:val="22"/>
        </w:rPr>
        <w:t xml:space="preserve"> </w:t>
      </w:r>
      <w:r w:rsidR="0000733E" w:rsidRPr="00E832A5">
        <w:rPr>
          <w:rFonts w:asciiTheme="minorHAnsi" w:hAnsiTheme="minorHAnsi" w:cstheme="minorHAnsi"/>
          <w:sz w:val="22"/>
          <w:szCs w:val="22"/>
        </w:rPr>
        <w:t>The table below show</w:t>
      </w:r>
      <w:r w:rsidR="00C87A14" w:rsidRPr="00E832A5">
        <w:rPr>
          <w:rFonts w:asciiTheme="minorHAnsi" w:hAnsiTheme="minorHAnsi" w:cstheme="minorHAnsi"/>
          <w:sz w:val="22"/>
          <w:szCs w:val="22"/>
        </w:rPr>
        <w:t xml:space="preserve">s </w:t>
      </w:r>
      <w:r w:rsidR="00BA4018">
        <w:rPr>
          <w:rFonts w:asciiTheme="minorHAnsi" w:hAnsiTheme="minorHAnsi" w:cstheme="minorHAnsi"/>
          <w:sz w:val="22"/>
          <w:szCs w:val="22"/>
        </w:rPr>
        <w:t xml:space="preserve">the </w:t>
      </w:r>
      <w:r w:rsidR="00836F47">
        <w:rPr>
          <w:rFonts w:asciiTheme="minorHAnsi" w:hAnsiTheme="minorHAnsi" w:cstheme="minorHAnsi"/>
          <w:sz w:val="22"/>
          <w:szCs w:val="22"/>
        </w:rPr>
        <w:lastRenderedPageBreak/>
        <w:t xml:space="preserve">external adjustments </w:t>
      </w:r>
      <w:r w:rsidR="00B84C25">
        <w:rPr>
          <w:rFonts w:asciiTheme="minorHAnsi" w:hAnsiTheme="minorHAnsi" w:cstheme="minorHAnsi"/>
          <w:sz w:val="22"/>
          <w:szCs w:val="22"/>
        </w:rPr>
        <w:t>included in</w:t>
      </w:r>
      <w:r w:rsidR="00C87A14" w:rsidRPr="00E832A5">
        <w:rPr>
          <w:rFonts w:asciiTheme="minorHAnsi" w:hAnsiTheme="minorHAnsi" w:cstheme="minorHAnsi"/>
          <w:sz w:val="22"/>
          <w:szCs w:val="22"/>
        </w:rPr>
        <w:t xml:space="preserve"> </w:t>
      </w:r>
      <w:r w:rsidR="00BA4018">
        <w:rPr>
          <w:rFonts w:asciiTheme="minorHAnsi" w:hAnsiTheme="minorHAnsi" w:cstheme="minorHAnsi"/>
          <w:sz w:val="22"/>
          <w:szCs w:val="22"/>
        </w:rPr>
        <w:t xml:space="preserve">the </w:t>
      </w:r>
      <w:r w:rsidR="00C81095">
        <w:rPr>
          <w:rFonts w:asciiTheme="minorHAnsi" w:hAnsiTheme="minorHAnsi" w:cstheme="minorHAnsi"/>
          <w:sz w:val="22"/>
          <w:szCs w:val="22"/>
        </w:rPr>
        <w:t xml:space="preserve">2023 IRP Update </w:t>
      </w:r>
      <w:r w:rsidR="003E6494">
        <w:rPr>
          <w:rFonts w:asciiTheme="minorHAnsi" w:hAnsiTheme="minorHAnsi" w:cstheme="minorHAnsi"/>
          <w:sz w:val="22"/>
          <w:szCs w:val="22"/>
        </w:rPr>
        <w:t>L</w:t>
      </w:r>
      <w:r w:rsidR="00C81095">
        <w:rPr>
          <w:rFonts w:asciiTheme="minorHAnsi" w:hAnsiTheme="minorHAnsi" w:cstheme="minorHAnsi"/>
          <w:sz w:val="22"/>
          <w:szCs w:val="22"/>
        </w:rPr>
        <w:t xml:space="preserve">oad </w:t>
      </w:r>
      <w:r w:rsidR="003E6494">
        <w:rPr>
          <w:rFonts w:asciiTheme="minorHAnsi" w:hAnsiTheme="minorHAnsi" w:cstheme="minorHAnsi"/>
          <w:sz w:val="22"/>
          <w:szCs w:val="22"/>
        </w:rPr>
        <w:t>F</w:t>
      </w:r>
      <w:r w:rsidR="0042036C">
        <w:rPr>
          <w:rFonts w:asciiTheme="minorHAnsi" w:hAnsiTheme="minorHAnsi" w:cstheme="minorHAnsi"/>
          <w:sz w:val="22"/>
          <w:szCs w:val="22"/>
        </w:rPr>
        <w:t>orecast</w:t>
      </w:r>
      <w:r w:rsidR="000E06B0">
        <w:rPr>
          <w:rFonts w:asciiTheme="minorHAnsi" w:hAnsiTheme="minorHAnsi" w:cstheme="minorHAnsi"/>
          <w:sz w:val="22"/>
          <w:szCs w:val="22"/>
        </w:rPr>
        <w:t xml:space="preserve">, which </w:t>
      </w:r>
      <w:r w:rsidR="00B84C25">
        <w:rPr>
          <w:rFonts w:asciiTheme="minorHAnsi" w:hAnsiTheme="minorHAnsi" w:cstheme="minorHAnsi"/>
          <w:sz w:val="22"/>
          <w:szCs w:val="22"/>
        </w:rPr>
        <w:t xml:space="preserve">are </w:t>
      </w:r>
      <w:r w:rsidR="008D2D81">
        <w:rPr>
          <w:rFonts w:asciiTheme="minorHAnsi" w:hAnsiTheme="minorHAnsi" w:cstheme="minorHAnsi"/>
          <w:sz w:val="22"/>
          <w:szCs w:val="22"/>
        </w:rPr>
        <w:t xml:space="preserve">consistent with the </w:t>
      </w:r>
      <w:r w:rsidR="00B30269">
        <w:rPr>
          <w:rFonts w:asciiTheme="minorHAnsi" w:hAnsiTheme="minorHAnsi" w:cstheme="minorHAnsi"/>
          <w:sz w:val="22"/>
          <w:szCs w:val="22"/>
        </w:rPr>
        <w:t>95</w:t>
      </w:r>
      <w:r w:rsidR="00B30269">
        <w:rPr>
          <w:rFonts w:asciiTheme="minorHAnsi" w:hAnsiTheme="minorHAnsi" w:cstheme="minorHAnsi"/>
          <w:sz w:val="22"/>
          <w:szCs w:val="22"/>
          <w:vertAlign w:val="superscript"/>
        </w:rPr>
        <w:t xml:space="preserve">th </w:t>
      </w:r>
      <w:r w:rsidR="00B30269">
        <w:rPr>
          <w:rFonts w:asciiTheme="minorHAnsi" w:hAnsiTheme="minorHAnsi" w:cstheme="minorHAnsi"/>
          <w:sz w:val="22"/>
          <w:szCs w:val="22"/>
        </w:rPr>
        <w:t>percentile of simulated load.</w:t>
      </w:r>
      <w:r w:rsidR="00E03946">
        <w:rPr>
          <w:rFonts w:asciiTheme="minorHAnsi" w:hAnsiTheme="minorHAnsi" w:cstheme="minorHAnsi"/>
          <w:sz w:val="22"/>
          <w:szCs w:val="22"/>
        </w:rPr>
        <w:t xml:space="preserve"> </w:t>
      </w:r>
    </w:p>
    <w:p w14:paraId="7AA684C0" w14:textId="77777777" w:rsidR="000774C3" w:rsidRPr="00E832A5" w:rsidRDefault="000774C3" w:rsidP="00E832A5">
      <w:pPr>
        <w:spacing w:line="276" w:lineRule="auto"/>
        <w:rPr>
          <w:rFonts w:asciiTheme="minorHAnsi" w:hAnsiTheme="minorHAnsi" w:cstheme="minorHAnsi"/>
          <w:sz w:val="22"/>
          <w:szCs w:val="22"/>
        </w:rPr>
      </w:pPr>
    </w:p>
    <w:p w14:paraId="693FC544" w14:textId="6E2749F9" w:rsidR="001F00C4" w:rsidRPr="00E832A5" w:rsidRDefault="001F00C4" w:rsidP="00E832A5">
      <w:pPr>
        <w:spacing w:line="276" w:lineRule="auto"/>
        <w:jc w:val="center"/>
        <w:rPr>
          <w:rFonts w:asciiTheme="minorHAnsi" w:hAnsiTheme="minorHAnsi" w:cstheme="minorHAnsi"/>
          <w:b/>
          <w:bCs/>
          <w:sz w:val="22"/>
          <w:szCs w:val="22"/>
        </w:rPr>
      </w:pPr>
      <w:r w:rsidRPr="009D7B11">
        <w:rPr>
          <w:rFonts w:asciiTheme="minorHAnsi" w:hAnsiTheme="minorHAnsi" w:cstheme="minorHAnsi"/>
          <w:b/>
          <w:sz w:val="22"/>
          <w:szCs w:val="22"/>
        </w:rPr>
        <w:t xml:space="preserve">Table </w:t>
      </w:r>
      <w:r w:rsidR="006E71BF" w:rsidRPr="009D7B11">
        <w:rPr>
          <w:rFonts w:asciiTheme="minorHAnsi" w:hAnsiTheme="minorHAnsi" w:cstheme="minorHAnsi"/>
          <w:b/>
          <w:sz w:val="22"/>
          <w:szCs w:val="22"/>
        </w:rPr>
        <w:t>1.5</w:t>
      </w:r>
      <w:r w:rsidR="00FB1350" w:rsidRPr="009D7B11">
        <w:rPr>
          <w:rFonts w:asciiTheme="minorHAnsi" w:hAnsiTheme="minorHAnsi" w:cstheme="minorHAnsi"/>
          <w:b/>
          <w:sz w:val="22"/>
          <w:szCs w:val="22"/>
        </w:rPr>
        <w:t>.2.3-1</w:t>
      </w:r>
      <w:r w:rsidRPr="009D7B11">
        <w:rPr>
          <w:rFonts w:asciiTheme="minorHAnsi" w:hAnsiTheme="minorHAnsi" w:cstheme="minorHAnsi"/>
          <w:b/>
          <w:sz w:val="22"/>
          <w:szCs w:val="22"/>
        </w:rPr>
        <w:t xml:space="preserve"> </w:t>
      </w:r>
      <w:r w:rsidR="00AC6E7E" w:rsidRPr="009D7B11">
        <w:rPr>
          <w:rFonts w:asciiTheme="minorHAnsi" w:hAnsiTheme="minorHAnsi" w:cstheme="minorHAnsi"/>
          <w:b/>
          <w:sz w:val="22"/>
          <w:szCs w:val="22"/>
        </w:rPr>
        <w:t>2023 IRP Update Load Forecast</w:t>
      </w:r>
      <w:r w:rsidR="00B84C25" w:rsidRPr="009D7B11">
        <w:rPr>
          <w:rFonts w:asciiTheme="minorHAnsi" w:hAnsiTheme="minorHAnsi" w:cstheme="minorHAnsi"/>
          <w:b/>
          <w:sz w:val="22"/>
          <w:szCs w:val="22"/>
        </w:rPr>
        <w:t xml:space="preserve"> </w:t>
      </w:r>
      <w:r w:rsidR="00AE28C6" w:rsidRPr="009D7B11">
        <w:rPr>
          <w:rFonts w:asciiTheme="minorHAnsi" w:hAnsiTheme="minorHAnsi" w:cstheme="minorHAnsi"/>
          <w:b/>
          <w:sz w:val="22"/>
          <w:szCs w:val="22"/>
        </w:rPr>
        <w:t>External Adjustments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
        <w:gridCol w:w="1296"/>
      </w:tblGrid>
      <w:tr w:rsidR="00C54975" w:rsidRPr="00E832A5" w14:paraId="7FB018BB" w14:textId="77777777" w:rsidTr="008919E2">
        <w:trPr>
          <w:trHeight w:val="300"/>
          <w:jc w:val="center"/>
        </w:trPr>
        <w:tc>
          <w:tcPr>
            <w:tcW w:w="960" w:type="dxa"/>
            <w:noWrap/>
            <w:hideMark/>
          </w:tcPr>
          <w:p w14:paraId="7E13FDD4" w14:textId="77777777" w:rsidR="00C54975" w:rsidRPr="00E832A5" w:rsidRDefault="00C54975" w:rsidP="00E832A5">
            <w:pPr>
              <w:spacing w:line="276" w:lineRule="auto"/>
              <w:jc w:val="center"/>
              <w:rPr>
                <w:rFonts w:asciiTheme="minorHAnsi" w:hAnsiTheme="minorHAnsi" w:cstheme="minorHAnsi"/>
                <w:i/>
                <w:sz w:val="22"/>
                <w:szCs w:val="22"/>
                <w:u w:val="single"/>
              </w:rPr>
            </w:pPr>
            <w:r w:rsidRPr="00E832A5">
              <w:rPr>
                <w:rFonts w:asciiTheme="minorHAnsi" w:hAnsiTheme="minorHAnsi" w:cstheme="minorHAnsi"/>
                <w:i/>
                <w:sz w:val="22"/>
                <w:szCs w:val="22"/>
                <w:u w:val="single"/>
              </w:rPr>
              <w:t>Year</w:t>
            </w:r>
          </w:p>
        </w:tc>
        <w:tc>
          <w:tcPr>
            <w:tcW w:w="1296" w:type="dxa"/>
            <w:noWrap/>
            <w:hideMark/>
          </w:tcPr>
          <w:p w14:paraId="22144BE3" w14:textId="46FD8308" w:rsidR="00C54975" w:rsidRPr="00E832A5" w:rsidRDefault="008A398F" w:rsidP="00E832A5">
            <w:pPr>
              <w:spacing w:line="276" w:lineRule="auto"/>
              <w:jc w:val="right"/>
              <w:rPr>
                <w:rFonts w:asciiTheme="minorHAnsi" w:hAnsiTheme="minorHAnsi" w:cstheme="minorHAnsi"/>
                <w:i/>
                <w:sz w:val="22"/>
                <w:szCs w:val="22"/>
                <w:u w:val="single"/>
              </w:rPr>
            </w:pPr>
            <w:r>
              <w:rPr>
                <w:rFonts w:asciiTheme="minorHAnsi" w:hAnsiTheme="minorHAnsi" w:cstheme="minorHAnsi"/>
                <w:i/>
                <w:sz w:val="22"/>
                <w:szCs w:val="22"/>
                <w:u w:val="single"/>
              </w:rPr>
              <w:t>Load (MW)</w:t>
            </w:r>
          </w:p>
        </w:tc>
      </w:tr>
      <w:tr w:rsidR="00DF430C" w:rsidRPr="00E832A5" w14:paraId="3599B5C3" w14:textId="77777777" w:rsidTr="008919E2">
        <w:trPr>
          <w:trHeight w:val="300"/>
          <w:jc w:val="center"/>
        </w:trPr>
        <w:tc>
          <w:tcPr>
            <w:tcW w:w="960" w:type="dxa"/>
            <w:noWrap/>
            <w:hideMark/>
          </w:tcPr>
          <w:p w14:paraId="21B1B2E6" w14:textId="77777777" w:rsidR="00DF430C" w:rsidRPr="00E832A5" w:rsidRDefault="00DF430C" w:rsidP="00DF430C">
            <w:pPr>
              <w:spacing w:line="276" w:lineRule="auto"/>
              <w:jc w:val="center"/>
              <w:rPr>
                <w:rFonts w:asciiTheme="minorHAnsi" w:hAnsiTheme="minorHAnsi" w:cstheme="minorHAnsi"/>
                <w:sz w:val="22"/>
                <w:szCs w:val="22"/>
              </w:rPr>
            </w:pPr>
            <w:r w:rsidRPr="00E832A5">
              <w:rPr>
                <w:rFonts w:asciiTheme="minorHAnsi" w:hAnsiTheme="minorHAnsi" w:cstheme="minorHAnsi"/>
                <w:sz w:val="22"/>
                <w:szCs w:val="22"/>
              </w:rPr>
              <w:t>2023</w:t>
            </w:r>
          </w:p>
        </w:tc>
        <w:tc>
          <w:tcPr>
            <w:tcW w:w="1296" w:type="dxa"/>
            <w:noWrap/>
            <w:hideMark/>
          </w:tcPr>
          <w:p w14:paraId="71A0819F" w14:textId="56B1D6E2" w:rsidR="00DF430C" w:rsidRPr="00D67BAC" w:rsidRDefault="00DF430C" w:rsidP="00DF430C">
            <w:pPr>
              <w:spacing w:line="276" w:lineRule="auto"/>
              <w:jc w:val="center"/>
              <w:rPr>
                <w:rFonts w:asciiTheme="minorHAnsi" w:hAnsiTheme="minorHAnsi" w:cstheme="minorHAnsi"/>
                <w:sz w:val="22"/>
                <w:szCs w:val="22"/>
                <w:highlight w:val="yellow"/>
              </w:rPr>
            </w:pPr>
            <w:r w:rsidRPr="00582E83">
              <w:rPr>
                <w:rFonts w:asciiTheme="minorHAnsi" w:hAnsiTheme="minorHAnsi" w:cstheme="minorHAnsi"/>
                <w:b/>
                <w:bCs/>
                <w:sz w:val="22"/>
                <w:szCs w:val="22"/>
              </w:rPr>
              <w:t>REDACTED</w:t>
            </w:r>
          </w:p>
        </w:tc>
      </w:tr>
      <w:tr w:rsidR="00DF430C" w:rsidRPr="00E832A5" w14:paraId="26E3512C" w14:textId="77777777" w:rsidTr="008919E2">
        <w:trPr>
          <w:trHeight w:val="300"/>
          <w:jc w:val="center"/>
        </w:trPr>
        <w:tc>
          <w:tcPr>
            <w:tcW w:w="960" w:type="dxa"/>
            <w:noWrap/>
            <w:hideMark/>
          </w:tcPr>
          <w:p w14:paraId="64DEBD33" w14:textId="77777777" w:rsidR="00DF430C" w:rsidRPr="00E832A5" w:rsidRDefault="00DF430C" w:rsidP="00DF430C">
            <w:pPr>
              <w:spacing w:line="276" w:lineRule="auto"/>
              <w:jc w:val="center"/>
              <w:rPr>
                <w:rFonts w:asciiTheme="minorHAnsi" w:hAnsiTheme="minorHAnsi" w:cstheme="minorHAnsi"/>
                <w:sz w:val="22"/>
                <w:szCs w:val="22"/>
              </w:rPr>
            </w:pPr>
            <w:r w:rsidRPr="00E832A5">
              <w:rPr>
                <w:rFonts w:asciiTheme="minorHAnsi" w:hAnsiTheme="minorHAnsi" w:cstheme="minorHAnsi"/>
                <w:sz w:val="22"/>
                <w:szCs w:val="22"/>
              </w:rPr>
              <w:t>2024</w:t>
            </w:r>
          </w:p>
        </w:tc>
        <w:tc>
          <w:tcPr>
            <w:tcW w:w="1296" w:type="dxa"/>
            <w:noWrap/>
            <w:hideMark/>
          </w:tcPr>
          <w:p w14:paraId="255E1F4B" w14:textId="72963457" w:rsidR="00DF430C" w:rsidRPr="00D67BAC" w:rsidRDefault="00DF430C" w:rsidP="00DF430C">
            <w:pPr>
              <w:spacing w:line="276" w:lineRule="auto"/>
              <w:jc w:val="center"/>
              <w:rPr>
                <w:rFonts w:asciiTheme="minorHAnsi" w:hAnsiTheme="minorHAnsi" w:cstheme="minorHAnsi"/>
                <w:sz w:val="22"/>
                <w:szCs w:val="22"/>
                <w:highlight w:val="yellow"/>
              </w:rPr>
            </w:pPr>
            <w:r w:rsidRPr="00582E83">
              <w:rPr>
                <w:rFonts w:asciiTheme="minorHAnsi" w:hAnsiTheme="minorHAnsi" w:cstheme="minorHAnsi"/>
                <w:b/>
                <w:bCs/>
                <w:sz w:val="22"/>
                <w:szCs w:val="22"/>
              </w:rPr>
              <w:t>REDACTED</w:t>
            </w:r>
          </w:p>
        </w:tc>
      </w:tr>
      <w:tr w:rsidR="00DF430C" w:rsidRPr="00E832A5" w14:paraId="2231577E" w14:textId="77777777" w:rsidTr="008919E2">
        <w:trPr>
          <w:trHeight w:val="300"/>
          <w:jc w:val="center"/>
        </w:trPr>
        <w:tc>
          <w:tcPr>
            <w:tcW w:w="960" w:type="dxa"/>
            <w:noWrap/>
            <w:hideMark/>
          </w:tcPr>
          <w:p w14:paraId="79ADBF0D" w14:textId="77777777" w:rsidR="00DF430C" w:rsidRPr="00E832A5" w:rsidRDefault="00DF430C" w:rsidP="00DF430C">
            <w:pPr>
              <w:spacing w:line="276" w:lineRule="auto"/>
              <w:jc w:val="center"/>
              <w:rPr>
                <w:rFonts w:asciiTheme="minorHAnsi" w:hAnsiTheme="minorHAnsi" w:cstheme="minorHAnsi"/>
                <w:sz w:val="22"/>
                <w:szCs w:val="22"/>
              </w:rPr>
            </w:pPr>
            <w:r w:rsidRPr="00E832A5">
              <w:rPr>
                <w:rFonts w:asciiTheme="minorHAnsi" w:hAnsiTheme="minorHAnsi" w:cstheme="minorHAnsi"/>
                <w:sz w:val="22"/>
                <w:szCs w:val="22"/>
              </w:rPr>
              <w:t>2025</w:t>
            </w:r>
          </w:p>
        </w:tc>
        <w:tc>
          <w:tcPr>
            <w:tcW w:w="1296" w:type="dxa"/>
            <w:noWrap/>
            <w:hideMark/>
          </w:tcPr>
          <w:p w14:paraId="76A7E60C" w14:textId="79B16B49" w:rsidR="00DF430C" w:rsidRPr="00D67BAC" w:rsidRDefault="00DF430C" w:rsidP="00DF430C">
            <w:pPr>
              <w:spacing w:line="276" w:lineRule="auto"/>
              <w:jc w:val="center"/>
              <w:rPr>
                <w:rFonts w:asciiTheme="minorHAnsi" w:hAnsiTheme="minorHAnsi" w:cstheme="minorHAnsi"/>
                <w:sz w:val="22"/>
                <w:szCs w:val="22"/>
                <w:highlight w:val="yellow"/>
              </w:rPr>
            </w:pPr>
            <w:r w:rsidRPr="00582E83">
              <w:rPr>
                <w:rFonts w:asciiTheme="minorHAnsi" w:hAnsiTheme="minorHAnsi" w:cstheme="minorHAnsi"/>
                <w:b/>
                <w:bCs/>
                <w:sz w:val="22"/>
                <w:szCs w:val="22"/>
              </w:rPr>
              <w:t>REDACTED</w:t>
            </w:r>
          </w:p>
        </w:tc>
      </w:tr>
      <w:tr w:rsidR="00DF430C" w:rsidRPr="00054D8C" w14:paraId="76E55089" w14:textId="77777777" w:rsidTr="008919E2">
        <w:trPr>
          <w:trHeight w:val="300"/>
          <w:jc w:val="center"/>
        </w:trPr>
        <w:tc>
          <w:tcPr>
            <w:tcW w:w="960" w:type="dxa"/>
            <w:noWrap/>
            <w:hideMark/>
          </w:tcPr>
          <w:p w14:paraId="59F63D6F" w14:textId="77777777" w:rsidR="00DF430C" w:rsidRPr="00E832A5" w:rsidRDefault="00DF430C" w:rsidP="00DF430C">
            <w:pPr>
              <w:spacing w:line="276" w:lineRule="auto"/>
              <w:jc w:val="center"/>
              <w:rPr>
                <w:rFonts w:asciiTheme="minorHAnsi" w:hAnsiTheme="minorHAnsi" w:cstheme="minorHAnsi"/>
                <w:sz w:val="22"/>
                <w:szCs w:val="22"/>
              </w:rPr>
            </w:pPr>
            <w:r w:rsidRPr="00E832A5">
              <w:rPr>
                <w:rFonts w:asciiTheme="minorHAnsi" w:hAnsiTheme="minorHAnsi" w:cstheme="minorHAnsi"/>
                <w:sz w:val="22"/>
                <w:szCs w:val="22"/>
              </w:rPr>
              <w:t>2026</w:t>
            </w:r>
          </w:p>
        </w:tc>
        <w:tc>
          <w:tcPr>
            <w:tcW w:w="1296" w:type="dxa"/>
            <w:noWrap/>
            <w:hideMark/>
          </w:tcPr>
          <w:p w14:paraId="49E87BE1" w14:textId="5F8449FB" w:rsidR="00DF430C" w:rsidRPr="00D67BAC" w:rsidRDefault="00DF430C" w:rsidP="00DF430C">
            <w:pPr>
              <w:spacing w:line="276" w:lineRule="auto"/>
              <w:jc w:val="center"/>
              <w:rPr>
                <w:rFonts w:asciiTheme="minorHAnsi" w:hAnsiTheme="minorHAnsi" w:cstheme="minorHAnsi"/>
                <w:sz w:val="22"/>
                <w:szCs w:val="22"/>
                <w:highlight w:val="yellow"/>
              </w:rPr>
            </w:pPr>
            <w:r w:rsidRPr="00582E83">
              <w:rPr>
                <w:rFonts w:asciiTheme="minorHAnsi" w:hAnsiTheme="minorHAnsi" w:cstheme="minorHAnsi"/>
                <w:b/>
                <w:bCs/>
                <w:sz w:val="22"/>
                <w:szCs w:val="22"/>
              </w:rPr>
              <w:t>REDACTED</w:t>
            </w:r>
          </w:p>
        </w:tc>
      </w:tr>
      <w:tr w:rsidR="00DF430C" w:rsidRPr="00054D8C" w14:paraId="1D132F04" w14:textId="77777777" w:rsidTr="008919E2">
        <w:trPr>
          <w:trHeight w:val="300"/>
          <w:jc w:val="center"/>
        </w:trPr>
        <w:tc>
          <w:tcPr>
            <w:tcW w:w="960" w:type="dxa"/>
            <w:noWrap/>
            <w:hideMark/>
          </w:tcPr>
          <w:p w14:paraId="564F83E4" w14:textId="77777777" w:rsidR="00DF430C" w:rsidRPr="00054D8C" w:rsidRDefault="00DF430C" w:rsidP="00DF430C">
            <w:pPr>
              <w:spacing w:line="276" w:lineRule="auto"/>
              <w:jc w:val="center"/>
              <w:rPr>
                <w:rFonts w:asciiTheme="minorHAnsi" w:hAnsiTheme="minorHAnsi" w:cstheme="minorHAnsi"/>
                <w:sz w:val="22"/>
                <w:szCs w:val="22"/>
              </w:rPr>
            </w:pPr>
            <w:r w:rsidRPr="00054D8C">
              <w:rPr>
                <w:rFonts w:asciiTheme="minorHAnsi" w:hAnsiTheme="minorHAnsi" w:cstheme="minorHAnsi"/>
                <w:sz w:val="22"/>
                <w:szCs w:val="22"/>
              </w:rPr>
              <w:t>2027</w:t>
            </w:r>
          </w:p>
        </w:tc>
        <w:tc>
          <w:tcPr>
            <w:tcW w:w="1296" w:type="dxa"/>
            <w:noWrap/>
            <w:hideMark/>
          </w:tcPr>
          <w:p w14:paraId="2B98B98D" w14:textId="1DD7356D" w:rsidR="00DF430C" w:rsidRPr="00D67BAC" w:rsidRDefault="00DF430C" w:rsidP="00DF430C">
            <w:pPr>
              <w:spacing w:line="276" w:lineRule="auto"/>
              <w:jc w:val="center"/>
              <w:rPr>
                <w:rFonts w:asciiTheme="minorHAnsi" w:hAnsiTheme="minorHAnsi" w:cstheme="minorHAnsi"/>
                <w:sz w:val="22"/>
                <w:szCs w:val="22"/>
                <w:highlight w:val="yellow"/>
              </w:rPr>
            </w:pPr>
            <w:r w:rsidRPr="00582E83">
              <w:rPr>
                <w:rFonts w:asciiTheme="minorHAnsi" w:hAnsiTheme="minorHAnsi" w:cstheme="minorHAnsi"/>
                <w:b/>
                <w:bCs/>
                <w:sz w:val="22"/>
                <w:szCs w:val="22"/>
              </w:rPr>
              <w:t>REDACTED</w:t>
            </w:r>
          </w:p>
        </w:tc>
      </w:tr>
      <w:tr w:rsidR="00DF430C" w:rsidRPr="00054D8C" w14:paraId="428934BF" w14:textId="77777777" w:rsidTr="008919E2">
        <w:trPr>
          <w:trHeight w:val="300"/>
          <w:jc w:val="center"/>
        </w:trPr>
        <w:tc>
          <w:tcPr>
            <w:tcW w:w="960" w:type="dxa"/>
            <w:noWrap/>
            <w:hideMark/>
          </w:tcPr>
          <w:p w14:paraId="03FF694D" w14:textId="77777777" w:rsidR="00DF430C" w:rsidRPr="00054D8C" w:rsidRDefault="00DF430C" w:rsidP="00DF430C">
            <w:pPr>
              <w:spacing w:line="276" w:lineRule="auto"/>
              <w:jc w:val="center"/>
              <w:rPr>
                <w:rFonts w:asciiTheme="minorHAnsi" w:hAnsiTheme="minorHAnsi" w:cstheme="minorHAnsi"/>
                <w:sz w:val="22"/>
                <w:szCs w:val="22"/>
              </w:rPr>
            </w:pPr>
            <w:r w:rsidRPr="00054D8C">
              <w:rPr>
                <w:rFonts w:asciiTheme="minorHAnsi" w:hAnsiTheme="minorHAnsi" w:cstheme="minorHAnsi"/>
                <w:sz w:val="22"/>
                <w:szCs w:val="22"/>
              </w:rPr>
              <w:t>2028</w:t>
            </w:r>
          </w:p>
        </w:tc>
        <w:tc>
          <w:tcPr>
            <w:tcW w:w="1296" w:type="dxa"/>
            <w:noWrap/>
            <w:hideMark/>
          </w:tcPr>
          <w:p w14:paraId="141D4914" w14:textId="217E3062" w:rsidR="00DF430C" w:rsidRPr="00D67BAC" w:rsidRDefault="00DF430C" w:rsidP="00DF430C">
            <w:pPr>
              <w:spacing w:line="276" w:lineRule="auto"/>
              <w:jc w:val="center"/>
              <w:rPr>
                <w:rFonts w:asciiTheme="minorHAnsi" w:hAnsiTheme="minorHAnsi" w:cstheme="minorHAnsi"/>
                <w:sz w:val="22"/>
                <w:szCs w:val="22"/>
                <w:highlight w:val="yellow"/>
              </w:rPr>
            </w:pPr>
            <w:r w:rsidRPr="00582E83">
              <w:rPr>
                <w:rFonts w:asciiTheme="minorHAnsi" w:hAnsiTheme="minorHAnsi" w:cstheme="minorHAnsi"/>
                <w:b/>
                <w:bCs/>
                <w:sz w:val="22"/>
                <w:szCs w:val="22"/>
              </w:rPr>
              <w:t>REDACTED</w:t>
            </w:r>
          </w:p>
        </w:tc>
      </w:tr>
      <w:tr w:rsidR="00DF430C" w:rsidRPr="000740C3" w14:paraId="45669C0E" w14:textId="77777777" w:rsidTr="008919E2">
        <w:trPr>
          <w:trHeight w:val="300"/>
          <w:jc w:val="center"/>
        </w:trPr>
        <w:tc>
          <w:tcPr>
            <w:tcW w:w="960" w:type="dxa"/>
            <w:noWrap/>
            <w:hideMark/>
          </w:tcPr>
          <w:p w14:paraId="24B94ADF" w14:textId="77777777" w:rsidR="00DF430C" w:rsidRPr="00054D8C" w:rsidRDefault="00DF430C" w:rsidP="00DF430C">
            <w:pPr>
              <w:spacing w:line="276" w:lineRule="auto"/>
              <w:jc w:val="center"/>
              <w:rPr>
                <w:rFonts w:asciiTheme="minorHAnsi" w:hAnsiTheme="minorHAnsi" w:cstheme="minorHAnsi"/>
                <w:sz w:val="22"/>
                <w:szCs w:val="22"/>
              </w:rPr>
            </w:pPr>
            <w:r w:rsidRPr="00054D8C">
              <w:rPr>
                <w:rFonts w:asciiTheme="minorHAnsi" w:hAnsiTheme="minorHAnsi" w:cstheme="minorHAnsi"/>
                <w:sz w:val="22"/>
                <w:szCs w:val="22"/>
              </w:rPr>
              <w:t>2029</w:t>
            </w:r>
          </w:p>
        </w:tc>
        <w:tc>
          <w:tcPr>
            <w:tcW w:w="1296" w:type="dxa"/>
            <w:noWrap/>
            <w:hideMark/>
          </w:tcPr>
          <w:p w14:paraId="2C153A34" w14:textId="4D7FD22C" w:rsidR="00DF430C" w:rsidRPr="00D67BAC" w:rsidRDefault="00DF430C" w:rsidP="00DF430C">
            <w:pPr>
              <w:spacing w:line="276" w:lineRule="auto"/>
              <w:jc w:val="center"/>
              <w:rPr>
                <w:rFonts w:asciiTheme="minorHAnsi" w:hAnsiTheme="minorHAnsi" w:cstheme="minorHAnsi"/>
                <w:sz w:val="22"/>
                <w:szCs w:val="22"/>
                <w:highlight w:val="yellow"/>
              </w:rPr>
            </w:pPr>
            <w:r w:rsidRPr="00582E83">
              <w:rPr>
                <w:rFonts w:asciiTheme="minorHAnsi" w:hAnsiTheme="minorHAnsi" w:cstheme="minorHAnsi"/>
                <w:b/>
                <w:bCs/>
                <w:sz w:val="22"/>
                <w:szCs w:val="22"/>
              </w:rPr>
              <w:t>REDACTED</w:t>
            </w:r>
          </w:p>
        </w:tc>
      </w:tr>
      <w:tr w:rsidR="00DF430C" w:rsidRPr="000740C3" w14:paraId="21E93B01" w14:textId="77777777" w:rsidTr="008919E2">
        <w:trPr>
          <w:trHeight w:val="300"/>
          <w:jc w:val="center"/>
        </w:trPr>
        <w:tc>
          <w:tcPr>
            <w:tcW w:w="960" w:type="dxa"/>
            <w:noWrap/>
            <w:hideMark/>
          </w:tcPr>
          <w:p w14:paraId="0C7DA3A6" w14:textId="77777777" w:rsidR="00DF430C" w:rsidRPr="000740C3" w:rsidRDefault="00DF430C" w:rsidP="00DF430C">
            <w:pPr>
              <w:spacing w:line="276" w:lineRule="auto"/>
              <w:jc w:val="center"/>
              <w:rPr>
                <w:rFonts w:asciiTheme="minorHAnsi" w:hAnsiTheme="minorHAnsi" w:cstheme="minorHAnsi"/>
                <w:sz w:val="22"/>
                <w:szCs w:val="22"/>
              </w:rPr>
            </w:pPr>
            <w:r w:rsidRPr="000740C3">
              <w:rPr>
                <w:rFonts w:asciiTheme="minorHAnsi" w:hAnsiTheme="minorHAnsi" w:cstheme="minorHAnsi"/>
                <w:sz w:val="22"/>
                <w:szCs w:val="22"/>
              </w:rPr>
              <w:t>2030</w:t>
            </w:r>
          </w:p>
        </w:tc>
        <w:tc>
          <w:tcPr>
            <w:tcW w:w="1296" w:type="dxa"/>
            <w:noWrap/>
            <w:hideMark/>
          </w:tcPr>
          <w:p w14:paraId="39F25D11" w14:textId="3CFA81AA" w:rsidR="00DF430C" w:rsidRPr="00D67BAC" w:rsidRDefault="00DF430C" w:rsidP="00DF430C">
            <w:pPr>
              <w:spacing w:line="276" w:lineRule="auto"/>
              <w:jc w:val="center"/>
              <w:rPr>
                <w:rFonts w:asciiTheme="minorHAnsi" w:hAnsiTheme="minorHAnsi" w:cstheme="minorHAnsi"/>
                <w:sz w:val="22"/>
                <w:szCs w:val="22"/>
                <w:highlight w:val="yellow"/>
              </w:rPr>
            </w:pPr>
            <w:r w:rsidRPr="00582E83">
              <w:rPr>
                <w:rFonts w:asciiTheme="minorHAnsi" w:hAnsiTheme="minorHAnsi" w:cstheme="minorHAnsi"/>
                <w:b/>
                <w:bCs/>
                <w:sz w:val="22"/>
                <w:szCs w:val="22"/>
              </w:rPr>
              <w:t>REDACTED</w:t>
            </w:r>
          </w:p>
        </w:tc>
      </w:tr>
      <w:tr w:rsidR="00DF430C" w:rsidRPr="000740C3" w14:paraId="08A4E802" w14:textId="77777777" w:rsidTr="008919E2">
        <w:trPr>
          <w:trHeight w:val="300"/>
          <w:jc w:val="center"/>
        </w:trPr>
        <w:tc>
          <w:tcPr>
            <w:tcW w:w="960" w:type="dxa"/>
            <w:noWrap/>
            <w:hideMark/>
          </w:tcPr>
          <w:p w14:paraId="0B896970" w14:textId="77777777" w:rsidR="00DF430C" w:rsidRPr="000740C3" w:rsidRDefault="00DF430C" w:rsidP="00DF430C">
            <w:pPr>
              <w:spacing w:line="276" w:lineRule="auto"/>
              <w:jc w:val="center"/>
              <w:rPr>
                <w:rFonts w:asciiTheme="minorHAnsi" w:hAnsiTheme="minorHAnsi" w:cstheme="minorHAnsi"/>
                <w:sz w:val="22"/>
                <w:szCs w:val="22"/>
              </w:rPr>
            </w:pPr>
            <w:r w:rsidRPr="000740C3">
              <w:rPr>
                <w:rFonts w:asciiTheme="minorHAnsi" w:hAnsiTheme="minorHAnsi" w:cstheme="minorHAnsi"/>
                <w:sz w:val="22"/>
                <w:szCs w:val="22"/>
              </w:rPr>
              <w:t>2031</w:t>
            </w:r>
          </w:p>
        </w:tc>
        <w:tc>
          <w:tcPr>
            <w:tcW w:w="1296" w:type="dxa"/>
            <w:noWrap/>
            <w:hideMark/>
          </w:tcPr>
          <w:p w14:paraId="2C74671F" w14:textId="371DA879" w:rsidR="00DF430C" w:rsidRPr="00D67BAC" w:rsidRDefault="00DF430C" w:rsidP="00DF430C">
            <w:pPr>
              <w:spacing w:line="276" w:lineRule="auto"/>
              <w:jc w:val="center"/>
              <w:rPr>
                <w:rFonts w:asciiTheme="minorHAnsi" w:hAnsiTheme="minorHAnsi" w:cstheme="minorHAnsi"/>
                <w:sz w:val="22"/>
                <w:szCs w:val="22"/>
                <w:highlight w:val="yellow"/>
              </w:rPr>
            </w:pPr>
            <w:r w:rsidRPr="00582E83">
              <w:rPr>
                <w:rFonts w:asciiTheme="minorHAnsi" w:hAnsiTheme="minorHAnsi" w:cstheme="minorHAnsi"/>
                <w:b/>
                <w:bCs/>
                <w:sz w:val="22"/>
                <w:szCs w:val="22"/>
              </w:rPr>
              <w:t>REDACTED</w:t>
            </w:r>
          </w:p>
        </w:tc>
      </w:tr>
      <w:tr w:rsidR="00DF430C" w:rsidRPr="000740C3" w14:paraId="0FD05599" w14:textId="77777777" w:rsidTr="008919E2">
        <w:trPr>
          <w:trHeight w:val="300"/>
          <w:jc w:val="center"/>
        </w:trPr>
        <w:tc>
          <w:tcPr>
            <w:tcW w:w="960" w:type="dxa"/>
            <w:noWrap/>
            <w:hideMark/>
          </w:tcPr>
          <w:p w14:paraId="39653CBD" w14:textId="77777777" w:rsidR="00DF430C" w:rsidRPr="000740C3" w:rsidRDefault="00DF430C" w:rsidP="00DF430C">
            <w:pPr>
              <w:spacing w:line="276" w:lineRule="auto"/>
              <w:jc w:val="center"/>
              <w:rPr>
                <w:rFonts w:asciiTheme="minorHAnsi" w:hAnsiTheme="minorHAnsi" w:cstheme="minorHAnsi"/>
                <w:sz w:val="22"/>
                <w:szCs w:val="22"/>
              </w:rPr>
            </w:pPr>
            <w:r w:rsidRPr="000740C3">
              <w:rPr>
                <w:rFonts w:asciiTheme="minorHAnsi" w:hAnsiTheme="minorHAnsi" w:cstheme="minorHAnsi"/>
                <w:sz w:val="22"/>
                <w:szCs w:val="22"/>
              </w:rPr>
              <w:t>2032</w:t>
            </w:r>
          </w:p>
        </w:tc>
        <w:tc>
          <w:tcPr>
            <w:tcW w:w="1296" w:type="dxa"/>
            <w:noWrap/>
            <w:hideMark/>
          </w:tcPr>
          <w:p w14:paraId="275F586F" w14:textId="11A37EEC" w:rsidR="00DF430C" w:rsidRPr="00D67BAC" w:rsidRDefault="00DF430C" w:rsidP="00DF430C">
            <w:pPr>
              <w:spacing w:line="276" w:lineRule="auto"/>
              <w:jc w:val="center"/>
              <w:rPr>
                <w:rFonts w:asciiTheme="minorHAnsi" w:hAnsiTheme="minorHAnsi" w:cstheme="minorHAnsi"/>
                <w:sz w:val="22"/>
                <w:szCs w:val="22"/>
                <w:highlight w:val="yellow"/>
              </w:rPr>
            </w:pPr>
            <w:r w:rsidRPr="00582E83">
              <w:rPr>
                <w:rFonts w:asciiTheme="minorHAnsi" w:hAnsiTheme="minorHAnsi" w:cstheme="minorHAnsi"/>
                <w:b/>
                <w:bCs/>
                <w:sz w:val="22"/>
                <w:szCs w:val="22"/>
              </w:rPr>
              <w:t>REDACTED</w:t>
            </w:r>
          </w:p>
        </w:tc>
      </w:tr>
      <w:tr w:rsidR="00DF430C" w:rsidRPr="000740C3" w14:paraId="6228CC6F" w14:textId="77777777" w:rsidTr="008919E2">
        <w:trPr>
          <w:trHeight w:val="300"/>
          <w:jc w:val="center"/>
        </w:trPr>
        <w:tc>
          <w:tcPr>
            <w:tcW w:w="960" w:type="dxa"/>
            <w:noWrap/>
            <w:hideMark/>
          </w:tcPr>
          <w:p w14:paraId="467075B2" w14:textId="77777777" w:rsidR="00DF430C" w:rsidRPr="000740C3" w:rsidRDefault="00DF430C" w:rsidP="00DF430C">
            <w:pPr>
              <w:spacing w:line="276" w:lineRule="auto"/>
              <w:jc w:val="center"/>
              <w:rPr>
                <w:rFonts w:asciiTheme="minorHAnsi" w:hAnsiTheme="minorHAnsi" w:cstheme="minorHAnsi"/>
                <w:sz w:val="22"/>
                <w:szCs w:val="22"/>
              </w:rPr>
            </w:pPr>
            <w:r w:rsidRPr="000740C3">
              <w:rPr>
                <w:rFonts w:asciiTheme="minorHAnsi" w:hAnsiTheme="minorHAnsi" w:cstheme="minorHAnsi"/>
                <w:sz w:val="22"/>
                <w:szCs w:val="22"/>
              </w:rPr>
              <w:t>2033</w:t>
            </w:r>
          </w:p>
        </w:tc>
        <w:tc>
          <w:tcPr>
            <w:tcW w:w="1296" w:type="dxa"/>
            <w:noWrap/>
            <w:hideMark/>
          </w:tcPr>
          <w:p w14:paraId="74FE7DB0" w14:textId="2FE7A819" w:rsidR="00DF430C" w:rsidRPr="00D67BAC" w:rsidRDefault="00DF430C" w:rsidP="00DF430C">
            <w:pPr>
              <w:spacing w:line="276" w:lineRule="auto"/>
              <w:jc w:val="center"/>
              <w:rPr>
                <w:rFonts w:asciiTheme="minorHAnsi" w:hAnsiTheme="minorHAnsi" w:cstheme="minorHAnsi"/>
                <w:sz w:val="22"/>
                <w:szCs w:val="22"/>
                <w:highlight w:val="yellow"/>
              </w:rPr>
            </w:pPr>
            <w:r w:rsidRPr="00582E83">
              <w:rPr>
                <w:rFonts w:asciiTheme="minorHAnsi" w:hAnsiTheme="minorHAnsi" w:cstheme="minorHAnsi"/>
                <w:b/>
                <w:bCs/>
                <w:sz w:val="22"/>
                <w:szCs w:val="22"/>
              </w:rPr>
              <w:t>REDACTED</w:t>
            </w:r>
          </w:p>
        </w:tc>
      </w:tr>
      <w:tr w:rsidR="00DF430C" w:rsidRPr="000740C3" w14:paraId="69FF5586" w14:textId="77777777" w:rsidTr="008919E2">
        <w:trPr>
          <w:trHeight w:val="300"/>
          <w:jc w:val="center"/>
        </w:trPr>
        <w:tc>
          <w:tcPr>
            <w:tcW w:w="960" w:type="dxa"/>
            <w:noWrap/>
            <w:hideMark/>
          </w:tcPr>
          <w:p w14:paraId="5237B622" w14:textId="77777777" w:rsidR="00DF430C" w:rsidRPr="000740C3" w:rsidRDefault="00DF430C" w:rsidP="00DF430C">
            <w:pPr>
              <w:spacing w:line="276" w:lineRule="auto"/>
              <w:jc w:val="center"/>
              <w:rPr>
                <w:rFonts w:asciiTheme="minorHAnsi" w:hAnsiTheme="minorHAnsi" w:cstheme="minorHAnsi"/>
                <w:sz w:val="22"/>
                <w:szCs w:val="22"/>
              </w:rPr>
            </w:pPr>
            <w:r w:rsidRPr="000740C3">
              <w:rPr>
                <w:rFonts w:asciiTheme="minorHAnsi" w:hAnsiTheme="minorHAnsi" w:cstheme="minorHAnsi"/>
                <w:sz w:val="22"/>
                <w:szCs w:val="22"/>
              </w:rPr>
              <w:t>2034</w:t>
            </w:r>
          </w:p>
        </w:tc>
        <w:tc>
          <w:tcPr>
            <w:tcW w:w="1296" w:type="dxa"/>
            <w:noWrap/>
            <w:hideMark/>
          </w:tcPr>
          <w:p w14:paraId="162D7C1E" w14:textId="6039EBDB" w:rsidR="00DF430C" w:rsidRPr="00D67BAC" w:rsidRDefault="00DF430C" w:rsidP="00DF430C">
            <w:pPr>
              <w:spacing w:line="276" w:lineRule="auto"/>
              <w:jc w:val="center"/>
              <w:rPr>
                <w:rFonts w:asciiTheme="minorHAnsi" w:hAnsiTheme="minorHAnsi" w:cstheme="minorHAnsi"/>
                <w:sz w:val="22"/>
                <w:szCs w:val="22"/>
                <w:highlight w:val="yellow"/>
              </w:rPr>
            </w:pPr>
            <w:r w:rsidRPr="00582E83">
              <w:rPr>
                <w:rFonts w:asciiTheme="minorHAnsi" w:hAnsiTheme="minorHAnsi" w:cstheme="minorHAnsi"/>
                <w:b/>
                <w:bCs/>
                <w:sz w:val="22"/>
                <w:szCs w:val="22"/>
              </w:rPr>
              <w:t>REDACTED</w:t>
            </w:r>
          </w:p>
        </w:tc>
      </w:tr>
      <w:tr w:rsidR="00DF430C" w:rsidRPr="000740C3" w14:paraId="57F2D017" w14:textId="77777777" w:rsidTr="008919E2">
        <w:trPr>
          <w:trHeight w:val="300"/>
          <w:jc w:val="center"/>
        </w:trPr>
        <w:tc>
          <w:tcPr>
            <w:tcW w:w="960" w:type="dxa"/>
            <w:noWrap/>
            <w:hideMark/>
          </w:tcPr>
          <w:p w14:paraId="0380F297" w14:textId="77777777" w:rsidR="00DF430C" w:rsidRPr="000740C3" w:rsidRDefault="00DF430C" w:rsidP="00DF430C">
            <w:pPr>
              <w:spacing w:line="276" w:lineRule="auto"/>
              <w:jc w:val="center"/>
              <w:rPr>
                <w:rFonts w:asciiTheme="minorHAnsi" w:hAnsiTheme="minorHAnsi" w:cstheme="minorHAnsi"/>
                <w:sz w:val="22"/>
                <w:szCs w:val="22"/>
              </w:rPr>
            </w:pPr>
            <w:r w:rsidRPr="000740C3">
              <w:rPr>
                <w:rFonts w:asciiTheme="minorHAnsi" w:hAnsiTheme="minorHAnsi" w:cstheme="minorHAnsi"/>
                <w:sz w:val="22"/>
                <w:szCs w:val="22"/>
              </w:rPr>
              <w:t>2035</w:t>
            </w:r>
          </w:p>
        </w:tc>
        <w:tc>
          <w:tcPr>
            <w:tcW w:w="1296" w:type="dxa"/>
            <w:noWrap/>
            <w:hideMark/>
          </w:tcPr>
          <w:p w14:paraId="35214222" w14:textId="6A9FD399" w:rsidR="00DF430C" w:rsidRPr="00D67BAC" w:rsidRDefault="00DF430C" w:rsidP="00DF430C">
            <w:pPr>
              <w:spacing w:line="276" w:lineRule="auto"/>
              <w:jc w:val="center"/>
              <w:rPr>
                <w:rFonts w:asciiTheme="minorHAnsi" w:hAnsiTheme="minorHAnsi" w:cstheme="minorHAnsi"/>
                <w:sz w:val="22"/>
                <w:szCs w:val="22"/>
                <w:highlight w:val="yellow"/>
              </w:rPr>
            </w:pPr>
            <w:r w:rsidRPr="00582E83">
              <w:rPr>
                <w:rFonts w:asciiTheme="minorHAnsi" w:hAnsiTheme="minorHAnsi" w:cstheme="minorHAnsi"/>
                <w:b/>
                <w:bCs/>
                <w:sz w:val="22"/>
                <w:szCs w:val="22"/>
              </w:rPr>
              <w:t>REDACTED</w:t>
            </w:r>
          </w:p>
        </w:tc>
      </w:tr>
      <w:tr w:rsidR="00DF430C" w:rsidRPr="000740C3" w14:paraId="2BB35E54" w14:textId="77777777" w:rsidTr="008919E2">
        <w:trPr>
          <w:trHeight w:val="300"/>
          <w:jc w:val="center"/>
        </w:trPr>
        <w:tc>
          <w:tcPr>
            <w:tcW w:w="960" w:type="dxa"/>
            <w:noWrap/>
            <w:hideMark/>
          </w:tcPr>
          <w:p w14:paraId="1925F5F9" w14:textId="77777777" w:rsidR="00DF430C" w:rsidRPr="000740C3" w:rsidRDefault="00DF430C" w:rsidP="00DF430C">
            <w:pPr>
              <w:spacing w:line="276" w:lineRule="auto"/>
              <w:jc w:val="center"/>
              <w:rPr>
                <w:rFonts w:asciiTheme="minorHAnsi" w:hAnsiTheme="minorHAnsi" w:cstheme="minorHAnsi"/>
                <w:sz w:val="22"/>
                <w:szCs w:val="22"/>
              </w:rPr>
            </w:pPr>
            <w:r w:rsidRPr="000740C3">
              <w:rPr>
                <w:rFonts w:asciiTheme="minorHAnsi" w:hAnsiTheme="minorHAnsi" w:cstheme="minorHAnsi"/>
                <w:sz w:val="22"/>
                <w:szCs w:val="22"/>
              </w:rPr>
              <w:t>2036</w:t>
            </w:r>
          </w:p>
        </w:tc>
        <w:tc>
          <w:tcPr>
            <w:tcW w:w="1296" w:type="dxa"/>
            <w:noWrap/>
            <w:hideMark/>
          </w:tcPr>
          <w:p w14:paraId="7A0BA484" w14:textId="6EACC012" w:rsidR="00DF430C" w:rsidRPr="00D67BAC" w:rsidRDefault="00DF430C" w:rsidP="00DF430C">
            <w:pPr>
              <w:spacing w:line="276" w:lineRule="auto"/>
              <w:jc w:val="center"/>
              <w:rPr>
                <w:rFonts w:asciiTheme="minorHAnsi" w:hAnsiTheme="minorHAnsi" w:cstheme="minorHAnsi"/>
                <w:sz w:val="22"/>
                <w:szCs w:val="22"/>
                <w:highlight w:val="yellow"/>
              </w:rPr>
            </w:pPr>
            <w:r w:rsidRPr="00582E83">
              <w:rPr>
                <w:rFonts w:asciiTheme="minorHAnsi" w:hAnsiTheme="minorHAnsi" w:cstheme="minorHAnsi"/>
                <w:b/>
                <w:bCs/>
                <w:sz w:val="22"/>
                <w:szCs w:val="22"/>
              </w:rPr>
              <w:t>REDACTED</w:t>
            </w:r>
          </w:p>
        </w:tc>
      </w:tr>
      <w:tr w:rsidR="00DF430C" w:rsidRPr="000740C3" w14:paraId="110F090F" w14:textId="77777777" w:rsidTr="008919E2">
        <w:trPr>
          <w:trHeight w:val="300"/>
          <w:jc w:val="center"/>
        </w:trPr>
        <w:tc>
          <w:tcPr>
            <w:tcW w:w="960" w:type="dxa"/>
            <w:noWrap/>
            <w:hideMark/>
          </w:tcPr>
          <w:p w14:paraId="1B369875" w14:textId="77777777" w:rsidR="00DF430C" w:rsidRPr="000740C3" w:rsidRDefault="00DF430C" w:rsidP="00DF430C">
            <w:pPr>
              <w:spacing w:line="276" w:lineRule="auto"/>
              <w:jc w:val="center"/>
              <w:rPr>
                <w:rFonts w:asciiTheme="minorHAnsi" w:hAnsiTheme="minorHAnsi" w:cstheme="minorHAnsi"/>
                <w:sz w:val="22"/>
                <w:szCs w:val="22"/>
              </w:rPr>
            </w:pPr>
            <w:r w:rsidRPr="000740C3">
              <w:rPr>
                <w:rFonts w:asciiTheme="minorHAnsi" w:hAnsiTheme="minorHAnsi" w:cstheme="minorHAnsi"/>
                <w:sz w:val="22"/>
                <w:szCs w:val="22"/>
              </w:rPr>
              <w:t>2037</w:t>
            </w:r>
          </w:p>
        </w:tc>
        <w:tc>
          <w:tcPr>
            <w:tcW w:w="1296" w:type="dxa"/>
            <w:noWrap/>
            <w:hideMark/>
          </w:tcPr>
          <w:p w14:paraId="054A5E44" w14:textId="707599C1" w:rsidR="00DF430C" w:rsidRPr="00D67BAC" w:rsidRDefault="00DF430C" w:rsidP="00DF430C">
            <w:pPr>
              <w:spacing w:line="276" w:lineRule="auto"/>
              <w:jc w:val="center"/>
              <w:rPr>
                <w:rFonts w:asciiTheme="minorHAnsi" w:hAnsiTheme="minorHAnsi" w:cstheme="minorHAnsi"/>
                <w:sz w:val="22"/>
                <w:szCs w:val="22"/>
                <w:highlight w:val="yellow"/>
              </w:rPr>
            </w:pPr>
            <w:r w:rsidRPr="00582E83">
              <w:rPr>
                <w:rFonts w:asciiTheme="minorHAnsi" w:hAnsiTheme="minorHAnsi" w:cstheme="minorHAnsi"/>
                <w:b/>
                <w:bCs/>
                <w:sz w:val="22"/>
                <w:szCs w:val="22"/>
              </w:rPr>
              <w:t>REDACTED</w:t>
            </w:r>
          </w:p>
        </w:tc>
      </w:tr>
      <w:tr w:rsidR="00DF430C" w:rsidRPr="000740C3" w14:paraId="640781B7" w14:textId="77777777" w:rsidTr="008919E2">
        <w:trPr>
          <w:trHeight w:val="300"/>
          <w:jc w:val="center"/>
        </w:trPr>
        <w:tc>
          <w:tcPr>
            <w:tcW w:w="960" w:type="dxa"/>
            <w:noWrap/>
            <w:hideMark/>
          </w:tcPr>
          <w:p w14:paraId="08DB3A54" w14:textId="77777777" w:rsidR="00DF430C" w:rsidRPr="000740C3" w:rsidRDefault="00DF430C" w:rsidP="00DF430C">
            <w:pPr>
              <w:spacing w:line="276" w:lineRule="auto"/>
              <w:jc w:val="center"/>
              <w:rPr>
                <w:rFonts w:asciiTheme="minorHAnsi" w:hAnsiTheme="minorHAnsi" w:cstheme="minorHAnsi"/>
                <w:sz w:val="22"/>
                <w:szCs w:val="22"/>
              </w:rPr>
            </w:pPr>
            <w:r w:rsidRPr="000740C3">
              <w:rPr>
                <w:rFonts w:asciiTheme="minorHAnsi" w:hAnsiTheme="minorHAnsi" w:cstheme="minorHAnsi"/>
                <w:sz w:val="22"/>
                <w:szCs w:val="22"/>
              </w:rPr>
              <w:t>2038</w:t>
            </w:r>
          </w:p>
        </w:tc>
        <w:tc>
          <w:tcPr>
            <w:tcW w:w="1296" w:type="dxa"/>
            <w:noWrap/>
            <w:hideMark/>
          </w:tcPr>
          <w:p w14:paraId="45DDAB75" w14:textId="770A9927" w:rsidR="00DF430C" w:rsidRPr="00D67BAC" w:rsidRDefault="00DF430C" w:rsidP="00DF430C">
            <w:pPr>
              <w:spacing w:line="276" w:lineRule="auto"/>
              <w:jc w:val="center"/>
              <w:rPr>
                <w:rFonts w:asciiTheme="minorHAnsi" w:hAnsiTheme="minorHAnsi" w:cstheme="minorHAnsi"/>
                <w:sz w:val="22"/>
                <w:szCs w:val="22"/>
                <w:highlight w:val="yellow"/>
              </w:rPr>
            </w:pPr>
            <w:r w:rsidRPr="00582E83">
              <w:rPr>
                <w:rFonts w:asciiTheme="minorHAnsi" w:hAnsiTheme="minorHAnsi" w:cstheme="minorHAnsi"/>
                <w:b/>
                <w:bCs/>
                <w:sz w:val="22"/>
                <w:szCs w:val="22"/>
              </w:rPr>
              <w:t>REDACTED</w:t>
            </w:r>
          </w:p>
        </w:tc>
      </w:tr>
      <w:tr w:rsidR="00DF430C" w:rsidRPr="000740C3" w14:paraId="07A38464" w14:textId="77777777" w:rsidTr="008919E2">
        <w:trPr>
          <w:trHeight w:val="300"/>
          <w:jc w:val="center"/>
        </w:trPr>
        <w:tc>
          <w:tcPr>
            <w:tcW w:w="960" w:type="dxa"/>
            <w:noWrap/>
            <w:hideMark/>
          </w:tcPr>
          <w:p w14:paraId="0F083DFF" w14:textId="77777777" w:rsidR="00DF430C" w:rsidRPr="000740C3" w:rsidRDefault="00DF430C" w:rsidP="00DF430C">
            <w:pPr>
              <w:spacing w:line="276" w:lineRule="auto"/>
              <w:jc w:val="center"/>
              <w:rPr>
                <w:rFonts w:asciiTheme="minorHAnsi" w:hAnsiTheme="minorHAnsi" w:cstheme="minorHAnsi"/>
                <w:sz w:val="22"/>
                <w:szCs w:val="22"/>
              </w:rPr>
            </w:pPr>
            <w:r w:rsidRPr="000740C3">
              <w:rPr>
                <w:rFonts w:asciiTheme="minorHAnsi" w:hAnsiTheme="minorHAnsi" w:cstheme="minorHAnsi"/>
                <w:sz w:val="22"/>
                <w:szCs w:val="22"/>
              </w:rPr>
              <w:t>2039</w:t>
            </w:r>
          </w:p>
        </w:tc>
        <w:tc>
          <w:tcPr>
            <w:tcW w:w="1296" w:type="dxa"/>
            <w:noWrap/>
            <w:hideMark/>
          </w:tcPr>
          <w:p w14:paraId="73651354" w14:textId="2E1F8920" w:rsidR="00DF430C" w:rsidRPr="00D67BAC" w:rsidRDefault="00DF430C" w:rsidP="00DF430C">
            <w:pPr>
              <w:spacing w:line="276" w:lineRule="auto"/>
              <w:jc w:val="center"/>
              <w:rPr>
                <w:rFonts w:asciiTheme="minorHAnsi" w:hAnsiTheme="minorHAnsi" w:cstheme="minorHAnsi"/>
                <w:sz w:val="22"/>
                <w:szCs w:val="22"/>
                <w:highlight w:val="yellow"/>
              </w:rPr>
            </w:pPr>
            <w:r w:rsidRPr="00582E83">
              <w:rPr>
                <w:rFonts w:asciiTheme="minorHAnsi" w:hAnsiTheme="minorHAnsi" w:cstheme="minorHAnsi"/>
                <w:b/>
                <w:bCs/>
                <w:sz w:val="22"/>
                <w:szCs w:val="22"/>
              </w:rPr>
              <w:t>REDACTED</w:t>
            </w:r>
          </w:p>
        </w:tc>
      </w:tr>
      <w:tr w:rsidR="00DF430C" w:rsidRPr="000740C3" w14:paraId="454DD9C2" w14:textId="77777777" w:rsidTr="008919E2">
        <w:trPr>
          <w:trHeight w:val="300"/>
          <w:jc w:val="center"/>
        </w:trPr>
        <w:tc>
          <w:tcPr>
            <w:tcW w:w="960" w:type="dxa"/>
            <w:noWrap/>
            <w:hideMark/>
          </w:tcPr>
          <w:p w14:paraId="271AA202" w14:textId="77777777" w:rsidR="00DF430C" w:rsidRPr="000740C3" w:rsidRDefault="00DF430C" w:rsidP="00DF430C">
            <w:pPr>
              <w:spacing w:line="276" w:lineRule="auto"/>
              <w:jc w:val="center"/>
              <w:rPr>
                <w:rFonts w:asciiTheme="minorHAnsi" w:hAnsiTheme="minorHAnsi" w:cstheme="minorHAnsi"/>
                <w:sz w:val="22"/>
                <w:szCs w:val="22"/>
              </w:rPr>
            </w:pPr>
            <w:r w:rsidRPr="000740C3">
              <w:rPr>
                <w:rFonts w:asciiTheme="minorHAnsi" w:hAnsiTheme="minorHAnsi" w:cstheme="minorHAnsi"/>
                <w:sz w:val="22"/>
                <w:szCs w:val="22"/>
              </w:rPr>
              <w:t>2040</w:t>
            </w:r>
          </w:p>
        </w:tc>
        <w:tc>
          <w:tcPr>
            <w:tcW w:w="1296" w:type="dxa"/>
            <w:noWrap/>
            <w:hideMark/>
          </w:tcPr>
          <w:p w14:paraId="1AC6523E" w14:textId="42A2C349" w:rsidR="00DF430C" w:rsidRPr="00D67BAC" w:rsidRDefault="00DF430C" w:rsidP="00DF430C">
            <w:pPr>
              <w:spacing w:line="276" w:lineRule="auto"/>
              <w:jc w:val="center"/>
              <w:rPr>
                <w:rFonts w:asciiTheme="minorHAnsi" w:hAnsiTheme="minorHAnsi" w:cstheme="minorHAnsi"/>
                <w:sz w:val="22"/>
                <w:szCs w:val="22"/>
                <w:highlight w:val="yellow"/>
              </w:rPr>
            </w:pPr>
            <w:r w:rsidRPr="00582E83">
              <w:rPr>
                <w:rFonts w:asciiTheme="minorHAnsi" w:hAnsiTheme="minorHAnsi" w:cstheme="minorHAnsi"/>
                <w:b/>
                <w:bCs/>
                <w:sz w:val="22"/>
                <w:szCs w:val="22"/>
              </w:rPr>
              <w:t>REDACTED</w:t>
            </w:r>
          </w:p>
        </w:tc>
      </w:tr>
      <w:tr w:rsidR="00DF430C" w:rsidRPr="000740C3" w14:paraId="2333F93A" w14:textId="77777777" w:rsidTr="008919E2">
        <w:trPr>
          <w:trHeight w:val="300"/>
          <w:jc w:val="center"/>
        </w:trPr>
        <w:tc>
          <w:tcPr>
            <w:tcW w:w="960" w:type="dxa"/>
            <w:noWrap/>
            <w:hideMark/>
          </w:tcPr>
          <w:p w14:paraId="56A7BB05" w14:textId="77777777" w:rsidR="00DF430C" w:rsidRPr="000740C3" w:rsidRDefault="00DF430C" w:rsidP="00DF430C">
            <w:pPr>
              <w:spacing w:line="276" w:lineRule="auto"/>
              <w:jc w:val="center"/>
              <w:rPr>
                <w:rFonts w:asciiTheme="minorHAnsi" w:hAnsiTheme="minorHAnsi" w:cstheme="minorHAnsi"/>
                <w:sz w:val="22"/>
                <w:szCs w:val="22"/>
              </w:rPr>
            </w:pPr>
            <w:r w:rsidRPr="000740C3">
              <w:rPr>
                <w:rFonts w:asciiTheme="minorHAnsi" w:hAnsiTheme="minorHAnsi" w:cstheme="minorHAnsi"/>
                <w:sz w:val="22"/>
                <w:szCs w:val="22"/>
              </w:rPr>
              <w:t>2041</w:t>
            </w:r>
          </w:p>
        </w:tc>
        <w:tc>
          <w:tcPr>
            <w:tcW w:w="1296" w:type="dxa"/>
            <w:noWrap/>
            <w:hideMark/>
          </w:tcPr>
          <w:p w14:paraId="5A9863A8" w14:textId="72ED5E8F" w:rsidR="00DF430C" w:rsidRPr="00D67BAC" w:rsidRDefault="00DF430C" w:rsidP="00DF430C">
            <w:pPr>
              <w:spacing w:line="276" w:lineRule="auto"/>
              <w:jc w:val="center"/>
              <w:rPr>
                <w:rFonts w:asciiTheme="minorHAnsi" w:hAnsiTheme="minorHAnsi" w:cstheme="minorHAnsi"/>
                <w:sz w:val="22"/>
                <w:szCs w:val="22"/>
                <w:highlight w:val="yellow"/>
              </w:rPr>
            </w:pPr>
            <w:r w:rsidRPr="00582E83">
              <w:rPr>
                <w:rFonts w:asciiTheme="minorHAnsi" w:hAnsiTheme="minorHAnsi" w:cstheme="minorHAnsi"/>
                <w:b/>
                <w:bCs/>
                <w:sz w:val="22"/>
                <w:szCs w:val="22"/>
              </w:rPr>
              <w:t>REDACTED</w:t>
            </w:r>
          </w:p>
        </w:tc>
      </w:tr>
      <w:tr w:rsidR="00DF430C" w:rsidRPr="000740C3" w14:paraId="41572207" w14:textId="77777777" w:rsidTr="008919E2">
        <w:trPr>
          <w:trHeight w:val="300"/>
          <w:jc w:val="center"/>
        </w:trPr>
        <w:tc>
          <w:tcPr>
            <w:tcW w:w="960" w:type="dxa"/>
            <w:noWrap/>
            <w:hideMark/>
          </w:tcPr>
          <w:p w14:paraId="1BECEDB4" w14:textId="77777777" w:rsidR="00DF430C" w:rsidRPr="000740C3" w:rsidRDefault="00DF430C" w:rsidP="00DF430C">
            <w:pPr>
              <w:spacing w:line="276" w:lineRule="auto"/>
              <w:jc w:val="center"/>
              <w:rPr>
                <w:rFonts w:asciiTheme="minorHAnsi" w:hAnsiTheme="minorHAnsi" w:cstheme="minorHAnsi"/>
                <w:sz w:val="22"/>
                <w:szCs w:val="22"/>
              </w:rPr>
            </w:pPr>
            <w:r w:rsidRPr="000740C3">
              <w:rPr>
                <w:rFonts w:asciiTheme="minorHAnsi" w:hAnsiTheme="minorHAnsi" w:cstheme="minorHAnsi"/>
                <w:sz w:val="22"/>
                <w:szCs w:val="22"/>
              </w:rPr>
              <w:t>2042</w:t>
            </w:r>
          </w:p>
        </w:tc>
        <w:tc>
          <w:tcPr>
            <w:tcW w:w="1296" w:type="dxa"/>
            <w:noWrap/>
            <w:hideMark/>
          </w:tcPr>
          <w:p w14:paraId="0AD8FC63" w14:textId="2BFE9856" w:rsidR="00DF430C" w:rsidRPr="00D67BAC" w:rsidRDefault="00DF430C" w:rsidP="00DF430C">
            <w:pPr>
              <w:spacing w:line="276" w:lineRule="auto"/>
              <w:jc w:val="center"/>
              <w:rPr>
                <w:rFonts w:asciiTheme="minorHAnsi" w:hAnsiTheme="minorHAnsi" w:cstheme="minorHAnsi"/>
                <w:sz w:val="22"/>
                <w:szCs w:val="22"/>
                <w:highlight w:val="yellow"/>
              </w:rPr>
            </w:pPr>
            <w:r w:rsidRPr="00582E83">
              <w:rPr>
                <w:rFonts w:asciiTheme="minorHAnsi" w:hAnsiTheme="minorHAnsi" w:cstheme="minorHAnsi"/>
                <w:b/>
                <w:bCs/>
                <w:sz w:val="22"/>
                <w:szCs w:val="22"/>
              </w:rPr>
              <w:t>REDACTED</w:t>
            </w:r>
          </w:p>
        </w:tc>
      </w:tr>
    </w:tbl>
    <w:p w14:paraId="529C57B2" w14:textId="77777777" w:rsidR="00600ED8" w:rsidRPr="000740C3" w:rsidRDefault="00600ED8" w:rsidP="000740C3">
      <w:pPr>
        <w:spacing w:line="276" w:lineRule="auto"/>
        <w:rPr>
          <w:rFonts w:asciiTheme="minorHAnsi" w:hAnsiTheme="minorHAnsi" w:cstheme="minorHAnsi"/>
          <w:sz w:val="22"/>
          <w:szCs w:val="22"/>
        </w:rPr>
      </w:pPr>
    </w:p>
    <w:p w14:paraId="35A22CFC" w14:textId="1690F890" w:rsidR="001F5272" w:rsidRPr="000740C3" w:rsidRDefault="00FB1350" w:rsidP="004E380A">
      <w:pPr>
        <w:pStyle w:val="Heading2"/>
        <w:spacing w:before="240" w:after="240" w:line="276" w:lineRule="auto"/>
        <w:rPr>
          <w:rFonts w:asciiTheme="minorHAnsi" w:hAnsiTheme="minorHAnsi" w:cstheme="minorHAnsi"/>
        </w:rPr>
      </w:pPr>
      <w:r w:rsidRPr="000740C3">
        <w:rPr>
          <w:rFonts w:asciiTheme="minorHAnsi" w:hAnsiTheme="minorHAnsi" w:cstheme="minorHAnsi"/>
        </w:rPr>
        <w:t xml:space="preserve">1.5.3 </w:t>
      </w:r>
      <w:r w:rsidR="005A3D9F" w:rsidRPr="000740C3">
        <w:rPr>
          <w:rFonts w:asciiTheme="minorHAnsi" w:hAnsiTheme="minorHAnsi" w:cstheme="minorHAnsi"/>
        </w:rPr>
        <w:t>TRIANGULAR DISTRIBUTION</w:t>
      </w:r>
    </w:p>
    <w:p w14:paraId="177E35E9" w14:textId="5F79B001" w:rsidR="00E1538B" w:rsidRPr="000740C3" w:rsidRDefault="00E1538B" w:rsidP="00677999">
      <w:pPr>
        <w:keepNext/>
        <w:keepLines/>
        <w:spacing w:line="276" w:lineRule="auto"/>
        <w:jc w:val="both"/>
        <w:rPr>
          <w:rFonts w:asciiTheme="minorHAnsi" w:hAnsiTheme="minorHAnsi" w:cstheme="minorHAnsi"/>
          <w:sz w:val="22"/>
          <w:szCs w:val="22"/>
        </w:rPr>
      </w:pPr>
      <w:r w:rsidRPr="000740C3">
        <w:rPr>
          <w:rFonts w:asciiTheme="minorHAnsi" w:hAnsiTheme="minorHAnsi" w:cstheme="minorHAnsi"/>
          <w:sz w:val="22"/>
          <w:szCs w:val="22"/>
        </w:rPr>
        <w:t>The triangular distribution is a continuous probability distribution with the following parameters:</w:t>
      </w:r>
    </w:p>
    <w:p w14:paraId="35D12808" w14:textId="77777777" w:rsidR="00E1538B" w:rsidRPr="000740C3" w:rsidRDefault="00E1538B" w:rsidP="00677999">
      <w:pPr>
        <w:keepNext/>
        <w:keepLines/>
        <w:spacing w:line="276" w:lineRule="auto"/>
        <w:jc w:val="both"/>
        <w:rPr>
          <w:rFonts w:asciiTheme="minorHAnsi" w:hAnsiTheme="minorHAnsi" w:cstheme="minorHAnsi"/>
          <w:sz w:val="22"/>
          <w:szCs w:val="22"/>
        </w:rPr>
      </w:pPr>
      <w:r w:rsidRPr="000740C3">
        <w:rPr>
          <w:rFonts w:asciiTheme="minorHAnsi" w:hAnsiTheme="minorHAnsi" w:cstheme="minorHAnsi"/>
          <w:sz w:val="22"/>
          <w:szCs w:val="22"/>
        </w:rPr>
        <w:tab/>
        <w:t xml:space="preserve">a: a </w:t>
      </w:r>
      <w:r w:rsidRPr="000740C3">
        <w:rPr>
          <w:rFonts w:ascii="Cambria Math" w:hAnsi="Cambria Math" w:cs="Cambria Math"/>
          <w:sz w:val="22"/>
          <w:szCs w:val="22"/>
        </w:rPr>
        <w:t>∈</w:t>
      </w:r>
      <w:r w:rsidRPr="000740C3">
        <w:rPr>
          <w:rFonts w:asciiTheme="minorHAnsi" w:hAnsiTheme="minorHAnsi" w:cstheme="minorHAnsi"/>
          <w:sz w:val="22"/>
          <w:szCs w:val="22"/>
        </w:rPr>
        <w:t xml:space="preserve"> (-∞, ∞)</w:t>
      </w:r>
      <w:r w:rsidRPr="000740C3">
        <w:rPr>
          <w:rFonts w:asciiTheme="minorHAnsi" w:hAnsiTheme="minorHAnsi" w:cstheme="minorHAnsi"/>
          <w:sz w:val="22"/>
          <w:szCs w:val="22"/>
        </w:rPr>
        <w:tab/>
      </w:r>
      <w:r w:rsidRPr="000740C3">
        <w:rPr>
          <w:rFonts w:asciiTheme="minorHAnsi" w:hAnsiTheme="minorHAnsi" w:cstheme="minorHAnsi"/>
          <w:sz w:val="22"/>
          <w:szCs w:val="22"/>
        </w:rPr>
        <w:tab/>
      </w:r>
    </w:p>
    <w:p w14:paraId="33F98922" w14:textId="77777777" w:rsidR="00E1538B" w:rsidRPr="000740C3" w:rsidRDefault="00E1538B" w:rsidP="00677999">
      <w:pPr>
        <w:keepNext/>
        <w:keepLines/>
        <w:spacing w:line="276" w:lineRule="auto"/>
        <w:jc w:val="both"/>
        <w:rPr>
          <w:rFonts w:asciiTheme="minorHAnsi" w:hAnsiTheme="minorHAnsi" w:cstheme="minorHAnsi"/>
          <w:sz w:val="22"/>
          <w:szCs w:val="22"/>
        </w:rPr>
      </w:pPr>
      <w:r w:rsidRPr="000740C3">
        <w:rPr>
          <w:rFonts w:asciiTheme="minorHAnsi" w:hAnsiTheme="minorHAnsi" w:cstheme="minorHAnsi"/>
          <w:sz w:val="22"/>
          <w:szCs w:val="22"/>
        </w:rPr>
        <w:tab/>
        <w:t>b: a &lt; b</w:t>
      </w:r>
    </w:p>
    <w:p w14:paraId="070EA91C" w14:textId="77777777" w:rsidR="00E1538B" w:rsidRPr="000740C3" w:rsidRDefault="00E1538B" w:rsidP="00677999">
      <w:pPr>
        <w:keepNext/>
        <w:keepLines/>
        <w:spacing w:line="276" w:lineRule="auto"/>
        <w:jc w:val="both"/>
        <w:rPr>
          <w:rFonts w:asciiTheme="minorHAnsi" w:hAnsiTheme="minorHAnsi" w:cstheme="minorHAnsi"/>
          <w:sz w:val="22"/>
          <w:szCs w:val="22"/>
        </w:rPr>
      </w:pPr>
      <w:r w:rsidRPr="000740C3">
        <w:rPr>
          <w:rFonts w:asciiTheme="minorHAnsi" w:hAnsiTheme="minorHAnsi" w:cstheme="minorHAnsi"/>
          <w:sz w:val="22"/>
          <w:szCs w:val="22"/>
        </w:rPr>
        <w:tab/>
        <w:t>c: a ≤ c ≤ b</w:t>
      </w:r>
    </w:p>
    <w:p w14:paraId="587A3CC9" w14:textId="77777777" w:rsidR="00E1538B" w:rsidRPr="000740C3" w:rsidRDefault="00E1538B" w:rsidP="00677999">
      <w:pPr>
        <w:keepNext/>
        <w:keepLines/>
        <w:spacing w:line="276" w:lineRule="auto"/>
        <w:jc w:val="both"/>
        <w:rPr>
          <w:rFonts w:asciiTheme="minorHAnsi" w:hAnsiTheme="minorHAnsi" w:cstheme="minorHAnsi"/>
          <w:sz w:val="22"/>
          <w:szCs w:val="22"/>
        </w:rPr>
      </w:pPr>
    </w:p>
    <w:p w14:paraId="647ACBE6" w14:textId="5FA4CFCC" w:rsidR="00E1538B" w:rsidRPr="000740C3" w:rsidRDefault="00F673E2" w:rsidP="065F3784">
      <w:pPr>
        <w:keepNext/>
        <w:keepLines/>
        <w:spacing w:line="276" w:lineRule="auto"/>
        <w:jc w:val="both"/>
        <w:rPr>
          <w:rFonts w:asciiTheme="minorHAnsi" w:hAnsiTheme="minorHAnsi"/>
          <w:sz w:val="22"/>
          <w:szCs w:val="22"/>
        </w:rPr>
      </w:pPr>
      <w:r w:rsidRPr="065F3784">
        <w:rPr>
          <w:rFonts w:asciiTheme="minorHAnsi" w:hAnsiTheme="minorHAnsi"/>
          <w:sz w:val="22"/>
          <w:szCs w:val="22"/>
        </w:rPr>
        <w:t>In the case of</w:t>
      </w:r>
      <w:r w:rsidR="00E1538B" w:rsidRPr="065F3784">
        <w:rPr>
          <w:rFonts w:asciiTheme="minorHAnsi" w:hAnsiTheme="minorHAnsi"/>
          <w:sz w:val="22"/>
          <w:szCs w:val="22"/>
        </w:rPr>
        <w:t xml:space="preserve"> </w:t>
      </w:r>
      <w:r w:rsidR="00037731" w:rsidRPr="065F3784">
        <w:rPr>
          <w:rFonts w:asciiTheme="minorHAnsi" w:hAnsiTheme="minorHAnsi"/>
          <w:sz w:val="22"/>
          <w:szCs w:val="22"/>
        </w:rPr>
        <w:t>metered versus announced</w:t>
      </w:r>
      <w:r w:rsidR="00E1538B" w:rsidRPr="065F3784">
        <w:rPr>
          <w:rFonts w:asciiTheme="minorHAnsi" w:hAnsiTheme="minorHAnsi"/>
          <w:sz w:val="22"/>
          <w:szCs w:val="22"/>
        </w:rPr>
        <w:t xml:space="preserve"> </w:t>
      </w:r>
      <w:r w:rsidR="006A3E9C" w:rsidRPr="065F3784">
        <w:rPr>
          <w:rFonts w:asciiTheme="minorHAnsi" w:hAnsiTheme="minorHAnsi"/>
          <w:sz w:val="22"/>
          <w:szCs w:val="22"/>
        </w:rPr>
        <w:t>uncertainty,</w:t>
      </w:r>
      <w:r w:rsidR="00E1538B" w:rsidRPr="065F3784">
        <w:rPr>
          <w:rFonts w:asciiTheme="minorHAnsi" w:hAnsiTheme="minorHAnsi"/>
          <w:sz w:val="22"/>
          <w:szCs w:val="22"/>
        </w:rPr>
        <w:t xml:space="preserve"> </w:t>
      </w:r>
      <w:r w:rsidR="00E1538B" w:rsidRPr="065F3784">
        <w:rPr>
          <w:rFonts w:asciiTheme="minorHAnsi" w:hAnsiTheme="minorHAnsi"/>
          <w:i/>
          <w:iCs/>
          <w:sz w:val="22"/>
          <w:szCs w:val="22"/>
        </w:rPr>
        <w:t>a</w:t>
      </w:r>
      <w:r w:rsidR="00E1538B" w:rsidRPr="065F3784">
        <w:rPr>
          <w:rFonts w:asciiTheme="minorHAnsi" w:hAnsiTheme="minorHAnsi"/>
          <w:sz w:val="22"/>
          <w:szCs w:val="22"/>
        </w:rPr>
        <w:t xml:space="preserve"> represents the minimum </w:t>
      </w:r>
      <w:r w:rsidR="006A3E9C" w:rsidRPr="065F3784">
        <w:rPr>
          <w:rFonts w:asciiTheme="minorHAnsi" w:hAnsiTheme="minorHAnsi"/>
          <w:sz w:val="22"/>
          <w:szCs w:val="22"/>
        </w:rPr>
        <w:t>metered</w:t>
      </w:r>
      <w:r w:rsidR="00E1538B" w:rsidRPr="065F3784">
        <w:rPr>
          <w:rFonts w:asciiTheme="minorHAnsi" w:hAnsiTheme="minorHAnsi"/>
          <w:sz w:val="22"/>
          <w:szCs w:val="22"/>
        </w:rPr>
        <w:t xml:space="preserve">/announced ratio, </w:t>
      </w:r>
      <w:r w:rsidR="00E1538B" w:rsidRPr="065F3784">
        <w:rPr>
          <w:rFonts w:asciiTheme="minorHAnsi" w:hAnsiTheme="minorHAnsi"/>
          <w:i/>
          <w:iCs/>
          <w:sz w:val="22"/>
          <w:szCs w:val="22"/>
        </w:rPr>
        <w:t>b</w:t>
      </w:r>
      <w:r w:rsidR="00E1538B" w:rsidRPr="065F3784">
        <w:rPr>
          <w:rFonts w:asciiTheme="minorHAnsi" w:hAnsiTheme="minorHAnsi"/>
          <w:sz w:val="22"/>
          <w:szCs w:val="22"/>
        </w:rPr>
        <w:t xml:space="preserve"> represents maximum </w:t>
      </w:r>
      <w:r w:rsidR="006A3E9C" w:rsidRPr="065F3784">
        <w:rPr>
          <w:rFonts w:asciiTheme="minorHAnsi" w:hAnsiTheme="minorHAnsi"/>
          <w:sz w:val="22"/>
          <w:szCs w:val="22"/>
        </w:rPr>
        <w:t>metered</w:t>
      </w:r>
      <w:r w:rsidR="00E1538B" w:rsidRPr="065F3784">
        <w:rPr>
          <w:rFonts w:asciiTheme="minorHAnsi" w:hAnsiTheme="minorHAnsi"/>
          <w:sz w:val="22"/>
          <w:szCs w:val="22"/>
        </w:rPr>
        <w:t xml:space="preserve">/announced ratio and </w:t>
      </w:r>
      <w:r w:rsidR="00E1538B" w:rsidRPr="065F3784">
        <w:rPr>
          <w:rFonts w:asciiTheme="minorHAnsi" w:hAnsiTheme="minorHAnsi"/>
          <w:i/>
          <w:iCs/>
          <w:sz w:val="22"/>
          <w:szCs w:val="22"/>
        </w:rPr>
        <w:t>c</w:t>
      </w:r>
      <w:r w:rsidR="00E1538B" w:rsidRPr="065F3784">
        <w:rPr>
          <w:rFonts w:asciiTheme="minorHAnsi" w:hAnsiTheme="minorHAnsi"/>
          <w:sz w:val="22"/>
          <w:szCs w:val="22"/>
        </w:rPr>
        <w:t xml:space="preserve"> represents the most likely </w:t>
      </w:r>
      <w:r w:rsidR="006A3E9C" w:rsidRPr="065F3784">
        <w:rPr>
          <w:rFonts w:asciiTheme="minorHAnsi" w:hAnsiTheme="minorHAnsi"/>
          <w:sz w:val="22"/>
          <w:szCs w:val="22"/>
        </w:rPr>
        <w:t>metered</w:t>
      </w:r>
      <w:r w:rsidR="00E1538B" w:rsidRPr="065F3784">
        <w:rPr>
          <w:rFonts w:asciiTheme="minorHAnsi" w:hAnsiTheme="minorHAnsi"/>
          <w:sz w:val="22"/>
          <w:szCs w:val="22"/>
        </w:rPr>
        <w:t xml:space="preserve">/announced ratio. </w:t>
      </w:r>
    </w:p>
    <w:p w14:paraId="55ED3170" w14:textId="77777777" w:rsidR="00E1538B" w:rsidRPr="000740C3" w:rsidRDefault="00E1538B" w:rsidP="000740C3">
      <w:pPr>
        <w:spacing w:line="276" w:lineRule="auto"/>
        <w:jc w:val="both"/>
        <w:rPr>
          <w:rFonts w:asciiTheme="minorHAnsi" w:hAnsiTheme="minorHAnsi" w:cstheme="minorHAnsi"/>
        </w:rPr>
      </w:pPr>
    </w:p>
    <w:p w14:paraId="078E6B56" w14:textId="3787BD2A" w:rsidR="00E1538B" w:rsidRDefault="00E1538B" w:rsidP="000740C3">
      <w:pPr>
        <w:keepNext/>
        <w:keepLines/>
        <w:spacing w:after="240" w:line="276" w:lineRule="auto"/>
        <w:jc w:val="center"/>
        <w:rPr>
          <w:rFonts w:asciiTheme="minorHAnsi" w:hAnsiTheme="minorHAnsi" w:cstheme="minorHAnsi"/>
          <w:b/>
        </w:rPr>
      </w:pPr>
      <w:r w:rsidRPr="006D4D73">
        <w:rPr>
          <w:rFonts w:asciiTheme="minorHAnsi" w:hAnsiTheme="minorHAnsi" w:cstheme="minorHAnsi"/>
          <w:b/>
        </w:rPr>
        <w:lastRenderedPageBreak/>
        <w:t xml:space="preserve">Figure </w:t>
      </w:r>
      <w:r w:rsidR="003C6002" w:rsidRPr="006D4D73">
        <w:rPr>
          <w:rFonts w:asciiTheme="minorHAnsi" w:hAnsiTheme="minorHAnsi" w:cstheme="minorHAnsi"/>
          <w:b/>
        </w:rPr>
        <w:t>1.5.3</w:t>
      </w:r>
      <w:r w:rsidR="00810132" w:rsidRPr="006D4D73">
        <w:rPr>
          <w:rFonts w:asciiTheme="minorHAnsi" w:hAnsiTheme="minorHAnsi" w:cstheme="minorHAnsi"/>
          <w:b/>
        </w:rPr>
        <w:t>-1</w:t>
      </w:r>
      <w:r w:rsidRPr="006D4D73">
        <w:rPr>
          <w:rFonts w:asciiTheme="minorHAnsi" w:hAnsiTheme="minorHAnsi" w:cstheme="minorHAnsi"/>
          <w:b/>
        </w:rPr>
        <w:t>: Probability Density Function for a Triangular Distribution</w:t>
      </w:r>
    </w:p>
    <w:p w14:paraId="568C0C93" w14:textId="721477A8" w:rsidR="00EA157E" w:rsidRPr="000740C3" w:rsidRDefault="006D4D73" w:rsidP="00EA157E">
      <w:pPr>
        <w:keepNext/>
        <w:keepLines/>
        <w:spacing w:before="240" w:after="240" w:line="276" w:lineRule="auto"/>
        <w:jc w:val="center"/>
        <w:rPr>
          <w:rFonts w:asciiTheme="minorHAnsi" w:hAnsiTheme="minorHAnsi" w:cstheme="minorHAnsi"/>
          <w:b/>
        </w:rPr>
      </w:pPr>
      <w:r>
        <w:rPr>
          <w:rFonts w:asciiTheme="minorHAnsi" w:hAnsiTheme="minorHAnsi" w:cstheme="minorHAnsi"/>
          <w:b/>
          <w:noProof/>
        </w:rPr>
        <mc:AlternateContent>
          <mc:Choice Requires="wps">
            <w:drawing>
              <wp:inline distT="0" distB="0" distL="0" distR="0" wp14:anchorId="063C6553" wp14:editId="0474A194">
                <wp:extent cx="2727298" cy="1504950"/>
                <wp:effectExtent l="0" t="0" r="16510" b="19050"/>
                <wp:docPr id="1989323920" name="Rectangle 1989323920"/>
                <wp:cNvGraphicFramePr/>
                <a:graphic xmlns:a="http://schemas.openxmlformats.org/drawingml/2006/main">
                  <a:graphicData uri="http://schemas.microsoft.com/office/word/2010/wordprocessingShape">
                    <wps:wsp>
                      <wps:cNvSpPr/>
                      <wps:spPr>
                        <a:xfrm>
                          <a:off x="0" y="0"/>
                          <a:ext cx="2727298" cy="1504950"/>
                        </a:xfrm>
                        <a:prstGeom prst="rect">
                          <a:avLst/>
                        </a:prstGeom>
                        <a:ln/>
                      </wps:spPr>
                      <wps:style>
                        <a:lnRef idx="2">
                          <a:schemeClr val="dk1"/>
                        </a:lnRef>
                        <a:fillRef idx="1">
                          <a:schemeClr val="lt1"/>
                        </a:fillRef>
                        <a:effectRef idx="0">
                          <a:schemeClr val="dk1"/>
                        </a:effectRef>
                        <a:fontRef idx="minor">
                          <a:schemeClr val="dk1"/>
                        </a:fontRef>
                      </wps:style>
                      <wps:txbx>
                        <w:txbxContent>
                          <w:p w14:paraId="00DEB532" w14:textId="77777777" w:rsidR="00BC0F1D" w:rsidRPr="00BC0F1D" w:rsidRDefault="00BC0F1D" w:rsidP="00BC0F1D">
                            <w:pPr>
                              <w:jc w:val="center"/>
                              <w:rPr>
                                <w:rFonts w:asciiTheme="minorHAnsi" w:hAnsiTheme="minorHAnsi" w:cstheme="minorHAnsi"/>
                                <w:b/>
                                <w:bCs/>
                              </w:rPr>
                            </w:pPr>
                            <w:r w:rsidRPr="00BC0F1D">
                              <w:rPr>
                                <w:rFonts w:asciiTheme="minorHAnsi" w:hAnsiTheme="minorHAnsi" w:cstheme="minorHAnsi"/>
                                <w:b/>
                                <w:bCs/>
                              </w:rPr>
                              <w:t>REDACTED</w:t>
                            </w:r>
                          </w:p>
                          <w:p w14:paraId="5C9AA898" w14:textId="0364339D" w:rsidR="00BC0F1D" w:rsidRPr="006756F8" w:rsidRDefault="00BC0F1D" w:rsidP="00BC0F1D">
                            <w:pPr>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63C6553" id="Rectangle 1989323920" o:spid="_x0000_s1026" style="width:214.75pt;height:11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" fillcolor="white [3201]" strokecolor="black [3200]" strokeweight="1pt">
                <v:textbox>
                  <w:txbxContent>
                    <w:p w14:paraId="00DEB532" w14:textId="77777777" w:rsidR="00BC0F1D" w:rsidRPr="00BC0F1D" w:rsidRDefault="00BC0F1D" w:rsidP="00BC0F1D">
                      <w:pPr>
                        <w:jc w:val="center"/>
                        <w:rPr>
                          <w:rFonts w:asciiTheme="minorHAnsi" w:hAnsiTheme="minorHAnsi" w:cstheme="minorHAnsi"/>
                          <w:b/>
                          <w:bCs/>
                        </w:rPr>
                      </w:pPr>
                      <w:r w:rsidRPr="00BC0F1D">
                        <w:rPr>
                          <w:rFonts w:asciiTheme="minorHAnsi" w:hAnsiTheme="minorHAnsi" w:cstheme="minorHAnsi"/>
                          <w:b/>
                          <w:bCs/>
                        </w:rPr>
                        <w:t>REDACTED</w:t>
                      </w:r>
                    </w:p>
                    <w:p w14:paraId="5C9AA898" w14:textId="0364339D" w:rsidR="00BC0F1D" w:rsidRPr="006756F8" w:rsidRDefault="00BC0F1D" w:rsidP="00BC0F1D">
                      <w:pPr>
                        <w:rPr>
                          <w:b/>
                          <w:bCs/>
                        </w:rPr>
                      </w:pPr>
                    </w:p>
                  </w:txbxContent>
                </v:textbox>
                <w10:anchorlock/>
              </v:rect>
            </w:pict>
          </mc:Fallback>
        </mc:AlternateContent>
      </w:r>
    </w:p>
    <w:p w14:paraId="03B07020" w14:textId="589CF449" w:rsidR="00E1538B" w:rsidRPr="00B20D17" w:rsidRDefault="00E1538B" w:rsidP="000740C3">
      <w:pPr>
        <w:spacing w:line="276" w:lineRule="auto"/>
        <w:jc w:val="both"/>
        <w:rPr>
          <w:rFonts w:asciiTheme="minorHAnsi" w:hAnsiTheme="minorHAnsi" w:cstheme="minorHAnsi"/>
        </w:rPr>
      </w:pPr>
    </w:p>
    <w:p w14:paraId="22CA201E" w14:textId="6D70BA3D" w:rsidR="00E1538B" w:rsidRPr="006D4D73" w:rsidRDefault="00E1538B" w:rsidP="000740C3">
      <w:pPr>
        <w:keepNext/>
        <w:spacing w:line="276" w:lineRule="auto"/>
        <w:jc w:val="center"/>
        <w:rPr>
          <w:rFonts w:asciiTheme="minorHAnsi" w:hAnsiTheme="minorHAnsi" w:cstheme="minorHAnsi"/>
          <w:b/>
        </w:rPr>
      </w:pPr>
      <w:r w:rsidRPr="006D4D73">
        <w:rPr>
          <w:rFonts w:asciiTheme="minorHAnsi" w:hAnsiTheme="minorHAnsi" w:cstheme="minorHAnsi"/>
          <w:b/>
        </w:rPr>
        <w:t xml:space="preserve">Figure </w:t>
      </w:r>
      <w:r w:rsidR="00810132" w:rsidRPr="006D4D73">
        <w:rPr>
          <w:rFonts w:asciiTheme="minorHAnsi" w:hAnsiTheme="minorHAnsi" w:cstheme="minorHAnsi"/>
          <w:b/>
        </w:rPr>
        <w:t>1</w:t>
      </w:r>
      <w:r w:rsidR="00E152C4" w:rsidRPr="006D4D73">
        <w:rPr>
          <w:rFonts w:asciiTheme="minorHAnsi" w:hAnsiTheme="minorHAnsi" w:cstheme="minorHAnsi"/>
          <w:b/>
        </w:rPr>
        <w:t>.5.3-2</w:t>
      </w:r>
      <w:r w:rsidRPr="006D4D73">
        <w:rPr>
          <w:rFonts w:asciiTheme="minorHAnsi" w:hAnsiTheme="minorHAnsi" w:cstheme="minorHAnsi"/>
          <w:b/>
        </w:rPr>
        <w:t xml:space="preserve">: Probability Density Function of Triangular Distribution with </w:t>
      </w:r>
    </w:p>
    <w:p w14:paraId="3F3EE3FC" w14:textId="104FB793" w:rsidR="00E1538B" w:rsidRPr="000740C3" w:rsidRDefault="0094713E" w:rsidP="000740C3">
      <w:pPr>
        <w:keepNext/>
        <w:spacing w:after="240" w:line="276" w:lineRule="auto"/>
        <w:jc w:val="center"/>
        <w:rPr>
          <w:rFonts w:asciiTheme="minorHAnsi" w:hAnsiTheme="minorHAnsi" w:cstheme="minorHAnsi"/>
          <w:b/>
        </w:rPr>
      </w:pPr>
      <w:r w:rsidRPr="006D4D73">
        <w:rPr>
          <w:rFonts w:asciiTheme="minorHAnsi" w:hAnsiTheme="minorHAnsi" w:cstheme="minorHAnsi"/>
          <w:b/>
        </w:rPr>
        <w:t>a</w:t>
      </w:r>
      <w:r w:rsidR="00E1538B" w:rsidRPr="006D4D73">
        <w:rPr>
          <w:rFonts w:asciiTheme="minorHAnsi" w:hAnsiTheme="minorHAnsi" w:cstheme="minorHAnsi"/>
          <w:b/>
        </w:rPr>
        <w:t xml:space="preserve">= </w:t>
      </w:r>
      <w:r w:rsidR="0067581F">
        <w:rPr>
          <w:rFonts w:asciiTheme="minorHAnsi" w:hAnsiTheme="minorHAnsi" w:cstheme="minorHAnsi"/>
          <w:b/>
        </w:rPr>
        <w:t>REDACTED</w:t>
      </w:r>
      <w:r w:rsidR="00E053F2">
        <w:rPr>
          <w:rFonts w:asciiTheme="minorHAnsi" w:hAnsiTheme="minorHAnsi" w:cstheme="minorHAnsi"/>
          <w:b/>
        </w:rPr>
        <w:t>%</w:t>
      </w:r>
      <w:r w:rsidR="00E1538B" w:rsidRPr="006D4D73">
        <w:rPr>
          <w:rFonts w:asciiTheme="minorHAnsi" w:hAnsiTheme="minorHAnsi" w:cstheme="minorHAnsi"/>
          <w:b/>
        </w:rPr>
        <w:t xml:space="preserve">, </w:t>
      </w:r>
      <w:r w:rsidRPr="006D4D73">
        <w:rPr>
          <w:rFonts w:asciiTheme="minorHAnsi" w:hAnsiTheme="minorHAnsi" w:cstheme="minorHAnsi"/>
          <w:b/>
        </w:rPr>
        <w:t>c</w:t>
      </w:r>
      <w:r w:rsidR="00E1538B" w:rsidRPr="006D4D73">
        <w:rPr>
          <w:rFonts w:asciiTheme="minorHAnsi" w:hAnsiTheme="minorHAnsi" w:cstheme="minorHAnsi"/>
          <w:b/>
        </w:rPr>
        <w:t>=</w:t>
      </w:r>
      <w:r w:rsidR="0067581F">
        <w:rPr>
          <w:rFonts w:asciiTheme="minorHAnsi" w:hAnsiTheme="minorHAnsi" w:cstheme="minorHAnsi"/>
          <w:b/>
        </w:rPr>
        <w:t>REDACTED</w:t>
      </w:r>
      <w:r w:rsidR="00E053F2">
        <w:rPr>
          <w:rFonts w:asciiTheme="minorHAnsi" w:hAnsiTheme="minorHAnsi" w:cstheme="minorHAnsi"/>
          <w:b/>
        </w:rPr>
        <w:t>%</w:t>
      </w:r>
      <w:r w:rsidR="00E1538B" w:rsidRPr="006D4D73">
        <w:rPr>
          <w:rFonts w:asciiTheme="minorHAnsi" w:hAnsiTheme="minorHAnsi" w:cstheme="minorHAnsi"/>
          <w:b/>
        </w:rPr>
        <w:t xml:space="preserve"> and </w:t>
      </w:r>
      <w:r w:rsidRPr="006D4D73">
        <w:rPr>
          <w:rFonts w:asciiTheme="minorHAnsi" w:hAnsiTheme="minorHAnsi" w:cstheme="minorHAnsi"/>
          <w:b/>
        </w:rPr>
        <w:t>b</w:t>
      </w:r>
      <w:r w:rsidR="00E1538B" w:rsidRPr="006D4D73">
        <w:rPr>
          <w:rFonts w:asciiTheme="minorHAnsi" w:hAnsiTheme="minorHAnsi" w:cstheme="minorHAnsi"/>
          <w:b/>
        </w:rPr>
        <w:t>=</w:t>
      </w:r>
      <w:r w:rsidR="007E20DA">
        <w:rPr>
          <w:rFonts w:asciiTheme="minorHAnsi" w:hAnsiTheme="minorHAnsi" w:cstheme="minorHAnsi"/>
          <w:b/>
        </w:rPr>
        <w:t>REDACTED</w:t>
      </w:r>
      <w:r w:rsidR="00E1538B" w:rsidRPr="006D4D73">
        <w:rPr>
          <w:rFonts w:asciiTheme="minorHAnsi" w:hAnsiTheme="minorHAnsi" w:cstheme="minorHAnsi"/>
          <w:b/>
        </w:rPr>
        <w:t>%</w:t>
      </w:r>
    </w:p>
    <w:p w14:paraId="6ABD0027" w14:textId="42215ECC" w:rsidR="00E1538B" w:rsidRPr="00B20D17" w:rsidRDefault="006D4D73" w:rsidP="000740C3">
      <w:pPr>
        <w:keepNext/>
        <w:spacing w:line="276" w:lineRule="auto"/>
        <w:jc w:val="center"/>
        <w:rPr>
          <w:rFonts w:asciiTheme="minorHAnsi" w:hAnsiTheme="minorHAnsi" w:cstheme="minorHAnsi"/>
        </w:rPr>
      </w:pPr>
      <w:r>
        <w:rPr>
          <w:rFonts w:asciiTheme="minorHAnsi" w:hAnsiTheme="minorHAnsi" w:cstheme="minorHAnsi"/>
          <w:b/>
          <w:noProof/>
        </w:rPr>
        <mc:AlternateContent>
          <mc:Choice Requires="wps">
            <w:drawing>
              <wp:inline distT="0" distB="0" distL="0" distR="0" wp14:anchorId="63F62565" wp14:editId="2CB02744">
                <wp:extent cx="3566160" cy="2468880"/>
                <wp:effectExtent l="0" t="0" r="15240" b="26670"/>
                <wp:docPr id="1777045768" name="Rectangle 1777045768"/>
                <wp:cNvGraphicFramePr/>
                <a:graphic xmlns:a="http://schemas.openxmlformats.org/drawingml/2006/main">
                  <a:graphicData uri="http://schemas.microsoft.com/office/word/2010/wordprocessingShape">
                    <wps:wsp>
                      <wps:cNvSpPr/>
                      <wps:spPr>
                        <a:xfrm>
                          <a:off x="0" y="0"/>
                          <a:ext cx="3566160" cy="2468880"/>
                        </a:xfrm>
                        <a:prstGeom prst="rect">
                          <a:avLst/>
                        </a:prstGeom>
                        <a:ln/>
                      </wps:spPr>
                      <wps:style>
                        <a:lnRef idx="2">
                          <a:schemeClr val="dk1"/>
                        </a:lnRef>
                        <a:fillRef idx="1">
                          <a:schemeClr val="lt1"/>
                        </a:fillRef>
                        <a:effectRef idx="0">
                          <a:schemeClr val="dk1"/>
                        </a:effectRef>
                        <a:fontRef idx="minor">
                          <a:schemeClr val="dk1"/>
                        </a:fontRef>
                      </wps:style>
                      <wps:txbx>
                        <w:txbxContent>
                          <w:p w14:paraId="6C353416" w14:textId="02EF37A2" w:rsidR="006D4D73" w:rsidRPr="00DE19C5" w:rsidRDefault="00BC0F1D" w:rsidP="00DE19C5">
                            <w:pPr>
                              <w:jc w:val="center"/>
                              <w:rPr>
                                <w:rFonts w:asciiTheme="minorHAnsi" w:hAnsiTheme="minorHAnsi" w:cstheme="minorHAnsi"/>
                                <w:b/>
                                <w:bCs/>
                              </w:rPr>
                            </w:pPr>
                            <w:r w:rsidRPr="00BC0F1D">
                              <w:rPr>
                                <w:rFonts w:asciiTheme="minorHAnsi" w:hAnsiTheme="minorHAnsi" w:cstheme="minorHAnsi"/>
                                <w:b/>
                                <w:bCs/>
                              </w:rPr>
                              <w:t>REDACTED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3F62565" id="Rectangle 1777045768" o:spid="_x0000_s1027" style="width:280.8pt;height:194.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" fillcolor="white [3201]" strokecolor="black [3200]" strokeweight="1pt">
                <v:textbox>
                  <w:txbxContent>
                    <w:p w14:paraId="6C353416" w14:textId="02EF37A2" w:rsidR="006D4D73" w:rsidRPr="00DE19C5" w:rsidRDefault="00BC0F1D" w:rsidP="00DE19C5">
                      <w:pPr>
                        <w:jc w:val="center"/>
                        <w:rPr>
                          <w:rFonts w:asciiTheme="minorHAnsi" w:hAnsiTheme="minorHAnsi" w:cstheme="minorHAnsi"/>
                          <w:b/>
                          <w:bCs/>
                        </w:rPr>
                      </w:pPr>
                      <w:r w:rsidRPr="00BC0F1D">
                        <w:rPr>
                          <w:rFonts w:asciiTheme="minorHAnsi" w:hAnsiTheme="minorHAnsi" w:cstheme="minorHAnsi"/>
                          <w:b/>
                          <w:bCs/>
                        </w:rPr>
                        <w:t>REDACTED</w:t>
                      </w:r>
                    </w:p>
                  </w:txbxContent>
                </v:textbox>
                <w10:anchorlock/>
              </v:rect>
            </w:pict>
          </mc:Fallback>
        </mc:AlternateContent>
      </w:r>
    </w:p>
    <w:p w14:paraId="6FBBCE8D" w14:textId="77777777" w:rsidR="00E1538B" w:rsidRPr="00B20D17" w:rsidRDefault="00E1538B" w:rsidP="000740C3">
      <w:pPr>
        <w:spacing w:line="276" w:lineRule="auto"/>
        <w:jc w:val="both"/>
        <w:rPr>
          <w:rFonts w:asciiTheme="minorHAnsi" w:hAnsiTheme="minorHAnsi" w:cstheme="minorHAnsi"/>
        </w:rPr>
      </w:pPr>
      <w:r w:rsidRPr="00B20D17">
        <w:rPr>
          <w:rFonts w:asciiTheme="minorHAnsi" w:hAnsiTheme="minorHAnsi" w:cstheme="minorHAnsi"/>
        </w:rPr>
        <w:t xml:space="preserve"> </w:t>
      </w:r>
    </w:p>
    <w:p w14:paraId="12EFF721" w14:textId="77777777" w:rsidR="00E1538B" w:rsidRPr="000740C3" w:rsidRDefault="00E1538B" w:rsidP="00E246DE">
      <w:pPr>
        <w:keepNext/>
        <w:spacing w:after="240" w:line="276" w:lineRule="auto"/>
        <w:jc w:val="both"/>
        <w:rPr>
          <w:rFonts w:asciiTheme="minorHAnsi" w:hAnsiTheme="minorHAnsi" w:cstheme="minorHAnsi"/>
          <w:sz w:val="22"/>
          <w:szCs w:val="22"/>
        </w:rPr>
      </w:pPr>
      <w:r w:rsidRPr="000740C3">
        <w:rPr>
          <w:rFonts w:asciiTheme="minorHAnsi" w:hAnsiTheme="minorHAnsi" w:cstheme="minorHAnsi"/>
          <w:sz w:val="22"/>
          <w:szCs w:val="22"/>
        </w:rPr>
        <w:t xml:space="preserve">Triangular distributions are chosen for this model for the following reasons: </w:t>
      </w:r>
    </w:p>
    <w:p w14:paraId="1AE862DD" w14:textId="45E0EED6" w:rsidR="00E1538B" w:rsidRPr="000740C3" w:rsidRDefault="00F06888" w:rsidP="00F05AD2">
      <w:pPr>
        <w:pStyle w:val="ListParagraph"/>
        <w:keepNext/>
        <w:numPr>
          <w:ilvl w:val="0"/>
          <w:numId w:val="21"/>
        </w:numPr>
        <w:spacing w:line="276" w:lineRule="auto"/>
        <w:jc w:val="both"/>
        <w:rPr>
          <w:rFonts w:asciiTheme="minorHAnsi" w:hAnsiTheme="minorHAnsi" w:cstheme="minorHAnsi"/>
          <w:sz w:val="22"/>
          <w:szCs w:val="22"/>
        </w:rPr>
      </w:pPr>
      <w:r w:rsidRPr="000740C3">
        <w:rPr>
          <w:rFonts w:asciiTheme="minorHAnsi" w:hAnsiTheme="minorHAnsi" w:cstheme="minorHAnsi"/>
          <w:sz w:val="22"/>
          <w:szCs w:val="22"/>
        </w:rPr>
        <w:t xml:space="preserve">A </w:t>
      </w:r>
      <w:r w:rsidR="0074237C" w:rsidRPr="000740C3">
        <w:rPr>
          <w:rFonts w:asciiTheme="minorHAnsi" w:hAnsiTheme="minorHAnsi" w:cstheme="minorHAnsi"/>
          <w:sz w:val="22"/>
          <w:szCs w:val="22"/>
        </w:rPr>
        <w:t>t</w:t>
      </w:r>
      <w:r w:rsidR="00E1538B" w:rsidRPr="000740C3">
        <w:rPr>
          <w:rFonts w:asciiTheme="minorHAnsi" w:hAnsiTheme="minorHAnsi" w:cstheme="minorHAnsi"/>
          <w:sz w:val="22"/>
          <w:szCs w:val="22"/>
        </w:rPr>
        <w:t xml:space="preserve">riangular distribution has a finite range while other commonly used probability distributions such as </w:t>
      </w:r>
      <w:r w:rsidR="008A3A5A">
        <w:rPr>
          <w:rFonts w:asciiTheme="minorHAnsi" w:hAnsiTheme="minorHAnsi" w:cstheme="minorHAnsi"/>
          <w:sz w:val="22"/>
          <w:szCs w:val="22"/>
        </w:rPr>
        <w:t>n</w:t>
      </w:r>
      <w:r w:rsidR="00E1538B" w:rsidRPr="000740C3">
        <w:rPr>
          <w:rFonts w:asciiTheme="minorHAnsi" w:hAnsiTheme="minorHAnsi" w:cstheme="minorHAnsi"/>
          <w:sz w:val="22"/>
          <w:szCs w:val="22"/>
        </w:rPr>
        <w:t xml:space="preserve">ormal and </w:t>
      </w:r>
      <w:r w:rsidR="00232631">
        <w:rPr>
          <w:rFonts w:asciiTheme="minorHAnsi" w:hAnsiTheme="minorHAnsi" w:cstheme="minorHAnsi"/>
          <w:sz w:val="22"/>
          <w:szCs w:val="22"/>
        </w:rPr>
        <w:t>l</w:t>
      </w:r>
      <w:r w:rsidR="00E1538B" w:rsidRPr="000740C3">
        <w:rPr>
          <w:rFonts w:asciiTheme="minorHAnsi" w:hAnsiTheme="minorHAnsi" w:cstheme="minorHAnsi"/>
          <w:sz w:val="22"/>
          <w:szCs w:val="22"/>
        </w:rPr>
        <w:t>ognormal distributions have an infinite range and can even be negative, which is inappropriate to depict the actual/announced ratio.</w:t>
      </w:r>
    </w:p>
    <w:p w14:paraId="602582C3" w14:textId="7E138441" w:rsidR="00E1538B" w:rsidRPr="000740C3" w:rsidRDefault="00E1538B" w:rsidP="000740C3">
      <w:pPr>
        <w:pStyle w:val="ListParagraph"/>
        <w:numPr>
          <w:ilvl w:val="0"/>
          <w:numId w:val="21"/>
        </w:numPr>
        <w:spacing w:line="276" w:lineRule="auto"/>
        <w:jc w:val="both"/>
        <w:rPr>
          <w:rFonts w:asciiTheme="minorHAnsi" w:hAnsiTheme="minorHAnsi" w:cstheme="minorHAnsi"/>
          <w:sz w:val="22"/>
          <w:szCs w:val="22"/>
        </w:rPr>
      </w:pPr>
      <w:r w:rsidRPr="000740C3">
        <w:rPr>
          <w:rFonts w:asciiTheme="minorHAnsi" w:hAnsiTheme="minorHAnsi" w:cstheme="minorHAnsi"/>
          <w:sz w:val="22"/>
          <w:szCs w:val="22"/>
        </w:rPr>
        <w:t>The min/max/most likely parametric setup of triangular distributions is intuitive and straightforward to interpret. In contrast, the parameters of some other commonly used distributions are somewhat opaque. For example,</w:t>
      </w:r>
      <w:r w:rsidRPr="000740C3" w:rsidDel="00520A3F">
        <w:rPr>
          <w:rFonts w:asciiTheme="minorHAnsi" w:hAnsiTheme="minorHAnsi" w:cstheme="minorHAnsi"/>
          <w:sz w:val="22"/>
          <w:szCs w:val="22"/>
        </w:rPr>
        <w:t xml:space="preserve"> </w:t>
      </w:r>
      <w:r w:rsidR="00520A3F">
        <w:rPr>
          <w:rFonts w:asciiTheme="minorHAnsi" w:hAnsiTheme="minorHAnsi" w:cstheme="minorHAnsi"/>
          <w:sz w:val="22"/>
          <w:szCs w:val="22"/>
        </w:rPr>
        <w:t>n</w:t>
      </w:r>
      <w:r w:rsidR="00520A3F" w:rsidRPr="000740C3">
        <w:rPr>
          <w:rFonts w:asciiTheme="minorHAnsi" w:hAnsiTheme="minorHAnsi" w:cstheme="minorHAnsi"/>
          <w:sz w:val="22"/>
          <w:szCs w:val="22"/>
        </w:rPr>
        <w:t>ormal</w:t>
      </w:r>
      <w:r w:rsidRPr="000740C3">
        <w:rPr>
          <w:rFonts w:asciiTheme="minorHAnsi" w:hAnsiTheme="minorHAnsi" w:cstheme="minorHAnsi"/>
          <w:sz w:val="22"/>
          <w:szCs w:val="22"/>
        </w:rPr>
        <w:t xml:space="preserve"> distributions are defined in terms of mean and standard deviation. Additional calculation is needed to translate those into the range of outcomes that are more appropriate for the context of actual vs. announced load.</w:t>
      </w:r>
    </w:p>
    <w:p w14:paraId="6C601415" w14:textId="59FCD843" w:rsidR="000F5452" w:rsidRPr="000740C3" w:rsidRDefault="00E1538B" w:rsidP="000740C3">
      <w:pPr>
        <w:pStyle w:val="ListParagraph"/>
        <w:numPr>
          <w:ilvl w:val="0"/>
          <w:numId w:val="21"/>
        </w:numPr>
        <w:spacing w:line="276" w:lineRule="auto"/>
        <w:jc w:val="both"/>
        <w:rPr>
          <w:rFonts w:asciiTheme="minorHAnsi" w:hAnsiTheme="minorHAnsi" w:cstheme="minorHAnsi"/>
          <w:sz w:val="22"/>
          <w:szCs w:val="22"/>
        </w:rPr>
      </w:pPr>
      <w:r w:rsidRPr="000740C3">
        <w:rPr>
          <w:rFonts w:asciiTheme="minorHAnsi" w:hAnsiTheme="minorHAnsi" w:cstheme="minorHAnsi"/>
          <w:sz w:val="22"/>
          <w:szCs w:val="22"/>
        </w:rPr>
        <w:t>Other than the standard min/max/most likely parametric setup, triangular distributions can also be defined by a combination of percentiles, min, max and most likely, which offers more flexibility to fine-tune the model.</w:t>
      </w:r>
    </w:p>
    <w:sectPr w:rsidR="000F5452" w:rsidRPr="000740C3" w:rsidSect="00D75DD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32943" w14:textId="77777777" w:rsidR="00F94984" w:rsidRDefault="00F94984" w:rsidP="004A3DBE">
      <w:r>
        <w:separator/>
      </w:r>
    </w:p>
  </w:endnote>
  <w:endnote w:type="continuationSeparator" w:id="0">
    <w:p w14:paraId="3657C8E4" w14:textId="77777777" w:rsidR="00F94984" w:rsidRDefault="00F94984" w:rsidP="004A3DBE">
      <w:r>
        <w:continuationSeparator/>
      </w:r>
    </w:p>
  </w:endnote>
  <w:endnote w:type="continuationNotice" w:id="1">
    <w:p w14:paraId="2541E67F" w14:textId="77777777" w:rsidR="00F94984" w:rsidRDefault="00F949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9262030"/>
      <w:docPartObj>
        <w:docPartGallery w:val="Page Numbers (Bottom of Page)"/>
        <w:docPartUnique/>
      </w:docPartObj>
    </w:sdtPr>
    <w:sdtEndPr>
      <w:rPr>
        <w:rFonts w:asciiTheme="minorHAnsi" w:hAnsiTheme="minorHAnsi" w:cstheme="minorHAnsi"/>
        <w:noProof/>
        <w:sz w:val="22"/>
        <w:szCs w:val="22"/>
      </w:rPr>
    </w:sdtEndPr>
    <w:sdtContent>
      <w:p w14:paraId="56E12307" w14:textId="07FE44B9" w:rsidR="006D60E1" w:rsidRDefault="006D60E1" w:rsidP="00B778B2">
        <w:pPr>
          <w:pStyle w:val="Footer"/>
          <w:jc w:val="right"/>
        </w:pPr>
        <w:r w:rsidRPr="00E910CE">
          <w:rPr>
            <w:rFonts w:asciiTheme="minorHAnsi" w:hAnsiTheme="minorHAnsi" w:cstheme="minorHAnsi"/>
            <w:sz w:val="22"/>
            <w:szCs w:val="22"/>
          </w:rPr>
          <w:fldChar w:fldCharType="begin"/>
        </w:r>
        <w:r w:rsidRPr="009A745C">
          <w:rPr>
            <w:rFonts w:asciiTheme="minorHAnsi" w:hAnsiTheme="minorHAnsi" w:cstheme="minorHAnsi"/>
            <w:sz w:val="22"/>
            <w:szCs w:val="22"/>
          </w:rPr>
          <w:instrText xml:space="preserve"> PAGE   \* MERGEFORMAT </w:instrText>
        </w:r>
        <w:r w:rsidRPr="00E910CE">
          <w:rPr>
            <w:rFonts w:asciiTheme="minorHAnsi" w:hAnsiTheme="minorHAnsi" w:cstheme="minorHAnsi"/>
            <w:sz w:val="22"/>
            <w:szCs w:val="22"/>
          </w:rPr>
          <w:fldChar w:fldCharType="separate"/>
        </w:r>
        <w:r w:rsidRPr="009A745C">
          <w:rPr>
            <w:rFonts w:asciiTheme="minorHAnsi" w:hAnsiTheme="minorHAnsi" w:cstheme="minorHAnsi"/>
            <w:sz w:val="22"/>
            <w:szCs w:val="22"/>
          </w:rPr>
          <w:t>2</w:t>
        </w:r>
        <w:r w:rsidRPr="00E910CE">
          <w:rPr>
            <w:rFonts w:asciiTheme="minorHAnsi"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2803A" w14:textId="77777777" w:rsidR="00F94984" w:rsidRDefault="00F94984" w:rsidP="004A3DBE">
      <w:r>
        <w:separator/>
      </w:r>
    </w:p>
  </w:footnote>
  <w:footnote w:type="continuationSeparator" w:id="0">
    <w:p w14:paraId="5BB58593" w14:textId="77777777" w:rsidR="00F94984" w:rsidRDefault="00F94984" w:rsidP="004A3DBE">
      <w:r>
        <w:continuationSeparator/>
      </w:r>
    </w:p>
  </w:footnote>
  <w:footnote w:type="continuationNotice" w:id="1">
    <w:p w14:paraId="64E3DA6D" w14:textId="77777777" w:rsidR="00F94984" w:rsidRDefault="00F949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0AECE" w14:textId="745D15AB" w:rsidR="00DF6F13" w:rsidRPr="00FB7882" w:rsidRDefault="00FB7882" w:rsidP="004D1C41">
    <w:pPr>
      <w:pStyle w:val="Header"/>
      <w:jc w:val="right"/>
      <w:rPr>
        <w:rFonts w:asciiTheme="minorHAnsi" w:hAnsiTheme="minorHAnsi" w:cstheme="minorHAnsi"/>
        <w:b/>
        <w:sz w:val="22"/>
        <w:szCs w:val="22"/>
      </w:rPr>
    </w:pPr>
    <w:r w:rsidRPr="00FB7882">
      <w:rPr>
        <w:rFonts w:asciiTheme="minorHAnsi" w:hAnsiTheme="minorHAnsi" w:cstheme="minorHAnsi"/>
        <w:b/>
        <w:bCs/>
        <w:sz w:val="22"/>
        <w:szCs w:val="22"/>
      </w:rPr>
      <w:t>PUBLIC DISCLOSURE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8AC90A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AF42BC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DABF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2ACD0C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6249F0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3D6E88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DAA788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EA4F2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374C7F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58C90A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0523DAB"/>
    <w:multiLevelType w:val="hybridMultilevel"/>
    <w:tmpl w:val="BFBAEFA8"/>
    <w:lvl w:ilvl="0" w:tplc="FFFFFFFF">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2D3FD0"/>
    <w:multiLevelType w:val="hybridMultilevel"/>
    <w:tmpl w:val="3D5E9372"/>
    <w:lvl w:ilvl="0" w:tplc="C07E4502">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4A7C56"/>
    <w:multiLevelType w:val="hybridMultilevel"/>
    <w:tmpl w:val="8EBAE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2526E9"/>
    <w:multiLevelType w:val="hybridMultilevel"/>
    <w:tmpl w:val="042A08E0"/>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23C7578"/>
    <w:multiLevelType w:val="hybridMultilevel"/>
    <w:tmpl w:val="AC5022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A84CEB"/>
    <w:multiLevelType w:val="hybridMultilevel"/>
    <w:tmpl w:val="D44E7618"/>
    <w:lvl w:ilvl="0" w:tplc="C07E450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D01208"/>
    <w:multiLevelType w:val="hybridMultilevel"/>
    <w:tmpl w:val="3ECC6DC8"/>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D369E4"/>
    <w:multiLevelType w:val="hybridMultilevel"/>
    <w:tmpl w:val="5D54DF2C"/>
    <w:lvl w:ilvl="0" w:tplc="3B72F214">
      <w:start w:val="1"/>
      <w:numFmt w:val="bullet"/>
      <w:lvlText w:val="•"/>
      <w:lvlJc w:val="left"/>
      <w:pPr>
        <w:tabs>
          <w:tab w:val="num" w:pos="720"/>
        </w:tabs>
        <w:ind w:left="720" w:hanging="360"/>
      </w:pPr>
      <w:rPr>
        <w:rFonts w:ascii="Arial" w:hAnsi="Arial" w:hint="default"/>
      </w:rPr>
    </w:lvl>
    <w:lvl w:ilvl="1" w:tplc="6EF8A63E" w:tentative="1">
      <w:start w:val="1"/>
      <w:numFmt w:val="bullet"/>
      <w:lvlText w:val="•"/>
      <w:lvlJc w:val="left"/>
      <w:pPr>
        <w:tabs>
          <w:tab w:val="num" w:pos="1440"/>
        </w:tabs>
        <w:ind w:left="1440" w:hanging="360"/>
      </w:pPr>
      <w:rPr>
        <w:rFonts w:ascii="Arial" w:hAnsi="Arial" w:hint="default"/>
      </w:rPr>
    </w:lvl>
    <w:lvl w:ilvl="2" w:tplc="09CE9234" w:tentative="1">
      <w:start w:val="1"/>
      <w:numFmt w:val="bullet"/>
      <w:lvlText w:val="•"/>
      <w:lvlJc w:val="left"/>
      <w:pPr>
        <w:tabs>
          <w:tab w:val="num" w:pos="2160"/>
        </w:tabs>
        <w:ind w:left="2160" w:hanging="360"/>
      </w:pPr>
      <w:rPr>
        <w:rFonts w:ascii="Arial" w:hAnsi="Arial" w:hint="default"/>
      </w:rPr>
    </w:lvl>
    <w:lvl w:ilvl="3" w:tplc="827A097C" w:tentative="1">
      <w:start w:val="1"/>
      <w:numFmt w:val="bullet"/>
      <w:lvlText w:val="•"/>
      <w:lvlJc w:val="left"/>
      <w:pPr>
        <w:tabs>
          <w:tab w:val="num" w:pos="2880"/>
        </w:tabs>
        <w:ind w:left="2880" w:hanging="360"/>
      </w:pPr>
      <w:rPr>
        <w:rFonts w:ascii="Arial" w:hAnsi="Arial" w:hint="default"/>
      </w:rPr>
    </w:lvl>
    <w:lvl w:ilvl="4" w:tplc="4CE68878" w:tentative="1">
      <w:start w:val="1"/>
      <w:numFmt w:val="bullet"/>
      <w:lvlText w:val="•"/>
      <w:lvlJc w:val="left"/>
      <w:pPr>
        <w:tabs>
          <w:tab w:val="num" w:pos="3600"/>
        </w:tabs>
        <w:ind w:left="3600" w:hanging="360"/>
      </w:pPr>
      <w:rPr>
        <w:rFonts w:ascii="Arial" w:hAnsi="Arial" w:hint="default"/>
      </w:rPr>
    </w:lvl>
    <w:lvl w:ilvl="5" w:tplc="E5463D8A" w:tentative="1">
      <w:start w:val="1"/>
      <w:numFmt w:val="bullet"/>
      <w:lvlText w:val="•"/>
      <w:lvlJc w:val="left"/>
      <w:pPr>
        <w:tabs>
          <w:tab w:val="num" w:pos="4320"/>
        </w:tabs>
        <w:ind w:left="4320" w:hanging="360"/>
      </w:pPr>
      <w:rPr>
        <w:rFonts w:ascii="Arial" w:hAnsi="Arial" w:hint="default"/>
      </w:rPr>
    </w:lvl>
    <w:lvl w:ilvl="6" w:tplc="69D0E7C4" w:tentative="1">
      <w:start w:val="1"/>
      <w:numFmt w:val="bullet"/>
      <w:lvlText w:val="•"/>
      <w:lvlJc w:val="left"/>
      <w:pPr>
        <w:tabs>
          <w:tab w:val="num" w:pos="5040"/>
        </w:tabs>
        <w:ind w:left="5040" w:hanging="360"/>
      </w:pPr>
      <w:rPr>
        <w:rFonts w:ascii="Arial" w:hAnsi="Arial" w:hint="default"/>
      </w:rPr>
    </w:lvl>
    <w:lvl w:ilvl="7" w:tplc="10D61ECE" w:tentative="1">
      <w:start w:val="1"/>
      <w:numFmt w:val="bullet"/>
      <w:lvlText w:val="•"/>
      <w:lvlJc w:val="left"/>
      <w:pPr>
        <w:tabs>
          <w:tab w:val="num" w:pos="5760"/>
        </w:tabs>
        <w:ind w:left="5760" w:hanging="360"/>
      </w:pPr>
      <w:rPr>
        <w:rFonts w:ascii="Arial" w:hAnsi="Arial" w:hint="default"/>
      </w:rPr>
    </w:lvl>
    <w:lvl w:ilvl="8" w:tplc="37C8809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FD26DED"/>
    <w:multiLevelType w:val="hybridMultilevel"/>
    <w:tmpl w:val="BFBAEFA8"/>
    <w:lvl w:ilvl="0" w:tplc="0409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0CD0403"/>
    <w:multiLevelType w:val="hybridMultilevel"/>
    <w:tmpl w:val="0E3C9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731F3E"/>
    <w:multiLevelType w:val="hybridMultilevel"/>
    <w:tmpl w:val="9DF07C4E"/>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8E7A74"/>
    <w:multiLevelType w:val="hybridMultilevel"/>
    <w:tmpl w:val="1CEAC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AD189B"/>
    <w:multiLevelType w:val="hybridMultilevel"/>
    <w:tmpl w:val="19924EA2"/>
    <w:lvl w:ilvl="0" w:tplc="0B7C041C">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93029571">
    <w:abstractNumId w:val="19"/>
  </w:num>
  <w:num w:numId="2" w16cid:durableId="35618110">
    <w:abstractNumId w:val="14"/>
  </w:num>
  <w:num w:numId="3" w16cid:durableId="1199314811">
    <w:abstractNumId w:val="22"/>
  </w:num>
  <w:num w:numId="4" w16cid:durableId="669404991">
    <w:abstractNumId w:val="9"/>
  </w:num>
  <w:num w:numId="5" w16cid:durableId="1396078376">
    <w:abstractNumId w:val="7"/>
  </w:num>
  <w:num w:numId="6" w16cid:durableId="732847728">
    <w:abstractNumId w:val="6"/>
  </w:num>
  <w:num w:numId="7" w16cid:durableId="1282882124">
    <w:abstractNumId w:val="5"/>
  </w:num>
  <w:num w:numId="8" w16cid:durableId="921986420">
    <w:abstractNumId w:val="4"/>
  </w:num>
  <w:num w:numId="9" w16cid:durableId="993610480">
    <w:abstractNumId w:val="8"/>
  </w:num>
  <w:num w:numId="10" w16cid:durableId="556597987">
    <w:abstractNumId w:val="3"/>
  </w:num>
  <w:num w:numId="11" w16cid:durableId="2047559236">
    <w:abstractNumId w:val="2"/>
  </w:num>
  <w:num w:numId="12" w16cid:durableId="1401246865">
    <w:abstractNumId w:val="1"/>
  </w:num>
  <w:num w:numId="13" w16cid:durableId="859390333">
    <w:abstractNumId w:val="0"/>
  </w:num>
  <w:num w:numId="14" w16cid:durableId="2129272650">
    <w:abstractNumId w:val="12"/>
  </w:num>
  <w:num w:numId="15" w16cid:durableId="390350131">
    <w:abstractNumId w:val="16"/>
  </w:num>
  <w:num w:numId="16" w16cid:durableId="1400207963">
    <w:abstractNumId w:val="18"/>
  </w:num>
  <w:num w:numId="17" w16cid:durableId="822888370">
    <w:abstractNumId w:val="20"/>
  </w:num>
  <w:num w:numId="18" w16cid:durableId="32463052">
    <w:abstractNumId w:val="11"/>
  </w:num>
  <w:num w:numId="19" w16cid:durableId="488249394">
    <w:abstractNumId w:val="15"/>
  </w:num>
  <w:num w:numId="20" w16cid:durableId="344672525">
    <w:abstractNumId w:val="17"/>
  </w:num>
  <w:num w:numId="21" w16cid:durableId="1817142982">
    <w:abstractNumId w:val="13"/>
  </w:num>
  <w:num w:numId="22" w16cid:durableId="395516388">
    <w:abstractNumId w:val="10"/>
  </w:num>
  <w:num w:numId="23" w16cid:durableId="21078410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NeedToUniquify" w:val="false"/>
    <w:docVar w:name="APWAFVersion" w:val="5.0"/>
    <w:docVar w:name="SWDocIDLayout" w:val="2"/>
    <w:docVar w:name="SWDocIDLocation" w:val="1"/>
  </w:docVars>
  <w:rsids>
    <w:rsidRoot w:val="00F26367"/>
    <w:rsid w:val="00000261"/>
    <w:rsid w:val="00000A84"/>
    <w:rsid w:val="00000EAD"/>
    <w:rsid w:val="00001BBD"/>
    <w:rsid w:val="00001D81"/>
    <w:rsid w:val="0000234C"/>
    <w:rsid w:val="000027D3"/>
    <w:rsid w:val="00002BEC"/>
    <w:rsid w:val="00003368"/>
    <w:rsid w:val="00003E1E"/>
    <w:rsid w:val="00003E2F"/>
    <w:rsid w:val="000049D2"/>
    <w:rsid w:val="00005065"/>
    <w:rsid w:val="0000513D"/>
    <w:rsid w:val="0000572E"/>
    <w:rsid w:val="00005BA5"/>
    <w:rsid w:val="0000665D"/>
    <w:rsid w:val="00006C22"/>
    <w:rsid w:val="0000733E"/>
    <w:rsid w:val="0001002B"/>
    <w:rsid w:val="00010BC2"/>
    <w:rsid w:val="000115B9"/>
    <w:rsid w:val="00011FFA"/>
    <w:rsid w:val="00012CBB"/>
    <w:rsid w:val="00013531"/>
    <w:rsid w:val="00013A26"/>
    <w:rsid w:val="00014620"/>
    <w:rsid w:val="00014B18"/>
    <w:rsid w:val="000150AD"/>
    <w:rsid w:val="000150EE"/>
    <w:rsid w:val="00015C9F"/>
    <w:rsid w:val="0001630A"/>
    <w:rsid w:val="00016883"/>
    <w:rsid w:val="00016DE7"/>
    <w:rsid w:val="000204A3"/>
    <w:rsid w:val="00020588"/>
    <w:rsid w:val="000212B3"/>
    <w:rsid w:val="000212DB"/>
    <w:rsid w:val="00021978"/>
    <w:rsid w:val="00022034"/>
    <w:rsid w:val="00024961"/>
    <w:rsid w:val="00025CDB"/>
    <w:rsid w:val="00026585"/>
    <w:rsid w:val="000266B4"/>
    <w:rsid w:val="000266D8"/>
    <w:rsid w:val="0002688E"/>
    <w:rsid w:val="00026E51"/>
    <w:rsid w:val="00026ED6"/>
    <w:rsid w:val="00030763"/>
    <w:rsid w:val="00032493"/>
    <w:rsid w:val="000332A0"/>
    <w:rsid w:val="00033332"/>
    <w:rsid w:val="00033951"/>
    <w:rsid w:val="00033D4C"/>
    <w:rsid w:val="00034258"/>
    <w:rsid w:val="000343C9"/>
    <w:rsid w:val="000346A1"/>
    <w:rsid w:val="00034EBB"/>
    <w:rsid w:val="00035298"/>
    <w:rsid w:val="000373BE"/>
    <w:rsid w:val="00037731"/>
    <w:rsid w:val="000402DB"/>
    <w:rsid w:val="00042AE0"/>
    <w:rsid w:val="00043951"/>
    <w:rsid w:val="0004404E"/>
    <w:rsid w:val="00044417"/>
    <w:rsid w:val="0004447B"/>
    <w:rsid w:val="00044788"/>
    <w:rsid w:val="00044B19"/>
    <w:rsid w:val="00045AA9"/>
    <w:rsid w:val="000460A1"/>
    <w:rsid w:val="0004661B"/>
    <w:rsid w:val="0004695D"/>
    <w:rsid w:val="00046F8C"/>
    <w:rsid w:val="00047798"/>
    <w:rsid w:val="00047A82"/>
    <w:rsid w:val="00051646"/>
    <w:rsid w:val="00051E19"/>
    <w:rsid w:val="000524DD"/>
    <w:rsid w:val="000531B0"/>
    <w:rsid w:val="00053DC8"/>
    <w:rsid w:val="000540DD"/>
    <w:rsid w:val="00054883"/>
    <w:rsid w:val="00054D8C"/>
    <w:rsid w:val="0005512F"/>
    <w:rsid w:val="0005537F"/>
    <w:rsid w:val="00055563"/>
    <w:rsid w:val="000556D2"/>
    <w:rsid w:val="0005580A"/>
    <w:rsid w:val="00056004"/>
    <w:rsid w:val="0005670A"/>
    <w:rsid w:val="000573F8"/>
    <w:rsid w:val="00057D20"/>
    <w:rsid w:val="00060211"/>
    <w:rsid w:val="00061740"/>
    <w:rsid w:val="00061ED1"/>
    <w:rsid w:val="000623E3"/>
    <w:rsid w:val="00064312"/>
    <w:rsid w:val="00064943"/>
    <w:rsid w:val="00064A6F"/>
    <w:rsid w:val="000660F6"/>
    <w:rsid w:val="00066784"/>
    <w:rsid w:val="0006748F"/>
    <w:rsid w:val="000711F5"/>
    <w:rsid w:val="00071708"/>
    <w:rsid w:val="0007195D"/>
    <w:rsid w:val="00072EFB"/>
    <w:rsid w:val="00073377"/>
    <w:rsid w:val="00073D97"/>
    <w:rsid w:val="00073DE0"/>
    <w:rsid w:val="000740C3"/>
    <w:rsid w:val="00074370"/>
    <w:rsid w:val="00075E18"/>
    <w:rsid w:val="00075E39"/>
    <w:rsid w:val="00076296"/>
    <w:rsid w:val="00076353"/>
    <w:rsid w:val="00076BC9"/>
    <w:rsid w:val="000770CF"/>
    <w:rsid w:val="000774C3"/>
    <w:rsid w:val="00077726"/>
    <w:rsid w:val="00080192"/>
    <w:rsid w:val="00080991"/>
    <w:rsid w:val="00080C82"/>
    <w:rsid w:val="00080E65"/>
    <w:rsid w:val="00080F8C"/>
    <w:rsid w:val="00081529"/>
    <w:rsid w:val="00081726"/>
    <w:rsid w:val="00081C73"/>
    <w:rsid w:val="00082041"/>
    <w:rsid w:val="00082308"/>
    <w:rsid w:val="0008277A"/>
    <w:rsid w:val="00084497"/>
    <w:rsid w:val="000861A8"/>
    <w:rsid w:val="00090590"/>
    <w:rsid w:val="00090B3B"/>
    <w:rsid w:val="00091294"/>
    <w:rsid w:val="00091BBB"/>
    <w:rsid w:val="00093564"/>
    <w:rsid w:val="000938C5"/>
    <w:rsid w:val="000945A0"/>
    <w:rsid w:val="00094605"/>
    <w:rsid w:val="00094722"/>
    <w:rsid w:val="00094D0E"/>
    <w:rsid w:val="00095688"/>
    <w:rsid w:val="00095852"/>
    <w:rsid w:val="00095BAD"/>
    <w:rsid w:val="00095BC5"/>
    <w:rsid w:val="00097724"/>
    <w:rsid w:val="000A0750"/>
    <w:rsid w:val="000A078B"/>
    <w:rsid w:val="000A0C80"/>
    <w:rsid w:val="000A18A7"/>
    <w:rsid w:val="000A228D"/>
    <w:rsid w:val="000A2817"/>
    <w:rsid w:val="000A2EE1"/>
    <w:rsid w:val="000A3DDF"/>
    <w:rsid w:val="000A46CB"/>
    <w:rsid w:val="000A5285"/>
    <w:rsid w:val="000A5B64"/>
    <w:rsid w:val="000A6AFC"/>
    <w:rsid w:val="000A6B9F"/>
    <w:rsid w:val="000A6F68"/>
    <w:rsid w:val="000A729D"/>
    <w:rsid w:val="000A7E28"/>
    <w:rsid w:val="000B0409"/>
    <w:rsid w:val="000B10E4"/>
    <w:rsid w:val="000B1D36"/>
    <w:rsid w:val="000B1F60"/>
    <w:rsid w:val="000B28D4"/>
    <w:rsid w:val="000B337A"/>
    <w:rsid w:val="000B3590"/>
    <w:rsid w:val="000B6CFB"/>
    <w:rsid w:val="000B6D66"/>
    <w:rsid w:val="000C0168"/>
    <w:rsid w:val="000C09EF"/>
    <w:rsid w:val="000C1458"/>
    <w:rsid w:val="000C151C"/>
    <w:rsid w:val="000C1B5F"/>
    <w:rsid w:val="000C1DA5"/>
    <w:rsid w:val="000C1E36"/>
    <w:rsid w:val="000C3372"/>
    <w:rsid w:val="000C34F3"/>
    <w:rsid w:val="000C3F0D"/>
    <w:rsid w:val="000C4697"/>
    <w:rsid w:val="000C4990"/>
    <w:rsid w:val="000C4FA2"/>
    <w:rsid w:val="000C5F7B"/>
    <w:rsid w:val="000C6217"/>
    <w:rsid w:val="000C7BB3"/>
    <w:rsid w:val="000C7C9E"/>
    <w:rsid w:val="000D05AF"/>
    <w:rsid w:val="000D1654"/>
    <w:rsid w:val="000D1B77"/>
    <w:rsid w:val="000D1BED"/>
    <w:rsid w:val="000D2339"/>
    <w:rsid w:val="000D23C7"/>
    <w:rsid w:val="000D27FB"/>
    <w:rsid w:val="000D28D6"/>
    <w:rsid w:val="000D2C7E"/>
    <w:rsid w:val="000D3BAC"/>
    <w:rsid w:val="000D4E4B"/>
    <w:rsid w:val="000D4FD4"/>
    <w:rsid w:val="000D5EA1"/>
    <w:rsid w:val="000D6106"/>
    <w:rsid w:val="000D68C7"/>
    <w:rsid w:val="000D706A"/>
    <w:rsid w:val="000D7547"/>
    <w:rsid w:val="000D7C35"/>
    <w:rsid w:val="000E06B0"/>
    <w:rsid w:val="000E127F"/>
    <w:rsid w:val="000E1350"/>
    <w:rsid w:val="000E13EB"/>
    <w:rsid w:val="000E1585"/>
    <w:rsid w:val="000E2BD6"/>
    <w:rsid w:val="000E39CC"/>
    <w:rsid w:val="000E3E0D"/>
    <w:rsid w:val="000E4ECB"/>
    <w:rsid w:val="000E5425"/>
    <w:rsid w:val="000E5797"/>
    <w:rsid w:val="000E5D16"/>
    <w:rsid w:val="000E6E6A"/>
    <w:rsid w:val="000E7CF9"/>
    <w:rsid w:val="000F0230"/>
    <w:rsid w:val="000F057F"/>
    <w:rsid w:val="000F12D6"/>
    <w:rsid w:val="000F1B06"/>
    <w:rsid w:val="000F1E02"/>
    <w:rsid w:val="000F2097"/>
    <w:rsid w:val="000F2D2E"/>
    <w:rsid w:val="000F381D"/>
    <w:rsid w:val="000F394C"/>
    <w:rsid w:val="000F48C6"/>
    <w:rsid w:val="000F4E7E"/>
    <w:rsid w:val="000F4FE7"/>
    <w:rsid w:val="000F52BF"/>
    <w:rsid w:val="000F5452"/>
    <w:rsid w:val="000F6235"/>
    <w:rsid w:val="000F62D6"/>
    <w:rsid w:val="000F6E2E"/>
    <w:rsid w:val="000F77C7"/>
    <w:rsid w:val="000F78B5"/>
    <w:rsid w:val="000F7B80"/>
    <w:rsid w:val="00100EB5"/>
    <w:rsid w:val="00100FB1"/>
    <w:rsid w:val="001015BB"/>
    <w:rsid w:val="00102019"/>
    <w:rsid w:val="00102293"/>
    <w:rsid w:val="001038B4"/>
    <w:rsid w:val="0010487B"/>
    <w:rsid w:val="00104B78"/>
    <w:rsid w:val="00105EDF"/>
    <w:rsid w:val="0010602C"/>
    <w:rsid w:val="00106357"/>
    <w:rsid w:val="00106B5B"/>
    <w:rsid w:val="00106C7B"/>
    <w:rsid w:val="00106CE5"/>
    <w:rsid w:val="00107902"/>
    <w:rsid w:val="0010799C"/>
    <w:rsid w:val="001079CA"/>
    <w:rsid w:val="00107A69"/>
    <w:rsid w:val="0011036C"/>
    <w:rsid w:val="00111774"/>
    <w:rsid w:val="00111AE0"/>
    <w:rsid w:val="00112412"/>
    <w:rsid w:val="001128EF"/>
    <w:rsid w:val="001132C1"/>
    <w:rsid w:val="001133F8"/>
    <w:rsid w:val="0011378B"/>
    <w:rsid w:val="00113BDD"/>
    <w:rsid w:val="0011493B"/>
    <w:rsid w:val="00115847"/>
    <w:rsid w:val="00115DFA"/>
    <w:rsid w:val="00116E97"/>
    <w:rsid w:val="00117537"/>
    <w:rsid w:val="00117E84"/>
    <w:rsid w:val="00120A84"/>
    <w:rsid w:val="001219A6"/>
    <w:rsid w:val="00121E52"/>
    <w:rsid w:val="00122D04"/>
    <w:rsid w:val="001231D1"/>
    <w:rsid w:val="001236BC"/>
    <w:rsid w:val="001238D5"/>
    <w:rsid w:val="00124592"/>
    <w:rsid w:val="0012481A"/>
    <w:rsid w:val="00124B72"/>
    <w:rsid w:val="001265E6"/>
    <w:rsid w:val="00126905"/>
    <w:rsid w:val="00127238"/>
    <w:rsid w:val="0012749F"/>
    <w:rsid w:val="001274C2"/>
    <w:rsid w:val="001276B4"/>
    <w:rsid w:val="00130302"/>
    <w:rsid w:val="00130423"/>
    <w:rsid w:val="00130A48"/>
    <w:rsid w:val="001310C7"/>
    <w:rsid w:val="001313C4"/>
    <w:rsid w:val="001319CE"/>
    <w:rsid w:val="00131E85"/>
    <w:rsid w:val="00131EBB"/>
    <w:rsid w:val="00131F64"/>
    <w:rsid w:val="001322C7"/>
    <w:rsid w:val="001322E2"/>
    <w:rsid w:val="00132B2E"/>
    <w:rsid w:val="00132E94"/>
    <w:rsid w:val="00133E06"/>
    <w:rsid w:val="0013487A"/>
    <w:rsid w:val="00134934"/>
    <w:rsid w:val="00134C08"/>
    <w:rsid w:val="00135100"/>
    <w:rsid w:val="00135BD2"/>
    <w:rsid w:val="00136579"/>
    <w:rsid w:val="00136DFD"/>
    <w:rsid w:val="00137F0C"/>
    <w:rsid w:val="00140069"/>
    <w:rsid w:val="001402A9"/>
    <w:rsid w:val="00140DA2"/>
    <w:rsid w:val="0014189F"/>
    <w:rsid w:val="001420F8"/>
    <w:rsid w:val="00143877"/>
    <w:rsid w:val="0014485E"/>
    <w:rsid w:val="00146031"/>
    <w:rsid w:val="00146263"/>
    <w:rsid w:val="001465E6"/>
    <w:rsid w:val="00146E96"/>
    <w:rsid w:val="00147242"/>
    <w:rsid w:val="00150816"/>
    <w:rsid w:val="00150E80"/>
    <w:rsid w:val="0015156A"/>
    <w:rsid w:val="001520FC"/>
    <w:rsid w:val="0015211F"/>
    <w:rsid w:val="001525A6"/>
    <w:rsid w:val="00152681"/>
    <w:rsid w:val="00153089"/>
    <w:rsid w:val="001533BA"/>
    <w:rsid w:val="001543FA"/>
    <w:rsid w:val="00154454"/>
    <w:rsid w:val="001550DF"/>
    <w:rsid w:val="0015648D"/>
    <w:rsid w:val="00156544"/>
    <w:rsid w:val="00160E8C"/>
    <w:rsid w:val="00162C28"/>
    <w:rsid w:val="00163106"/>
    <w:rsid w:val="00163652"/>
    <w:rsid w:val="00163A1B"/>
    <w:rsid w:val="00163E20"/>
    <w:rsid w:val="00165421"/>
    <w:rsid w:val="00165468"/>
    <w:rsid w:val="001654D7"/>
    <w:rsid w:val="00165505"/>
    <w:rsid w:val="001655EE"/>
    <w:rsid w:val="00165F9B"/>
    <w:rsid w:val="001662DF"/>
    <w:rsid w:val="00166438"/>
    <w:rsid w:val="0016668E"/>
    <w:rsid w:val="001667FD"/>
    <w:rsid w:val="001669CB"/>
    <w:rsid w:val="00166D90"/>
    <w:rsid w:val="00166DAE"/>
    <w:rsid w:val="00170BE2"/>
    <w:rsid w:val="00170C48"/>
    <w:rsid w:val="001712AD"/>
    <w:rsid w:val="00171631"/>
    <w:rsid w:val="001728B8"/>
    <w:rsid w:val="00172C10"/>
    <w:rsid w:val="001747A4"/>
    <w:rsid w:val="00174B17"/>
    <w:rsid w:val="00175307"/>
    <w:rsid w:val="00175D88"/>
    <w:rsid w:val="00175FC0"/>
    <w:rsid w:val="00176FB7"/>
    <w:rsid w:val="001776A4"/>
    <w:rsid w:val="00177AB1"/>
    <w:rsid w:val="00177C4C"/>
    <w:rsid w:val="0017B96C"/>
    <w:rsid w:val="00183026"/>
    <w:rsid w:val="00184D2C"/>
    <w:rsid w:val="0018554F"/>
    <w:rsid w:val="00185A1E"/>
    <w:rsid w:val="00185B65"/>
    <w:rsid w:val="001862D5"/>
    <w:rsid w:val="00186E18"/>
    <w:rsid w:val="001873AE"/>
    <w:rsid w:val="00190524"/>
    <w:rsid w:val="00190DAA"/>
    <w:rsid w:val="0019189C"/>
    <w:rsid w:val="00191D18"/>
    <w:rsid w:val="00192526"/>
    <w:rsid w:val="00192529"/>
    <w:rsid w:val="00192959"/>
    <w:rsid w:val="001942E2"/>
    <w:rsid w:val="001945AF"/>
    <w:rsid w:val="00194681"/>
    <w:rsid w:val="00194B5A"/>
    <w:rsid w:val="00194C39"/>
    <w:rsid w:val="001957F9"/>
    <w:rsid w:val="001959DD"/>
    <w:rsid w:val="00195FB9"/>
    <w:rsid w:val="001963E0"/>
    <w:rsid w:val="00196D1B"/>
    <w:rsid w:val="0019702C"/>
    <w:rsid w:val="0019717C"/>
    <w:rsid w:val="001972CD"/>
    <w:rsid w:val="001A02D9"/>
    <w:rsid w:val="001A0C24"/>
    <w:rsid w:val="001A133D"/>
    <w:rsid w:val="001A13F8"/>
    <w:rsid w:val="001A1C2B"/>
    <w:rsid w:val="001A21DE"/>
    <w:rsid w:val="001A2A88"/>
    <w:rsid w:val="001A2B1C"/>
    <w:rsid w:val="001A3541"/>
    <w:rsid w:val="001A3CB8"/>
    <w:rsid w:val="001A41EF"/>
    <w:rsid w:val="001A55FA"/>
    <w:rsid w:val="001A77F5"/>
    <w:rsid w:val="001A79B8"/>
    <w:rsid w:val="001A7A32"/>
    <w:rsid w:val="001A7E2E"/>
    <w:rsid w:val="001A7F7F"/>
    <w:rsid w:val="001B1D2A"/>
    <w:rsid w:val="001B248E"/>
    <w:rsid w:val="001B24DF"/>
    <w:rsid w:val="001B27E9"/>
    <w:rsid w:val="001B3982"/>
    <w:rsid w:val="001B3EA3"/>
    <w:rsid w:val="001B43D9"/>
    <w:rsid w:val="001B505B"/>
    <w:rsid w:val="001B533F"/>
    <w:rsid w:val="001B5710"/>
    <w:rsid w:val="001B61B7"/>
    <w:rsid w:val="001B634F"/>
    <w:rsid w:val="001B6433"/>
    <w:rsid w:val="001B6E8B"/>
    <w:rsid w:val="001B7D66"/>
    <w:rsid w:val="001C00DA"/>
    <w:rsid w:val="001C03C9"/>
    <w:rsid w:val="001C10C7"/>
    <w:rsid w:val="001C15A7"/>
    <w:rsid w:val="001C18C8"/>
    <w:rsid w:val="001C1994"/>
    <w:rsid w:val="001C1BC5"/>
    <w:rsid w:val="001C2210"/>
    <w:rsid w:val="001C24F3"/>
    <w:rsid w:val="001C3011"/>
    <w:rsid w:val="001C343F"/>
    <w:rsid w:val="001C3AE8"/>
    <w:rsid w:val="001C437E"/>
    <w:rsid w:val="001C4C88"/>
    <w:rsid w:val="001C4F55"/>
    <w:rsid w:val="001C532C"/>
    <w:rsid w:val="001C58E9"/>
    <w:rsid w:val="001C5A04"/>
    <w:rsid w:val="001C5CBD"/>
    <w:rsid w:val="001C6FF0"/>
    <w:rsid w:val="001C7554"/>
    <w:rsid w:val="001D041D"/>
    <w:rsid w:val="001D1129"/>
    <w:rsid w:val="001D12A7"/>
    <w:rsid w:val="001D1671"/>
    <w:rsid w:val="001D16C0"/>
    <w:rsid w:val="001D1801"/>
    <w:rsid w:val="001D21B7"/>
    <w:rsid w:val="001D23DB"/>
    <w:rsid w:val="001D3951"/>
    <w:rsid w:val="001D4887"/>
    <w:rsid w:val="001D5125"/>
    <w:rsid w:val="001D51B7"/>
    <w:rsid w:val="001D5B42"/>
    <w:rsid w:val="001D5C41"/>
    <w:rsid w:val="001D5D4E"/>
    <w:rsid w:val="001D610E"/>
    <w:rsid w:val="001D6A91"/>
    <w:rsid w:val="001D6EA6"/>
    <w:rsid w:val="001D744D"/>
    <w:rsid w:val="001D7650"/>
    <w:rsid w:val="001E2094"/>
    <w:rsid w:val="001E2126"/>
    <w:rsid w:val="001E2765"/>
    <w:rsid w:val="001E29B1"/>
    <w:rsid w:val="001E33DF"/>
    <w:rsid w:val="001E42B4"/>
    <w:rsid w:val="001E51C8"/>
    <w:rsid w:val="001E52C2"/>
    <w:rsid w:val="001E5F6D"/>
    <w:rsid w:val="001E6417"/>
    <w:rsid w:val="001E643B"/>
    <w:rsid w:val="001E662C"/>
    <w:rsid w:val="001E6B10"/>
    <w:rsid w:val="001E7F7C"/>
    <w:rsid w:val="001F00C4"/>
    <w:rsid w:val="001F1076"/>
    <w:rsid w:val="001F1236"/>
    <w:rsid w:val="001F18B0"/>
    <w:rsid w:val="001F39D5"/>
    <w:rsid w:val="001F3A64"/>
    <w:rsid w:val="001F3F49"/>
    <w:rsid w:val="001F3F5E"/>
    <w:rsid w:val="001F478A"/>
    <w:rsid w:val="001F4D4A"/>
    <w:rsid w:val="001F5272"/>
    <w:rsid w:val="001F52A3"/>
    <w:rsid w:val="001F594A"/>
    <w:rsid w:val="001F5B10"/>
    <w:rsid w:val="001F691D"/>
    <w:rsid w:val="001F6C6B"/>
    <w:rsid w:val="001F6E46"/>
    <w:rsid w:val="001F742D"/>
    <w:rsid w:val="00200229"/>
    <w:rsid w:val="00200DE1"/>
    <w:rsid w:val="00202758"/>
    <w:rsid w:val="00202F04"/>
    <w:rsid w:val="00203073"/>
    <w:rsid w:val="002030A0"/>
    <w:rsid w:val="002038E5"/>
    <w:rsid w:val="00203D2D"/>
    <w:rsid w:val="00204139"/>
    <w:rsid w:val="002048B9"/>
    <w:rsid w:val="00204FD5"/>
    <w:rsid w:val="002052D1"/>
    <w:rsid w:val="0020560B"/>
    <w:rsid w:val="00205F3F"/>
    <w:rsid w:val="00206FCC"/>
    <w:rsid w:val="00207249"/>
    <w:rsid w:val="00210EC5"/>
    <w:rsid w:val="00211AE1"/>
    <w:rsid w:val="00211DE6"/>
    <w:rsid w:val="00211F18"/>
    <w:rsid w:val="0021212D"/>
    <w:rsid w:val="0021252C"/>
    <w:rsid w:val="00212DC7"/>
    <w:rsid w:val="00213F86"/>
    <w:rsid w:val="00214997"/>
    <w:rsid w:val="00214E84"/>
    <w:rsid w:val="00214FA4"/>
    <w:rsid w:val="0021540B"/>
    <w:rsid w:val="002155B1"/>
    <w:rsid w:val="00215996"/>
    <w:rsid w:val="002161EB"/>
    <w:rsid w:val="0021698B"/>
    <w:rsid w:val="00216A91"/>
    <w:rsid w:val="00216DD4"/>
    <w:rsid w:val="00216FCB"/>
    <w:rsid w:val="00217119"/>
    <w:rsid w:val="00217A8F"/>
    <w:rsid w:val="002202B3"/>
    <w:rsid w:val="002210A0"/>
    <w:rsid w:val="002211CD"/>
    <w:rsid w:val="002223DD"/>
    <w:rsid w:val="00222A75"/>
    <w:rsid w:val="00222A92"/>
    <w:rsid w:val="00222B0C"/>
    <w:rsid w:val="00222E72"/>
    <w:rsid w:val="002230D1"/>
    <w:rsid w:val="002253BE"/>
    <w:rsid w:val="00225FFE"/>
    <w:rsid w:val="00227495"/>
    <w:rsid w:val="00227794"/>
    <w:rsid w:val="00231E81"/>
    <w:rsid w:val="00232631"/>
    <w:rsid w:val="00234403"/>
    <w:rsid w:val="002350CA"/>
    <w:rsid w:val="00235600"/>
    <w:rsid w:val="00235C8F"/>
    <w:rsid w:val="002370FF"/>
    <w:rsid w:val="00237819"/>
    <w:rsid w:val="00240408"/>
    <w:rsid w:val="00240D8A"/>
    <w:rsid w:val="00242E13"/>
    <w:rsid w:val="00243174"/>
    <w:rsid w:val="00243A48"/>
    <w:rsid w:val="00243BCD"/>
    <w:rsid w:val="002449EA"/>
    <w:rsid w:val="00244E92"/>
    <w:rsid w:val="00244F72"/>
    <w:rsid w:val="0024531D"/>
    <w:rsid w:val="00245772"/>
    <w:rsid w:val="00247EF5"/>
    <w:rsid w:val="00250E8C"/>
    <w:rsid w:val="002510E4"/>
    <w:rsid w:val="0025174A"/>
    <w:rsid w:val="00252951"/>
    <w:rsid w:val="0025406B"/>
    <w:rsid w:val="002547E6"/>
    <w:rsid w:val="00254A68"/>
    <w:rsid w:val="00255366"/>
    <w:rsid w:val="00255DBD"/>
    <w:rsid w:val="00256006"/>
    <w:rsid w:val="002560E1"/>
    <w:rsid w:val="00256A78"/>
    <w:rsid w:val="0025709A"/>
    <w:rsid w:val="0025745A"/>
    <w:rsid w:val="002577B4"/>
    <w:rsid w:val="00262B55"/>
    <w:rsid w:val="0026348D"/>
    <w:rsid w:val="0026413E"/>
    <w:rsid w:val="00264A12"/>
    <w:rsid w:val="00264C93"/>
    <w:rsid w:val="00264C9C"/>
    <w:rsid w:val="00265E96"/>
    <w:rsid w:val="00265F7E"/>
    <w:rsid w:val="00266EC7"/>
    <w:rsid w:val="0026779D"/>
    <w:rsid w:val="002715E6"/>
    <w:rsid w:val="0027347E"/>
    <w:rsid w:val="002734E4"/>
    <w:rsid w:val="00273F89"/>
    <w:rsid w:val="00275056"/>
    <w:rsid w:val="002754CB"/>
    <w:rsid w:val="00275C6E"/>
    <w:rsid w:val="0027680D"/>
    <w:rsid w:val="00276C2B"/>
    <w:rsid w:val="00277A64"/>
    <w:rsid w:val="0028024A"/>
    <w:rsid w:val="00280C70"/>
    <w:rsid w:val="002813B3"/>
    <w:rsid w:val="002817AA"/>
    <w:rsid w:val="002829BD"/>
    <w:rsid w:val="002833FF"/>
    <w:rsid w:val="00284222"/>
    <w:rsid w:val="002842CD"/>
    <w:rsid w:val="00284955"/>
    <w:rsid w:val="0028648B"/>
    <w:rsid w:val="00286F88"/>
    <w:rsid w:val="0028717F"/>
    <w:rsid w:val="00287B2A"/>
    <w:rsid w:val="00287C4D"/>
    <w:rsid w:val="002901CE"/>
    <w:rsid w:val="00291167"/>
    <w:rsid w:val="002919A1"/>
    <w:rsid w:val="00292062"/>
    <w:rsid w:val="00292664"/>
    <w:rsid w:val="00293804"/>
    <w:rsid w:val="002944DB"/>
    <w:rsid w:val="002946B4"/>
    <w:rsid w:val="00294A6C"/>
    <w:rsid w:val="00294D06"/>
    <w:rsid w:val="00295C70"/>
    <w:rsid w:val="00296313"/>
    <w:rsid w:val="00296C8C"/>
    <w:rsid w:val="002974A0"/>
    <w:rsid w:val="00297727"/>
    <w:rsid w:val="002978FD"/>
    <w:rsid w:val="002A06A1"/>
    <w:rsid w:val="002A0973"/>
    <w:rsid w:val="002A0AE5"/>
    <w:rsid w:val="002A12B0"/>
    <w:rsid w:val="002A2C4C"/>
    <w:rsid w:val="002A2D96"/>
    <w:rsid w:val="002A4033"/>
    <w:rsid w:val="002A42EC"/>
    <w:rsid w:val="002A5116"/>
    <w:rsid w:val="002A572B"/>
    <w:rsid w:val="002A6C02"/>
    <w:rsid w:val="002B1074"/>
    <w:rsid w:val="002B13F7"/>
    <w:rsid w:val="002B1AC3"/>
    <w:rsid w:val="002B2D08"/>
    <w:rsid w:val="002B317F"/>
    <w:rsid w:val="002B377A"/>
    <w:rsid w:val="002B3814"/>
    <w:rsid w:val="002B4146"/>
    <w:rsid w:val="002B43C3"/>
    <w:rsid w:val="002B459F"/>
    <w:rsid w:val="002B4B2E"/>
    <w:rsid w:val="002B4FEF"/>
    <w:rsid w:val="002B5646"/>
    <w:rsid w:val="002B5AF7"/>
    <w:rsid w:val="002B63E0"/>
    <w:rsid w:val="002B6454"/>
    <w:rsid w:val="002B6574"/>
    <w:rsid w:val="002B6C12"/>
    <w:rsid w:val="002B725A"/>
    <w:rsid w:val="002B78E6"/>
    <w:rsid w:val="002B7C34"/>
    <w:rsid w:val="002B7C78"/>
    <w:rsid w:val="002B7ED1"/>
    <w:rsid w:val="002C1651"/>
    <w:rsid w:val="002C1E10"/>
    <w:rsid w:val="002C1FF6"/>
    <w:rsid w:val="002C2094"/>
    <w:rsid w:val="002C209F"/>
    <w:rsid w:val="002C27D2"/>
    <w:rsid w:val="002C441E"/>
    <w:rsid w:val="002C4432"/>
    <w:rsid w:val="002C4706"/>
    <w:rsid w:val="002C58A6"/>
    <w:rsid w:val="002C5A01"/>
    <w:rsid w:val="002C658A"/>
    <w:rsid w:val="002C6EF0"/>
    <w:rsid w:val="002C7108"/>
    <w:rsid w:val="002C72ED"/>
    <w:rsid w:val="002C7477"/>
    <w:rsid w:val="002C7982"/>
    <w:rsid w:val="002C7B96"/>
    <w:rsid w:val="002D0032"/>
    <w:rsid w:val="002D047B"/>
    <w:rsid w:val="002D09AD"/>
    <w:rsid w:val="002D13A4"/>
    <w:rsid w:val="002D1885"/>
    <w:rsid w:val="002D280E"/>
    <w:rsid w:val="002D2A40"/>
    <w:rsid w:val="002D37D2"/>
    <w:rsid w:val="002D3AFD"/>
    <w:rsid w:val="002D4692"/>
    <w:rsid w:val="002D4736"/>
    <w:rsid w:val="002D574E"/>
    <w:rsid w:val="002D57CF"/>
    <w:rsid w:val="002D5880"/>
    <w:rsid w:val="002D6153"/>
    <w:rsid w:val="002D6DE0"/>
    <w:rsid w:val="002E01C6"/>
    <w:rsid w:val="002E0A39"/>
    <w:rsid w:val="002E0C59"/>
    <w:rsid w:val="002E0E7D"/>
    <w:rsid w:val="002E140A"/>
    <w:rsid w:val="002E18BB"/>
    <w:rsid w:val="002E18F0"/>
    <w:rsid w:val="002E3CB9"/>
    <w:rsid w:val="002E3CDA"/>
    <w:rsid w:val="002E3F4F"/>
    <w:rsid w:val="002E4528"/>
    <w:rsid w:val="002E4B7F"/>
    <w:rsid w:val="002E4CC0"/>
    <w:rsid w:val="002E58E9"/>
    <w:rsid w:val="002E65F3"/>
    <w:rsid w:val="002F0A9E"/>
    <w:rsid w:val="002F0EE8"/>
    <w:rsid w:val="002F1414"/>
    <w:rsid w:val="002F1E6F"/>
    <w:rsid w:val="002F23D8"/>
    <w:rsid w:val="002F256E"/>
    <w:rsid w:val="002F2F41"/>
    <w:rsid w:val="002F3220"/>
    <w:rsid w:val="002F349F"/>
    <w:rsid w:val="002F36DC"/>
    <w:rsid w:val="002F3F38"/>
    <w:rsid w:val="002F49EE"/>
    <w:rsid w:val="002F4CF9"/>
    <w:rsid w:val="002F6431"/>
    <w:rsid w:val="002F692F"/>
    <w:rsid w:val="002F7F01"/>
    <w:rsid w:val="00300110"/>
    <w:rsid w:val="003007E3"/>
    <w:rsid w:val="00300CC4"/>
    <w:rsid w:val="00302991"/>
    <w:rsid w:val="00303EE1"/>
    <w:rsid w:val="00304563"/>
    <w:rsid w:val="003053B8"/>
    <w:rsid w:val="003058FB"/>
    <w:rsid w:val="00305908"/>
    <w:rsid w:val="0030693E"/>
    <w:rsid w:val="00307340"/>
    <w:rsid w:val="0030776D"/>
    <w:rsid w:val="00310317"/>
    <w:rsid w:val="00311747"/>
    <w:rsid w:val="0031197D"/>
    <w:rsid w:val="00311E0F"/>
    <w:rsid w:val="00311F98"/>
    <w:rsid w:val="00312175"/>
    <w:rsid w:val="0031223D"/>
    <w:rsid w:val="003125C3"/>
    <w:rsid w:val="00312C26"/>
    <w:rsid w:val="00312DDD"/>
    <w:rsid w:val="00313649"/>
    <w:rsid w:val="00313ABC"/>
    <w:rsid w:val="00313D50"/>
    <w:rsid w:val="0031400E"/>
    <w:rsid w:val="0031466E"/>
    <w:rsid w:val="0031639D"/>
    <w:rsid w:val="00316640"/>
    <w:rsid w:val="00317A6D"/>
    <w:rsid w:val="00317D36"/>
    <w:rsid w:val="00317EDC"/>
    <w:rsid w:val="003204B8"/>
    <w:rsid w:val="00320F2D"/>
    <w:rsid w:val="00321BCF"/>
    <w:rsid w:val="00322D99"/>
    <w:rsid w:val="00322EA0"/>
    <w:rsid w:val="0032363D"/>
    <w:rsid w:val="0032375B"/>
    <w:rsid w:val="0032416A"/>
    <w:rsid w:val="003241E4"/>
    <w:rsid w:val="00324823"/>
    <w:rsid w:val="00324C4B"/>
    <w:rsid w:val="00326148"/>
    <w:rsid w:val="003261A2"/>
    <w:rsid w:val="00326801"/>
    <w:rsid w:val="00327CC8"/>
    <w:rsid w:val="00330637"/>
    <w:rsid w:val="003307CB"/>
    <w:rsid w:val="00331A7B"/>
    <w:rsid w:val="00332096"/>
    <w:rsid w:val="0033242F"/>
    <w:rsid w:val="00332B1C"/>
    <w:rsid w:val="00333121"/>
    <w:rsid w:val="00333399"/>
    <w:rsid w:val="0033375A"/>
    <w:rsid w:val="00333AB1"/>
    <w:rsid w:val="00333C1F"/>
    <w:rsid w:val="003356F7"/>
    <w:rsid w:val="00335EC0"/>
    <w:rsid w:val="00336CA7"/>
    <w:rsid w:val="00336FE2"/>
    <w:rsid w:val="003372C3"/>
    <w:rsid w:val="0033760F"/>
    <w:rsid w:val="0034008C"/>
    <w:rsid w:val="00340104"/>
    <w:rsid w:val="00341D4D"/>
    <w:rsid w:val="00342013"/>
    <w:rsid w:val="00342166"/>
    <w:rsid w:val="00342EF1"/>
    <w:rsid w:val="00343129"/>
    <w:rsid w:val="00343167"/>
    <w:rsid w:val="00343262"/>
    <w:rsid w:val="0034358A"/>
    <w:rsid w:val="00345D03"/>
    <w:rsid w:val="003465B4"/>
    <w:rsid w:val="003501DA"/>
    <w:rsid w:val="00350DAA"/>
    <w:rsid w:val="0035145A"/>
    <w:rsid w:val="00351F63"/>
    <w:rsid w:val="00354067"/>
    <w:rsid w:val="003543B2"/>
    <w:rsid w:val="00354691"/>
    <w:rsid w:val="00354BE4"/>
    <w:rsid w:val="00354EE0"/>
    <w:rsid w:val="00355133"/>
    <w:rsid w:val="00355283"/>
    <w:rsid w:val="00355DE8"/>
    <w:rsid w:val="0035674D"/>
    <w:rsid w:val="003567DB"/>
    <w:rsid w:val="003567E4"/>
    <w:rsid w:val="003572DA"/>
    <w:rsid w:val="003573D3"/>
    <w:rsid w:val="003578A3"/>
    <w:rsid w:val="00360580"/>
    <w:rsid w:val="00360C4D"/>
    <w:rsid w:val="0036116E"/>
    <w:rsid w:val="00363484"/>
    <w:rsid w:val="0036438B"/>
    <w:rsid w:val="00364744"/>
    <w:rsid w:val="00364B66"/>
    <w:rsid w:val="00364DC2"/>
    <w:rsid w:val="00365545"/>
    <w:rsid w:val="00365E70"/>
    <w:rsid w:val="00365E75"/>
    <w:rsid w:val="00366587"/>
    <w:rsid w:val="00367000"/>
    <w:rsid w:val="00367609"/>
    <w:rsid w:val="0037008A"/>
    <w:rsid w:val="0037049A"/>
    <w:rsid w:val="00371267"/>
    <w:rsid w:val="0037262B"/>
    <w:rsid w:val="00372B21"/>
    <w:rsid w:val="00372EDA"/>
    <w:rsid w:val="0037300E"/>
    <w:rsid w:val="003732DE"/>
    <w:rsid w:val="003739DD"/>
    <w:rsid w:val="00373B01"/>
    <w:rsid w:val="00374C39"/>
    <w:rsid w:val="00375118"/>
    <w:rsid w:val="0037606E"/>
    <w:rsid w:val="00376255"/>
    <w:rsid w:val="003768BD"/>
    <w:rsid w:val="0037716B"/>
    <w:rsid w:val="00377B2E"/>
    <w:rsid w:val="00377F2C"/>
    <w:rsid w:val="00380908"/>
    <w:rsid w:val="00380996"/>
    <w:rsid w:val="00380EDF"/>
    <w:rsid w:val="00381514"/>
    <w:rsid w:val="00381DC9"/>
    <w:rsid w:val="00382F24"/>
    <w:rsid w:val="003830B9"/>
    <w:rsid w:val="003836AF"/>
    <w:rsid w:val="003841E5"/>
    <w:rsid w:val="003850AC"/>
    <w:rsid w:val="0038553B"/>
    <w:rsid w:val="003869A7"/>
    <w:rsid w:val="00387136"/>
    <w:rsid w:val="0038762C"/>
    <w:rsid w:val="003876BF"/>
    <w:rsid w:val="00390DD7"/>
    <w:rsid w:val="003913B7"/>
    <w:rsid w:val="003913E8"/>
    <w:rsid w:val="00395D58"/>
    <w:rsid w:val="00397662"/>
    <w:rsid w:val="003A18F4"/>
    <w:rsid w:val="003A2D23"/>
    <w:rsid w:val="003A3526"/>
    <w:rsid w:val="003A535F"/>
    <w:rsid w:val="003A5962"/>
    <w:rsid w:val="003A5B71"/>
    <w:rsid w:val="003A5EEF"/>
    <w:rsid w:val="003A7872"/>
    <w:rsid w:val="003A789D"/>
    <w:rsid w:val="003A7F57"/>
    <w:rsid w:val="003B00D5"/>
    <w:rsid w:val="003B0855"/>
    <w:rsid w:val="003B1742"/>
    <w:rsid w:val="003B17A4"/>
    <w:rsid w:val="003B220C"/>
    <w:rsid w:val="003B292A"/>
    <w:rsid w:val="003B3441"/>
    <w:rsid w:val="003B39AD"/>
    <w:rsid w:val="003B3E91"/>
    <w:rsid w:val="003B42A5"/>
    <w:rsid w:val="003B458D"/>
    <w:rsid w:val="003B59E2"/>
    <w:rsid w:val="003B62B1"/>
    <w:rsid w:val="003B683E"/>
    <w:rsid w:val="003B69C1"/>
    <w:rsid w:val="003B6A44"/>
    <w:rsid w:val="003B7293"/>
    <w:rsid w:val="003B778B"/>
    <w:rsid w:val="003C00E9"/>
    <w:rsid w:val="003C11AD"/>
    <w:rsid w:val="003C2724"/>
    <w:rsid w:val="003C305E"/>
    <w:rsid w:val="003C4554"/>
    <w:rsid w:val="003C4BC6"/>
    <w:rsid w:val="003C57A4"/>
    <w:rsid w:val="003C57D1"/>
    <w:rsid w:val="003C595B"/>
    <w:rsid w:val="003C59CE"/>
    <w:rsid w:val="003C5B60"/>
    <w:rsid w:val="003C5C43"/>
    <w:rsid w:val="003C6002"/>
    <w:rsid w:val="003C70E1"/>
    <w:rsid w:val="003C7C89"/>
    <w:rsid w:val="003C7F3A"/>
    <w:rsid w:val="003D038E"/>
    <w:rsid w:val="003D0440"/>
    <w:rsid w:val="003D16CF"/>
    <w:rsid w:val="003D1CE8"/>
    <w:rsid w:val="003D202C"/>
    <w:rsid w:val="003D2E0C"/>
    <w:rsid w:val="003D3BA2"/>
    <w:rsid w:val="003D4125"/>
    <w:rsid w:val="003D443A"/>
    <w:rsid w:val="003D4882"/>
    <w:rsid w:val="003D51B4"/>
    <w:rsid w:val="003D580F"/>
    <w:rsid w:val="003D5CCD"/>
    <w:rsid w:val="003D5DE9"/>
    <w:rsid w:val="003D73D7"/>
    <w:rsid w:val="003D7E37"/>
    <w:rsid w:val="003E0111"/>
    <w:rsid w:val="003E10B9"/>
    <w:rsid w:val="003E26E0"/>
    <w:rsid w:val="003E2FF4"/>
    <w:rsid w:val="003E39AD"/>
    <w:rsid w:val="003E4934"/>
    <w:rsid w:val="003E60E2"/>
    <w:rsid w:val="003E6494"/>
    <w:rsid w:val="003E66E8"/>
    <w:rsid w:val="003E6B1A"/>
    <w:rsid w:val="003E6F9D"/>
    <w:rsid w:val="003E7456"/>
    <w:rsid w:val="003E7B3D"/>
    <w:rsid w:val="003F00BE"/>
    <w:rsid w:val="003F05FD"/>
    <w:rsid w:val="003F0982"/>
    <w:rsid w:val="003F0A83"/>
    <w:rsid w:val="003F0FA1"/>
    <w:rsid w:val="003F2C5C"/>
    <w:rsid w:val="003F3203"/>
    <w:rsid w:val="003F327E"/>
    <w:rsid w:val="003F334B"/>
    <w:rsid w:val="003F3F23"/>
    <w:rsid w:val="003F4545"/>
    <w:rsid w:val="003F479A"/>
    <w:rsid w:val="003F66FE"/>
    <w:rsid w:val="003F736C"/>
    <w:rsid w:val="003F7421"/>
    <w:rsid w:val="003F799A"/>
    <w:rsid w:val="003F7B10"/>
    <w:rsid w:val="003F7D2F"/>
    <w:rsid w:val="003F7E68"/>
    <w:rsid w:val="00400953"/>
    <w:rsid w:val="00401081"/>
    <w:rsid w:val="00401AC0"/>
    <w:rsid w:val="00401DFD"/>
    <w:rsid w:val="0040206F"/>
    <w:rsid w:val="00402102"/>
    <w:rsid w:val="00402124"/>
    <w:rsid w:val="004022A2"/>
    <w:rsid w:val="00402361"/>
    <w:rsid w:val="00402EAA"/>
    <w:rsid w:val="004033D4"/>
    <w:rsid w:val="004039E8"/>
    <w:rsid w:val="004045FB"/>
    <w:rsid w:val="00404809"/>
    <w:rsid w:val="00404887"/>
    <w:rsid w:val="004050F7"/>
    <w:rsid w:val="004051F8"/>
    <w:rsid w:val="0040604D"/>
    <w:rsid w:val="00406129"/>
    <w:rsid w:val="00406E3F"/>
    <w:rsid w:val="00406FC3"/>
    <w:rsid w:val="0040738E"/>
    <w:rsid w:val="004076A7"/>
    <w:rsid w:val="00407CBF"/>
    <w:rsid w:val="00407D15"/>
    <w:rsid w:val="00410162"/>
    <w:rsid w:val="0041033A"/>
    <w:rsid w:val="0041050A"/>
    <w:rsid w:val="00410CEE"/>
    <w:rsid w:val="00410D74"/>
    <w:rsid w:val="0041188B"/>
    <w:rsid w:val="00412134"/>
    <w:rsid w:val="004122CD"/>
    <w:rsid w:val="00412D22"/>
    <w:rsid w:val="004131AE"/>
    <w:rsid w:val="004139C1"/>
    <w:rsid w:val="004155B0"/>
    <w:rsid w:val="00415674"/>
    <w:rsid w:val="00415723"/>
    <w:rsid w:val="004166EF"/>
    <w:rsid w:val="00417CBE"/>
    <w:rsid w:val="0042017F"/>
    <w:rsid w:val="0042036C"/>
    <w:rsid w:val="0042085C"/>
    <w:rsid w:val="0042106E"/>
    <w:rsid w:val="00421B33"/>
    <w:rsid w:val="00422A6F"/>
    <w:rsid w:val="00423244"/>
    <w:rsid w:val="00424133"/>
    <w:rsid w:val="00424C34"/>
    <w:rsid w:val="00424E52"/>
    <w:rsid w:val="00425141"/>
    <w:rsid w:val="00425518"/>
    <w:rsid w:val="00425606"/>
    <w:rsid w:val="00425F0B"/>
    <w:rsid w:val="00425F15"/>
    <w:rsid w:val="004264C9"/>
    <w:rsid w:val="00426886"/>
    <w:rsid w:val="00427A0B"/>
    <w:rsid w:val="00427A11"/>
    <w:rsid w:val="004308CB"/>
    <w:rsid w:val="0043098D"/>
    <w:rsid w:val="00430C2D"/>
    <w:rsid w:val="00430F39"/>
    <w:rsid w:val="00431E73"/>
    <w:rsid w:val="00432BC0"/>
    <w:rsid w:val="004330DB"/>
    <w:rsid w:val="00433B47"/>
    <w:rsid w:val="00433D74"/>
    <w:rsid w:val="00434B34"/>
    <w:rsid w:val="004356A8"/>
    <w:rsid w:val="00435A46"/>
    <w:rsid w:val="00435AF4"/>
    <w:rsid w:val="00436E87"/>
    <w:rsid w:val="00437186"/>
    <w:rsid w:val="0043745C"/>
    <w:rsid w:val="00437E8B"/>
    <w:rsid w:val="004402E2"/>
    <w:rsid w:val="00440439"/>
    <w:rsid w:val="00441727"/>
    <w:rsid w:val="00441747"/>
    <w:rsid w:val="00441DF5"/>
    <w:rsid w:val="004420B0"/>
    <w:rsid w:val="00442917"/>
    <w:rsid w:val="00445268"/>
    <w:rsid w:val="00445C94"/>
    <w:rsid w:val="00446EA0"/>
    <w:rsid w:val="00451018"/>
    <w:rsid w:val="00451DA1"/>
    <w:rsid w:val="0045210B"/>
    <w:rsid w:val="00452A04"/>
    <w:rsid w:val="00452DEA"/>
    <w:rsid w:val="00453ED8"/>
    <w:rsid w:val="00453FF7"/>
    <w:rsid w:val="00454087"/>
    <w:rsid w:val="00454D64"/>
    <w:rsid w:val="00455E3C"/>
    <w:rsid w:val="00456047"/>
    <w:rsid w:val="00456216"/>
    <w:rsid w:val="00456270"/>
    <w:rsid w:val="00456B3A"/>
    <w:rsid w:val="00456B89"/>
    <w:rsid w:val="00456D93"/>
    <w:rsid w:val="00460692"/>
    <w:rsid w:val="004608CA"/>
    <w:rsid w:val="00460A92"/>
    <w:rsid w:val="00460B9E"/>
    <w:rsid w:val="00461511"/>
    <w:rsid w:val="00461852"/>
    <w:rsid w:val="00462337"/>
    <w:rsid w:val="00463422"/>
    <w:rsid w:val="0046366C"/>
    <w:rsid w:val="00463871"/>
    <w:rsid w:val="00463B5C"/>
    <w:rsid w:val="0046569D"/>
    <w:rsid w:val="004658D7"/>
    <w:rsid w:val="00465936"/>
    <w:rsid w:val="00465D31"/>
    <w:rsid w:val="00465D95"/>
    <w:rsid w:val="00466735"/>
    <w:rsid w:val="00466F60"/>
    <w:rsid w:val="00467E99"/>
    <w:rsid w:val="00470019"/>
    <w:rsid w:val="00470223"/>
    <w:rsid w:val="00470840"/>
    <w:rsid w:val="00471FDE"/>
    <w:rsid w:val="004721A4"/>
    <w:rsid w:val="0047276F"/>
    <w:rsid w:val="00473256"/>
    <w:rsid w:val="00474774"/>
    <w:rsid w:val="00474922"/>
    <w:rsid w:val="00474B10"/>
    <w:rsid w:val="00475995"/>
    <w:rsid w:val="00475F89"/>
    <w:rsid w:val="00476142"/>
    <w:rsid w:val="0047693A"/>
    <w:rsid w:val="00476F85"/>
    <w:rsid w:val="00477BA5"/>
    <w:rsid w:val="00477CDA"/>
    <w:rsid w:val="004800C5"/>
    <w:rsid w:val="00480283"/>
    <w:rsid w:val="00480301"/>
    <w:rsid w:val="0048226A"/>
    <w:rsid w:val="00482C72"/>
    <w:rsid w:val="004830F3"/>
    <w:rsid w:val="0048340B"/>
    <w:rsid w:val="00483461"/>
    <w:rsid w:val="0048478E"/>
    <w:rsid w:val="00484958"/>
    <w:rsid w:val="00484C77"/>
    <w:rsid w:val="0048553C"/>
    <w:rsid w:val="00485B56"/>
    <w:rsid w:val="00485DD2"/>
    <w:rsid w:val="00486865"/>
    <w:rsid w:val="0048696A"/>
    <w:rsid w:val="0048715F"/>
    <w:rsid w:val="004873D5"/>
    <w:rsid w:val="004877A0"/>
    <w:rsid w:val="00490E26"/>
    <w:rsid w:val="0049134C"/>
    <w:rsid w:val="00492C33"/>
    <w:rsid w:val="004932B5"/>
    <w:rsid w:val="004935D4"/>
    <w:rsid w:val="0049550D"/>
    <w:rsid w:val="0049553B"/>
    <w:rsid w:val="00495A1A"/>
    <w:rsid w:val="00497136"/>
    <w:rsid w:val="004976A5"/>
    <w:rsid w:val="00497B0B"/>
    <w:rsid w:val="004A0417"/>
    <w:rsid w:val="004A0E1F"/>
    <w:rsid w:val="004A12B7"/>
    <w:rsid w:val="004A18C1"/>
    <w:rsid w:val="004A1BB8"/>
    <w:rsid w:val="004A274C"/>
    <w:rsid w:val="004A2BC9"/>
    <w:rsid w:val="004A3791"/>
    <w:rsid w:val="004A37DD"/>
    <w:rsid w:val="004A3DBE"/>
    <w:rsid w:val="004A45EC"/>
    <w:rsid w:val="004A471C"/>
    <w:rsid w:val="004A4FDE"/>
    <w:rsid w:val="004A56B3"/>
    <w:rsid w:val="004A5B44"/>
    <w:rsid w:val="004A6645"/>
    <w:rsid w:val="004A6C8B"/>
    <w:rsid w:val="004A6E30"/>
    <w:rsid w:val="004A7036"/>
    <w:rsid w:val="004A70C3"/>
    <w:rsid w:val="004A74A8"/>
    <w:rsid w:val="004A78E6"/>
    <w:rsid w:val="004B023D"/>
    <w:rsid w:val="004B0465"/>
    <w:rsid w:val="004B07D1"/>
    <w:rsid w:val="004B09D5"/>
    <w:rsid w:val="004B0F6A"/>
    <w:rsid w:val="004B16EA"/>
    <w:rsid w:val="004B2352"/>
    <w:rsid w:val="004B2BA7"/>
    <w:rsid w:val="004B3137"/>
    <w:rsid w:val="004B4489"/>
    <w:rsid w:val="004B4E9B"/>
    <w:rsid w:val="004B56E9"/>
    <w:rsid w:val="004B59C3"/>
    <w:rsid w:val="004B5A32"/>
    <w:rsid w:val="004B6086"/>
    <w:rsid w:val="004B78FB"/>
    <w:rsid w:val="004C0066"/>
    <w:rsid w:val="004C0E22"/>
    <w:rsid w:val="004C19BE"/>
    <w:rsid w:val="004C1F6C"/>
    <w:rsid w:val="004C2273"/>
    <w:rsid w:val="004C22B5"/>
    <w:rsid w:val="004C2948"/>
    <w:rsid w:val="004C33A9"/>
    <w:rsid w:val="004C3DB1"/>
    <w:rsid w:val="004C4180"/>
    <w:rsid w:val="004C41A6"/>
    <w:rsid w:val="004C4570"/>
    <w:rsid w:val="004C5204"/>
    <w:rsid w:val="004C6BBD"/>
    <w:rsid w:val="004D10CF"/>
    <w:rsid w:val="004D1C41"/>
    <w:rsid w:val="004D259F"/>
    <w:rsid w:val="004D291B"/>
    <w:rsid w:val="004D2D20"/>
    <w:rsid w:val="004D345F"/>
    <w:rsid w:val="004D3DF3"/>
    <w:rsid w:val="004D4A27"/>
    <w:rsid w:val="004D4B90"/>
    <w:rsid w:val="004D4F65"/>
    <w:rsid w:val="004D52AE"/>
    <w:rsid w:val="004D5824"/>
    <w:rsid w:val="004D5D9A"/>
    <w:rsid w:val="004D660D"/>
    <w:rsid w:val="004D69EA"/>
    <w:rsid w:val="004D7312"/>
    <w:rsid w:val="004D7B15"/>
    <w:rsid w:val="004D7EAE"/>
    <w:rsid w:val="004E0004"/>
    <w:rsid w:val="004E0420"/>
    <w:rsid w:val="004E09FD"/>
    <w:rsid w:val="004E1982"/>
    <w:rsid w:val="004E1AF8"/>
    <w:rsid w:val="004E21BF"/>
    <w:rsid w:val="004E3511"/>
    <w:rsid w:val="004E380A"/>
    <w:rsid w:val="004E3B1F"/>
    <w:rsid w:val="004E4729"/>
    <w:rsid w:val="004E4A92"/>
    <w:rsid w:val="004E530B"/>
    <w:rsid w:val="004E558A"/>
    <w:rsid w:val="004E6015"/>
    <w:rsid w:val="004E6593"/>
    <w:rsid w:val="004E6724"/>
    <w:rsid w:val="004F151D"/>
    <w:rsid w:val="004F3406"/>
    <w:rsid w:val="004F3546"/>
    <w:rsid w:val="004F384A"/>
    <w:rsid w:val="004F41B5"/>
    <w:rsid w:val="004F4207"/>
    <w:rsid w:val="004F4CAE"/>
    <w:rsid w:val="004F5320"/>
    <w:rsid w:val="004F56B6"/>
    <w:rsid w:val="004F6702"/>
    <w:rsid w:val="004F6DE4"/>
    <w:rsid w:val="004F706C"/>
    <w:rsid w:val="004F729F"/>
    <w:rsid w:val="004F740A"/>
    <w:rsid w:val="004F77DA"/>
    <w:rsid w:val="004F7894"/>
    <w:rsid w:val="004F7E35"/>
    <w:rsid w:val="00500008"/>
    <w:rsid w:val="00500FA5"/>
    <w:rsid w:val="00503122"/>
    <w:rsid w:val="0050399E"/>
    <w:rsid w:val="00504EDC"/>
    <w:rsid w:val="0050524B"/>
    <w:rsid w:val="00505958"/>
    <w:rsid w:val="00505F5E"/>
    <w:rsid w:val="00505F8D"/>
    <w:rsid w:val="00507F10"/>
    <w:rsid w:val="0051162C"/>
    <w:rsid w:val="00511E7F"/>
    <w:rsid w:val="00512059"/>
    <w:rsid w:val="005123B8"/>
    <w:rsid w:val="00512788"/>
    <w:rsid w:val="00512E65"/>
    <w:rsid w:val="0051326D"/>
    <w:rsid w:val="00513A99"/>
    <w:rsid w:val="005147B9"/>
    <w:rsid w:val="00514E38"/>
    <w:rsid w:val="00515173"/>
    <w:rsid w:val="00515322"/>
    <w:rsid w:val="0051573C"/>
    <w:rsid w:val="0051575F"/>
    <w:rsid w:val="00515E08"/>
    <w:rsid w:val="005167A1"/>
    <w:rsid w:val="005178F4"/>
    <w:rsid w:val="00517967"/>
    <w:rsid w:val="00520A3F"/>
    <w:rsid w:val="00521CDA"/>
    <w:rsid w:val="00521F55"/>
    <w:rsid w:val="005234CF"/>
    <w:rsid w:val="005234EE"/>
    <w:rsid w:val="005240D7"/>
    <w:rsid w:val="005244B7"/>
    <w:rsid w:val="00525BFF"/>
    <w:rsid w:val="005263AC"/>
    <w:rsid w:val="0052682A"/>
    <w:rsid w:val="005279FA"/>
    <w:rsid w:val="00530F2B"/>
    <w:rsid w:val="0053161D"/>
    <w:rsid w:val="005320C1"/>
    <w:rsid w:val="0053213A"/>
    <w:rsid w:val="005321C6"/>
    <w:rsid w:val="00532C18"/>
    <w:rsid w:val="00533907"/>
    <w:rsid w:val="0053397B"/>
    <w:rsid w:val="00533A43"/>
    <w:rsid w:val="00533C33"/>
    <w:rsid w:val="0053443A"/>
    <w:rsid w:val="00534A01"/>
    <w:rsid w:val="00535060"/>
    <w:rsid w:val="00535387"/>
    <w:rsid w:val="0053549D"/>
    <w:rsid w:val="00537419"/>
    <w:rsid w:val="00537EC5"/>
    <w:rsid w:val="00540268"/>
    <w:rsid w:val="00540314"/>
    <w:rsid w:val="005408ED"/>
    <w:rsid w:val="00540B68"/>
    <w:rsid w:val="00541D4E"/>
    <w:rsid w:val="005420B3"/>
    <w:rsid w:val="0054218D"/>
    <w:rsid w:val="0054234F"/>
    <w:rsid w:val="00542CE2"/>
    <w:rsid w:val="00543034"/>
    <w:rsid w:val="005434E1"/>
    <w:rsid w:val="00544524"/>
    <w:rsid w:val="005446D1"/>
    <w:rsid w:val="0054550C"/>
    <w:rsid w:val="0054570A"/>
    <w:rsid w:val="00546150"/>
    <w:rsid w:val="0054654C"/>
    <w:rsid w:val="00546B2A"/>
    <w:rsid w:val="00547D24"/>
    <w:rsid w:val="00550862"/>
    <w:rsid w:val="005509D9"/>
    <w:rsid w:val="00550D59"/>
    <w:rsid w:val="005520BD"/>
    <w:rsid w:val="00552C50"/>
    <w:rsid w:val="00552E2F"/>
    <w:rsid w:val="005547BC"/>
    <w:rsid w:val="00554A88"/>
    <w:rsid w:val="00555246"/>
    <w:rsid w:val="005559B2"/>
    <w:rsid w:val="00555B2B"/>
    <w:rsid w:val="00556089"/>
    <w:rsid w:val="005563BB"/>
    <w:rsid w:val="005567B1"/>
    <w:rsid w:val="00556BA8"/>
    <w:rsid w:val="00556CBC"/>
    <w:rsid w:val="005572C5"/>
    <w:rsid w:val="005574A3"/>
    <w:rsid w:val="005576D8"/>
    <w:rsid w:val="00557C35"/>
    <w:rsid w:val="00557C71"/>
    <w:rsid w:val="00557E5A"/>
    <w:rsid w:val="00560203"/>
    <w:rsid w:val="00560380"/>
    <w:rsid w:val="00560600"/>
    <w:rsid w:val="005606CA"/>
    <w:rsid w:val="005609EB"/>
    <w:rsid w:val="005612CF"/>
    <w:rsid w:val="00561D2C"/>
    <w:rsid w:val="00562970"/>
    <w:rsid w:val="00562B8E"/>
    <w:rsid w:val="00562BED"/>
    <w:rsid w:val="005633C9"/>
    <w:rsid w:val="005634BB"/>
    <w:rsid w:val="0056394E"/>
    <w:rsid w:val="00563D54"/>
    <w:rsid w:val="00564548"/>
    <w:rsid w:val="0056459A"/>
    <w:rsid w:val="00564A24"/>
    <w:rsid w:val="00564BED"/>
    <w:rsid w:val="00564F59"/>
    <w:rsid w:val="0056510D"/>
    <w:rsid w:val="00565A5F"/>
    <w:rsid w:val="00566E81"/>
    <w:rsid w:val="00567343"/>
    <w:rsid w:val="005707B2"/>
    <w:rsid w:val="00571C05"/>
    <w:rsid w:val="00573BAA"/>
    <w:rsid w:val="00574144"/>
    <w:rsid w:val="00575604"/>
    <w:rsid w:val="00575AA6"/>
    <w:rsid w:val="0057656D"/>
    <w:rsid w:val="00577285"/>
    <w:rsid w:val="00578AEA"/>
    <w:rsid w:val="00581AFF"/>
    <w:rsid w:val="0058276A"/>
    <w:rsid w:val="00582DB9"/>
    <w:rsid w:val="00584283"/>
    <w:rsid w:val="00584502"/>
    <w:rsid w:val="005847F8"/>
    <w:rsid w:val="00585CFF"/>
    <w:rsid w:val="00590857"/>
    <w:rsid w:val="00590CDC"/>
    <w:rsid w:val="005912C3"/>
    <w:rsid w:val="0059174B"/>
    <w:rsid w:val="005928BE"/>
    <w:rsid w:val="00592A76"/>
    <w:rsid w:val="00593588"/>
    <w:rsid w:val="00593B07"/>
    <w:rsid w:val="00593E45"/>
    <w:rsid w:val="005940B1"/>
    <w:rsid w:val="00594398"/>
    <w:rsid w:val="005947BC"/>
    <w:rsid w:val="005967F6"/>
    <w:rsid w:val="00596CC7"/>
    <w:rsid w:val="00597C70"/>
    <w:rsid w:val="00597CA2"/>
    <w:rsid w:val="00597D08"/>
    <w:rsid w:val="00597DA9"/>
    <w:rsid w:val="00597F22"/>
    <w:rsid w:val="005A0067"/>
    <w:rsid w:val="005A0230"/>
    <w:rsid w:val="005A1155"/>
    <w:rsid w:val="005A1E09"/>
    <w:rsid w:val="005A39FB"/>
    <w:rsid w:val="005A3A3D"/>
    <w:rsid w:val="005A3B65"/>
    <w:rsid w:val="005A3D9F"/>
    <w:rsid w:val="005A57A1"/>
    <w:rsid w:val="005A57CF"/>
    <w:rsid w:val="005A5868"/>
    <w:rsid w:val="005A66A4"/>
    <w:rsid w:val="005A6765"/>
    <w:rsid w:val="005A6BDE"/>
    <w:rsid w:val="005A750F"/>
    <w:rsid w:val="005A76C2"/>
    <w:rsid w:val="005A7A36"/>
    <w:rsid w:val="005A7E59"/>
    <w:rsid w:val="005B04BE"/>
    <w:rsid w:val="005B0D3E"/>
    <w:rsid w:val="005B123B"/>
    <w:rsid w:val="005B21E5"/>
    <w:rsid w:val="005B29D6"/>
    <w:rsid w:val="005B2AFF"/>
    <w:rsid w:val="005B328A"/>
    <w:rsid w:val="005B350C"/>
    <w:rsid w:val="005B352D"/>
    <w:rsid w:val="005B4350"/>
    <w:rsid w:val="005B6026"/>
    <w:rsid w:val="005B783E"/>
    <w:rsid w:val="005C01B4"/>
    <w:rsid w:val="005C0288"/>
    <w:rsid w:val="005C06D7"/>
    <w:rsid w:val="005C0A6A"/>
    <w:rsid w:val="005C1BAC"/>
    <w:rsid w:val="005C2E5E"/>
    <w:rsid w:val="005C39A6"/>
    <w:rsid w:val="005C3DDC"/>
    <w:rsid w:val="005C3F55"/>
    <w:rsid w:val="005C3F8D"/>
    <w:rsid w:val="005C4301"/>
    <w:rsid w:val="005C488A"/>
    <w:rsid w:val="005C5759"/>
    <w:rsid w:val="005C6702"/>
    <w:rsid w:val="005C677E"/>
    <w:rsid w:val="005C7A8D"/>
    <w:rsid w:val="005D0734"/>
    <w:rsid w:val="005D07CC"/>
    <w:rsid w:val="005D09BC"/>
    <w:rsid w:val="005D0C81"/>
    <w:rsid w:val="005D0DD4"/>
    <w:rsid w:val="005D1372"/>
    <w:rsid w:val="005D19CC"/>
    <w:rsid w:val="005D1B24"/>
    <w:rsid w:val="005D1C99"/>
    <w:rsid w:val="005D1DC1"/>
    <w:rsid w:val="005D236D"/>
    <w:rsid w:val="005D2380"/>
    <w:rsid w:val="005D31FA"/>
    <w:rsid w:val="005D3D6D"/>
    <w:rsid w:val="005D4350"/>
    <w:rsid w:val="005D4721"/>
    <w:rsid w:val="005D4A82"/>
    <w:rsid w:val="005D4AEE"/>
    <w:rsid w:val="005D500D"/>
    <w:rsid w:val="005D56BA"/>
    <w:rsid w:val="005D6568"/>
    <w:rsid w:val="005D66ED"/>
    <w:rsid w:val="005E0B9D"/>
    <w:rsid w:val="005E18AF"/>
    <w:rsid w:val="005E199E"/>
    <w:rsid w:val="005E1D69"/>
    <w:rsid w:val="005E242C"/>
    <w:rsid w:val="005E339E"/>
    <w:rsid w:val="005E3464"/>
    <w:rsid w:val="005E3EF3"/>
    <w:rsid w:val="005E3F28"/>
    <w:rsid w:val="005E45D2"/>
    <w:rsid w:val="005E5106"/>
    <w:rsid w:val="005E5631"/>
    <w:rsid w:val="005E568C"/>
    <w:rsid w:val="005E58BB"/>
    <w:rsid w:val="005E6EE4"/>
    <w:rsid w:val="005E7C65"/>
    <w:rsid w:val="005E7E9D"/>
    <w:rsid w:val="005F0285"/>
    <w:rsid w:val="005F0292"/>
    <w:rsid w:val="005F10BF"/>
    <w:rsid w:val="005F1C6E"/>
    <w:rsid w:val="005F1DDF"/>
    <w:rsid w:val="005F426A"/>
    <w:rsid w:val="005F48A9"/>
    <w:rsid w:val="005F4AE8"/>
    <w:rsid w:val="005F51B1"/>
    <w:rsid w:val="005F563A"/>
    <w:rsid w:val="005F585A"/>
    <w:rsid w:val="005F7484"/>
    <w:rsid w:val="005F78CF"/>
    <w:rsid w:val="00600310"/>
    <w:rsid w:val="00600ED8"/>
    <w:rsid w:val="006013F2"/>
    <w:rsid w:val="006015F2"/>
    <w:rsid w:val="00603627"/>
    <w:rsid w:val="006036FA"/>
    <w:rsid w:val="00603CBD"/>
    <w:rsid w:val="00605BFA"/>
    <w:rsid w:val="006062D8"/>
    <w:rsid w:val="00606AAA"/>
    <w:rsid w:val="006074BF"/>
    <w:rsid w:val="006109B0"/>
    <w:rsid w:val="0061143D"/>
    <w:rsid w:val="006118AE"/>
    <w:rsid w:val="00611AFF"/>
    <w:rsid w:val="00612C2A"/>
    <w:rsid w:val="006145BD"/>
    <w:rsid w:val="00615898"/>
    <w:rsid w:val="00616EDA"/>
    <w:rsid w:val="00617EF4"/>
    <w:rsid w:val="00620797"/>
    <w:rsid w:val="00620875"/>
    <w:rsid w:val="00620B52"/>
    <w:rsid w:val="00620CEA"/>
    <w:rsid w:val="00620E74"/>
    <w:rsid w:val="006210BC"/>
    <w:rsid w:val="00621837"/>
    <w:rsid w:val="00621AF5"/>
    <w:rsid w:val="00622128"/>
    <w:rsid w:val="00624A92"/>
    <w:rsid w:val="00625A77"/>
    <w:rsid w:val="00625E8D"/>
    <w:rsid w:val="00627EC6"/>
    <w:rsid w:val="00630AD1"/>
    <w:rsid w:val="00631AD5"/>
    <w:rsid w:val="00631D2D"/>
    <w:rsid w:val="0063238A"/>
    <w:rsid w:val="00632DCE"/>
    <w:rsid w:val="00632F68"/>
    <w:rsid w:val="00632FF1"/>
    <w:rsid w:val="006331D6"/>
    <w:rsid w:val="006339E2"/>
    <w:rsid w:val="00635B50"/>
    <w:rsid w:val="00635DA5"/>
    <w:rsid w:val="006363E6"/>
    <w:rsid w:val="0063665E"/>
    <w:rsid w:val="0063717D"/>
    <w:rsid w:val="00640CAA"/>
    <w:rsid w:val="00641239"/>
    <w:rsid w:val="00642102"/>
    <w:rsid w:val="00642221"/>
    <w:rsid w:val="00642666"/>
    <w:rsid w:val="00642C04"/>
    <w:rsid w:val="006438CC"/>
    <w:rsid w:val="00644211"/>
    <w:rsid w:val="00644335"/>
    <w:rsid w:val="00644475"/>
    <w:rsid w:val="00644CAB"/>
    <w:rsid w:val="00644FA3"/>
    <w:rsid w:val="00645988"/>
    <w:rsid w:val="00645D4E"/>
    <w:rsid w:val="006461CE"/>
    <w:rsid w:val="006463E3"/>
    <w:rsid w:val="00646E44"/>
    <w:rsid w:val="0064727F"/>
    <w:rsid w:val="00647E93"/>
    <w:rsid w:val="00650900"/>
    <w:rsid w:val="0065139A"/>
    <w:rsid w:val="00651E21"/>
    <w:rsid w:val="00652279"/>
    <w:rsid w:val="006522F5"/>
    <w:rsid w:val="00652752"/>
    <w:rsid w:val="00652DF4"/>
    <w:rsid w:val="006532BB"/>
    <w:rsid w:val="00653612"/>
    <w:rsid w:val="00653AC3"/>
    <w:rsid w:val="00654505"/>
    <w:rsid w:val="006548DF"/>
    <w:rsid w:val="00654925"/>
    <w:rsid w:val="00654A4F"/>
    <w:rsid w:val="0065591A"/>
    <w:rsid w:val="00655B26"/>
    <w:rsid w:val="00656689"/>
    <w:rsid w:val="00656FB2"/>
    <w:rsid w:val="006570F5"/>
    <w:rsid w:val="0066065F"/>
    <w:rsid w:val="00661759"/>
    <w:rsid w:val="00661833"/>
    <w:rsid w:val="00661B64"/>
    <w:rsid w:val="00661C80"/>
    <w:rsid w:val="00661D0F"/>
    <w:rsid w:val="00662001"/>
    <w:rsid w:val="00662D4F"/>
    <w:rsid w:val="00663386"/>
    <w:rsid w:val="0066381F"/>
    <w:rsid w:val="006640EE"/>
    <w:rsid w:val="00664A17"/>
    <w:rsid w:val="00664F88"/>
    <w:rsid w:val="00665818"/>
    <w:rsid w:val="00665B0E"/>
    <w:rsid w:val="00665C70"/>
    <w:rsid w:val="00665E1F"/>
    <w:rsid w:val="00665E2B"/>
    <w:rsid w:val="006669B6"/>
    <w:rsid w:val="00667843"/>
    <w:rsid w:val="006711AF"/>
    <w:rsid w:val="00671668"/>
    <w:rsid w:val="00671846"/>
    <w:rsid w:val="00671F29"/>
    <w:rsid w:val="00672566"/>
    <w:rsid w:val="00672983"/>
    <w:rsid w:val="00673635"/>
    <w:rsid w:val="006745DA"/>
    <w:rsid w:val="0067466C"/>
    <w:rsid w:val="00674D14"/>
    <w:rsid w:val="00674ECF"/>
    <w:rsid w:val="00675227"/>
    <w:rsid w:val="0067581F"/>
    <w:rsid w:val="00676370"/>
    <w:rsid w:val="006764C9"/>
    <w:rsid w:val="00677999"/>
    <w:rsid w:val="00677AE8"/>
    <w:rsid w:val="006801C6"/>
    <w:rsid w:val="0068040E"/>
    <w:rsid w:val="00680C9D"/>
    <w:rsid w:val="00681A16"/>
    <w:rsid w:val="006830A1"/>
    <w:rsid w:val="00683B5C"/>
    <w:rsid w:val="00684328"/>
    <w:rsid w:val="006847B8"/>
    <w:rsid w:val="00684C57"/>
    <w:rsid w:val="006855B8"/>
    <w:rsid w:val="00686B57"/>
    <w:rsid w:val="00687840"/>
    <w:rsid w:val="00687A0F"/>
    <w:rsid w:val="00687C5E"/>
    <w:rsid w:val="00690FAC"/>
    <w:rsid w:val="00693F44"/>
    <w:rsid w:val="0069407B"/>
    <w:rsid w:val="00694756"/>
    <w:rsid w:val="0069559F"/>
    <w:rsid w:val="00695837"/>
    <w:rsid w:val="00696188"/>
    <w:rsid w:val="006965FB"/>
    <w:rsid w:val="006976C0"/>
    <w:rsid w:val="006977C7"/>
    <w:rsid w:val="00697885"/>
    <w:rsid w:val="00697A8B"/>
    <w:rsid w:val="006A0064"/>
    <w:rsid w:val="006A0D6F"/>
    <w:rsid w:val="006A118B"/>
    <w:rsid w:val="006A118D"/>
    <w:rsid w:val="006A1E02"/>
    <w:rsid w:val="006A28DF"/>
    <w:rsid w:val="006A2D97"/>
    <w:rsid w:val="006A36C0"/>
    <w:rsid w:val="006A3E9C"/>
    <w:rsid w:val="006A445F"/>
    <w:rsid w:val="006A4A83"/>
    <w:rsid w:val="006A4E7F"/>
    <w:rsid w:val="006A5530"/>
    <w:rsid w:val="006A56AD"/>
    <w:rsid w:val="006A57AF"/>
    <w:rsid w:val="006A585E"/>
    <w:rsid w:val="006A5FFF"/>
    <w:rsid w:val="006A6BDD"/>
    <w:rsid w:val="006A729D"/>
    <w:rsid w:val="006A75B6"/>
    <w:rsid w:val="006B1317"/>
    <w:rsid w:val="006B180F"/>
    <w:rsid w:val="006B1A20"/>
    <w:rsid w:val="006B2889"/>
    <w:rsid w:val="006B29D2"/>
    <w:rsid w:val="006B2BE2"/>
    <w:rsid w:val="006B3015"/>
    <w:rsid w:val="006B3A4E"/>
    <w:rsid w:val="006B471D"/>
    <w:rsid w:val="006B48FE"/>
    <w:rsid w:val="006B4C6C"/>
    <w:rsid w:val="006B50E6"/>
    <w:rsid w:val="006B5B02"/>
    <w:rsid w:val="006B6723"/>
    <w:rsid w:val="006B69A7"/>
    <w:rsid w:val="006B6ECB"/>
    <w:rsid w:val="006C08D2"/>
    <w:rsid w:val="006C0D2E"/>
    <w:rsid w:val="006C1637"/>
    <w:rsid w:val="006C1B70"/>
    <w:rsid w:val="006C1F01"/>
    <w:rsid w:val="006C1FC6"/>
    <w:rsid w:val="006C31BF"/>
    <w:rsid w:val="006C4578"/>
    <w:rsid w:val="006C6123"/>
    <w:rsid w:val="006C644B"/>
    <w:rsid w:val="006C7FB1"/>
    <w:rsid w:val="006D0CC2"/>
    <w:rsid w:val="006D1EC6"/>
    <w:rsid w:val="006D1F1F"/>
    <w:rsid w:val="006D2CA7"/>
    <w:rsid w:val="006D2F6E"/>
    <w:rsid w:val="006D4022"/>
    <w:rsid w:val="006D4C1A"/>
    <w:rsid w:val="006D4D73"/>
    <w:rsid w:val="006D4D84"/>
    <w:rsid w:val="006D537A"/>
    <w:rsid w:val="006D5FFE"/>
    <w:rsid w:val="006D60E1"/>
    <w:rsid w:val="006D62B9"/>
    <w:rsid w:val="006D63F6"/>
    <w:rsid w:val="006D6E93"/>
    <w:rsid w:val="006D6F37"/>
    <w:rsid w:val="006D7978"/>
    <w:rsid w:val="006E054A"/>
    <w:rsid w:val="006E1539"/>
    <w:rsid w:val="006E28E1"/>
    <w:rsid w:val="006E30FB"/>
    <w:rsid w:val="006E361C"/>
    <w:rsid w:val="006E3EDF"/>
    <w:rsid w:val="006E4744"/>
    <w:rsid w:val="006E4D7E"/>
    <w:rsid w:val="006E5880"/>
    <w:rsid w:val="006E64A0"/>
    <w:rsid w:val="006E69F3"/>
    <w:rsid w:val="006E6B9D"/>
    <w:rsid w:val="006E71BF"/>
    <w:rsid w:val="006E72A7"/>
    <w:rsid w:val="006E7F9B"/>
    <w:rsid w:val="006E7FE1"/>
    <w:rsid w:val="006F0E06"/>
    <w:rsid w:val="006F0F0B"/>
    <w:rsid w:val="006F1270"/>
    <w:rsid w:val="006F1357"/>
    <w:rsid w:val="006F153E"/>
    <w:rsid w:val="006F1DE8"/>
    <w:rsid w:val="006F2129"/>
    <w:rsid w:val="006F23DF"/>
    <w:rsid w:val="006F260C"/>
    <w:rsid w:val="006F3106"/>
    <w:rsid w:val="006F4215"/>
    <w:rsid w:val="006F43A5"/>
    <w:rsid w:val="006F45A4"/>
    <w:rsid w:val="006F4A73"/>
    <w:rsid w:val="006F60CE"/>
    <w:rsid w:val="006F7328"/>
    <w:rsid w:val="006F73F5"/>
    <w:rsid w:val="006F7764"/>
    <w:rsid w:val="006F7AF1"/>
    <w:rsid w:val="0070029E"/>
    <w:rsid w:val="00700D11"/>
    <w:rsid w:val="00700E67"/>
    <w:rsid w:val="007013CE"/>
    <w:rsid w:val="00702F68"/>
    <w:rsid w:val="00703F72"/>
    <w:rsid w:val="00705482"/>
    <w:rsid w:val="00705DCD"/>
    <w:rsid w:val="007065A4"/>
    <w:rsid w:val="0070662E"/>
    <w:rsid w:val="00706DD8"/>
    <w:rsid w:val="007070F1"/>
    <w:rsid w:val="007075EF"/>
    <w:rsid w:val="00707600"/>
    <w:rsid w:val="007076F7"/>
    <w:rsid w:val="007078F4"/>
    <w:rsid w:val="00710D06"/>
    <w:rsid w:val="00710E9B"/>
    <w:rsid w:val="007119BC"/>
    <w:rsid w:val="00711EC6"/>
    <w:rsid w:val="0071203D"/>
    <w:rsid w:val="00712050"/>
    <w:rsid w:val="00712F77"/>
    <w:rsid w:val="00713615"/>
    <w:rsid w:val="00713FF9"/>
    <w:rsid w:val="00714EC0"/>
    <w:rsid w:val="00715322"/>
    <w:rsid w:val="00715E64"/>
    <w:rsid w:val="0071633F"/>
    <w:rsid w:val="00716D55"/>
    <w:rsid w:val="00716F92"/>
    <w:rsid w:val="00717B04"/>
    <w:rsid w:val="0072066E"/>
    <w:rsid w:val="00720691"/>
    <w:rsid w:val="00720A83"/>
    <w:rsid w:val="00721618"/>
    <w:rsid w:val="0072204C"/>
    <w:rsid w:val="007221B8"/>
    <w:rsid w:val="00722798"/>
    <w:rsid w:val="007231BA"/>
    <w:rsid w:val="0072438A"/>
    <w:rsid w:val="007244E1"/>
    <w:rsid w:val="00724BAF"/>
    <w:rsid w:val="0072565C"/>
    <w:rsid w:val="0072621B"/>
    <w:rsid w:val="00726985"/>
    <w:rsid w:val="00727692"/>
    <w:rsid w:val="00730362"/>
    <w:rsid w:val="007308EC"/>
    <w:rsid w:val="0073095D"/>
    <w:rsid w:val="00730A98"/>
    <w:rsid w:val="0073131B"/>
    <w:rsid w:val="00731527"/>
    <w:rsid w:val="00731825"/>
    <w:rsid w:val="007322DD"/>
    <w:rsid w:val="0073260E"/>
    <w:rsid w:val="00732C29"/>
    <w:rsid w:val="007336D8"/>
    <w:rsid w:val="00734A38"/>
    <w:rsid w:val="00736028"/>
    <w:rsid w:val="007377B8"/>
    <w:rsid w:val="00740534"/>
    <w:rsid w:val="0074097A"/>
    <w:rsid w:val="007412F5"/>
    <w:rsid w:val="00741757"/>
    <w:rsid w:val="00741985"/>
    <w:rsid w:val="0074237C"/>
    <w:rsid w:val="007425FA"/>
    <w:rsid w:val="00742AE3"/>
    <w:rsid w:val="00742C25"/>
    <w:rsid w:val="0074311B"/>
    <w:rsid w:val="00744F0B"/>
    <w:rsid w:val="007460BF"/>
    <w:rsid w:val="00746247"/>
    <w:rsid w:val="0074634C"/>
    <w:rsid w:val="00746899"/>
    <w:rsid w:val="00746A5B"/>
    <w:rsid w:val="00746BD1"/>
    <w:rsid w:val="00746E63"/>
    <w:rsid w:val="007471E8"/>
    <w:rsid w:val="00747630"/>
    <w:rsid w:val="00747833"/>
    <w:rsid w:val="00747B43"/>
    <w:rsid w:val="00750340"/>
    <w:rsid w:val="007506ED"/>
    <w:rsid w:val="0075179D"/>
    <w:rsid w:val="00751879"/>
    <w:rsid w:val="00752560"/>
    <w:rsid w:val="007526DF"/>
    <w:rsid w:val="00752B0E"/>
    <w:rsid w:val="00752F2F"/>
    <w:rsid w:val="00753D44"/>
    <w:rsid w:val="007546CF"/>
    <w:rsid w:val="007548C0"/>
    <w:rsid w:val="00755720"/>
    <w:rsid w:val="007560E1"/>
    <w:rsid w:val="00757A2A"/>
    <w:rsid w:val="007605AA"/>
    <w:rsid w:val="007611C1"/>
    <w:rsid w:val="007614C9"/>
    <w:rsid w:val="00761616"/>
    <w:rsid w:val="00761BF5"/>
    <w:rsid w:val="00761CFB"/>
    <w:rsid w:val="00761E1E"/>
    <w:rsid w:val="0076497B"/>
    <w:rsid w:val="00764B9F"/>
    <w:rsid w:val="00765239"/>
    <w:rsid w:val="0076540B"/>
    <w:rsid w:val="00765466"/>
    <w:rsid w:val="00765861"/>
    <w:rsid w:val="00765D89"/>
    <w:rsid w:val="00766FF0"/>
    <w:rsid w:val="00767CBA"/>
    <w:rsid w:val="00770993"/>
    <w:rsid w:val="00770F02"/>
    <w:rsid w:val="007710CE"/>
    <w:rsid w:val="00772AB3"/>
    <w:rsid w:val="00772C9A"/>
    <w:rsid w:val="007737CE"/>
    <w:rsid w:val="00773BA6"/>
    <w:rsid w:val="00774829"/>
    <w:rsid w:val="0077482A"/>
    <w:rsid w:val="007750AE"/>
    <w:rsid w:val="00776105"/>
    <w:rsid w:val="00777152"/>
    <w:rsid w:val="00777578"/>
    <w:rsid w:val="0078019A"/>
    <w:rsid w:val="0078095D"/>
    <w:rsid w:val="0078187C"/>
    <w:rsid w:val="00781A4E"/>
    <w:rsid w:val="00781EC5"/>
    <w:rsid w:val="00782BE9"/>
    <w:rsid w:val="00783B7E"/>
    <w:rsid w:val="007843E6"/>
    <w:rsid w:val="00784819"/>
    <w:rsid w:val="00784AAC"/>
    <w:rsid w:val="00784ADB"/>
    <w:rsid w:val="007856A5"/>
    <w:rsid w:val="007858FF"/>
    <w:rsid w:val="00785AA1"/>
    <w:rsid w:val="00786F42"/>
    <w:rsid w:val="00787346"/>
    <w:rsid w:val="007901D2"/>
    <w:rsid w:val="00792366"/>
    <w:rsid w:val="007929BA"/>
    <w:rsid w:val="00793D5C"/>
    <w:rsid w:val="0079408E"/>
    <w:rsid w:val="00795F73"/>
    <w:rsid w:val="007969B4"/>
    <w:rsid w:val="00796F12"/>
    <w:rsid w:val="007973F0"/>
    <w:rsid w:val="00797D7C"/>
    <w:rsid w:val="00797E1A"/>
    <w:rsid w:val="007A011E"/>
    <w:rsid w:val="007A045B"/>
    <w:rsid w:val="007A111C"/>
    <w:rsid w:val="007A1965"/>
    <w:rsid w:val="007A19FC"/>
    <w:rsid w:val="007A1A8A"/>
    <w:rsid w:val="007A26D6"/>
    <w:rsid w:val="007A27B4"/>
    <w:rsid w:val="007A2F1C"/>
    <w:rsid w:val="007A3501"/>
    <w:rsid w:val="007A3A7E"/>
    <w:rsid w:val="007A57CE"/>
    <w:rsid w:val="007A5C3E"/>
    <w:rsid w:val="007A5D70"/>
    <w:rsid w:val="007A6593"/>
    <w:rsid w:val="007A6976"/>
    <w:rsid w:val="007A7216"/>
    <w:rsid w:val="007A777C"/>
    <w:rsid w:val="007A7DAA"/>
    <w:rsid w:val="007A7ECA"/>
    <w:rsid w:val="007B180E"/>
    <w:rsid w:val="007B1CB2"/>
    <w:rsid w:val="007B20FD"/>
    <w:rsid w:val="007B22FC"/>
    <w:rsid w:val="007B2686"/>
    <w:rsid w:val="007B37E6"/>
    <w:rsid w:val="007B3C67"/>
    <w:rsid w:val="007B44CA"/>
    <w:rsid w:val="007B477A"/>
    <w:rsid w:val="007B4A03"/>
    <w:rsid w:val="007B4BBE"/>
    <w:rsid w:val="007B5A9B"/>
    <w:rsid w:val="007B6C10"/>
    <w:rsid w:val="007B7029"/>
    <w:rsid w:val="007B772D"/>
    <w:rsid w:val="007C01DF"/>
    <w:rsid w:val="007C04C9"/>
    <w:rsid w:val="007C12EB"/>
    <w:rsid w:val="007C1919"/>
    <w:rsid w:val="007C1D46"/>
    <w:rsid w:val="007C213C"/>
    <w:rsid w:val="007C2560"/>
    <w:rsid w:val="007C2FCB"/>
    <w:rsid w:val="007C376D"/>
    <w:rsid w:val="007C4465"/>
    <w:rsid w:val="007C4C52"/>
    <w:rsid w:val="007C4D6B"/>
    <w:rsid w:val="007C5060"/>
    <w:rsid w:val="007C7359"/>
    <w:rsid w:val="007C75F9"/>
    <w:rsid w:val="007D02F6"/>
    <w:rsid w:val="007D08D7"/>
    <w:rsid w:val="007D17D2"/>
    <w:rsid w:val="007D2A32"/>
    <w:rsid w:val="007D2CC6"/>
    <w:rsid w:val="007D2D37"/>
    <w:rsid w:val="007D37CC"/>
    <w:rsid w:val="007D3BF0"/>
    <w:rsid w:val="007D4108"/>
    <w:rsid w:val="007D4199"/>
    <w:rsid w:val="007D497D"/>
    <w:rsid w:val="007D4C9A"/>
    <w:rsid w:val="007D56AE"/>
    <w:rsid w:val="007D58B1"/>
    <w:rsid w:val="007D5AE5"/>
    <w:rsid w:val="007D5DFE"/>
    <w:rsid w:val="007D5F56"/>
    <w:rsid w:val="007D6265"/>
    <w:rsid w:val="007D6A7E"/>
    <w:rsid w:val="007D74CC"/>
    <w:rsid w:val="007E01AB"/>
    <w:rsid w:val="007E0D19"/>
    <w:rsid w:val="007E0FB0"/>
    <w:rsid w:val="007E1259"/>
    <w:rsid w:val="007E1C71"/>
    <w:rsid w:val="007E1C77"/>
    <w:rsid w:val="007E20DA"/>
    <w:rsid w:val="007E318D"/>
    <w:rsid w:val="007E3A82"/>
    <w:rsid w:val="007E3B67"/>
    <w:rsid w:val="007E4ACB"/>
    <w:rsid w:val="007E6660"/>
    <w:rsid w:val="007E6D23"/>
    <w:rsid w:val="007E72A0"/>
    <w:rsid w:val="007E752C"/>
    <w:rsid w:val="007F1A3A"/>
    <w:rsid w:val="007F1ECE"/>
    <w:rsid w:val="007F290F"/>
    <w:rsid w:val="007F49DA"/>
    <w:rsid w:val="007F5090"/>
    <w:rsid w:val="007F5F1B"/>
    <w:rsid w:val="0080139C"/>
    <w:rsid w:val="008017AB"/>
    <w:rsid w:val="0080318E"/>
    <w:rsid w:val="00803B30"/>
    <w:rsid w:val="008043EC"/>
    <w:rsid w:val="00804583"/>
    <w:rsid w:val="00804DCA"/>
    <w:rsid w:val="008056E0"/>
    <w:rsid w:val="0080665B"/>
    <w:rsid w:val="00807883"/>
    <w:rsid w:val="00807ACE"/>
    <w:rsid w:val="00810132"/>
    <w:rsid w:val="00811464"/>
    <w:rsid w:val="00811543"/>
    <w:rsid w:val="0081276A"/>
    <w:rsid w:val="00813A91"/>
    <w:rsid w:val="00813CE0"/>
    <w:rsid w:val="00813D52"/>
    <w:rsid w:val="008148BC"/>
    <w:rsid w:val="008158FF"/>
    <w:rsid w:val="00815D06"/>
    <w:rsid w:val="00815E4C"/>
    <w:rsid w:val="008172BB"/>
    <w:rsid w:val="00817D66"/>
    <w:rsid w:val="00817E05"/>
    <w:rsid w:val="00820BE4"/>
    <w:rsid w:val="008216FC"/>
    <w:rsid w:val="00821746"/>
    <w:rsid w:val="00821F43"/>
    <w:rsid w:val="00822031"/>
    <w:rsid w:val="00822943"/>
    <w:rsid w:val="008230B7"/>
    <w:rsid w:val="00823DCB"/>
    <w:rsid w:val="008248F8"/>
    <w:rsid w:val="00825140"/>
    <w:rsid w:val="00825486"/>
    <w:rsid w:val="008257A7"/>
    <w:rsid w:val="00826430"/>
    <w:rsid w:val="008275AA"/>
    <w:rsid w:val="008319CC"/>
    <w:rsid w:val="00831EE5"/>
    <w:rsid w:val="00831F30"/>
    <w:rsid w:val="008325F4"/>
    <w:rsid w:val="008327D4"/>
    <w:rsid w:val="00832938"/>
    <w:rsid w:val="00832D3A"/>
    <w:rsid w:val="00833251"/>
    <w:rsid w:val="0083374D"/>
    <w:rsid w:val="008339B1"/>
    <w:rsid w:val="008347E3"/>
    <w:rsid w:val="00834DBC"/>
    <w:rsid w:val="0083620E"/>
    <w:rsid w:val="00836930"/>
    <w:rsid w:val="00836A14"/>
    <w:rsid w:val="00836F47"/>
    <w:rsid w:val="00837503"/>
    <w:rsid w:val="00837C04"/>
    <w:rsid w:val="0084033F"/>
    <w:rsid w:val="0084034E"/>
    <w:rsid w:val="0084061F"/>
    <w:rsid w:val="0084069E"/>
    <w:rsid w:val="0084195D"/>
    <w:rsid w:val="00841D5A"/>
    <w:rsid w:val="0084259A"/>
    <w:rsid w:val="00842700"/>
    <w:rsid w:val="0084287B"/>
    <w:rsid w:val="00843164"/>
    <w:rsid w:val="00844804"/>
    <w:rsid w:val="00845391"/>
    <w:rsid w:val="00845A3C"/>
    <w:rsid w:val="008463D1"/>
    <w:rsid w:val="00847614"/>
    <w:rsid w:val="00847989"/>
    <w:rsid w:val="00851BD5"/>
    <w:rsid w:val="00851E83"/>
    <w:rsid w:val="00852313"/>
    <w:rsid w:val="00852B99"/>
    <w:rsid w:val="00852FD9"/>
    <w:rsid w:val="008557E5"/>
    <w:rsid w:val="00856790"/>
    <w:rsid w:val="00857723"/>
    <w:rsid w:val="00860299"/>
    <w:rsid w:val="0086066F"/>
    <w:rsid w:val="0086093F"/>
    <w:rsid w:val="00860B02"/>
    <w:rsid w:val="00861D51"/>
    <w:rsid w:val="00861E54"/>
    <w:rsid w:val="008622C0"/>
    <w:rsid w:val="008627BF"/>
    <w:rsid w:val="00863066"/>
    <w:rsid w:val="00863C7D"/>
    <w:rsid w:val="0086491D"/>
    <w:rsid w:val="008650CD"/>
    <w:rsid w:val="00865711"/>
    <w:rsid w:val="00866DC3"/>
    <w:rsid w:val="00867AE3"/>
    <w:rsid w:val="00870A41"/>
    <w:rsid w:val="00870DCE"/>
    <w:rsid w:val="008714D3"/>
    <w:rsid w:val="008715A8"/>
    <w:rsid w:val="008718E0"/>
    <w:rsid w:val="00872331"/>
    <w:rsid w:val="00872542"/>
    <w:rsid w:val="00873D71"/>
    <w:rsid w:val="00873FB0"/>
    <w:rsid w:val="008743FD"/>
    <w:rsid w:val="008766FB"/>
    <w:rsid w:val="0087733F"/>
    <w:rsid w:val="00881790"/>
    <w:rsid w:val="00881AC4"/>
    <w:rsid w:val="00881AD8"/>
    <w:rsid w:val="00881E7B"/>
    <w:rsid w:val="00882260"/>
    <w:rsid w:val="00882B08"/>
    <w:rsid w:val="00882DC8"/>
    <w:rsid w:val="008837CB"/>
    <w:rsid w:val="00883C89"/>
    <w:rsid w:val="008841EC"/>
    <w:rsid w:val="0088463E"/>
    <w:rsid w:val="00885A26"/>
    <w:rsid w:val="008861F1"/>
    <w:rsid w:val="0088637B"/>
    <w:rsid w:val="00886EB8"/>
    <w:rsid w:val="00887E11"/>
    <w:rsid w:val="0089053B"/>
    <w:rsid w:val="00890C0E"/>
    <w:rsid w:val="00890D80"/>
    <w:rsid w:val="008919E2"/>
    <w:rsid w:val="00891A97"/>
    <w:rsid w:val="00891D3A"/>
    <w:rsid w:val="008923CA"/>
    <w:rsid w:val="00892582"/>
    <w:rsid w:val="00892792"/>
    <w:rsid w:val="0089294C"/>
    <w:rsid w:val="00892F0F"/>
    <w:rsid w:val="00893920"/>
    <w:rsid w:val="00893A10"/>
    <w:rsid w:val="0089546B"/>
    <w:rsid w:val="008955DA"/>
    <w:rsid w:val="00895ED4"/>
    <w:rsid w:val="00896095"/>
    <w:rsid w:val="0089628F"/>
    <w:rsid w:val="008963D7"/>
    <w:rsid w:val="008963E7"/>
    <w:rsid w:val="0089736C"/>
    <w:rsid w:val="0089749E"/>
    <w:rsid w:val="008975A0"/>
    <w:rsid w:val="008A0375"/>
    <w:rsid w:val="008A0B95"/>
    <w:rsid w:val="008A2530"/>
    <w:rsid w:val="008A275B"/>
    <w:rsid w:val="008A398F"/>
    <w:rsid w:val="008A3A5A"/>
    <w:rsid w:val="008A3C5D"/>
    <w:rsid w:val="008A3EC8"/>
    <w:rsid w:val="008A3F53"/>
    <w:rsid w:val="008A454B"/>
    <w:rsid w:val="008A45C2"/>
    <w:rsid w:val="008A4990"/>
    <w:rsid w:val="008A4CBF"/>
    <w:rsid w:val="008A52D4"/>
    <w:rsid w:val="008A56DF"/>
    <w:rsid w:val="008A58CC"/>
    <w:rsid w:val="008A6386"/>
    <w:rsid w:val="008A65BE"/>
    <w:rsid w:val="008B01CD"/>
    <w:rsid w:val="008B0F4A"/>
    <w:rsid w:val="008B168F"/>
    <w:rsid w:val="008B1A8A"/>
    <w:rsid w:val="008B1C86"/>
    <w:rsid w:val="008B3232"/>
    <w:rsid w:val="008B3FAA"/>
    <w:rsid w:val="008B4224"/>
    <w:rsid w:val="008B6137"/>
    <w:rsid w:val="008B64D0"/>
    <w:rsid w:val="008B6686"/>
    <w:rsid w:val="008B76F5"/>
    <w:rsid w:val="008B7A91"/>
    <w:rsid w:val="008B7ABD"/>
    <w:rsid w:val="008C0F23"/>
    <w:rsid w:val="008C129E"/>
    <w:rsid w:val="008C1351"/>
    <w:rsid w:val="008C198E"/>
    <w:rsid w:val="008C1BA0"/>
    <w:rsid w:val="008C1EFB"/>
    <w:rsid w:val="008C295C"/>
    <w:rsid w:val="008C4483"/>
    <w:rsid w:val="008C4E1E"/>
    <w:rsid w:val="008C5600"/>
    <w:rsid w:val="008C6C59"/>
    <w:rsid w:val="008C7490"/>
    <w:rsid w:val="008D0B72"/>
    <w:rsid w:val="008D0CB2"/>
    <w:rsid w:val="008D16C6"/>
    <w:rsid w:val="008D1C48"/>
    <w:rsid w:val="008D2079"/>
    <w:rsid w:val="008D2D81"/>
    <w:rsid w:val="008D43BC"/>
    <w:rsid w:val="008D44ED"/>
    <w:rsid w:val="008D489F"/>
    <w:rsid w:val="008D58CA"/>
    <w:rsid w:val="008D58F0"/>
    <w:rsid w:val="008D5CAA"/>
    <w:rsid w:val="008D79BF"/>
    <w:rsid w:val="008D7EB8"/>
    <w:rsid w:val="008E1136"/>
    <w:rsid w:val="008E12E8"/>
    <w:rsid w:val="008E276F"/>
    <w:rsid w:val="008E2858"/>
    <w:rsid w:val="008E2D80"/>
    <w:rsid w:val="008E2F36"/>
    <w:rsid w:val="008E35F6"/>
    <w:rsid w:val="008E3797"/>
    <w:rsid w:val="008E3D09"/>
    <w:rsid w:val="008E407F"/>
    <w:rsid w:val="008E42CA"/>
    <w:rsid w:val="008E544A"/>
    <w:rsid w:val="008E5CFC"/>
    <w:rsid w:val="008E5EBA"/>
    <w:rsid w:val="008E6762"/>
    <w:rsid w:val="008E6C2D"/>
    <w:rsid w:val="008E6EA1"/>
    <w:rsid w:val="008E7C3F"/>
    <w:rsid w:val="008F00C0"/>
    <w:rsid w:val="008F02C3"/>
    <w:rsid w:val="008F0902"/>
    <w:rsid w:val="008F0B9C"/>
    <w:rsid w:val="008F12C7"/>
    <w:rsid w:val="008F1BE4"/>
    <w:rsid w:val="008F2666"/>
    <w:rsid w:val="008F29EC"/>
    <w:rsid w:val="008F50CD"/>
    <w:rsid w:val="008F5157"/>
    <w:rsid w:val="008F5CCB"/>
    <w:rsid w:val="008F5EE6"/>
    <w:rsid w:val="008F64D7"/>
    <w:rsid w:val="008F65B8"/>
    <w:rsid w:val="008F6A5B"/>
    <w:rsid w:val="008F6CC0"/>
    <w:rsid w:val="008F71E9"/>
    <w:rsid w:val="00900329"/>
    <w:rsid w:val="00900EF3"/>
    <w:rsid w:val="00901249"/>
    <w:rsid w:val="00901E6D"/>
    <w:rsid w:val="00902DC8"/>
    <w:rsid w:val="00903DD9"/>
    <w:rsid w:val="00905128"/>
    <w:rsid w:val="00906399"/>
    <w:rsid w:val="00906545"/>
    <w:rsid w:val="00906FBF"/>
    <w:rsid w:val="0090713D"/>
    <w:rsid w:val="00907EB4"/>
    <w:rsid w:val="00910856"/>
    <w:rsid w:val="00910C88"/>
    <w:rsid w:val="00910F57"/>
    <w:rsid w:val="0091174E"/>
    <w:rsid w:val="00911942"/>
    <w:rsid w:val="00912C75"/>
    <w:rsid w:val="009135B4"/>
    <w:rsid w:val="009138F0"/>
    <w:rsid w:val="00913C1F"/>
    <w:rsid w:val="00914342"/>
    <w:rsid w:val="00914507"/>
    <w:rsid w:val="00914824"/>
    <w:rsid w:val="009154D7"/>
    <w:rsid w:val="009162AE"/>
    <w:rsid w:val="00917C71"/>
    <w:rsid w:val="0092022F"/>
    <w:rsid w:val="0092242C"/>
    <w:rsid w:val="00922BE8"/>
    <w:rsid w:val="00922D5A"/>
    <w:rsid w:val="00923BB2"/>
    <w:rsid w:val="00923D56"/>
    <w:rsid w:val="00924A3B"/>
    <w:rsid w:val="00924C18"/>
    <w:rsid w:val="0092561C"/>
    <w:rsid w:val="00925723"/>
    <w:rsid w:val="00926077"/>
    <w:rsid w:val="0092648B"/>
    <w:rsid w:val="00926A2C"/>
    <w:rsid w:val="00926BEA"/>
    <w:rsid w:val="00926E09"/>
    <w:rsid w:val="009272F7"/>
    <w:rsid w:val="00927A0F"/>
    <w:rsid w:val="00930283"/>
    <w:rsid w:val="00930B9A"/>
    <w:rsid w:val="009312E7"/>
    <w:rsid w:val="009316B3"/>
    <w:rsid w:val="00931EF2"/>
    <w:rsid w:val="0093212D"/>
    <w:rsid w:val="00932395"/>
    <w:rsid w:val="00933059"/>
    <w:rsid w:val="009335E6"/>
    <w:rsid w:val="009342B7"/>
    <w:rsid w:val="0093436F"/>
    <w:rsid w:val="00934DF5"/>
    <w:rsid w:val="00935577"/>
    <w:rsid w:val="0093574E"/>
    <w:rsid w:val="00935E0A"/>
    <w:rsid w:val="009360DC"/>
    <w:rsid w:val="00936911"/>
    <w:rsid w:val="0093775C"/>
    <w:rsid w:val="009406EE"/>
    <w:rsid w:val="00940FC5"/>
    <w:rsid w:val="009418CC"/>
    <w:rsid w:val="00941CC9"/>
    <w:rsid w:val="00941DD8"/>
    <w:rsid w:val="009427C9"/>
    <w:rsid w:val="00942D8B"/>
    <w:rsid w:val="00942F0E"/>
    <w:rsid w:val="00943C3D"/>
    <w:rsid w:val="00944FB3"/>
    <w:rsid w:val="00945186"/>
    <w:rsid w:val="009454BD"/>
    <w:rsid w:val="0094552B"/>
    <w:rsid w:val="00945593"/>
    <w:rsid w:val="0094600D"/>
    <w:rsid w:val="00946A7C"/>
    <w:rsid w:val="0094713E"/>
    <w:rsid w:val="00947D25"/>
    <w:rsid w:val="009506E0"/>
    <w:rsid w:val="0095089D"/>
    <w:rsid w:val="009509C1"/>
    <w:rsid w:val="00951413"/>
    <w:rsid w:val="00952016"/>
    <w:rsid w:val="0095232C"/>
    <w:rsid w:val="0095279E"/>
    <w:rsid w:val="00953082"/>
    <w:rsid w:val="00953C2A"/>
    <w:rsid w:val="0095457C"/>
    <w:rsid w:val="00954FE5"/>
    <w:rsid w:val="00957519"/>
    <w:rsid w:val="00957815"/>
    <w:rsid w:val="00957BDE"/>
    <w:rsid w:val="00957EE7"/>
    <w:rsid w:val="00960135"/>
    <w:rsid w:val="00960681"/>
    <w:rsid w:val="009612C1"/>
    <w:rsid w:val="009622CE"/>
    <w:rsid w:val="0096248A"/>
    <w:rsid w:val="00962EEE"/>
    <w:rsid w:val="0096387E"/>
    <w:rsid w:val="0096393C"/>
    <w:rsid w:val="00963BB4"/>
    <w:rsid w:val="00964952"/>
    <w:rsid w:val="00964CE4"/>
    <w:rsid w:val="00964D3F"/>
    <w:rsid w:val="00964FCF"/>
    <w:rsid w:val="009654C4"/>
    <w:rsid w:val="009654C8"/>
    <w:rsid w:val="00967109"/>
    <w:rsid w:val="0096799E"/>
    <w:rsid w:val="00967AA9"/>
    <w:rsid w:val="009716C2"/>
    <w:rsid w:val="00971839"/>
    <w:rsid w:val="0097247B"/>
    <w:rsid w:val="00974828"/>
    <w:rsid w:val="00975119"/>
    <w:rsid w:val="0097578E"/>
    <w:rsid w:val="0097657E"/>
    <w:rsid w:val="009765F3"/>
    <w:rsid w:val="00976832"/>
    <w:rsid w:val="00976F18"/>
    <w:rsid w:val="00977155"/>
    <w:rsid w:val="009773CC"/>
    <w:rsid w:val="00977553"/>
    <w:rsid w:val="00977806"/>
    <w:rsid w:val="009813FB"/>
    <w:rsid w:val="00981459"/>
    <w:rsid w:val="009814A2"/>
    <w:rsid w:val="00981561"/>
    <w:rsid w:val="00981CE5"/>
    <w:rsid w:val="0098218B"/>
    <w:rsid w:val="00982869"/>
    <w:rsid w:val="009834F8"/>
    <w:rsid w:val="00983520"/>
    <w:rsid w:val="00984C2F"/>
    <w:rsid w:val="009853DC"/>
    <w:rsid w:val="00985705"/>
    <w:rsid w:val="00986026"/>
    <w:rsid w:val="00986DBA"/>
    <w:rsid w:val="009874D5"/>
    <w:rsid w:val="00987609"/>
    <w:rsid w:val="00987972"/>
    <w:rsid w:val="00990BC7"/>
    <w:rsid w:val="00991EB9"/>
    <w:rsid w:val="00992B11"/>
    <w:rsid w:val="00993228"/>
    <w:rsid w:val="00993DE8"/>
    <w:rsid w:val="00995412"/>
    <w:rsid w:val="0099548E"/>
    <w:rsid w:val="0099761D"/>
    <w:rsid w:val="009976E3"/>
    <w:rsid w:val="00997826"/>
    <w:rsid w:val="00997CDD"/>
    <w:rsid w:val="009A0A84"/>
    <w:rsid w:val="009A0DBF"/>
    <w:rsid w:val="009A13EA"/>
    <w:rsid w:val="009A1942"/>
    <w:rsid w:val="009A1F02"/>
    <w:rsid w:val="009A26BB"/>
    <w:rsid w:val="009A303E"/>
    <w:rsid w:val="009A3D86"/>
    <w:rsid w:val="009A4D3C"/>
    <w:rsid w:val="009A5A93"/>
    <w:rsid w:val="009A627E"/>
    <w:rsid w:val="009A6DB4"/>
    <w:rsid w:val="009A745C"/>
    <w:rsid w:val="009A7A5D"/>
    <w:rsid w:val="009A7ECB"/>
    <w:rsid w:val="009B000A"/>
    <w:rsid w:val="009B02DD"/>
    <w:rsid w:val="009B202C"/>
    <w:rsid w:val="009B2273"/>
    <w:rsid w:val="009B2CEC"/>
    <w:rsid w:val="009B2F07"/>
    <w:rsid w:val="009B345F"/>
    <w:rsid w:val="009B36BD"/>
    <w:rsid w:val="009B3E9F"/>
    <w:rsid w:val="009B4906"/>
    <w:rsid w:val="009B4AEF"/>
    <w:rsid w:val="009B5D71"/>
    <w:rsid w:val="009B7627"/>
    <w:rsid w:val="009B7E2A"/>
    <w:rsid w:val="009C1179"/>
    <w:rsid w:val="009C1312"/>
    <w:rsid w:val="009C16E5"/>
    <w:rsid w:val="009C2E32"/>
    <w:rsid w:val="009C4288"/>
    <w:rsid w:val="009C42DC"/>
    <w:rsid w:val="009C4378"/>
    <w:rsid w:val="009C4395"/>
    <w:rsid w:val="009C4467"/>
    <w:rsid w:val="009C46AF"/>
    <w:rsid w:val="009C4A21"/>
    <w:rsid w:val="009C4F9B"/>
    <w:rsid w:val="009C549E"/>
    <w:rsid w:val="009C5C49"/>
    <w:rsid w:val="009C5E3A"/>
    <w:rsid w:val="009C650D"/>
    <w:rsid w:val="009C6B3B"/>
    <w:rsid w:val="009C72EF"/>
    <w:rsid w:val="009C7F48"/>
    <w:rsid w:val="009D0CFA"/>
    <w:rsid w:val="009D0D6F"/>
    <w:rsid w:val="009D1025"/>
    <w:rsid w:val="009D17DD"/>
    <w:rsid w:val="009D1CBB"/>
    <w:rsid w:val="009D221F"/>
    <w:rsid w:val="009D293B"/>
    <w:rsid w:val="009D2F79"/>
    <w:rsid w:val="009D2FA3"/>
    <w:rsid w:val="009D3D69"/>
    <w:rsid w:val="009D3F49"/>
    <w:rsid w:val="009D450E"/>
    <w:rsid w:val="009D5568"/>
    <w:rsid w:val="009D6238"/>
    <w:rsid w:val="009D67AD"/>
    <w:rsid w:val="009D75EE"/>
    <w:rsid w:val="009D75F1"/>
    <w:rsid w:val="009D7B11"/>
    <w:rsid w:val="009D7ED0"/>
    <w:rsid w:val="009E03E7"/>
    <w:rsid w:val="009E154F"/>
    <w:rsid w:val="009E348B"/>
    <w:rsid w:val="009E34A4"/>
    <w:rsid w:val="009E46EF"/>
    <w:rsid w:val="009E4B80"/>
    <w:rsid w:val="009E4F89"/>
    <w:rsid w:val="009E5259"/>
    <w:rsid w:val="009E6298"/>
    <w:rsid w:val="009F02A7"/>
    <w:rsid w:val="009F1994"/>
    <w:rsid w:val="009F19EA"/>
    <w:rsid w:val="009F1B6E"/>
    <w:rsid w:val="009F1BCA"/>
    <w:rsid w:val="009F24D6"/>
    <w:rsid w:val="009F3408"/>
    <w:rsid w:val="009F44F2"/>
    <w:rsid w:val="009F4547"/>
    <w:rsid w:val="009F4682"/>
    <w:rsid w:val="009F5151"/>
    <w:rsid w:val="009F5F21"/>
    <w:rsid w:val="009F61B6"/>
    <w:rsid w:val="009F6E5F"/>
    <w:rsid w:val="009F7157"/>
    <w:rsid w:val="009F729B"/>
    <w:rsid w:val="009F75AF"/>
    <w:rsid w:val="009F7CE7"/>
    <w:rsid w:val="009F7DD8"/>
    <w:rsid w:val="00A00CB1"/>
    <w:rsid w:val="00A01270"/>
    <w:rsid w:val="00A01DA5"/>
    <w:rsid w:val="00A020C1"/>
    <w:rsid w:val="00A02B83"/>
    <w:rsid w:val="00A03348"/>
    <w:rsid w:val="00A0422E"/>
    <w:rsid w:val="00A06DC1"/>
    <w:rsid w:val="00A07302"/>
    <w:rsid w:val="00A07DD2"/>
    <w:rsid w:val="00A07E3E"/>
    <w:rsid w:val="00A1018C"/>
    <w:rsid w:val="00A107F7"/>
    <w:rsid w:val="00A109F5"/>
    <w:rsid w:val="00A11156"/>
    <w:rsid w:val="00A11A85"/>
    <w:rsid w:val="00A12297"/>
    <w:rsid w:val="00A12E5A"/>
    <w:rsid w:val="00A13594"/>
    <w:rsid w:val="00A14233"/>
    <w:rsid w:val="00A14867"/>
    <w:rsid w:val="00A15111"/>
    <w:rsid w:val="00A15127"/>
    <w:rsid w:val="00A1616D"/>
    <w:rsid w:val="00A16627"/>
    <w:rsid w:val="00A166F8"/>
    <w:rsid w:val="00A2025E"/>
    <w:rsid w:val="00A2159F"/>
    <w:rsid w:val="00A22205"/>
    <w:rsid w:val="00A222A5"/>
    <w:rsid w:val="00A2314D"/>
    <w:rsid w:val="00A2375D"/>
    <w:rsid w:val="00A24DB0"/>
    <w:rsid w:val="00A24E2A"/>
    <w:rsid w:val="00A256BB"/>
    <w:rsid w:val="00A25DBB"/>
    <w:rsid w:val="00A260AB"/>
    <w:rsid w:val="00A26CA5"/>
    <w:rsid w:val="00A308D0"/>
    <w:rsid w:val="00A30B82"/>
    <w:rsid w:val="00A30BEE"/>
    <w:rsid w:val="00A311FB"/>
    <w:rsid w:val="00A31362"/>
    <w:rsid w:val="00A31A7A"/>
    <w:rsid w:val="00A31C48"/>
    <w:rsid w:val="00A323F4"/>
    <w:rsid w:val="00A32467"/>
    <w:rsid w:val="00A3343A"/>
    <w:rsid w:val="00A33538"/>
    <w:rsid w:val="00A34771"/>
    <w:rsid w:val="00A3507E"/>
    <w:rsid w:val="00A359C6"/>
    <w:rsid w:val="00A36DA7"/>
    <w:rsid w:val="00A36DF0"/>
    <w:rsid w:val="00A37163"/>
    <w:rsid w:val="00A3766F"/>
    <w:rsid w:val="00A37834"/>
    <w:rsid w:val="00A378A1"/>
    <w:rsid w:val="00A40926"/>
    <w:rsid w:val="00A41B33"/>
    <w:rsid w:val="00A429E8"/>
    <w:rsid w:val="00A42C44"/>
    <w:rsid w:val="00A42D51"/>
    <w:rsid w:val="00A43141"/>
    <w:rsid w:val="00A43406"/>
    <w:rsid w:val="00A43A05"/>
    <w:rsid w:val="00A43B85"/>
    <w:rsid w:val="00A44483"/>
    <w:rsid w:val="00A44521"/>
    <w:rsid w:val="00A445E6"/>
    <w:rsid w:val="00A4501E"/>
    <w:rsid w:val="00A50545"/>
    <w:rsid w:val="00A53D1C"/>
    <w:rsid w:val="00A53D2F"/>
    <w:rsid w:val="00A53F1B"/>
    <w:rsid w:val="00A54044"/>
    <w:rsid w:val="00A54ACC"/>
    <w:rsid w:val="00A5596F"/>
    <w:rsid w:val="00A55A84"/>
    <w:rsid w:val="00A5620A"/>
    <w:rsid w:val="00A562F0"/>
    <w:rsid w:val="00A572AB"/>
    <w:rsid w:val="00A574CA"/>
    <w:rsid w:val="00A57A5A"/>
    <w:rsid w:val="00A57A80"/>
    <w:rsid w:val="00A57D8E"/>
    <w:rsid w:val="00A603B8"/>
    <w:rsid w:val="00A61402"/>
    <w:rsid w:val="00A619AE"/>
    <w:rsid w:val="00A61DD4"/>
    <w:rsid w:val="00A621B9"/>
    <w:rsid w:val="00A621E0"/>
    <w:rsid w:val="00A6349B"/>
    <w:rsid w:val="00A63567"/>
    <w:rsid w:val="00A6404F"/>
    <w:rsid w:val="00A6408B"/>
    <w:rsid w:val="00A64AF1"/>
    <w:rsid w:val="00A64D52"/>
    <w:rsid w:val="00A64DDB"/>
    <w:rsid w:val="00A64FD3"/>
    <w:rsid w:val="00A65225"/>
    <w:rsid w:val="00A6573B"/>
    <w:rsid w:val="00A66371"/>
    <w:rsid w:val="00A66680"/>
    <w:rsid w:val="00A66CB1"/>
    <w:rsid w:val="00A7010C"/>
    <w:rsid w:val="00A7088F"/>
    <w:rsid w:val="00A708D0"/>
    <w:rsid w:val="00A71191"/>
    <w:rsid w:val="00A726E9"/>
    <w:rsid w:val="00A7385B"/>
    <w:rsid w:val="00A742DD"/>
    <w:rsid w:val="00A7538C"/>
    <w:rsid w:val="00A76053"/>
    <w:rsid w:val="00A76E4A"/>
    <w:rsid w:val="00A77A16"/>
    <w:rsid w:val="00A813E8"/>
    <w:rsid w:val="00A81400"/>
    <w:rsid w:val="00A81AAE"/>
    <w:rsid w:val="00A81C49"/>
    <w:rsid w:val="00A81E82"/>
    <w:rsid w:val="00A824EC"/>
    <w:rsid w:val="00A829BA"/>
    <w:rsid w:val="00A82C1E"/>
    <w:rsid w:val="00A82FED"/>
    <w:rsid w:val="00A8321B"/>
    <w:rsid w:val="00A833C2"/>
    <w:rsid w:val="00A83BE5"/>
    <w:rsid w:val="00A84F3A"/>
    <w:rsid w:val="00A85476"/>
    <w:rsid w:val="00A86174"/>
    <w:rsid w:val="00A8723D"/>
    <w:rsid w:val="00A906FA"/>
    <w:rsid w:val="00A90AE6"/>
    <w:rsid w:val="00A921E8"/>
    <w:rsid w:val="00A92620"/>
    <w:rsid w:val="00A93A1C"/>
    <w:rsid w:val="00A950F3"/>
    <w:rsid w:val="00A959B6"/>
    <w:rsid w:val="00A95B21"/>
    <w:rsid w:val="00A96E0D"/>
    <w:rsid w:val="00A974AD"/>
    <w:rsid w:val="00A974FE"/>
    <w:rsid w:val="00A97660"/>
    <w:rsid w:val="00AA06E2"/>
    <w:rsid w:val="00AA1BC7"/>
    <w:rsid w:val="00AA1D36"/>
    <w:rsid w:val="00AA22C9"/>
    <w:rsid w:val="00AA26CE"/>
    <w:rsid w:val="00AA26D0"/>
    <w:rsid w:val="00AA30DC"/>
    <w:rsid w:val="00AA3326"/>
    <w:rsid w:val="00AA3C57"/>
    <w:rsid w:val="00AA3CC8"/>
    <w:rsid w:val="00AA3EEC"/>
    <w:rsid w:val="00AA4561"/>
    <w:rsid w:val="00AA53FF"/>
    <w:rsid w:val="00AA6057"/>
    <w:rsid w:val="00AA617E"/>
    <w:rsid w:val="00AA64C1"/>
    <w:rsid w:val="00AA6B97"/>
    <w:rsid w:val="00AA6D65"/>
    <w:rsid w:val="00AA75A3"/>
    <w:rsid w:val="00AB0EF1"/>
    <w:rsid w:val="00AB0F5B"/>
    <w:rsid w:val="00AB10F8"/>
    <w:rsid w:val="00AB16A2"/>
    <w:rsid w:val="00AB1BEC"/>
    <w:rsid w:val="00AB1E95"/>
    <w:rsid w:val="00AB2CF6"/>
    <w:rsid w:val="00AB328B"/>
    <w:rsid w:val="00AB332A"/>
    <w:rsid w:val="00AB454D"/>
    <w:rsid w:val="00AB5E12"/>
    <w:rsid w:val="00AB64E5"/>
    <w:rsid w:val="00AB7AB8"/>
    <w:rsid w:val="00AC02E1"/>
    <w:rsid w:val="00AC0A56"/>
    <w:rsid w:val="00AC0FC6"/>
    <w:rsid w:val="00AC1420"/>
    <w:rsid w:val="00AC1CB4"/>
    <w:rsid w:val="00AC2ED8"/>
    <w:rsid w:val="00AC3399"/>
    <w:rsid w:val="00AC542D"/>
    <w:rsid w:val="00AC6679"/>
    <w:rsid w:val="00AC6E7E"/>
    <w:rsid w:val="00AC7111"/>
    <w:rsid w:val="00AC7C7D"/>
    <w:rsid w:val="00AD007C"/>
    <w:rsid w:val="00AD027B"/>
    <w:rsid w:val="00AD04DF"/>
    <w:rsid w:val="00AD1287"/>
    <w:rsid w:val="00AD1A7D"/>
    <w:rsid w:val="00AD1BE1"/>
    <w:rsid w:val="00AD1FBD"/>
    <w:rsid w:val="00AD248F"/>
    <w:rsid w:val="00AD39EA"/>
    <w:rsid w:val="00AD4DDB"/>
    <w:rsid w:val="00AD50BE"/>
    <w:rsid w:val="00AD5323"/>
    <w:rsid w:val="00AD6223"/>
    <w:rsid w:val="00AD6694"/>
    <w:rsid w:val="00AD66D1"/>
    <w:rsid w:val="00AD68A8"/>
    <w:rsid w:val="00AD69A9"/>
    <w:rsid w:val="00AE07B4"/>
    <w:rsid w:val="00AE0B43"/>
    <w:rsid w:val="00AE1055"/>
    <w:rsid w:val="00AE1070"/>
    <w:rsid w:val="00AE173B"/>
    <w:rsid w:val="00AE2338"/>
    <w:rsid w:val="00AE2796"/>
    <w:rsid w:val="00AE28C6"/>
    <w:rsid w:val="00AE2C75"/>
    <w:rsid w:val="00AE310F"/>
    <w:rsid w:val="00AE4E07"/>
    <w:rsid w:val="00AE5765"/>
    <w:rsid w:val="00AE5C92"/>
    <w:rsid w:val="00AE5F92"/>
    <w:rsid w:val="00AE6F0A"/>
    <w:rsid w:val="00AE765C"/>
    <w:rsid w:val="00AE7A39"/>
    <w:rsid w:val="00AF1217"/>
    <w:rsid w:val="00AF202A"/>
    <w:rsid w:val="00AF3261"/>
    <w:rsid w:val="00AF4126"/>
    <w:rsid w:val="00AF48BA"/>
    <w:rsid w:val="00AF4971"/>
    <w:rsid w:val="00AF4BC2"/>
    <w:rsid w:val="00AF5BB5"/>
    <w:rsid w:val="00AF642E"/>
    <w:rsid w:val="00AF652F"/>
    <w:rsid w:val="00AF6616"/>
    <w:rsid w:val="00AF794C"/>
    <w:rsid w:val="00B00EE4"/>
    <w:rsid w:val="00B00F34"/>
    <w:rsid w:val="00B01707"/>
    <w:rsid w:val="00B0193E"/>
    <w:rsid w:val="00B01B2E"/>
    <w:rsid w:val="00B021AC"/>
    <w:rsid w:val="00B02D49"/>
    <w:rsid w:val="00B03228"/>
    <w:rsid w:val="00B03988"/>
    <w:rsid w:val="00B03E2D"/>
    <w:rsid w:val="00B03FF7"/>
    <w:rsid w:val="00B040B8"/>
    <w:rsid w:val="00B047A9"/>
    <w:rsid w:val="00B04CEC"/>
    <w:rsid w:val="00B066CD"/>
    <w:rsid w:val="00B0707E"/>
    <w:rsid w:val="00B07378"/>
    <w:rsid w:val="00B11196"/>
    <w:rsid w:val="00B11E19"/>
    <w:rsid w:val="00B11EE0"/>
    <w:rsid w:val="00B127E6"/>
    <w:rsid w:val="00B12AD5"/>
    <w:rsid w:val="00B13019"/>
    <w:rsid w:val="00B13A42"/>
    <w:rsid w:val="00B13CE3"/>
    <w:rsid w:val="00B14173"/>
    <w:rsid w:val="00B16237"/>
    <w:rsid w:val="00B16B0A"/>
    <w:rsid w:val="00B175CD"/>
    <w:rsid w:val="00B1760C"/>
    <w:rsid w:val="00B20256"/>
    <w:rsid w:val="00B205C4"/>
    <w:rsid w:val="00B20D17"/>
    <w:rsid w:val="00B20EFF"/>
    <w:rsid w:val="00B213B7"/>
    <w:rsid w:val="00B22B69"/>
    <w:rsid w:val="00B234A0"/>
    <w:rsid w:val="00B23737"/>
    <w:rsid w:val="00B23C61"/>
    <w:rsid w:val="00B24670"/>
    <w:rsid w:val="00B249DD"/>
    <w:rsid w:val="00B25652"/>
    <w:rsid w:val="00B26055"/>
    <w:rsid w:val="00B2715D"/>
    <w:rsid w:val="00B274D0"/>
    <w:rsid w:val="00B301CA"/>
    <w:rsid w:val="00B30269"/>
    <w:rsid w:val="00B306F8"/>
    <w:rsid w:val="00B307FF"/>
    <w:rsid w:val="00B335E0"/>
    <w:rsid w:val="00B347EE"/>
    <w:rsid w:val="00B3512E"/>
    <w:rsid w:val="00B35D21"/>
    <w:rsid w:val="00B3665D"/>
    <w:rsid w:val="00B36965"/>
    <w:rsid w:val="00B409E1"/>
    <w:rsid w:val="00B424E1"/>
    <w:rsid w:val="00B42BDD"/>
    <w:rsid w:val="00B440CA"/>
    <w:rsid w:val="00B45726"/>
    <w:rsid w:val="00B457C9"/>
    <w:rsid w:val="00B45A57"/>
    <w:rsid w:val="00B45D34"/>
    <w:rsid w:val="00B465F8"/>
    <w:rsid w:val="00B46B06"/>
    <w:rsid w:val="00B46F27"/>
    <w:rsid w:val="00B473BC"/>
    <w:rsid w:val="00B477F9"/>
    <w:rsid w:val="00B500B0"/>
    <w:rsid w:val="00B50ACF"/>
    <w:rsid w:val="00B523FC"/>
    <w:rsid w:val="00B524DD"/>
    <w:rsid w:val="00B544F7"/>
    <w:rsid w:val="00B5461A"/>
    <w:rsid w:val="00B54BBA"/>
    <w:rsid w:val="00B55590"/>
    <w:rsid w:val="00B5621B"/>
    <w:rsid w:val="00B56B12"/>
    <w:rsid w:val="00B56EEE"/>
    <w:rsid w:val="00B57126"/>
    <w:rsid w:val="00B579B1"/>
    <w:rsid w:val="00B6001B"/>
    <w:rsid w:val="00B600ED"/>
    <w:rsid w:val="00B6085F"/>
    <w:rsid w:val="00B60A01"/>
    <w:rsid w:val="00B60A7D"/>
    <w:rsid w:val="00B60B56"/>
    <w:rsid w:val="00B6160E"/>
    <w:rsid w:val="00B6162B"/>
    <w:rsid w:val="00B61880"/>
    <w:rsid w:val="00B61993"/>
    <w:rsid w:val="00B61E87"/>
    <w:rsid w:val="00B6243C"/>
    <w:rsid w:val="00B62B24"/>
    <w:rsid w:val="00B634E9"/>
    <w:rsid w:val="00B63592"/>
    <w:rsid w:val="00B63C7F"/>
    <w:rsid w:val="00B64821"/>
    <w:rsid w:val="00B649BB"/>
    <w:rsid w:val="00B64C21"/>
    <w:rsid w:val="00B651CF"/>
    <w:rsid w:val="00B65BA3"/>
    <w:rsid w:val="00B65F6F"/>
    <w:rsid w:val="00B66348"/>
    <w:rsid w:val="00B70883"/>
    <w:rsid w:val="00B70B48"/>
    <w:rsid w:val="00B719AF"/>
    <w:rsid w:val="00B71C60"/>
    <w:rsid w:val="00B71F02"/>
    <w:rsid w:val="00B725F1"/>
    <w:rsid w:val="00B72E14"/>
    <w:rsid w:val="00B72FD8"/>
    <w:rsid w:val="00B7406D"/>
    <w:rsid w:val="00B74F4D"/>
    <w:rsid w:val="00B75047"/>
    <w:rsid w:val="00B760A0"/>
    <w:rsid w:val="00B762AC"/>
    <w:rsid w:val="00B7698E"/>
    <w:rsid w:val="00B778B2"/>
    <w:rsid w:val="00B815BB"/>
    <w:rsid w:val="00B81B2F"/>
    <w:rsid w:val="00B83512"/>
    <w:rsid w:val="00B84C25"/>
    <w:rsid w:val="00B856AD"/>
    <w:rsid w:val="00B8627D"/>
    <w:rsid w:val="00B86DC8"/>
    <w:rsid w:val="00B87153"/>
    <w:rsid w:val="00B87501"/>
    <w:rsid w:val="00B87748"/>
    <w:rsid w:val="00B87922"/>
    <w:rsid w:val="00B87C82"/>
    <w:rsid w:val="00B90421"/>
    <w:rsid w:val="00B90968"/>
    <w:rsid w:val="00B92064"/>
    <w:rsid w:val="00B92871"/>
    <w:rsid w:val="00B9295E"/>
    <w:rsid w:val="00B936CD"/>
    <w:rsid w:val="00B93865"/>
    <w:rsid w:val="00B94084"/>
    <w:rsid w:val="00B943E7"/>
    <w:rsid w:val="00B95694"/>
    <w:rsid w:val="00B957FC"/>
    <w:rsid w:val="00BA07BC"/>
    <w:rsid w:val="00BA1C48"/>
    <w:rsid w:val="00BA1CF4"/>
    <w:rsid w:val="00BA229F"/>
    <w:rsid w:val="00BA23CE"/>
    <w:rsid w:val="00BA27A0"/>
    <w:rsid w:val="00BA2A7D"/>
    <w:rsid w:val="00BA2C76"/>
    <w:rsid w:val="00BA3688"/>
    <w:rsid w:val="00BA398A"/>
    <w:rsid w:val="00BA3C62"/>
    <w:rsid w:val="00BA4018"/>
    <w:rsid w:val="00BA43B7"/>
    <w:rsid w:val="00BA5066"/>
    <w:rsid w:val="00BA5419"/>
    <w:rsid w:val="00BA548E"/>
    <w:rsid w:val="00BA6B09"/>
    <w:rsid w:val="00BB0608"/>
    <w:rsid w:val="00BB127F"/>
    <w:rsid w:val="00BB15F3"/>
    <w:rsid w:val="00BB1F71"/>
    <w:rsid w:val="00BB20F9"/>
    <w:rsid w:val="00BB2369"/>
    <w:rsid w:val="00BB25A4"/>
    <w:rsid w:val="00BB4B43"/>
    <w:rsid w:val="00BB4B61"/>
    <w:rsid w:val="00BB4DAF"/>
    <w:rsid w:val="00BB536C"/>
    <w:rsid w:val="00BB5EDE"/>
    <w:rsid w:val="00BB7576"/>
    <w:rsid w:val="00BB7749"/>
    <w:rsid w:val="00BB7CB0"/>
    <w:rsid w:val="00BC0487"/>
    <w:rsid w:val="00BC0EBB"/>
    <w:rsid w:val="00BC0F1D"/>
    <w:rsid w:val="00BC1021"/>
    <w:rsid w:val="00BC1110"/>
    <w:rsid w:val="00BC1486"/>
    <w:rsid w:val="00BC1F3F"/>
    <w:rsid w:val="00BC1F44"/>
    <w:rsid w:val="00BC2009"/>
    <w:rsid w:val="00BC2C6F"/>
    <w:rsid w:val="00BC3C3F"/>
    <w:rsid w:val="00BC48DB"/>
    <w:rsid w:val="00BC5725"/>
    <w:rsid w:val="00BC6466"/>
    <w:rsid w:val="00BC6E52"/>
    <w:rsid w:val="00BC7AC0"/>
    <w:rsid w:val="00BC7F5E"/>
    <w:rsid w:val="00BD07BB"/>
    <w:rsid w:val="00BD0864"/>
    <w:rsid w:val="00BD117A"/>
    <w:rsid w:val="00BD12F6"/>
    <w:rsid w:val="00BD1522"/>
    <w:rsid w:val="00BD1F59"/>
    <w:rsid w:val="00BD20BB"/>
    <w:rsid w:val="00BD21F5"/>
    <w:rsid w:val="00BD22FD"/>
    <w:rsid w:val="00BD33C3"/>
    <w:rsid w:val="00BD3D8F"/>
    <w:rsid w:val="00BD4130"/>
    <w:rsid w:val="00BD43D4"/>
    <w:rsid w:val="00BD46F8"/>
    <w:rsid w:val="00BD4ECB"/>
    <w:rsid w:val="00BD5AAE"/>
    <w:rsid w:val="00BD5ED0"/>
    <w:rsid w:val="00BD62B3"/>
    <w:rsid w:val="00BD66AE"/>
    <w:rsid w:val="00BD66EF"/>
    <w:rsid w:val="00BD6EA6"/>
    <w:rsid w:val="00BE06CB"/>
    <w:rsid w:val="00BE17F3"/>
    <w:rsid w:val="00BE1A5A"/>
    <w:rsid w:val="00BE1B03"/>
    <w:rsid w:val="00BE21F0"/>
    <w:rsid w:val="00BE226E"/>
    <w:rsid w:val="00BE29F5"/>
    <w:rsid w:val="00BE2BEB"/>
    <w:rsid w:val="00BE336B"/>
    <w:rsid w:val="00BE409E"/>
    <w:rsid w:val="00BE57DB"/>
    <w:rsid w:val="00BE6861"/>
    <w:rsid w:val="00BF011B"/>
    <w:rsid w:val="00BF115E"/>
    <w:rsid w:val="00BF1634"/>
    <w:rsid w:val="00BF1A79"/>
    <w:rsid w:val="00BF2C1F"/>
    <w:rsid w:val="00BF3025"/>
    <w:rsid w:val="00BF3449"/>
    <w:rsid w:val="00BF3730"/>
    <w:rsid w:val="00BF3C5F"/>
    <w:rsid w:val="00BF3CEA"/>
    <w:rsid w:val="00BF4932"/>
    <w:rsid w:val="00BF531E"/>
    <w:rsid w:val="00BF5399"/>
    <w:rsid w:val="00BF573D"/>
    <w:rsid w:val="00BF723C"/>
    <w:rsid w:val="00BF76AC"/>
    <w:rsid w:val="00BF7C23"/>
    <w:rsid w:val="00BF7D25"/>
    <w:rsid w:val="00C0077D"/>
    <w:rsid w:val="00C016B2"/>
    <w:rsid w:val="00C0193C"/>
    <w:rsid w:val="00C01B8B"/>
    <w:rsid w:val="00C0272B"/>
    <w:rsid w:val="00C030E6"/>
    <w:rsid w:val="00C03103"/>
    <w:rsid w:val="00C03CC8"/>
    <w:rsid w:val="00C05965"/>
    <w:rsid w:val="00C05C02"/>
    <w:rsid w:val="00C06094"/>
    <w:rsid w:val="00C06BEE"/>
    <w:rsid w:val="00C104E9"/>
    <w:rsid w:val="00C106D2"/>
    <w:rsid w:val="00C114CD"/>
    <w:rsid w:val="00C11609"/>
    <w:rsid w:val="00C11BAC"/>
    <w:rsid w:val="00C12778"/>
    <w:rsid w:val="00C129A7"/>
    <w:rsid w:val="00C129C2"/>
    <w:rsid w:val="00C131FA"/>
    <w:rsid w:val="00C1335C"/>
    <w:rsid w:val="00C1363E"/>
    <w:rsid w:val="00C1429B"/>
    <w:rsid w:val="00C1596F"/>
    <w:rsid w:val="00C15CD5"/>
    <w:rsid w:val="00C166D6"/>
    <w:rsid w:val="00C174D7"/>
    <w:rsid w:val="00C21589"/>
    <w:rsid w:val="00C2169B"/>
    <w:rsid w:val="00C21DC4"/>
    <w:rsid w:val="00C222AD"/>
    <w:rsid w:val="00C243E8"/>
    <w:rsid w:val="00C24897"/>
    <w:rsid w:val="00C24A18"/>
    <w:rsid w:val="00C25605"/>
    <w:rsid w:val="00C263B0"/>
    <w:rsid w:val="00C2737C"/>
    <w:rsid w:val="00C274D0"/>
    <w:rsid w:val="00C2778F"/>
    <w:rsid w:val="00C27D4C"/>
    <w:rsid w:val="00C30505"/>
    <w:rsid w:val="00C307A9"/>
    <w:rsid w:val="00C30D30"/>
    <w:rsid w:val="00C30D9C"/>
    <w:rsid w:val="00C31898"/>
    <w:rsid w:val="00C31F11"/>
    <w:rsid w:val="00C32598"/>
    <w:rsid w:val="00C32F42"/>
    <w:rsid w:val="00C3308C"/>
    <w:rsid w:val="00C3329A"/>
    <w:rsid w:val="00C335EE"/>
    <w:rsid w:val="00C33A52"/>
    <w:rsid w:val="00C3451F"/>
    <w:rsid w:val="00C34678"/>
    <w:rsid w:val="00C34D9E"/>
    <w:rsid w:val="00C34E41"/>
    <w:rsid w:val="00C35FF1"/>
    <w:rsid w:val="00C36A02"/>
    <w:rsid w:val="00C36EF9"/>
    <w:rsid w:val="00C36FE6"/>
    <w:rsid w:val="00C3727C"/>
    <w:rsid w:val="00C37D21"/>
    <w:rsid w:val="00C4031C"/>
    <w:rsid w:val="00C41281"/>
    <w:rsid w:val="00C4177C"/>
    <w:rsid w:val="00C418A3"/>
    <w:rsid w:val="00C4201A"/>
    <w:rsid w:val="00C426A6"/>
    <w:rsid w:val="00C43B44"/>
    <w:rsid w:val="00C44139"/>
    <w:rsid w:val="00C443A0"/>
    <w:rsid w:val="00C445D2"/>
    <w:rsid w:val="00C44ADA"/>
    <w:rsid w:val="00C450DE"/>
    <w:rsid w:val="00C451C1"/>
    <w:rsid w:val="00C45231"/>
    <w:rsid w:val="00C4673B"/>
    <w:rsid w:val="00C479A2"/>
    <w:rsid w:val="00C47F6A"/>
    <w:rsid w:val="00C5057F"/>
    <w:rsid w:val="00C50787"/>
    <w:rsid w:val="00C51D96"/>
    <w:rsid w:val="00C51D9F"/>
    <w:rsid w:val="00C52D5E"/>
    <w:rsid w:val="00C52E59"/>
    <w:rsid w:val="00C53297"/>
    <w:rsid w:val="00C53734"/>
    <w:rsid w:val="00C53AC3"/>
    <w:rsid w:val="00C53C8F"/>
    <w:rsid w:val="00C53F46"/>
    <w:rsid w:val="00C54881"/>
    <w:rsid w:val="00C54975"/>
    <w:rsid w:val="00C55399"/>
    <w:rsid w:val="00C55F6F"/>
    <w:rsid w:val="00C563AC"/>
    <w:rsid w:val="00C56FD6"/>
    <w:rsid w:val="00C572F2"/>
    <w:rsid w:val="00C5789E"/>
    <w:rsid w:val="00C57B1D"/>
    <w:rsid w:val="00C604B2"/>
    <w:rsid w:val="00C61881"/>
    <w:rsid w:val="00C626E4"/>
    <w:rsid w:val="00C6388C"/>
    <w:rsid w:val="00C64053"/>
    <w:rsid w:val="00C64668"/>
    <w:rsid w:val="00C64799"/>
    <w:rsid w:val="00C65337"/>
    <w:rsid w:val="00C6581F"/>
    <w:rsid w:val="00C6632B"/>
    <w:rsid w:val="00C6641F"/>
    <w:rsid w:val="00C66CC3"/>
    <w:rsid w:val="00C67DC6"/>
    <w:rsid w:val="00C70220"/>
    <w:rsid w:val="00C70FD5"/>
    <w:rsid w:val="00C714EE"/>
    <w:rsid w:val="00C71649"/>
    <w:rsid w:val="00C71686"/>
    <w:rsid w:val="00C71944"/>
    <w:rsid w:val="00C73F61"/>
    <w:rsid w:val="00C74031"/>
    <w:rsid w:val="00C74771"/>
    <w:rsid w:val="00C76355"/>
    <w:rsid w:val="00C76B91"/>
    <w:rsid w:val="00C778C4"/>
    <w:rsid w:val="00C80B96"/>
    <w:rsid w:val="00C81095"/>
    <w:rsid w:val="00C81827"/>
    <w:rsid w:val="00C81B83"/>
    <w:rsid w:val="00C81C5D"/>
    <w:rsid w:val="00C82863"/>
    <w:rsid w:val="00C828ED"/>
    <w:rsid w:val="00C82FCD"/>
    <w:rsid w:val="00C84813"/>
    <w:rsid w:val="00C85061"/>
    <w:rsid w:val="00C855E7"/>
    <w:rsid w:val="00C8765A"/>
    <w:rsid w:val="00C87A14"/>
    <w:rsid w:val="00C87EBB"/>
    <w:rsid w:val="00C90284"/>
    <w:rsid w:val="00C909F7"/>
    <w:rsid w:val="00C910D7"/>
    <w:rsid w:val="00C91453"/>
    <w:rsid w:val="00C914CB"/>
    <w:rsid w:val="00C91514"/>
    <w:rsid w:val="00C924E0"/>
    <w:rsid w:val="00C9261E"/>
    <w:rsid w:val="00C93625"/>
    <w:rsid w:val="00C93706"/>
    <w:rsid w:val="00C939D4"/>
    <w:rsid w:val="00C94204"/>
    <w:rsid w:val="00C94803"/>
    <w:rsid w:val="00C94FB7"/>
    <w:rsid w:val="00C95846"/>
    <w:rsid w:val="00C962AA"/>
    <w:rsid w:val="00C9652C"/>
    <w:rsid w:val="00C965EA"/>
    <w:rsid w:val="00C96766"/>
    <w:rsid w:val="00C97598"/>
    <w:rsid w:val="00CA170F"/>
    <w:rsid w:val="00CA1EE7"/>
    <w:rsid w:val="00CA27D8"/>
    <w:rsid w:val="00CA2C6A"/>
    <w:rsid w:val="00CA305F"/>
    <w:rsid w:val="00CA354D"/>
    <w:rsid w:val="00CA3692"/>
    <w:rsid w:val="00CA43E0"/>
    <w:rsid w:val="00CA4ED3"/>
    <w:rsid w:val="00CA50CF"/>
    <w:rsid w:val="00CA5915"/>
    <w:rsid w:val="00CA5B54"/>
    <w:rsid w:val="00CA5C6F"/>
    <w:rsid w:val="00CA5DEE"/>
    <w:rsid w:val="00CA70E9"/>
    <w:rsid w:val="00CA73F4"/>
    <w:rsid w:val="00CA7847"/>
    <w:rsid w:val="00CB020E"/>
    <w:rsid w:val="00CB0B4A"/>
    <w:rsid w:val="00CB0C04"/>
    <w:rsid w:val="00CB124F"/>
    <w:rsid w:val="00CB17A2"/>
    <w:rsid w:val="00CB180B"/>
    <w:rsid w:val="00CB225F"/>
    <w:rsid w:val="00CB2714"/>
    <w:rsid w:val="00CB4416"/>
    <w:rsid w:val="00CB449B"/>
    <w:rsid w:val="00CB66D4"/>
    <w:rsid w:val="00CB67D1"/>
    <w:rsid w:val="00CB7912"/>
    <w:rsid w:val="00CB7C0F"/>
    <w:rsid w:val="00CB7DF5"/>
    <w:rsid w:val="00CB7E21"/>
    <w:rsid w:val="00CC09E4"/>
    <w:rsid w:val="00CC0D05"/>
    <w:rsid w:val="00CC13D6"/>
    <w:rsid w:val="00CC156B"/>
    <w:rsid w:val="00CC172E"/>
    <w:rsid w:val="00CC18EA"/>
    <w:rsid w:val="00CC2C2C"/>
    <w:rsid w:val="00CC2D09"/>
    <w:rsid w:val="00CC3310"/>
    <w:rsid w:val="00CC3C1B"/>
    <w:rsid w:val="00CC4EDC"/>
    <w:rsid w:val="00CC53FF"/>
    <w:rsid w:val="00CC63F7"/>
    <w:rsid w:val="00CC6568"/>
    <w:rsid w:val="00CC6CF7"/>
    <w:rsid w:val="00CC7007"/>
    <w:rsid w:val="00CC7031"/>
    <w:rsid w:val="00CD0401"/>
    <w:rsid w:val="00CD13EC"/>
    <w:rsid w:val="00CD2550"/>
    <w:rsid w:val="00CD2A04"/>
    <w:rsid w:val="00CD2D03"/>
    <w:rsid w:val="00CD4536"/>
    <w:rsid w:val="00CD499F"/>
    <w:rsid w:val="00CD508F"/>
    <w:rsid w:val="00CD5F68"/>
    <w:rsid w:val="00CD6353"/>
    <w:rsid w:val="00CD6DB0"/>
    <w:rsid w:val="00CD705B"/>
    <w:rsid w:val="00CD7DDA"/>
    <w:rsid w:val="00CE0984"/>
    <w:rsid w:val="00CE09D3"/>
    <w:rsid w:val="00CE0F84"/>
    <w:rsid w:val="00CE1851"/>
    <w:rsid w:val="00CE1CB1"/>
    <w:rsid w:val="00CE2193"/>
    <w:rsid w:val="00CE2695"/>
    <w:rsid w:val="00CE354E"/>
    <w:rsid w:val="00CE3ACD"/>
    <w:rsid w:val="00CE4A41"/>
    <w:rsid w:val="00CE591B"/>
    <w:rsid w:val="00CE5F94"/>
    <w:rsid w:val="00CE61D6"/>
    <w:rsid w:val="00CE6A5E"/>
    <w:rsid w:val="00CE6BE1"/>
    <w:rsid w:val="00CE7EB2"/>
    <w:rsid w:val="00CF0854"/>
    <w:rsid w:val="00CF0CE2"/>
    <w:rsid w:val="00CF13E0"/>
    <w:rsid w:val="00CF2073"/>
    <w:rsid w:val="00CF31DA"/>
    <w:rsid w:val="00CF3625"/>
    <w:rsid w:val="00CF4BC3"/>
    <w:rsid w:val="00CF5090"/>
    <w:rsid w:val="00CF528D"/>
    <w:rsid w:val="00CF54F9"/>
    <w:rsid w:val="00CF5C26"/>
    <w:rsid w:val="00CF613A"/>
    <w:rsid w:val="00CF6995"/>
    <w:rsid w:val="00CF69FD"/>
    <w:rsid w:val="00CF7224"/>
    <w:rsid w:val="00CF775D"/>
    <w:rsid w:val="00D00682"/>
    <w:rsid w:val="00D01AD5"/>
    <w:rsid w:val="00D01CB6"/>
    <w:rsid w:val="00D02073"/>
    <w:rsid w:val="00D02FBF"/>
    <w:rsid w:val="00D0318B"/>
    <w:rsid w:val="00D03B3B"/>
    <w:rsid w:val="00D0423A"/>
    <w:rsid w:val="00D048BE"/>
    <w:rsid w:val="00D04BEB"/>
    <w:rsid w:val="00D059E2"/>
    <w:rsid w:val="00D06849"/>
    <w:rsid w:val="00D074AB"/>
    <w:rsid w:val="00D07696"/>
    <w:rsid w:val="00D101D6"/>
    <w:rsid w:val="00D11285"/>
    <w:rsid w:val="00D11537"/>
    <w:rsid w:val="00D1209F"/>
    <w:rsid w:val="00D126B9"/>
    <w:rsid w:val="00D126E0"/>
    <w:rsid w:val="00D12F31"/>
    <w:rsid w:val="00D13B89"/>
    <w:rsid w:val="00D13DF5"/>
    <w:rsid w:val="00D14135"/>
    <w:rsid w:val="00D14759"/>
    <w:rsid w:val="00D15C89"/>
    <w:rsid w:val="00D163C8"/>
    <w:rsid w:val="00D16C76"/>
    <w:rsid w:val="00D226E4"/>
    <w:rsid w:val="00D230A5"/>
    <w:rsid w:val="00D23955"/>
    <w:rsid w:val="00D24CA1"/>
    <w:rsid w:val="00D2648C"/>
    <w:rsid w:val="00D27920"/>
    <w:rsid w:val="00D27A3A"/>
    <w:rsid w:val="00D300E8"/>
    <w:rsid w:val="00D30EAD"/>
    <w:rsid w:val="00D3149F"/>
    <w:rsid w:val="00D32776"/>
    <w:rsid w:val="00D32B96"/>
    <w:rsid w:val="00D33F10"/>
    <w:rsid w:val="00D35657"/>
    <w:rsid w:val="00D3582B"/>
    <w:rsid w:val="00D36279"/>
    <w:rsid w:val="00D37012"/>
    <w:rsid w:val="00D3789C"/>
    <w:rsid w:val="00D40EF6"/>
    <w:rsid w:val="00D422AA"/>
    <w:rsid w:val="00D424F2"/>
    <w:rsid w:val="00D42692"/>
    <w:rsid w:val="00D42BA5"/>
    <w:rsid w:val="00D42F67"/>
    <w:rsid w:val="00D432FE"/>
    <w:rsid w:val="00D43EE2"/>
    <w:rsid w:val="00D44662"/>
    <w:rsid w:val="00D4470A"/>
    <w:rsid w:val="00D45256"/>
    <w:rsid w:val="00D45974"/>
    <w:rsid w:val="00D46EE0"/>
    <w:rsid w:val="00D47822"/>
    <w:rsid w:val="00D505BC"/>
    <w:rsid w:val="00D507D1"/>
    <w:rsid w:val="00D507F6"/>
    <w:rsid w:val="00D512EA"/>
    <w:rsid w:val="00D51CFD"/>
    <w:rsid w:val="00D5280E"/>
    <w:rsid w:val="00D52D3B"/>
    <w:rsid w:val="00D52EBE"/>
    <w:rsid w:val="00D53318"/>
    <w:rsid w:val="00D5340B"/>
    <w:rsid w:val="00D53D30"/>
    <w:rsid w:val="00D55200"/>
    <w:rsid w:val="00D55A81"/>
    <w:rsid w:val="00D57D98"/>
    <w:rsid w:val="00D57E1B"/>
    <w:rsid w:val="00D57E2C"/>
    <w:rsid w:val="00D57E52"/>
    <w:rsid w:val="00D607C9"/>
    <w:rsid w:val="00D608AF"/>
    <w:rsid w:val="00D60C86"/>
    <w:rsid w:val="00D614DB"/>
    <w:rsid w:val="00D61911"/>
    <w:rsid w:val="00D62001"/>
    <w:rsid w:val="00D6204A"/>
    <w:rsid w:val="00D62151"/>
    <w:rsid w:val="00D624FE"/>
    <w:rsid w:val="00D63516"/>
    <w:rsid w:val="00D6383A"/>
    <w:rsid w:val="00D63C5A"/>
    <w:rsid w:val="00D6596A"/>
    <w:rsid w:val="00D65AAF"/>
    <w:rsid w:val="00D65C33"/>
    <w:rsid w:val="00D65F6B"/>
    <w:rsid w:val="00D666BA"/>
    <w:rsid w:val="00D66A75"/>
    <w:rsid w:val="00D66EB8"/>
    <w:rsid w:val="00D67BAC"/>
    <w:rsid w:val="00D67E9A"/>
    <w:rsid w:val="00D70DFE"/>
    <w:rsid w:val="00D71210"/>
    <w:rsid w:val="00D713C2"/>
    <w:rsid w:val="00D713C3"/>
    <w:rsid w:val="00D71599"/>
    <w:rsid w:val="00D71724"/>
    <w:rsid w:val="00D71756"/>
    <w:rsid w:val="00D723D6"/>
    <w:rsid w:val="00D72912"/>
    <w:rsid w:val="00D72AEA"/>
    <w:rsid w:val="00D72DAC"/>
    <w:rsid w:val="00D72F5C"/>
    <w:rsid w:val="00D734FD"/>
    <w:rsid w:val="00D73903"/>
    <w:rsid w:val="00D74265"/>
    <w:rsid w:val="00D74E2F"/>
    <w:rsid w:val="00D75572"/>
    <w:rsid w:val="00D755C3"/>
    <w:rsid w:val="00D75D29"/>
    <w:rsid w:val="00D75DD0"/>
    <w:rsid w:val="00D75F40"/>
    <w:rsid w:val="00D76684"/>
    <w:rsid w:val="00D766B7"/>
    <w:rsid w:val="00D7680E"/>
    <w:rsid w:val="00D76899"/>
    <w:rsid w:val="00D7790B"/>
    <w:rsid w:val="00D80338"/>
    <w:rsid w:val="00D80A8B"/>
    <w:rsid w:val="00D81C6A"/>
    <w:rsid w:val="00D82179"/>
    <w:rsid w:val="00D826F0"/>
    <w:rsid w:val="00D826F8"/>
    <w:rsid w:val="00D82E54"/>
    <w:rsid w:val="00D82F58"/>
    <w:rsid w:val="00D83172"/>
    <w:rsid w:val="00D837BC"/>
    <w:rsid w:val="00D85210"/>
    <w:rsid w:val="00D85C8E"/>
    <w:rsid w:val="00D85FD5"/>
    <w:rsid w:val="00D86344"/>
    <w:rsid w:val="00D87848"/>
    <w:rsid w:val="00D9003B"/>
    <w:rsid w:val="00D90951"/>
    <w:rsid w:val="00D91BFD"/>
    <w:rsid w:val="00D92279"/>
    <w:rsid w:val="00D92A21"/>
    <w:rsid w:val="00D92CC6"/>
    <w:rsid w:val="00D93259"/>
    <w:rsid w:val="00D93D01"/>
    <w:rsid w:val="00D94D9A"/>
    <w:rsid w:val="00D9512C"/>
    <w:rsid w:val="00D9609E"/>
    <w:rsid w:val="00D961BB"/>
    <w:rsid w:val="00D97427"/>
    <w:rsid w:val="00D9795B"/>
    <w:rsid w:val="00DA1262"/>
    <w:rsid w:val="00DA1CF4"/>
    <w:rsid w:val="00DA3318"/>
    <w:rsid w:val="00DA3D5F"/>
    <w:rsid w:val="00DA3DCD"/>
    <w:rsid w:val="00DA405E"/>
    <w:rsid w:val="00DA410E"/>
    <w:rsid w:val="00DA4B19"/>
    <w:rsid w:val="00DA4DF0"/>
    <w:rsid w:val="00DA4FA3"/>
    <w:rsid w:val="00DA526D"/>
    <w:rsid w:val="00DA639E"/>
    <w:rsid w:val="00DA650E"/>
    <w:rsid w:val="00DA7129"/>
    <w:rsid w:val="00DB0FA1"/>
    <w:rsid w:val="00DB1294"/>
    <w:rsid w:val="00DB13A2"/>
    <w:rsid w:val="00DB16FC"/>
    <w:rsid w:val="00DB1866"/>
    <w:rsid w:val="00DB19A6"/>
    <w:rsid w:val="00DB1F85"/>
    <w:rsid w:val="00DB2F71"/>
    <w:rsid w:val="00DB3D27"/>
    <w:rsid w:val="00DB5284"/>
    <w:rsid w:val="00DB53B0"/>
    <w:rsid w:val="00DB5BFF"/>
    <w:rsid w:val="00DB6000"/>
    <w:rsid w:val="00DB6EA0"/>
    <w:rsid w:val="00DB7BE7"/>
    <w:rsid w:val="00DC04EF"/>
    <w:rsid w:val="00DC056F"/>
    <w:rsid w:val="00DC05E7"/>
    <w:rsid w:val="00DC0CE7"/>
    <w:rsid w:val="00DC1774"/>
    <w:rsid w:val="00DC1E69"/>
    <w:rsid w:val="00DC1EAC"/>
    <w:rsid w:val="00DC273E"/>
    <w:rsid w:val="00DC30A0"/>
    <w:rsid w:val="00DC3C33"/>
    <w:rsid w:val="00DC3C73"/>
    <w:rsid w:val="00DC3D64"/>
    <w:rsid w:val="00DC6B66"/>
    <w:rsid w:val="00DC74AE"/>
    <w:rsid w:val="00DC7FAE"/>
    <w:rsid w:val="00DD1384"/>
    <w:rsid w:val="00DD2028"/>
    <w:rsid w:val="00DD2285"/>
    <w:rsid w:val="00DD2FC1"/>
    <w:rsid w:val="00DD3440"/>
    <w:rsid w:val="00DD3DCE"/>
    <w:rsid w:val="00DD4BEF"/>
    <w:rsid w:val="00DD5883"/>
    <w:rsid w:val="00DD5AA0"/>
    <w:rsid w:val="00DD5F76"/>
    <w:rsid w:val="00DD746A"/>
    <w:rsid w:val="00DD7BF9"/>
    <w:rsid w:val="00DE1349"/>
    <w:rsid w:val="00DE19C5"/>
    <w:rsid w:val="00DE1D4E"/>
    <w:rsid w:val="00DE27EE"/>
    <w:rsid w:val="00DE2CE4"/>
    <w:rsid w:val="00DE2E61"/>
    <w:rsid w:val="00DE32FB"/>
    <w:rsid w:val="00DE44F4"/>
    <w:rsid w:val="00DE4858"/>
    <w:rsid w:val="00DE4FF7"/>
    <w:rsid w:val="00DE5492"/>
    <w:rsid w:val="00DE5E1B"/>
    <w:rsid w:val="00DE7A2A"/>
    <w:rsid w:val="00DF010C"/>
    <w:rsid w:val="00DF0393"/>
    <w:rsid w:val="00DF0D76"/>
    <w:rsid w:val="00DF0FA6"/>
    <w:rsid w:val="00DF1096"/>
    <w:rsid w:val="00DF1523"/>
    <w:rsid w:val="00DF18BA"/>
    <w:rsid w:val="00DF1BF0"/>
    <w:rsid w:val="00DF25E5"/>
    <w:rsid w:val="00DF2D1B"/>
    <w:rsid w:val="00DF312E"/>
    <w:rsid w:val="00DF345D"/>
    <w:rsid w:val="00DF3C8F"/>
    <w:rsid w:val="00DF3E19"/>
    <w:rsid w:val="00DF4199"/>
    <w:rsid w:val="00DF430C"/>
    <w:rsid w:val="00DF44C3"/>
    <w:rsid w:val="00DF4874"/>
    <w:rsid w:val="00DF5C8D"/>
    <w:rsid w:val="00DF61D8"/>
    <w:rsid w:val="00DF6C16"/>
    <w:rsid w:val="00DF6EE1"/>
    <w:rsid w:val="00DF6F13"/>
    <w:rsid w:val="00DF7ACF"/>
    <w:rsid w:val="00E0231D"/>
    <w:rsid w:val="00E02609"/>
    <w:rsid w:val="00E0339C"/>
    <w:rsid w:val="00E03946"/>
    <w:rsid w:val="00E03951"/>
    <w:rsid w:val="00E03B30"/>
    <w:rsid w:val="00E03B3D"/>
    <w:rsid w:val="00E03B7E"/>
    <w:rsid w:val="00E044F3"/>
    <w:rsid w:val="00E049A2"/>
    <w:rsid w:val="00E053F2"/>
    <w:rsid w:val="00E067AA"/>
    <w:rsid w:val="00E06FB0"/>
    <w:rsid w:val="00E07C81"/>
    <w:rsid w:val="00E10180"/>
    <w:rsid w:val="00E1082A"/>
    <w:rsid w:val="00E1157C"/>
    <w:rsid w:val="00E14540"/>
    <w:rsid w:val="00E14B8F"/>
    <w:rsid w:val="00E152C4"/>
    <w:rsid w:val="00E1538B"/>
    <w:rsid w:val="00E15F7E"/>
    <w:rsid w:val="00E16341"/>
    <w:rsid w:val="00E163E4"/>
    <w:rsid w:val="00E16FAB"/>
    <w:rsid w:val="00E17E72"/>
    <w:rsid w:val="00E2001D"/>
    <w:rsid w:val="00E20483"/>
    <w:rsid w:val="00E20A69"/>
    <w:rsid w:val="00E210F8"/>
    <w:rsid w:val="00E215F9"/>
    <w:rsid w:val="00E2171B"/>
    <w:rsid w:val="00E21946"/>
    <w:rsid w:val="00E21B22"/>
    <w:rsid w:val="00E22545"/>
    <w:rsid w:val="00E22BB6"/>
    <w:rsid w:val="00E22CAE"/>
    <w:rsid w:val="00E23179"/>
    <w:rsid w:val="00E23912"/>
    <w:rsid w:val="00E23D7A"/>
    <w:rsid w:val="00E23FA0"/>
    <w:rsid w:val="00E2401A"/>
    <w:rsid w:val="00E246DE"/>
    <w:rsid w:val="00E2606D"/>
    <w:rsid w:val="00E2659C"/>
    <w:rsid w:val="00E26A4D"/>
    <w:rsid w:val="00E27FDA"/>
    <w:rsid w:val="00E304C3"/>
    <w:rsid w:val="00E309C3"/>
    <w:rsid w:val="00E30D72"/>
    <w:rsid w:val="00E31165"/>
    <w:rsid w:val="00E311EF"/>
    <w:rsid w:val="00E316B4"/>
    <w:rsid w:val="00E32604"/>
    <w:rsid w:val="00E337C1"/>
    <w:rsid w:val="00E33B21"/>
    <w:rsid w:val="00E347F8"/>
    <w:rsid w:val="00E35F56"/>
    <w:rsid w:val="00E36B0B"/>
    <w:rsid w:val="00E36CF0"/>
    <w:rsid w:val="00E36DA4"/>
    <w:rsid w:val="00E40701"/>
    <w:rsid w:val="00E41ECD"/>
    <w:rsid w:val="00E42372"/>
    <w:rsid w:val="00E42C56"/>
    <w:rsid w:val="00E44666"/>
    <w:rsid w:val="00E450B7"/>
    <w:rsid w:val="00E45940"/>
    <w:rsid w:val="00E459D9"/>
    <w:rsid w:val="00E46A99"/>
    <w:rsid w:val="00E46C15"/>
    <w:rsid w:val="00E4788F"/>
    <w:rsid w:val="00E50072"/>
    <w:rsid w:val="00E51E95"/>
    <w:rsid w:val="00E5256F"/>
    <w:rsid w:val="00E52570"/>
    <w:rsid w:val="00E53027"/>
    <w:rsid w:val="00E53128"/>
    <w:rsid w:val="00E54192"/>
    <w:rsid w:val="00E54814"/>
    <w:rsid w:val="00E54A23"/>
    <w:rsid w:val="00E54C72"/>
    <w:rsid w:val="00E5547F"/>
    <w:rsid w:val="00E55FAF"/>
    <w:rsid w:val="00E56837"/>
    <w:rsid w:val="00E57892"/>
    <w:rsid w:val="00E603D7"/>
    <w:rsid w:val="00E607A0"/>
    <w:rsid w:val="00E60D54"/>
    <w:rsid w:val="00E60FBE"/>
    <w:rsid w:val="00E62455"/>
    <w:rsid w:val="00E63406"/>
    <w:rsid w:val="00E638CE"/>
    <w:rsid w:val="00E63AA0"/>
    <w:rsid w:val="00E63F5B"/>
    <w:rsid w:val="00E64012"/>
    <w:rsid w:val="00E64535"/>
    <w:rsid w:val="00E65D2E"/>
    <w:rsid w:val="00E66245"/>
    <w:rsid w:val="00E66433"/>
    <w:rsid w:val="00E66B5A"/>
    <w:rsid w:val="00E66D42"/>
    <w:rsid w:val="00E66D76"/>
    <w:rsid w:val="00E67AB4"/>
    <w:rsid w:val="00E70CC1"/>
    <w:rsid w:val="00E7103D"/>
    <w:rsid w:val="00E72ED7"/>
    <w:rsid w:val="00E72FB7"/>
    <w:rsid w:val="00E737AC"/>
    <w:rsid w:val="00E73EF1"/>
    <w:rsid w:val="00E74E29"/>
    <w:rsid w:val="00E75F3F"/>
    <w:rsid w:val="00E76944"/>
    <w:rsid w:val="00E7758C"/>
    <w:rsid w:val="00E7772C"/>
    <w:rsid w:val="00E806A0"/>
    <w:rsid w:val="00E80958"/>
    <w:rsid w:val="00E80FAC"/>
    <w:rsid w:val="00E8172B"/>
    <w:rsid w:val="00E81912"/>
    <w:rsid w:val="00E81A99"/>
    <w:rsid w:val="00E81CE7"/>
    <w:rsid w:val="00E82F88"/>
    <w:rsid w:val="00E832A5"/>
    <w:rsid w:val="00E83A98"/>
    <w:rsid w:val="00E83CCC"/>
    <w:rsid w:val="00E83F24"/>
    <w:rsid w:val="00E842DF"/>
    <w:rsid w:val="00E84321"/>
    <w:rsid w:val="00E844C6"/>
    <w:rsid w:val="00E85062"/>
    <w:rsid w:val="00E855DC"/>
    <w:rsid w:val="00E85F50"/>
    <w:rsid w:val="00E86F1E"/>
    <w:rsid w:val="00E8730B"/>
    <w:rsid w:val="00E874FE"/>
    <w:rsid w:val="00E8790C"/>
    <w:rsid w:val="00E90701"/>
    <w:rsid w:val="00E910CE"/>
    <w:rsid w:val="00E91316"/>
    <w:rsid w:val="00E93999"/>
    <w:rsid w:val="00E9399B"/>
    <w:rsid w:val="00E940D2"/>
    <w:rsid w:val="00E9499B"/>
    <w:rsid w:val="00E94C4E"/>
    <w:rsid w:val="00E94F3E"/>
    <w:rsid w:val="00E95125"/>
    <w:rsid w:val="00E951C3"/>
    <w:rsid w:val="00E96169"/>
    <w:rsid w:val="00E96EAF"/>
    <w:rsid w:val="00E97076"/>
    <w:rsid w:val="00E971FF"/>
    <w:rsid w:val="00E9766C"/>
    <w:rsid w:val="00E9778D"/>
    <w:rsid w:val="00E97C0E"/>
    <w:rsid w:val="00E97C5F"/>
    <w:rsid w:val="00EA05F9"/>
    <w:rsid w:val="00EA0AD1"/>
    <w:rsid w:val="00EA157E"/>
    <w:rsid w:val="00EA1771"/>
    <w:rsid w:val="00EA3BDE"/>
    <w:rsid w:val="00EA43FB"/>
    <w:rsid w:val="00EA4A55"/>
    <w:rsid w:val="00EA567E"/>
    <w:rsid w:val="00EA6623"/>
    <w:rsid w:val="00EA6DD0"/>
    <w:rsid w:val="00EB09C4"/>
    <w:rsid w:val="00EB09E4"/>
    <w:rsid w:val="00EB1A16"/>
    <w:rsid w:val="00EB286C"/>
    <w:rsid w:val="00EB2A9C"/>
    <w:rsid w:val="00EB306C"/>
    <w:rsid w:val="00EB3A67"/>
    <w:rsid w:val="00EB3F05"/>
    <w:rsid w:val="00EB4DB0"/>
    <w:rsid w:val="00EB5354"/>
    <w:rsid w:val="00EB6295"/>
    <w:rsid w:val="00EB655A"/>
    <w:rsid w:val="00EB7C47"/>
    <w:rsid w:val="00EC2C88"/>
    <w:rsid w:val="00EC3F84"/>
    <w:rsid w:val="00EC4014"/>
    <w:rsid w:val="00EC48D4"/>
    <w:rsid w:val="00EC52D1"/>
    <w:rsid w:val="00EC5DCB"/>
    <w:rsid w:val="00EC7692"/>
    <w:rsid w:val="00ED03A9"/>
    <w:rsid w:val="00ED04E7"/>
    <w:rsid w:val="00ED130E"/>
    <w:rsid w:val="00ED1E9F"/>
    <w:rsid w:val="00ED1FF5"/>
    <w:rsid w:val="00ED26E9"/>
    <w:rsid w:val="00ED36C3"/>
    <w:rsid w:val="00ED3C90"/>
    <w:rsid w:val="00ED3EAD"/>
    <w:rsid w:val="00ED5AC2"/>
    <w:rsid w:val="00ED61A2"/>
    <w:rsid w:val="00ED69CD"/>
    <w:rsid w:val="00ED7840"/>
    <w:rsid w:val="00EE0D90"/>
    <w:rsid w:val="00EE150D"/>
    <w:rsid w:val="00EE1A03"/>
    <w:rsid w:val="00EE1C89"/>
    <w:rsid w:val="00EE1E91"/>
    <w:rsid w:val="00EE20A2"/>
    <w:rsid w:val="00EE32F6"/>
    <w:rsid w:val="00EE3B4F"/>
    <w:rsid w:val="00EE4877"/>
    <w:rsid w:val="00EE4A75"/>
    <w:rsid w:val="00EE54B4"/>
    <w:rsid w:val="00EE65D9"/>
    <w:rsid w:val="00EE678E"/>
    <w:rsid w:val="00EE697D"/>
    <w:rsid w:val="00EE7808"/>
    <w:rsid w:val="00EE78EC"/>
    <w:rsid w:val="00EE796A"/>
    <w:rsid w:val="00EE7A12"/>
    <w:rsid w:val="00EF0487"/>
    <w:rsid w:val="00EF22ED"/>
    <w:rsid w:val="00EF3962"/>
    <w:rsid w:val="00EF3DC8"/>
    <w:rsid w:val="00EF4858"/>
    <w:rsid w:val="00EF4896"/>
    <w:rsid w:val="00EF529D"/>
    <w:rsid w:val="00EF639B"/>
    <w:rsid w:val="00EF6686"/>
    <w:rsid w:val="00EF67FC"/>
    <w:rsid w:val="00EF6F31"/>
    <w:rsid w:val="00EF7300"/>
    <w:rsid w:val="00F0049E"/>
    <w:rsid w:val="00F00AC6"/>
    <w:rsid w:val="00F0127C"/>
    <w:rsid w:val="00F015A2"/>
    <w:rsid w:val="00F01AD8"/>
    <w:rsid w:val="00F01C1C"/>
    <w:rsid w:val="00F02CA6"/>
    <w:rsid w:val="00F02D33"/>
    <w:rsid w:val="00F03243"/>
    <w:rsid w:val="00F037B2"/>
    <w:rsid w:val="00F040F0"/>
    <w:rsid w:val="00F0448B"/>
    <w:rsid w:val="00F04C2C"/>
    <w:rsid w:val="00F05018"/>
    <w:rsid w:val="00F05174"/>
    <w:rsid w:val="00F05432"/>
    <w:rsid w:val="00F05AD2"/>
    <w:rsid w:val="00F063D8"/>
    <w:rsid w:val="00F06888"/>
    <w:rsid w:val="00F07CF9"/>
    <w:rsid w:val="00F07D3D"/>
    <w:rsid w:val="00F11122"/>
    <w:rsid w:val="00F12805"/>
    <w:rsid w:val="00F13C35"/>
    <w:rsid w:val="00F1475F"/>
    <w:rsid w:val="00F14C84"/>
    <w:rsid w:val="00F14D0F"/>
    <w:rsid w:val="00F16F66"/>
    <w:rsid w:val="00F1707E"/>
    <w:rsid w:val="00F17C5F"/>
    <w:rsid w:val="00F20126"/>
    <w:rsid w:val="00F20550"/>
    <w:rsid w:val="00F20946"/>
    <w:rsid w:val="00F21BA2"/>
    <w:rsid w:val="00F223D6"/>
    <w:rsid w:val="00F23FF9"/>
    <w:rsid w:val="00F24938"/>
    <w:rsid w:val="00F252FB"/>
    <w:rsid w:val="00F25326"/>
    <w:rsid w:val="00F254B0"/>
    <w:rsid w:val="00F255D3"/>
    <w:rsid w:val="00F25CCF"/>
    <w:rsid w:val="00F25DD3"/>
    <w:rsid w:val="00F26052"/>
    <w:rsid w:val="00F261EB"/>
    <w:rsid w:val="00F26367"/>
    <w:rsid w:val="00F26EA0"/>
    <w:rsid w:val="00F27E77"/>
    <w:rsid w:val="00F31693"/>
    <w:rsid w:val="00F31828"/>
    <w:rsid w:val="00F32720"/>
    <w:rsid w:val="00F32C5D"/>
    <w:rsid w:val="00F33A45"/>
    <w:rsid w:val="00F3404C"/>
    <w:rsid w:val="00F34347"/>
    <w:rsid w:val="00F34A58"/>
    <w:rsid w:val="00F34B1C"/>
    <w:rsid w:val="00F34DDC"/>
    <w:rsid w:val="00F3580A"/>
    <w:rsid w:val="00F363DB"/>
    <w:rsid w:val="00F368A5"/>
    <w:rsid w:val="00F37300"/>
    <w:rsid w:val="00F37979"/>
    <w:rsid w:val="00F40627"/>
    <w:rsid w:val="00F40912"/>
    <w:rsid w:val="00F40D81"/>
    <w:rsid w:val="00F40FD6"/>
    <w:rsid w:val="00F41A59"/>
    <w:rsid w:val="00F42BEB"/>
    <w:rsid w:val="00F4368B"/>
    <w:rsid w:val="00F43A85"/>
    <w:rsid w:val="00F44298"/>
    <w:rsid w:val="00F44E1C"/>
    <w:rsid w:val="00F44FBC"/>
    <w:rsid w:val="00F45894"/>
    <w:rsid w:val="00F467AC"/>
    <w:rsid w:val="00F46D34"/>
    <w:rsid w:val="00F47804"/>
    <w:rsid w:val="00F50030"/>
    <w:rsid w:val="00F5007E"/>
    <w:rsid w:val="00F50179"/>
    <w:rsid w:val="00F50B9B"/>
    <w:rsid w:val="00F50BB6"/>
    <w:rsid w:val="00F50BD6"/>
    <w:rsid w:val="00F513FD"/>
    <w:rsid w:val="00F51E4D"/>
    <w:rsid w:val="00F5222F"/>
    <w:rsid w:val="00F52285"/>
    <w:rsid w:val="00F52A2F"/>
    <w:rsid w:val="00F52EFF"/>
    <w:rsid w:val="00F5351E"/>
    <w:rsid w:val="00F53873"/>
    <w:rsid w:val="00F538D5"/>
    <w:rsid w:val="00F539DF"/>
    <w:rsid w:val="00F53C76"/>
    <w:rsid w:val="00F53E63"/>
    <w:rsid w:val="00F53FD5"/>
    <w:rsid w:val="00F5421C"/>
    <w:rsid w:val="00F54FB1"/>
    <w:rsid w:val="00F5698B"/>
    <w:rsid w:val="00F60A2B"/>
    <w:rsid w:val="00F60C50"/>
    <w:rsid w:val="00F612D1"/>
    <w:rsid w:val="00F61CC8"/>
    <w:rsid w:val="00F61DF6"/>
    <w:rsid w:val="00F61EB7"/>
    <w:rsid w:val="00F641B0"/>
    <w:rsid w:val="00F641FB"/>
    <w:rsid w:val="00F64469"/>
    <w:rsid w:val="00F644E4"/>
    <w:rsid w:val="00F64576"/>
    <w:rsid w:val="00F64C98"/>
    <w:rsid w:val="00F65033"/>
    <w:rsid w:val="00F65112"/>
    <w:rsid w:val="00F654F8"/>
    <w:rsid w:val="00F660F3"/>
    <w:rsid w:val="00F6695D"/>
    <w:rsid w:val="00F6710F"/>
    <w:rsid w:val="00F6731B"/>
    <w:rsid w:val="00F673E2"/>
    <w:rsid w:val="00F67575"/>
    <w:rsid w:val="00F675BF"/>
    <w:rsid w:val="00F678BD"/>
    <w:rsid w:val="00F700EB"/>
    <w:rsid w:val="00F70A69"/>
    <w:rsid w:val="00F71754"/>
    <w:rsid w:val="00F71EA7"/>
    <w:rsid w:val="00F72036"/>
    <w:rsid w:val="00F72581"/>
    <w:rsid w:val="00F72E02"/>
    <w:rsid w:val="00F74175"/>
    <w:rsid w:val="00F74198"/>
    <w:rsid w:val="00F741CF"/>
    <w:rsid w:val="00F752FC"/>
    <w:rsid w:val="00F75632"/>
    <w:rsid w:val="00F7613A"/>
    <w:rsid w:val="00F76C5A"/>
    <w:rsid w:val="00F77492"/>
    <w:rsid w:val="00F77E2D"/>
    <w:rsid w:val="00F77F1C"/>
    <w:rsid w:val="00F80705"/>
    <w:rsid w:val="00F81A8B"/>
    <w:rsid w:val="00F82799"/>
    <w:rsid w:val="00F82DD8"/>
    <w:rsid w:val="00F82DF8"/>
    <w:rsid w:val="00F82F25"/>
    <w:rsid w:val="00F831F6"/>
    <w:rsid w:val="00F83EE7"/>
    <w:rsid w:val="00F847B8"/>
    <w:rsid w:val="00F84F44"/>
    <w:rsid w:val="00F84FE1"/>
    <w:rsid w:val="00F850D6"/>
    <w:rsid w:val="00F85A34"/>
    <w:rsid w:val="00F85D57"/>
    <w:rsid w:val="00F868C2"/>
    <w:rsid w:val="00F868FA"/>
    <w:rsid w:val="00F869E7"/>
    <w:rsid w:val="00F877EB"/>
    <w:rsid w:val="00F87AD8"/>
    <w:rsid w:val="00F90558"/>
    <w:rsid w:val="00F907CE"/>
    <w:rsid w:val="00F90C3F"/>
    <w:rsid w:val="00F929DB"/>
    <w:rsid w:val="00F92B9F"/>
    <w:rsid w:val="00F92CB2"/>
    <w:rsid w:val="00F92CD8"/>
    <w:rsid w:val="00F93494"/>
    <w:rsid w:val="00F939F5"/>
    <w:rsid w:val="00F93A11"/>
    <w:rsid w:val="00F93F9C"/>
    <w:rsid w:val="00F94984"/>
    <w:rsid w:val="00F9507C"/>
    <w:rsid w:val="00F95249"/>
    <w:rsid w:val="00F959F9"/>
    <w:rsid w:val="00F95ED5"/>
    <w:rsid w:val="00F966D2"/>
    <w:rsid w:val="00F96E37"/>
    <w:rsid w:val="00F97A98"/>
    <w:rsid w:val="00F97DDB"/>
    <w:rsid w:val="00FA068D"/>
    <w:rsid w:val="00FA07A5"/>
    <w:rsid w:val="00FA0AB2"/>
    <w:rsid w:val="00FA0C3B"/>
    <w:rsid w:val="00FA1BD6"/>
    <w:rsid w:val="00FA3355"/>
    <w:rsid w:val="00FA3611"/>
    <w:rsid w:val="00FA3895"/>
    <w:rsid w:val="00FA3ADF"/>
    <w:rsid w:val="00FA47EB"/>
    <w:rsid w:val="00FA4845"/>
    <w:rsid w:val="00FA4BC9"/>
    <w:rsid w:val="00FA5BF0"/>
    <w:rsid w:val="00FA6169"/>
    <w:rsid w:val="00FA639B"/>
    <w:rsid w:val="00FA779D"/>
    <w:rsid w:val="00FA7D2E"/>
    <w:rsid w:val="00FB0368"/>
    <w:rsid w:val="00FB1350"/>
    <w:rsid w:val="00FB1825"/>
    <w:rsid w:val="00FB1DE2"/>
    <w:rsid w:val="00FB2F9E"/>
    <w:rsid w:val="00FB3E30"/>
    <w:rsid w:val="00FB4805"/>
    <w:rsid w:val="00FB505C"/>
    <w:rsid w:val="00FB5432"/>
    <w:rsid w:val="00FB5638"/>
    <w:rsid w:val="00FB5BFE"/>
    <w:rsid w:val="00FB7438"/>
    <w:rsid w:val="00FB7871"/>
    <w:rsid w:val="00FB7882"/>
    <w:rsid w:val="00FB7B06"/>
    <w:rsid w:val="00FB7E48"/>
    <w:rsid w:val="00FC0C10"/>
    <w:rsid w:val="00FC0CE4"/>
    <w:rsid w:val="00FC12F2"/>
    <w:rsid w:val="00FC17EF"/>
    <w:rsid w:val="00FC2467"/>
    <w:rsid w:val="00FC24E6"/>
    <w:rsid w:val="00FC2621"/>
    <w:rsid w:val="00FC345F"/>
    <w:rsid w:val="00FC3881"/>
    <w:rsid w:val="00FC3C24"/>
    <w:rsid w:val="00FC46A5"/>
    <w:rsid w:val="00FC47C5"/>
    <w:rsid w:val="00FC4E95"/>
    <w:rsid w:val="00FC4ECB"/>
    <w:rsid w:val="00FC4FF2"/>
    <w:rsid w:val="00FC5244"/>
    <w:rsid w:val="00FC54B7"/>
    <w:rsid w:val="00FC59E2"/>
    <w:rsid w:val="00FC5C2B"/>
    <w:rsid w:val="00FC61AF"/>
    <w:rsid w:val="00FC6354"/>
    <w:rsid w:val="00FC6764"/>
    <w:rsid w:val="00FC6DE1"/>
    <w:rsid w:val="00FC71F2"/>
    <w:rsid w:val="00FC7D3F"/>
    <w:rsid w:val="00FD01C5"/>
    <w:rsid w:val="00FD06A9"/>
    <w:rsid w:val="00FD0723"/>
    <w:rsid w:val="00FD074B"/>
    <w:rsid w:val="00FD0C37"/>
    <w:rsid w:val="00FD0F26"/>
    <w:rsid w:val="00FD13EA"/>
    <w:rsid w:val="00FD1BA3"/>
    <w:rsid w:val="00FD1E1B"/>
    <w:rsid w:val="00FD2085"/>
    <w:rsid w:val="00FD2C30"/>
    <w:rsid w:val="00FD3CA5"/>
    <w:rsid w:val="00FD4118"/>
    <w:rsid w:val="00FD4528"/>
    <w:rsid w:val="00FD5555"/>
    <w:rsid w:val="00FD5EBD"/>
    <w:rsid w:val="00FD5F72"/>
    <w:rsid w:val="00FD6757"/>
    <w:rsid w:val="00FD6ADC"/>
    <w:rsid w:val="00FD707D"/>
    <w:rsid w:val="00FD708D"/>
    <w:rsid w:val="00FD72E3"/>
    <w:rsid w:val="00FD7EF9"/>
    <w:rsid w:val="00FD7F8E"/>
    <w:rsid w:val="00FE0FC0"/>
    <w:rsid w:val="00FE124F"/>
    <w:rsid w:val="00FE15BE"/>
    <w:rsid w:val="00FE28EF"/>
    <w:rsid w:val="00FE348B"/>
    <w:rsid w:val="00FE3662"/>
    <w:rsid w:val="00FE3B2C"/>
    <w:rsid w:val="00FE3C08"/>
    <w:rsid w:val="00FE3E58"/>
    <w:rsid w:val="00FE47C9"/>
    <w:rsid w:val="00FE558D"/>
    <w:rsid w:val="00FE5F6A"/>
    <w:rsid w:val="00FE6553"/>
    <w:rsid w:val="00FE6785"/>
    <w:rsid w:val="00FF024E"/>
    <w:rsid w:val="00FF0CB9"/>
    <w:rsid w:val="00FF0F45"/>
    <w:rsid w:val="00FF1FBC"/>
    <w:rsid w:val="00FF248D"/>
    <w:rsid w:val="00FF25B5"/>
    <w:rsid w:val="00FF3188"/>
    <w:rsid w:val="00FF3EA4"/>
    <w:rsid w:val="00FF3EB9"/>
    <w:rsid w:val="00FF4756"/>
    <w:rsid w:val="00FF4E03"/>
    <w:rsid w:val="00FF50D8"/>
    <w:rsid w:val="00FF53F5"/>
    <w:rsid w:val="00FF60AA"/>
    <w:rsid w:val="00FF6D1E"/>
    <w:rsid w:val="00FF7A0C"/>
    <w:rsid w:val="012D0559"/>
    <w:rsid w:val="01487104"/>
    <w:rsid w:val="01BC903B"/>
    <w:rsid w:val="0215A09B"/>
    <w:rsid w:val="027C1D6B"/>
    <w:rsid w:val="028C5ED2"/>
    <w:rsid w:val="02B26607"/>
    <w:rsid w:val="02D8B66E"/>
    <w:rsid w:val="0308CA9E"/>
    <w:rsid w:val="036AB606"/>
    <w:rsid w:val="0386D4C8"/>
    <w:rsid w:val="03971066"/>
    <w:rsid w:val="03DC323A"/>
    <w:rsid w:val="03F376FC"/>
    <w:rsid w:val="040916DC"/>
    <w:rsid w:val="04282F33"/>
    <w:rsid w:val="0442CA1E"/>
    <w:rsid w:val="04490C64"/>
    <w:rsid w:val="044E7021"/>
    <w:rsid w:val="0467987E"/>
    <w:rsid w:val="04E5DEDC"/>
    <w:rsid w:val="04F772C6"/>
    <w:rsid w:val="052AFEBD"/>
    <w:rsid w:val="06002CBC"/>
    <w:rsid w:val="065F3784"/>
    <w:rsid w:val="06B1CD3F"/>
    <w:rsid w:val="06BF4C79"/>
    <w:rsid w:val="06DB86C3"/>
    <w:rsid w:val="06E7AF80"/>
    <w:rsid w:val="0768DE6D"/>
    <w:rsid w:val="08353F9F"/>
    <w:rsid w:val="084A6EDC"/>
    <w:rsid w:val="089FCA60"/>
    <w:rsid w:val="08BCBD52"/>
    <w:rsid w:val="090BD92D"/>
    <w:rsid w:val="096E592F"/>
    <w:rsid w:val="0997276B"/>
    <w:rsid w:val="09CE4D66"/>
    <w:rsid w:val="0A5192AF"/>
    <w:rsid w:val="0A8E4775"/>
    <w:rsid w:val="0AF31381"/>
    <w:rsid w:val="0B808FBE"/>
    <w:rsid w:val="0B99FE69"/>
    <w:rsid w:val="0C26567E"/>
    <w:rsid w:val="0C3FE0C8"/>
    <w:rsid w:val="0C832488"/>
    <w:rsid w:val="0C8F54F3"/>
    <w:rsid w:val="0D207265"/>
    <w:rsid w:val="0D25E2DD"/>
    <w:rsid w:val="0D4C2A3F"/>
    <w:rsid w:val="0D98855E"/>
    <w:rsid w:val="0D9CA3C8"/>
    <w:rsid w:val="0DC06077"/>
    <w:rsid w:val="0DC1ECA7"/>
    <w:rsid w:val="0DD5EFAD"/>
    <w:rsid w:val="0E5BAEAB"/>
    <w:rsid w:val="0EBFA909"/>
    <w:rsid w:val="104A0A72"/>
    <w:rsid w:val="1058AF85"/>
    <w:rsid w:val="1067AE57"/>
    <w:rsid w:val="10CC4522"/>
    <w:rsid w:val="10EA5F3E"/>
    <w:rsid w:val="113191E4"/>
    <w:rsid w:val="11662E6E"/>
    <w:rsid w:val="11BDFC61"/>
    <w:rsid w:val="1205CFD8"/>
    <w:rsid w:val="1219B7D8"/>
    <w:rsid w:val="1299DAF3"/>
    <w:rsid w:val="12A9DF90"/>
    <w:rsid w:val="12B6F955"/>
    <w:rsid w:val="12C3B722"/>
    <w:rsid w:val="12DB627D"/>
    <w:rsid w:val="12DBC2C7"/>
    <w:rsid w:val="12F76CA5"/>
    <w:rsid w:val="133CC2F1"/>
    <w:rsid w:val="13905047"/>
    <w:rsid w:val="13938DC2"/>
    <w:rsid w:val="1403E5E4"/>
    <w:rsid w:val="14A584CF"/>
    <w:rsid w:val="14FD8AA9"/>
    <w:rsid w:val="1509978B"/>
    <w:rsid w:val="150CA254"/>
    <w:rsid w:val="152453BB"/>
    <w:rsid w:val="156DB8B2"/>
    <w:rsid w:val="16623334"/>
    <w:rsid w:val="169F342D"/>
    <w:rsid w:val="16F3BAB5"/>
    <w:rsid w:val="16F5D872"/>
    <w:rsid w:val="16FA5DB1"/>
    <w:rsid w:val="17AF33EA"/>
    <w:rsid w:val="18443B33"/>
    <w:rsid w:val="18802DDE"/>
    <w:rsid w:val="18994FB1"/>
    <w:rsid w:val="18BD0E3D"/>
    <w:rsid w:val="19FF91CB"/>
    <w:rsid w:val="1ACFD650"/>
    <w:rsid w:val="1B020D74"/>
    <w:rsid w:val="1B46279F"/>
    <w:rsid w:val="1B98FF66"/>
    <w:rsid w:val="1BC6AB91"/>
    <w:rsid w:val="1BC96149"/>
    <w:rsid w:val="1BCE0FED"/>
    <w:rsid w:val="1BCF840C"/>
    <w:rsid w:val="1BE47E09"/>
    <w:rsid w:val="1BE550F0"/>
    <w:rsid w:val="1C64B46F"/>
    <w:rsid w:val="1C864509"/>
    <w:rsid w:val="1D1CC845"/>
    <w:rsid w:val="1D31CE18"/>
    <w:rsid w:val="1D5097C0"/>
    <w:rsid w:val="1D87CE5B"/>
    <w:rsid w:val="1D9F11A0"/>
    <w:rsid w:val="1DC2D02C"/>
    <w:rsid w:val="1DCEEF0B"/>
    <w:rsid w:val="1DEDD8E4"/>
    <w:rsid w:val="1E2A2651"/>
    <w:rsid w:val="1E59765C"/>
    <w:rsid w:val="1E631182"/>
    <w:rsid w:val="1E6F6CC6"/>
    <w:rsid w:val="1E8530F5"/>
    <w:rsid w:val="1EB526BB"/>
    <w:rsid w:val="1F123861"/>
    <w:rsid w:val="1F86FBC9"/>
    <w:rsid w:val="1F938FF1"/>
    <w:rsid w:val="1FAF3418"/>
    <w:rsid w:val="208CCA13"/>
    <w:rsid w:val="20B16778"/>
    <w:rsid w:val="21366CB4"/>
    <w:rsid w:val="214B0479"/>
    <w:rsid w:val="21BCCD9B"/>
    <w:rsid w:val="21EC0C46"/>
    <w:rsid w:val="22368D8F"/>
    <w:rsid w:val="226BEFDC"/>
    <w:rsid w:val="2272B358"/>
    <w:rsid w:val="22755F14"/>
    <w:rsid w:val="22C210DE"/>
    <w:rsid w:val="22E6D4DA"/>
    <w:rsid w:val="22F7E48C"/>
    <w:rsid w:val="230EDDDE"/>
    <w:rsid w:val="2311EA68"/>
    <w:rsid w:val="234D61AA"/>
    <w:rsid w:val="23B2189D"/>
    <w:rsid w:val="23D7C22A"/>
    <w:rsid w:val="24464FEB"/>
    <w:rsid w:val="24F18148"/>
    <w:rsid w:val="2541F4D4"/>
    <w:rsid w:val="25460BDC"/>
    <w:rsid w:val="2561944A"/>
    <w:rsid w:val="258EB28C"/>
    <w:rsid w:val="25B26AE8"/>
    <w:rsid w:val="261CDF08"/>
    <w:rsid w:val="262455AF"/>
    <w:rsid w:val="26B7D625"/>
    <w:rsid w:val="270421E9"/>
    <w:rsid w:val="277D6178"/>
    <w:rsid w:val="27878351"/>
    <w:rsid w:val="278813DA"/>
    <w:rsid w:val="28606672"/>
    <w:rsid w:val="28798E22"/>
    <w:rsid w:val="28D1CB2A"/>
    <w:rsid w:val="28E0DEEE"/>
    <w:rsid w:val="28F940F8"/>
    <w:rsid w:val="290F061D"/>
    <w:rsid w:val="29669A6B"/>
    <w:rsid w:val="298A61AF"/>
    <w:rsid w:val="298D5707"/>
    <w:rsid w:val="29925900"/>
    <w:rsid w:val="29C7FDD7"/>
    <w:rsid w:val="29EBF76E"/>
    <w:rsid w:val="2A488072"/>
    <w:rsid w:val="2A49D951"/>
    <w:rsid w:val="2A8A64ED"/>
    <w:rsid w:val="2A994CA4"/>
    <w:rsid w:val="2ACC8EBD"/>
    <w:rsid w:val="2AE3D019"/>
    <w:rsid w:val="2B1AD3F8"/>
    <w:rsid w:val="2B8B2259"/>
    <w:rsid w:val="2BAC0670"/>
    <w:rsid w:val="2BB92E73"/>
    <w:rsid w:val="2BD5160F"/>
    <w:rsid w:val="2BED1C61"/>
    <w:rsid w:val="2C609CE6"/>
    <w:rsid w:val="2CE595FB"/>
    <w:rsid w:val="2D6F075A"/>
    <w:rsid w:val="2D9558D4"/>
    <w:rsid w:val="2D9CC2E2"/>
    <w:rsid w:val="2E193394"/>
    <w:rsid w:val="2E1AF9FC"/>
    <w:rsid w:val="2E1C8C69"/>
    <w:rsid w:val="2E947651"/>
    <w:rsid w:val="2E96BD15"/>
    <w:rsid w:val="2E99BE61"/>
    <w:rsid w:val="2EB961C9"/>
    <w:rsid w:val="2ED4E54C"/>
    <w:rsid w:val="2EEC1470"/>
    <w:rsid w:val="2F3E7CF8"/>
    <w:rsid w:val="2FA6A631"/>
    <w:rsid w:val="301D71A0"/>
    <w:rsid w:val="3049EA6F"/>
    <w:rsid w:val="306DBD37"/>
    <w:rsid w:val="308CE49F"/>
    <w:rsid w:val="309FF278"/>
    <w:rsid w:val="30D2BA47"/>
    <w:rsid w:val="30ED06C1"/>
    <w:rsid w:val="30F77B62"/>
    <w:rsid w:val="3160AE67"/>
    <w:rsid w:val="316CFCA3"/>
    <w:rsid w:val="3192AAF1"/>
    <w:rsid w:val="31A58C1B"/>
    <w:rsid w:val="31B41DA6"/>
    <w:rsid w:val="326EBA81"/>
    <w:rsid w:val="32C2BB5F"/>
    <w:rsid w:val="32ED12CC"/>
    <w:rsid w:val="32ED7C52"/>
    <w:rsid w:val="331059A4"/>
    <w:rsid w:val="33158FC2"/>
    <w:rsid w:val="3372E778"/>
    <w:rsid w:val="33DCB81F"/>
    <w:rsid w:val="34A44515"/>
    <w:rsid w:val="34DB6DA7"/>
    <w:rsid w:val="3576EBE1"/>
    <w:rsid w:val="35A42859"/>
    <w:rsid w:val="368051A0"/>
    <w:rsid w:val="36D7A9C0"/>
    <w:rsid w:val="36DFC3D0"/>
    <w:rsid w:val="373EF0AB"/>
    <w:rsid w:val="37C770A4"/>
    <w:rsid w:val="37EFA40D"/>
    <w:rsid w:val="38D14EDC"/>
    <w:rsid w:val="38E4B39D"/>
    <w:rsid w:val="38E9F1CA"/>
    <w:rsid w:val="3972911A"/>
    <w:rsid w:val="39736425"/>
    <w:rsid w:val="39CB59FE"/>
    <w:rsid w:val="3A7AC0AA"/>
    <w:rsid w:val="3A8A529C"/>
    <w:rsid w:val="3AC34EAC"/>
    <w:rsid w:val="3B01E169"/>
    <w:rsid w:val="3B6587C0"/>
    <w:rsid w:val="3BB47234"/>
    <w:rsid w:val="3C0A9EB6"/>
    <w:rsid w:val="3C699DA5"/>
    <w:rsid w:val="3C82A048"/>
    <w:rsid w:val="3C93B9CE"/>
    <w:rsid w:val="3CAA31DC"/>
    <w:rsid w:val="3D58ADBC"/>
    <w:rsid w:val="3D9125DD"/>
    <w:rsid w:val="3DC4BA5B"/>
    <w:rsid w:val="3E355BC2"/>
    <w:rsid w:val="3E9AE4B2"/>
    <w:rsid w:val="3EAE8656"/>
    <w:rsid w:val="3EB03713"/>
    <w:rsid w:val="3EBDB344"/>
    <w:rsid w:val="40709E8D"/>
    <w:rsid w:val="4117FF21"/>
    <w:rsid w:val="4150C438"/>
    <w:rsid w:val="417122ED"/>
    <w:rsid w:val="41C49CC4"/>
    <w:rsid w:val="4281176B"/>
    <w:rsid w:val="42991D80"/>
    <w:rsid w:val="42A8042F"/>
    <w:rsid w:val="43197360"/>
    <w:rsid w:val="4356C8F7"/>
    <w:rsid w:val="43606D25"/>
    <w:rsid w:val="43799582"/>
    <w:rsid w:val="43845DEC"/>
    <w:rsid w:val="43C129BC"/>
    <w:rsid w:val="43F7B5D3"/>
    <w:rsid w:val="440D3653"/>
    <w:rsid w:val="44B543C1"/>
    <w:rsid w:val="44E48B29"/>
    <w:rsid w:val="45374D08"/>
    <w:rsid w:val="453E224D"/>
    <w:rsid w:val="454E8628"/>
    <w:rsid w:val="455CFA1D"/>
    <w:rsid w:val="4596A987"/>
    <w:rsid w:val="464611BF"/>
    <w:rsid w:val="4686B640"/>
    <w:rsid w:val="46C294B7"/>
    <w:rsid w:val="46F8CA7E"/>
    <w:rsid w:val="46F9464A"/>
    <w:rsid w:val="47227DCD"/>
    <w:rsid w:val="473E9F2E"/>
    <w:rsid w:val="4768B33B"/>
    <w:rsid w:val="4776B5B8"/>
    <w:rsid w:val="481A6747"/>
    <w:rsid w:val="4865339B"/>
    <w:rsid w:val="48A0133F"/>
    <w:rsid w:val="48CB6519"/>
    <w:rsid w:val="49237E8C"/>
    <w:rsid w:val="494057D9"/>
    <w:rsid w:val="49532763"/>
    <w:rsid w:val="495523FD"/>
    <w:rsid w:val="497ED48A"/>
    <w:rsid w:val="49CFAEA9"/>
    <w:rsid w:val="4A40575A"/>
    <w:rsid w:val="4A758B3E"/>
    <w:rsid w:val="4A762ED1"/>
    <w:rsid w:val="4A81F2C7"/>
    <w:rsid w:val="4B68AB6A"/>
    <w:rsid w:val="4B6B7F0A"/>
    <w:rsid w:val="4B7EF285"/>
    <w:rsid w:val="4BCAC80E"/>
    <w:rsid w:val="4BD10C12"/>
    <w:rsid w:val="4C200E59"/>
    <w:rsid w:val="4C3C572F"/>
    <w:rsid w:val="4C92AE74"/>
    <w:rsid w:val="4CC01E1A"/>
    <w:rsid w:val="4CC1E19D"/>
    <w:rsid w:val="4CDBAA8C"/>
    <w:rsid w:val="4CEA84E8"/>
    <w:rsid w:val="4D01EDB0"/>
    <w:rsid w:val="4D5421A8"/>
    <w:rsid w:val="4DEAC0AD"/>
    <w:rsid w:val="4EA41705"/>
    <w:rsid w:val="4EFA570F"/>
    <w:rsid w:val="4F5C11E4"/>
    <w:rsid w:val="4F7C1F30"/>
    <w:rsid w:val="50B1EE52"/>
    <w:rsid w:val="50D290FE"/>
    <w:rsid w:val="5127C986"/>
    <w:rsid w:val="51A51AFA"/>
    <w:rsid w:val="51E67D04"/>
    <w:rsid w:val="5204D03D"/>
    <w:rsid w:val="527CB7FD"/>
    <w:rsid w:val="52E28691"/>
    <w:rsid w:val="53D0AC8C"/>
    <w:rsid w:val="53DF2FCB"/>
    <w:rsid w:val="540C757C"/>
    <w:rsid w:val="54158936"/>
    <w:rsid w:val="5492DAF8"/>
    <w:rsid w:val="54FFB46C"/>
    <w:rsid w:val="556713D2"/>
    <w:rsid w:val="55FDE817"/>
    <w:rsid w:val="571D5797"/>
    <w:rsid w:val="57355270"/>
    <w:rsid w:val="57379F91"/>
    <w:rsid w:val="5773C2D6"/>
    <w:rsid w:val="57C30D4F"/>
    <w:rsid w:val="58161626"/>
    <w:rsid w:val="58B32D77"/>
    <w:rsid w:val="58DDA2E3"/>
    <w:rsid w:val="58EABA6D"/>
    <w:rsid w:val="591B4B1F"/>
    <w:rsid w:val="5935D55A"/>
    <w:rsid w:val="5A497B84"/>
    <w:rsid w:val="5A4BC5E5"/>
    <w:rsid w:val="5AC3C222"/>
    <w:rsid w:val="5AC9F851"/>
    <w:rsid w:val="5B2CDB97"/>
    <w:rsid w:val="5B3C71DA"/>
    <w:rsid w:val="5BDD2032"/>
    <w:rsid w:val="5BE17436"/>
    <w:rsid w:val="5BFC7514"/>
    <w:rsid w:val="5CB53F4C"/>
    <w:rsid w:val="5CC2B40D"/>
    <w:rsid w:val="5D0275ED"/>
    <w:rsid w:val="5D0970F1"/>
    <w:rsid w:val="5D591B43"/>
    <w:rsid w:val="5D792532"/>
    <w:rsid w:val="5D7B49C0"/>
    <w:rsid w:val="5DF82E64"/>
    <w:rsid w:val="5E010C76"/>
    <w:rsid w:val="5E7247C2"/>
    <w:rsid w:val="5ECCD8FF"/>
    <w:rsid w:val="5EE9560E"/>
    <w:rsid w:val="5F2B0050"/>
    <w:rsid w:val="5F56B7F3"/>
    <w:rsid w:val="5F6117EA"/>
    <w:rsid w:val="5F7475C3"/>
    <w:rsid w:val="600E7B9A"/>
    <w:rsid w:val="60130D7A"/>
    <w:rsid w:val="6051584E"/>
    <w:rsid w:val="606BA088"/>
    <w:rsid w:val="606EF36A"/>
    <w:rsid w:val="60BFE045"/>
    <w:rsid w:val="615EF7B7"/>
    <w:rsid w:val="61B6CF4C"/>
    <w:rsid w:val="61BBD50F"/>
    <w:rsid w:val="61C2B62A"/>
    <w:rsid w:val="61D24914"/>
    <w:rsid w:val="61D82E26"/>
    <w:rsid w:val="61E2CBC9"/>
    <w:rsid w:val="61ED28AF"/>
    <w:rsid w:val="6229162C"/>
    <w:rsid w:val="624BDE78"/>
    <w:rsid w:val="627A1582"/>
    <w:rsid w:val="630CA93C"/>
    <w:rsid w:val="63301C83"/>
    <w:rsid w:val="63885CC3"/>
    <w:rsid w:val="63ABA696"/>
    <w:rsid w:val="63E14E02"/>
    <w:rsid w:val="63EB582F"/>
    <w:rsid w:val="63F76AB1"/>
    <w:rsid w:val="64173529"/>
    <w:rsid w:val="64236389"/>
    <w:rsid w:val="645F2277"/>
    <w:rsid w:val="64B1B914"/>
    <w:rsid w:val="64FC86B4"/>
    <w:rsid w:val="651A07E4"/>
    <w:rsid w:val="65730B43"/>
    <w:rsid w:val="65DFD03B"/>
    <w:rsid w:val="66083B31"/>
    <w:rsid w:val="6635B294"/>
    <w:rsid w:val="663F1125"/>
    <w:rsid w:val="664BD3C7"/>
    <w:rsid w:val="6692CB2A"/>
    <w:rsid w:val="6698D958"/>
    <w:rsid w:val="66CC4301"/>
    <w:rsid w:val="66D18D9E"/>
    <w:rsid w:val="678E7A9D"/>
    <w:rsid w:val="67A37DC8"/>
    <w:rsid w:val="67DB50C5"/>
    <w:rsid w:val="693AB71C"/>
    <w:rsid w:val="695877E9"/>
    <w:rsid w:val="695D78CA"/>
    <w:rsid w:val="6961EA40"/>
    <w:rsid w:val="6969404E"/>
    <w:rsid w:val="697488E1"/>
    <w:rsid w:val="697FED4D"/>
    <w:rsid w:val="69DF1237"/>
    <w:rsid w:val="69F392D3"/>
    <w:rsid w:val="6A00B4CA"/>
    <w:rsid w:val="6B2318A5"/>
    <w:rsid w:val="6B4C7179"/>
    <w:rsid w:val="6B8B9180"/>
    <w:rsid w:val="6C17325A"/>
    <w:rsid w:val="6C48B8CB"/>
    <w:rsid w:val="6CE7DD8F"/>
    <w:rsid w:val="6CEF6573"/>
    <w:rsid w:val="6DF083B7"/>
    <w:rsid w:val="6E0AB1CA"/>
    <w:rsid w:val="6E161F1B"/>
    <w:rsid w:val="6E41FB51"/>
    <w:rsid w:val="6E4816EC"/>
    <w:rsid w:val="6EB08B1C"/>
    <w:rsid w:val="6EB7A215"/>
    <w:rsid w:val="6F1CE35E"/>
    <w:rsid w:val="6F7205C1"/>
    <w:rsid w:val="6FC8EC24"/>
    <w:rsid w:val="70053E67"/>
    <w:rsid w:val="703615FD"/>
    <w:rsid w:val="708D04BA"/>
    <w:rsid w:val="71057CE7"/>
    <w:rsid w:val="712998CD"/>
    <w:rsid w:val="718C7A5C"/>
    <w:rsid w:val="72305859"/>
    <w:rsid w:val="7255FBE0"/>
    <w:rsid w:val="728DCEB8"/>
    <w:rsid w:val="72E9903E"/>
    <w:rsid w:val="731670F0"/>
    <w:rsid w:val="7375A92B"/>
    <w:rsid w:val="73BFE217"/>
    <w:rsid w:val="7446D8A5"/>
    <w:rsid w:val="745C866A"/>
    <w:rsid w:val="7466C935"/>
    <w:rsid w:val="74BAAA6D"/>
    <w:rsid w:val="74FD9BCC"/>
    <w:rsid w:val="75038031"/>
    <w:rsid w:val="7509E698"/>
    <w:rsid w:val="7510EF54"/>
    <w:rsid w:val="75EF35E2"/>
    <w:rsid w:val="76030928"/>
    <w:rsid w:val="76B9C41E"/>
    <w:rsid w:val="76CC7BA2"/>
    <w:rsid w:val="76E7E129"/>
    <w:rsid w:val="76FDCA2D"/>
    <w:rsid w:val="770D066D"/>
    <w:rsid w:val="777C6642"/>
    <w:rsid w:val="780B18D4"/>
    <w:rsid w:val="78772439"/>
    <w:rsid w:val="78B70B10"/>
    <w:rsid w:val="78BC2A7C"/>
    <w:rsid w:val="78BF2E89"/>
    <w:rsid w:val="78F2A91B"/>
    <w:rsid w:val="79A4CE23"/>
    <w:rsid w:val="7A2B0115"/>
    <w:rsid w:val="7A44A744"/>
    <w:rsid w:val="7A9841F0"/>
    <w:rsid w:val="7AF4A223"/>
    <w:rsid w:val="7B43985A"/>
    <w:rsid w:val="7B4AA116"/>
    <w:rsid w:val="7B6F7462"/>
    <w:rsid w:val="7B8644D5"/>
    <w:rsid w:val="7C081357"/>
    <w:rsid w:val="7C780238"/>
    <w:rsid w:val="7C8048D2"/>
    <w:rsid w:val="7CE37F1E"/>
    <w:rsid w:val="7D179343"/>
    <w:rsid w:val="7D282F02"/>
    <w:rsid w:val="7D7827A1"/>
    <w:rsid w:val="7DDB5E76"/>
    <w:rsid w:val="7DF29D99"/>
    <w:rsid w:val="7DF9CDF7"/>
    <w:rsid w:val="7E320639"/>
    <w:rsid w:val="7EACBB07"/>
    <w:rsid w:val="7F135995"/>
    <w:rsid w:val="7F67F124"/>
    <w:rsid w:val="7FCAA7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0A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qFormat="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3C5A"/>
    <w:rPr>
      <w:rFonts w:ascii="Times New Roman" w:hAnsi="Times New Roman"/>
    </w:rPr>
  </w:style>
  <w:style w:type="paragraph" w:styleId="Heading1">
    <w:name w:val="heading 1"/>
    <w:basedOn w:val="Normal"/>
    <w:next w:val="Normal"/>
    <w:link w:val="Heading1Char"/>
    <w:uiPriority w:val="9"/>
    <w:qFormat/>
    <w:rsid w:val="0066784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6784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6784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66784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66784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6784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6784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6784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6784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3A2D23"/>
    <w:pPr>
      <w:spacing w:after="240"/>
      <w:ind w:left="1440" w:right="1440"/>
    </w:pPr>
    <w:rPr>
      <w:rFonts w:eastAsia="Calibri" w:cs="Times New Roman"/>
    </w:rPr>
  </w:style>
  <w:style w:type="paragraph" w:styleId="BodyText">
    <w:name w:val="Body Text"/>
    <w:basedOn w:val="Normal"/>
    <w:link w:val="BodyTextChar"/>
    <w:rsid w:val="003A2D23"/>
    <w:pPr>
      <w:spacing w:after="240"/>
    </w:pPr>
    <w:rPr>
      <w:rFonts w:eastAsia="Calibri" w:cs="Times New Roman"/>
      <w:szCs w:val="20"/>
    </w:rPr>
  </w:style>
  <w:style w:type="character" w:customStyle="1" w:styleId="BodyTextChar">
    <w:name w:val="Body Text Char"/>
    <w:basedOn w:val="DefaultParagraphFont"/>
    <w:link w:val="BodyText"/>
    <w:rsid w:val="003A2D23"/>
    <w:rPr>
      <w:rFonts w:ascii="Times New Roman" w:eastAsia="Calibri" w:hAnsi="Times New Roman" w:cs="Times New Roman"/>
      <w:szCs w:val="20"/>
    </w:rPr>
  </w:style>
  <w:style w:type="paragraph" w:customStyle="1" w:styleId="BodyTextFirstIndent10">
    <w:name w:val="Body Text First Indent (1.0)"/>
    <w:basedOn w:val="Normal"/>
    <w:qFormat/>
    <w:rsid w:val="0066381F"/>
    <w:pPr>
      <w:spacing w:after="240"/>
      <w:ind w:firstLine="1440"/>
    </w:pPr>
    <w:rPr>
      <w:rFonts w:cs="Arial"/>
      <w:szCs w:val="22"/>
    </w:rPr>
  </w:style>
  <w:style w:type="paragraph" w:styleId="ListParagraph">
    <w:name w:val="List Paragraph"/>
    <w:basedOn w:val="Normal"/>
    <w:uiPriority w:val="34"/>
    <w:qFormat/>
    <w:rsid w:val="00470840"/>
    <w:pPr>
      <w:ind w:left="720"/>
      <w:contextualSpacing/>
    </w:pPr>
  </w:style>
  <w:style w:type="paragraph" w:customStyle="1" w:styleId="BodyTextFirstIndentds">
    <w:name w:val="Body Text First Indent ds"/>
    <w:basedOn w:val="Normal"/>
    <w:qFormat/>
    <w:rsid w:val="00C106D2"/>
    <w:pPr>
      <w:spacing w:line="480" w:lineRule="auto"/>
      <w:ind w:firstLine="720"/>
    </w:pPr>
    <w:rPr>
      <w:rFonts w:cs="Arial"/>
      <w:szCs w:val="22"/>
    </w:rPr>
  </w:style>
  <w:style w:type="paragraph" w:customStyle="1" w:styleId="BodyTextFirstIndent15">
    <w:name w:val="Body Text First Indent (1.5)"/>
    <w:basedOn w:val="Normal"/>
    <w:qFormat/>
    <w:rsid w:val="0066381F"/>
    <w:pPr>
      <w:spacing w:after="240"/>
      <w:ind w:firstLine="2160"/>
    </w:pPr>
  </w:style>
  <w:style w:type="paragraph" w:styleId="BodyTextFirstIndent">
    <w:name w:val="Body Text First Indent"/>
    <w:basedOn w:val="Normal"/>
    <w:link w:val="BodyTextFirstIndentChar"/>
    <w:qFormat/>
    <w:rsid w:val="00FC0CE4"/>
    <w:pPr>
      <w:spacing w:after="240"/>
      <w:ind w:firstLine="720"/>
    </w:pPr>
    <w:rPr>
      <w:rFonts w:eastAsia="Calibri" w:cs="Times New Roman"/>
      <w:szCs w:val="20"/>
    </w:rPr>
  </w:style>
  <w:style w:type="character" w:customStyle="1" w:styleId="BodyTextFirstIndentChar">
    <w:name w:val="Body Text First Indent Char"/>
    <w:basedOn w:val="BodyTextChar"/>
    <w:link w:val="BodyTextFirstIndent"/>
    <w:rsid w:val="00FC0CE4"/>
    <w:rPr>
      <w:rFonts w:ascii="Times New Roman" w:eastAsia="Calibri" w:hAnsi="Times New Roman" w:cs="Times New Roman"/>
      <w:szCs w:val="20"/>
    </w:rPr>
  </w:style>
  <w:style w:type="paragraph" w:customStyle="1" w:styleId="BodyTextds">
    <w:name w:val="Body Text ds"/>
    <w:basedOn w:val="Normal"/>
    <w:qFormat/>
    <w:rsid w:val="00CB7E21"/>
    <w:pPr>
      <w:spacing w:line="480" w:lineRule="auto"/>
    </w:pPr>
  </w:style>
  <w:style w:type="paragraph" w:styleId="BodyTextIndent">
    <w:name w:val="Body Text Indent"/>
    <w:basedOn w:val="Normal"/>
    <w:link w:val="BodyTextIndentChar"/>
    <w:rsid w:val="00967109"/>
    <w:pPr>
      <w:spacing w:after="240"/>
      <w:ind w:left="720"/>
    </w:pPr>
    <w:rPr>
      <w:rFonts w:eastAsia="Calibri" w:cs="Times New Roman"/>
    </w:rPr>
  </w:style>
  <w:style w:type="character" w:customStyle="1" w:styleId="BodyTextIndentChar">
    <w:name w:val="Body Text Indent Char"/>
    <w:basedOn w:val="DefaultParagraphFont"/>
    <w:link w:val="BodyTextIndent"/>
    <w:rsid w:val="00967109"/>
    <w:rPr>
      <w:rFonts w:ascii="Times New Roman" w:eastAsia="Calibri" w:hAnsi="Times New Roman" w:cs="Times New Roman"/>
    </w:rPr>
  </w:style>
  <w:style w:type="paragraph" w:customStyle="1" w:styleId="BodyTextHangingIndent">
    <w:name w:val="Body Text Hanging Indent"/>
    <w:basedOn w:val="Normal"/>
    <w:qFormat/>
    <w:rsid w:val="003A2D23"/>
    <w:pPr>
      <w:spacing w:after="240"/>
      <w:ind w:left="720" w:hanging="720"/>
    </w:pPr>
    <w:rPr>
      <w:rFonts w:eastAsia="Calibri" w:cs="Times New Roman"/>
    </w:rPr>
  </w:style>
  <w:style w:type="paragraph" w:customStyle="1" w:styleId="BodyTextIndent10">
    <w:name w:val="Body Text Indent (1.0)"/>
    <w:basedOn w:val="Normal"/>
    <w:qFormat/>
    <w:rsid w:val="00967109"/>
    <w:pPr>
      <w:spacing w:after="240"/>
      <w:ind w:left="1440"/>
    </w:pPr>
  </w:style>
  <w:style w:type="paragraph" w:styleId="Footer">
    <w:name w:val="footer"/>
    <w:basedOn w:val="Normal"/>
    <w:link w:val="FooterChar"/>
    <w:uiPriority w:val="99"/>
    <w:rsid w:val="009A26BB"/>
    <w:pPr>
      <w:tabs>
        <w:tab w:val="left" w:pos="4680"/>
        <w:tab w:val="left" w:pos="9000"/>
      </w:tabs>
    </w:pPr>
    <w:rPr>
      <w:rFonts w:eastAsia="Calibri" w:cs="Times New Roman"/>
    </w:rPr>
  </w:style>
  <w:style w:type="character" w:customStyle="1" w:styleId="FooterChar">
    <w:name w:val="Footer Char"/>
    <w:basedOn w:val="DefaultParagraphFont"/>
    <w:link w:val="Footer"/>
    <w:uiPriority w:val="99"/>
    <w:rsid w:val="009A26BB"/>
    <w:rPr>
      <w:rFonts w:ascii="Times New Roman" w:eastAsia="Calibri" w:hAnsi="Times New Roman" w:cs="Times New Roman"/>
    </w:rPr>
  </w:style>
  <w:style w:type="paragraph" w:customStyle="1" w:styleId="Footnote">
    <w:name w:val="Footnote"/>
    <w:basedOn w:val="Normal"/>
    <w:rsid w:val="003A2D23"/>
    <w:rPr>
      <w:rFonts w:eastAsia="Calibri" w:cs="Times New Roman"/>
    </w:rPr>
  </w:style>
  <w:style w:type="character" w:styleId="FootnoteReference">
    <w:name w:val="footnote reference"/>
    <w:rsid w:val="003A2D23"/>
    <w:rPr>
      <w:vertAlign w:val="superscript"/>
    </w:rPr>
  </w:style>
  <w:style w:type="paragraph" w:styleId="FootnoteText">
    <w:name w:val="footnote text"/>
    <w:basedOn w:val="Normal"/>
    <w:link w:val="FootnoteTextChar"/>
    <w:rsid w:val="003A2D23"/>
    <w:pPr>
      <w:spacing w:after="240"/>
      <w:ind w:firstLine="720"/>
    </w:pPr>
    <w:rPr>
      <w:rFonts w:eastAsia="Calibri" w:cs="Times New Roman"/>
      <w:sz w:val="20"/>
      <w:szCs w:val="20"/>
    </w:rPr>
  </w:style>
  <w:style w:type="character" w:customStyle="1" w:styleId="FootnoteTextChar">
    <w:name w:val="Footnote Text Char"/>
    <w:basedOn w:val="DefaultParagraphFont"/>
    <w:link w:val="FootnoteText"/>
    <w:rsid w:val="003A2D23"/>
    <w:rPr>
      <w:rFonts w:ascii="Times New Roman" w:eastAsia="Calibri" w:hAnsi="Times New Roman" w:cs="Times New Roman"/>
      <w:sz w:val="20"/>
      <w:szCs w:val="20"/>
    </w:rPr>
  </w:style>
  <w:style w:type="paragraph" w:styleId="Header">
    <w:name w:val="header"/>
    <w:basedOn w:val="Normal"/>
    <w:link w:val="HeaderChar"/>
    <w:uiPriority w:val="99"/>
    <w:rsid w:val="003A2D23"/>
    <w:pPr>
      <w:tabs>
        <w:tab w:val="right" w:pos="4680"/>
        <w:tab w:val="right" w:pos="8640"/>
      </w:tabs>
    </w:pPr>
    <w:rPr>
      <w:rFonts w:eastAsia="Calibri" w:cs="Times New Roman"/>
    </w:rPr>
  </w:style>
  <w:style w:type="character" w:customStyle="1" w:styleId="HeaderChar">
    <w:name w:val="Header Char"/>
    <w:basedOn w:val="DefaultParagraphFont"/>
    <w:link w:val="Header"/>
    <w:uiPriority w:val="99"/>
    <w:rsid w:val="003A2D23"/>
    <w:rPr>
      <w:rFonts w:ascii="Times New Roman" w:eastAsia="Calibri" w:hAnsi="Times New Roman" w:cs="Times New Roman"/>
    </w:rPr>
  </w:style>
  <w:style w:type="paragraph" w:styleId="Quote">
    <w:name w:val="Quote"/>
    <w:basedOn w:val="Normal"/>
    <w:next w:val="Normal"/>
    <w:link w:val="QuoteChar"/>
    <w:qFormat/>
    <w:rsid w:val="003A2D23"/>
    <w:pPr>
      <w:spacing w:after="240"/>
      <w:ind w:left="1440" w:right="1440"/>
    </w:pPr>
    <w:rPr>
      <w:rFonts w:eastAsia="Times New Roman" w:cs="Times New Roman"/>
      <w:szCs w:val="20"/>
    </w:rPr>
  </w:style>
  <w:style w:type="character" w:customStyle="1" w:styleId="QuoteChar">
    <w:name w:val="Quote Char"/>
    <w:basedOn w:val="DefaultParagraphFont"/>
    <w:link w:val="Quote"/>
    <w:rsid w:val="003A2D23"/>
    <w:rPr>
      <w:rFonts w:ascii="Times New Roman" w:eastAsia="Times New Roman" w:hAnsi="Times New Roman" w:cs="Times New Roman"/>
      <w:szCs w:val="20"/>
    </w:rPr>
  </w:style>
  <w:style w:type="paragraph" w:customStyle="1" w:styleId="SigBlock">
    <w:name w:val="Sig Block"/>
    <w:basedOn w:val="Normal"/>
    <w:uiPriority w:val="4"/>
    <w:rsid w:val="003A2D23"/>
    <w:pPr>
      <w:spacing w:after="240"/>
      <w:ind w:left="4680"/>
      <w:contextualSpacing/>
    </w:pPr>
    <w:rPr>
      <w:rFonts w:eastAsia="Times New Roman" w:cs="Times New Roman"/>
    </w:rPr>
  </w:style>
  <w:style w:type="paragraph" w:customStyle="1" w:styleId="SigBlockUnderline">
    <w:name w:val="Sig Block Underline"/>
    <w:basedOn w:val="Normal"/>
    <w:next w:val="SigBlock"/>
    <w:uiPriority w:val="4"/>
    <w:rsid w:val="003A2D23"/>
    <w:pPr>
      <w:tabs>
        <w:tab w:val="right" w:pos="9360"/>
      </w:tabs>
      <w:ind w:left="4680"/>
    </w:pPr>
    <w:rPr>
      <w:rFonts w:eastAsia="Times New Roman" w:cs="Times New Roman"/>
      <w:u w:val="single"/>
    </w:rPr>
  </w:style>
  <w:style w:type="paragraph" w:styleId="Subtitle">
    <w:name w:val="Subtitle"/>
    <w:basedOn w:val="Normal"/>
    <w:next w:val="BodyTextFirstIndent"/>
    <w:link w:val="SubtitleChar"/>
    <w:qFormat/>
    <w:rsid w:val="003A2D23"/>
    <w:pPr>
      <w:keepNext/>
      <w:spacing w:after="240"/>
      <w:jc w:val="center"/>
    </w:pPr>
    <w:rPr>
      <w:rFonts w:eastAsia="Calibri" w:cs="Times New Roman"/>
      <w:bCs/>
    </w:rPr>
  </w:style>
  <w:style w:type="character" w:customStyle="1" w:styleId="SubtitleChar">
    <w:name w:val="Subtitle Char"/>
    <w:basedOn w:val="DefaultParagraphFont"/>
    <w:link w:val="Subtitle"/>
    <w:rsid w:val="003A2D23"/>
    <w:rPr>
      <w:rFonts w:ascii="Times New Roman" w:eastAsia="Calibri" w:hAnsi="Times New Roman" w:cs="Times New Roman"/>
      <w:bCs/>
    </w:rPr>
  </w:style>
  <w:style w:type="paragraph" w:customStyle="1" w:styleId="Subtitle2">
    <w:name w:val="Subtitle2"/>
    <w:basedOn w:val="Normal"/>
    <w:next w:val="BodyTextFirstIndent"/>
    <w:qFormat/>
    <w:rsid w:val="003A2D23"/>
    <w:pPr>
      <w:keepNext/>
      <w:spacing w:after="240"/>
    </w:pPr>
    <w:rPr>
      <w:rFonts w:eastAsia="Calibri" w:cs="Times New Roman"/>
      <w:u w:val="single"/>
    </w:rPr>
  </w:style>
  <w:style w:type="paragraph" w:customStyle="1" w:styleId="Subtitle3">
    <w:name w:val="Subtitle3"/>
    <w:basedOn w:val="Normal"/>
    <w:next w:val="BodyTextFirstIndent"/>
    <w:rsid w:val="003A2D23"/>
    <w:pPr>
      <w:keepNext/>
      <w:spacing w:after="240"/>
    </w:pPr>
    <w:rPr>
      <w:rFonts w:eastAsia="Calibri" w:cs="Times New Roman"/>
      <w:b/>
    </w:rPr>
  </w:style>
  <w:style w:type="paragraph" w:styleId="Title">
    <w:name w:val="Title"/>
    <w:basedOn w:val="Normal"/>
    <w:next w:val="BodyTextFirstIndent"/>
    <w:link w:val="TitleChar"/>
    <w:qFormat/>
    <w:rsid w:val="003A2D23"/>
    <w:pPr>
      <w:keepNext/>
      <w:spacing w:after="240"/>
      <w:jc w:val="center"/>
    </w:pPr>
    <w:rPr>
      <w:rFonts w:eastAsia="Calibri" w:cs="Times New Roman"/>
      <w:caps/>
    </w:rPr>
  </w:style>
  <w:style w:type="character" w:customStyle="1" w:styleId="TitleChar">
    <w:name w:val="Title Char"/>
    <w:basedOn w:val="DefaultParagraphFont"/>
    <w:link w:val="Title"/>
    <w:rsid w:val="003A2D23"/>
    <w:rPr>
      <w:rFonts w:ascii="Times New Roman" w:eastAsia="Calibri" w:hAnsi="Times New Roman" w:cs="Times New Roman"/>
      <w:caps/>
    </w:rPr>
  </w:style>
  <w:style w:type="paragraph" w:customStyle="1" w:styleId="Title2">
    <w:name w:val="Title2"/>
    <w:basedOn w:val="Normal"/>
    <w:next w:val="BodyTextFirstIndent"/>
    <w:qFormat/>
    <w:rsid w:val="003A2D23"/>
    <w:pPr>
      <w:keepNext/>
      <w:spacing w:after="240"/>
      <w:jc w:val="center"/>
    </w:pPr>
    <w:rPr>
      <w:rFonts w:eastAsia="Calibri" w:cs="Times New Roman"/>
      <w:b/>
      <w:caps/>
    </w:rPr>
  </w:style>
  <w:style w:type="paragraph" w:customStyle="1" w:styleId="TOCHeader">
    <w:name w:val="TOC Header"/>
    <w:basedOn w:val="Normal"/>
    <w:rsid w:val="001A2B1C"/>
    <w:pPr>
      <w:ind w:left="115" w:right="115"/>
      <w:jc w:val="center"/>
    </w:pPr>
    <w:rPr>
      <w:rFonts w:eastAsia="Times New Roman" w:cs="Times New Roman"/>
      <w:szCs w:val="20"/>
    </w:rPr>
  </w:style>
  <w:style w:type="paragraph" w:styleId="TOC1">
    <w:name w:val="toc 1"/>
    <w:basedOn w:val="Normal"/>
    <w:next w:val="Normal"/>
    <w:autoRedefine/>
    <w:uiPriority w:val="39"/>
    <w:rsid w:val="00B11EE0"/>
    <w:pPr>
      <w:keepLines/>
      <w:tabs>
        <w:tab w:val="right" w:leader="dot" w:pos="9288"/>
      </w:tabs>
      <w:spacing w:before="240"/>
      <w:ind w:left="720" w:right="720" w:hanging="720"/>
    </w:pPr>
    <w:rPr>
      <w:rFonts w:eastAsia="Times New Roman" w:cs="Times New Roman"/>
      <w:caps/>
      <w:szCs w:val="20"/>
    </w:rPr>
  </w:style>
  <w:style w:type="paragraph" w:styleId="TOC2">
    <w:name w:val="toc 2"/>
    <w:basedOn w:val="Normal"/>
    <w:next w:val="Normal"/>
    <w:autoRedefine/>
    <w:uiPriority w:val="39"/>
    <w:rsid w:val="00B11EE0"/>
    <w:pPr>
      <w:keepLines/>
      <w:tabs>
        <w:tab w:val="right" w:leader="dot" w:pos="9288"/>
      </w:tabs>
      <w:ind w:left="1440" w:right="720" w:hanging="720"/>
    </w:pPr>
    <w:rPr>
      <w:rFonts w:eastAsia="Times New Roman" w:cs="Times New Roman"/>
      <w:szCs w:val="20"/>
    </w:rPr>
  </w:style>
  <w:style w:type="paragraph" w:styleId="TOC3">
    <w:name w:val="toc 3"/>
    <w:basedOn w:val="Normal"/>
    <w:next w:val="Normal"/>
    <w:autoRedefine/>
    <w:rsid w:val="00B11EE0"/>
    <w:pPr>
      <w:keepLines/>
      <w:tabs>
        <w:tab w:val="right" w:leader="dot" w:pos="9288"/>
      </w:tabs>
      <w:ind w:left="2160" w:right="720" w:hanging="720"/>
    </w:pPr>
    <w:rPr>
      <w:rFonts w:eastAsia="Times New Roman" w:cs="Times New Roman"/>
      <w:szCs w:val="20"/>
    </w:rPr>
  </w:style>
  <w:style w:type="paragraph" w:styleId="TOC4">
    <w:name w:val="toc 4"/>
    <w:basedOn w:val="Normal"/>
    <w:next w:val="Normal"/>
    <w:autoRedefine/>
    <w:rsid w:val="00B11EE0"/>
    <w:pPr>
      <w:keepLines/>
      <w:tabs>
        <w:tab w:val="right" w:leader="dot" w:pos="9288"/>
      </w:tabs>
      <w:ind w:left="2880" w:right="720" w:hanging="720"/>
    </w:pPr>
    <w:rPr>
      <w:rFonts w:eastAsia="Times New Roman" w:cs="Times New Roman"/>
      <w:szCs w:val="20"/>
    </w:rPr>
  </w:style>
  <w:style w:type="paragraph" w:styleId="TOC5">
    <w:name w:val="toc 5"/>
    <w:basedOn w:val="Normal"/>
    <w:next w:val="Normal"/>
    <w:autoRedefine/>
    <w:rsid w:val="00B11EE0"/>
    <w:pPr>
      <w:keepLines/>
      <w:tabs>
        <w:tab w:val="right" w:leader="dot" w:pos="9288"/>
      </w:tabs>
      <w:ind w:left="3600" w:right="720" w:hanging="720"/>
    </w:pPr>
    <w:rPr>
      <w:rFonts w:eastAsia="Times New Roman" w:cs="Times New Roman"/>
      <w:szCs w:val="20"/>
    </w:rPr>
  </w:style>
  <w:style w:type="paragraph" w:styleId="TOC6">
    <w:name w:val="toc 6"/>
    <w:basedOn w:val="Normal"/>
    <w:next w:val="Normal"/>
    <w:autoRedefine/>
    <w:rsid w:val="001A2B1C"/>
    <w:pPr>
      <w:keepLines/>
      <w:tabs>
        <w:tab w:val="right" w:leader="dot" w:pos="9288"/>
      </w:tabs>
      <w:spacing w:after="120"/>
      <w:ind w:left="4320" w:right="720" w:hanging="720"/>
    </w:pPr>
    <w:rPr>
      <w:rFonts w:eastAsia="Times New Roman" w:cs="Times New Roman"/>
      <w:szCs w:val="20"/>
    </w:rPr>
  </w:style>
  <w:style w:type="paragraph" w:styleId="TOC7">
    <w:name w:val="toc 7"/>
    <w:basedOn w:val="Normal"/>
    <w:next w:val="Normal"/>
    <w:autoRedefine/>
    <w:rsid w:val="001A2B1C"/>
    <w:pPr>
      <w:keepLines/>
      <w:tabs>
        <w:tab w:val="right" w:leader="dot" w:pos="9288"/>
      </w:tabs>
      <w:spacing w:after="120"/>
      <w:ind w:left="5040" w:right="720" w:hanging="720"/>
    </w:pPr>
    <w:rPr>
      <w:rFonts w:eastAsia="Times New Roman" w:cs="Times New Roman"/>
      <w:szCs w:val="20"/>
    </w:rPr>
  </w:style>
  <w:style w:type="paragraph" w:styleId="TOC8">
    <w:name w:val="toc 8"/>
    <w:basedOn w:val="Normal"/>
    <w:next w:val="Normal"/>
    <w:autoRedefine/>
    <w:rsid w:val="001A2B1C"/>
    <w:pPr>
      <w:keepLines/>
      <w:tabs>
        <w:tab w:val="right" w:leader="dot" w:pos="9288"/>
      </w:tabs>
      <w:spacing w:after="120"/>
      <w:ind w:left="5760" w:right="720" w:hanging="720"/>
    </w:pPr>
    <w:rPr>
      <w:rFonts w:eastAsia="Times New Roman" w:cs="Times New Roman"/>
      <w:szCs w:val="20"/>
    </w:rPr>
  </w:style>
  <w:style w:type="paragraph" w:styleId="TOC9">
    <w:name w:val="toc 9"/>
    <w:basedOn w:val="Normal"/>
    <w:next w:val="Normal"/>
    <w:autoRedefine/>
    <w:semiHidden/>
    <w:rsid w:val="001A2B1C"/>
    <w:pPr>
      <w:keepLines/>
      <w:tabs>
        <w:tab w:val="right" w:leader="dot" w:pos="9288"/>
      </w:tabs>
      <w:spacing w:after="120"/>
      <w:ind w:left="6480" w:right="720" w:hanging="720"/>
    </w:pPr>
    <w:rPr>
      <w:rFonts w:eastAsia="Times New Roman" w:cs="Times New Roman"/>
      <w:szCs w:val="20"/>
    </w:rPr>
  </w:style>
  <w:style w:type="table" w:styleId="TableGrid">
    <w:name w:val="Table Grid"/>
    <w:basedOn w:val="TableNormal"/>
    <w:uiPriority w:val="39"/>
    <w:rsid w:val="00594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678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7843"/>
    <w:rPr>
      <w:rFonts w:ascii="Segoe UI" w:hAnsi="Segoe UI" w:cs="Segoe UI"/>
      <w:sz w:val="18"/>
      <w:szCs w:val="18"/>
    </w:rPr>
  </w:style>
  <w:style w:type="paragraph" w:styleId="Bibliography">
    <w:name w:val="Bibliography"/>
    <w:basedOn w:val="Normal"/>
    <w:next w:val="Normal"/>
    <w:uiPriority w:val="37"/>
    <w:semiHidden/>
    <w:unhideWhenUsed/>
    <w:rsid w:val="00667843"/>
  </w:style>
  <w:style w:type="paragraph" w:styleId="BodyText2">
    <w:name w:val="Body Text 2"/>
    <w:basedOn w:val="Normal"/>
    <w:link w:val="BodyText2Char"/>
    <w:semiHidden/>
    <w:unhideWhenUsed/>
    <w:qFormat/>
    <w:rsid w:val="00667843"/>
    <w:pPr>
      <w:spacing w:after="120" w:line="480" w:lineRule="auto"/>
    </w:pPr>
  </w:style>
  <w:style w:type="character" w:customStyle="1" w:styleId="BodyText2Char">
    <w:name w:val="Body Text 2 Char"/>
    <w:basedOn w:val="DefaultParagraphFont"/>
    <w:link w:val="BodyText2"/>
    <w:semiHidden/>
    <w:rsid w:val="00667843"/>
    <w:rPr>
      <w:rFonts w:ascii="Times New Roman" w:hAnsi="Times New Roman"/>
    </w:rPr>
  </w:style>
  <w:style w:type="paragraph" w:styleId="BodyText3">
    <w:name w:val="Body Text 3"/>
    <w:basedOn w:val="Normal"/>
    <w:link w:val="BodyText3Char"/>
    <w:semiHidden/>
    <w:unhideWhenUsed/>
    <w:qFormat/>
    <w:rsid w:val="00667843"/>
    <w:pPr>
      <w:spacing w:after="120"/>
    </w:pPr>
    <w:rPr>
      <w:sz w:val="16"/>
      <w:szCs w:val="16"/>
    </w:rPr>
  </w:style>
  <w:style w:type="character" w:customStyle="1" w:styleId="BodyText3Char">
    <w:name w:val="Body Text 3 Char"/>
    <w:basedOn w:val="DefaultParagraphFont"/>
    <w:link w:val="BodyText3"/>
    <w:semiHidden/>
    <w:rsid w:val="00667843"/>
    <w:rPr>
      <w:rFonts w:ascii="Times New Roman" w:hAnsi="Times New Roman"/>
      <w:sz w:val="16"/>
      <w:szCs w:val="16"/>
    </w:rPr>
  </w:style>
  <w:style w:type="paragraph" w:styleId="BodyTextFirstIndent2">
    <w:name w:val="Body Text First Indent 2"/>
    <w:basedOn w:val="BodyTextIndent"/>
    <w:link w:val="BodyTextFirstIndent2Char"/>
    <w:semiHidden/>
    <w:unhideWhenUsed/>
    <w:qFormat/>
    <w:rsid w:val="00667843"/>
    <w:pPr>
      <w:spacing w:after="0"/>
      <w:ind w:left="360" w:firstLine="360"/>
    </w:pPr>
    <w:rPr>
      <w:rFonts w:eastAsiaTheme="minorHAnsi" w:cstheme="minorBidi"/>
    </w:rPr>
  </w:style>
  <w:style w:type="character" w:customStyle="1" w:styleId="BodyTextFirstIndent2Char">
    <w:name w:val="Body Text First Indent 2 Char"/>
    <w:basedOn w:val="BodyTextIndentChar"/>
    <w:link w:val="BodyTextFirstIndent2"/>
    <w:semiHidden/>
    <w:rsid w:val="00667843"/>
    <w:rPr>
      <w:rFonts w:ascii="Times New Roman" w:eastAsia="Calibri" w:hAnsi="Times New Roman" w:cs="Times New Roman"/>
    </w:rPr>
  </w:style>
  <w:style w:type="paragraph" w:styleId="BodyTextIndent2">
    <w:name w:val="Body Text Indent 2"/>
    <w:basedOn w:val="Normal"/>
    <w:link w:val="BodyTextIndent2Char"/>
    <w:uiPriority w:val="99"/>
    <w:semiHidden/>
    <w:unhideWhenUsed/>
    <w:rsid w:val="00667843"/>
    <w:pPr>
      <w:spacing w:after="120" w:line="480" w:lineRule="auto"/>
      <w:ind w:left="360"/>
    </w:pPr>
  </w:style>
  <w:style w:type="character" w:customStyle="1" w:styleId="BodyTextIndent2Char">
    <w:name w:val="Body Text Indent 2 Char"/>
    <w:basedOn w:val="DefaultParagraphFont"/>
    <w:link w:val="BodyTextIndent2"/>
    <w:uiPriority w:val="99"/>
    <w:semiHidden/>
    <w:rsid w:val="00667843"/>
    <w:rPr>
      <w:rFonts w:ascii="Times New Roman" w:hAnsi="Times New Roman"/>
    </w:rPr>
  </w:style>
  <w:style w:type="paragraph" w:styleId="BodyTextIndent3">
    <w:name w:val="Body Text Indent 3"/>
    <w:basedOn w:val="Normal"/>
    <w:link w:val="BodyTextIndent3Char"/>
    <w:uiPriority w:val="99"/>
    <w:semiHidden/>
    <w:unhideWhenUsed/>
    <w:rsid w:val="0066784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67843"/>
    <w:rPr>
      <w:rFonts w:ascii="Times New Roman" w:hAnsi="Times New Roman"/>
      <w:sz w:val="16"/>
      <w:szCs w:val="16"/>
    </w:rPr>
  </w:style>
  <w:style w:type="paragraph" w:styleId="Caption">
    <w:name w:val="caption"/>
    <w:basedOn w:val="Normal"/>
    <w:next w:val="Normal"/>
    <w:uiPriority w:val="35"/>
    <w:semiHidden/>
    <w:unhideWhenUsed/>
    <w:qFormat/>
    <w:rsid w:val="00667843"/>
    <w:pPr>
      <w:spacing w:after="200"/>
    </w:pPr>
    <w:rPr>
      <w:i/>
      <w:iCs/>
      <w:color w:val="44546A" w:themeColor="text2"/>
      <w:sz w:val="18"/>
      <w:szCs w:val="18"/>
    </w:rPr>
  </w:style>
  <w:style w:type="paragraph" w:styleId="Closing">
    <w:name w:val="Closing"/>
    <w:basedOn w:val="Normal"/>
    <w:link w:val="ClosingChar"/>
    <w:uiPriority w:val="99"/>
    <w:semiHidden/>
    <w:unhideWhenUsed/>
    <w:rsid w:val="00667843"/>
    <w:pPr>
      <w:ind w:left="4320"/>
    </w:pPr>
  </w:style>
  <w:style w:type="character" w:customStyle="1" w:styleId="ClosingChar">
    <w:name w:val="Closing Char"/>
    <w:basedOn w:val="DefaultParagraphFont"/>
    <w:link w:val="Closing"/>
    <w:uiPriority w:val="99"/>
    <w:semiHidden/>
    <w:rsid w:val="00667843"/>
    <w:rPr>
      <w:rFonts w:ascii="Times New Roman" w:hAnsi="Times New Roman"/>
    </w:rPr>
  </w:style>
  <w:style w:type="paragraph" w:styleId="CommentText">
    <w:name w:val="annotation text"/>
    <w:basedOn w:val="Normal"/>
    <w:link w:val="CommentTextChar"/>
    <w:uiPriority w:val="99"/>
    <w:unhideWhenUsed/>
    <w:rsid w:val="00667843"/>
    <w:rPr>
      <w:sz w:val="20"/>
      <w:szCs w:val="20"/>
    </w:rPr>
  </w:style>
  <w:style w:type="character" w:customStyle="1" w:styleId="CommentTextChar">
    <w:name w:val="Comment Text Char"/>
    <w:basedOn w:val="DefaultParagraphFont"/>
    <w:link w:val="CommentText"/>
    <w:uiPriority w:val="99"/>
    <w:rsid w:val="0066784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67843"/>
    <w:rPr>
      <w:b/>
      <w:bCs/>
    </w:rPr>
  </w:style>
  <w:style w:type="character" w:customStyle="1" w:styleId="CommentSubjectChar">
    <w:name w:val="Comment Subject Char"/>
    <w:basedOn w:val="CommentTextChar"/>
    <w:link w:val="CommentSubject"/>
    <w:uiPriority w:val="99"/>
    <w:semiHidden/>
    <w:rsid w:val="00667843"/>
    <w:rPr>
      <w:rFonts w:ascii="Times New Roman" w:hAnsi="Times New Roman"/>
      <w:b/>
      <w:bCs/>
      <w:sz w:val="20"/>
      <w:szCs w:val="20"/>
    </w:rPr>
  </w:style>
  <w:style w:type="paragraph" w:styleId="Date">
    <w:name w:val="Date"/>
    <w:basedOn w:val="Normal"/>
    <w:next w:val="Normal"/>
    <w:link w:val="DateChar"/>
    <w:uiPriority w:val="99"/>
    <w:semiHidden/>
    <w:unhideWhenUsed/>
    <w:rsid w:val="00667843"/>
  </w:style>
  <w:style w:type="character" w:customStyle="1" w:styleId="DateChar">
    <w:name w:val="Date Char"/>
    <w:basedOn w:val="DefaultParagraphFont"/>
    <w:link w:val="Date"/>
    <w:uiPriority w:val="99"/>
    <w:semiHidden/>
    <w:rsid w:val="00667843"/>
    <w:rPr>
      <w:rFonts w:ascii="Times New Roman" w:hAnsi="Times New Roman"/>
    </w:rPr>
  </w:style>
  <w:style w:type="paragraph" w:styleId="DocumentMap">
    <w:name w:val="Document Map"/>
    <w:basedOn w:val="Normal"/>
    <w:link w:val="DocumentMapChar"/>
    <w:uiPriority w:val="99"/>
    <w:semiHidden/>
    <w:unhideWhenUsed/>
    <w:rsid w:val="00667843"/>
    <w:rPr>
      <w:rFonts w:ascii="Segoe UI" w:hAnsi="Segoe UI" w:cs="Segoe UI"/>
      <w:sz w:val="16"/>
      <w:szCs w:val="16"/>
    </w:rPr>
  </w:style>
  <w:style w:type="character" w:customStyle="1" w:styleId="DocumentMapChar">
    <w:name w:val="Document Map Char"/>
    <w:basedOn w:val="DefaultParagraphFont"/>
    <w:link w:val="DocumentMap"/>
    <w:uiPriority w:val="99"/>
    <w:semiHidden/>
    <w:rsid w:val="00667843"/>
    <w:rPr>
      <w:rFonts w:ascii="Segoe UI" w:hAnsi="Segoe UI" w:cs="Segoe UI"/>
      <w:sz w:val="16"/>
      <w:szCs w:val="16"/>
    </w:rPr>
  </w:style>
  <w:style w:type="paragraph" w:styleId="E-mailSignature">
    <w:name w:val="E-mail Signature"/>
    <w:basedOn w:val="Normal"/>
    <w:link w:val="E-mailSignatureChar"/>
    <w:uiPriority w:val="99"/>
    <w:semiHidden/>
    <w:unhideWhenUsed/>
    <w:rsid w:val="00667843"/>
  </w:style>
  <w:style w:type="character" w:customStyle="1" w:styleId="E-mailSignatureChar">
    <w:name w:val="E-mail Signature Char"/>
    <w:basedOn w:val="DefaultParagraphFont"/>
    <w:link w:val="E-mailSignature"/>
    <w:uiPriority w:val="99"/>
    <w:semiHidden/>
    <w:rsid w:val="00667843"/>
    <w:rPr>
      <w:rFonts w:ascii="Times New Roman" w:hAnsi="Times New Roman"/>
    </w:rPr>
  </w:style>
  <w:style w:type="paragraph" w:styleId="EndnoteText">
    <w:name w:val="endnote text"/>
    <w:basedOn w:val="Normal"/>
    <w:link w:val="EndnoteTextChar"/>
    <w:uiPriority w:val="99"/>
    <w:semiHidden/>
    <w:unhideWhenUsed/>
    <w:rsid w:val="00667843"/>
    <w:rPr>
      <w:sz w:val="20"/>
      <w:szCs w:val="20"/>
    </w:rPr>
  </w:style>
  <w:style w:type="character" w:customStyle="1" w:styleId="EndnoteTextChar">
    <w:name w:val="Endnote Text Char"/>
    <w:basedOn w:val="DefaultParagraphFont"/>
    <w:link w:val="EndnoteText"/>
    <w:uiPriority w:val="99"/>
    <w:semiHidden/>
    <w:rsid w:val="00667843"/>
    <w:rPr>
      <w:rFonts w:ascii="Times New Roman" w:hAnsi="Times New Roman"/>
      <w:sz w:val="20"/>
      <w:szCs w:val="20"/>
    </w:rPr>
  </w:style>
  <w:style w:type="paragraph" w:styleId="EnvelopeAddress">
    <w:name w:val="envelope address"/>
    <w:basedOn w:val="Normal"/>
    <w:uiPriority w:val="99"/>
    <w:semiHidden/>
    <w:unhideWhenUsed/>
    <w:rsid w:val="00667843"/>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667843"/>
    <w:rPr>
      <w:rFonts w:asciiTheme="majorHAnsi" w:eastAsiaTheme="majorEastAsia" w:hAnsiTheme="majorHAnsi" w:cstheme="majorBidi"/>
      <w:sz w:val="20"/>
      <w:szCs w:val="20"/>
    </w:rPr>
  </w:style>
  <w:style w:type="character" w:customStyle="1" w:styleId="Heading1Char">
    <w:name w:val="Heading 1 Char"/>
    <w:basedOn w:val="DefaultParagraphFont"/>
    <w:link w:val="Heading1"/>
    <w:uiPriority w:val="9"/>
    <w:rsid w:val="0066784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6784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66784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D7390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66784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6784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6784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6784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67843"/>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667843"/>
    <w:rPr>
      <w:i/>
      <w:iCs/>
    </w:rPr>
  </w:style>
  <w:style w:type="character" w:customStyle="1" w:styleId="HTMLAddressChar">
    <w:name w:val="HTML Address Char"/>
    <w:basedOn w:val="DefaultParagraphFont"/>
    <w:link w:val="HTMLAddress"/>
    <w:uiPriority w:val="99"/>
    <w:semiHidden/>
    <w:rsid w:val="00667843"/>
    <w:rPr>
      <w:rFonts w:ascii="Times New Roman" w:hAnsi="Times New Roman"/>
      <w:i/>
      <w:iCs/>
    </w:rPr>
  </w:style>
  <w:style w:type="paragraph" w:styleId="HTMLPreformatted">
    <w:name w:val="HTML Preformatted"/>
    <w:basedOn w:val="Normal"/>
    <w:link w:val="HTMLPreformattedChar"/>
    <w:uiPriority w:val="99"/>
    <w:semiHidden/>
    <w:unhideWhenUsed/>
    <w:rsid w:val="00667843"/>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67843"/>
    <w:rPr>
      <w:rFonts w:ascii="Consolas" w:hAnsi="Consolas"/>
      <w:sz w:val="20"/>
      <w:szCs w:val="20"/>
    </w:rPr>
  </w:style>
  <w:style w:type="paragraph" w:styleId="Index1">
    <w:name w:val="index 1"/>
    <w:basedOn w:val="Normal"/>
    <w:next w:val="Normal"/>
    <w:autoRedefine/>
    <w:uiPriority w:val="99"/>
    <w:semiHidden/>
    <w:unhideWhenUsed/>
    <w:rsid w:val="00667843"/>
    <w:pPr>
      <w:ind w:left="240" w:hanging="240"/>
    </w:pPr>
  </w:style>
  <w:style w:type="paragraph" w:styleId="Index2">
    <w:name w:val="index 2"/>
    <w:basedOn w:val="Normal"/>
    <w:next w:val="Normal"/>
    <w:autoRedefine/>
    <w:uiPriority w:val="99"/>
    <w:semiHidden/>
    <w:unhideWhenUsed/>
    <w:rsid w:val="00667843"/>
    <w:pPr>
      <w:ind w:left="480" w:hanging="240"/>
    </w:pPr>
  </w:style>
  <w:style w:type="paragraph" w:styleId="Index3">
    <w:name w:val="index 3"/>
    <w:basedOn w:val="Normal"/>
    <w:next w:val="Normal"/>
    <w:autoRedefine/>
    <w:uiPriority w:val="99"/>
    <w:semiHidden/>
    <w:unhideWhenUsed/>
    <w:rsid w:val="00667843"/>
    <w:pPr>
      <w:ind w:left="720" w:hanging="240"/>
    </w:pPr>
  </w:style>
  <w:style w:type="paragraph" w:styleId="Index4">
    <w:name w:val="index 4"/>
    <w:basedOn w:val="Normal"/>
    <w:next w:val="Normal"/>
    <w:autoRedefine/>
    <w:uiPriority w:val="99"/>
    <w:semiHidden/>
    <w:unhideWhenUsed/>
    <w:rsid w:val="00667843"/>
    <w:pPr>
      <w:ind w:left="960" w:hanging="240"/>
    </w:pPr>
  </w:style>
  <w:style w:type="paragraph" w:styleId="Index5">
    <w:name w:val="index 5"/>
    <w:basedOn w:val="Normal"/>
    <w:next w:val="Normal"/>
    <w:autoRedefine/>
    <w:uiPriority w:val="99"/>
    <w:semiHidden/>
    <w:unhideWhenUsed/>
    <w:rsid w:val="00667843"/>
    <w:pPr>
      <w:ind w:left="1200" w:hanging="240"/>
    </w:pPr>
  </w:style>
  <w:style w:type="paragraph" w:styleId="Index6">
    <w:name w:val="index 6"/>
    <w:basedOn w:val="Normal"/>
    <w:next w:val="Normal"/>
    <w:autoRedefine/>
    <w:uiPriority w:val="99"/>
    <w:semiHidden/>
    <w:unhideWhenUsed/>
    <w:rsid w:val="00667843"/>
    <w:pPr>
      <w:ind w:left="1440" w:hanging="240"/>
    </w:pPr>
  </w:style>
  <w:style w:type="paragraph" w:styleId="Index7">
    <w:name w:val="index 7"/>
    <w:basedOn w:val="Normal"/>
    <w:next w:val="Normal"/>
    <w:autoRedefine/>
    <w:uiPriority w:val="99"/>
    <w:semiHidden/>
    <w:unhideWhenUsed/>
    <w:rsid w:val="00667843"/>
    <w:pPr>
      <w:ind w:left="1680" w:hanging="240"/>
    </w:pPr>
  </w:style>
  <w:style w:type="paragraph" w:styleId="Index8">
    <w:name w:val="index 8"/>
    <w:basedOn w:val="Normal"/>
    <w:next w:val="Normal"/>
    <w:autoRedefine/>
    <w:uiPriority w:val="99"/>
    <w:semiHidden/>
    <w:unhideWhenUsed/>
    <w:rsid w:val="00667843"/>
    <w:pPr>
      <w:ind w:left="1920" w:hanging="240"/>
    </w:pPr>
  </w:style>
  <w:style w:type="paragraph" w:styleId="Index9">
    <w:name w:val="index 9"/>
    <w:basedOn w:val="Normal"/>
    <w:next w:val="Normal"/>
    <w:autoRedefine/>
    <w:uiPriority w:val="99"/>
    <w:semiHidden/>
    <w:unhideWhenUsed/>
    <w:rsid w:val="00667843"/>
    <w:pPr>
      <w:ind w:left="2160" w:hanging="240"/>
    </w:pPr>
  </w:style>
  <w:style w:type="paragraph" w:styleId="IndexHeading">
    <w:name w:val="index heading"/>
    <w:basedOn w:val="Normal"/>
    <w:next w:val="Index1"/>
    <w:uiPriority w:val="99"/>
    <w:semiHidden/>
    <w:unhideWhenUsed/>
    <w:rsid w:val="0066784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66784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67843"/>
    <w:rPr>
      <w:rFonts w:ascii="Times New Roman" w:hAnsi="Times New Roman"/>
      <w:i/>
      <w:iCs/>
      <w:color w:val="4472C4" w:themeColor="accent1"/>
    </w:rPr>
  </w:style>
  <w:style w:type="paragraph" w:styleId="List">
    <w:name w:val="List"/>
    <w:basedOn w:val="Normal"/>
    <w:uiPriority w:val="99"/>
    <w:semiHidden/>
    <w:unhideWhenUsed/>
    <w:rsid w:val="00667843"/>
    <w:pPr>
      <w:ind w:left="360" w:hanging="360"/>
      <w:contextualSpacing/>
    </w:pPr>
  </w:style>
  <w:style w:type="paragraph" w:styleId="List2">
    <w:name w:val="List 2"/>
    <w:basedOn w:val="Normal"/>
    <w:uiPriority w:val="99"/>
    <w:semiHidden/>
    <w:unhideWhenUsed/>
    <w:rsid w:val="00667843"/>
    <w:pPr>
      <w:ind w:left="720" w:hanging="360"/>
      <w:contextualSpacing/>
    </w:pPr>
  </w:style>
  <w:style w:type="paragraph" w:styleId="List3">
    <w:name w:val="List 3"/>
    <w:basedOn w:val="Normal"/>
    <w:uiPriority w:val="99"/>
    <w:semiHidden/>
    <w:unhideWhenUsed/>
    <w:rsid w:val="00667843"/>
    <w:pPr>
      <w:ind w:left="1080" w:hanging="360"/>
      <w:contextualSpacing/>
    </w:pPr>
  </w:style>
  <w:style w:type="paragraph" w:styleId="List4">
    <w:name w:val="List 4"/>
    <w:basedOn w:val="Normal"/>
    <w:uiPriority w:val="99"/>
    <w:semiHidden/>
    <w:unhideWhenUsed/>
    <w:rsid w:val="00667843"/>
    <w:pPr>
      <w:ind w:left="1440" w:hanging="360"/>
      <w:contextualSpacing/>
    </w:pPr>
  </w:style>
  <w:style w:type="paragraph" w:styleId="List5">
    <w:name w:val="List 5"/>
    <w:basedOn w:val="Normal"/>
    <w:uiPriority w:val="99"/>
    <w:semiHidden/>
    <w:unhideWhenUsed/>
    <w:rsid w:val="00667843"/>
    <w:pPr>
      <w:ind w:left="1800" w:hanging="360"/>
      <w:contextualSpacing/>
    </w:pPr>
  </w:style>
  <w:style w:type="paragraph" w:styleId="ListBullet">
    <w:name w:val="List Bullet"/>
    <w:basedOn w:val="Normal"/>
    <w:rsid w:val="00422A6F"/>
    <w:pPr>
      <w:numPr>
        <w:numId w:val="4"/>
      </w:numPr>
      <w:spacing w:after="240"/>
    </w:pPr>
  </w:style>
  <w:style w:type="paragraph" w:styleId="ListBullet2">
    <w:name w:val="List Bullet 2"/>
    <w:basedOn w:val="Normal"/>
    <w:rsid w:val="00422A6F"/>
    <w:pPr>
      <w:numPr>
        <w:numId w:val="5"/>
      </w:numPr>
      <w:spacing w:after="240"/>
    </w:pPr>
  </w:style>
  <w:style w:type="paragraph" w:styleId="ListBullet3">
    <w:name w:val="List Bullet 3"/>
    <w:basedOn w:val="Normal"/>
    <w:rsid w:val="00422A6F"/>
    <w:pPr>
      <w:numPr>
        <w:numId w:val="6"/>
      </w:numPr>
      <w:spacing w:after="240"/>
    </w:pPr>
  </w:style>
  <w:style w:type="paragraph" w:styleId="ListBullet4">
    <w:name w:val="List Bullet 4"/>
    <w:basedOn w:val="Normal"/>
    <w:uiPriority w:val="99"/>
    <w:semiHidden/>
    <w:unhideWhenUsed/>
    <w:rsid w:val="00667843"/>
    <w:pPr>
      <w:numPr>
        <w:numId w:val="7"/>
      </w:numPr>
      <w:contextualSpacing/>
    </w:pPr>
  </w:style>
  <w:style w:type="paragraph" w:styleId="ListBullet5">
    <w:name w:val="List Bullet 5"/>
    <w:basedOn w:val="Normal"/>
    <w:uiPriority w:val="99"/>
    <w:semiHidden/>
    <w:unhideWhenUsed/>
    <w:rsid w:val="00667843"/>
    <w:pPr>
      <w:numPr>
        <w:numId w:val="8"/>
      </w:numPr>
      <w:contextualSpacing/>
    </w:pPr>
  </w:style>
  <w:style w:type="paragraph" w:styleId="ListContinue">
    <w:name w:val="List Continue"/>
    <w:basedOn w:val="Normal"/>
    <w:uiPriority w:val="99"/>
    <w:semiHidden/>
    <w:unhideWhenUsed/>
    <w:rsid w:val="00667843"/>
    <w:pPr>
      <w:spacing w:after="120"/>
      <w:ind w:left="360"/>
      <w:contextualSpacing/>
    </w:pPr>
  </w:style>
  <w:style w:type="paragraph" w:styleId="ListContinue2">
    <w:name w:val="List Continue 2"/>
    <w:basedOn w:val="Normal"/>
    <w:uiPriority w:val="99"/>
    <w:semiHidden/>
    <w:unhideWhenUsed/>
    <w:rsid w:val="00667843"/>
    <w:pPr>
      <w:spacing w:after="120"/>
      <w:ind w:left="720"/>
      <w:contextualSpacing/>
    </w:pPr>
  </w:style>
  <w:style w:type="paragraph" w:styleId="ListContinue3">
    <w:name w:val="List Continue 3"/>
    <w:basedOn w:val="Normal"/>
    <w:uiPriority w:val="99"/>
    <w:semiHidden/>
    <w:unhideWhenUsed/>
    <w:rsid w:val="00667843"/>
    <w:pPr>
      <w:spacing w:after="120"/>
      <w:ind w:left="1080"/>
      <w:contextualSpacing/>
    </w:pPr>
  </w:style>
  <w:style w:type="paragraph" w:styleId="ListContinue4">
    <w:name w:val="List Continue 4"/>
    <w:basedOn w:val="Normal"/>
    <w:uiPriority w:val="99"/>
    <w:semiHidden/>
    <w:unhideWhenUsed/>
    <w:rsid w:val="00667843"/>
    <w:pPr>
      <w:spacing w:after="120"/>
      <w:ind w:left="1440"/>
      <w:contextualSpacing/>
    </w:pPr>
  </w:style>
  <w:style w:type="paragraph" w:styleId="ListContinue5">
    <w:name w:val="List Continue 5"/>
    <w:basedOn w:val="Normal"/>
    <w:uiPriority w:val="99"/>
    <w:semiHidden/>
    <w:unhideWhenUsed/>
    <w:rsid w:val="00667843"/>
    <w:pPr>
      <w:spacing w:after="120"/>
      <w:ind w:left="1800"/>
      <w:contextualSpacing/>
    </w:pPr>
  </w:style>
  <w:style w:type="paragraph" w:styleId="ListNumber">
    <w:name w:val="List Number"/>
    <w:basedOn w:val="Normal"/>
    <w:uiPriority w:val="99"/>
    <w:semiHidden/>
    <w:unhideWhenUsed/>
    <w:rsid w:val="00667843"/>
    <w:pPr>
      <w:numPr>
        <w:numId w:val="9"/>
      </w:numPr>
      <w:contextualSpacing/>
    </w:pPr>
  </w:style>
  <w:style w:type="paragraph" w:styleId="ListNumber2">
    <w:name w:val="List Number 2"/>
    <w:basedOn w:val="Normal"/>
    <w:uiPriority w:val="99"/>
    <w:semiHidden/>
    <w:unhideWhenUsed/>
    <w:rsid w:val="00667843"/>
    <w:pPr>
      <w:numPr>
        <w:numId w:val="10"/>
      </w:numPr>
      <w:contextualSpacing/>
    </w:pPr>
  </w:style>
  <w:style w:type="paragraph" w:styleId="ListNumber3">
    <w:name w:val="List Number 3"/>
    <w:basedOn w:val="Normal"/>
    <w:uiPriority w:val="99"/>
    <w:semiHidden/>
    <w:unhideWhenUsed/>
    <w:rsid w:val="00667843"/>
    <w:pPr>
      <w:numPr>
        <w:numId w:val="11"/>
      </w:numPr>
      <w:contextualSpacing/>
    </w:pPr>
  </w:style>
  <w:style w:type="paragraph" w:styleId="ListNumber4">
    <w:name w:val="List Number 4"/>
    <w:basedOn w:val="Normal"/>
    <w:uiPriority w:val="99"/>
    <w:semiHidden/>
    <w:unhideWhenUsed/>
    <w:rsid w:val="00667843"/>
    <w:pPr>
      <w:numPr>
        <w:numId w:val="12"/>
      </w:numPr>
      <w:contextualSpacing/>
    </w:pPr>
  </w:style>
  <w:style w:type="paragraph" w:styleId="ListNumber5">
    <w:name w:val="List Number 5"/>
    <w:basedOn w:val="Normal"/>
    <w:uiPriority w:val="99"/>
    <w:semiHidden/>
    <w:unhideWhenUsed/>
    <w:rsid w:val="00667843"/>
    <w:pPr>
      <w:numPr>
        <w:numId w:val="13"/>
      </w:numPr>
      <w:contextualSpacing/>
    </w:pPr>
  </w:style>
  <w:style w:type="paragraph" w:styleId="MacroText">
    <w:name w:val="macro"/>
    <w:link w:val="MacroTextChar"/>
    <w:uiPriority w:val="99"/>
    <w:semiHidden/>
    <w:unhideWhenUsed/>
    <w:rsid w:val="00667843"/>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uiPriority w:val="99"/>
    <w:semiHidden/>
    <w:rsid w:val="00667843"/>
    <w:rPr>
      <w:rFonts w:ascii="Consolas" w:hAnsi="Consolas"/>
      <w:sz w:val="20"/>
      <w:szCs w:val="20"/>
    </w:rPr>
  </w:style>
  <w:style w:type="paragraph" w:styleId="MessageHeader">
    <w:name w:val="Message Header"/>
    <w:basedOn w:val="Normal"/>
    <w:link w:val="MessageHeaderChar"/>
    <w:uiPriority w:val="99"/>
    <w:semiHidden/>
    <w:unhideWhenUsed/>
    <w:rsid w:val="0066784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667843"/>
    <w:rPr>
      <w:rFonts w:asciiTheme="majorHAnsi" w:eastAsiaTheme="majorEastAsia" w:hAnsiTheme="majorHAnsi" w:cstheme="majorBidi"/>
      <w:shd w:val="pct20" w:color="auto" w:fill="auto"/>
    </w:rPr>
  </w:style>
  <w:style w:type="paragraph" w:styleId="NoSpacing">
    <w:name w:val="No Spacing"/>
    <w:uiPriority w:val="1"/>
    <w:qFormat/>
    <w:rsid w:val="00667843"/>
    <w:rPr>
      <w:rFonts w:ascii="Times New Roman" w:hAnsi="Times New Roman"/>
    </w:rPr>
  </w:style>
  <w:style w:type="paragraph" w:styleId="NormalWeb">
    <w:name w:val="Normal (Web)"/>
    <w:basedOn w:val="Normal"/>
    <w:uiPriority w:val="99"/>
    <w:semiHidden/>
    <w:unhideWhenUsed/>
    <w:rsid w:val="00667843"/>
    <w:rPr>
      <w:rFonts w:cs="Times New Roman"/>
    </w:rPr>
  </w:style>
  <w:style w:type="paragraph" w:styleId="NormalIndent">
    <w:name w:val="Normal Indent"/>
    <w:basedOn w:val="Normal"/>
    <w:uiPriority w:val="99"/>
    <w:semiHidden/>
    <w:unhideWhenUsed/>
    <w:rsid w:val="00667843"/>
    <w:pPr>
      <w:ind w:left="720"/>
    </w:pPr>
  </w:style>
  <w:style w:type="paragraph" w:styleId="NoteHeading">
    <w:name w:val="Note Heading"/>
    <w:basedOn w:val="Normal"/>
    <w:next w:val="Normal"/>
    <w:link w:val="NoteHeadingChar"/>
    <w:uiPriority w:val="99"/>
    <w:semiHidden/>
    <w:unhideWhenUsed/>
    <w:rsid w:val="00667843"/>
  </w:style>
  <w:style w:type="character" w:customStyle="1" w:styleId="NoteHeadingChar">
    <w:name w:val="Note Heading Char"/>
    <w:basedOn w:val="DefaultParagraphFont"/>
    <w:link w:val="NoteHeading"/>
    <w:uiPriority w:val="99"/>
    <w:semiHidden/>
    <w:rsid w:val="00667843"/>
    <w:rPr>
      <w:rFonts w:ascii="Times New Roman" w:hAnsi="Times New Roman"/>
    </w:rPr>
  </w:style>
  <w:style w:type="paragraph" w:styleId="PlainText">
    <w:name w:val="Plain Text"/>
    <w:basedOn w:val="Normal"/>
    <w:link w:val="PlainTextChar"/>
    <w:uiPriority w:val="99"/>
    <w:semiHidden/>
    <w:unhideWhenUsed/>
    <w:rsid w:val="00667843"/>
    <w:rPr>
      <w:rFonts w:ascii="Consolas" w:hAnsi="Consolas"/>
      <w:sz w:val="21"/>
      <w:szCs w:val="21"/>
    </w:rPr>
  </w:style>
  <w:style w:type="character" w:customStyle="1" w:styleId="PlainTextChar">
    <w:name w:val="Plain Text Char"/>
    <w:basedOn w:val="DefaultParagraphFont"/>
    <w:link w:val="PlainText"/>
    <w:uiPriority w:val="99"/>
    <w:semiHidden/>
    <w:rsid w:val="00667843"/>
    <w:rPr>
      <w:rFonts w:ascii="Consolas" w:hAnsi="Consolas"/>
      <w:sz w:val="21"/>
      <w:szCs w:val="21"/>
    </w:rPr>
  </w:style>
  <w:style w:type="paragraph" w:styleId="Salutation">
    <w:name w:val="Salutation"/>
    <w:basedOn w:val="Normal"/>
    <w:next w:val="Normal"/>
    <w:link w:val="SalutationChar"/>
    <w:uiPriority w:val="99"/>
    <w:semiHidden/>
    <w:unhideWhenUsed/>
    <w:rsid w:val="00667843"/>
  </w:style>
  <w:style w:type="character" w:customStyle="1" w:styleId="SalutationChar">
    <w:name w:val="Salutation Char"/>
    <w:basedOn w:val="DefaultParagraphFont"/>
    <w:link w:val="Salutation"/>
    <w:uiPriority w:val="99"/>
    <w:semiHidden/>
    <w:rsid w:val="00667843"/>
    <w:rPr>
      <w:rFonts w:ascii="Times New Roman" w:hAnsi="Times New Roman"/>
    </w:rPr>
  </w:style>
  <w:style w:type="paragraph" w:styleId="Signature">
    <w:name w:val="Signature"/>
    <w:basedOn w:val="Normal"/>
    <w:link w:val="SignatureChar"/>
    <w:uiPriority w:val="99"/>
    <w:semiHidden/>
    <w:unhideWhenUsed/>
    <w:rsid w:val="00667843"/>
    <w:pPr>
      <w:ind w:left="4320"/>
    </w:pPr>
  </w:style>
  <w:style w:type="character" w:customStyle="1" w:styleId="SignatureChar">
    <w:name w:val="Signature Char"/>
    <w:basedOn w:val="DefaultParagraphFont"/>
    <w:link w:val="Signature"/>
    <w:uiPriority w:val="99"/>
    <w:semiHidden/>
    <w:rsid w:val="00667843"/>
    <w:rPr>
      <w:rFonts w:ascii="Times New Roman" w:hAnsi="Times New Roman"/>
    </w:rPr>
  </w:style>
  <w:style w:type="paragraph" w:styleId="TableofAuthorities">
    <w:name w:val="table of authorities"/>
    <w:basedOn w:val="Normal"/>
    <w:next w:val="Normal"/>
    <w:uiPriority w:val="99"/>
    <w:semiHidden/>
    <w:unhideWhenUsed/>
    <w:rsid w:val="00667843"/>
    <w:pPr>
      <w:ind w:left="240" w:hanging="240"/>
    </w:pPr>
  </w:style>
  <w:style w:type="paragraph" w:styleId="TableofFigures">
    <w:name w:val="table of figures"/>
    <w:basedOn w:val="Normal"/>
    <w:next w:val="Normal"/>
    <w:uiPriority w:val="99"/>
    <w:semiHidden/>
    <w:unhideWhenUsed/>
    <w:rsid w:val="00667843"/>
  </w:style>
  <w:style w:type="paragraph" w:styleId="TOAHeading">
    <w:name w:val="toa heading"/>
    <w:basedOn w:val="Normal"/>
    <w:next w:val="Normal"/>
    <w:uiPriority w:val="99"/>
    <w:semiHidden/>
    <w:unhideWhenUsed/>
    <w:rsid w:val="00667843"/>
    <w:pPr>
      <w:spacing w:before="120"/>
    </w:pPr>
    <w:rPr>
      <w:rFonts w:asciiTheme="majorHAnsi" w:eastAsiaTheme="majorEastAsia" w:hAnsiTheme="majorHAnsi" w:cstheme="majorBidi"/>
      <w:b/>
      <w:bCs/>
    </w:rPr>
  </w:style>
  <w:style w:type="paragraph" w:styleId="TOCHeading">
    <w:name w:val="TOC Heading"/>
    <w:basedOn w:val="Heading1"/>
    <w:next w:val="Normal"/>
    <w:uiPriority w:val="39"/>
    <w:unhideWhenUsed/>
    <w:qFormat/>
    <w:rsid w:val="00667843"/>
    <w:pPr>
      <w:outlineLvl w:val="9"/>
    </w:pPr>
  </w:style>
  <w:style w:type="character" w:customStyle="1" w:styleId="DocID">
    <w:name w:val="DocID"/>
    <w:basedOn w:val="DefaultParagraphFont"/>
    <w:uiPriority w:val="1"/>
    <w:qFormat/>
    <w:rsid w:val="000460A1"/>
    <w:rPr>
      <w:sz w:val="16"/>
    </w:rPr>
  </w:style>
  <w:style w:type="paragraph" w:customStyle="1" w:styleId="null">
    <w:name w:val="null"/>
    <w:basedOn w:val="Normal"/>
    <w:rsid w:val="00BC1486"/>
    <w:pPr>
      <w:spacing w:before="100" w:beforeAutospacing="1" w:after="100" w:afterAutospacing="1"/>
    </w:pPr>
    <w:rPr>
      <w:rFonts w:ascii="Calibri" w:hAnsi="Calibri" w:cs="Calibri"/>
      <w:sz w:val="22"/>
      <w:szCs w:val="22"/>
    </w:rPr>
  </w:style>
  <w:style w:type="character" w:styleId="Hyperlink">
    <w:name w:val="Hyperlink"/>
    <w:basedOn w:val="DefaultParagraphFont"/>
    <w:uiPriority w:val="99"/>
    <w:unhideWhenUsed/>
    <w:rsid w:val="00BC1486"/>
    <w:rPr>
      <w:color w:val="0563C1" w:themeColor="hyperlink"/>
      <w:u w:val="single"/>
    </w:rPr>
  </w:style>
  <w:style w:type="character" w:styleId="CommentReference">
    <w:name w:val="annotation reference"/>
    <w:basedOn w:val="DefaultParagraphFont"/>
    <w:uiPriority w:val="99"/>
    <w:semiHidden/>
    <w:unhideWhenUsed/>
    <w:rsid w:val="00D01CB6"/>
    <w:rPr>
      <w:sz w:val="16"/>
      <w:szCs w:val="16"/>
    </w:rPr>
  </w:style>
  <w:style w:type="table" w:customStyle="1" w:styleId="TableGrid1">
    <w:name w:val="Table Grid1"/>
    <w:basedOn w:val="TableNormal"/>
    <w:next w:val="TableGrid"/>
    <w:uiPriority w:val="39"/>
    <w:rsid w:val="00D01CB6"/>
    <w:rPr>
      <w:rFonts w:eastAsiaTheme="minorEastAsia"/>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942E2"/>
    <w:rPr>
      <w:color w:val="808080"/>
    </w:rPr>
  </w:style>
  <w:style w:type="paragraph" w:styleId="Revision">
    <w:name w:val="Revision"/>
    <w:hidden/>
    <w:uiPriority w:val="99"/>
    <w:semiHidden/>
    <w:rsid w:val="005E5106"/>
    <w:rPr>
      <w:rFonts w:ascii="Times New Roman" w:hAnsi="Times New Roman"/>
    </w:rPr>
  </w:style>
  <w:style w:type="character" w:styleId="Mention">
    <w:name w:val="Mention"/>
    <w:basedOn w:val="DefaultParagraphFont"/>
    <w:uiPriority w:val="99"/>
    <w:unhideWhenUsed/>
    <w:rsid w:val="0021212D"/>
    <w:rPr>
      <w:color w:val="2B579A"/>
      <w:shd w:val="clear" w:color="auto" w:fill="E1DFDD"/>
    </w:rPr>
  </w:style>
  <w:style w:type="character" w:styleId="UnresolvedMention">
    <w:name w:val="Unresolved Mention"/>
    <w:basedOn w:val="DefaultParagraphFont"/>
    <w:uiPriority w:val="99"/>
    <w:semiHidden/>
    <w:unhideWhenUsed/>
    <w:rsid w:val="00555246"/>
    <w:rPr>
      <w:color w:val="605E5C"/>
      <w:shd w:val="clear" w:color="auto" w:fill="E1DFDD"/>
    </w:rPr>
  </w:style>
  <w:style w:type="character" w:customStyle="1" w:styleId="cf01">
    <w:name w:val="cf01"/>
    <w:basedOn w:val="DefaultParagraphFont"/>
    <w:rsid w:val="008B613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6906">
      <w:bodyDiv w:val="1"/>
      <w:marLeft w:val="0"/>
      <w:marRight w:val="0"/>
      <w:marTop w:val="0"/>
      <w:marBottom w:val="0"/>
      <w:divBdr>
        <w:top w:val="none" w:sz="0" w:space="0" w:color="auto"/>
        <w:left w:val="none" w:sz="0" w:space="0" w:color="auto"/>
        <w:bottom w:val="none" w:sz="0" w:space="0" w:color="auto"/>
        <w:right w:val="none" w:sz="0" w:space="0" w:color="auto"/>
      </w:divBdr>
    </w:div>
    <w:div w:id="550649536">
      <w:bodyDiv w:val="1"/>
      <w:marLeft w:val="0"/>
      <w:marRight w:val="0"/>
      <w:marTop w:val="0"/>
      <w:marBottom w:val="0"/>
      <w:divBdr>
        <w:top w:val="none" w:sz="0" w:space="0" w:color="auto"/>
        <w:left w:val="none" w:sz="0" w:space="0" w:color="auto"/>
        <w:bottom w:val="none" w:sz="0" w:space="0" w:color="auto"/>
        <w:right w:val="none" w:sz="0" w:space="0" w:color="auto"/>
      </w:divBdr>
      <w:divsChild>
        <w:div w:id="443695737">
          <w:marLeft w:val="821"/>
          <w:marRight w:val="0"/>
          <w:marTop w:val="0"/>
          <w:marBottom w:val="0"/>
          <w:divBdr>
            <w:top w:val="none" w:sz="0" w:space="0" w:color="auto"/>
            <w:left w:val="none" w:sz="0" w:space="0" w:color="auto"/>
            <w:bottom w:val="none" w:sz="0" w:space="0" w:color="auto"/>
            <w:right w:val="none" w:sz="0" w:space="0" w:color="auto"/>
          </w:divBdr>
        </w:div>
        <w:div w:id="898248696">
          <w:marLeft w:val="821"/>
          <w:marRight w:val="0"/>
          <w:marTop w:val="0"/>
          <w:marBottom w:val="0"/>
          <w:divBdr>
            <w:top w:val="none" w:sz="0" w:space="0" w:color="auto"/>
            <w:left w:val="none" w:sz="0" w:space="0" w:color="auto"/>
            <w:bottom w:val="none" w:sz="0" w:space="0" w:color="auto"/>
            <w:right w:val="none" w:sz="0" w:space="0" w:color="auto"/>
          </w:divBdr>
        </w:div>
        <w:div w:id="1074006486">
          <w:marLeft w:val="821"/>
          <w:marRight w:val="0"/>
          <w:marTop w:val="0"/>
          <w:marBottom w:val="0"/>
          <w:divBdr>
            <w:top w:val="none" w:sz="0" w:space="0" w:color="auto"/>
            <w:left w:val="none" w:sz="0" w:space="0" w:color="auto"/>
            <w:bottom w:val="none" w:sz="0" w:space="0" w:color="auto"/>
            <w:right w:val="none" w:sz="0" w:space="0" w:color="auto"/>
          </w:divBdr>
        </w:div>
        <w:div w:id="1694257609">
          <w:marLeft w:val="821"/>
          <w:marRight w:val="0"/>
          <w:marTop w:val="0"/>
          <w:marBottom w:val="0"/>
          <w:divBdr>
            <w:top w:val="none" w:sz="0" w:space="0" w:color="auto"/>
            <w:left w:val="none" w:sz="0" w:space="0" w:color="auto"/>
            <w:bottom w:val="none" w:sz="0" w:space="0" w:color="auto"/>
            <w:right w:val="none" w:sz="0" w:space="0" w:color="auto"/>
          </w:divBdr>
        </w:div>
      </w:divsChild>
    </w:div>
    <w:div w:id="636184211">
      <w:bodyDiv w:val="1"/>
      <w:marLeft w:val="0"/>
      <w:marRight w:val="0"/>
      <w:marTop w:val="0"/>
      <w:marBottom w:val="0"/>
      <w:divBdr>
        <w:top w:val="none" w:sz="0" w:space="0" w:color="auto"/>
        <w:left w:val="none" w:sz="0" w:space="0" w:color="auto"/>
        <w:bottom w:val="none" w:sz="0" w:space="0" w:color="auto"/>
        <w:right w:val="none" w:sz="0" w:space="0" w:color="auto"/>
      </w:divBdr>
    </w:div>
    <w:div w:id="687024957">
      <w:bodyDiv w:val="1"/>
      <w:marLeft w:val="0"/>
      <w:marRight w:val="0"/>
      <w:marTop w:val="0"/>
      <w:marBottom w:val="0"/>
      <w:divBdr>
        <w:top w:val="none" w:sz="0" w:space="0" w:color="auto"/>
        <w:left w:val="none" w:sz="0" w:space="0" w:color="auto"/>
        <w:bottom w:val="none" w:sz="0" w:space="0" w:color="auto"/>
        <w:right w:val="none" w:sz="0" w:space="0" w:color="auto"/>
      </w:divBdr>
    </w:div>
    <w:div w:id="802384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image" Target="media/image12.tmp"/><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emf"/><Relationship Id="rId10" Type="http://schemas.openxmlformats.org/officeDocument/2006/relationships/image" Target="media/image2.png"/><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6.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4414</Words>
  <Characters>25165</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2023-10-26T15:52:00Z</dcterms:created>
  <dcterms:modified xsi:type="dcterms:W3CDTF">2023-10-26T15:52:00Z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