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2B4C3" w14:textId="2879279C" w:rsidR="001322F8" w:rsidRPr="00CF5B6A" w:rsidRDefault="0069043D" w:rsidP="00C85D1B">
      <w:pPr>
        <w:pStyle w:val="Title"/>
      </w:pPr>
      <w:r w:rsidRPr="00CF5B6A">
        <w:t xml:space="preserve">Transmission </w:t>
      </w:r>
      <w:r w:rsidR="00D67DCE" w:rsidRPr="00CF5B6A">
        <w:t>Screen</w:t>
      </w:r>
      <w:r w:rsidR="00C85D1B">
        <w:t>ing Analyses</w:t>
      </w:r>
      <w:r w:rsidR="00D67DCE" w:rsidRPr="00CF5B6A">
        <w:t xml:space="preserve"> </w:t>
      </w:r>
      <w:r w:rsidRPr="00CF5B6A">
        <w:t>Overview</w:t>
      </w:r>
    </w:p>
    <w:p w14:paraId="3D341F2B" w14:textId="77777777" w:rsidR="00C85D1B" w:rsidRDefault="00C85D1B" w:rsidP="00B304E2">
      <w:pPr>
        <w:pStyle w:val="NoSpacing"/>
      </w:pPr>
    </w:p>
    <w:p w14:paraId="4653641E" w14:textId="12D5E3AA" w:rsidR="0069043D" w:rsidRPr="00A701A6" w:rsidRDefault="001667A8" w:rsidP="009E7344">
      <w:pPr>
        <w:jc w:val="both"/>
        <w:rPr>
          <w:rFonts w:cstheme="minorHAnsi"/>
        </w:rPr>
      </w:pPr>
      <w:r>
        <w:rPr>
          <w:rFonts w:cstheme="minorHAnsi"/>
        </w:rPr>
        <w:t>Georgia Power Company (“</w:t>
      </w:r>
      <w:r w:rsidR="00B954E7">
        <w:rPr>
          <w:rFonts w:cstheme="minorHAnsi"/>
        </w:rPr>
        <w:t xml:space="preserve">Georgia Power” or the “Company”) </w:t>
      </w:r>
      <w:r w:rsidR="00EB3FE0">
        <w:rPr>
          <w:rFonts w:cstheme="minorHAnsi"/>
        </w:rPr>
        <w:t>performed t</w:t>
      </w:r>
      <w:r w:rsidR="0069043D" w:rsidRPr="00A701A6">
        <w:rPr>
          <w:rFonts w:cstheme="minorHAnsi"/>
        </w:rPr>
        <w:t xml:space="preserve">ransmission </w:t>
      </w:r>
      <w:r w:rsidR="00BB038D">
        <w:rPr>
          <w:rFonts w:cstheme="minorHAnsi"/>
        </w:rPr>
        <w:t>screens</w:t>
      </w:r>
      <w:r w:rsidR="0069043D" w:rsidRPr="00A701A6" w:rsidDel="00EB3FE0">
        <w:rPr>
          <w:rFonts w:cstheme="minorHAnsi"/>
        </w:rPr>
        <w:t xml:space="preserve"> </w:t>
      </w:r>
      <w:r w:rsidR="0069043D" w:rsidRPr="00A701A6">
        <w:rPr>
          <w:rFonts w:cstheme="minorHAnsi"/>
        </w:rPr>
        <w:t xml:space="preserve">for various </w:t>
      </w:r>
      <w:r w:rsidR="00750B70">
        <w:rPr>
          <w:rFonts w:cstheme="minorHAnsi"/>
        </w:rPr>
        <w:t xml:space="preserve">generation </w:t>
      </w:r>
      <w:r w:rsidR="0069043D" w:rsidRPr="00A701A6">
        <w:rPr>
          <w:rFonts w:cstheme="minorHAnsi"/>
        </w:rPr>
        <w:t xml:space="preserve">resource options under consideration by </w:t>
      </w:r>
      <w:r w:rsidR="00B954E7">
        <w:rPr>
          <w:rFonts w:cstheme="minorHAnsi"/>
        </w:rPr>
        <w:t xml:space="preserve">the </w:t>
      </w:r>
      <w:r w:rsidR="00DD6E28" w:rsidRPr="00A701A6">
        <w:rPr>
          <w:rFonts w:cstheme="minorHAnsi"/>
        </w:rPr>
        <w:t xml:space="preserve">Company </w:t>
      </w:r>
      <w:r w:rsidR="0069043D" w:rsidRPr="00A701A6">
        <w:rPr>
          <w:rFonts w:cstheme="minorHAnsi"/>
        </w:rPr>
        <w:t xml:space="preserve">to support its </w:t>
      </w:r>
      <w:r w:rsidR="00750B70">
        <w:rPr>
          <w:rFonts w:cstheme="minorHAnsi"/>
        </w:rPr>
        <w:t xml:space="preserve">generation </w:t>
      </w:r>
      <w:r w:rsidR="0069043D" w:rsidRPr="00A701A6">
        <w:rPr>
          <w:rFonts w:cstheme="minorHAnsi"/>
        </w:rPr>
        <w:t xml:space="preserve">resource needs as described in the 2023 IRP </w:t>
      </w:r>
      <w:r w:rsidR="00EB3FE0">
        <w:rPr>
          <w:rFonts w:cstheme="minorHAnsi"/>
        </w:rPr>
        <w:t>U</w:t>
      </w:r>
      <w:r w:rsidR="0069043D" w:rsidRPr="00A701A6">
        <w:rPr>
          <w:rFonts w:cstheme="minorHAnsi"/>
        </w:rPr>
        <w:t xml:space="preserve">pdate. </w:t>
      </w:r>
      <w:r w:rsidR="00D40C90">
        <w:rPr>
          <w:rFonts w:cstheme="minorHAnsi"/>
        </w:rPr>
        <w:t>The screens utilized 2023 V</w:t>
      </w:r>
      <w:r w:rsidR="0089419F">
        <w:rPr>
          <w:rFonts w:cstheme="minorHAnsi"/>
        </w:rPr>
        <w:t>2A power flow base case</w:t>
      </w:r>
      <w:r w:rsidR="00EC59FF">
        <w:rPr>
          <w:rFonts w:cstheme="minorHAnsi"/>
        </w:rPr>
        <w:t>s</w:t>
      </w:r>
      <w:r w:rsidR="00C439BA">
        <w:rPr>
          <w:rFonts w:cstheme="minorHAnsi"/>
        </w:rPr>
        <w:t xml:space="preserve"> </w:t>
      </w:r>
      <w:r w:rsidR="00EC59FF">
        <w:rPr>
          <w:rFonts w:cstheme="minorHAnsi"/>
        </w:rPr>
        <w:t xml:space="preserve">along with </w:t>
      </w:r>
      <w:r w:rsidR="00C439BA">
        <w:rPr>
          <w:rFonts w:cstheme="minorHAnsi"/>
        </w:rPr>
        <w:t>scenarios</w:t>
      </w:r>
      <w:r w:rsidR="00EC59FF">
        <w:rPr>
          <w:rFonts w:cstheme="minorHAnsi"/>
        </w:rPr>
        <w:t xml:space="preserve"> shown in </w:t>
      </w:r>
      <w:r w:rsidR="009E7344">
        <w:rPr>
          <w:rFonts w:cstheme="minorHAnsi"/>
        </w:rPr>
        <w:fldChar w:fldCharType="begin"/>
      </w:r>
      <w:r w:rsidR="009E7344">
        <w:rPr>
          <w:rFonts w:cstheme="minorHAnsi"/>
        </w:rPr>
        <w:instrText xml:space="preserve"> REF _Ref148757097 \h </w:instrText>
      </w:r>
      <w:r w:rsidR="009E7344">
        <w:rPr>
          <w:rFonts w:cstheme="minorHAnsi"/>
        </w:rPr>
      </w:r>
      <w:r w:rsidR="009E7344">
        <w:rPr>
          <w:rFonts w:cstheme="minorHAnsi"/>
        </w:rPr>
        <w:fldChar w:fldCharType="separate"/>
      </w:r>
      <w:r w:rsidR="009E7344">
        <w:t xml:space="preserve">Table </w:t>
      </w:r>
      <w:r w:rsidR="009E7344">
        <w:rPr>
          <w:noProof/>
        </w:rPr>
        <w:t>1</w:t>
      </w:r>
      <w:r w:rsidR="009E7344">
        <w:rPr>
          <w:rFonts w:cstheme="minorHAnsi"/>
        </w:rPr>
        <w:fldChar w:fldCharType="end"/>
      </w:r>
      <w:r w:rsidR="00C439BA">
        <w:rPr>
          <w:rFonts w:cstheme="minorHAnsi"/>
        </w:rPr>
        <w:t>:</w:t>
      </w:r>
    </w:p>
    <w:p w14:paraId="0BC6AEEB" w14:textId="177B95EA" w:rsidR="0062390F" w:rsidRDefault="0062390F" w:rsidP="009E7344">
      <w:pPr>
        <w:pStyle w:val="Caption"/>
        <w:keepNext/>
        <w:jc w:val="center"/>
      </w:pPr>
      <w:bookmarkStart w:id="0" w:name="_Ref148757097"/>
      <w:r>
        <w:t xml:space="preserve">Table </w:t>
      </w:r>
      <w:r w:rsidR="00695E2D">
        <w:fldChar w:fldCharType="begin"/>
      </w:r>
      <w:r w:rsidR="00695E2D">
        <w:instrText xml:space="preserve"> SEQ Table \* ARABIC </w:instrText>
      </w:r>
      <w:r w:rsidR="00695E2D">
        <w:fldChar w:fldCharType="separate"/>
      </w:r>
      <w:r>
        <w:rPr>
          <w:noProof/>
        </w:rPr>
        <w:t>1</w:t>
      </w:r>
      <w:r w:rsidR="00695E2D">
        <w:rPr>
          <w:noProof/>
        </w:rPr>
        <w:fldChar w:fldCharType="end"/>
      </w:r>
      <w:bookmarkEnd w:id="0"/>
      <w:r>
        <w:t xml:space="preserve"> - Transmission Screen Scenarios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7195"/>
      </w:tblGrid>
      <w:tr w:rsidR="0051290B" w:rsidRPr="00514D23" w14:paraId="674624F0" w14:textId="77777777" w:rsidTr="00E46E7A">
        <w:tc>
          <w:tcPr>
            <w:tcW w:w="2155" w:type="dxa"/>
          </w:tcPr>
          <w:p w14:paraId="19E184BF" w14:textId="28CB0EB9" w:rsidR="0051290B" w:rsidRPr="00514D23" w:rsidRDefault="0051290B" w:rsidP="00E46E7A">
            <w:pPr>
              <w:jc w:val="center"/>
              <w:rPr>
                <w:b/>
                <w:bCs/>
              </w:rPr>
            </w:pPr>
            <w:r w:rsidRPr="00514D23">
              <w:rPr>
                <w:b/>
                <w:bCs/>
              </w:rPr>
              <w:t>Screen Scenario</w:t>
            </w:r>
          </w:p>
        </w:tc>
        <w:tc>
          <w:tcPr>
            <w:tcW w:w="7195" w:type="dxa"/>
          </w:tcPr>
          <w:p w14:paraId="7BAE42D0" w14:textId="0558C91A" w:rsidR="0051290B" w:rsidRPr="00514D23" w:rsidRDefault="0051290B" w:rsidP="00E46E7A">
            <w:pPr>
              <w:jc w:val="center"/>
              <w:rPr>
                <w:b/>
                <w:bCs/>
              </w:rPr>
            </w:pPr>
            <w:r w:rsidRPr="00514D23">
              <w:rPr>
                <w:b/>
                <w:bCs/>
              </w:rPr>
              <w:t>Description</w:t>
            </w:r>
          </w:p>
        </w:tc>
      </w:tr>
      <w:tr w:rsidR="0051290B" w:rsidRPr="00514D23" w14:paraId="5451A632" w14:textId="77777777" w:rsidTr="00514D23">
        <w:tc>
          <w:tcPr>
            <w:tcW w:w="2155" w:type="dxa"/>
            <w:vAlign w:val="center"/>
          </w:tcPr>
          <w:p w14:paraId="0904034D" w14:textId="17AB7191" w:rsidR="0051290B" w:rsidRPr="00514D23" w:rsidRDefault="0051290B" w:rsidP="00514D23">
            <w:pPr>
              <w:jc w:val="center"/>
            </w:pPr>
            <w:r w:rsidRPr="00514D23">
              <w:t>Base</w:t>
            </w:r>
          </w:p>
        </w:tc>
        <w:tc>
          <w:tcPr>
            <w:tcW w:w="7195" w:type="dxa"/>
          </w:tcPr>
          <w:p w14:paraId="79FF5AF7" w14:textId="34A0C705" w:rsidR="0051290B" w:rsidRPr="00514D23" w:rsidRDefault="00B2616B" w:rsidP="00D35CEC">
            <w:r w:rsidRPr="00514D23">
              <w:t xml:space="preserve">Includes all </w:t>
            </w:r>
            <w:r w:rsidR="005058B6" w:rsidRPr="00514D23">
              <w:t>large loads which have selected Georgia Power</w:t>
            </w:r>
            <w:r w:rsidR="009E7344" w:rsidRPr="00514D23">
              <w:t xml:space="preserve"> </w:t>
            </w:r>
            <w:r w:rsidR="004229AB" w:rsidRPr="00514D23">
              <w:t>and prior queued proj</w:t>
            </w:r>
            <w:r w:rsidR="00BE0ECE" w:rsidRPr="00514D23">
              <w:t>e</w:t>
            </w:r>
            <w:r w:rsidR="00B227D1" w:rsidRPr="00514D23">
              <w:t xml:space="preserve">cts </w:t>
            </w:r>
          </w:p>
        </w:tc>
      </w:tr>
      <w:tr w:rsidR="0051290B" w:rsidRPr="00514D23" w14:paraId="33922094" w14:textId="77777777" w:rsidTr="00514D23">
        <w:tc>
          <w:tcPr>
            <w:tcW w:w="2155" w:type="dxa"/>
            <w:vAlign w:val="center"/>
          </w:tcPr>
          <w:p w14:paraId="5B61BEBA" w14:textId="26FAE9FF" w:rsidR="0051290B" w:rsidRPr="00514D23" w:rsidRDefault="00C7268E" w:rsidP="00514D23">
            <w:pPr>
              <w:jc w:val="center"/>
            </w:pPr>
            <w:r w:rsidRPr="00514D23">
              <w:t>A1</w:t>
            </w:r>
          </w:p>
        </w:tc>
        <w:tc>
          <w:tcPr>
            <w:tcW w:w="7195" w:type="dxa"/>
          </w:tcPr>
          <w:p w14:paraId="0DBC505A" w14:textId="2884CB9D" w:rsidR="002A6981" w:rsidRPr="00514D23" w:rsidRDefault="00B227D1" w:rsidP="00D35CEC">
            <w:r w:rsidRPr="00514D23">
              <w:t xml:space="preserve">Base </w:t>
            </w:r>
            <w:r w:rsidR="00EB1CE6" w:rsidRPr="00514D23">
              <w:t xml:space="preserve">scenario with </w:t>
            </w:r>
            <w:r w:rsidR="002A5C10">
              <w:t xml:space="preserve">other retail operating company unit extensions and </w:t>
            </w:r>
            <w:r w:rsidR="00514D23">
              <w:t xml:space="preserve">the </w:t>
            </w:r>
            <w:r w:rsidR="002A6981" w:rsidRPr="00514D23">
              <w:t xml:space="preserve">following </w:t>
            </w:r>
            <w:r w:rsidR="00A328F1">
              <w:t xml:space="preserve">Georgia Power resource </w:t>
            </w:r>
            <w:r w:rsidR="002A6981" w:rsidRPr="00514D23">
              <w:t>extension</w:t>
            </w:r>
            <w:r w:rsidR="00344889" w:rsidRPr="00514D23">
              <w:t>s</w:t>
            </w:r>
            <w:r w:rsidR="002A6981" w:rsidRPr="00514D23">
              <w:t>:</w:t>
            </w:r>
          </w:p>
          <w:p w14:paraId="727F4D56" w14:textId="40D06275" w:rsidR="0051290B" w:rsidRPr="00514D23" w:rsidRDefault="00EB1CE6" w:rsidP="00E46E7A">
            <w:pPr>
              <w:pStyle w:val="ListParagraph"/>
              <w:numPr>
                <w:ilvl w:val="0"/>
                <w:numId w:val="2"/>
              </w:numPr>
            </w:pPr>
            <w:r w:rsidRPr="00514D23">
              <w:t xml:space="preserve">Gaston 1-4, Bowen 1-4, </w:t>
            </w:r>
            <w:r w:rsidR="000A1CE5" w:rsidRPr="00514D23">
              <w:t>and Scherer 3 available through 2035</w:t>
            </w:r>
          </w:p>
          <w:p w14:paraId="6A1C0D25" w14:textId="2C009BBC" w:rsidR="003077C7" w:rsidRPr="00514D23" w:rsidRDefault="00D15ECC" w:rsidP="003077C7">
            <w:r w:rsidRPr="00514D23">
              <w:t>Base scenario with</w:t>
            </w:r>
            <w:r w:rsidR="00514D23">
              <w:t xml:space="preserve"> the</w:t>
            </w:r>
            <w:r w:rsidRPr="00514D23">
              <w:t xml:space="preserve"> following potential </w:t>
            </w:r>
            <w:r w:rsidR="005E26F2" w:rsidRPr="00514D23">
              <w:t>p</w:t>
            </w:r>
            <w:r w:rsidRPr="00514D23">
              <w:t xml:space="preserve">ower </w:t>
            </w:r>
            <w:r w:rsidR="005E26F2" w:rsidRPr="00514D23">
              <w:t>p</w:t>
            </w:r>
            <w:r w:rsidRPr="00514D23">
              <w:t xml:space="preserve">urchase </w:t>
            </w:r>
            <w:r w:rsidR="005E26F2" w:rsidRPr="00514D23">
              <w:t>a</w:t>
            </w:r>
            <w:r w:rsidRPr="00514D23">
              <w:t>greements</w:t>
            </w:r>
            <w:r w:rsidR="008205BB" w:rsidRPr="00514D23">
              <w:t xml:space="preserve"> (</w:t>
            </w:r>
            <w:r w:rsidR="005E26F2" w:rsidRPr="00514D23">
              <w:t>“</w:t>
            </w:r>
            <w:r w:rsidR="008205BB" w:rsidRPr="00514D23">
              <w:t>PPAs</w:t>
            </w:r>
            <w:r w:rsidR="005E26F2" w:rsidRPr="00514D23">
              <w:t>”</w:t>
            </w:r>
            <w:r w:rsidR="008205BB" w:rsidRPr="00514D23">
              <w:t>):</w:t>
            </w:r>
          </w:p>
          <w:p w14:paraId="7F73894D" w14:textId="77777777" w:rsidR="003077C7" w:rsidRPr="00514D23" w:rsidRDefault="008205BB" w:rsidP="003077C7">
            <w:pPr>
              <w:pStyle w:val="ListParagraph"/>
              <w:numPr>
                <w:ilvl w:val="0"/>
                <w:numId w:val="5"/>
              </w:numPr>
            </w:pPr>
            <w:r w:rsidRPr="00514D23">
              <w:t xml:space="preserve">Lindsay Hill years 2026 </w:t>
            </w:r>
            <w:r w:rsidR="00E055E5" w:rsidRPr="00514D23">
              <w:t>–</w:t>
            </w:r>
            <w:r w:rsidRPr="00514D23">
              <w:t xml:space="preserve"> 2035</w:t>
            </w:r>
          </w:p>
          <w:p w14:paraId="4FDEDB5B" w14:textId="7FEE0005" w:rsidR="00B90554" w:rsidRPr="00514D23" w:rsidRDefault="00B90554" w:rsidP="003077C7">
            <w:pPr>
              <w:pStyle w:val="ListParagraph"/>
              <w:numPr>
                <w:ilvl w:val="0"/>
                <w:numId w:val="5"/>
              </w:numPr>
            </w:pPr>
            <w:r w:rsidRPr="00514D23">
              <w:t>S</w:t>
            </w:r>
            <w:r w:rsidR="00E055E5" w:rsidRPr="00514D23">
              <w:t>anta Rosa years 2026</w:t>
            </w:r>
            <w:r w:rsidR="007C2E23" w:rsidRPr="00514D23">
              <w:rPr>
                <w:rStyle w:val="FootnoteReference"/>
              </w:rPr>
              <w:footnoteReference w:id="2"/>
            </w:r>
            <w:r w:rsidR="00E055E5" w:rsidRPr="00514D23">
              <w:t xml:space="preserve"> </w:t>
            </w:r>
            <w:r w:rsidRPr="00514D23">
              <w:t>–</w:t>
            </w:r>
            <w:r w:rsidR="00E055E5" w:rsidRPr="00514D23">
              <w:t xml:space="preserve"> 2028</w:t>
            </w:r>
          </w:p>
        </w:tc>
      </w:tr>
      <w:tr w:rsidR="0051290B" w:rsidRPr="00514D23" w14:paraId="162B9F0F" w14:textId="77777777" w:rsidTr="00514D23">
        <w:tc>
          <w:tcPr>
            <w:tcW w:w="2155" w:type="dxa"/>
            <w:vAlign w:val="center"/>
          </w:tcPr>
          <w:p w14:paraId="07F8A489" w14:textId="5DD8FA30" w:rsidR="0051290B" w:rsidRPr="00514D23" w:rsidRDefault="00C7268E" w:rsidP="00514D23">
            <w:pPr>
              <w:jc w:val="center"/>
            </w:pPr>
            <w:r w:rsidRPr="00514D23">
              <w:t>A2</w:t>
            </w:r>
          </w:p>
        </w:tc>
        <w:tc>
          <w:tcPr>
            <w:tcW w:w="7195" w:type="dxa"/>
          </w:tcPr>
          <w:p w14:paraId="68CCDC48" w14:textId="2E0B3A05" w:rsidR="0051290B" w:rsidRPr="00514D23" w:rsidRDefault="00E055E5" w:rsidP="00D35CEC">
            <w:r w:rsidRPr="00514D23">
              <w:t xml:space="preserve">Scenario A1 with </w:t>
            </w:r>
            <w:r w:rsidR="006E70C9" w:rsidRPr="00514D23">
              <w:t>Lindsay Hill PPA starting on 5/2029</w:t>
            </w:r>
            <w:r w:rsidR="00C5465F" w:rsidRPr="00514D23">
              <w:t xml:space="preserve"> (due to transmission constraints and project timing limitations)</w:t>
            </w:r>
          </w:p>
        </w:tc>
      </w:tr>
      <w:tr w:rsidR="0051290B" w:rsidRPr="00514D23" w14:paraId="079E3C57" w14:textId="77777777" w:rsidTr="00514D23">
        <w:tc>
          <w:tcPr>
            <w:tcW w:w="2155" w:type="dxa"/>
            <w:vAlign w:val="center"/>
          </w:tcPr>
          <w:p w14:paraId="2281C151" w14:textId="0D67CEFD" w:rsidR="0051290B" w:rsidRPr="00514D23" w:rsidRDefault="00C7268E" w:rsidP="00514D23">
            <w:pPr>
              <w:jc w:val="center"/>
            </w:pPr>
            <w:r w:rsidRPr="00514D23">
              <w:t>B</w:t>
            </w:r>
          </w:p>
        </w:tc>
        <w:tc>
          <w:tcPr>
            <w:tcW w:w="7195" w:type="dxa"/>
          </w:tcPr>
          <w:p w14:paraId="66E2031C" w14:textId="3296B344" w:rsidR="0051290B" w:rsidRPr="00514D23" w:rsidRDefault="00C5465F" w:rsidP="00D35CEC">
            <w:r w:rsidRPr="00514D23">
              <w:t xml:space="preserve">Scenario </w:t>
            </w:r>
            <w:r w:rsidR="00667D79" w:rsidRPr="00514D23">
              <w:t xml:space="preserve">A1 with proposed Yates CTs </w:t>
            </w:r>
            <w:r w:rsidR="00AC66CC" w:rsidRPr="00514D23">
              <w:t xml:space="preserve">and their respective commercial operation dates </w:t>
            </w:r>
          </w:p>
        </w:tc>
      </w:tr>
      <w:tr w:rsidR="0051290B" w:rsidRPr="00514D23" w14:paraId="61D92731" w14:textId="77777777" w:rsidTr="00514D23">
        <w:tc>
          <w:tcPr>
            <w:tcW w:w="2155" w:type="dxa"/>
            <w:vAlign w:val="center"/>
          </w:tcPr>
          <w:p w14:paraId="5C7D900C" w14:textId="22D1F0D3" w:rsidR="0051290B" w:rsidRPr="00514D23" w:rsidRDefault="00C7268E" w:rsidP="00514D23">
            <w:pPr>
              <w:jc w:val="center"/>
            </w:pPr>
            <w:r w:rsidRPr="00514D23">
              <w:t>C</w:t>
            </w:r>
            <w:r w:rsidR="00284D43" w:rsidRPr="00514D23">
              <w:rPr>
                <w:rStyle w:val="FootnoteReference"/>
              </w:rPr>
              <w:footnoteReference w:id="3"/>
            </w:r>
          </w:p>
        </w:tc>
        <w:tc>
          <w:tcPr>
            <w:tcW w:w="7195" w:type="dxa"/>
          </w:tcPr>
          <w:p w14:paraId="580C1046" w14:textId="247542C6" w:rsidR="0051290B" w:rsidRPr="00514D23" w:rsidRDefault="00297CA9" w:rsidP="00E46E7A">
            <w:pPr>
              <w:keepNext/>
            </w:pPr>
            <w:r w:rsidRPr="00514D23">
              <w:t xml:space="preserve">Scenario B with proposed </w:t>
            </w:r>
            <w:r w:rsidR="008755DB" w:rsidRPr="00514D23">
              <w:t xml:space="preserve">200 MW battery energy storage systems (“BESS”) </w:t>
            </w:r>
            <w:r w:rsidR="00A9444B">
              <w:t>co</w:t>
            </w:r>
            <w:r w:rsidR="00874B78">
              <w:t>-</w:t>
            </w:r>
            <w:r w:rsidR="00A9444B">
              <w:t>located with</w:t>
            </w:r>
            <w:r w:rsidR="008755DB" w:rsidRPr="00514D23">
              <w:t xml:space="preserve"> 200 MW </w:t>
            </w:r>
            <w:r w:rsidR="002F126D" w:rsidRPr="00514D23">
              <w:t>solar project</w:t>
            </w:r>
          </w:p>
        </w:tc>
      </w:tr>
    </w:tbl>
    <w:p w14:paraId="57DA5362" w14:textId="77777777" w:rsidR="00A263B8" w:rsidRDefault="00A263B8" w:rsidP="00A263B8">
      <w:pPr>
        <w:pStyle w:val="NoSpacing"/>
      </w:pPr>
    </w:p>
    <w:p w14:paraId="33101D96" w14:textId="32D95D3A" w:rsidR="00A701A6" w:rsidRDefault="00A701A6" w:rsidP="00CF5B6A">
      <w:pPr>
        <w:jc w:val="both"/>
      </w:pPr>
      <w:r w:rsidRPr="1BAC4F50">
        <w:t xml:space="preserve">The transmission screening analysis determined that all unit extensions required to support the </w:t>
      </w:r>
      <w:r w:rsidR="00B5098F" w:rsidRPr="1BAC4F50">
        <w:t>750 MW Mississippi Power Company PPA can be accommodated</w:t>
      </w:r>
      <w:r w:rsidR="00273C3F">
        <w:t xml:space="preserve"> a</w:t>
      </w:r>
      <w:r w:rsidR="00BC2CE5">
        <w:t>long with the</w:t>
      </w:r>
      <w:r w:rsidR="00B5098F" w:rsidRPr="1BAC4F50">
        <w:t xml:space="preserve"> PPA </w:t>
      </w:r>
      <w:r w:rsidR="005D7235">
        <w:t xml:space="preserve">for capacity and energy </w:t>
      </w:r>
      <w:r w:rsidR="00B5098F" w:rsidRPr="1BAC4F50">
        <w:t xml:space="preserve">from </w:t>
      </w:r>
      <w:r w:rsidR="001D2FB9">
        <w:t xml:space="preserve">the </w:t>
      </w:r>
      <w:r w:rsidR="00B5098F" w:rsidRPr="1BAC4F50">
        <w:t>Santa Rosa</w:t>
      </w:r>
      <w:r w:rsidR="00EE4432">
        <w:t xml:space="preserve"> </w:t>
      </w:r>
      <w:r w:rsidR="001D2FB9">
        <w:t xml:space="preserve">combined cycle facility </w:t>
      </w:r>
      <w:r w:rsidR="00EE4432">
        <w:t>located</w:t>
      </w:r>
      <w:r w:rsidR="00B5098F" w:rsidRPr="1BAC4F50">
        <w:t xml:space="preserve"> in northwest Florida with no required transmission projects</w:t>
      </w:r>
      <w:r w:rsidR="001D2FB9">
        <w:t xml:space="preserve"> (Scenario A1)</w:t>
      </w:r>
      <w:r w:rsidR="00B5098F" w:rsidRPr="1BAC4F50">
        <w:t>.</w:t>
      </w:r>
    </w:p>
    <w:p w14:paraId="25134107" w14:textId="294930DE" w:rsidR="003F2A01" w:rsidRDefault="00B5098F" w:rsidP="00CF5B6A">
      <w:pPr>
        <w:jc w:val="both"/>
        <w:rPr>
          <w:rFonts w:cstheme="minorHAnsi"/>
        </w:rPr>
      </w:pPr>
      <w:r>
        <w:rPr>
          <w:rFonts w:cstheme="minorHAnsi"/>
        </w:rPr>
        <w:t xml:space="preserve">Initial transmission </w:t>
      </w:r>
      <w:r w:rsidR="00A6156F">
        <w:rPr>
          <w:rFonts w:cstheme="minorHAnsi"/>
        </w:rPr>
        <w:t xml:space="preserve">screens </w:t>
      </w:r>
      <w:r>
        <w:rPr>
          <w:rFonts w:cstheme="minorHAnsi"/>
        </w:rPr>
        <w:t xml:space="preserve">of </w:t>
      </w:r>
      <w:r w:rsidR="007F3F1B">
        <w:rPr>
          <w:rFonts w:cstheme="minorHAnsi"/>
        </w:rPr>
        <w:t xml:space="preserve">a potential </w:t>
      </w:r>
      <w:r>
        <w:rPr>
          <w:rFonts w:cstheme="minorHAnsi"/>
        </w:rPr>
        <w:t xml:space="preserve">Lindsay Hill PPA </w:t>
      </w:r>
      <w:r w:rsidR="009225D3">
        <w:rPr>
          <w:rFonts w:cstheme="minorHAnsi"/>
        </w:rPr>
        <w:t>(S</w:t>
      </w:r>
      <w:r w:rsidR="00C33545">
        <w:rPr>
          <w:rFonts w:cstheme="minorHAnsi"/>
        </w:rPr>
        <w:t xml:space="preserve">cenario A1) </w:t>
      </w:r>
      <w:r>
        <w:rPr>
          <w:rFonts w:cstheme="minorHAnsi"/>
        </w:rPr>
        <w:t>required currently planned projects to be advanced</w:t>
      </w:r>
      <w:r w:rsidR="007B7A85">
        <w:rPr>
          <w:rFonts w:cstheme="minorHAnsi"/>
        </w:rPr>
        <w:t xml:space="preserve"> and completed sooner than planned</w:t>
      </w:r>
      <w:r>
        <w:rPr>
          <w:rFonts w:cstheme="minorHAnsi"/>
        </w:rPr>
        <w:t xml:space="preserve">. </w:t>
      </w:r>
      <w:r w:rsidR="007F35F8">
        <w:rPr>
          <w:rFonts w:cstheme="minorHAnsi"/>
        </w:rPr>
        <w:t>After</w:t>
      </w:r>
      <w:r>
        <w:rPr>
          <w:rFonts w:cstheme="minorHAnsi"/>
        </w:rPr>
        <w:t xml:space="preserve"> additional evaluation</w:t>
      </w:r>
      <w:r w:rsidR="00C33545">
        <w:rPr>
          <w:rFonts w:cstheme="minorHAnsi"/>
        </w:rPr>
        <w:t xml:space="preserve"> (Scenario</w:t>
      </w:r>
      <w:r w:rsidR="001959BD">
        <w:rPr>
          <w:rFonts w:cstheme="minorHAnsi"/>
        </w:rPr>
        <w:t xml:space="preserve"> A2)</w:t>
      </w:r>
      <w:r>
        <w:rPr>
          <w:rFonts w:cstheme="minorHAnsi"/>
        </w:rPr>
        <w:t xml:space="preserve">, it was determined that the required </w:t>
      </w:r>
      <w:r w:rsidR="007F35F8">
        <w:rPr>
          <w:rFonts w:cstheme="minorHAnsi"/>
        </w:rPr>
        <w:t xml:space="preserve">transmission </w:t>
      </w:r>
      <w:r>
        <w:rPr>
          <w:rFonts w:cstheme="minorHAnsi"/>
        </w:rPr>
        <w:t xml:space="preserve">projects </w:t>
      </w:r>
      <w:r w:rsidR="007F35F8">
        <w:rPr>
          <w:rFonts w:cstheme="minorHAnsi"/>
        </w:rPr>
        <w:t xml:space="preserve">could not </w:t>
      </w:r>
      <w:r>
        <w:rPr>
          <w:rFonts w:cstheme="minorHAnsi"/>
        </w:rPr>
        <w:t>be advanced</w:t>
      </w:r>
      <w:r w:rsidR="007B7A85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CA7D31">
        <w:rPr>
          <w:rFonts w:cstheme="minorHAnsi"/>
        </w:rPr>
        <w:t xml:space="preserve">which would </w:t>
      </w:r>
      <w:r w:rsidR="00EE51B0">
        <w:rPr>
          <w:rFonts w:cstheme="minorHAnsi"/>
        </w:rPr>
        <w:t>mean that</w:t>
      </w:r>
      <w:r w:rsidR="00CA7D31">
        <w:rPr>
          <w:rFonts w:cstheme="minorHAnsi"/>
        </w:rPr>
        <w:t xml:space="preserve"> </w:t>
      </w:r>
      <w:r w:rsidR="00A84876">
        <w:rPr>
          <w:rFonts w:cstheme="minorHAnsi"/>
        </w:rPr>
        <w:t xml:space="preserve">a potential </w:t>
      </w:r>
      <w:r>
        <w:rPr>
          <w:rFonts w:cstheme="minorHAnsi"/>
        </w:rPr>
        <w:t xml:space="preserve">Lindsay Hill </w:t>
      </w:r>
      <w:r w:rsidR="00A84876">
        <w:rPr>
          <w:rFonts w:cstheme="minorHAnsi"/>
        </w:rPr>
        <w:t xml:space="preserve">PPA </w:t>
      </w:r>
      <w:r w:rsidR="00E46AC5">
        <w:rPr>
          <w:rFonts w:cstheme="minorHAnsi"/>
        </w:rPr>
        <w:t xml:space="preserve">could </w:t>
      </w:r>
      <w:r>
        <w:rPr>
          <w:rFonts w:cstheme="minorHAnsi"/>
        </w:rPr>
        <w:t>only be</w:t>
      </w:r>
      <w:r w:rsidR="007B7A85">
        <w:rPr>
          <w:rFonts w:cstheme="minorHAnsi"/>
        </w:rPr>
        <w:t xml:space="preserve"> considered as</w:t>
      </w:r>
      <w:r>
        <w:rPr>
          <w:rFonts w:cstheme="minorHAnsi"/>
        </w:rPr>
        <w:t xml:space="preserve"> a capacity resource option starting after </w:t>
      </w:r>
      <w:r w:rsidR="00A84876">
        <w:rPr>
          <w:rFonts w:cstheme="minorHAnsi"/>
        </w:rPr>
        <w:t xml:space="preserve">the </w:t>
      </w:r>
      <w:r>
        <w:rPr>
          <w:rFonts w:cstheme="minorHAnsi"/>
        </w:rPr>
        <w:t>summer of 202</w:t>
      </w:r>
      <w:r w:rsidR="000F7D83">
        <w:rPr>
          <w:rFonts w:cstheme="minorHAnsi"/>
        </w:rPr>
        <w:t>9</w:t>
      </w:r>
      <w:r>
        <w:rPr>
          <w:rFonts w:cstheme="minorHAnsi"/>
        </w:rPr>
        <w:t xml:space="preserve">. </w:t>
      </w:r>
      <w:r w:rsidR="00E46AC5">
        <w:rPr>
          <w:rFonts w:cstheme="minorHAnsi"/>
        </w:rPr>
        <w:t xml:space="preserve">Due to </w:t>
      </w:r>
      <w:r w:rsidR="000F623D">
        <w:rPr>
          <w:rFonts w:cstheme="minorHAnsi"/>
        </w:rPr>
        <w:t>these limitations</w:t>
      </w:r>
      <w:r w:rsidR="00E46AC5">
        <w:rPr>
          <w:rFonts w:cstheme="minorHAnsi"/>
        </w:rPr>
        <w:t xml:space="preserve">, </w:t>
      </w:r>
      <w:r w:rsidR="00A84876">
        <w:rPr>
          <w:rFonts w:cstheme="minorHAnsi"/>
        </w:rPr>
        <w:t xml:space="preserve">a potential </w:t>
      </w:r>
      <w:r>
        <w:rPr>
          <w:rFonts w:cstheme="minorHAnsi"/>
        </w:rPr>
        <w:t xml:space="preserve">Lindsay Hill </w:t>
      </w:r>
      <w:r w:rsidR="00A84876">
        <w:rPr>
          <w:rFonts w:cstheme="minorHAnsi"/>
        </w:rPr>
        <w:t xml:space="preserve">PPA </w:t>
      </w:r>
      <w:r>
        <w:rPr>
          <w:rFonts w:cstheme="minorHAnsi"/>
        </w:rPr>
        <w:t xml:space="preserve">was not considered </w:t>
      </w:r>
      <w:r w:rsidR="00A84876">
        <w:rPr>
          <w:rFonts w:cstheme="minorHAnsi"/>
        </w:rPr>
        <w:t xml:space="preserve">as </w:t>
      </w:r>
      <w:r>
        <w:rPr>
          <w:rFonts w:cstheme="minorHAnsi"/>
        </w:rPr>
        <w:t xml:space="preserve">a viable resource option for the </w:t>
      </w:r>
      <w:r w:rsidR="00404B7B">
        <w:rPr>
          <w:rFonts w:cstheme="minorHAnsi"/>
        </w:rPr>
        <w:t>accelerated capacity needs in the 2023 IRP Update</w:t>
      </w:r>
      <w:r w:rsidR="003A7DA6">
        <w:rPr>
          <w:rFonts w:cstheme="minorHAnsi"/>
        </w:rPr>
        <w:t>.</w:t>
      </w:r>
    </w:p>
    <w:p w14:paraId="5CDF3E17" w14:textId="62FC42DA" w:rsidR="006F059D" w:rsidRPr="006F059D" w:rsidRDefault="008D4E18" w:rsidP="00CF5B6A">
      <w:pPr>
        <w:jc w:val="both"/>
      </w:pPr>
      <w:r>
        <w:t xml:space="preserve">After the </w:t>
      </w:r>
      <w:r w:rsidR="002A41AC">
        <w:t>generation resource portfolio was determined from Scenarios A1 and A2</w:t>
      </w:r>
      <w:r w:rsidR="00B5098F" w:rsidRPr="1BAC4F50">
        <w:t xml:space="preserve">, </w:t>
      </w:r>
      <w:r w:rsidR="00404B7B">
        <w:t xml:space="preserve">approximately </w:t>
      </w:r>
      <w:r w:rsidR="0013354D">
        <w:t>1</w:t>
      </w:r>
      <w:r w:rsidR="00BE505C">
        <w:t>,</w:t>
      </w:r>
      <w:r w:rsidR="0013354D">
        <w:t>350</w:t>
      </w:r>
      <w:r w:rsidR="00C20664">
        <w:t xml:space="preserve"> </w:t>
      </w:r>
      <w:r w:rsidR="0013354D">
        <w:t>MW of combu</w:t>
      </w:r>
      <w:r w:rsidR="003F1219">
        <w:t xml:space="preserve">stion turbines </w:t>
      </w:r>
      <w:r w:rsidR="00404B7B">
        <w:t xml:space="preserve">proposed </w:t>
      </w:r>
      <w:r w:rsidR="003F1219">
        <w:t xml:space="preserve">at </w:t>
      </w:r>
      <w:r w:rsidR="00404B7B">
        <w:t xml:space="preserve">Plant </w:t>
      </w:r>
      <w:r w:rsidR="00B5098F" w:rsidRPr="1BAC4F50">
        <w:t xml:space="preserve">Yates </w:t>
      </w:r>
      <w:r w:rsidR="003F1219">
        <w:t>(</w:t>
      </w:r>
      <w:r w:rsidR="00841249">
        <w:t>Scenario B</w:t>
      </w:r>
      <w:r w:rsidR="003F1219">
        <w:t xml:space="preserve">) </w:t>
      </w:r>
      <w:r w:rsidR="00404B7B">
        <w:t xml:space="preserve">were </w:t>
      </w:r>
      <w:r w:rsidR="00340AA6" w:rsidRPr="1BAC4F50">
        <w:t xml:space="preserve">screened </w:t>
      </w:r>
      <w:r w:rsidR="00B5098F" w:rsidRPr="1BAC4F50">
        <w:t xml:space="preserve">with </w:t>
      </w:r>
      <w:r w:rsidR="00C20664">
        <w:t xml:space="preserve">commercial operation dates </w:t>
      </w:r>
      <w:r w:rsidR="00B5098F" w:rsidRPr="1BAC4F50">
        <w:t xml:space="preserve">of 11/2026 </w:t>
      </w:r>
      <w:r w:rsidR="00404B7B">
        <w:t>(</w:t>
      </w:r>
      <w:r w:rsidR="00B5098F" w:rsidRPr="1BAC4F50">
        <w:t>2 units</w:t>
      </w:r>
      <w:r w:rsidR="00404B7B">
        <w:t>)</w:t>
      </w:r>
      <w:r w:rsidR="00B5098F" w:rsidRPr="1BAC4F50">
        <w:t xml:space="preserve"> and 2/2027 </w:t>
      </w:r>
      <w:r w:rsidR="00404B7B">
        <w:t>(</w:t>
      </w:r>
      <w:r w:rsidR="00B5098F" w:rsidRPr="1BAC4F50">
        <w:t>1 unit</w:t>
      </w:r>
      <w:r w:rsidR="00404B7B">
        <w:t>)</w:t>
      </w:r>
      <w:r w:rsidR="00B5098F" w:rsidRPr="1BAC4F50">
        <w:t xml:space="preserve">, respectively. </w:t>
      </w:r>
      <w:r w:rsidR="00101F6E" w:rsidRPr="1BAC4F50">
        <w:t xml:space="preserve">Transmission </w:t>
      </w:r>
      <w:r w:rsidR="00EF1D04" w:rsidRPr="1BAC4F50">
        <w:t xml:space="preserve">screens </w:t>
      </w:r>
      <w:r w:rsidR="00101F6E" w:rsidRPr="1BAC4F50">
        <w:t xml:space="preserve">revealed that </w:t>
      </w:r>
      <w:r w:rsidR="00101F6E" w:rsidRPr="1BAC4F50">
        <w:lastRenderedPageBreak/>
        <w:t>approximately $</w:t>
      </w:r>
      <w:r w:rsidR="00404B7B">
        <w:t>80</w:t>
      </w:r>
      <w:r w:rsidR="00101F6E" w:rsidRPr="1BAC4F50">
        <w:t xml:space="preserve"> </w:t>
      </w:r>
      <w:r w:rsidR="00404B7B">
        <w:t>million</w:t>
      </w:r>
      <w:r w:rsidR="00101F6E" w:rsidRPr="1BAC4F50">
        <w:t xml:space="preserve"> in additional </w:t>
      </w:r>
      <w:r w:rsidR="00C30B5B">
        <w:t>trans</w:t>
      </w:r>
      <w:r w:rsidR="008F17A9">
        <w:t xml:space="preserve">mission </w:t>
      </w:r>
      <w:r w:rsidR="00101F6E" w:rsidRPr="1BAC4F50">
        <w:t xml:space="preserve">projects are required </w:t>
      </w:r>
      <w:r w:rsidR="006978E5" w:rsidRPr="1BAC4F50">
        <w:t>to</w:t>
      </w:r>
      <w:r w:rsidR="00101F6E" w:rsidRPr="1BAC4F50">
        <w:t xml:space="preserve"> accommodate the full output of the facility.</w:t>
      </w:r>
      <w:r w:rsidR="009E7344">
        <w:t xml:space="preserve"> </w:t>
      </w:r>
      <w:r w:rsidR="006F059D" w:rsidRPr="006F059D">
        <w:t xml:space="preserve">Based on the required transmission </w:t>
      </w:r>
      <w:r w:rsidR="008F17A9">
        <w:t>projects</w:t>
      </w:r>
      <w:r w:rsidR="006F059D" w:rsidRPr="006F059D">
        <w:t xml:space="preserve">, the </w:t>
      </w:r>
      <w:r w:rsidR="009D43C7">
        <w:t xml:space="preserve">Company will plan to limit the </w:t>
      </w:r>
      <w:r w:rsidR="00404B7B">
        <w:t xml:space="preserve">proposed Plant </w:t>
      </w:r>
      <w:r w:rsidR="006F059D" w:rsidRPr="006F059D">
        <w:t>Yates CT</w:t>
      </w:r>
      <w:r w:rsidR="008F17A9">
        <w:t>s</w:t>
      </w:r>
      <w:r w:rsidR="006F059D" w:rsidRPr="006F059D">
        <w:t xml:space="preserve"> to 600</w:t>
      </w:r>
      <w:r w:rsidR="00C20664">
        <w:t xml:space="preserve"> </w:t>
      </w:r>
      <w:r w:rsidR="006F059D" w:rsidRPr="006F059D">
        <w:t xml:space="preserve">MW of </w:t>
      </w:r>
      <w:r w:rsidR="00841249">
        <w:t xml:space="preserve">firm </w:t>
      </w:r>
      <w:r w:rsidR="006F059D" w:rsidRPr="006F059D">
        <w:t xml:space="preserve">output in both summer and winter </w:t>
      </w:r>
      <w:r w:rsidR="009D43C7">
        <w:t xml:space="preserve">peak periods </w:t>
      </w:r>
      <w:r w:rsidR="006F059D" w:rsidRPr="006F059D">
        <w:t>until all improvements are in</w:t>
      </w:r>
      <w:r w:rsidR="00FF1D4D">
        <w:t xml:space="preserve"> </w:t>
      </w:r>
      <w:r w:rsidR="006F059D" w:rsidRPr="006F059D">
        <w:t xml:space="preserve">service </w:t>
      </w:r>
      <w:r w:rsidR="007D2A7A">
        <w:t>by the</w:t>
      </w:r>
      <w:r w:rsidR="006F059D" w:rsidRPr="006F059D">
        <w:t xml:space="preserve"> summer </w:t>
      </w:r>
      <w:r w:rsidR="007D2A7A">
        <w:t xml:space="preserve">of </w:t>
      </w:r>
      <w:r w:rsidR="006F059D" w:rsidRPr="006F059D">
        <w:t>2028.</w:t>
      </w:r>
      <w:r w:rsidR="00FA2527">
        <w:t xml:space="preserve"> This information is reflected in the Economic Analysis of Capacity Resources in the Technical Appendix.</w:t>
      </w:r>
    </w:p>
    <w:p w14:paraId="05859427" w14:textId="62B7BBAE" w:rsidR="00F357AE" w:rsidRDefault="43632E5C" w:rsidP="00CF5B6A">
      <w:pPr>
        <w:jc w:val="both"/>
      </w:pPr>
      <w:r>
        <w:t xml:space="preserve">In addition to the </w:t>
      </w:r>
      <w:r w:rsidR="007D2A7A">
        <w:t xml:space="preserve">proposed Plant </w:t>
      </w:r>
      <w:r>
        <w:t xml:space="preserve">Yates CTs, </w:t>
      </w:r>
      <w:r w:rsidR="00C3381A">
        <w:t xml:space="preserve">the Company screened </w:t>
      </w:r>
      <w:r>
        <w:t xml:space="preserve">415 MW of solar with 200 MW of </w:t>
      </w:r>
      <w:r w:rsidR="007D2A7A">
        <w:t>alternating current</w:t>
      </w:r>
      <w:r>
        <w:t xml:space="preserve">-coupled </w:t>
      </w:r>
      <w:r w:rsidR="007D2A7A">
        <w:t xml:space="preserve">BESS </w:t>
      </w:r>
      <w:r w:rsidR="000D784A">
        <w:t>(Scenario C)</w:t>
      </w:r>
      <w:r>
        <w:t xml:space="preserve">. </w:t>
      </w:r>
      <w:r w:rsidR="007D2A7A">
        <w:t xml:space="preserve">This proposed project would </w:t>
      </w:r>
      <w:r w:rsidR="00147E64">
        <w:t xml:space="preserve">initially charge solely from solar and eventually transition to a hybrid-charge strategy with ability to charge from the transmission grid. </w:t>
      </w:r>
      <w:r>
        <w:t xml:space="preserve">Transmission </w:t>
      </w:r>
      <w:r w:rsidR="1A8F394A">
        <w:t xml:space="preserve">screens </w:t>
      </w:r>
      <w:r>
        <w:t xml:space="preserve">did not identify any attributable transmission projects needed to accommodate the facility’s full output. However, prior-planned projects in the area that are also needed to enable the output are not scheduled to be completed until May of 2029 and cannot be advanced. Therefore, </w:t>
      </w:r>
      <w:r w:rsidR="00AF286A">
        <w:t xml:space="preserve">the BESS </w:t>
      </w:r>
      <w:r w:rsidR="00A9444B">
        <w:t>co</w:t>
      </w:r>
      <w:r w:rsidR="00280B81">
        <w:t>-</w:t>
      </w:r>
      <w:r w:rsidR="00A9444B">
        <w:t>located with new</w:t>
      </w:r>
      <w:r w:rsidR="00AF286A">
        <w:t xml:space="preserve"> solar project would </w:t>
      </w:r>
      <w:r>
        <w:t>be limited to 200</w:t>
      </w:r>
      <w:r w:rsidR="00C3381A">
        <w:t xml:space="preserve"> </w:t>
      </w:r>
      <w:r>
        <w:t>MW</w:t>
      </w:r>
      <w:r w:rsidR="00B30D6A">
        <w:t xml:space="preserve"> of firm output </w:t>
      </w:r>
      <w:r>
        <w:t xml:space="preserve">in both summer and winter until summer of 2029. </w:t>
      </w:r>
      <w:r w:rsidR="00776BAD">
        <w:t xml:space="preserve">The Company </w:t>
      </w:r>
      <w:r w:rsidR="003E5401">
        <w:t xml:space="preserve">is proposing 200 MW of BESS </w:t>
      </w:r>
      <w:r w:rsidR="00A9444B">
        <w:t>co</w:t>
      </w:r>
      <w:r w:rsidR="00571D11">
        <w:t>-</w:t>
      </w:r>
      <w:r w:rsidR="00A9444B">
        <w:t xml:space="preserve">located with </w:t>
      </w:r>
      <w:r w:rsidR="003E5401">
        <w:t xml:space="preserve">200 MW of </w:t>
      </w:r>
      <w:r w:rsidR="00A9444B">
        <w:t xml:space="preserve">new </w:t>
      </w:r>
      <w:r w:rsidR="003E5401">
        <w:t xml:space="preserve">solar as further described in the </w:t>
      </w:r>
      <w:r w:rsidR="004D4908">
        <w:t>Technical Appendix.</w:t>
      </w:r>
    </w:p>
    <w:p w14:paraId="17474EC2" w14:textId="6118285A" w:rsidR="00A2513A" w:rsidRDefault="00A2513A" w:rsidP="00CF5B6A">
      <w:pPr>
        <w:jc w:val="both"/>
        <w:rPr>
          <w:rFonts w:cstheme="minorHAnsi"/>
        </w:rPr>
      </w:pPr>
      <w:r>
        <w:rPr>
          <w:rFonts w:cstheme="minorHAnsi"/>
        </w:rPr>
        <w:t xml:space="preserve">All transmission </w:t>
      </w:r>
      <w:r w:rsidR="00272E96">
        <w:rPr>
          <w:rFonts w:cstheme="minorHAnsi"/>
        </w:rPr>
        <w:t xml:space="preserve">screen files </w:t>
      </w:r>
      <w:r w:rsidR="000B151C">
        <w:rPr>
          <w:rFonts w:cstheme="minorHAnsi"/>
        </w:rPr>
        <w:t>supporting the analys</w:t>
      </w:r>
      <w:r w:rsidR="001C13DB">
        <w:rPr>
          <w:rFonts w:cstheme="minorHAnsi"/>
        </w:rPr>
        <w:t>is</w:t>
      </w:r>
      <w:r w:rsidR="000B151C">
        <w:rPr>
          <w:rFonts w:cstheme="minorHAnsi"/>
        </w:rPr>
        <w:t xml:space="preserve"> in</w:t>
      </w:r>
      <w:r w:rsidR="00304E83">
        <w:rPr>
          <w:rFonts w:cstheme="minorHAnsi"/>
        </w:rPr>
        <w:t xml:space="preserve"> this</w:t>
      </w:r>
      <w:r w:rsidR="000B151C">
        <w:rPr>
          <w:rFonts w:cstheme="minorHAnsi"/>
        </w:rPr>
        <w:t xml:space="preserve"> Technical</w:t>
      </w:r>
      <w:r w:rsidR="00304E83">
        <w:rPr>
          <w:rFonts w:cstheme="minorHAnsi"/>
        </w:rPr>
        <w:t xml:space="preserve"> Appendix </w:t>
      </w:r>
      <w:r w:rsidR="00691A74">
        <w:rPr>
          <w:rFonts w:cstheme="minorHAnsi"/>
        </w:rPr>
        <w:t xml:space="preserve">are </w:t>
      </w:r>
      <w:r w:rsidR="00FF7B23">
        <w:rPr>
          <w:rFonts w:cstheme="minorHAnsi"/>
        </w:rPr>
        <w:t>provided</w:t>
      </w:r>
      <w:r w:rsidR="000D1CF0">
        <w:rPr>
          <w:rFonts w:cstheme="minorHAnsi"/>
        </w:rPr>
        <w:t xml:space="preserve"> as TRADE SECRET </w:t>
      </w:r>
      <w:r w:rsidR="004A459A">
        <w:rPr>
          <w:rFonts w:cstheme="minorHAnsi"/>
        </w:rPr>
        <w:t xml:space="preserve">workpapers </w:t>
      </w:r>
      <w:r w:rsidR="00D67DCE">
        <w:rPr>
          <w:rFonts w:cstheme="minorHAnsi"/>
        </w:rPr>
        <w:t xml:space="preserve">and </w:t>
      </w:r>
      <w:r w:rsidR="0061711B">
        <w:rPr>
          <w:rFonts w:cstheme="minorHAnsi"/>
        </w:rPr>
        <w:t xml:space="preserve">are </w:t>
      </w:r>
      <w:r w:rsidR="00D67DCE">
        <w:rPr>
          <w:rFonts w:cstheme="minorHAnsi"/>
        </w:rPr>
        <w:t>redacted in their entirety for PUBLIC DISCLOSURE</w:t>
      </w:r>
      <w:r w:rsidR="000B151C">
        <w:rPr>
          <w:rFonts w:cstheme="minorHAnsi"/>
        </w:rPr>
        <w:t xml:space="preserve"> purposes</w:t>
      </w:r>
      <w:r w:rsidR="00212B7E">
        <w:rPr>
          <w:rFonts w:cstheme="minorHAnsi"/>
        </w:rPr>
        <w:t>.</w:t>
      </w:r>
    </w:p>
    <w:p w14:paraId="7A620F4A" w14:textId="59B0BA22" w:rsidR="00E6147B" w:rsidRPr="00A701A6" w:rsidRDefault="00A65652" w:rsidP="00CF5B6A">
      <w:pPr>
        <w:jc w:val="both"/>
        <w:rPr>
          <w:rFonts w:cstheme="minorHAnsi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Additional transmission studies in support of the proposed </w:t>
      </w:r>
      <w:r w:rsidR="00611646">
        <w:rPr>
          <w:rStyle w:val="normaltextrun"/>
          <w:rFonts w:ascii="Calibri" w:hAnsi="Calibri" w:cs="Calibri"/>
          <w:color w:val="000000"/>
          <w:shd w:val="clear" w:color="auto" w:fill="FFFFFF"/>
        </w:rPr>
        <w:t>generation resources</w:t>
      </w:r>
      <w:r w:rsidR="00860E73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and </w:t>
      </w:r>
      <w:r w:rsidR="00611646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the </w:t>
      </w:r>
      <w:r w:rsidR="00860E73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2023 IRP Update </w:t>
      </w:r>
      <w:r w:rsidR="00611646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Load and Energy </w:t>
      </w:r>
      <w:r w:rsidR="00C11EB2">
        <w:rPr>
          <w:rStyle w:val="normaltextrun"/>
          <w:rFonts w:ascii="Calibri" w:hAnsi="Calibri" w:cs="Calibri"/>
          <w:color w:val="000000"/>
          <w:shd w:val="clear" w:color="auto" w:fill="FFFFFF"/>
        </w:rPr>
        <w:t>forecast are underway</w:t>
      </w:r>
      <w:r w:rsidR="0077771C">
        <w:rPr>
          <w:rStyle w:val="normaltextrun"/>
          <w:rFonts w:ascii="Calibri" w:hAnsi="Calibri" w:cs="Calibri"/>
          <w:color w:val="000000"/>
          <w:shd w:val="clear" w:color="auto" w:fill="FFFFFF"/>
        </w:rPr>
        <w:t>.</w:t>
      </w:r>
      <w:r w:rsidR="009E7344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</w:t>
      </w:r>
      <w:r w:rsidR="0077771C">
        <w:rPr>
          <w:rStyle w:val="normaltextrun"/>
          <w:rFonts w:ascii="Calibri" w:hAnsi="Calibri" w:cs="Calibri"/>
          <w:color w:val="000000"/>
          <w:shd w:val="clear" w:color="auto" w:fill="FFFFFF"/>
        </w:rPr>
        <w:t>Analyses</w:t>
      </w:r>
      <w:r w:rsidR="00C11EB2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are </w:t>
      </w:r>
      <w:r w:rsidR="000B151C">
        <w:rPr>
          <w:rStyle w:val="normaltextrun"/>
          <w:rFonts w:ascii="Calibri" w:hAnsi="Calibri" w:cs="Calibri"/>
          <w:color w:val="000000"/>
          <w:shd w:val="clear" w:color="auto" w:fill="FFFFFF"/>
        </w:rPr>
        <w:t>expected to be completed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in January 2024 and will be filed by the Company as a supplement to this 2023 IRP Update.</w:t>
      </w:r>
    </w:p>
    <w:sectPr w:rsidR="00E6147B" w:rsidRPr="00A701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1DAF2" w14:textId="77777777" w:rsidR="007E2941" w:rsidRDefault="007E2941" w:rsidP="0069043D">
      <w:pPr>
        <w:spacing w:after="0" w:line="240" w:lineRule="auto"/>
      </w:pPr>
      <w:r>
        <w:separator/>
      </w:r>
    </w:p>
  </w:endnote>
  <w:endnote w:type="continuationSeparator" w:id="0">
    <w:p w14:paraId="5D65BB94" w14:textId="77777777" w:rsidR="007E2941" w:rsidRDefault="007E2941" w:rsidP="0069043D">
      <w:pPr>
        <w:spacing w:after="0" w:line="240" w:lineRule="auto"/>
      </w:pPr>
      <w:r>
        <w:continuationSeparator/>
      </w:r>
    </w:p>
  </w:endnote>
  <w:endnote w:type="continuationNotice" w:id="1">
    <w:p w14:paraId="1E550FCD" w14:textId="77777777" w:rsidR="007E2941" w:rsidRDefault="007E29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98E5F" w14:textId="77777777" w:rsidR="00695E2D" w:rsidRDefault="00695E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17760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9260DE" w14:textId="27F2CCEF" w:rsidR="000C556A" w:rsidRDefault="000C556A" w:rsidP="000C556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1C60E" w14:textId="77777777" w:rsidR="00695E2D" w:rsidRDefault="00695E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9201E" w14:textId="77777777" w:rsidR="007E2941" w:rsidRDefault="007E2941" w:rsidP="0069043D">
      <w:pPr>
        <w:spacing w:after="0" w:line="240" w:lineRule="auto"/>
      </w:pPr>
      <w:r>
        <w:separator/>
      </w:r>
    </w:p>
  </w:footnote>
  <w:footnote w:type="continuationSeparator" w:id="0">
    <w:p w14:paraId="122482B0" w14:textId="77777777" w:rsidR="007E2941" w:rsidRDefault="007E2941" w:rsidP="0069043D">
      <w:pPr>
        <w:spacing w:after="0" w:line="240" w:lineRule="auto"/>
      </w:pPr>
      <w:r>
        <w:continuationSeparator/>
      </w:r>
    </w:p>
  </w:footnote>
  <w:footnote w:type="continuationNotice" w:id="1">
    <w:p w14:paraId="783750FC" w14:textId="77777777" w:rsidR="007E2941" w:rsidRDefault="007E2941">
      <w:pPr>
        <w:spacing w:after="0" w:line="240" w:lineRule="auto"/>
      </w:pPr>
    </w:p>
  </w:footnote>
  <w:footnote w:id="2">
    <w:p w14:paraId="10D3E9E6" w14:textId="7A351DDC" w:rsidR="007C2E23" w:rsidRDefault="007C2E2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284D43">
        <w:t xml:space="preserve">The </w:t>
      </w:r>
      <w:r w:rsidR="00284D43" w:rsidRPr="21209075">
        <w:t xml:space="preserve">Santa Rosa PPA begins in 2024. The </w:t>
      </w:r>
      <w:r w:rsidR="00284D43">
        <w:t>screen</w:t>
      </w:r>
      <w:r w:rsidR="00284D43" w:rsidRPr="21209075">
        <w:t xml:space="preserve"> has been revised and no transmission constraints were identified.</w:t>
      </w:r>
    </w:p>
  </w:footnote>
  <w:footnote w:id="3">
    <w:p w14:paraId="35044FFF" w14:textId="530D8EBC" w:rsidR="00284D43" w:rsidRDefault="00284D4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2D2EA2" w:rsidRPr="21209075">
        <w:t xml:space="preserve">No transmission screens were required for </w:t>
      </w:r>
      <w:r w:rsidR="00D318FD">
        <w:t xml:space="preserve">the proposed 178 MW of BESS at Robins and </w:t>
      </w:r>
      <w:r w:rsidR="002D2EA2" w:rsidRPr="21209075">
        <w:t xml:space="preserve">Moody </w:t>
      </w:r>
      <w:r w:rsidR="00D318FD">
        <w:t xml:space="preserve">Air Force Bases, </w:t>
      </w:r>
      <w:r w:rsidR="002D2EA2" w:rsidRPr="21209075">
        <w:t xml:space="preserve">since the </w:t>
      </w:r>
      <w:r w:rsidR="00D318FD">
        <w:t xml:space="preserve">BESS </w:t>
      </w:r>
      <w:r w:rsidR="002D2EA2" w:rsidRPr="21209075">
        <w:t xml:space="preserve">will initially charge from the </w:t>
      </w:r>
      <w:r w:rsidR="00D318FD">
        <w:t xml:space="preserve">existing </w:t>
      </w:r>
      <w:r w:rsidR="002D2EA2" w:rsidRPr="21209075">
        <w:t xml:space="preserve">solar </w:t>
      </w:r>
      <w:r w:rsidR="00D318FD">
        <w:t xml:space="preserve">facilities at each site, </w:t>
      </w:r>
      <w:r w:rsidR="002D2EA2" w:rsidRPr="21209075">
        <w:t>and the output of the facilities has previously been studied and designated.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8E7EC" w14:textId="77777777" w:rsidR="00695E2D" w:rsidRDefault="00695E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F2CFA" w14:textId="77777777" w:rsidR="00695E2D" w:rsidRDefault="00695E2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99DD9" w14:textId="77777777" w:rsidR="00695E2D" w:rsidRDefault="00695E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56DCC"/>
    <w:multiLevelType w:val="hybridMultilevel"/>
    <w:tmpl w:val="F294D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A73C7"/>
    <w:multiLevelType w:val="hybridMultilevel"/>
    <w:tmpl w:val="F168B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980F1B"/>
    <w:multiLevelType w:val="hybridMultilevel"/>
    <w:tmpl w:val="75B03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D8319D"/>
    <w:multiLevelType w:val="hybridMultilevel"/>
    <w:tmpl w:val="2D403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460EA2"/>
    <w:multiLevelType w:val="hybridMultilevel"/>
    <w:tmpl w:val="1ED2C8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17794856">
    <w:abstractNumId w:val="1"/>
  </w:num>
  <w:num w:numId="2" w16cid:durableId="719716528">
    <w:abstractNumId w:val="0"/>
  </w:num>
  <w:num w:numId="3" w16cid:durableId="1526796326">
    <w:abstractNumId w:val="2"/>
  </w:num>
  <w:num w:numId="4" w16cid:durableId="805464293">
    <w:abstractNumId w:val="4"/>
  </w:num>
  <w:num w:numId="5" w16cid:durableId="8149552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43D"/>
    <w:rsid w:val="00021FCE"/>
    <w:rsid w:val="00042210"/>
    <w:rsid w:val="00081C63"/>
    <w:rsid w:val="000A1CE5"/>
    <w:rsid w:val="000B151C"/>
    <w:rsid w:val="000B1A02"/>
    <w:rsid w:val="000C556A"/>
    <w:rsid w:val="000D1CF0"/>
    <w:rsid w:val="000D27D0"/>
    <w:rsid w:val="000D784A"/>
    <w:rsid w:val="000E2194"/>
    <w:rsid w:val="000F3061"/>
    <w:rsid w:val="000F623D"/>
    <w:rsid w:val="000F7D83"/>
    <w:rsid w:val="00101F6E"/>
    <w:rsid w:val="001322F8"/>
    <w:rsid w:val="0013354D"/>
    <w:rsid w:val="00147E64"/>
    <w:rsid w:val="00151B30"/>
    <w:rsid w:val="0015283F"/>
    <w:rsid w:val="001667A8"/>
    <w:rsid w:val="00192C16"/>
    <w:rsid w:val="00193C6F"/>
    <w:rsid w:val="001959BD"/>
    <w:rsid w:val="001C0555"/>
    <w:rsid w:val="001C13DB"/>
    <w:rsid w:val="001D2FB9"/>
    <w:rsid w:val="001E56C6"/>
    <w:rsid w:val="001E5A47"/>
    <w:rsid w:val="001E6E7F"/>
    <w:rsid w:val="001F5353"/>
    <w:rsid w:val="001F7271"/>
    <w:rsid w:val="00206DA0"/>
    <w:rsid w:val="00212B7E"/>
    <w:rsid w:val="00212F35"/>
    <w:rsid w:val="00212FA7"/>
    <w:rsid w:val="00216A61"/>
    <w:rsid w:val="00217D3B"/>
    <w:rsid w:val="00272E96"/>
    <w:rsid w:val="00273C3F"/>
    <w:rsid w:val="0027653E"/>
    <w:rsid w:val="00280B81"/>
    <w:rsid w:val="00284D43"/>
    <w:rsid w:val="002900AB"/>
    <w:rsid w:val="002950BE"/>
    <w:rsid w:val="00295993"/>
    <w:rsid w:val="00297CA9"/>
    <w:rsid w:val="002A41AC"/>
    <w:rsid w:val="002A5C10"/>
    <w:rsid w:val="002A6981"/>
    <w:rsid w:val="002D2EA2"/>
    <w:rsid w:val="002F126D"/>
    <w:rsid w:val="00304E83"/>
    <w:rsid w:val="003077C7"/>
    <w:rsid w:val="00323162"/>
    <w:rsid w:val="00331F93"/>
    <w:rsid w:val="00340AA6"/>
    <w:rsid w:val="00344889"/>
    <w:rsid w:val="00373EBB"/>
    <w:rsid w:val="003A7DA6"/>
    <w:rsid w:val="003B1F29"/>
    <w:rsid w:val="003B6381"/>
    <w:rsid w:val="003E0F2A"/>
    <w:rsid w:val="003E5401"/>
    <w:rsid w:val="003E57A2"/>
    <w:rsid w:val="003F1219"/>
    <w:rsid w:val="003F2A01"/>
    <w:rsid w:val="00404B7B"/>
    <w:rsid w:val="004229AB"/>
    <w:rsid w:val="00455983"/>
    <w:rsid w:val="004671BE"/>
    <w:rsid w:val="00483E95"/>
    <w:rsid w:val="004967CA"/>
    <w:rsid w:val="004A457E"/>
    <w:rsid w:val="004A459A"/>
    <w:rsid w:val="004B671E"/>
    <w:rsid w:val="004D4908"/>
    <w:rsid w:val="004F0926"/>
    <w:rsid w:val="004F5FD2"/>
    <w:rsid w:val="005058B6"/>
    <w:rsid w:val="0051290B"/>
    <w:rsid w:val="00514D23"/>
    <w:rsid w:val="00571D11"/>
    <w:rsid w:val="0058551E"/>
    <w:rsid w:val="005971A8"/>
    <w:rsid w:val="005C6955"/>
    <w:rsid w:val="005D1DF1"/>
    <w:rsid w:val="005D7235"/>
    <w:rsid w:val="005E26F2"/>
    <w:rsid w:val="005F1C36"/>
    <w:rsid w:val="005F68EC"/>
    <w:rsid w:val="006054A7"/>
    <w:rsid w:val="00611646"/>
    <w:rsid w:val="0061711B"/>
    <w:rsid w:val="006235D5"/>
    <w:rsid w:val="0062390F"/>
    <w:rsid w:val="00652156"/>
    <w:rsid w:val="00655A92"/>
    <w:rsid w:val="006607C8"/>
    <w:rsid w:val="00667D79"/>
    <w:rsid w:val="00673F56"/>
    <w:rsid w:val="0069043D"/>
    <w:rsid w:val="00691A74"/>
    <w:rsid w:val="00695E2D"/>
    <w:rsid w:val="00695E7C"/>
    <w:rsid w:val="0069778F"/>
    <w:rsid w:val="006978E5"/>
    <w:rsid w:val="006A279B"/>
    <w:rsid w:val="006D5F5C"/>
    <w:rsid w:val="006E46CF"/>
    <w:rsid w:val="006E70C9"/>
    <w:rsid w:val="006F059D"/>
    <w:rsid w:val="007321D3"/>
    <w:rsid w:val="00750B70"/>
    <w:rsid w:val="00760A4B"/>
    <w:rsid w:val="00763E86"/>
    <w:rsid w:val="0077100C"/>
    <w:rsid w:val="00774E95"/>
    <w:rsid w:val="00776BAD"/>
    <w:rsid w:val="0077771C"/>
    <w:rsid w:val="00787A08"/>
    <w:rsid w:val="007B7A85"/>
    <w:rsid w:val="007C2E23"/>
    <w:rsid w:val="007D2A7A"/>
    <w:rsid w:val="007D7CFB"/>
    <w:rsid w:val="007E2941"/>
    <w:rsid w:val="007E484E"/>
    <w:rsid w:val="007F22CC"/>
    <w:rsid w:val="007F35F8"/>
    <w:rsid w:val="007F3F1B"/>
    <w:rsid w:val="00814B4F"/>
    <w:rsid w:val="008205BB"/>
    <w:rsid w:val="0083153B"/>
    <w:rsid w:val="0083278B"/>
    <w:rsid w:val="00841249"/>
    <w:rsid w:val="00856806"/>
    <w:rsid w:val="00860E73"/>
    <w:rsid w:val="00874B78"/>
    <w:rsid w:val="00875467"/>
    <w:rsid w:val="008755DB"/>
    <w:rsid w:val="0089419F"/>
    <w:rsid w:val="008979F8"/>
    <w:rsid w:val="008A33B4"/>
    <w:rsid w:val="008B07CC"/>
    <w:rsid w:val="008C276C"/>
    <w:rsid w:val="008D4E18"/>
    <w:rsid w:val="008F17A9"/>
    <w:rsid w:val="00904E97"/>
    <w:rsid w:val="00905E7D"/>
    <w:rsid w:val="009225D3"/>
    <w:rsid w:val="009226A4"/>
    <w:rsid w:val="009256B0"/>
    <w:rsid w:val="009519C8"/>
    <w:rsid w:val="00965D40"/>
    <w:rsid w:val="0097345B"/>
    <w:rsid w:val="00995FAE"/>
    <w:rsid w:val="009A14D3"/>
    <w:rsid w:val="009A1C6F"/>
    <w:rsid w:val="009C0D31"/>
    <w:rsid w:val="009D43C7"/>
    <w:rsid w:val="009E458D"/>
    <w:rsid w:val="009E7344"/>
    <w:rsid w:val="009F2EAC"/>
    <w:rsid w:val="00A125AF"/>
    <w:rsid w:val="00A2513A"/>
    <w:rsid w:val="00A263B8"/>
    <w:rsid w:val="00A328F1"/>
    <w:rsid w:val="00A3742E"/>
    <w:rsid w:val="00A6156F"/>
    <w:rsid w:val="00A636AD"/>
    <w:rsid w:val="00A65652"/>
    <w:rsid w:val="00A678EA"/>
    <w:rsid w:val="00A7011D"/>
    <w:rsid w:val="00A701A6"/>
    <w:rsid w:val="00A84876"/>
    <w:rsid w:val="00A902D0"/>
    <w:rsid w:val="00A94402"/>
    <w:rsid w:val="00A9444B"/>
    <w:rsid w:val="00A95B59"/>
    <w:rsid w:val="00AA1B23"/>
    <w:rsid w:val="00AB354A"/>
    <w:rsid w:val="00AC43B7"/>
    <w:rsid w:val="00AC66CC"/>
    <w:rsid w:val="00AD72A4"/>
    <w:rsid w:val="00AE504D"/>
    <w:rsid w:val="00AF18B0"/>
    <w:rsid w:val="00AF286A"/>
    <w:rsid w:val="00B227D1"/>
    <w:rsid w:val="00B2616B"/>
    <w:rsid w:val="00B304E2"/>
    <w:rsid w:val="00B30D6A"/>
    <w:rsid w:val="00B37005"/>
    <w:rsid w:val="00B454FE"/>
    <w:rsid w:val="00B5098F"/>
    <w:rsid w:val="00B73437"/>
    <w:rsid w:val="00B90554"/>
    <w:rsid w:val="00B954E7"/>
    <w:rsid w:val="00B97C17"/>
    <w:rsid w:val="00BB038D"/>
    <w:rsid w:val="00BC2CE5"/>
    <w:rsid w:val="00BE0345"/>
    <w:rsid w:val="00BE0ECE"/>
    <w:rsid w:val="00BE505C"/>
    <w:rsid w:val="00BF57BE"/>
    <w:rsid w:val="00C1139E"/>
    <w:rsid w:val="00C11EB2"/>
    <w:rsid w:val="00C14FD4"/>
    <w:rsid w:val="00C20664"/>
    <w:rsid w:val="00C30B5B"/>
    <w:rsid w:val="00C33545"/>
    <w:rsid w:val="00C3381A"/>
    <w:rsid w:val="00C338C2"/>
    <w:rsid w:val="00C34880"/>
    <w:rsid w:val="00C400AE"/>
    <w:rsid w:val="00C439BA"/>
    <w:rsid w:val="00C47E95"/>
    <w:rsid w:val="00C5465F"/>
    <w:rsid w:val="00C7268E"/>
    <w:rsid w:val="00C85D1B"/>
    <w:rsid w:val="00CA7D31"/>
    <w:rsid w:val="00CC6634"/>
    <w:rsid w:val="00CD140C"/>
    <w:rsid w:val="00CE4546"/>
    <w:rsid w:val="00CF5B6A"/>
    <w:rsid w:val="00D15ECC"/>
    <w:rsid w:val="00D318FD"/>
    <w:rsid w:val="00D35CEC"/>
    <w:rsid w:val="00D40C90"/>
    <w:rsid w:val="00D46192"/>
    <w:rsid w:val="00D60B12"/>
    <w:rsid w:val="00D67DCE"/>
    <w:rsid w:val="00D9175B"/>
    <w:rsid w:val="00D95796"/>
    <w:rsid w:val="00DD22C3"/>
    <w:rsid w:val="00DD6E28"/>
    <w:rsid w:val="00DE1FC9"/>
    <w:rsid w:val="00DE6E04"/>
    <w:rsid w:val="00E055E5"/>
    <w:rsid w:val="00E11750"/>
    <w:rsid w:val="00E46AC5"/>
    <w:rsid w:val="00E46E7A"/>
    <w:rsid w:val="00E6147B"/>
    <w:rsid w:val="00E812A7"/>
    <w:rsid w:val="00E82299"/>
    <w:rsid w:val="00EA0ADA"/>
    <w:rsid w:val="00EB1CE6"/>
    <w:rsid w:val="00EB3FE0"/>
    <w:rsid w:val="00EC5340"/>
    <w:rsid w:val="00EC59D1"/>
    <w:rsid w:val="00EC59FF"/>
    <w:rsid w:val="00EE4432"/>
    <w:rsid w:val="00EE51B0"/>
    <w:rsid w:val="00EF1D04"/>
    <w:rsid w:val="00F266B0"/>
    <w:rsid w:val="00F357AE"/>
    <w:rsid w:val="00F5631A"/>
    <w:rsid w:val="00F57BF3"/>
    <w:rsid w:val="00FA2527"/>
    <w:rsid w:val="00FA6C08"/>
    <w:rsid w:val="00FB711B"/>
    <w:rsid w:val="00FD21C1"/>
    <w:rsid w:val="00FE64B9"/>
    <w:rsid w:val="00FE736F"/>
    <w:rsid w:val="00FF1D4D"/>
    <w:rsid w:val="00FF5CE5"/>
    <w:rsid w:val="00FF6287"/>
    <w:rsid w:val="00FF7B23"/>
    <w:rsid w:val="028E5349"/>
    <w:rsid w:val="036F909D"/>
    <w:rsid w:val="03F04B98"/>
    <w:rsid w:val="0724DB46"/>
    <w:rsid w:val="0D2F2190"/>
    <w:rsid w:val="0D51908D"/>
    <w:rsid w:val="13085606"/>
    <w:rsid w:val="13B87E4B"/>
    <w:rsid w:val="1589D717"/>
    <w:rsid w:val="16C9B33B"/>
    <w:rsid w:val="1A8F394A"/>
    <w:rsid w:val="1B9C283F"/>
    <w:rsid w:val="1BAC4F50"/>
    <w:rsid w:val="1C5905F7"/>
    <w:rsid w:val="1CE3A771"/>
    <w:rsid w:val="2070419B"/>
    <w:rsid w:val="2119E215"/>
    <w:rsid w:val="21209075"/>
    <w:rsid w:val="21F2C137"/>
    <w:rsid w:val="2409EBFC"/>
    <w:rsid w:val="25EB59FF"/>
    <w:rsid w:val="277E4CAA"/>
    <w:rsid w:val="291A1D0B"/>
    <w:rsid w:val="2F76A23C"/>
    <w:rsid w:val="3165EF50"/>
    <w:rsid w:val="3642E36F"/>
    <w:rsid w:val="377B4817"/>
    <w:rsid w:val="3CAF1350"/>
    <w:rsid w:val="3FFCFB52"/>
    <w:rsid w:val="42917792"/>
    <w:rsid w:val="43632E5C"/>
    <w:rsid w:val="44060EE0"/>
    <w:rsid w:val="4651DA35"/>
    <w:rsid w:val="4AC0C229"/>
    <w:rsid w:val="5137FCE8"/>
    <w:rsid w:val="517C609E"/>
    <w:rsid w:val="5286DFA5"/>
    <w:rsid w:val="68DB6463"/>
    <w:rsid w:val="6C74913A"/>
    <w:rsid w:val="70581923"/>
    <w:rsid w:val="7944A38F"/>
    <w:rsid w:val="7A38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B9D43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904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904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04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04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043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9043D"/>
    <w:pPr>
      <w:ind w:left="720"/>
      <w:contextualSpacing/>
    </w:pPr>
  </w:style>
  <w:style w:type="paragraph" w:styleId="Revision">
    <w:name w:val="Revision"/>
    <w:hidden/>
    <w:uiPriority w:val="99"/>
    <w:semiHidden/>
    <w:rsid w:val="008B07CC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0B1A02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A65652"/>
  </w:style>
  <w:style w:type="character" w:customStyle="1" w:styleId="eop">
    <w:name w:val="eop"/>
    <w:basedOn w:val="DefaultParagraphFont"/>
    <w:rsid w:val="00A65652"/>
  </w:style>
  <w:style w:type="table" w:styleId="TableGrid">
    <w:name w:val="Table Grid"/>
    <w:basedOn w:val="TableNormal"/>
    <w:uiPriority w:val="39"/>
    <w:rsid w:val="00512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965D4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3153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153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3153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E21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2194"/>
  </w:style>
  <w:style w:type="paragraph" w:styleId="Footer">
    <w:name w:val="footer"/>
    <w:basedOn w:val="Normal"/>
    <w:link w:val="FooterChar"/>
    <w:uiPriority w:val="99"/>
    <w:unhideWhenUsed/>
    <w:rsid w:val="000E21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2194"/>
  </w:style>
  <w:style w:type="paragraph" w:styleId="Title">
    <w:name w:val="Title"/>
    <w:basedOn w:val="Normal"/>
    <w:next w:val="Normal"/>
    <w:link w:val="TitleChar"/>
    <w:uiPriority w:val="10"/>
    <w:qFormat/>
    <w:rsid w:val="00C85D1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5D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B304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0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2023-10-26T16:21:00Z</dcterms:created>
  <dcterms:modified xsi:type="dcterms:W3CDTF">2023-10-26T16:22:00Z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