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519BC" w14:textId="77777777" w:rsidR="00DD0DC9" w:rsidRPr="003A5B99" w:rsidRDefault="00DD0DC9" w:rsidP="00014C9F">
      <w:pPr>
        <w:tabs>
          <w:tab w:val="left" w:pos="2250"/>
          <w:tab w:val="left" w:pos="4230"/>
        </w:tabs>
        <w:ind w:right="-180"/>
        <w:jc w:val="center"/>
        <w:rPr>
          <w:rFonts w:asciiTheme="minorHAnsi" w:hAnsiTheme="minorHAnsi" w:cstheme="minorHAnsi"/>
          <w:b/>
          <w:sz w:val="48"/>
        </w:rPr>
      </w:pPr>
    </w:p>
    <w:p w14:paraId="07993298" w14:textId="77777777" w:rsidR="000341E4" w:rsidRPr="003A5B99" w:rsidRDefault="000341E4" w:rsidP="000341E4">
      <w:pPr>
        <w:ind w:right="-180"/>
        <w:jc w:val="center"/>
        <w:rPr>
          <w:rFonts w:asciiTheme="minorHAnsi" w:hAnsiTheme="minorHAnsi" w:cstheme="minorHAnsi"/>
          <w:b/>
          <w:sz w:val="48"/>
        </w:rPr>
      </w:pPr>
      <w:r w:rsidRPr="003A5B99">
        <w:rPr>
          <w:rFonts w:asciiTheme="minorHAnsi" w:hAnsiTheme="minorHAnsi" w:cstheme="minorHAnsi"/>
          <w:b/>
          <w:sz w:val="48"/>
        </w:rPr>
        <w:t>Southern Company</w:t>
      </w:r>
    </w:p>
    <w:p w14:paraId="1B3696E9" w14:textId="77777777" w:rsidR="00BD6A65" w:rsidRPr="003A5B99" w:rsidRDefault="00BD6A65">
      <w:pPr>
        <w:jc w:val="center"/>
        <w:rPr>
          <w:rFonts w:asciiTheme="minorHAnsi" w:hAnsiTheme="minorHAnsi" w:cstheme="minorHAnsi"/>
        </w:rPr>
      </w:pPr>
    </w:p>
    <w:p w14:paraId="18482A22" w14:textId="07E74DA4" w:rsidR="00BD6A65" w:rsidRPr="003A5B99" w:rsidRDefault="004A1CDB">
      <w:pPr>
        <w:ind w:right="-180"/>
        <w:jc w:val="center"/>
        <w:rPr>
          <w:rFonts w:asciiTheme="minorHAnsi" w:hAnsiTheme="minorHAnsi" w:cstheme="minorHAnsi"/>
          <w:b/>
          <w:sz w:val="48"/>
        </w:rPr>
      </w:pPr>
      <w:r w:rsidRPr="003A5B99">
        <w:rPr>
          <w:rFonts w:asciiTheme="minorHAnsi" w:hAnsiTheme="minorHAnsi" w:cstheme="minorHAnsi"/>
          <w:b/>
          <w:sz w:val="48"/>
        </w:rPr>
        <w:t>20</w:t>
      </w:r>
      <w:r w:rsidR="004104FB" w:rsidRPr="003A5B99">
        <w:rPr>
          <w:rFonts w:asciiTheme="minorHAnsi" w:hAnsiTheme="minorHAnsi" w:cstheme="minorHAnsi"/>
          <w:b/>
          <w:sz w:val="48"/>
        </w:rPr>
        <w:t>2</w:t>
      </w:r>
      <w:r w:rsidR="00703A94" w:rsidRPr="003A5B99">
        <w:rPr>
          <w:rFonts w:asciiTheme="minorHAnsi" w:hAnsiTheme="minorHAnsi" w:cstheme="minorHAnsi"/>
          <w:b/>
          <w:sz w:val="48"/>
        </w:rPr>
        <w:t>3</w:t>
      </w:r>
      <w:r w:rsidR="00E94F4A" w:rsidRPr="003A5B99">
        <w:rPr>
          <w:rFonts w:asciiTheme="minorHAnsi" w:hAnsiTheme="minorHAnsi" w:cstheme="minorHAnsi"/>
          <w:b/>
          <w:sz w:val="48"/>
        </w:rPr>
        <w:t xml:space="preserve"> </w:t>
      </w:r>
      <w:r w:rsidR="00BD6A65" w:rsidRPr="003A5B99">
        <w:rPr>
          <w:rFonts w:asciiTheme="minorHAnsi" w:hAnsiTheme="minorHAnsi" w:cstheme="minorHAnsi"/>
          <w:b/>
          <w:sz w:val="48"/>
        </w:rPr>
        <w:t>Integrated Resource Plan</w:t>
      </w:r>
      <w:r w:rsidR="00703A94" w:rsidRPr="003A5B99">
        <w:rPr>
          <w:rFonts w:asciiTheme="minorHAnsi" w:hAnsiTheme="minorHAnsi" w:cstheme="minorHAnsi"/>
          <w:b/>
          <w:sz w:val="48"/>
        </w:rPr>
        <w:t xml:space="preserve"> Update</w:t>
      </w:r>
    </w:p>
    <w:p w14:paraId="23852AC0" w14:textId="77777777" w:rsidR="00BD6A65" w:rsidRPr="003A5B99" w:rsidRDefault="00BD6A65">
      <w:pPr>
        <w:spacing w:before="240"/>
        <w:ind w:right="-187"/>
        <w:jc w:val="center"/>
        <w:rPr>
          <w:rFonts w:asciiTheme="minorHAnsi" w:hAnsiTheme="minorHAnsi" w:cstheme="minorHAnsi"/>
          <w:b/>
          <w:sz w:val="48"/>
        </w:rPr>
      </w:pPr>
      <w:r w:rsidRPr="003A5B99">
        <w:rPr>
          <w:rFonts w:asciiTheme="minorHAnsi" w:hAnsiTheme="minorHAnsi" w:cstheme="minorHAnsi"/>
          <w:b/>
          <w:sz w:val="48"/>
        </w:rPr>
        <w:t>Resource Mix Study</w:t>
      </w:r>
    </w:p>
    <w:p w14:paraId="46C5DDC5" w14:textId="77777777" w:rsidR="00BD6A65" w:rsidRPr="003A5B99" w:rsidRDefault="00BD6A65">
      <w:pPr>
        <w:ind w:right="-180"/>
        <w:jc w:val="center"/>
        <w:rPr>
          <w:rFonts w:asciiTheme="minorHAnsi" w:hAnsiTheme="minorHAnsi" w:cstheme="minorHAnsi"/>
          <w:b/>
          <w:sz w:val="48"/>
        </w:rPr>
      </w:pPr>
    </w:p>
    <w:p w14:paraId="2FD99620" w14:textId="77777777" w:rsidR="00BD6A65" w:rsidRPr="003A5B99" w:rsidRDefault="00BD6A65">
      <w:pPr>
        <w:rPr>
          <w:rFonts w:asciiTheme="minorHAnsi" w:hAnsiTheme="minorHAnsi" w:cstheme="minorHAnsi"/>
        </w:rPr>
      </w:pPr>
    </w:p>
    <w:p w14:paraId="49610F02" w14:textId="77777777" w:rsidR="00BD6A65" w:rsidRPr="003A5B99" w:rsidRDefault="00BD6A65">
      <w:pPr>
        <w:rPr>
          <w:rFonts w:asciiTheme="minorHAnsi" w:hAnsiTheme="minorHAnsi" w:cstheme="minorHAnsi"/>
        </w:rPr>
      </w:pPr>
    </w:p>
    <w:p w14:paraId="2B89A136" w14:textId="77777777" w:rsidR="00BD6A65" w:rsidRPr="003A5B99" w:rsidRDefault="00BD6A65">
      <w:pPr>
        <w:rPr>
          <w:rFonts w:asciiTheme="minorHAnsi" w:hAnsiTheme="minorHAnsi" w:cstheme="minorHAnsi"/>
        </w:rPr>
      </w:pPr>
    </w:p>
    <w:p w14:paraId="59FA5428" w14:textId="77777777" w:rsidR="00BD6A65" w:rsidRPr="003A5B99" w:rsidRDefault="00BD6A65">
      <w:pPr>
        <w:rPr>
          <w:rFonts w:asciiTheme="minorHAnsi" w:hAnsiTheme="minorHAnsi" w:cstheme="minorHAnsi"/>
        </w:rPr>
      </w:pPr>
    </w:p>
    <w:p w14:paraId="737B5D91" w14:textId="77777777" w:rsidR="00BD6A65" w:rsidRPr="003A5B99" w:rsidRDefault="00BD6A65">
      <w:pPr>
        <w:rPr>
          <w:rFonts w:asciiTheme="minorHAnsi" w:hAnsiTheme="minorHAnsi" w:cstheme="minorHAnsi"/>
        </w:rPr>
      </w:pPr>
    </w:p>
    <w:p w14:paraId="5EC1781D" w14:textId="77777777" w:rsidR="00BD6A65" w:rsidRPr="003A5B99" w:rsidRDefault="00BD6A65">
      <w:pPr>
        <w:rPr>
          <w:rFonts w:asciiTheme="minorHAnsi" w:hAnsiTheme="minorHAnsi" w:cstheme="minorHAnsi"/>
        </w:rPr>
      </w:pPr>
    </w:p>
    <w:p w14:paraId="3F29D4DD" w14:textId="77777777" w:rsidR="00BD6A65" w:rsidRPr="003A5B99" w:rsidRDefault="00BD6A65">
      <w:pPr>
        <w:rPr>
          <w:rFonts w:asciiTheme="minorHAnsi" w:hAnsiTheme="minorHAnsi" w:cstheme="minorHAnsi"/>
        </w:rPr>
      </w:pPr>
    </w:p>
    <w:p w14:paraId="42D80471" w14:textId="77777777" w:rsidR="00BD6A65" w:rsidRPr="003A5B99" w:rsidRDefault="00BD6A65">
      <w:pPr>
        <w:rPr>
          <w:rFonts w:asciiTheme="minorHAnsi" w:hAnsiTheme="minorHAnsi" w:cstheme="minorHAnsi"/>
        </w:rPr>
      </w:pPr>
    </w:p>
    <w:p w14:paraId="742F3AF0" w14:textId="77777777" w:rsidR="00BD6A65" w:rsidRPr="003A5B99" w:rsidRDefault="00BD6A65">
      <w:pPr>
        <w:rPr>
          <w:rFonts w:asciiTheme="minorHAnsi" w:hAnsiTheme="minorHAnsi" w:cstheme="minorHAnsi"/>
        </w:rPr>
      </w:pPr>
    </w:p>
    <w:p w14:paraId="52F50BDD" w14:textId="77777777" w:rsidR="00BD6A65" w:rsidRPr="003A5B99" w:rsidRDefault="00BD6A65">
      <w:pPr>
        <w:rPr>
          <w:rFonts w:asciiTheme="minorHAnsi" w:hAnsiTheme="minorHAnsi" w:cstheme="minorHAnsi"/>
        </w:rPr>
      </w:pPr>
    </w:p>
    <w:p w14:paraId="1DD4EEBC" w14:textId="77777777" w:rsidR="00BD6A65" w:rsidRPr="003A5B99" w:rsidRDefault="00BD6A65">
      <w:pPr>
        <w:rPr>
          <w:rFonts w:asciiTheme="minorHAnsi" w:hAnsiTheme="minorHAnsi" w:cstheme="minorHAnsi"/>
        </w:rPr>
      </w:pPr>
    </w:p>
    <w:p w14:paraId="0CD766C9" w14:textId="77777777" w:rsidR="00BD6A65" w:rsidRPr="003A5B99" w:rsidRDefault="00BD6A65">
      <w:pPr>
        <w:rPr>
          <w:rFonts w:asciiTheme="minorHAnsi" w:hAnsiTheme="minorHAnsi" w:cstheme="minorHAnsi"/>
        </w:rPr>
      </w:pPr>
    </w:p>
    <w:p w14:paraId="3E8EE13F" w14:textId="77777777" w:rsidR="00BD6A65" w:rsidRPr="003A5B99" w:rsidRDefault="00BD6A65">
      <w:pPr>
        <w:rPr>
          <w:rFonts w:asciiTheme="minorHAnsi" w:hAnsiTheme="minorHAnsi" w:cstheme="minorHAnsi"/>
        </w:rPr>
      </w:pPr>
    </w:p>
    <w:p w14:paraId="0A63F885" w14:textId="77777777" w:rsidR="00BD6A65" w:rsidRPr="003A5B99" w:rsidRDefault="00BD6A65">
      <w:pPr>
        <w:rPr>
          <w:rFonts w:asciiTheme="minorHAnsi" w:hAnsiTheme="minorHAnsi" w:cstheme="minorHAnsi"/>
        </w:rPr>
      </w:pPr>
    </w:p>
    <w:p w14:paraId="3841B67F" w14:textId="77777777" w:rsidR="00BD6A65" w:rsidRPr="003A5B99" w:rsidRDefault="00BD6A65">
      <w:pPr>
        <w:rPr>
          <w:rFonts w:asciiTheme="minorHAnsi" w:hAnsiTheme="minorHAnsi" w:cstheme="minorHAnsi"/>
        </w:rPr>
      </w:pPr>
    </w:p>
    <w:p w14:paraId="4C02F81C" w14:textId="77777777" w:rsidR="00BD6A65" w:rsidRPr="003A5B99" w:rsidRDefault="00BD6A65">
      <w:pPr>
        <w:rPr>
          <w:rFonts w:asciiTheme="minorHAnsi" w:hAnsiTheme="minorHAnsi" w:cstheme="minorHAnsi"/>
        </w:rPr>
      </w:pPr>
    </w:p>
    <w:p w14:paraId="28F51913" w14:textId="77777777" w:rsidR="00BD6A65" w:rsidRPr="003A5B99" w:rsidRDefault="00BD6A65">
      <w:pPr>
        <w:spacing w:before="60"/>
        <w:jc w:val="center"/>
        <w:rPr>
          <w:rFonts w:asciiTheme="minorHAnsi" w:hAnsiTheme="minorHAnsi" w:cstheme="minorHAnsi"/>
        </w:rPr>
      </w:pPr>
    </w:p>
    <w:p w14:paraId="5DCFABA4" w14:textId="77777777" w:rsidR="00BD6A65" w:rsidRPr="003A5B99" w:rsidRDefault="00BD6A65">
      <w:pPr>
        <w:spacing w:before="60"/>
        <w:jc w:val="center"/>
        <w:rPr>
          <w:rFonts w:asciiTheme="minorHAnsi" w:hAnsiTheme="minorHAnsi" w:cstheme="minorHAnsi"/>
        </w:rPr>
      </w:pPr>
    </w:p>
    <w:p w14:paraId="02F8A632" w14:textId="77777777" w:rsidR="00BD6A65" w:rsidRPr="003A5B99" w:rsidRDefault="00BD6A65">
      <w:pPr>
        <w:spacing w:before="60"/>
        <w:jc w:val="center"/>
        <w:rPr>
          <w:rFonts w:asciiTheme="minorHAnsi" w:hAnsiTheme="minorHAnsi" w:cstheme="minorHAnsi"/>
        </w:rPr>
      </w:pPr>
    </w:p>
    <w:p w14:paraId="180C8A0F" w14:textId="77777777" w:rsidR="00BD6A65" w:rsidRPr="003A5B99" w:rsidRDefault="00BD6A65">
      <w:pPr>
        <w:spacing w:before="60"/>
        <w:jc w:val="center"/>
        <w:rPr>
          <w:rFonts w:asciiTheme="minorHAnsi" w:hAnsiTheme="minorHAnsi" w:cstheme="minorHAnsi"/>
        </w:rPr>
      </w:pPr>
    </w:p>
    <w:p w14:paraId="34191647" w14:textId="77777777" w:rsidR="00BD6A65" w:rsidRPr="003A5B99" w:rsidRDefault="00BD6A65">
      <w:pPr>
        <w:spacing w:before="60"/>
        <w:jc w:val="center"/>
        <w:rPr>
          <w:rFonts w:asciiTheme="minorHAnsi" w:hAnsiTheme="minorHAnsi" w:cstheme="minorHAnsi"/>
        </w:rPr>
      </w:pPr>
    </w:p>
    <w:p w14:paraId="41786E72" w14:textId="77777777" w:rsidR="00BD6A65" w:rsidRPr="003A5B99" w:rsidRDefault="00BD6A65">
      <w:pPr>
        <w:spacing w:before="60"/>
        <w:jc w:val="center"/>
        <w:rPr>
          <w:rFonts w:asciiTheme="minorHAnsi" w:hAnsiTheme="minorHAnsi" w:cstheme="minorHAnsi"/>
        </w:rPr>
      </w:pPr>
    </w:p>
    <w:p w14:paraId="4431DE49" w14:textId="77777777" w:rsidR="00BD6A65" w:rsidRPr="003A5B99" w:rsidRDefault="00BD6A65">
      <w:pPr>
        <w:spacing w:before="60"/>
        <w:jc w:val="center"/>
        <w:rPr>
          <w:rFonts w:asciiTheme="minorHAnsi" w:hAnsiTheme="minorHAnsi" w:cstheme="minorHAnsi"/>
        </w:rPr>
      </w:pPr>
    </w:p>
    <w:p w14:paraId="48296C50" w14:textId="77777777" w:rsidR="00BD6A65" w:rsidRPr="003A5B99" w:rsidRDefault="00BD6A65">
      <w:pPr>
        <w:spacing w:before="60"/>
        <w:jc w:val="center"/>
        <w:rPr>
          <w:rFonts w:asciiTheme="minorHAnsi" w:hAnsiTheme="minorHAnsi" w:cstheme="minorHAnsi"/>
        </w:rPr>
      </w:pPr>
    </w:p>
    <w:p w14:paraId="782D1213" w14:textId="77777777" w:rsidR="00BD6A65" w:rsidRPr="003A5B99" w:rsidRDefault="00BD6A65">
      <w:pPr>
        <w:spacing w:before="60"/>
        <w:jc w:val="center"/>
        <w:rPr>
          <w:rFonts w:asciiTheme="minorHAnsi" w:hAnsiTheme="minorHAnsi" w:cstheme="minorHAnsi"/>
        </w:rPr>
      </w:pPr>
    </w:p>
    <w:p w14:paraId="741B5B02" w14:textId="77777777" w:rsidR="00BD6A65" w:rsidRPr="003A5B99" w:rsidRDefault="00BD6A65">
      <w:pPr>
        <w:spacing w:before="60"/>
        <w:jc w:val="center"/>
        <w:rPr>
          <w:rFonts w:asciiTheme="minorHAnsi" w:hAnsiTheme="minorHAnsi" w:cstheme="minorHAnsi"/>
        </w:rPr>
      </w:pPr>
    </w:p>
    <w:p w14:paraId="587F6285" w14:textId="77777777" w:rsidR="00BD6A65" w:rsidRPr="003A5B99" w:rsidRDefault="00BD6A65">
      <w:pPr>
        <w:spacing w:before="60"/>
        <w:jc w:val="center"/>
        <w:rPr>
          <w:rFonts w:asciiTheme="minorHAnsi" w:hAnsiTheme="minorHAnsi" w:cstheme="minorHAnsi"/>
        </w:rPr>
      </w:pPr>
    </w:p>
    <w:p w14:paraId="29F37FD4" w14:textId="47D731F0" w:rsidR="00BD6A65" w:rsidRPr="003A5B99" w:rsidRDefault="00BF3944">
      <w:pPr>
        <w:spacing w:before="60"/>
        <w:jc w:val="center"/>
        <w:rPr>
          <w:rFonts w:asciiTheme="minorHAnsi" w:hAnsiTheme="minorHAnsi" w:cstheme="minorHAnsi"/>
          <w:sz w:val="28"/>
          <w:szCs w:val="28"/>
        </w:rPr>
      </w:pPr>
      <w:r w:rsidRPr="003A5B99">
        <w:rPr>
          <w:rFonts w:asciiTheme="minorHAnsi" w:hAnsiTheme="minorHAnsi" w:cstheme="minorHAnsi"/>
          <w:sz w:val="28"/>
          <w:szCs w:val="28"/>
        </w:rPr>
        <w:t>Octobe</w:t>
      </w:r>
      <w:r w:rsidR="00703A94" w:rsidRPr="003A5B99">
        <w:rPr>
          <w:rFonts w:asciiTheme="minorHAnsi" w:hAnsiTheme="minorHAnsi" w:cstheme="minorHAnsi"/>
          <w:sz w:val="28"/>
          <w:szCs w:val="28"/>
        </w:rPr>
        <w:t>r 2023</w:t>
      </w:r>
    </w:p>
    <w:p w14:paraId="7D7BB6FD" w14:textId="77777777" w:rsidR="00F763AC" w:rsidRPr="003A5B99" w:rsidRDefault="00F763AC">
      <w:pPr>
        <w:jc w:val="left"/>
        <w:rPr>
          <w:rFonts w:asciiTheme="minorHAnsi" w:hAnsiTheme="minorHAnsi" w:cstheme="minorHAnsi"/>
          <w:color w:val="000000"/>
        </w:rPr>
      </w:pPr>
      <w:r w:rsidRPr="003A5B99">
        <w:rPr>
          <w:rFonts w:asciiTheme="minorHAnsi" w:hAnsiTheme="minorHAnsi" w:cstheme="minorHAnsi"/>
        </w:rPr>
        <w:br w:type="page"/>
      </w:r>
    </w:p>
    <w:p w14:paraId="26558F59" w14:textId="77777777" w:rsidR="00BD6A65" w:rsidRPr="00E741B4" w:rsidRDefault="00BD6A65" w:rsidP="0048286D">
      <w:pPr>
        <w:pStyle w:val="Heading1"/>
        <w:jc w:val="left"/>
        <w:rPr>
          <w:rFonts w:asciiTheme="minorHAnsi" w:hAnsiTheme="minorHAnsi" w:cstheme="minorHAnsi"/>
          <w:sz w:val="24"/>
          <w:szCs w:val="18"/>
        </w:rPr>
      </w:pPr>
      <w:bookmarkStart w:id="0" w:name="_Toc305487185"/>
      <w:r w:rsidRPr="00E741B4">
        <w:rPr>
          <w:rFonts w:asciiTheme="minorHAnsi" w:hAnsiTheme="minorHAnsi" w:cstheme="minorHAnsi"/>
          <w:sz w:val="24"/>
          <w:szCs w:val="18"/>
        </w:rPr>
        <w:lastRenderedPageBreak/>
        <w:t>SUMMARY</w:t>
      </w:r>
      <w:bookmarkEnd w:id="0"/>
    </w:p>
    <w:p w14:paraId="045397F2" w14:textId="42F02EA2" w:rsidR="0048286D" w:rsidRPr="00E741B4" w:rsidRDefault="0048286D" w:rsidP="0048286D">
      <w:pPr>
        <w:spacing w:line="360" w:lineRule="atLeast"/>
        <w:rPr>
          <w:rFonts w:asciiTheme="minorHAnsi" w:hAnsiTheme="minorHAnsi" w:cstheme="minorHAnsi"/>
          <w:sz w:val="22"/>
          <w:szCs w:val="22"/>
        </w:rPr>
      </w:pPr>
      <w:bookmarkStart w:id="1" w:name="_Toc305487186"/>
      <w:r w:rsidRPr="00E741B4">
        <w:rPr>
          <w:rFonts w:asciiTheme="minorHAnsi" w:hAnsiTheme="minorHAnsi" w:cstheme="minorHAnsi"/>
          <w:sz w:val="22"/>
          <w:szCs w:val="22"/>
        </w:rPr>
        <w:t xml:space="preserve">The primary objective of this study is to provide information regarding the development of an optimal least-cost </w:t>
      </w:r>
      <w:r w:rsidR="00B16D0A" w:rsidRPr="00E741B4">
        <w:rPr>
          <w:rFonts w:asciiTheme="minorHAnsi" w:hAnsiTheme="minorHAnsi" w:cstheme="minorHAnsi"/>
          <w:sz w:val="22"/>
          <w:szCs w:val="22"/>
        </w:rPr>
        <w:t xml:space="preserve">resource mix </w:t>
      </w:r>
      <w:r w:rsidRPr="00E741B4">
        <w:rPr>
          <w:rFonts w:asciiTheme="minorHAnsi" w:hAnsiTheme="minorHAnsi" w:cstheme="minorHAnsi"/>
          <w:sz w:val="22"/>
          <w:szCs w:val="22"/>
        </w:rPr>
        <w:t xml:space="preserve">or </w:t>
      </w:r>
      <w:r w:rsidR="00B16D0A" w:rsidRPr="00E741B4">
        <w:rPr>
          <w:rFonts w:asciiTheme="minorHAnsi" w:hAnsiTheme="minorHAnsi" w:cstheme="minorHAnsi"/>
          <w:sz w:val="22"/>
          <w:szCs w:val="22"/>
        </w:rPr>
        <w:t>generic expansion plan</w:t>
      </w:r>
      <w:r w:rsidRPr="00E741B4">
        <w:rPr>
          <w:rFonts w:asciiTheme="minorHAnsi" w:hAnsiTheme="minorHAnsi" w:cstheme="minorHAnsi"/>
          <w:sz w:val="22"/>
          <w:szCs w:val="22"/>
        </w:rPr>
        <w:t>. Th</w:t>
      </w:r>
      <w:r w:rsidR="00B16D0A" w:rsidRPr="00E741B4">
        <w:rPr>
          <w:rFonts w:asciiTheme="minorHAnsi" w:hAnsiTheme="minorHAnsi" w:cstheme="minorHAnsi"/>
          <w:sz w:val="22"/>
          <w:szCs w:val="22"/>
        </w:rPr>
        <w:t>e</w:t>
      </w:r>
      <w:r w:rsidRPr="00E741B4">
        <w:rPr>
          <w:rFonts w:asciiTheme="minorHAnsi" w:hAnsiTheme="minorHAnsi" w:cstheme="minorHAnsi"/>
          <w:sz w:val="22"/>
          <w:szCs w:val="22"/>
        </w:rPr>
        <w:t xml:space="preserve"> </w:t>
      </w:r>
      <w:r w:rsidR="00B16D0A" w:rsidRPr="00E741B4">
        <w:rPr>
          <w:rFonts w:asciiTheme="minorHAnsi" w:hAnsiTheme="minorHAnsi" w:cstheme="minorHAnsi"/>
          <w:sz w:val="22"/>
          <w:szCs w:val="22"/>
        </w:rPr>
        <w:t>generic expansion plan</w:t>
      </w:r>
      <w:r w:rsidRPr="00E741B4">
        <w:rPr>
          <w:rFonts w:asciiTheme="minorHAnsi" w:hAnsiTheme="minorHAnsi" w:cstheme="minorHAnsi"/>
          <w:sz w:val="22"/>
          <w:szCs w:val="22"/>
        </w:rPr>
        <w:t xml:space="preserve"> was selected to minimize revenue requirements while complying with reliability criteria, environmental laws</w:t>
      </w:r>
      <w:r w:rsidR="2BD01E96" w:rsidRPr="00E741B4">
        <w:rPr>
          <w:rFonts w:asciiTheme="minorHAnsi" w:hAnsiTheme="minorHAnsi" w:cstheme="minorHAnsi"/>
          <w:sz w:val="22"/>
          <w:szCs w:val="22"/>
        </w:rPr>
        <w:t>,</w:t>
      </w:r>
      <w:r w:rsidRPr="00E741B4">
        <w:rPr>
          <w:rFonts w:asciiTheme="minorHAnsi" w:hAnsiTheme="minorHAnsi" w:cstheme="minorHAnsi"/>
          <w:sz w:val="22"/>
          <w:szCs w:val="22"/>
        </w:rPr>
        <w:t xml:space="preserve"> and regulations, considering risk and flexibility. This study provides an informative roadmap for long-term decisions. The base case contained in this Mix Study do</w:t>
      </w:r>
      <w:r w:rsidR="00F44D2A" w:rsidRPr="00E741B4">
        <w:rPr>
          <w:rFonts w:asciiTheme="minorHAnsi" w:hAnsiTheme="minorHAnsi" w:cstheme="minorHAnsi"/>
          <w:sz w:val="22"/>
          <w:szCs w:val="22"/>
        </w:rPr>
        <w:t>es</w:t>
      </w:r>
      <w:r w:rsidRPr="00E741B4">
        <w:rPr>
          <w:rFonts w:asciiTheme="minorHAnsi" w:hAnsiTheme="minorHAnsi" w:cstheme="minorHAnsi"/>
          <w:sz w:val="22"/>
          <w:szCs w:val="22"/>
        </w:rPr>
        <w:t xml:space="preserve"> not </w:t>
      </w:r>
      <w:r w:rsidR="00FF5786" w:rsidRPr="00E741B4">
        <w:rPr>
          <w:rFonts w:asciiTheme="minorHAnsi" w:hAnsiTheme="minorHAnsi" w:cstheme="minorHAnsi"/>
          <w:sz w:val="22"/>
          <w:szCs w:val="22"/>
        </w:rPr>
        <w:t xml:space="preserve">represent </w:t>
      </w:r>
      <w:r w:rsidRPr="00E741B4">
        <w:rPr>
          <w:rFonts w:asciiTheme="minorHAnsi" w:hAnsiTheme="minorHAnsi" w:cstheme="minorHAnsi"/>
          <w:sz w:val="22"/>
          <w:szCs w:val="22"/>
        </w:rPr>
        <w:t xml:space="preserve">commitments but instead </w:t>
      </w:r>
      <w:r w:rsidR="00F44D2A" w:rsidRPr="00E741B4">
        <w:rPr>
          <w:rFonts w:asciiTheme="minorHAnsi" w:hAnsiTheme="minorHAnsi" w:cstheme="minorHAnsi"/>
          <w:sz w:val="22"/>
          <w:szCs w:val="22"/>
        </w:rPr>
        <w:t>is a</w:t>
      </w:r>
      <w:r w:rsidRPr="00E741B4">
        <w:rPr>
          <w:rFonts w:asciiTheme="minorHAnsi" w:hAnsiTheme="minorHAnsi" w:cstheme="minorHAnsi"/>
          <w:sz w:val="22"/>
          <w:szCs w:val="22"/>
        </w:rPr>
        <w:t xml:space="preserve"> generic expansion plan used for planning and to support analyses. Under the framework established in the state of Georgia, when a capacity need is identified through an </w:t>
      </w:r>
      <w:r w:rsidR="5B5941AF" w:rsidRPr="00E741B4">
        <w:rPr>
          <w:rFonts w:asciiTheme="minorHAnsi" w:hAnsiTheme="minorHAnsi" w:cstheme="minorHAnsi"/>
          <w:sz w:val="22"/>
          <w:szCs w:val="22"/>
        </w:rPr>
        <w:t>Integrated Resource Plan (“</w:t>
      </w:r>
      <w:r w:rsidRPr="00E741B4">
        <w:rPr>
          <w:rFonts w:asciiTheme="minorHAnsi" w:hAnsiTheme="minorHAnsi" w:cstheme="minorHAnsi"/>
          <w:sz w:val="22"/>
          <w:szCs w:val="22"/>
        </w:rPr>
        <w:t>IRP</w:t>
      </w:r>
      <w:r w:rsidR="1F478097" w:rsidRPr="00E741B4">
        <w:rPr>
          <w:rFonts w:asciiTheme="minorHAnsi" w:hAnsiTheme="minorHAnsi" w:cstheme="minorHAnsi"/>
          <w:sz w:val="22"/>
          <w:szCs w:val="22"/>
        </w:rPr>
        <w:t>”)</w:t>
      </w:r>
      <w:r w:rsidRPr="00E741B4">
        <w:rPr>
          <w:rFonts w:asciiTheme="minorHAnsi" w:hAnsiTheme="minorHAnsi" w:cstheme="minorHAnsi"/>
          <w:sz w:val="22"/>
          <w:szCs w:val="22"/>
        </w:rPr>
        <w:t>, Georgia Power Company (“Georgia Power” or the “Company”) will meet such identified need in accordance with the Georgia Public Service Commission (“Commission”) rules and will utilize Georgia Power specific information</w:t>
      </w:r>
      <w:r w:rsidR="00B671B8" w:rsidRPr="00E741B4">
        <w:rPr>
          <w:rFonts w:asciiTheme="minorHAnsi" w:hAnsiTheme="minorHAnsi" w:cstheme="minorHAnsi"/>
          <w:sz w:val="22"/>
          <w:szCs w:val="22"/>
        </w:rPr>
        <w:t>,</w:t>
      </w:r>
      <w:r w:rsidRPr="00E741B4">
        <w:rPr>
          <w:rFonts w:asciiTheme="minorHAnsi" w:hAnsiTheme="minorHAnsi" w:cstheme="minorHAnsi"/>
          <w:sz w:val="22"/>
          <w:szCs w:val="22"/>
        </w:rPr>
        <w:t xml:space="preserve"> as appropriate. </w:t>
      </w:r>
    </w:p>
    <w:p w14:paraId="2610A522" w14:textId="77777777" w:rsidR="0048286D" w:rsidRPr="00E741B4" w:rsidRDefault="0048286D" w:rsidP="00D37D5F">
      <w:pPr>
        <w:spacing w:line="360" w:lineRule="atLeast"/>
        <w:rPr>
          <w:rFonts w:asciiTheme="minorHAnsi" w:hAnsiTheme="minorHAnsi" w:cstheme="minorHAnsi"/>
          <w:sz w:val="22"/>
          <w:szCs w:val="22"/>
        </w:rPr>
      </w:pPr>
    </w:p>
    <w:p w14:paraId="1D6A5770" w14:textId="457C8665" w:rsidR="003710AB" w:rsidRPr="00E741B4" w:rsidRDefault="00D37D5F" w:rsidP="00EA2F7F">
      <w:pPr>
        <w:spacing w:line="360" w:lineRule="atLeast"/>
        <w:rPr>
          <w:rFonts w:asciiTheme="minorHAnsi" w:hAnsiTheme="minorHAnsi" w:cstheme="minorHAnsi"/>
          <w:sz w:val="22"/>
          <w:szCs w:val="22"/>
        </w:rPr>
      </w:pPr>
      <w:r w:rsidRPr="00E741B4">
        <w:rPr>
          <w:rFonts w:asciiTheme="minorHAnsi" w:hAnsiTheme="minorHAnsi" w:cstheme="minorHAnsi"/>
          <w:sz w:val="22"/>
          <w:szCs w:val="22"/>
        </w:rPr>
        <w:t>This report summarizes the results of the 202</w:t>
      </w:r>
      <w:r w:rsidR="00703A94" w:rsidRPr="00E741B4">
        <w:rPr>
          <w:rFonts w:asciiTheme="minorHAnsi" w:hAnsiTheme="minorHAnsi" w:cstheme="minorHAnsi"/>
          <w:sz w:val="22"/>
          <w:szCs w:val="22"/>
        </w:rPr>
        <w:t>3</w:t>
      </w:r>
      <w:r w:rsidRPr="00E741B4">
        <w:rPr>
          <w:rFonts w:asciiTheme="minorHAnsi" w:hAnsiTheme="minorHAnsi" w:cstheme="minorHAnsi"/>
          <w:sz w:val="22"/>
          <w:szCs w:val="22"/>
        </w:rPr>
        <w:t xml:space="preserve"> </w:t>
      </w:r>
      <w:r w:rsidR="00F44D2A" w:rsidRPr="00E741B4">
        <w:rPr>
          <w:rFonts w:asciiTheme="minorHAnsi" w:hAnsiTheme="minorHAnsi" w:cstheme="minorHAnsi"/>
          <w:sz w:val="22"/>
          <w:szCs w:val="22"/>
        </w:rPr>
        <w:t xml:space="preserve">IRP Update </w:t>
      </w:r>
      <w:r w:rsidRPr="00E741B4">
        <w:rPr>
          <w:rFonts w:asciiTheme="minorHAnsi" w:hAnsiTheme="minorHAnsi" w:cstheme="minorHAnsi"/>
          <w:sz w:val="22"/>
          <w:szCs w:val="22"/>
        </w:rPr>
        <w:t xml:space="preserve">Resource Mix Study. The recommendations of the study provide input to an optimum resource addition schedule for the retail operating companies. The base case resource addition schedule is based on maintaining minimum winter and summer reserve margins and minimizing the total operating and capital costs over the planning horizon. While both summer and winter seasons are reviewed, future resource addition schedules will be based on the additions needed to meet the higher of the summer or winter capacity need. For this </w:t>
      </w:r>
      <w:r w:rsidR="00B964F5" w:rsidRPr="00E741B4">
        <w:rPr>
          <w:rFonts w:asciiTheme="minorHAnsi" w:hAnsiTheme="minorHAnsi" w:cstheme="minorHAnsi"/>
          <w:sz w:val="22"/>
          <w:szCs w:val="22"/>
        </w:rPr>
        <w:t>2023 IRP Update</w:t>
      </w:r>
      <w:r w:rsidRPr="00E741B4">
        <w:rPr>
          <w:rFonts w:asciiTheme="minorHAnsi" w:hAnsiTheme="minorHAnsi" w:cstheme="minorHAnsi"/>
          <w:sz w:val="22"/>
          <w:szCs w:val="22"/>
        </w:rPr>
        <w:t xml:space="preserve"> </w:t>
      </w:r>
      <w:r w:rsidR="00B964F5" w:rsidRPr="00E741B4">
        <w:rPr>
          <w:rFonts w:asciiTheme="minorHAnsi" w:hAnsiTheme="minorHAnsi" w:cstheme="minorHAnsi"/>
          <w:sz w:val="22"/>
          <w:szCs w:val="22"/>
        </w:rPr>
        <w:t>r</w:t>
      </w:r>
      <w:r w:rsidRPr="00E741B4">
        <w:rPr>
          <w:rFonts w:asciiTheme="minorHAnsi" w:hAnsiTheme="minorHAnsi" w:cstheme="minorHAnsi"/>
          <w:sz w:val="22"/>
          <w:szCs w:val="22"/>
        </w:rPr>
        <w:t xml:space="preserve">esource </w:t>
      </w:r>
      <w:r w:rsidR="00B964F5" w:rsidRPr="00E741B4">
        <w:rPr>
          <w:rFonts w:asciiTheme="minorHAnsi" w:hAnsiTheme="minorHAnsi" w:cstheme="minorHAnsi"/>
          <w:sz w:val="22"/>
          <w:szCs w:val="22"/>
        </w:rPr>
        <w:t>p</w:t>
      </w:r>
      <w:r w:rsidRPr="00E741B4">
        <w:rPr>
          <w:rFonts w:asciiTheme="minorHAnsi" w:hAnsiTheme="minorHAnsi" w:cstheme="minorHAnsi"/>
          <w:sz w:val="22"/>
          <w:szCs w:val="22"/>
        </w:rPr>
        <w:t>lan, the winter capacity need occurred earlier and was higher than the summer capacity need for the entire planning horizon. Therefore, the system expansion plan includes additions to address the forecasted winter capacity needs.</w:t>
      </w:r>
      <w:r w:rsidR="00826A59" w:rsidRPr="00E741B4">
        <w:rPr>
          <w:rFonts w:asciiTheme="minorHAnsi" w:hAnsiTheme="minorHAnsi" w:cstheme="minorHAnsi"/>
          <w:sz w:val="22"/>
          <w:szCs w:val="22"/>
        </w:rPr>
        <w:t xml:space="preserve"> An overview of the expansion plan optimization process is shown in </w:t>
      </w:r>
      <w:r w:rsidR="00C6540A" w:rsidRPr="00E741B4">
        <w:rPr>
          <w:rFonts w:asciiTheme="minorHAnsi" w:hAnsiTheme="minorHAnsi" w:cstheme="minorHAnsi"/>
          <w:sz w:val="22"/>
          <w:szCs w:val="22"/>
        </w:rPr>
        <w:t>Figure 1 below.</w:t>
      </w:r>
    </w:p>
    <w:p w14:paraId="6185A2D4" w14:textId="77777777" w:rsidR="00131285" w:rsidRDefault="00131285">
      <w:pPr>
        <w:jc w:val="left"/>
        <w:rPr>
          <w:rFonts w:ascii="Arial" w:hAnsi="Arial" w:cs="Arial"/>
          <w:i/>
          <w:iCs/>
        </w:rPr>
      </w:pPr>
      <w:r>
        <w:rPr>
          <w:rFonts w:ascii="Arial" w:hAnsi="Arial" w:cs="Arial"/>
          <w:i/>
          <w:iCs/>
        </w:rPr>
        <w:br w:type="page"/>
      </w:r>
    </w:p>
    <w:p w14:paraId="781910D2" w14:textId="57B8A458" w:rsidR="00EA2F7F" w:rsidRPr="002F5ED6" w:rsidRDefault="00EA2F7F" w:rsidP="00EA2F7F">
      <w:pPr>
        <w:spacing w:line="360" w:lineRule="atLeast"/>
        <w:jc w:val="center"/>
        <w:rPr>
          <w:rFonts w:asciiTheme="minorHAnsi" w:hAnsiTheme="minorHAnsi" w:cstheme="minorHAnsi"/>
          <w:i/>
          <w:iCs/>
        </w:rPr>
      </w:pPr>
      <w:r w:rsidRPr="002F5ED6">
        <w:rPr>
          <w:rFonts w:asciiTheme="minorHAnsi" w:hAnsiTheme="minorHAnsi" w:cstheme="minorHAnsi"/>
          <w:i/>
          <w:iCs/>
        </w:rPr>
        <w:lastRenderedPageBreak/>
        <w:t>Figure 1: Expansion Plan Optimization Process Overview</w:t>
      </w:r>
    </w:p>
    <w:p w14:paraId="0D7E0CFC" w14:textId="4D2D8413" w:rsidR="00EA2F7F" w:rsidRPr="002F5ED6" w:rsidRDefault="00EA2F7F" w:rsidP="00EA2F7F">
      <w:pPr>
        <w:spacing w:line="360" w:lineRule="atLeast"/>
        <w:rPr>
          <w:rFonts w:asciiTheme="minorHAnsi" w:hAnsiTheme="minorHAnsi" w:cstheme="minorHAnsi"/>
          <w:sz w:val="22"/>
          <w:szCs w:val="22"/>
        </w:rPr>
      </w:pPr>
    </w:p>
    <w:p w14:paraId="14F19E14" w14:textId="7D768984" w:rsidR="00EA2F7F" w:rsidRPr="002F5ED6" w:rsidRDefault="00EA2F7F" w:rsidP="00EA2F7F">
      <w:pPr>
        <w:spacing w:line="360" w:lineRule="atLeast"/>
        <w:rPr>
          <w:rFonts w:asciiTheme="minorHAnsi" w:hAnsiTheme="minorHAnsi" w:cstheme="minorHAnsi"/>
          <w:sz w:val="22"/>
          <w:szCs w:val="22"/>
        </w:rPr>
      </w:pPr>
      <w:r w:rsidRPr="002F5ED6">
        <w:rPr>
          <w:rFonts w:asciiTheme="minorHAnsi" w:hAnsiTheme="minorHAnsi" w:cstheme="minorHAnsi"/>
          <w:noProof/>
          <w:sz w:val="22"/>
          <w:szCs w:val="22"/>
        </w:rPr>
        <w:drawing>
          <wp:inline distT="0" distB="0" distL="0" distR="0" wp14:anchorId="5A074F8F" wp14:editId="297568A6">
            <wp:extent cx="6607809" cy="3038475"/>
            <wp:effectExtent l="0" t="0" r="3175"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21211" cy="3044638"/>
                    </a:xfrm>
                    <a:prstGeom prst="rect">
                      <a:avLst/>
                    </a:prstGeom>
                    <a:noFill/>
                  </pic:spPr>
                </pic:pic>
              </a:graphicData>
            </a:graphic>
          </wp:inline>
        </w:drawing>
      </w:r>
    </w:p>
    <w:p w14:paraId="7DC28715" w14:textId="1956FD30" w:rsidR="00D37D5F" w:rsidRPr="002F5ED6" w:rsidRDefault="00D37D5F" w:rsidP="00CA47C5">
      <w:pPr>
        <w:spacing w:line="360" w:lineRule="atLeast"/>
        <w:rPr>
          <w:rFonts w:asciiTheme="minorHAnsi" w:hAnsiTheme="minorHAnsi" w:cstheme="minorHAnsi"/>
          <w:sz w:val="22"/>
          <w:szCs w:val="22"/>
        </w:rPr>
      </w:pPr>
    </w:p>
    <w:p w14:paraId="393BD4CF" w14:textId="475FCFC8" w:rsidR="00000BA1" w:rsidRPr="002F5ED6" w:rsidRDefault="00000BA1" w:rsidP="00CA47C5">
      <w:pPr>
        <w:spacing w:line="360" w:lineRule="atLeast"/>
        <w:rPr>
          <w:rFonts w:asciiTheme="minorHAnsi" w:hAnsiTheme="minorHAnsi" w:cstheme="minorHAnsi"/>
          <w:sz w:val="22"/>
          <w:szCs w:val="22"/>
        </w:rPr>
      </w:pPr>
    </w:p>
    <w:p w14:paraId="16374C08" w14:textId="5100DB02" w:rsidR="009547D8" w:rsidRPr="002F5ED6" w:rsidRDefault="00000BA1" w:rsidP="00160476">
      <w:pPr>
        <w:spacing w:line="360" w:lineRule="atLeast"/>
        <w:rPr>
          <w:rFonts w:asciiTheme="minorHAnsi" w:hAnsiTheme="minorHAnsi" w:cstheme="minorHAnsi"/>
          <w:sz w:val="22"/>
          <w:szCs w:val="22"/>
        </w:rPr>
      </w:pPr>
      <w:r w:rsidRPr="002F5ED6">
        <w:rPr>
          <w:rFonts w:asciiTheme="minorHAnsi" w:hAnsiTheme="minorHAnsi" w:cstheme="minorHAnsi"/>
          <w:sz w:val="22"/>
          <w:szCs w:val="22"/>
        </w:rPr>
        <w:t xml:space="preserve">In developing a resource expansion plan, it is important to consider </w:t>
      </w:r>
      <w:r w:rsidR="001C2C7F" w:rsidRPr="002F5ED6">
        <w:rPr>
          <w:rFonts w:asciiTheme="minorHAnsi" w:hAnsiTheme="minorHAnsi" w:cstheme="minorHAnsi"/>
          <w:sz w:val="22"/>
          <w:szCs w:val="22"/>
        </w:rPr>
        <w:t xml:space="preserve">uncertainties that could </w:t>
      </w:r>
      <w:r w:rsidR="0063244B" w:rsidRPr="002F5ED6">
        <w:rPr>
          <w:rFonts w:asciiTheme="minorHAnsi" w:hAnsiTheme="minorHAnsi" w:cstheme="minorHAnsi"/>
          <w:sz w:val="22"/>
          <w:szCs w:val="22"/>
        </w:rPr>
        <w:t>impact planning decisions</w:t>
      </w:r>
      <w:r w:rsidRPr="002F5ED6">
        <w:rPr>
          <w:rFonts w:asciiTheme="minorHAnsi" w:hAnsiTheme="minorHAnsi" w:cstheme="minorHAnsi"/>
          <w:sz w:val="22"/>
          <w:szCs w:val="22"/>
        </w:rPr>
        <w:t xml:space="preserve">. </w:t>
      </w:r>
      <w:r w:rsidR="005D202F" w:rsidRPr="002F5ED6">
        <w:rPr>
          <w:rFonts w:asciiTheme="minorHAnsi" w:hAnsiTheme="minorHAnsi" w:cstheme="minorHAnsi"/>
          <w:sz w:val="22"/>
          <w:szCs w:val="22"/>
        </w:rPr>
        <w:t>Key uncertainties affecting planning include the evolution of natural gas prices</w:t>
      </w:r>
      <w:r w:rsidR="0BFFC69F" w:rsidRPr="002F5ED6">
        <w:rPr>
          <w:rFonts w:asciiTheme="minorHAnsi" w:hAnsiTheme="minorHAnsi" w:cstheme="minorHAnsi"/>
          <w:sz w:val="22"/>
          <w:szCs w:val="22"/>
        </w:rPr>
        <w:t>,</w:t>
      </w:r>
      <w:r w:rsidR="005D202F" w:rsidRPr="002F5ED6">
        <w:rPr>
          <w:rFonts w:asciiTheme="minorHAnsi" w:hAnsiTheme="minorHAnsi" w:cstheme="minorHAnsi"/>
          <w:sz w:val="22"/>
          <w:szCs w:val="22"/>
        </w:rPr>
        <w:t xml:space="preserve"> future environmental pressure—especially regarding carbon-dioxide</w:t>
      </w:r>
      <w:r w:rsidR="00881645" w:rsidRPr="002F5ED6">
        <w:rPr>
          <w:rFonts w:asciiTheme="minorHAnsi" w:hAnsiTheme="minorHAnsi" w:cstheme="minorHAnsi"/>
          <w:sz w:val="22"/>
          <w:szCs w:val="22"/>
        </w:rPr>
        <w:t xml:space="preserve"> (“CO</w:t>
      </w:r>
      <w:r w:rsidR="00881645" w:rsidRPr="002F5ED6">
        <w:rPr>
          <w:rFonts w:asciiTheme="minorHAnsi" w:hAnsiTheme="minorHAnsi" w:cstheme="minorHAnsi"/>
          <w:sz w:val="22"/>
          <w:szCs w:val="22"/>
          <w:vertAlign w:val="subscript"/>
        </w:rPr>
        <w:t>2</w:t>
      </w:r>
      <w:r w:rsidR="00881645" w:rsidRPr="002F5ED6">
        <w:rPr>
          <w:rFonts w:asciiTheme="minorHAnsi" w:hAnsiTheme="minorHAnsi" w:cstheme="minorHAnsi"/>
          <w:sz w:val="22"/>
          <w:szCs w:val="22"/>
        </w:rPr>
        <w:t>”)</w:t>
      </w:r>
      <w:r w:rsidR="714599C8" w:rsidRPr="002F5ED6">
        <w:rPr>
          <w:rFonts w:asciiTheme="minorHAnsi" w:hAnsiTheme="minorHAnsi" w:cstheme="minorHAnsi"/>
          <w:sz w:val="22"/>
          <w:szCs w:val="22"/>
        </w:rPr>
        <w:t>,</w:t>
      </w:r>
      <w:r w:rsidR="005D202F" w:rsidRPr="002F5ED6">
        <w:rPr>
          <w:rFonts w:asciiTheme="minorHAnsi" w:hAnsiTheme="minorHAnsi" w:cstheme="minorHAnsi"/>
          <w:sz w:val="22"/>
          <w:szCs w:val="22"/>
        </w:rPr>
        <w:t xml:space="preserve"> cost and performance of future generating technologies</w:t>
      </w:r>
      <w:r w:rsidR="3E8DD62B" w:rsidRPr="002F5ED6">
        <w:rPr>
          <w:rFonts w:asciiTheme="minorHAnsi" w:hAnsiTheme="minorHAnsi" w:cstheme="minorHAnsi"/>
          <w:sz w:val="22"/>
          <w:szCs w:val="22"/>
        </w:rPr>
        <w:t>,</w:t>
      </w:r>
      <w:r w:rsidR="005D202F" w:rsidRPr="002F5ED6">
        <w:rPr>
          <w:rFonts w:asciiTheme="minorHAnsi" w:hAnsiTheme="minorHAnsi" w:cstheme="minorHAnsi"/>
          <w:sz w:val="22"/>
          <w:szCs w:val="22"/>
        </w:rPr>
        <w:t xml:space="preserve"> and future load growth. Therefore, in developing its scenarios, the Company identifies different plausible viewpoints in each of these four areas. These viewpoints are combined to create </w:t>
      </w:r>
      <w:r w:rsidR="00D93023" w:rsidRPr="002F5ED6">
        <w:rPr>
          <w:rFonts w:asciiTheme="minorHAnsi" w:hAnsiTheme="minorHAnsi" w:cstheme="minorHAnsi"/>
          <w:sz w:val="22"/>
          <w:szCs w:val="22"/>
        </w:rPr>
        <w:t>six</w:t>
      </w:r>
      <w:r w:rsidR="005D202F" w:rsidRPr="002F5ED6">
        <w:rPr>
          <w:rFonts w:asciiTheme="minorHAnsi" w:hAnsiTheme="minorHAnsi" w:cstheme="minorHAnsi"/>
          <w:sz w:val="22"/>
          <w:szCs w:val="22"/>
        </w:rPr>
        <w:t xml:space="preserve"> scenarios</w:t>
      </w:r>
      <w:r w:rsidR="00AA1EDC" w:rsidRPr="002F5ED6">
        <w:rPr>
          <w:rFonts w:asciiTheme="minorHAnsi" w:hAnsiTheme="minorHAnsi" w:cstheme="minorHAnsi"/>
          <w:sz w:val="22"/>
          <w:szCs w:val="22"/>
        </w:rPr>
        <w:t xml:space="preserve"> for the </w:t>
      </w:r>
      <w:r w:rsidR="001B529F" w:rsidRPr="002F5ED6">
        <w:rPr>
          <w:rFonts w:asciiTheme="minorHAnsi" w:hAnsiTheme="minorHAnsi" w:cstheme="minorHAnsi"/>
          <w:sz w:val="22"/>
          <w:szCs w:val="22"/>
        </w:rPr>
        <w:t>2023 IRP Update.</w:t>
      </w:r>
      <w:r w:rsidR="00826A59" w:rsidRPr="002F5ED6">
        <w:rPr>
          <w:rFonts w:asciiTheme="minorHAnsi" w:hAnsiTheme="minorHAnsi" w:cstheme="minorHAnsi"/>
          <w:sz w:val="22"/>
          <w:szCs w:val="22"/>
        </w:rPr>
        <w:t xml:space="preserve"> </w:t>
      </w:r>
      <w:r w:rsidR="579B1DB7" w:rsidRPr="002F5ED6">
        <w:rPr>
          <w:rFonts w:asciiTheme="minorHAnsi" w:hAnsiTheme="minorHAnsi" w:cstheme="minorHAnsi"/>
          <w:sz w:val="22"/>
          <w:szCs w:val="22"/>
        </w:rPr>
        <w:t>For purposes of th</w:t>
      </w:r>
      <w:r w:rsidR="00F44D2A" w:rsidRPr="002F5ED6">
        <w:rPr>
          <w:rFonts w:asciiTheme="minorHAnsi" w:hAnsiTheme="minorHAnsi" w:cstheme="minorHAnsi"/>
          <w:sz w:val="22"/>
          <w:szCs w:val="22"/>
        </w:rPr>
        <w:t>is resource mix study,</w:t>
      </w:r>
      <w:r w:rsidR="579B1DB7" w:rsidRPr="002F5ED6">
        <w:rPr>
          <w:rFonts w:asciiTheme="minorHAnsi" w:hAnsiTheme="minorHAnsi" w:cstheme="minorHAnsi"/>
          <w:sz w:val="22"/>
          <w:szCs w:val="22"/>
        </w:rPr>
        <w:t xml:space="preserve"> </w:t>
      </w:r>
      <w:r w:rsidR="33FCED84" w:rsidRPr="002F5ED6">
        <w:rPr>
          <w:rFonts w:asciiTheme="minorHAnsi" w:hAnsiTheme="minorHAnsi" w:cstheme="minorHAnsi"/>
          <w:sz w:val="22"/>
          <w:szCs w:val="22"/>
        </w:rPr>
        <w:t xml:space="preserve">a single scenario </w:t>
      </w:r>
      <w:r w:rsidR="00920758" w:rsidRPr="002F5ED6">
        <w:rPr>
          <w:rFonts w:asciiTheme="minorHAnsi" w:hAnsiTheme="minorHAnsi" w:cstheme="minorHAnsi"/>
          <w:sz w:val="22"/>
          <w:szCs w:val="22"/>
        </w:rPr>
        <w:t xml:space="preserve">is available upon the </w:t>
      </w:r>
      <w:r w:rsidR="0022297A" w:rsidRPr="002F5ED6">
        <w:rPr>
          <w:rFonts w:asciiTheme="minorHAnsi" w:hAnsiTheme="minorHAnsi" w:cstheme="minorHAnsi"/>
          <w:sz w:val="22"/>
          <w:szCs w:val="22"/>
        </w:rPr>
        <w:t>2023 IRP Update filing date</w:t>
      </w:r>
      <w:r w:rsidR="00E45A60" w:rsidRPr="002F5ED6">
        <w:rPr>
          <w:rFonts w:asciiTheme="minorHAnsi" w:hAnsiTheme="minorHAnsi" w:cstheme="minorHAnsi"/>
          <w:sz w:val="22"/>
          <w:szCs w:val="22"/>
        </w:rPr>
        <w:t>.</w:t>
      </w:r>
      <w:r w:rsidR="00F44D2A" w:rsidRPr="002F5ED6">
        <w:rPr>
          <w:rFonts w:asciiTheme="minorHAnsi" w:hAnsiTheme="minorHAnsi" w:cstheme="minorHAnsi"/>
          <w:sz w:val="22"/>
          <w:szCs w:val="22"/>
        </w:rPr>
        <w:t xml:space="preserve"> </w:t>
      </w:r>
      <w:r w:rsidR="00E45A60" w:rsidRPr="002F5ED6">
        <w:rPr>
          <w:rFonts w:asciiTheme="minorHAnsi" w:hAnsiTheme="minorHAnsi" w:cstheme="minorHAnsi"/>
          <w:sz w:val="22"/>
          <w:szCs w:val="22"/>
        </w:rPr>
        <w:t>H</w:t>
      </w:r>
      <w:r w:rsidR="00F44D2A" w:rsidRPr="002F5ED6">
        <w:rPr>
          <w:rFonts w:asciiTheme="minorHAnsi" w:hAnsiTheme="minorHAnsi" w:cstheme="minorHAnsi"/>
          <w:sz w:val="22"/>
          <w:szCs w:val="22"/>
        </w:rPr>
        <w:t>owever,</w:t>
      </w:r>
      <w:r w:rsidR="33FCED84" w:rsidRPr="002F5ED6">
        <w:rPr>
          <w:rFonts w:asciiTheme="minorHAnsi" w:hAnsiTheme="minorHAnsi" w:cstheme="minorHAnsi"/>
          <w:sz w:val="22"/>
          <w:szCs w:val="22"/>
        </w:rPr>
        <w:t xml:space="preserve"> </w:t>
      </w:r>
      <w:r w:rsidR="00E45A60" w:rsidRPr="002F5ED6">
        <w:rPr>
          <w:rFonts w:asciiTheme="minorHAnsi" w:hAnsiTheme="minorHAnsi" w:cstheme="minorHAnsi"/>
          <w:sz w:val="22"/>
          <w:szCs w:val="22"/>
        </w:rPr>
        <w:t>Georgia Power will file</w:t>
      </w:r>
      <w:r w:rsidR="33FCED84" w:rsidRPr="002F5ED6">
        <w:rPr>
          <w:rFonts w:asciiTheme="minorHAnsi" w:hAnsiTheme="minorHAnsi" w:cstheme="minorHAnsi"/>
          <w:sz w:val="22"/>
          <w:szCs w:val="22"/>
        </w:rPr>
        <w:t xml:space="preserve"> </w:t>
      </w:r>
      <w:r w:rsidR="00F44D2A" w:rsidRPr="002F5ED6">
        <w:rPr>
          <w:rFonts w:asciiTheme="minorHAnsi" w:hAnsiTheme="minorHAnsi" w:cstheme="minorHAnsi"/>
          <w:sz w:val="22"/>
          <w:szCs w:val="22"/>
        </w:rPr>
        <w:t>t</w:t>
      </w:r>
      <w:r w:rsidR="00D93023" w:rsidRPr="002F5ED6">
        <w:rPr>
          <w:rFonts w:asciiTheme="minorHAnsi" w:hAnsiTheme="minorHAnsi" w:cstheme="minorHAnsi"/>
          <w:sz w:val="22"/>
          <w:szCs w:val="22"/>
        </w:rPr>
        <w:t xml:space="preserve">he additional five scenarios in a supplemental </w:t>
      </w:r>
      <w:r w:rsidR="00E45A60" w:rsidRPr="002F5ED6">
        <w:rPr>
          <w:rFonts w:asciiTheme="minorHAnsi" w:hAnsiTheme="minorHAnsi" w:cstheme="minorHAnsi"/>
          <w:sz w:val="22"/>
          <w:szCs w:val="22"/>
        </w:rPr>
        <w:t>filing in the 2023 IRP Update docket</w:t>
      </w:r>
      <w:r w:rsidR="00D93023" w:rsidRPr="002F5ED6">
        <w:rPr>
          <w:rFonts w:asciiTheme="minorHAnsi" w:hAnsiTheme="minorHAnsi" w:cstheme="minorHAnsi"/>
          <w:sz w:val="22"/>
          <w:szCs w:val="22"/>
        </w:rPr>
        <w:t xml:space="preserve">. </w:t>
      </w:r>
      <w:r w:rsidR="00826A59" w:rsidRPr="002F5ED6">
        <w:rPr>
          <w:rFonts w:asciiTheme="minorHAnsi" w:hAnsiTheme="minorHAnsi" w:cstheme="minorHAnsi"/>
          <w:sz w:val="22"/>
          <w:szCs w:val="22"/>
        </w:rPr>
        <w:t>Shown in Figure</w:t>
      </w:r>
      <w:r w:rsidR="2A6F339B" w:rsidRPr="002F5ED6">
        <w:rPr>
          <w:rFonts w:asciiTheme="minorHAnsi" w:hAnsiTheme="minorHAnsi" w:cstheme="minorHAnsi"/>
          <w:sz w:val="22"/>
          <w:szCs w:val="22"/>
        </w:rPr>
        <w:t xml:space="preserve"> 2 is the generic capacity expansion plan (cumulative megawatts (“MW”) by 204</w:t>
      </w:r>
      <w:r w:rsidR="009A797D" w:rsidRPr="002F5ED6">
        <w:rPr>
          <w:rFonts w:asciiTheme="minorHAnsi" w:hAnsiTheme="minorHAnsi" w:cstheme="minorHAnsi"/>
          <w:sz w:val="22"/>
          <w:szCs w:val="22"/>
        </w:rPr>
        <w:t>3</w:t>
      </w:r>
      <w:r w:rsidR="2A6F339B" w:rsidRPr="002F5ED6">
        <w:rPr>
          <w:rFonts w:asciiTheme="minorHAnsi" w:hAnsiTheme="minorHAnsi" w:cstheme="minorHAnsi"/>
          <w:sz w:val="22"/>
          <w:szCs w:val="22"/>
        </w:rPr>
        <w:t>)</w:t>
      </w:r>
      <w:r w:rsidR="17198189" w:rsidRPr="002F5ED6">
        <w:rPr>
          <w:rFonts w:asciiTheme="minorHAnsi" w:hAnsiTheme="minorHAnsi" w:cstheme="minorHAnsi"/>
          <w:sz w:val="22"/>
          <w:szCs w:val="22"/>
        </w:rPr>
        <w:t xml:space="preserve"> for the </w:t>
      </w:r>
      <w:r w:rsidR="00DE6B12" w:rsidRPr="002F5ED6">
        <w:rPr>
          <w:rFonts w:asciiTheme="minorHAnsi" w:hAnsiTheme="minorHAnsi" w:cstheme="minorHAnsi"/>
          <w:sz w:val="22"/>
          <w:szCs w:val="22"/>
        </w:rPr>
        <w:t>moderate gas, zero</w:t>
      </w:r>
      <w:r w:rsidR="00822769" w:rsidRPr="002F5ED6">
        <w:rPr>
          <w:rFonts w:asciiTheme="minorHAnsi" w:hAnsiTheme="minorHAnsi" w:cstheme="minorHAnsi"/>
          <w:sz w:val="22"/>
          <w:szCs w:val="22"/>
        </w:rPr>
        <w:t>-dollar</w:t>
      </w:r>
      <w:r w:rsidR="17198189" w:rsidRPr="002F5ED6">
        <w:rPr>
          <w:rFonts w:asciiTheme="minorHAnsi" w:hAnsiTheme="minorHAnsi" w:cstheme="minorHAnsi"/>
          <w:sz w:val="22"/>
          <w:szCs w:val="22"/>
        </w:rPr>
        <w:t xml:space="preserve"> </w:t>
      </w:r>
      <w:r w:rsidR="00DE6B12" w:rsidRPr="002F5ED6">
        <w:rPr>
          <w:rFonts w:asciiTheme="minorHAnsi" w:hAnsiTheme="minorHAnsi" w:cstheme="minorHAnsi"/>
          <w:sz w:val="22"/>
          <w:szCs w:val="22"/>
        </w:rPr>
        <w:t>carbon</w:t>
      </w:r>
      <w:r w:rsidR="00822769" w:rsidRPr="002F5ED6">
        <w:rPr>
          <w:rFonts w:asciiTheme="minorHAnsi" w:hAnsiTheme="minorHAnsi" w:cstheme="minorHAnsi"/>
          <w:sz w:val="22"/>
          <w:szCs w:val="22"/>
        </w:rPr>
        <w:t xml:space="preserve"> (“MG0”)</w:t>
      </w:r>
      <w:r w:rsidR="00DE6B12" w:rsidRPr="002F5ED6">
        <w:rPr>
          <w:rFonts w:asciiTheme="minorHAnsi" w:hAnsiTheme="minorHAnsi" w:cstheme="minorHAnsi"/>
          <w:sz w:val="22"/>
          <w:szCs w:val="22"/>
        </w:rPr>
        <w:t xml:space="preserve"> </w:t>
      </w:r>
      <w:r w:rsidR="17198189" w:rsidRPr="002F5ED6">
        <w:rPr>
          <w:rFonts w:asciiTheme="minorHAnsi" w:hAnsiTheme="minorHAnsi" w:cstheme="minorHAnsi"/>
          <w:sz w:val="22"/>
          <w:szCs w:val="22"/>
        </w:rPr>
        <w:t xml:space="preserve">scenario. </w:t>
      </w:r>
    </w:p>
    <w:p w14:paraId="5806E504" w14:textId="2FE87D6A" w:rsidR="00160476" w:rsidRPr="002F5ED6" w:rsidRDefault="00160476">
      <w:pPr>
        <w:jc w:val="left"/>
        <w:rPr>
          <w:rFonts w:asciiTheme="minorHAnsi" w:hAnsiTheme="minorHAnsi" w:cstheme="minorHAnsi"/>
          <w:i/>
          <w:iCs/>
        </w:rPr>
      </w:pPr>
      <w:r w:rsidRPr="002F5ED6">
        <w:rPr>
          <w:rFonts w:asciiTheme="minorHAnsi" w:hAnsiTheme="minorHAnsi" w:cstheme="minorHAnsi"/>
          <w:i/>
          <w:iCs/>
        </w:rPr>
        <w:br w:type="page"/>
      </w:r>
    </w:p>
    <w:p w14:paraId="0520214E" w14:textId="77777777" w:rsidR="5AB5DAF9" w:rsidRPr="002F5ED6" w:rsidRDefault="5AB5DAF9" w:rsidP="00160476">
      <w:pPr>
        <w:rPr>
          <w:rFonts w:asciiTheme="minorHAnsi" w:hAnsiTheme="minorHAnsi" w:cstheme="minorHAnsi"/>
          <w:i/>
          <w:iCs/>
        </w:rPr>
      </w:pPr>
    </w:p>
    <w:p w14:paraId="71E0D859" w14:textId="156BC5A2" w:rsidR="00204E9F" w:rsidRPr="002F5ED6" w:rsidRDefault="00D37D5F" w:rsidP="00EA2F7F">
      <w:pPr>
        <w:jc w:val="center"/>
        <w:rPr>
          <w:rFonts w:asciiTheme="minorHAnsi" w:hAnsiTheme="minorHAnsi" w:cstheme="minorHAnsi"/>
          <w:i/>
          <w:iCs/>
        </w:rPr>
      </w:pPr>
      <w:r w:rsidRPr="00FD4D77">
        <w:rPr>
          <w:rFonts w:asciiTheme="minorHAnsi" w:hAnsiTheme="minorHAnsi" w:cstheme="minorHAnsi"/>
          <w:i/>
          <w:iCs/>
        </w:rPr>
        <w:t xml:space="preserve">Figure </w:t>
      </w:r>
      <w:r w:rsidR="00EA2F7F" w:rsidRPr="00FD4D77">
        <w:rPr>
          <w:rFonts w:asciiTheme="minorHAnsi" w:hAnsiTheme="minorHAnsi" w:cstheme="minorHAnsi"/>
          <w:i/>
          <w:iCs/>
        </w:rPr>
        <w:t xml:space="preserve">2: </w:t>
      </w:r>
      <w:r w:rsidRPr="00FD4D77">
        <w:rPr>
          <w:rFonts w:asciiTheme="minorHAnsi" w:hAnsiTheme="minorHAnsi" w:cstheme="minorHAnsi"/>
          <w:i/>
          <w:iCs/>
        </w:rPr>
        <w:t xml:space="preserve"> </w:t>
      </w:r>
      <w:r w:rsidR="009547D8" w:rsidRPr="00FD4D77">
        <w:rPr>
          <w:rFonts w:asciiTheme="minorHAnsi" w:hAnsiTheme="minorHAnsi" w:cstheme="minorHAnsi"/>
          <w:i/>
          <w:iCs/>
        </w:rPr>
        <w:t xml:space="preserve">2023 IRP Update </w:t>
      </w:r>
      <w:r w:rsidR="5971F471" w:rsidRPr="00FD4D77">
        <w:rPr>
          <w:rFonts w:asciiTheme="minorHAnsi" w:hAnsiTheme="minorHAnsi" w:cstheme="minorHAnsi"/>
          <w:i/>
          <w:iCs/>
        </w:rPr>
        <w:t>MG0</w:t>
      </w:r>
      <w:r w:rsidRPr="00FD4D77">
        <w:rPr>
          <w:rFonts w:asciiTheme="minorHAnsi" w:hAnsiTheme="minorHAnsi" w:cstheme="minorHAnsi"/>
          <w:i/>
          <w:iCs/>
        </w:rPr>
        <w:t xml:space="preserve"> Expansion Plan – Cumulative MW by 20</w:t>
      </w:r>
      <w:r w:rsidR="00204E9F" w:rsidRPr="00FD4D77">
        <w:rPr>
          <w:rFonts w:asciiTheme="minorHAnsi" w:hAnsiTheme="minorHAnsi" w:cstheme="minorHAnsi"/>
          <w:i/>
          <w:iCs/>
        </w:rPr>
        <w:t>4</w:t>
      </w:r>
      <w:r w:rsidR="009547D8" w:rsidRPr="00FD4D77">
        <w:rPr>
          <w:rFonts w:asciiTheme="minorHAnsi" w:hAnsiTheme="minorHAnsi" w:cstheme="minorHAnsi"/>
          <w:i/>
          <w:iCs/>
        </w:rPr>
        <w:t>3</w:t>
      </w:r>
    </w:p>
    <w:p w14:paraId="0D3589DC" w14:textId="77777777" w:rsidR="009A797D" w:rsidRPr="002F5ED6" w:rsidRDefault="009A797D" w:rsidP="00EA2F7F">
      <w:pPr>
        <w:jc w:val="center"/>
        <w:rPr>
          <w:rFonts w:asciiTheme="minorHAnsi" w:hAnsiTheme="minorHAnsi" w:cstheme="minorHAnsi"/>
          <w:sz w:val="22"/>
          <w:szCs w:val="22"/>
        </w:rPr>
      </w:pPr>
    </w:p>
    <w:p w14:paraId="29303F09" w14:textId="18DD8446" w:rsidR="3B958677" w:rsidRPr="002F5ED6" w:rsidRDefault="00387D8B" w:rsidP="30EEA533">
      <w:pPr>
        <w:jc w:val="cente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58240" behindDoc="1" locked="0" layoutInCell="1" allowOverlap="1" wp14:anchorId="052833E5" wp14:editId="1B30B92C">
                <wp:simplePos x="0" y="0"/>
                <wp:positionH relativeFrom="column">
                  <wp:posOffset>0</wp:posOffset>
                </wp:positionH>
                <wp:positionV relativeFrom="paragraph">
                  <wp:posOffset>151765</wp:posOffset>
                </wp:positionV>
                <wp:extent cx="6347460" cy="3398520"/>
                <wp:effectExtent l="0" t="0" r="15240" b="11430"/>
                <wp:wrapNone/>
                <wp:docPr id="1520331278" name="Rectangle 1520331278"/>
                <wp:cNvGraphicFramePr/>
                <a:graphic xmlns:a="http://schemas.openxmlformats.org/drawingml/2006/main">
                  <a:graphicData uri="http://schemas.microsoft.com/office/word/2010/wordprocessingShape">
                    <wps:wsp>
                      <wps:cNvSpPr/>
                      <wps:spPr>
                        <a:xfrm>
                          <a:off x="0" y="0"/>
                          <a:ext cx="6347460" cy="3398520"/>
                        </a:xfrm>
                        <a:prstGeom prst="rect">
                          <a:avLst/>
                        </a:prstGeom>
                      </wps:spPr>
                      <wps:style>
                        <a:lnRef idx="2">
                          <a:schemeClr val="dk1"/>
                        </a:lnRef>
                        <a:fillRef idx="1">
                          <a:schemeClr val="lt1"/>
                        </a:fillRef>
                        <a:effectRef idx="0">
                          <a:schemeClr val="dk1"/>
                        </a:effectRef>
                        <a:fontRef idx="minor">
                          <a:schemeClr val="dk1"/>
                        </a:fontRef>
                      </wps:style>
                      <wps:txbx>
                        <w:txbxContent>
                          <w:p w14:paraId="25E8D619" w14:textId="318826E3" w:rsidR="00387D8B" w:rsidRPr="00387D8B" w:rsidRDefault="00387D8B" w:rsidP="00387D8B">
                            <w:pPr>
                              <w:jc w:val="center"/>
                              <w:rPr>
                                <w:rFonts w:asciiTheme="minorHAnsi" w:hAnsiTheme="minorHAnsi" w:cstheme="minorHAnsi"/>
                                <w:b/>
                                <w:bCs/>
                                <w:sz w:val="22"/>
                                <w:szCs w:val="22"/>
                              </w:rPr>
                            </w:pPr>
                            <w:r w:rsidRPr="00387D8B">
                              <w:rPr>
                                <w:rFonts w:asciiTheme="minorHAnsi" w:hAnsiTheme="minorHAnsi" w:cstheme="minorHAnsi"/>
                                <w:b/>
                                <w:bCs/>
                                <w:sz w:val="22"/>
                                <w:szCs w:val="22"/>
                              </w:rPr>
                              <w:t>REDACTED</w:t>
                            </w:r>
                            <w:r w:rsidR="007E3BE7">
                              <w:rPr>
                                <w:noProof/>
                              </w:rPr>
                              <w:drawing>
                                <wp:inline distT="0" distB="0" distL="0" distR="0" wp14:anchorId="4F48AB7B" wp14:editId="5299E3FC">
                                  <wp:extent cx="6139180" cy="3260945"/>
                                  <wp:effectExtent l="0" t="0" r="0" b="0"/>
                                  <wp:docPr id="1138798426" name="Picture 1138798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6139180" cy="32609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2833E5" id="Rectangle 1520331278" o:spid="_x0000_s1026" style="position:absolute;left:0;text-align:left;margin-left:0;margin-top:11.95pt;width:499.8pt;height:267.6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" fillcolor="white [3201]" strokecolor="black [3200]" strokeweight="2pt">
                <v:textbox>
                  <w:txbxContent>
                    <w:p w14:paraId="25E8D619" w14:textId="318826E3" w:rsidR="00387D8B" w:rsidRPr="00387D8B" w:rsidRDefault="00387D8B" w:rsidP="00387D8B">
                      <w:pPr>
                        <w:jc w:val="center"/>
                        <w:rPr>
                          <w:rFonts w:asciiTheme="minorHAnsi" w:hAnsiTheme="minorHAnsi" w:cstheme="minorHAnsi"/>
                          <w:b/>
                          <w:bCs/>
                          <w:sz w:val="22"/>
                          <w:szCs w:val="22"/>
                        </w:rPr>
                      </w:pPr>
                      <w:r w:rsidRPr="00387D8B">
                        <w:rPr>
                          <w:rFonts w:asciiTheme="minorHAnsi" w:hAnsiTheme="minorHAnsi" w:cstheme="minorHAnsi"/>
                          <w:b/>
                          <w:bCs/>
                          <w:sz w:val="22"/>
                          <w:szCs w:val="22"/>
                        </w:rPr>
                        <w:t>REDACTED</w:t>
                      </w:r>
                      <w:r w:rsidR="007E3BE7">
                        <w:rPr>
                          <w:noProof/>
                        </w:rPr>
                        <w:drawing>
                          <wp:inline distT="0" distB="0" distL="0" distR="0" wp14:anchorId="4F48AB7B" wp14:editId="5299E3FC">
                            <wp:extent cx="6139180" cy="3260945"/>
                            <wp:effectExtent l="0" t="0" r="0" b="0"/>
                            <wp:docPr id="1138798426" name="Picture 1138798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6139180" cy="3260945"/>
                                    </a:xfrm>
                                    <a:prstGeom prst="rect">
                                      <a:avLst/>
                                    </a:prstGeom>
                                  </pic:spPr>
                                </pic:pic>
                              </a:graphicData>
                            </a:graphic>
                          </wp:inline>
                        </w:drawing>
                      </w:r>
                    </w:p>
                  </w:txbxContent>
                </v:textbox>
              </v:rect>
            </w:pict>
          </mc:Fallback>
        </mc:AlternateContent>
      </w:r>
    </w:p>
    <w:p w14:paraId="349B72AC" w14:textId="373C8269" w:rsidR="30EEA533" w:rsidRDefault="30EEA533" w:rsidP="008D51FB">
      <w:pPr>
        <w:jc w:val="center"/>
      </w:pPr>
    </w:p>
    <w:p w14:paraId="5E8ACCF6" w14:textId="6ECD0F9F" w:rsidR="0048286D" w:rsidRDefault="0048286D" w:rsidP="00D93023">
      <w:pPr>
        <w:jc w:val="center"/>
      </w:pPr>
    </w:p>
    <w:p w14:paraId="29517EB3" w14:textId="0FDE22FE" w:rsidR="00785816" w:rsidRPr="002F5ED6" w:rsidRDefault="00785816" w:rsidP="00785816">
      <w:pPr>
        <w:pStyle w:val="Heading1"/>
        <w:jc w:val="both"/>
        <w:rPr>
          <w:rFonts w:asciiTheme="minorHAnsi" w:hAnsiTheme="minorHAnsi" w:cstheme="minorHAnsi"/>
          <w:sz w:val="24"/>
          <w:szCs w:val="16"/>
        </w:rPr>
      </w:pPr>
      <w:bookmarkStart w:id="2" w:name="_Toc305487187"/>
      <w:r w:rsidRPr="002F5ED6">
        <w:rPr>
          <w:rFonts w:asciiTheme="minorHAnsi" w:hAnsiTheme="minorHAnsi" w:cstheme="minorHAnsi"/>
          <w:sz w:val="24"/>
          <w:szCs w:val="16"/>
        </w:rPr>
        <w:t>ASSUMPTIO</w:t>
      </w:r>
      <w:r w:rsidR="009547D8" w:rsidRPr="002F5ED6">
        <w:rPr>
          <w:rFonts w:asciiTheme="minorHAnsi" w:hAnsiTheme="minorHAnsi" w:cstheme="minorHAnsi"/>
          <w:sz w:val="24"/>
          <w:szCs w:val="16"/>
        </w:rPr>
        <w:t>N</w:t>
      </w:r>
      <w:r w:rsidRPr="002F5ED6">
        <w:rPr>
          <w:rFonts w:asciiTheme="minorHAnsi" w:hAnsiTheme="minorHAnsi" w:cstheme="minorHAnsi"/>
          <w:sz w:val="24"/>
          <w:szCs w:val="16"/>
        </w:rPr>
        <w:t>S</w:t>
      </w:r>
      <w:bookmarkEnd w:id="2"/>
    </w:p>
    <w:p w14:paraId="36766288" w14:textId="29E80892" w:rsidR="00785816" w:rsidRPr="002F5ED6" w:rsidRDefault="3B2018CF" w:rsidP="00785816">
      <w:pPr>
        <w:spacing w:line="360" w:lineRule="atLeast"/>
        <w:rPr>
          <w:rFonts w:asciiTheme="minorHAnsi" w:hAnsiTheme="minorHAnsi" w:cstheme="minorHAnsi"/>
          <w:sz w:val="22"/>
          <w:szCs w:val="22"/>
        </w:rPr>
      </w:pPr>
      <w:r w:rsidRPr="002F5ED6">
        <w:rPr>
          <w:rFonts w:asciiTheme="minorHAnsi" w:hAnsiTheme="minorHAnsi" w:cstheme="minorHAnsi"/>
          <w:sz w:val="22"/>
          <w:szCs w:val="22"/>
        </w:rPr>
        <w:t>The key inputs to the study are the cost of capital and escalation rates, a reliability criterion</w:t>
      </w:r>
      <w:r w:rsidR="4152C5CF" w:rsidRPr="002F5ED6">
        <w:rPr>
          <w:rFonts w:asciiTheme="minorHAnsi" w:hAnsiTheme="minorHAnsi" w:cstheme="minorHAnsi"/>
          <w:sz w:val="22"/>
          <w:szCs w:val="22"/>
        </w:rPr>
        <w:t xml:space="preserve"> represented by the Target Reserve Margin</w:t>
      </w:r>
      <w:r w:rsidRPr="002F5ED6">
        <w:rPr>
          <w:rFonts w:asciiTheme="minorHAnsi" w:hAnsiTheme="minorHAnsi" w:cstheme="minorHAnsi"/>
          <w:sz w:val="22"/>
          <w:szCs w:val="22"/>
        </w:rPr>
        <w:t xml:space="preserve">, the operating data and retirement or projected unavailability dates of existing and committed generating units, projected </w:t>
      </w:r>
      <w:r w:rsidR="3679A0DF" w:rsidRPr="002F5ED6">
        <w:rPr>
          <w:rFonts w:asciiTheme="minorHAnsi" w:hAnsiTheme="minorHAnsi" w:cstheme="minorHAnsi"/>
          <w:sz w:val="22"/>
          <w:szCs w:val="22"/>
        </w:rPr>
        <w:t>demand side options (“</w:t>
      </w:r>
      <w:r w:rsidRPr="002F5ED6">
        <w:rPr>
          <w:rFonts w:asciiTheme="minorHAnsi" w:hAnsiTheme="minorHAnsi" w:cstheme="minorHAnsi"/>
          <w:sz w:val="22"/>
          <w:szCs w:val="22"/>
        </w:rPr>
        <w:t>DSOs</w:t>
      </w:r>
      <w:r w:rsidR="7A43E688" w:rsidRPr="002F5ED6">
        <w:rPr>
          <w:rFonts w:asciiTheme="minorHAnsi" w:hAnsiTheme="minorHAnsi" w:cstheme="minorHAnsi"/>
          <w:sz w:val="22"/>
          <w:szCs w:val="22"/>
        </w:rPr>
        <w:t>”)</w:t>
      </w:r>
      <w:r w:rsidRPr="002F5ED6">
        <w:rPr>
          <w:rFonts w:asciiTheme="minorHAnsi" w:hAnsiTheme="minorHAnsi" w:cstheme="minorHAnsi"/>
          <w:sz w:val="22"/>
          <w:szCs w:val="22"/>
        </w:rPr>
        <w:t>, load forecasts, fuel forecasts, and costs and performance characteristics of candidate generating technologies. The following provides details for each of these key inputs.</w:t>
      </w:r>
    </w:p>
    <w:p w14:paraId="76AEDC83" w14:textId="77777777" w:rsidR="00785816" w:rsidRPr="002F5ED6" w:rsidRDefault="00785816" w:rsidP="00785816">
      <w:pPr>
        <w:spacing w:line="360" w:lineRule="atLeast"/>
        <w:rPr>
          <w:rFonts w:asciiTheme="minorHAnsi" w:hAnsiTheme="minorHAnsi" w:cstheme="minorHAnsi"/>
          <w:sz w:val="22"/>
          <w:szCs w:val="22"/>
        </w:rPr>
      </w:pPr>
    </w:p>
    <w:p w14:paraId="2D4E7704" w14:textId="77777777" w:rsidR="00785816" w:rsidRPr="002F5ED6" w:rsidRDefault="00785816" w:rsidP="00785816">
      <w:pPr>
        <w:pStyle w:val="Heading2"/>
        <w:spacing w:line="360" w:lineRule="atLeast"/>
        <w:ind w:left="846"/>
        <w:rPr>
          <w:rFonts w:asciiTheme="minorHAnsi" w:hAnsiTheme="minorHAnsi" w:cstheme="minorHAnsi"/>
          <w:b w:val="0"/>
          <w:bCs/>
          <w:i/>
          <w:iCs/>
          <w:sz w:val="22"/>
          <w:szCs w:val="22"/>
        </w:rPr>
      </w:pPr>
      <w:bookmarkStart w:id="3" w:name="_Toc305487198"/>
      <w:r w:rsidRPr="002F5ED6">
        <w:rPr>
          <w:rFonts w:asciiTheme="minorHAnsi" w:hAnsiTheme="minorHAnsi" w:cstheme="minorHAnsi"/>
          <w:b w:val="0"/>
          <w:bCs/>
          <w:i/>
          <w:iCs/>
          <w:sz w:val="22"/>
          <w:szCs w:val="22"/>
        </w:rPr>
        <w:t>FINANCIAL ASSUMPTIONS</w:t>
      </w:r>
      <w:bookmarkEnd w:id="3"/>
    </w:p>
    <w:p w14:paraId="36389DCF" w14:textId="5CFB0429" w:rsidR="00785816" w:rsidRPr="002F5ED6" w:rsidRDefault="3B2018CF" w:rsidP="00785816">
      <w:pPr>
        <w:pStyle w:val="Default"/>
        <w:spacing w:line="360" w:lineRule="atLeast"/>
        <w:rPr>
          <w:rFonts w:asciiTheme="minorHAnsi" w:hAnsiTheme="minorHAnsi" w:cstheme="minorHAnsi"/>
          <w:color w:val="auto"/>
          <w:sz w:val="22"/>
          <w:szCs w:val="22"/>
        </w:rPr>
      </w:pPr>
      <w:bookmarkStart w:id="4" w:name="_Hlk519257271"/>
      <w:r w:rsidRPr="002F5ED6">
        <w:rPr>
          <w:rFonts w:asciiTheme="minorHAnsi" w:hAnsiTheme="minorHAnsi" w:cstheme="minorHAnsi"/>
          <w:color w:val="auto"/>
          <w:sz w:val="22"/>
          <w:szCs w:val="22"/>
        </w:rPr>
        <w:t>Cost of capital rates are based on the Markit June 202</w:t>
      </w:r>
      <w:r w:rsidR="7072E0C4" w:rsidRPr="002F5ED6">
        <w:rPr>
          <w:rFonts w:asciiTheme="minorHAnsi" w:hAnsiTheme="minorHAnsi" w:cstheme="minorHAnsi"/>
          <w:color w:val="auto"/>
          <w:sz w:val="22"/>
          <w:szCs w:val="22"/>
        </w:rPr>
        <w:t>3</w:t>
      </w:r>
      <w:r w:rsidRPr="002F5ED6">
        <w:rPr>
          <w:rFonts w:asciiTheme="minorHAnsi" w:hAnsiTheme="minorHAnsi" w:cstheme="minorHAnsi"/>
          <w:color w:val="auto"/>
          <w:sz w:val="22"/>
          <w:szCs w:val="22"/>
        </w:rPr>
        <w:t xml:space="preserve"> forecast. Table </w:t>
      </w:r>
      <w:r w:rsidR="0BA8C9F9" w:rsidRPr="002F5ED6">
        <w:rPr>
          <w:rFonts w:asciiTheme="minorHAnsi" w:hAnsiTheme="minorHAnsi" w:cstheme="minorHAnsi"/>
          <w:color w:val="auto"/>
          <w:sz w:val="22"/>
          <w:szCs w:val="22"/>
        </w:rPr>
        <w:t>1</w:t>
      </w:r>
      <w:r w:rsidRPr="002F5ED6">
        <w:rPr>
          <w:rFonts w:asciiTheme="minorHAnsi" w:hAnsiTheme="minorHAnsi" w:cstheme="minorHAnsi"/>
          <w:color w:val="auto"/>
          <w:sz w:val="22"/>
          <w:szCs w:val="22"/>
        </w:rPr>
        <w:t xml:space="preserve"> details the capital structure and weighted costs used in the Mix Study.</w:t>
      </w:r>
    </w:p>
    <w:bookmarkEnd w:id="4"/>
    <w:p w14:paraId="77B0138D" w14:textId="77777777" w:rsidR="00785816" w:rsidRPr="002F5ED6" w:rsidRDefault="00785816" w:rsidP="0048286D">
      <w:pPr>
        <w:rPr>
          <w:rFonts w:asciiTheme="minorHAnsi" w:hAnsiTheme="minorHAnsi" w:cstheme="minorHAnsi"/>
          <w:b/>
          <w:bCs/>
          <w:sz w:val="22"/>
          <w:szCs w:val="22"/>
        </w:rPr>
      </w:pPr>
    </w:p>
    <w:p w14:paraId="1E3ACF17" w14:textId="3A7A3FAD" w:rsidR="00F53C8F" w:rsidRPr="002F5ED6" w:rsidRDefault="001E1F62" w:rsidP="001E1F62">
      <w:pPr>
        <w:pStyle w:val="TableHead"/>
        <w:numPr>
          <w:ilvl w:val="0"/>
          <w:numId w:val="0"/>
        </w:numPr>
        <w:spacing w:line="360" w:lineRule="atLeast"/>
        <w:ind w:left="58"/>
        <w:rPr>
          <w:rFonts w:asciiTheme="minorHAnsi" w:hAnsiTheme="minorHAnsi" w:cstheme="minorHAnsi"/>
          <w:i/>
          <w:iCs/>
          <w:sz w:val="20"/>
        </w:rPr>
      </w:pPr>
      <w:bookmarkStart w:id="5" w:name="_Toc305487188"/>
      <w:bookmarkEnd w:id="1"/>
      <w:r w:rsidRPr="00FD4D77">
        <w:rPr>
          <w:rFonts w:asciiTheme="minorHAnsi" w:hAnsiTheme="minorHAnsi" w:cstheme="minorHAnsi"/>
          <w:i/>
          <w:sz w:val="20"/>
        </w:rPr>
        <w:t xml:space="preserve">Table 1: </w:t>
      </w:r>
      <w:r w:rsidR="00F53C8F" w:rsidRPr="00FD4D77">
        <w:rPr>
          <w:rFonts w:asciiTheme="minorHAnsi" w:hAnsiTheme="minorHAnsi" w:cstheme="minorHAnsi"/>
          <w:i/>
          <w:sz w:val="20"/>
        </w:rPr>
        <w:t>Capital Structure</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70"/>
        <w:gridCol w:w="1470"/>
        <w:gridCol w:w="1470"/>
        <w:gridCol w:w="1440"/>
        <w:gridCol w:w="1530"/>
        <w:gridCol w:w="1440"/>
      </w:tblGrid>
      <w:tr w:rsidR="00F53C8F" w:rsidRPr="002F5ED6" w14:paraId="47FC228C" w14:textId="77777777" w:rsidTr="13595B4F">
        <w:trPr>
          <w:cantSplit/>
          <w:trHeight w:val="480"/>
          <w:tblHeader/>
          <w:jc w:val="center"/>
        </w:trPr>
        <w:tc>
          <w:tcPr>
            <w:tcW w:w="1470" w:type="dxa"/>
            <w:shd w:val="clear" w:color="auto" w:fill="0070C0"/>
            <w:vAlign w:val="center"/>
          </w:tcPr>
          <w:p w14:paraId="51276724" w14:textId="77777777" w:rsidR="00F53C8F" w:rsidRPr="002F5ED6" w:rsidRDefault="00F53C8F" w:rsidP="006E58A5">
            <w:pPr>
              <w:spacing w:line="360" w:lineRule="atLeast"/>
              <w:ind w:left="360" w:hanging="360"/>
              <w:jc w:val="center"/>
              <w:rPr>
                <w:rFonts w:asciiTheme="minorHAnsi" w:hAnsiTheme="minorHAnsi" w:cstheme="minorHAnsi"/>
                <w:b/>
                <w:color w:val="FFFFFF" w:themeColor="background1"/>
                <w:sz w:val="22"/>
              </w:rPr>
            </w:pPr>
            <w:r w:rsidRPr="002F5ED6">
              <w:rPr>
                <w:rFonts w:asciiTheme="minorHAnsi" w:hAnsiTheme="minorHAnsi" w:cstheme="minorHAnsi"/>
                <w:b/>
                <w:color w:val="FFFFFF" w:themeColor="background1"/>
                <w:sz w:val="22"/>
              </w:rPr>
              <w:t>Component</w:t>
            </w:r>
          </w:p>
        </w:tc>
        <w:tc>
          <w:tcPr>
            <w:tcW w:w="1470" w:type="dxa"/>
            <w:shd w:val="clear" w:color="auto" w:fill="0070C0"/>
            <w:vAlign w:val="center"/>
          </w:tcPr>
          <w:p w14:paraId="6FACBC59" w14:textId="77777777" w:rsidR="00F53C8F" w:rsidRPr="002F5ED6" w:rsidRDefault="00F53C8F" w:rsidP="006E58A5">
            <w:pPr>
              <w:spacing w:line="360" w:lineRule="atLeast"/>
              <w:ind w:left="360" w:hanging="360"/>
              <w:jc w:val="center"/>
              <w:rPr>
                <w:rFonts w:asciiTheme="minorHAnsi" w:hAnsiTheme="minorHAnsi" w:cstheme="minorHAnsi"/>
                <w:b/>
                <w:color w:val="FFFFFF" w:themeColor="background1"/>
                <w:sz w:val="22"/>
              </w:rPr>
            </w:pPr>
            <w:r w:rsidRPr="002F5ED6">
              <w:rPr>
                <w:rFonts w:asciiTheme="minorHAnsi" w:hAnsiTheme="minorHAnsi" w:cstheme="minorHAnsi"/>
                <w:b/>
                <w:color w:val="FFFFFF" w:themeColor="background1"/>
                <w:sz w:val="22"/>
              </w:rPr>
              <w:t>Ratio</w:t>
            </w:r>
          </w:p>
        </w:tc>
        <w:tc>
          <w:tcPr>
            <w:tcW w:w="1470" w:type="dxa"/>
            <w:shd w:val="clear" w:color="auto" w:fill="0070C0"/>
            <w:vAlign w:val="center"/>
          </w:tcPr>
          <w:p w14:paraId="50C28E3A" w14:textId="77777777" w:rsidR="00F53C8F" w:rsidRPr="002F5ED6" w:rsidRDefault="00F53C8F" w:rsidP="006E58A5">
            <w:pPr>
              <w:spacing w:line="360" w:lineRule="atLeast"/>
              <w:ind w:left="360" w:hanging="360"/>
              <w:jc w:val="center"/>
              <w:rPr>
                <w:rFonts w:asciiTheme="minorHAnsi" w:hAnsiTheme="minorHAnsi" w:cstheme="minorHAnsi"/>
                <w:b/>
                <w:color w:val="FFFFFF" w:themeColor="background1"/>
                <w:sz w:val="22"/>
              </w:rPr>
            </w:pPr>
            <w:r w:rsidRPr="002F5ED6">
              <w:rPr>
                <w:rFonts w:asciiTheme="minorHAnsi" w:hAnsiTheme="minorHAnsi" w:cstheme="minorHAnsi"/>
                <w:b/>
                <w:color w:val="FFFFFF" w:themeColor="background1"/>
                <w:sz w:val="22"/>
              </w:rPr>
              <w:t>Cost</w:t>
            </w:r>
          </w:p>
        </w:tc>
        <w:tc>
          <w:tcPr>
            <w:tcW w:w="1440" w:type="dxa"/>
            <w:shd w:val="clear" w:color="auto" w:fill="0070C0"/>
            <w:vAlign w:val="center"/>
          </w:tcPr>
          <w:p w14:paraId="52D7367D" w14:textId="77777777" w:rsidR="00F53C8F" w:rsidRPr="002F5ED6" w:rsidRDefault="00F53C8F" w:rsidP="006E58A5">
            <w:pPr>
              <w:spacing w:line="360" w:lineRule="atLeast"/>
              <w:ind w:left="360" w:hanging="360"/>
              <w:jc w:val="center"/>
              <w:rPr>
                <w:rFonts w:asciiTheme="minorHAnsi" w:hAnsiTheme="minorHAnsi" w:cstheme="minorHAnsi"/>
                <w:b/>
                <w:color w:val="FFFFFF" w:themeColor="background1"/>
                <w:sz w:val="22"/>
              </w:rPr>
            </w:pPr>
            <w:r w:rsidRPr="002F5ED6">
              <w:rPr>
                <w:rFonts w:asciiTheme="minorHAnsi" w:hAnsiTheme="minorHAnsi" w:cstheme="minorHAnsi"/>
                <w:b/>
                <w:color w:val="FFFFFF" w:themeColor="background1"/>
                <w:sz w:val="22"/>
              </w:rPr>
              <w:t>Weighted</w:t>
            </w:r>
          </w:p>
        </w:tc>
        <w:tc>
          <w:tcPr>
            <w:tcW w:w="1530" w:type="dxa"/>
            <w:shd w:val="clear" w:color="auto" w:fill="0070C0"/>
            <w:vAlign w:val="center"/>
          </w:tcPr>
          <w:p w14:paraId="25523713" w14:textId="6516C6DB" w:rsidR="00F53C8F" w:rsidRPr="002F5ED6" w:rsidRDefault="00F53C8F" w:rsidP="008362F7">
            <w:pPr>
              <w:spacing w:line="360" w:lineRule="atLeast"/>
              <w:ind w:left="-29" w:hanging="29"/>
              <w:jc w:val="center"/>
              <w:rPr>
                <w:rFonts w:asciiTheme="minorHAnsi" w:hAnsiTheme="minorHAnsi" w:cstheme="minorHAnsi"/>
                <w:b/>
                <w:color w:val="FFFFFF" w:themeColor="background1"/>
                <w:sz w:val="22"/>
              </w:rPr>
            </w:pPr>
            <w:r w:rsidRPr="002F5ED6">
              <w:rPr>
                <w:rFonts w:asciiTheme="minorHAnsi" w:hAnsiTheme="minorHAnsi" w:cstheme="minorHAnsi"/>
                <w:b/>
                <w:color w:val="FFFFFF" w:themeColor="background1"/>
                <w:sz w:val="22"/>
              </w:rPr>
              <w:t>After Tax</w:t>
            </w:r>
            <w:r w:rsidR="008362F7" w:rsidRPr="002F5ED6">
              <w:rPr>
                <w:rFonts w:asciiTheme="minorHAnsi" w:hAnsiTheme="minorHAnsi" w:cstheme="minorHAnsi"/>
                <w:b/>
                <w:color w:val="FFFFFF" w:themeColor="background1"/>
                <w:sz w:val="22"/>
              </w:rPr>
              <w:t xml:space="preserve"> Hurdle Rate</w:t>
            </w:r>
          </w:p>
        </w:tc>
        <w:tc>
          <w:tcPr>
            <w:tcW w:w="1440" w:type="dxa"/>
            <w:shd w:val="clear" w:color="auto" w:fill="0070C0"/>
            <w:vAlign w:val="center"/>
          </w:tcPr>
          <w:p w14:paraId="5E178953" w14:textId="5D48D722" w:rsidR="00F53C8F" w:rsidRPr="002F5ED6" w:rsidRDefault="008362F7" w:rsidP="008362F7">
            <w:pPr>
              <w:spacing w:line="360" w:lineRule="atLeast"/>
              <w:ind w:left="-29" w:hanging="29"/>
              <w:jc w:val="center"/>
              <w:rPr>
                <w:rFonts w:asciiTheme="minorHAnsi" w:hAnsiTheme="minorHAnsi" w:cstheme="minorHAnsi"/>
                <w:b/>
                <w:color w:val="FFFFFF" w:themeColor="background1"/>
                <w:sz w:val="22"/>
              </w:rPr>
            </w:pPr>
            <w:r w:rsidRPr="002F5ED6">
              <w:rPr>
                <w:rFonts w:asciiTheme="minorHAnsi" w:hAnsiTheme="minorHAnsi" w:cstheme="minorHAnsi"/>
                <w:b/>
                <w:color w:val="FFFFFF" w:themeColor="background1"/>
                <w:sz w:val="22"/>
              </w:rPr>
              <w:t>Revenue Requirement Rate</w:t>
            </w:r>
          </w:p>
        </w:tc>
      </w:tr>
      <w:tr w:rsidR="00FD4D77" w:rsidRPr="002F5ED6" w14:paraId="3E39172C" w14:textId="77777777" w:rsidTr="00347404">
        <w:trPr>
          <w:cantSplit/>
          <w:jc w:val="center"/>
        </w:trPr>
        <w:tc>
          <w:tcPr>
            <w:tcW w:w="1470" w:type="dxa"/>
            <w:vAlign w:val="center"/>
          </w:tcPr>
          <w:p w14:paraId="2EC63631" w14:textId="7EC2C8AD" w:rsidR="00FD4D77" w:rsidRPr="002F5ED6" w:rsidRDefault="00FD4D77" w:rsidP="00FD4D77">
            <w:pPr>
              <w:spacing w:before="240" w:after="120" w:line="360" w:lineRule="atLeast"/>
              <w:ind w:left="360" w:hanging="360"/>
              <w:jc w:val="center"/>
              <w:rPr>
                <w:rFonts w:asciiTheme="minorHAnsi" w:hAnsiTheme="minorHAnsi" w:cstheme="minorHAnsi"/>
                <w:sz w:val="22"/>
              </w:rPr>
            </w:pPr>
            <w:r w:rsidRPr="002F5ED6">
              <w:rPr>
                <w:rFonts w:asciiTheme="minorHAnsi" w:hAnsiTheme="minorHAnsi" w:cstheme="minorHAnsi"/>
                <w:sz w:val="22"/>
              </w:rPr>
              <w:t>Debt</w:t>
            </w:r>
          </w:p>
        </w:tc>
        <w:tc>
          <w:tcPr>
            <w:tcW w:w="1470" w:type="dxa"/>
            <w:vAlign w:val="center"/>
          </w:tcPr>
          <w:p w14:paraId="0519CDC5" w14:textId="77777777" w:rsidR="00FD4D77" w:rsidRPr="002F5ED6" w:rsidRDefault="00FD4D77" w:rsidP="00FD4D77">
            <w:pPr>
              <w:spacing w:before="240" w:after="120" w:line="360" w:lineRule="atLeast"/>
              <w:ind w:left="360" w:hanging="360"/>
              <w:jc w:val="center"/>
              <w:rPr>
                <w:rFonts w:asciiTheme="minorHAnsi" w:hAnsiTheme="minorHAnsi" w:cstheme="minorHAnsi"/>
                <w:sz w:val="22"/>
              </w:rPr>
            </w:pPr>
            <w:r w:rsidRPr="002F5ED6">
              <w:rPr>
                <w:rFonts w:asciiTheme="minorHAnsi" w:hAnsiTheme="minorHAnsi" w:cstheme="minorHAnsi"/>
                <w:sz w:val="22"/>
              </w:rPr>
              <w:t>45%</w:t>
            </w:r>
          </w:p>
        </w:tc>
        <w:tc>
          <w:tcPr>
            <w:tcW w:w="1470" w:type="dxa"/>
            <w:vAlign w:val="center"/>
          </w:tcPr>
          <w:p w14:paraId="49F7BB7C" w14:textId="07E92A26" w:rsidR="00FD4D77" w:rsidRPr="00FD4D77" w:rsidRDefault="00FD4D77" w:rsidP="00FD4D77">
            <w:pPr>
              <w:spacing w:before="240" w:after="120" w:line="360" w:lineRule="atLeast"/>
              <w:ind w:left="360" w:hanging="360"/>
              <w:jc w:val="center"/>
              <w:rPr>
                <w:rFonts w:asciiTheme="minorHAnsi" w:hAnsiTheme="minorHAnsi" w:cstheme="minorHAnsi"/>
                <w:b/>
                <w:bCs/>
                <w:sz w:val="22"/>
                <w:szCs w:val="22"/>
                <w:highlight w:val="yellow"/>
              </w:rPr>
            </w:pPr>
            <w:r w:rsidRPr="00FD4D77">
              <w:rPr>
                <w:rFonts w:asciiTheme="minorHAnsi" w:hAnsiTheme="minorHAnsi" w:cstheme="minorHAnsi"/>
                <w:b/>
                <w:bCs/>
                <w:sz w:val="22"/>
                <w:szCs w:val="22"/>
              </w:rPr>
              <w:t>REDACTED</w:t>
            </w:r>
          </w:p>
        </w:tc>
        <w:tc>
          <w:tcPr>
            <w:tcW w:w="1440" w:type="dxa"/>
          </w:tcPr>
          <w:p w14:paraId="3FE05160" w14:textId="0AA5D387" w:rsidR="00FD4D77" w:rsidRPr="002F5ED6" w:rsidRDefault="00FD4D77" w:rsidP="00FD4D77">
            <w:pPr>
              <w:spacing w:before="240" w:after="120" w:line="360" w:lineRule="atLeast"/>
              <w:ind w:left="360" w:hanging="360"/>
              <w:jc w:val="center"/>
              <w:rPr>
                <w:rFonts w:asciiTheme="minorHAnsi" w:hAnsiTheme="minorHAnsi" w:cstheme="minorHAnsi"/>
                <w:sz w:val="22"/>
                <w:szCs w:val="22"/>
                <w:highlight w:val="yellow"/>
              </w:rPr>
            </w:pPr>
            <w:r w:rsidRPr="00EC792C">
              <w:rPr>
                <w:rFonts w:asciiTheme="minorHAnsi" w:hAnsiTheme="minorHAnsi" w:cstheme="minorHAnsi"/>
                <w:b/>
                <w:bCs/>
                <w:sz w:val="22"/>
                <w:szCs w:val="22"/>
              </w:rPr>
              <w:t>REDACTED</w:t>
            </w:r>
          </w:p>
        </w:tc>
        <w:tc>
          <w:tcPr>
            <w:tcW w:w="1530" w:type="dxa"/>
          </w:tcPr>
          <w:p w14:paraId="1B9E94BD" w14:textId="4B8508B5" w:rsidR="00FD4D77" w:rsidRPr="002F5ED6" w:rsidRDefault="00FD4D77" w:rsidP="00FD4D77">
            <w:pPr>
              <w:spacing w:before="240" w:after="120" w:line="360" w:lineRule="atLeast"/>
              <w:ind w:left="360" w:hanging="360"/>
              <w:jc w:val="center"/>
              <w:rPr>
                <w:rFonts w:asciiTheme="minorHAnsi" w:hAnsiTheme="minorHAnsi" w:cstheme="minorHAnsi"/>
                <w:sz w:val="22"/>
                <w:highlight w:val="yellow"/>
              </w:rPr>
            </w:pPr>
            <w:r w:rsidRPr="00EC792C">
              <w:rPr>
                <w:rFonts w:asciiTheme="minorHAnsi" w:hAnsiTheme="minorHAnsi" w:cstheme="minorHAnsi"/>
                <w:b/>
                <w:bCs/>
                <w:sz w:val="22"/>
                <w:szCs w:val="22"/>
              </w:rPr>
              <w:t>REDACTED</w:t>
            </w:r>
          </w:p>
        </w:tc>
        <w:tc>
          <w:tcPr>
            <w:tcW w:w="1440" w:type="dxa"/>
          </w:tcPr>
          <w:p w14:paraId="2DBCC75D" w14:textId="621ADEC6" w:rsidR="00FD4D77" w:rsidRPr="002F5ED6" w:rsidRDefault="00FD4D77" w:rsidP="00FD4D77">
            <w:pPr>
              <w:spacing w:before="240" w:after="120" w:line="360" w:lineRule="atLeast"/>
              <w:ind w:left="360" w:hanging="360"/>
              <w:jc w:val="center"/>
              <w:rPr>
                <w:rFonts w:asciiTheme="minorHAnsi" w:hAnsiTheme="minorHAnsi" w:cstheme="minorHAnsi"/>
                <w:sz w:val="22"/>
                <w:highlight w:val="yellow"/>
              </w:rPr>
            </w:pPr>
            <w:r w:rsidRPr="00EC792C">
              <w:rPr>
                <w:rFonts w:asciiTheme="minorHAnsi" w:hAnsiTheme="minorHAnsi" w:cstheme="minorHAnsi"/>
                <w:b/>
                <w:bCs/>
                <w:sz w:val="22"/>
                <w:szCs w:val="22"/>
              </w:rPr>
              <w:t>REDACTED</w:t>
            </w:r>
          </w:p>
        </w:tc>
      </w:tr>
      <w:tr w:rsidR="00FD4D77" w:rsidRPr="002F5ED6" w14:paraId="00A9D653" w14:textId="77777777" w:rsidTr="00347404">
        <w:trPr>
          <w:cantSplit/>
          <w:jc w:val="center"/>
        </w:trPr>
        <w:tc>
          <w:tcPr>
            <w:tcW w:w="1470" w:type="dxa"/>
            <w:vAlign w:val="center"/>
          </w:tcPr>
          <w:p w14:paraId="2F3ACB67" w14:textId="11999461" w:rsidR="00FD4D77" w:rsidRPr="002F5ED6" w:rsidRDefault="00FD4D77" w:rsidP="00FD4D77">
            <w:pPr>
              <w:spacing w:before="240" w:after="120" w:line="360" w:lineRule="atLeast"/>
              <w:ind w:left="360" w:hanging="360"/>
              <w:jc w:val="center"/>
              <w:rPr>
                <w:rFonts w:asciiTheme="minorHAnsi" w:hAnsiTheme="minorHAnsi" w:cstheme="minorHAnsi"/>
                <w:sz w:val="22"/>
              </w:rPr>
            </w:pPr>
            <w:r w:rsidRPr="002F5ED6">
              <w:rPr>
                <w:rFonts w:asciiTheme="minorHAnsi" w:hAnsiTheme="minorHAnsi" w:cstheme="minorHAnsi"/>
                <w:sz w:val="22"/>
              </w:rPr>
              <w:t>Equity</w:t>
            </w:r>
          </w:p>
        </w:tc>
        <w:tc>
          <w:tcPr>
            <w:tcW w:w="1470" w:type="dxa"/>
            <w:vAlign w:val="center"/>
          </w:tcPr>
          <w:p w14:paraId="7D99EEC7" w14:textId="77777777" w:rsidR="00FD4D77" w:rsidRPr="002F5ED6" w:rsidRDefault="00FD4D77" w:rsidP="00FD4D77">
            <w:pPr>
              <w:spacing w:before="240" w:after="120" w:line="360" w:lineRule="atLeast"/>
              <w:ind w:left="360" w:hanging="360"/>
              <w:jc w:val="center"/>
              <w:rPr>
                <w:rFonts w:asciiTheme="minorHAnsi" w:hAnsiTheme="minorHAnsi" w:cstheme="minorHAnsi"/>
                <w:sz w:val="22"/>
              </w:rPr>
            </w:pPr>
            <w:r w:rsidRPr="002F5ED6">
              <w:rPr>
                <w:rFonts w:asciiTheme="minorHAnsi" w:hAnsiTheme="minorHAnsi" w:cstheme="minorHAnsi"/>
                <w:sz w:val="22"/>
              </w:rPr>
              <w:t>55%</w:t>
            </w:r>
          </w:p>
        </w:tc>
        <w:tc>
          <w:tcPr>
            <w:tcW w:w="1470" w:type="dxa"/>
            <w:vAlign w:val="center"/>
          </w:tcPr>
          <w:p w14:paraId="156A499F" w14:textId="018E5B2B" w:rsidR="00FD4D77" w:rsidRPr="002F5ED6" w:rsidRDefault="00FD4D77" w:rsidP="00FD4D77">
            <w:pPr>
              <w:spacing w:before="240" w:after="120" w:line="360" w:lineRule="atLeast"/>
              <w:ind w:left="360" w:hanging="360"/>
              <w:jc w:val="center"/>
              <w:rPr>
                <w:rFonts w:asciiTheme="minorHAnsi" w:hAnsiTheme="minorHAnsi" w:cstheme="minorHAnsi"/>
                <w:sz w:val="22"/>
                <w:szCs w:val="22"/>
                <w:highlight w:val="yellow"/>
              </w:rPr>
            </w:pPr>
            <w:r w:rsidRPr="00FD4D77">
              <w:rPr>
                <w:rFonts w:asciiTheme="minorHAnsi" w:hAnsiTheme="minorHAnsi" w:cstheme="minorHAnsi"/>
                <w:b/>
                <w:bCs/>
                <w:sz w:val="22"/>
                <w:szCs w:val="22"/>
              </w:rPr>
              <w:t>REDACTED</w:t>
            </w:r>
          </w:p>
        </w:tc>
        <w:tc>
          <w:tcPr>
            <w:tcW w:w="1440" w:type="dxa"/>
          </w:tcPr>
          <w:p w14:paraId="29972005" w14:textId="0F08E521" w:rsidR="00FD4D77" w:rsidRPr="002F5ED6" w:rsidRDefault="00FD4D77" w:rsidP="00FD4D77">
            <w:pPr>
              <w:spacing w:before="240" w:after="120" w:line="360" w:lineRule="atLeast"/>
              <w:ind w:left="360" w:hanging="360"/>
              <w:jc w:val="center"/>
              <w:rPr>
                <w:rFonts w:asciiTheme="minorHAnsi" w:hAnsiTheme="minorHAnsi" w:cstheme="minorHAnsi"/>
                <w:sz w:val="22"/>
                <w:highlight w:val="yellow"/>
              </w:rPr>
            </w:pPr>
            <w:r w:rsidRPr="00EC792C">
              <w:rPr>
                <w:rFonts w:asciiTheme="minorHAnsi" w:hAnsiTheme="minorHAnsi" w:cstheme="minorHAnsi"/>
                <w:b/>
                <w:bCs/>
                <w:sz w:val="22"/>
                <w:szCs w:val="22"/>
              </w:rPr>
              <w:t>REDACTED</w:t>
            </w:r>
          </w:p>
        </w:tc>
        <w:tc>
          <w:tcPr>
            <w:tcW w:w="1530" w:type="dxa"/>
          </w:tcPr>
          <w:p w14:paraId="25B42FB1" w14:textId="6541B020" w:rsidR="00FD4D77" w:rsidRPr="002F5ED6" w:rsidRDefault="00FD4D77" w:rsidP="00FD4D77">
            <w:pPr>
              <w:spacing w:before="240" w:after="120" w:line="360" w:lineRule="atLeast"/>
              <w:ind w:left="360" w:hanging="360"/>
              <w:jc w:val="center"/>
              <w:rPr>
                <w:rFonts w:asciiTheme="minorHAnsi" w:hAnsiTheme="minorHAnsi" w:cstheme="minorHAnsi"/>
                <w:sz w:val="22"/>
                <w:highlight w:val="yellow"/>
              </w:rPr>
            </w:pPr>
            <w:r w:rsidRPr="00EC792C">
              <w:rPr>
                <w:rFonts w:asciiTheme="minorHAnsi" w:hAnsiTheme="minorHAnsi" w:cstheme="minorHAnsi"/>
                <w:b/>
                <w:bCs/>
                <w:sz w:val="22"/>
                <w:szCs w:val="22"/>
              </w:rPr>
              <w:t>REDACTED</w:t>
            </w:r>
          </w:p>
        </w:tc>
        <w:tc>
          <w:tcPr>
            <w:tcW w:w="1440" w:type="dxa"/>
          </w:tcPr>
          <w:p w14:paraId="0C9664E8" w14:textId="4D1BBF67" w:rsidR="00FD4D77" w:rsidRPr="002F5ED6" w:rsidRDefault="00FD4D77" w:rsidP="00FD4D77">
            <w:pPr>
              <w:spacing w:before="240" w:after="120" w:line="360" w:lineRule="atLeast"/>
              <w:ind w:left="360" w:hanging="360"/>
              <w:jc w:val="center"/>
              <w:rPr>
                <w:rFonts w:asciiTheme="minorHAnsi" w:hAnsiTheme="minorHAnsi" w:cstheme="minorHAnsi"/>
                <w:sz w:val="22"/>
                <w:highlight w:val="yellow"/>
              </w:rPr>
            </w:pPr>
            <w:r w:rsidRPr="00EC792C">
              <w:rPr>
                <w:rFonts w:asciiTheme="minorHAnsi" w:hAnsiTheme="minorHAnsi" w:cstheme="minorHAnsi"/>
                <w:b/>
                <w:bCs/>
                <w:sz w:val="22"/>
                <w:szCs w:val="22"/>
              </w:rPr>
              <w:t>REDACTED</w:t>
            </w:r>
          </w:p>
        </w:tc>
      </w:tr>
      <w:tr w:rsidR="00F53C8F" w:rsidRPr="002F5ED6" w14:paraId="6B98D790" w14:textId="77777777" w:rsidTr="13595B4F">
        <w:trPr>
          <w:cantSplit/>
          <w:jc w:val="center"/>
        </w:trPr>
        <w:tc>
          <w:tcPr>
            <w:tcW w:w="4410" w:type="dxa"/>
            <w:gridSpan w:val="3"/>
            <w:vAlign w:val="center"/>
          </w:tcPr>
          <w:p w14:paraId="0E8FF0EB" w14:textId="31A983DD" w:rsidR="00F53C8F" w:rsidRPr="002F5ED6" w:rsidRDefault="00F53C8F" w:rsidP="006E58A5">
            <w:pPr>
              <w:spacing w:before="240" w:after="120" w:line="360" w:lineRule="atLeast"/>
              <w:ind w:left="360" w:hanging="360"/>
              <w:jc w:val="center"/>
              <w:rPr>
                <w:rFonts w:asciiTheme="minorHAnsi" w:hAnsiTheme="minorHAnsi" w:cstheme="minorHAnsi"/>
                <w:sz w:val="22"/>
                <w:highlight w:val="yellow"/>
              </w:rPr>
            </w:pPr>
            <w:r w:rsidRPr="002F5ED6">
              <w:rPr>
                <w:rFonts w:asciiTheme="minorHAnsi" w:hAnsiTheme="minorHAnsi" w:cstheme="minorHAnsi"/>
                <w:sz w:val="22"/>
              </w:rPr>
              <w:t>Weighted Cost</w:t>
            </w:r>
          </w:p>
        </w:tc>
        <w:tc>
          <w:tcPr>
            <w:tcW w:w="1440" w:type="dxa"/>
          </w:tcPr>
          <w:p w14:paraId="431A14C7" w14:textId="6833B379" w:rsidR="00F53C8F" w:rsidRPr="002F5ED6" w:rsidRDefault="00FD4D77" w:rsidP="13595B4F">
            <w:pPr>
              <w:spacing w:before="240" w:after="120" w:line="360" w:lineRule="atLeast"/>
              <w:ind w:left="360" w:hanging="360"/>
              <w:jc w:val="center"/>
              <w:rPr>
                <w:rFonts w:asciiTheme="minorHAnsi" w:hAnsiTheme="minorHAnsi" w:cstheme="minorHAnsi"/>
                <w:sz w:val="22"/>
                <w:szCs w:val="22"/>
                <w:highlight w:val="yellow"/>
              </w:rPr>
            </w:pPr>
            <w:r w:rsidRPr="00FD4D77">
              <w:rPr>
                <w:rFonts w:asciiTheme="minorHAnsi" w:hAnsiTheme="minorHAnsi" w:cstheme="minorHAnsi"/>
                <w:b/>
                <w:bCs/>
                <w:sz w:val="22"/>
                <w:szCs w:val="22"/>
              </w:rPr>
              <w:t>REDACTED</w:t>
            </w:r>
          </w:p>
        </w:tc>
        <w:tc>
          <w:tcPr>
            <w:tcW w:w="1530" w:type="dxa"/>
          </w:tcPr>
          <w:p w14:paraId="5A9BFE7B" w14:textId="1A63FBA4" w:rsidR="00F53C8F" w:rsidRPr="002F5ED6" w:rsidRDefault="00FD4D77" w:rsidP="13595B4F">
            <w:pPr>
              <w:spacing w:before="240" w:after="120" w:line="360" w:lineRule="atLeast"/>
              <w:ind w:left="360" w:hanging="360"/>
              <w:jc w:val="center"/>
              <w:rPr>
                <w:rFonts w:asciiTheme="minorHAnsi" w:hAnsiTheme="minorHAnsi" w:cstheme="minorHAnsi"/>
                <w:sz w:val="22"/>
                <w:szCs w:val="22"/>
                <w:highlight w:val="yellow"/>
              </w:rPr>
            </w:pPr>
            <w:r w:rsidRPr="00FD4D77">
              <w:rPr>
                <w:rFonts w:asciiTheme="minorHAnsi" w:hAnsiTheme="minorHAnsi" w:cstheme="minorHAnsi"/>
                <w:b/>
                <w:bCs/>
                <w:sz w:val="22"/>
                <w:szCs w:val="22"/>
              </w:rPr>
              <w:t>REDACTED</w:t>
            </w:r>
          </w:p>
        </w:tc>
        <w:tc>
          <w:tcPr>
            <w:tcW w:w="1440" w:type="dxa"/>
          </w:tcPr>
          <w:p w14:paraId="2D7E914C" w14:textId="51905F1D" w:rsidR="00F53C8F" w:rsidRPr="002F5ED6" w:rsidRDefault="00FD4D77" w:rsidP="13595B4F">
            <w:pPr>
              <w:spacing w:before="240" w:after="120" w:line="360" w:lineRule="atLeast"/>
              <w:ind w:left="360" w:hanging="360"/>
              <w:jc w:val="center"/>
              <w:rPr>
                <w:rFonts w:asciiTheme="minorHAnsi" w:hAnsiTheme="minorHAnsi" w:cstheme="minorHAnsi"/>
                <w:sz w:val="22"/>
                <w:szCs w:val="22"/>
                <w:highlight w:val="yellow"/>
              </w:rPr>
            </w:pPr>
            <w:r w:rsidRPr="00FD4D77">
              <w:rPr>
                <w:rFonts w:asciiTheme="minorHAnsi" w:hAnsiTheme="minorHAnsi" w:cstheme="minorHAnsi"/>
                <w:b/>
                <w:bCs/>
                <w:sz w:val="22"/>
                <w:szCs w:val="22"/>
              </w:rPr>
              <w:t>REDACTED</w:t>
            </w:r>
          </w:p>
        </w:tc>
      </w:tr>
    </w:tbl>
    <w:p w14:paraId="53784BDE" w14:textId="505B4585" w:rsidR="00F53C8F" w:rsidRPr="002F5ED6" w:rsidRDefault="00F53C8F" w:rsidP="00F53C8F">
      <w:pPr>
        <w:spacing w:line="360" w:lineRule="atLeast"/>
        <w:ind w:left="270" w:right="1620"/>
        <w:rPr>
          <w:rFonts w:asciiTheme="minorHAnsi" w:hAnsiTheme="minorHAnsi" w:cstheme="minorHAnsi"/>
          <w:sz w:val="24"/>
        </w:rPr>
      </w:pPr>
      <w:r w:rsidRPr="002F5ED6">
        <w:rPr>
          <w:rFonts w:asciiTheme="minorHAnsi" w:hAnsiTheme="minorHAnsi" w:cstheme="minorHAnsi"/>
          <w:sz w:val="24"/>
          <w:highlight w:val="yellow"/>
        </w:rPr>
        <w:t xml:space="preserve"> </w:t>
      </w:r>
    </w:p>
    <w:p w14:paraId="5886E4D8" w14:textId="4A061107" w:rsidR="00B53417" w:rsidRPr="002F5ED6" w:rsidRDefault="00B53417" w:rsidP="00F53C8F">
      <w:pPr>
        <w:spacing w:line="360" w:lineRule="atLeast"/>
        <w:ind w:left="270" w:right="1620"/>
        <w:rPr>
          <w:rFonts w:asciiTheme="minorHAnsi" w:hAnsiTheme="minorHAnsi" w:cstheme="minorHAnsi"/>
          <w:sz w:val="24"/>
        </w:rPr>
      </w:pPr>
    </w:p>
    <w:p w14:paraId="4AA03795" w14:textId="4DEEB4CB" w:rsidR="00641FD3" w:rsidRPr="002F5ED6" w:rsidRDefault="00641FD3" w:rsidP="00641FD3">
      <w:pPr>
        <w:pStyle w:val="Heading2"/>
        <w:spacing w:line="360" w:lineRule="atLeast"/>
        <w:ind w:left="846"/>
        <w:rPr>
          <w:rFonts w:asciiTheme="minorHAnsi" w:hAnsiTheme="minorHAnsi" w:cstheme="minorHAnsi"/>
          <w:b w:val="0"/>
          <w:bCs/>
          <w:i/>
          <w:iCs/>
          <w:sz w:val="22"/>
          <w:szCs w:val="22"/>
        </w:rPr>
      </w:pPr>
      <w:r w:rsidRPr="002F5ED6">
        <w:rPr>
          <w:rFonts w:asciiTheme="minorHAnsi" w:hAnsiTheme="minorHAnsi" w:cstheme="minorHAnsi"/>
          <w:b w:val="0"/>
          <w:bCs/>
          <w:i/>
          <w:iCs/>
          <w:sz w:val="22"/>
          <w:szCs w:val="22"/>
        </w:rPr>
        <w:t>RESERVE MARGIN</w:t>
      </w:r>
    </w:p>
    <w:p w14:paraId="2CD26BB1" w14:textId="766A9A5F" w:rsidR="00641FD3" w:rsidRPr="002F5ED6" w:rsidRDefault="2414BA27" w:rsidP="00040739">
      <w:pPr>
        <w:spacing w:line="360" w:lineRule="atLeast"/>
        <w:rPr>
          <w:rFonts w:asciiTheme="minorHAnsi" w:hAnsiTheme="minorHAnsi" w:cstheme="minorHAnsi"/>
          <w:sz w:val="22"/>
          <w:szCs w:val="22"/>
        </w:rPr>
      </w:pPr>
      <w:r w:rsidRPr="002F5ED6">
        <w:rPr>
          <w:rFonts w:asciiTheme="minorHAnsi" w:hAnsiTheme="minorHAnsi" w:cstheme="minorHAnsi"/>
          <w:sz w:val="22"/>
          <w:szCs w:val="22"/>
        </w:rPr>
        <w:t>The 202</w:t>
      </w:r>
      <w:r w:rsidR="00E52EFE" w:rsidRPr="002F5ED6">
        <w:rPr>
          <w:rFonts w:asciiTheme="minorHAnsi" w:hAnsiTheme="minorHAnsi" w:cstheme="minorHAnsi"/>
          <w:sz w:val="22"/>
          <w:szCs w:val="22"/>
        </w:rPr>
        <w:t xml:space="preserve">3 IRP Update </w:t>
      </w:r>
      <w:r w:rsidR="00641FD3" w:rsidRPr="002F5ED6">
        <w:rPr>
          <w:rFonts w:asciiTheme="minorHAnsi" w:hAnsiTheme="minorHAnsi" w:cstheme="minorHAnsi"/>
          <w:sz w:val="22"/>
          <w:szCs w:val="22"/>
        </w:rPr>
        <w:t xml:space="preserve">reflects a 16.25% Summer Target Reserve Margin and 26% Winter Target Reserve Margin for long-term resource planning </w:t>
      </w:r>
      <w:r w:rsidR="001432EE" w:rsidRPr="002F5ED6">
        <w:rPr>
          <w:rFonts w:asciiTheme="minorHAnsi" w:hAnsiTheme="minorHAnsi" w:cstheme="minorHAnsi"/>
          <w:sz w:val="22"/>
          <w:szCs w:val="22"/>
        </w:rPr>
        <w:t>purposes, consistent with the</w:t>
      </w:r>
      <w:r w:rsidR="0073788C" w:rsidRPr="002F5ED6">
        <w:rPr>
          <w:rFonts w:asciiTheme="minorHAnsi" w:hAnsiTheme="minorHAnsi" w:cstheme="minorHAnsi"/>
          <w:sz w:val="22"/>
          <w:szCs w:val="22"/>
        </w:rPr>
        <w:t xml:space="preserve"> Commission’s final order </w:t>
      </w:r>
      <w:r w:rsidR="001432EE" w:rsidRPr="002F5ED6">
        <w:rPr>
          <w:rFonts w:asciiTheme="minorHAnsi" w:hAnsiTheme="minorHAnsi" w:cstheme="minorHAnsi"/>
          <w:sz w:val="22"/>
          <w:szCs w:val="22"/>
        </w:rPr>
        <w:t>in GPC’s 2022 IRP</w:t>
      </w:r>
      <w:r w:rsidR="00641FD3" w:rsidRPr="002F5ED6">
        <w:rPr>
          <w:rFonts w:asciiTheme="minorHAnsi" w:hAnsiTheme="minorHAnsi" w:cstheme="minorHAnsi"/>
          <w:sz w:val="22"/>
          <w:szCs w:val="22"/>
        </w:rPr>
        <w:t xml:space="preserve">. </w:t>
      </w:r>
    </w:p>
    <w:p w14:paraId="0C83D095" w14:textId="77777777" w:rsidR="00B964F5" w:rsidRPr="002F5ED6" w:rsidRDefault="00B964F5" w:rsidP="00040739">
      <w:pPr>
        <w:spacing w:line="360" w:lineRule="atLeast"/>
        <w:rPr>
          <w:rFonts w:asciiTheme="minorHAnsi" w:hAnsiTheme="minorHAnsi" w:cstheme="minorHAnsi"/>
          <w:sz w:val="22"/>
          <w:szCs w:val="22"/>
        </w:rPr>
      </w:pPr>
    </w:p>
    <w:p w14:paraId="7B2191AE" w14:textId="09DA3BD5" w:rsidR="00B964F5" w:rsidRPr="002F5ED6" w:rsidRDefault="007D701D">
      <w:pPr>
        <w:jc w:val="left"/>
        <w:rPr>
          <w:rFonts w:asciiTheme="minorHAnsi" w:hAnsiTheme="minorHAnsi" w:cstheme="minorHAnsi"/>
          <w:sz w:val="22"/>
          <w:szCs w:val="22"/>
        </w:rPr>
      </w:pPr>
      <w:r w:rsidRPr="002F5ED6">
        <w:rPr>
          <w:rFonts w:asciiTheme="minorHAnsi" w:hAnsiTheme="minorHAnsi" w:cstheme="minorHAnsi"/>
          <w:sz w:val="22"/>
          <w:szCs w:val="22"/>
        </w:rPr>
        <w:br w:type="page"/>
      </w:r>
    </w:p>
    <w:p w14:paraId="58B82A91" w14:textId="31DF7371" w:rsidR="00BD6A65" w:rsidRPr="002F5ED6" w:rsidRDefault="00243513" w:rsidP="00A04A13">
      <w:pPr>
        <w:pStyle w:val="Heading2"/>
        <w:spacing w:line="360" w:lineRule="atLeast"/>
        <w:ind w:left="846"/>
        <w:rPr>
          <w:rFonts w:asciiTheme="minorHAnsi" w:hAnsiTheme="minorHAnsi" w:cstheme="minorHAnsi"/>
          <w:b w:val="0"/>
          <w:bCs/>
          <w:i/>
          <w:iCs/>
          <w:sz w:val="22"/>
          <w:szCs w:val="22"/>
        </w:rPr>
      </w:pPr>
      <w:r w:rsidRPr="002F5ED6">
        <w:rPr>
          <w:rFonts w:asciiTheme="minorHAnsi" w:hAnsiTheme="minorHAnsi" w:cstheme="minorHAnsi"/>
          <w:b w:val="0"/>
          <w:bCs/>
          <w:i/>
          <w:iCs/>
          <w:sz w:val="22"/>
          <w:szCs w:val="22"/>
        </w:rPr>
        <w:t>EXISTING CAPACITY MIX</w:t>
      </w:r>
      <w:bookmarkEnd w:id="5"/>
    </w:p>
    <w:p w14:paraId="4D272039" w14:textId="6FDE12EB" w:rsidR="00A11353" w:rsidRPr="002F5ED6" w:rsidRDefault="56EB4F13" w:rsidP="00243513">
      <w:pPr>
        <w:spacing w:line="360" w:lineRule="atLeast"/>
        <w:rPr>
          <w:rFonts w:asciiTheme="minorHAnsi" w:hAnsiTheme="minorHAnsi" w:cstheme="minorHAnsi"/>
          <w:sz w:val="22"/>
          <w:szCs w:val="22"/>
        </w:rPr>
      </w:pPr>
      <w:r w:rsidRPr="002F5ED6">
        <w:rPr>
          <w:rFonts w:asciiTheme="minorHAnsi" w:hAnsiTheme="minorHAnsi" w:cstheme="minorHAnsi"/>
          <w:sz w:val="22"/>
          <w:szCs w:val="22"/>
        </w:rPr>
        <w:t xml:space="preserve">The </w:t>
      </w:r>
      <w:r w:rsidR="001432EE" w:rsidRPr="002F5ED6">
        <w:rPr>
          <w:rFonts w:asciiTheme="minorHAnsi" w:hAnsiTheme="minorHAnsi" w:cstheme="minorHAnsi"/>
          <w:sz w:val="22"/>
          <w:szCs w:val="22"/>
        </w:rPr>
        <w:t>Company’s</w:t>
      </w:r>
      <w:r w:rsidRPr="002F5ED6">
        <w:rPr>
          <w:rFonts w:asciiTheme="minorHAnsi" w:hAnsiTheme="minorHAnsi" w:cstheme="minorHAnsi"/>
          <w:sz w:val="22"/>
          <w:szCs w:val="22"/>
        </w:rPr>
        <w:t xml:space="preserve"> </w:t>
      </w:r>
      <w:r w:rsidR="29913EF7" w:rsidRPr="002F5ED6">
        <w:rPr>
          <w:rFonts w:asciiTheme="minorHAnsi" w:hAnsiTheme="minorHAnsi" w:cstheme="minorHAnsi"/>
          <w:sz w:val="22"/>
          <w:szCs w:val="22"/>
        </w:rPr>
        <w:t xml:space="preserve">current </w:t>
      </w:r>
      <w:r w:rsidRPr="002F5ED6">
        <w:rPr>
          <w:rFonts w:asciiTheme="minorHAnsi" w:hAnsiTheme="minorHAnsi" w:cstheme="minorHAnsi"/>
          <w:sz w:val="22"/>
          <w:szCs w:val="22"/>
        </w:rPr>
        <w:t xml:space="preserve">generating capacity consists of </w:t>
      </w:r>
      <w:r w:rsidR="00A64DE0" w:rsidRPr="002F5ED6">
        <w:rPr>
          <w:rFonts w:asciiTheme="minorHAnsi" w:hAnsiTheme="minorHAnsi" w:cstheme="minorHAnsi"/>
          <w:sz w:val="22"/>
          <w:szCs w:val="22"/>
        </w:rPr>
        <w:t>18</w:t>
      </w:r>
      <w:r w:rsidRPr="002F5ED6">
        <w:rPr>
          <w:rFonts w:asciiTheme="minorHAnsi" w:hAnsiTheme="minorHAnsi" w:cstheme="minorHAnsi"/>
          <w:sz w:val="22"/>
          <w:szCs w:val="22"/>
        </w:rPr>
        <w:t xml:space="preserve">% coal, </w:t>
      </w:r>
      <w:r w:rsidR="03E9A09A" w:rsidRPr="002F5ED6">
        <w:rPr>
          <w:rFonts w:asciiTheme="minorHAnsi" w:hAnsiTheme="minorHAnsi" w:cstheme="minorHAnsi"/>
          <w:sz w:val="22"/>
          <w:szCs w:val="22"/>
        </w:rPr>
        <w:t>4</w:t>
      </w:r>
      <w:r w:rsidR="328E01EF" w:rsidRPr="002F5ED6">
        <w:rPr>
          <w:rFonts w:asciiTheme="minorHAnsi" w:hAnsiTheme="minorHAnsi" w:cstheme="minorHAnsi"/>
          <w:sz w:val="22"/>
          <w:szCs w:val="22"/>
        </w:rPr>
        <w:t>8</w:t>
      </w:r>
      <w:r w:rsidRPr="002F5ED6">
        <w:rPr>
          <w:rFonts w:asciiTheme="minorHAnsi" w:hAnsiTheme="minorHAnsi" w:cstheme="minorHAnsi"/>
          <w:sz w:val="22"/>
          <w:szCs w:val="22"/>
        </w:rPr>
        <w:t xml:space="preserve">% </w:t>
      </w:r>
      <w:r w:rsidR="00BD72D1" w:rsidRPr="002F5ED6">
        <w:rPr>
          <w:rFonts w:asciiTheme="minorHAnsi" w:hAnsiTheme="minorHAnsi" w:cstheme="minorHAnsi"/>
          <w:sz w:val="22"/>
          <w:szCs w:val="22"/>
        </w:rPr>
        <w:t xml:space="preserve">gas </w:t>
      </w:r>
      <w:r w:rsidRPr="002F5ED6">
        <w:rPr>
          <w:rFonts w:asciiTheme="minorHAnsi" w:hAnsiTheme="minorHAnsi" w:cstheme="minorHAnsi"/>
          <w:sz w:val="22"/>
          <w:szCs w:val="22"/>
        </w:rPr>
        <w:t xml:space="preserve">and </w:t>
      </w:r>
      <w:r w:rsidR="00BD72D1" w:rsidRPr="002F5ED6">
        <w:rPr>
          <w:rFonts w:asciiTheme="minorHAnsi" w:hAnsiTheme="minorHAnsi" w:cstheme="minorHAnsi"/>
          <w:sz w:val="22"/>
          <w:szCs w:val="22"/>
        </w:rPr>
        <w:t>oil</w:t>
      </w:r>
      <w:r w:rsidRPr="002F5ED6">
        <w:rPr>
          <w:rFonts w:asciiTheme="minorHAnsi" w:hAnsiTheme="minorHAnsi" w:cstheme="minorHAnsi"/>
          <w:sz w:val="22"/>
          <w:szCs w:val="22"/>
        </w:rPr>
        <w:t xml:space="preserve">, </w:t>
      </w:r>
      <w:r w:rsidR="1BD4A7E0" w:rsidRPr="002F5ED6">
        <w:rPr>
          <w:rFonts w:asciiTheme="minorHAnsi" w:hAnsiTheme="minorHAnsi" w:cstheme="minorHAnsi"/>
          <w:sz w:val="22"/>
          <w:szCs w:val="22"/>
        </w:rPr>
        <w:t>11</w:t>
      </w:r>
      <w:r w:rsidRPr="002F5ED6">
        <w:rPr>
          <w:rFonts w:asciiTheme="minorHAnsi" w:hAnsiTheme="minorHAnsi" w:cstheme="minorHAnsi"/>
          <w:sz w:val="22"/>
          <w:szCs w:val="22"/>
        </w:rPr>
        <w:t>% nuclear,</w:t>
      </w:r>
      <w:r w:rsidR="6F332D62" w:rsidRPr="002F5ED6">
        <w:rPr>
          <w:rFonts w:asciiTheme="minorHAnsi" w:hAnsiTheme="minorHAnsi" w:cstheme="minorHAnsi"/>
          <w:sz w:val="22"/>
          <w:szCs w:val="22"/>
        </w:rPr>
        <w:t xml:space="preserve"> </w:t>
      </w:r>
      <w:r w:rsidR="1BD4A7E0" w:rsidRPr="002F5ED6">
        <w:rPr>
          <w:rFonts w:asciiTheme="minorHAnsi" w:hAnsiTheme="minorHAnsi" w:cstheme="minorHAnsi"/>
          <w:sz w:val="22"/>
          <w:szCs w:val="22"/>
        </w:rPr>
        <w:t>5</w:t>
      </w:r>
      <w:r w:rsidR="03E9A09A" w:rsidRPr="002F5ED6">
        <w:rPr>
          <w:rFonts w:asciiTheme="minorHAnsi" w:hAnsiTheme="minorHAnsi" w:cstheme="minorHAnsi"/>
          <w:sz w:val="22"/>
          <w:szCs w:val="22"/>
        </w:rPr>
        <w:t>% hydro</w:t>
      </w:r>
      <w:r w:rsidR="001432EE" w:rsidRPr="002F5ED6">
        <w:rPr>
          <w:rFonts w:asciiTheme="minorHAnsi" w:hAnsiTheme="minorHAnsi" w:cstheme="minorHAnsi"/>
          <w:sz w:val="22"/>
          <w:szCs w:val="22"/>
        </w:rPr>
        <w:t>,</w:t>
      </w:r>
      <w:r w:rsidRPr="002F5ED6">
        <w:rPr>
          <w:rFonts w:asciiTheme="minorHAnsi" w:hAnsiTheme="minorHAnsi" w:cstheme="minorHAnsi"/>
          <w:sz w:val="22"/>
          <w:szCs w:val="22"/>
        </w:rPr>
        <w:t xml:space="preserve"> </w:t>
      </w:r>
      <w:r w:rsidR="30F9E0FB" w:rsidRPr="002F5ED6">
        <w:rPr>
          <w:rFonts w:asciiTheme="minorHAnsi" w:hAnsiTheme="minorHAnsi" w:cstheme="minorHAnsi"/>
          <w:sz w:val="22"/>
          <w:szCs w:val="22"/>
        </w:rPr>
        <w:t xml:space="preserve">and </w:t>
      </w:r>
      <w:r w:rsidR="1BD4A7E0" w:rsidRPr="002F5ED6">
        <w:rPr>
          <w:rFonts w:asciiTheme="minorHAnsi" w:hAnsiTheme="minorHAnsi" w:cstheme="minorHAnsi"/>
          <w:sz w:val="22"/>
          <w:szCs w:val="22"/>
        </w:rPr>
        <w:t>1</w:t>
      </w:r>
      <w:r w:rsidR="69BAD507" w:rsidRPr="002F5ED6">
        <w:rPr>
          <w:rFonts w:asciiTheme="minorHAnsi" w:hAnsiTheme="minorHAnsi" w:cstheme="minorHAnsi"/>
          <w:sz w:val="22"/>
          <w:szCs w:val="22"/>
        </w:rPr>
        <w:t>8</w:t>
      </w:r>
      <w:r w:rsidR="1BD4A7E0" w:rsidRPr="002F5ED6">
        <w:rPr>
          <w:rFonts w:asciiTheme="minorHAnsi" w:hAnsiTheme="minorHAnsi" w:cstheme="minorHAnsi"/>
          <w:sz w:val="22"/>
          <w:szCs w:val="22"/>
        </w:rPr>
        <w:t xml:space="preserve">% </w:t>
      </w:r>
      <w:r w:rsidR="30F9E0FB" w:rsidRPr="002F5ED6">
        <w:rPr>
          <w:rFonts w:asciiTheme="minorHAnsi" w:hAnsiTheme="minorHAnsi" w:cstheme="minorHAnsi"/>
          <w:sz w:val="22"/>
          <w:szCs w:val="22"/>
        </w:rPr>
        <w:t>other</w:t>
      </w:r>
      <w:r w:rsidR="00E464E6" w:rsidRPr="002F5ED6">
        <w:rPr>
          <w:rFonts w:asciiTheme="minorHAnsi" w:hAnsiTheme="minorHAnsi" w:cstheme="minorHAnsi"/>
          <w:sz w:val="22"/>
          <w:szCs w:val="22"/>
          <w:vertAlign w:val="superscript"/>
        </w:rPr>
        <w:footnoteReference w:id="2"/>
      </w:r>
      <w:r w:rsidR="1BD4A7E0" w:rsidRPr="002F5ED6">
        <w:rPr>
          <w:rFonts w:asciiTheme="minorHAnsi" w:hAnsiTheme="minorHAnsi" w:cstheme="minorHAnsi"/>
          <w:sz w:val="22"/>
          <w:szCs w:val="22"/>
        </w:rPr>
        <w:t xml:space="preserve"> (</w:t>
      </w:r>
      <w:r w:rsidR="0A875380" w:rsidRPr="002F5ED6">
        <w:rPr>
          <w:rFonts w:asciiTheme="minorHAnsi" w:hAnsiTheme="minorHAnsi" w:cstheme="minorHAnsi"/>
          <w:sz w:val="22"/>
          <w:szCs w:val="22"/>
        </w:rPr>
        <w:t xml:space="preserve">Solar, </w:t>
      </w:r>
      <w:r w:rsidR="1BD4A7E0" w:rsidRPr="002F5ED6">
        <w:rPr>
          <w:rFonts w:asciiTheme="minorHAnsi" w:hAnsiTheme="minorHAnsi" w:cstheme="minorHAnsi"/>
          <w:sz w:val="22"/>
          <w:szCs w:val="22"/>
        </w:rPr>
        <w:t xml:space="preserve">Solar + Storage, Wind, DSO, </w:t>
      </w:r>
      <w:r w:rsidR="00FE710D" w:rsidRPr="002F5ED6">
        <w:rPr>
          <w:rFonts w:asciiTheme="minorHAnsi" w:hAnsiTheme="minorHAnsi" w:cstheme="minorHAnsi"/>
          <w:sz w:val="22"/>
          <w:szCs w:val="22"/>
        </w:rPr>
        <w:t xml:space="preserve">and </w:t>
      </w:r>
      <w:r w:rsidR="1BD4A7E0" w:rsidRPr="002F5ED6">
        <w:rPr>
          <w:rFonts w:asciiTheme="minorHAnsi" w:hAnsiTheme="minorHAnsi" w:cstheme="minorHAnsi"/>
          <w:sz w:val="22"/>
          <w:szCs w:val="22"/>
        </w:rPr>
        <w:t>Biomass)</w:t>
      </w:r>
      <w:r w:rsidR="30F9E0FB" w:rsidRPr="002F5ED6">
        <w:rPr>
          <w:rFonts w:asciiTheme="minorHAnsi" w:hAnsiTheme="minorHAnsi" w:cstheme="minorHAnsi"/>
          <w:sz w:val="22"/>
          <w:szCs w:val="22"/>
        </w:rPr>
        <w:t>.</w:t>
      </w:r>
      <w:r w:rsidR="29913EF7" w:rsidRPr="002F5ED6">
        <w:rPr>
          <w:rFonts w:asciiTheme="minorHAnsi" w:hAnsiTheme="minorHAnsi" w:cstheme="minorHAnsi"/>
          <w:sz w:val="22"/>
          <w:szCs w:val="22"/>
        </w:rPr>
        <w:t xml:space="preserve"> Over the course of the planning horizon, </w:t>
      </w:r>
      <w:r w:rsidR="0B6E118B" w:rsidRPr="002F5ED6">
        <w:rPr>
          <w:rFonts w:asciiTheme="minorHAnsi" w:hAnsiTheme="minorHAnsi" w:cstheme="minorHAnsi"/>
          <w:sz w:val="22"/>
          <w:szCs w:val="22"/>
        </w:rPr>
        <w:t xml:space="preserve">the </w:t>
      </w:r>
      <w:r w:rsidR="29913EF7" w:rsidRPr="002F5ED6">
        <w:rPr>
          <w:rFonts w:asciiTheme="minorHAnsi" w:hAnsiTheme="minorHAnsi" w:cstheme="minorHAnsi"/>
          <w:sz w:val="22"/>
          <w:szCs w:val="22"/>
        </w:rPr>
        <w:t>capaci</w:t>
      </w:r>
      <w:r w:rsidR="0DD4138B" w:rsidRPr="002F5ED6">
        <w:rPr>
          <w:rFonts w:asciiTheme="minorHAnsi" w:hAnsiTheme="minorHAnsi" w:cstheme="minorHAnsi"/>
          <w:sz w:val="22"/>
          <w:szCs w:val="22"/>
        </w:rPr>
        <w:t>ty</w:t>
      </w:r>
      <w:r w:rsidR="1E51AAF5" w:rsidRPr="002F5ED6">
        <w:rPr>
          <w:rFonts w:asciiTheme="minorHAnsi" w:hAnsiTheme="minorHAnsi" w:cstheme="minorHAnsi"/>
          <w:sz w:val="22"/>
          <w:szCs w:val="22"/>
        </w:rPr>
        <w:t xml:space="preserve"> mix will</w:t>
      </w:r>
      <w:r w:rsidR="29913EF7" w:rsidRPr="002F5ED6">
        <w:rPr>
          <w:rFonts w:asciiTheme="minorHAnsi" w:hAnsiTheme="minorHAnsi" w:cstheme="minorHAnsi"/>
          <w:sz w:val="22"/>
          <w:szCs w:val="22"/>
        </w:rPr>
        <w:t xml:space="preserve"> change </w:t>
      </w:r>
      <w:r w:rsidR="0DD4138B" w:rsidRPr="002F5ED6">
        <w:rPr>
          <w:rFonts w:asciiTheme="minorHAnsi" w:hAnsiTheme="minorHAnsi" w:cstheme="minorHAnsi"/>
          <w:sz w:val="22"/>
          <w:szCs w:val="22"/>
        </w:rPr>
        <w:t xml:space="preserve">due to many factors, including, but not limited to, unit rating changes, </w:t>
      </w:r>
      <w:r w:rsidR="29913EF7" w:rsidRPr="002F5ED6">
        <w:rPr>
          <w:rFonts w:asciiTheme="minorHAnsi" w:hAnsiTheme="minorHAnsi" w:cstheme="minorHAnsi"/>
          <w:sz w:val="22"/>
          <w:szCs w:val="22"/>
        </w:rPr>
        <w:t xml:space="preserve">resource additions, nuclear license expirations, power purchase agreement expirations, and retirements. For planning purposes, discrete retirement dates of </w:t>
      </w:r>
      <w:r w:rsidR="00AF2F7C" w:rsidRPr="002F5ED6">
        <w:rPr>
          <w:rFonts w:asciiTheme="minorHAnsi" w:hAnsiTheme="minorHAnsi" w:cstheme="minorHAnsi"/>
          <w:sz w:val="22"/>
          <w:szCs w:val="22"/>
        </w:rPr>
        <w:t>Company-</w:t>
      </w:r>
      <w:r w:rsidR="29913EF7" w:rsidRPr="002F5ED6">
        <w:rPr>
          <w:rFonts w:asciiTheme="minorHAnsi" w:hAnsiTheme="minorHAnsi" w:cstheme="minorHAnsi"/>
          <w:sz w:val="22"/>
          <w:szCs w:val="22"/>
        </w:rPr>
        <w:t xml:space="preserve">owned generating units were utilized in the base case. </w:t>
      </w:r>
      <w:r w:rsidR="77376603" w:rsidRPr="002F5ED6">
        <w:rPr>
          <w:rFonts w:asciiTheme="minorHAnsi" w:hAnsiTheme="minorHAnsi" w:cstheme="minorHAnsi"/>
          <w:sz w:val="22"/>
          <w:szCs w:val="22"/>
        </w:rPr>
        <w:t xml:space="preserve">Please refer to </w:t>
      </w:r>
      <w:r w:rsidR="3FAC8149" w:rsidRPr="002F5ED6">
        <w:rPr>
          <w:rFonts w:asciiTheme="minorHAnsi" w:hAnsiTheme="minorHAnsi" w:cstheme="minorHAnsi"/>
          <w:sz w:val="22"/>
          <w:szCs w:val="22"/>
        </w:rPr>
        <w:t xml:space="preserve">Technical Appendix </w:t>
      </w:r>
      <w:r w:rsidR="29B5D248" w:rsidRPr="002F5ED6">
        <w:rPr>
          <w:rFonts w:asciiTheme="minorHAnsi" w:hAnsiTheme="minorHAnsi" w:cstheme="minorHAnsi"/>
          <w:sz w:val="22"/>
          <w:szCs w:val="22"/>
        </w:rPr>
        <w:t xml:space="preserve">Resource Mix Study </w:t>
      </w:r>
      <w:r w:rsidR="3FAC8149" w:rsidRPr="002F5ED6">
        <w:rPr>
          <w:rFonts w:asciiTheme="minorHAnsi" w:hAnsiTheme="minorHAnsi" w:cstheme="minorHAnsi"/>
          <w:sz w:val="22"/>
          <w:szCs w:val="22"/>
        </w:rPr>
        <w:t>(</w:t>
      </w:r>
      <w:r w:rsidR="199398C9" w:rsidRPr="002F5ED6">
        <w:rPr>
          <w:rFonts w:asciiTheme="minorHAnsi" w:hAnsiTheme="minorHAnsi" w:cstheme="minorHAnsi"/>
          <w:sz w:val="22"/>
          <w:szCs w:val="22"/>
        </w:rPr>
        <w:t>Georgia Power Territorial Base Case Load vs. Existing Capability Table</w:t>
      </w:r>
      <w:r w:rsidR="3FAC8149" w:rsidRPr="002F5ED6">
        <w:rPr>
          <w:rFonts w:asciiTheme="minorHAnsi" w:hAnsiTheme="minorHAnsi" w:cstheme="minorHAnsi"/>
          <w:sz w:val="22"/>
          <w:szCs w:val="22"/>
        </w:rPr>
        <w:t xml:space="preserve">) for </w:t>
      </w:r>
      <w:r w:rsidR="77376603" w:rsidRPr="002F5ED6">
        <w:rPr>
          <w:rFonts w:asciiTheme="minorHAnsi" w:hAnsiTheme="minorHAnsi" w:cstheme="minorHAnsi"/>
          <w:sz w:val="22"/>
          <w:szCs w:val="22"/>
        </w:rPr>
        <w:t>more details.</w:t>
      </w:r>
    </w:p>
    <w:p w14:paraId="20C88338" w14:textId="475ECDFD" w:rsidR="005E129E" w:rsidRPr="002F5ED6" w:rsidRDefault="005E129E" w:rsidP="00243513">
      <w:pPr>
        <w:spacing w:line="360" w:lineRule="atLeast"/>
        <w:rPr>
          <w:rFonts w:asciiTheme="minorHAnsi" w:hAnsiTheme="minorHAnsi" w:cstheme="minorHAnsi"/>
          <w:sz w:val="22"/>
          <w:szCs w:val="22"/>
        </w:rPr>
      </w:pPr>
    </w:p>
    <w:p w14:paraId="4C862EB9" w14:textId="77777777" w:rsidR="0041046F" w:rsidRPr="002F5ED6" w:rsidRDefault="0041046F" w:rsidP="0041046F">
      <w:pPr>
        <w:pStyle w:val="Heading3"/>
        <w:rPr>
          <w:rFonts w:asciiTheme="minorHAnsi" w:hAnsiTheme="minorHAnsi" w:cstheme="minorHAnsi"/>
          <w:i/>
          <w:iCs/>
          <w:sz w:val="22"/>
          <w:szCs w:val="18"/>
          <w:u w:val="none"/>
        </w:rPr>
      </w:pPr>
      <w:r w:rsidRPr="002F5ED6">
        <w:rPr>
          <w:rFonts w:asciiTheme="minorHAnsi" w:hAnsiTheme="minorHAnsi" w:cstheme="minorHAnsi"/>
          <w:i/>
          <w:iCs/>
          <w:sz w:val="22"/>
          <w:szCs w:val="18"/>
          <w:u w:val="none"/>
        </w:rPr>
        <w:t>DEMAND-SIDE OPTIONS</w:t>
      </w:r>
    </w:p>
    <w:p w14:paraId="52BB3CC2" w14:textId="0A966F16" w:rsidR="0041046F" w:rsidRPr="002F5ED6" w:rsidRDefault="0041046F" w:rsidP="0041046F">
      <w:pPr>
        <w:spacing w:line="360" w:lineRule="atLeast"/>
        <w:rPr>
          <w:rFonts w:asciiTheme="minorHAnsi" w:hAnsiTheme="minorHAnsi" w:cstheme="minorHAnsi"/>
          <w:sz w:val="22"/>
          <w:szCs w:val="22"/>
        </w:rPr>
      </w:pPr>
      <w:r w:rsidRPr="002F5ED6">
        <w:rPr>
          <w:rFonts w:asciiTheme="minorHAnsi" w:hAnsiTheme="minorHAnsi" w:cstheme="minorHAnsi"/>
          <w:sz w:val="22"/>
          <w:szCs w:val="22"/>
        </w:rPr>
        <w:t xml:space="preserve">Demand-side options are either “dispatchable” or “non-dispatchable.” Examples of dispatchable DSO include interruptible load and other options </w:t>
      </w:r>
      <w:r w:rsidR="00AF2F7C" w:rsidRPr="002F5ED6">
        <w:rPr>
          <w:rFonts w:asciiTheme="minorHAnsi" w:hAnsiTheme="minorHAnsi" w:cstheme="minorHAnsi"/>
          <w:sz w:val="22"/>
          <w:szCs w:val="22"/>
        </w:rPr>
        <w:t xml:space="preserve">that </w:t>
      </w:r>
      <w:r w:rsidRPr="002F5ED6">
        <w:rPr>
          <w:rFonts w:asciiTheme="minorHAnsi" w:hAnsiTheme="minorHAnsi" w:cstheme="minorHAnsi"/>
          <w:sz w:val="22"/>
          <w:szCs w:val="22"/>
        </w:rPr>
        <w:t>can be controlled and dispatched by a utility. Examples of non-dispatchable DSO include options such as insulation or end-use equipment efficiency</w:t>
      </w:r>
      <w:r w:rsidR="00AF2F7C" w:rsidRPr="002F5ED6">
        <w:rPr>
          <w:rFonts w:asciiTheme="minorHAnsi" w:hAnsiTheme="minorHAnsi" w:cstheme="minorHAnsi"/>
          <w:sz w:val="22"/>
          <w:szCs w:val="22"/>
        </w:rPr>
        <w:t>,</w:t>
      </w:r>
      <w:r w:rsidRPr="002F5ED6">
        <w:rPr>
          <w:rFonts w:asciiTheme="minorHAnsi" w:hAnsiTheme="minorHAnsi" w:cstheme="minorHAnsi"/>
          <w:sz w:val="22"/>
          <w:szCs w:val="22"/>
        </w:rPr>
        <w:t xml:space="preserve"> which are not directly controllable by a utility. </w:t>
      </w:r>
    </w:p>
    <w:p w14:paraId="453FEA3B" w14:textId="4009B153" w:rsidR="0041046F" w:rsidRPr="002F5ED6" w:rsidRDefault="0041046F" w:rsidP="0041046F">
      <w:pPr>
        <w:spacing w:line="360" w:lineRule="atLeast"/>
        <w:rPr>
          <w:rFonts w:asciiTheme="minorHAnsi" w:hAnsiTheme="minorHAnsi" w:cstheme="minorHAnsi"/>
          <w:sz w:val="22"/>
          <w:szCs w:val="22"/>
        </w:rPr>
      </w:pPr>
    </w:p>
    <w:p w14:paraId="540F8AB2" w14:textId="2FB3879D" w:rsidR="00EE7D62" w:rsidRPr="002F5ED6" w:rsidRDefault="0041046F" w:rsidP="00243513">
      <w:pPr>
        <w:spacing w:line="360" w:lineRule="atLeast"/>
        <w:rPr>
          <w:rFonts w:asciiTheme="minorHAnsi" w:hAnsiTheme="minorHAnsi" w:cstheme="minorHAnsi"/>
          <w:sz w:val="22"/>
          <w:szCs w:val="22"/>
        </w:rPr>
      </w:pPr>
      <w:r w:rsidRPr="002F5ED6">
        <w:rPr>
          <w:rFonts w:asciiTheme="minorHAnsi" w:hAnsiTheme="minorHAnsi" w:cstheme="minorHAnsi"/>
          <w:sz w:val="22"/>
          <w:szCs w:val="22"/>
        </w:rPr>
        <w:t xml:space="preserve">Dispatchable DSOs were included as capacity resources in this study. Each interruptible contract load was appropriately adjusted to equate it to the supply side by one or </w:t>
      </w:r>
      <w:r w:rsidR="00874850" w:rsidRPr="002F5ED6">
        <w:rPr>
          <w:rFonts w:asciiTheme="minorHAnsi" w:hAnsiTheme="minorHAnsi" w:cstheme="minorHAnsi"/>
          <w:sz w:val="22"/>
          <w:szCs w:val="22"/>
        </w:rPr>
        <w:t>more</w:t>
      </w:r>
      <w:r w:rsidRPr="002F5ED6">
        <w:rPr>
          <w:rFonts w:asciiTheme="minorHAnsi" w:hAnsiTheme="minorHAnsi" w:cstheme="minorHAnsi"/>
          <w:sz w:val="22"/>
          <w:szCs w:val="22"/>
        </w:rPr>
        <w:t xml:space="preserve"> of the following corresponding factors: availability factor, loss factor, and </w:t>
      </w:r>
      <w:r w:rsidR="73DE8341" w:rsidRPr="002F5ED6">
        <w:rPr>
          <w:rFonts w:asciiTheme="minorHAnsi" w:hAnsiTheme="minorHAnsi" w:cstheme="minorHAnsi"/>
          <w:sz w:val="22"/>
          <w:szCs w:val="22"/>
        </w:rPr>
        <w:t>Effective</w:t>
      </w:r>
      <w:r w:rsidR="00CA68CC" w:rsidRPr="002F5ED6">
        <w:rPr>
          <w:rFonts w:asciiTheme="minorHAnsi" w:hAnsiTheme="minorHAnsi" w:cstheme="minorHAnsi"/>
          <w:sz w:val="22"/>
          <w:szCs w:val="22"/>
        </w:rPr>
        <w:t xml:space="preserve"> Load Carrying Capability</w:t>
      </w:r>
      <w:r w:rsidRPr="002F5ED6">
        <w:rPr>
          <w:rFonts w:asciiTheme="minorHAnsi" w:hAnsiTheme="minorHAnsi" w:cstheme="minorHAnsi"/>
          <w:sz w:val="22"/>
          <w:szCs w:val="22"/>
        </w:rPr>
        <w:t xml:space="preserve"> (“</w:t>
      </w:r>
      <w:r w:rsidR="00CA68CC" w:rsidRPr="002F5ED6">
        <w:rPr>
          <w:rFonts w:asciiTheme="minorHAnsi" w:hAnsiTheme="minorHAnsi" w:cstheme="minorHAnsi"/>
          <w:sz w:val="22"/>
          <w:szCs w:val="22"/>
        </w:rPr>
        <w:t>ELCC</w:t>
      </w:r>
      <w:r w:rsidRPr="002F5ED6">
        <w:rPr>
          <w:rFonts w:asciiTheme="minorHAnsi" w:hAnsiTheme="minorHAnsi" w:cstheme="minorHAnsi"/>
          <w:sz w:val="22"/>
          <w:szCs w:val="22"/>
        </w:rPr>
        <w:t xml:space="preserve">”). For all operating companies, non-dispatchable DSOs are accounted for in the load forecast. </w:t>
      </w:r>
      <w:bookmarkStart w:id="6" w:name="_Hlk90981791"/>
      <w:r w:rsidR="00F234A5" w:rsidRPr="002F5ED6">
        <w:rPr>
          <w:rFonts w:asciiTheme="minorHAnsi" w:hAnsiTheme="minorHAnsi" w:cstheme="minorHAnsi"/>
          <w:sz w:val="22"/>
          <w:szCs w:val="22"/>
        </w:rPr>
        <w:t xml:space="preserve">Please see Technical Appendix </w:t>
      </w:r>
      <w:r w:rsidR="00CC4D5B" w:rsidRPr="002F5ED6">
        <w:rPr>
          <w:rFonts w:asciiTheme="minorHAnsi" w:hAnsiTheme="minorHAnsi" w:cstheme="minorHAnsi"/>
          <w:sz w:val="22"/>
          <w:szCs w:val="22"/>
        </w:rPr>
        <w:t xml:space="preserve">Resource Mix Study </w:t>
      </w:r>
      <w:r w:rsidR="00F234A5" w:rsidRPr="002F5ED6">
        <w:rPr>
          <w:rFonts w:asciiTheme="minorHAnsi" w:hAnsiTheme="minorHAnsi" w:cstheme="minorHAnsi"/>
          <w:sz w:val="22"/>
          <w:szCs w:val="22"/>
        </w:rPr>
        <w:t>(</w:t>
      </w:r>
      <w:r w:rsidR="25CF838A" w:rsidRPr="002F5ED6">
        <w:rPr>
          <w:rFonts w:asciiTheme="minorHAnsi" w:hAnsiTheme="minorHAnsi" w:cstheme="minorHAnsi"/>
          <w:sz w:val="22"/>
          <w:szCs w:val="22"/>
        </w:rPr>
        <w:t xml:space="preserve">Georgia Power </w:t>
      </w:r>
      <w:r w:rsidR="005955E5" w:rsidRPr="002F5ED6">
        <w:rPr>
          <w:rFonts w:asciiTheme="minorHAnsi" w:hAnsiTheme="minorHAnsi" w:cstheme="minorHAnsi"/>
          <w:sz w:val="22"/>
          <w:szCs w:val="22"/>
        </w:rPr>
        <w:t>and System DSO Data</w:t>
      </w:r>
      <w:r w:rsidR="00F234A5" w:rsidRPr="002F5ED6">
        <w:rPr>
          <w:rFonts w:asciiTheme="minorHAnsi" w:hAnsiTheme="minorHAnsi" w:cstheme="minorHAnsi"/>
          <w:sz w:val="22"/>
          <w:szCs w:val="22"/>
        </w:rPr>
        <w:t xml:space="preserve">) for additional information regarding DSO assumptions used in the </w:t>
      </w:r>
      <w:r w:rsidR="00DE6B12" w:rsidRPr="002F5ED6">
        <w:rPr>
          <w:rFonts w:asciiTheme="minorHAnsi" w:hAnsiTheme="minorHAnsi" w:cstheme="minorHAnsi"/>
          <w:sz w:val="22"/>
          <w:szCs w:val="22"/>
        </w:rPr>
        <w:t>2023</w:t>
      </w:r>
      <w:r w:rsidR="00DB28F5" w:rsidRPr="002F5ED6">
        <w:rPr>
          <w:rFonts w:asciiTheme="minorHAnsi" w:hAnsiTheme="minorHAnsi" w:cstheme="minorHAnsi"/>
          <w:sz w:val="22"/>
          <w:szCs w:val="22"/>
        </w:rPr>
        <w:t xml:space="preserve"> IRP</w:t>
      </w:r>
      <w:r w:rsidR="00DE6B12" w:rsidRPr="002F5ED6">
        <w:rPr>
          <w:rFonts w:asciiTheme="minorHAnsi" w:hAnsiTheme="minorHAnsi" w:cstheme="minorHAnsi"/>
          <w:sz w:val="22"/>
          <w:szCs w:val="22"/>
        </w:rPr>
        <w:t xml:space="preserve"> Update</w:t>
      </w:r>
      <w:r w:rsidR="00F234A5" w:rsidRPr="002F5ED6">
        <w:rPr>
          <w:rFonts w:asciiTheme="minorHAnsi" w:hAnsiTheme="minorHAnsi" w:cstheme="minorHAnsi"/>
          <w:sz w:val="22"/>
          <w:szCs w:val="22"/>
        </w:rPr>
        <w:t>.</w:t>
      </w:r>
      <w:bookmarkEnd w:id="6"/>
    </w:p>
    <w:p w14:paraId="626DA7AF" w14:textId="77777777" w:rsidR="002F5ED6" w:rsidRDefault="002F5ED6">
      <w:pPr>
        <w:jc w:val="left"/>
        <w:rPr>
          <w:rFonts w:asciiTheme="minorHAnsi" w:hAnsiTheme="minorHAnsi" w:cstheme="minorHAnsi"/>
          <w:sz w:val="22"/>
          <w:szCs w:val="22"/>
        </w:rPr>
      </w:pPr>
      <w:r>
        <w:rPr>
          <w:rFonts w:asciiTheme="minorHAnsi" w:hAnsiTheme="minorHAnsi" w:cstheme="minorHAnsi"/>
          <w:sz w:val="22"/>
          <w:szCs w:val="22"/>
        </w:rPr>
        <w:br w:type="page"/>
      </w:r>
    </w:p>
    <w:p w14:paraId="15E1FFDF" w14:textId="511D0C4C" w:rsidR="00826A59" w:rsidRPr="002F5ED6" w:rsidRDefault="00826A59" w:rsidP="00243513">
      <w:pPr>
        <w:spacing w:line="360" w:lineRule="atLeast"/>
        <w:rPr>
          <w:rFonts w:asciiTheme="minorHAnsi" w:hAnsiTheme="minorHAnsi" w:cstheme="minorHAnsi"/>
          <w:sz w:val="22"/>
          <w:szCs w:val="22"/>
        </w:rPr>
      </w:pPr>
      <w:r w:rsidRPr="002F5ED6">
        <w:rPr>
          <w:rFonts w:asciiTheme="minorHAnsi" w:hAnsiTheme="minorHAnsi" w:cstheme="minorHAnsi"/>
          <w:sz w:val="22"/>
          <w:szCs w:val="22"/>
        </w:rPr>
        <w:t xml:space="preserve">Figure 3 below shows the existing, planned, and committed system capacity changes for </w:t>
      </w:r>
      <w:r w:rsidR="001B1953" w:rsidRPr="002F5ED6">
        <w:rPr>
          <w:rFonts w:asciiTheme="minorHAnsi" w:hAnsiTheme="minorHAnsi" w:cstheme="minorHAnsi"/>
          <w:sz w:val="22"/>
          <w:szCs w:val="22"/>
        </w:rPr>
        <w:t xml:space="preserve">the </w:t>
      </w:r>
      <w:r w:rsidRPr="002F5ED6">
        <w:rPr>
          <w:rFonts w:asciiTheme="minorHAnsi" w:hAnsiTheme="minorHAnsi" w:cstheme="minorHAnsi"/>
          <w:sz w:val="22"/>
          <w:szCs w:val="22"/>
        </w:rPr>
        <w:t>202</w:t>
      </w:r>
      <w:r w:rsidR="00DB28F5" w:rsidRPr="002F5ED6">
        <w:rPr>
          <w:rFonts w:asciiTheme="minorHAnsi" w:hAnsiTheme="minorHAnsi" w:cstheme="minorHAnsi"/>
          <w:sz w:val="22"/>
          <w:szCs w:val="22"/>
        </w:rPr>
        <w:t>4</w:t>
      </w:r>
      <w:r w:rsidRPr="002F5ED6">
        <w:rPr>
          <w:rFonts w:asciiTheme="minorHAnsi" w:hAnsiTheme="minorHAnsi" w:cstheme="minorHAnsi"/>
          <w:sz w:val="22"/>
          <w:szCs w:val="22"/>
        </w:rPr>
        <w:t xml:space="preserve"> – 204</w:t>
      </w:r>
      <w:r w:rsidR="00DB28F5" w:rsidRPr="002F5ED6">
        <w:rPr>
          <w:rFonts w:asciiTheme="minorHAnsi" w:hAnsiTheme="minorHAnsi" w:cstheme="minorHAnsi"/>
          <w:sz w:val="22"/>
          <w:szCs w:val="22"/>
        </w:rPr>
        <w:t>3</w:t>
      </w:r>
      <w:r w:rsidRPr="002F5ED6">
        <w:rPr>
          <w:rFonts w:asciiTheme="minorHAnsi" w:hAnsiTheme="minorHAnsi" w:cstheme="minorHAnsi"/>
          <w:sz w:val="22"/>
          <w:szCs w:val="22"/>
        </w:rPr>
        <w:t xml:space="preserve"> period.</w:t>
      </w:r>
    </w:p>
    <w:p w14:paraId="13D9E980" w14:textId="29DF93DD" w:rsidR="005E129E" w:rsidRPr="002F5ED6" w:rsidRDefault="005E129E" w:rsidP="00243513">
      <w:pPr>
        <w:spacing w:line="360" w:lineRule="atLeast"/>
        <w:rPr>
          <w:rFonts w:asciiTheme="minorHAnsi" w:hAnsiTheme="minorHAnsi" w:cstheme="minorHAnsi"/>
          <w:sz w:val="22"/>
          <w:szCs w:val="22"/>
        </w:rPr>
      </w:pPr>
    </w:p>
    <w:p w14:paraId="731D574A" w14:textId="0806A225" w:rsidR="00A11353" w:rsidRPr="002F5ED6" w:rsidRDefault="00A11353" w:rsidP="00826A59">
      <w:pPr>
        <w:spacing w:line="360" w:lineRule="atLeast"/>
        <w:jc w:val="center"/>
        <w:rPr>
          <w:rFonts w:asciiTheme="minorHAnsi" w:hAnsiTheme="minorHAnsi" w:cstheme="minorHAnsi"/>
          <w:i/>
          <w:iCs/>
        </w:rPr>
      </w:pPr>
      <w:r w:rsidRPr="00FD4D77">
        <w:rPr>
          <w:rFonts w:asciiTheme="minorHAnsi" w:hAnsiTheme="minorHAnsi" w:cstheme="minorHAnsi"/>
          <w:i/>
          <w:iCs/>
        </w:rPr>
        <w:t xml:space="preserve">Figure </w:t>
      </w:r>
      <w:r w:rsidR="00826A59" w:rsidRPr="00FD4D77">
        <w:rPr>
          <w:rFonts w:asciiTheme="minorHAnsi" w:hAnsiTheme="minorHAnsi" w:cstheme="minorHAnsi"/>
          <w:i/>
          <w:iCs/>
        </w:rPr>
        <w:t>3</w:t>
      </w:r>
      <w:r w:rsidR="0041046F" w:rsidRPr="00FD4D77">
        <w:rPr>
          <w:rFonts w:asciiTheme="minorHAnsi" w:hAnsiTheme="minorHAnsi" w:cstheme="minorHAnsi"/>
          <w:i/>
          <w:iCs/>
        </w:rPr>
        <w:t xml:space="preserve">: </w:t>
      </w:r>
      <w:r w:rsidRPr="00FD4D77">
        <w:rPr>
          <w:rFonts w:asciiTheme="minorHAnsi" w:hAnsiTheme="minorHAnsi" w:cstheme="minorHAnsi"/>
          <w:i/>
          <w:iCs/>
        </w:rPr>
        <w:t>Retail Operating Companies’ Existing</w:t>
      </w:r>
      <w:r w:rsidR="0041046F" w:rsidRPr="00FD4D77">
        <w:rPr>
          <w:rFonts w:asciiTheme="minorHAnsi" w:hAnsiTheme="minorHAnsi" w:cstheme="minorHAnsi"/>
          <w:i/>
          <w:iCs/>
        </w:rPr>
        <w:t xml:space="preserve"> and</w:t>
      </w:r>
      <w:r w:rsidRPr="00FD4D77">
        <w:rPr>
          <w:rFonts w:asciiTheme="minorHAnsi" w:hAnsiTheme="minorHAnsi" w:cstheme="minorHAnsi"/>
          <w:i/>
          <w:iCs/>
        </w:rPr>
        <w:t xml:space="preserve"> Planned Capacity Forecast</w:t>
      </w:r>
    </w:p>
    <w:p w14:paraId="7F619A8D" w14:textId="715B944D" w:rsidR="00A11353" w:rsidRPr="005720F7" w:rsidRDefault="00A11353" w:rsidP="00243513">
      <w:pPr>
        <w:spacing w:line="360" w:lineRule="atLeast"/>
        <w:rPr>
          <w:rFonts w:asciiTheme="minorHAnsi" w:hAnsiTheme="minorHAnsi" w:cstheme="minorHAnsi"/>
          <w:sz w:val="48"/>
          <w:szCs w:val="48"/>
        </w:rPr>
      </w:pPr>
    </w:p>
    <w:p w14:paraId="5EFCCE15" w14:textId="6A41BCE7" w:rsidR="00641FD3" w:rsidRDefault="00A560B9" w:rsidP="00243513">
      <w:pPr>
        <w:spacing w:line="360" w:lineRule="atLeast"/>
        <w:rPr>
          <w:rFonts w:asciiTheme="minorHAnsi" w:hAnsiTheme="minorHAnsi" w:cstheme="minorHAnsi"/>
          <w:color w:val="000000"/>
          <w:sz w:val="22"/>
          <w:szCs w:val="22"/>
        </w:rPr>
      </w:pPr>
      <w:r>
        <w:rPr>
          <w:noProof/>
        </w:rPr>
        <w:drawing>
          <wp:inline distT="0" distB="0" distL="0" distR="0" wp14:anchorId="76F8C7F3" wp14:editId="411BB3E8">
            <wp:extent cx="5740236" cy="3001665"/>
            <wp:effectExtent l="0" t="0" r="0" b="0"/>
            <wp:docPr id="1883941398" name="Picture 1883941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5740236" cy="3001665"/>
                    </a:xfrm>
                    <a:prstGeom prst="rect">
                      <a:avLst/>
                    </a:prstGeom>
                  </pic:spPr>
                </pic:pic>
              </a:graphicData>
            </a:graphic>
          </wp:inline>
        </w:drawing>
      </w:r>
    </w:p>
    <w:p w14:paraId="64946383" w14:textId="77777777" w:rsidR="003F1BB1" w:rsidRPr="005720F7" w:rsidRDefault="003F1BB1" w:rsidP="00243513">
      <w:pPr>
        <w:spacing w:line="360" w:lineRule="atLeast"/>
        <w:rPr>
          <w:rFonts w:asciiTheme="minorHAnsi" w:hAnsiTheme="minorHAnsi" w:cstheme="minorHAnsi"/>
          <w:color w:val="000000"/>
          <w:sz w:val="52"/>
          <w:szCs w:val="52"/>
        </w:rPr>
      </w:pPr>
    </w:p>
    <w:p w14:paraId="3BE0FBD6" w14:textId="112A2ADD" w:rsidR="00641FD3" w:rsidRPr="002F5ED6" w:rsidRDefault="00641FD3" w:rsidP="00641FD3">
      <w:pPr>
        <w:pStyle w:val="Heading2"/>
        <w:keepLines/>
        <w:tabs>
          <w:tab w:val="num" w:pos="720"/>
        </w:tabs>
        <w:spacing w:line="360" w:lineRule="atLeast"/>
        <w:ind w:left="720" w:hanging="720"/>
        <w:rPr>
          <w:rFonts w:asciiTheme="minorHAnsi" w:hAnsiTheme="minorHAnsi" w:cstheme="minorHAnsi"/>
          <w:b w:val="0"/>
          <w:bCs/>
          <w:i/>
          <w:iCs/>
          <w:sz w:val="22"/>
          <w:szCs w:val="22"/>
        </w:rPr>
      </w:pPr>
      <w:bookmarkStart w:id="7" w:name="_Toc305487207"/>
      <w:r w:rsidRPr="002F5ED6">
        <w:rPr>
          <w:rFonts w:asciiTheme="minorHAnsi" w:hAnsiTheme="minorHAnsi" w:cstheme="minorHAnsi"/>
          <w:b w:val="0"/>
          <w:bCs/>
          <w:i/>
          <w:iCs/>
          <w:sz w:val="22"/>
          <w:szCs w:val="22"/>
        </w:rPr>
        <w:t>LOADS</w:t>
      </w:r>
      <w:bookmarkEnd w:id="7"/>
    </w:p>
    <w:p w14:paraId="412A08D3" w14:textId="1C6D6225" w:rsidR="00641FD3" w:rsidRPr="002F5ED6" w:rsidRDefault="00641FD3" w:rsidP="00EC6870">
      <w:pPr>
        <w:spacing w:line="360" w:lineRule="atLeast"/>
        <w:rPr>
          <w:rFonts w:asciiTheme="minorHAnsi" w:hAnsiTheme="minorHAnsi" w:cstheme="minorHAnsi"/>
          <w:sz w:val="22"/>
          <w:szCs w:val="22"/>
        </w:rPr>
      </w:pPr>
      <w:r w:rsidRPr="002F5ED6">
        <w:rPr>
          <w:rFonts w:asciiTheme="minorHAnsi" w:hAnsiTheme="minorHAnsi" w:cstheme="minorHAnsi"/>
          <w:sz w:val="22"/>
          <w:szCs w:val="22"/>
        </w:rPr>
        <w:t xml:space="preserve">Load forecasts were provided by each retail operating company. </w:t>
      </w:r>
      <w:r w:rsidR="001A3F61" w:rsidRPr="002F5ED6">
        <w:rPr>
          <w:rFonts w:asciiTheme="minorHAnsi" w:hAnsiTheme="minorHAnsi" w:cstheme="minorHAnsi"/>
          <w:sz w:val="22"/>
          <w:szCs w:val="22"/>
        </w:rPr>
        <w:t xml:space="preserve">The </w:t>
      </w:r>
      <w:r w:rsidR="00014C20" w:rsidRPr="002F5ED6">
        <w:rPr>
          <w:rFonts w:asciiTheme="minorHAnsi" w:hAnsiTheme="minorHAnsi" w:cstheme="minorHAnsi"/>
          <w:sz w:val="22"/>
          <w:szCs w:val="22"/>
        </w:rPr>
        <w:t>S</w:t>
      </w:r>
      <w:r w:rsidR="001A3F61" w:rsidRPr="002F5ED6">
        <w:rPr>
          <w:rFonts w:asciiTheme="minorHAnsi" w:hAnsiTheme="minorHAnsi" w:cstheme="minorHAnsi"/>
          <w:sz w:val="22"/>
          <w:szCs w:val="22"/>
        </w:rPr>
        <w:t xml:space="preserve">ystem </w:t>
      </w:r>
      <w:r w:rsidR="00014C20" w:rsidRPr="002F5ED6">
        <w:rPr>
          <w:rFonts w:asciiTheme="minorHAnsi" w:hAnsiTheme="minorHAnsi" w:cstheme="minorHAnsi"/>
          <w:sz w:val="22"/>
          <w:szCs w:val="22"/>
        </w:rPr>
        <w:t>peak demand</w:t>
      </w:r>
      <w:r w:rsidR="001A3F61" w:rsidRPr="002F5ED6">
        <w:rPr>
          <w:rFonts w:asciiTheme="minorHAnsi" w:hAnsiTheme="minorHAnsi" w:cstheme="minorHAnsi"/>
          <w:sz w:val="22"/>
          <w:szCs w:val="22"/>
        </w:rPr>
        <w:t xml:space="preserve"> is the sum of each retail operating compan</w:t>
      </w:r>
      <w:r w:rsidR="00417C14" w:rsidRPr="002F5ED6">
        <w:rPr>
          <w:rFonts w:asciiTheme="minorHAnsi" w:hAnsiTheme="minorHAnsi" w:cstheme="minorHAnsi"/>
          <w:sz w:val="22"/>
          <w:szCs w:val="22"/>
        </w:rPr>
        <w:t>ies’</w:t>
      </w:r>
      <w:r w:rsidR="007E12EE" w:rsidRPr="002F5ED6">
        <w:rPr>
          <w:rFonts w:asciiTheme="minorHAnsi" w:hAnsiTheme="minorHAnsi" w:cstheme="minorHAnsi"/>
          <w:sz w:val="22"/>
          <w:szCs w:val="22"/>
        </w:rPr>
        <w:t xml:space="preserve"> non-coincident peak demand</w:t>
      </w:r>
      <w:r w:rsidR="00402F92" w:rsidRPr="002F5ED6">
        <w:rPr>
          <w:rFonts w:asciiTheme="minorHAnsi" w:hAnsiTheme="minorHAnsi" w:cstheme="minorHAnsi"/>
          <w:sz w:val="22"/>
          <w:szCs w:val="22"/>
        </w:rPr>
        <w:t xml:space="preserve"> </w:t>
      </w:r>
      <w:r w:rsidR="00AD7BBB" w:rsidRPr="002F5ED6">
        <w:rPr>
          <w:rFonts w:asciiTheme="minorHAnsi" w:hAnsiTheme="minorHAnsi" w:cstheme="minorHAnsi"/>
          <w:sz w:val="22"/>
          <w:szCs w:val="22"/>
        </w:rPr>
        <w:t>multiplied by a load diversity factor</w:t>
      </w:r>
      <w:r w:rsidR="001A3F61" w:rsidRPr="002F5ED6">
        <w:rPr>
          <w:rFonts w:asciiTheme="minorHAnsi" w:hAnsiTheme="minorHAnsi" w:cstheme="minorHAnsi"/>
          <w:sz w:val="22"/>
          <w:szCs w:val="22"/>
        </w:rPr>
        <w:t>. The diversity percentages are based on a historical ten-year average of monthly diversities from 201</w:t>
      </w:r>
      <w:r w:rsidR="006E00BD" w:rsidRPr="002F5ED6">
        <w:rPr>
          <w:rFonts w:asciiTheme="minorHAnsi" w:hAnsiTheme="minorHAnsi" w:cstheme="minorHAnsi"/>
          <w:sz w:val="22"/>
          <w:szCs w:val="22"/>
        </w:rPr>
        <w:t>3</w:t>
      </w:r>
      <w:r w:rsidR="001A3F61" w:rsidRPr="002F5ED6">
        <w:rPr>
          <w:rFonts w:asciiTheme="minorHAnsi" w:hAnsiTheme="minorHAnsi" w:cstheme="minorHAnsi"/>
          <w:sz w:val="22"/>
          <w:szCs w:val="22"/>
        </w:rPr>
        <w:t xml:space="preserve"> through 202</w:t>
      </w:r>
      <w:r w:rsidR="006E00BD" w:rsidRPr="002F5ED6">
        <w:rPr>
          <w:rFonts w:asciiTheme="minorHAnsi" w:hAnsiTheme="minorHAnsi" w:cstheme="minorHAnsi"/>
          <w:sz w:val="22"/>
          <w:szCs w:val="22"/>
        </w:rPr>
        <w:t>2</w:t>
      </w:r>
      <w:r w:rsidR="5ECB5582" w:rsidRPr="002F5ED6">
        <w:rPr>
          <w:rFonts w:asciiTheme="minorHAnsi" w:hAnsiTheme="minorHAnsi" w:cstheme="minorHAnsi"/>
          <w:sz w:val="22"/>
          <w:szCs w:val="22"/>
        </w:rPr>
        <w:t>.</w:t>
      </w:r>
      <w:r w:rsidR="008405DC" w:rsidRPr="002F5ED6">
        <w:rPr>
          <w:rFonts w:asciiTheme="minorHAnsi" w:hAnsiTheme="minorHAnsi" w:cstheme="minorHAnsi"/>
          <w:sz w:val="22"/>
          <w:szCs w:val="22"/>
        </w:rPr>
        <w:t xml:space="preserve"> </w:t>
      </w:r>
      <w:r w:rsidRPr="002F5ED6">
        <w:rPr>
          <w:rFonts w:asciiTheme="minorHAnsi" w:hAnsiTheme="minorHAnsi" w:cstheme="minorHAnsi"/>
          <w:sz w:val="22"/>
          <w:szCs w:val="22"/>
        </w:rPr>
        <w:t xml:space="preserve">More information on </w:t>
      </w:r>
      <w:r w:rsidR="004253CD" w:rsidRPr="002F5ED6">
        <w:rPr>
          <w:rFonts w:asciiTheme="minorHAnsi" w:hAnsiTheme="minorHAnsi" w:cstheme="minorHAnsi"/>
          <w:sz w:val="22"/>
          <w:szCs w:val="22"/>
        </w:rPr>
        <w:t xml:space="preserve">the Company’s </w:t>
      </w:r>
      <w:r w:rsidRPr="002F5ED6">
        <w:rPr>
          <w:rFonts w:asciiTheme="minorHAnsi" w:hAnsiTheme="minorHAnsi" w:cstheme="minorHAnsi"/>
          <w:sz w:val="22"/>
          <w:szCs w:val="22"/>
        </w:rPr>
        <w:t xml:space="preserve">load forecasts can be found in </w:t>
      </w:r>
      <w:r w:rsidR="008030DE" w:rsidRPr="002F5ED6">
        <w:rPr>
          <w:rFonts w:asciiTheme="minorHAnsi" w:hAnsiTheme="minorHAnsi" w:cstheme="minorHAnsi"/>
          <w:sz w:val="22"/>
          <w:szCs w:val="22"/>
        </w:rPr>
        <w:t xml:space="preserve">the </w:t>
      </w:r>
      <w:r w:rsidR="008C040A" w:rsidRPr="002F5ED6">
        <w:rPr>
          <w:rFonts w:asciiTheme="minorHAnsi" w:hAnsiTheme="minorHAnsi" w:cstheme="minorHAnsi"/>
          <w:sz w:val="22"/>
          <w:szCs w:val="22"/>
        </w:rPr>
        <w:t xml:space="preserve">2023 IRP Update </w:t>
      </w:r>
      <w:r w:rsidR="008030DE" w:rsidRPr="002F5ED6">
        <w:rPr>
          <w:rFonts w:asciiTheme="minorHAnsi" w:hAnsiTheme="minorHAnsi" w:cstheme="minorHAnsi"/>
          <w:sz w:val="22"/>
          <w:szCs w:val="22"/>
        </w:rPr>
        <w:t xml:space="preserve">Main Document </w:t>
      </w:r>
      <w:r w:rsidR="00952297" w:rsidRPr="002F5ED6">
        <w:rPr>
          <w:rFonts w:asciiTheme="minorHAnsi" w:hAnsiTheme="minorHAnsi" w:cstheme="minorHAnsi"/>
          <w:sz w:val="22"/>
          <w:szCs w:val="22"/>
        </w:rPr>
        <w:t xml:space="preserve">and the Load and Energy Forecast presented in </w:t>
      </w:r>
      <w:r w:rsidR="00B964F5" w:rsidRPr="002F5ED6">
        <w:rPr>
          <w:rFonts w:asciiTheme="minorHAnsi" w:hAnsiTheme="minorHAnsi" w:cstheme="minorHAnsi"/>
          <w:sz w:val="22"/>
          <w:szCs w:val="22"/>
        </w:rPr>
        <w:t xml:space="preserve">the </w:t>
      </w:r>
      <w:r w:rsidR="00952297" w:rsidRPr="002F5ED6">
        <w:rPr>
          <w:rFonts w:asciiTheme="minorHAnsi" w:hAnsiTheme="minorHAnsi" w:cstheme="minorHAnsi"/>
          <w:sz w:val="22"/>
          <w:szCs w:val="22"/>
        </w:rPr>
        <w:t>Technical Appendix</w:t>
      </w:r>
      <w:r w:rsidRPr="002F5ED6">
        <w:rPr>
          <w:rFonts w:asciiTheme="minorHAnsi" w:hAnsiTheme="minorHAnsi" w:cstheme="minorHAnsi"/>
          <w:sz w:val="22"/>
          <w:szCs w:val="22"/>
        </w:rPr>
        <w:t>.</w:t>
      </w:r>
    </w:p>
    <w:p w14:paraId="246D5B14" w14:textId="77777777" w:rsidR="00B158B6" w:rsidRPr="002F5ED6" w:rsidRDefault="00B158B6" w:rsidP="00CD45F9">
      <w:pPr>
        <w:spacing w:line="360" w:lineRule="atLeast"/>
        <w:rPr>
          <w:rFonts w:asciiTheme="minorHAnsi" w:hAnsiTheme="minorHAnsi" w:cstheme="minorHAnsi"/>
          <w:sz w:val="22"/>
          <w:szCs w:val="22"/>
        </w:rPr>
      </w:pPr>
    </w:p>
    <w:p w14:paraId="72A2606A" w14:textId="77777777" w:rsidR="007D577E" w:rsidRPr="002F5ED6" w:rsidRDefault="35EDCBDB" w:rsidP="00CD45F9">
      <w:pPr>
        <w:spacing w:line="360" w:lineRule="atLeast"/>
        <w:rPr>
          <w:rFonts w:asciiTheme="minorHAnsi" w:hAnsiTheme="minorHAnsi" w:cstheme="minorHAnsi"/>
          <w:sz w:val="22"/>
          <w:szCs w:val="22"/>
        </w:rPr>
      </w:pPr>
      <w:r w:rsidRPr="002F5ED6">
        <w:rPr>
          <w:rFonts w:asciiTheme="minorHAnsi" w:hAnsiTheme="minorHAnsi" w:cstheme="minorHAnsi"/>
          <w:sz w:val="22"/>
          <w:szCs w:val="22"/>
        </w:rPr>
        <w:t xml:space="preserve">To address the uncertainty of future electricity consumption across a range of scenarios, the Company produces specific load forecasts for </w:t>
      </w:r>
      <w:r w:rsidR="6A2FE5B0" w:rsidRPr="002F5ED6">
        <w:rPr>
          <w:rFonts w:asciiTheme="minorHAnsi" w:hAnsiTheme="minorHAnsi" w:cstheme="minorHAnsi"/>
          <w:sz w:val="22"/>
          <w:szCs w:val="22"/>
        </w:rPr>
        <w:t>multiple scenario views</w:t>
      </w:r>
      <w:r w:rsidRPr="002F5ED6">
        <w:rPr>
          <w:rFonts w:asciiTheme="minorHAnsi" w:hAnsiTheme="minorHAnsi" w:cstheme="minorHAnsi"/>
          <w:sz w:val="22"/>
          <w:szCs w:val="22"/>
        </w:rPr>
        <w:t xml:space="preserve">. The Company’s reference load forecast uses annually updated forecasts of electricity consumption throughout the planning horizon assuming </w:t>
      </w:r>
      <w:r w:rsidR="2F624893" w:rsidRPr="002F5ED6">
        <w:rPr>
          <w:rFonts w:asciiTheme="minorHAnsi" w:eastAsia="Arial" w:hAnsiTheme="minorHAnsi" w:cstheme="minorHAnsi"/>
          <w:color w:val="000000" w:themeColor="text1"/>
          <w:sz w:val="22"/>
          <w:szCs w:val="22"/>
        </w:rPr>
        <w:t>the US Energy Information Administration’s (“EIA”) 202</w:t>
      </w:r>
      <w:r w:rsidR="0065157D" w:rsidRPr="002F5ED6">
        <w:rPr>
          <w:rFonts w:asciiTheme="minorHAnsi" w:eastAsia="Arial" w:hAnsiTheme="minorHAnsi" w:cstheme="minorHAnsi"/>
          <w:color w:val="000000" w:themeColor="text1"/>
          <w:sz w:val="22"/>
          <w:szCs w:val="22"/>
        </w:rPr>
        <w:t>3</w:t>
      </w:r>
      <w:r w:rsidR="2F624893" w:rsidRPr="002F5ED6">
        <w:rPr>
          <w:rFonts w:asciiTheme="minorHAnsi" w:eastAsia="Arial" w:hAnsiTheme="minorHAnsi" w:cstheme="minorHAnsi"/>
          <w:color w:val="000000" w:themeColor="text1"/>
          <w:sz w:val="22"/>
          <w:szCs w:val="22"/>
        </w:rPr>
        <w:t xml:space="preserve"> Annual Energy Outlook (“AEO”)</w:t>
      </w:r>
      <w:r w:rsidR="2F624893" w:rsidRPr="002F5ED6">
        <w:rPr>
          <w:rFonts w:asciiTheme="minorHAnsi" w:hAnsiTheme="minorHAnsi" w:cstheme="minorHAnsi"/>
          <w:sz w:val="22"/>
          <w:szCs w:val="22"/>
        </w:rPr>
        <w:t xml:space="preserve"> </w:t>
      </w:r>
      <w:r w:rsidRPr="002F5ED6">
        <w:rPr>
          <w:rFonts w:asciiTheme="minorHAnsi" w:hAnsiTheme="minorHAnsi" w:cstheme="minorHAnsi"/>
          <w:sz w:val="22"/>
          <w:szCs w:val="22"/>
        </w:rPr>
        <w:t>“Reference” gas price forecast and a $0 carbon view. The forecast is done separately for each of the three types of customers—residential, commercial, and industrial. For each scenario, this reference load forecast is adjusted to include the impacts of the changing fuel or carbon forecast used in that scenario.</w:t>
      </w:r>
      <w:r w:rsidR="007D577E" w:rsidRPr="002F5ED6">
        <w:rPr>
          <w:rFonts w:asciiTheme="minorHAnsi" w:hAnsiTheme="minorHAnsi" w:cstheme="minorHAnsi"/>
          <w:sz w:val="22"/>
          <w:szCs w:val="22"/>
        </w:rPr>
        <w:t xml:space="preserve"> </w:t>
      </w:r>
    </w:p>
    <w:p w14:paraId="4A8801C1" w14:textId="77777777" w:rsidR="007D577E" w:rsidRPr="002F5ED6" w:rsidRDefault="007D577E" w:rsidP="00CD45F9">
      <w:pPr>
        <w:spacing w:line="360" w:lineRule="atLeast"/>
        <w:rPr>
          <w:rFonts w:asciiTheme="minorHAnsi" w:hAnsiTheme="minorHAnsi" w:cstheme="minorHAnsi"/>
          <w:sz w:val="22"/>
          <w:szCs w:val="22"/>
        </w:rPr>
      </w:pPr>
    </w:p>
    <w:p w14:paraId="4A9E7971" w14:textId="1B33A5CA" w:rsidR="009D41D6" w:rsidRPr="002F5ED6" w:rsidRDefault="007D577E" w:rsidP="00CD45F9">
      <w:pPr>
        <w:spacing w:line="360" w:lineRule="atLeast"/>
        <w:rPr>
          <w:rFonts w:asciiTheme="minorHAnsi" w:hAnsiTheme="minorHAnsi" w:cstheme="minorHAnsi"/>
          <w:sz w:val="22"/>
          <w:szCs w:val="22"/>
        </w:rPr>
      </w:pPr>
      <w:r w:rsidRPr="002F5ED6">
        <w:rPr>
          <w:rFonts w:asciiTheme="minorHAnsi" w:hAnsiTheme="minorHAnsi" w:cstheme="minorHAnsi"/>
          <w:sz w:val="22"/>
          <w:szCs w:val="22"/>
        </w:rPr>
        <w:t xml:space="preserve">The state of Georgia has seen </w:t>
      </w:r>
      <w:r w:rsidR="0E82490E" w:rsidRPr="002F5ED6">
        <w:rPr>
          <w:rFonts w:asciiTheme="minorHAnsi" w:hAnsiTheme="minorHAnsi" w:cstheme="minorHAnsi"/>
          <w:sz w:val="22"/>
          <w:szCs w:val="22"/>
        </w:rPr>
        <w:t>historic</w:t>
      </w:r>
      <w:r w:rsidRPr="002F5ED6">
        <w:rPr>
          <w:rFonts w:asciiTheme="minorHAnsi" w:hAnsiTheme="minorHAnsi" w:cstheme="minorHAnsi"/>
          <w:sz w:val="22"/>
          <w:szCs w:val="22"/>
        </w:rPr>
        <w:t xml:space="preserve"> growth in economic development activity, specifically new load related to data centers, clean energy technology, and manufacturing. Due to the speed in which economic development customers are growing, the Company has produced a load scenario that captures the increased speed and magnitude in which these customers are growing. This load scenario (“2023 IRP Update</w:t>
      </w:r>
      <w:r w:rsidR="00B964F5" w:rsidRPr="002F5ED6">
        <w:rPr>
          <w:rFonts w:asciiTheme="minorHAnsi" w:hAnsiTheme="minorHAnsi" w:cstheme="minorHAnsi"/>
          <w:sz w:val="22"/>
          <w:szCs w:val="22"/>
        </w:rPr>
        <w:t xml:space="preserve"> </w:t>
      </w:r>
      <w:r w:rsidR="004D4085" w:rsidRPr="002F5ED6">
        <w:rPr>
          <w:rFonts w:asciiTheme="minorHAnsi" w:hAnsiTheme="minorHAnsi" w:cstheme="minorHAnsi"/>
          <w:sz w:val="22"/>
          <w:szCs w:val="22"/>
        </w:rPr>
        <w:t>Load F</w:t>
      </w:r>
      <w:r w:rsidR="00B964F5" w:rsidRPr="002F5ED6">
        <w:rPr>
          <w:rFonts w:asciiTheme="minorHAnsi" w:hAnsiTheme="minorHAnsi" w:cstheme="minorHAnsi"/>
          <w:sz w:val="22"/>
          <w:szCs w:val="22"/>
        </w:rPr>
        <w:t>orecast</w:t>
      </w:r>
      <w:r w:rsidRPr="002F5ED6">
        <w:rPr>
          <w:rFonts w:asciiTheme="minorHAnsi" w:hAnsiTheme="minorHAnsi" w:cstheme="minorHAnsi"/>
          <w:sz w:val="22"/>
          <w:szCs w:val="22"/>
        </w:rPr>
        <w:t xml:space="preserve">”) is specific to the 2023 IRP </w:t>
      </w:r>
      <w:r w:rsidR="00E94245" w:rsidRPr="002F5ED6">
        <w:rPr>
          <w:rFonts w:asciiTheme="minorHAnsi" w:hAnsiTheme="minorHAnsi" w:cstheme="minorHAnsi"/>
          <w:sz w:val="22"/>
          <w:szCs w:val="22"/>
        </w:rPr>
        <w:t>U</w:t>
      </w:r>
      <w:r w:rsidRPr="002F5ED6">
        <w:rPr>
          <w:rFonts w:asciiTheme="minorHAnsi" w:hAnsiTheme="minorHAnsi" w:cstheme="minorHAnsi"/>
          <w:sz w:val="22"/>
          <w:szCs w:val="22"/>
        </w:rPr>
        <w:t xml:space="preserve">pdate and will be used as the reference load forecast in </w:t>
      </w:r>
      <w:r w:rsidR="002D4109" w:rsidRPr="002F5ED6">
        <w:rPr>
          <w:rFonts w:asciiTheme="minorHAnsi" w:hAnsiTheme="minorHAnsi" w:cstheme="minorHAnsi"/>
          <w:sz w:val="22"/>
          <w:szCs w:val="22"/>
        </w:rPr>
        <w:t xml:space="preserve">this </w:t>
      </w:r>
      <w:r w:rsidRPr="002F5ED6">
        <w:rPr>
          <w:rFonts w:asciiTheme="minorHAnsi" w:hAnsiTheme="minorHAnsi" w:cstheme="minorHAnsi"/>
          <w:sz w:val="22"/>
          <w:szCs w:val="22"/>
        </w:rPr>
        <w:t xml:space="preserve">Mix Study. </w:t>
      </w:r>
      <w:r w:rsidR="009D41D6" w:rsidRPr="002F5ED6">
        <w:rPr>
          <w:rFonts w:asciiTheme="minorHAnsi" w:hAnsiTheme="minorHAnsi" w:cstheme="minorHAnsi"/>
          <w:sz w:val="22"/>
          <w:szCs w:val="22"/>
        </w:rPr>
        <w:t>Additionally, the Company produces two other load forecast views used in the scenarios</w:t>
      </w:r>
      <w:r w:rsidR="441CF5CB" w:rsidRPr="002F5ED6">
        <w:rPr>
          <w:rFonts w:asciiTheme="minorHAnsi" w:hAnsiTheme="minorHAnsi" w:cstheme="minorHAnsi"/>
          <w:sz w:val="22"/>
          <w:szCs w:val="22"/>
        </w:rPr>
        <w:t xml:space="preserve"> that include </w:t>
      </w:r>
      <w:r w:rsidR="00AB1717" w:rsidRPr="002F5ED6">
        <w:rPr>
          <w:rFonts w:asciiTheme="minorHAnsi" w:hAnsiTheme="minorHAnsi" w:cstheme="minorHAnsi"/>
          <w:sz w:val="22"/>
          <w:szCs w:val="22"/>
        </w:rPr>
        <w:t xml:space="preserve">additional </w:t>
      </w:r>
      <w:r w:rsidR="441CF5CB" w:rsidRPr="002F5ED6">
        <w:rPr>
          <w:rFonts w:asciiTheme="minorHAnsi" w:hAnsiTheme="minorHAnsi" w:cstheme="minorHAnsi"/>
          <w:sz w:val="22"/>
          <w:szCs w:val="22"/>
        </w:rPr>
        <w:t>electrification-influenced load growth and end-use efficiency and customer generation</w:t>
      </w:r>
      <w:r w:rsidR="00DE6B12" w:rsidRPr="002F5ED6">
        <w:rPr>
          <w:rFonts w:asciiTheme="minorHAnsi" w:hAnsiTheme="minorHAnsi" w:cstheme="minorHAnsi"/>
          <w:sz w:val="22"/>
          <w:szCs w:val="22"/>
        </w:rPr>
        <w:t xml:space="preserve"> </w:t>
      </w:r>
      <w:r w:rsidR="001E0F37" w:rsidRPr="002F5ED6">
        <w:rPr>
          <w:rFonts w:asciiTheme="minorHAnsi" w:hAnsiTheme="minorHAnsi" w:cstheme="minorHAnsi"/>
          <w:sz w:val="22"/>
          <w:szCs w:val="22"/>
        </w:rPr>
        <w:t xml:space="preserve">with varying degrees of added carbon pressure </w:t>
      </w:r>
      <w:r w:rsidR="00DE6B12" w:rsidRPr="002F5ED6">
        <w:rPr>
          <w:rFonts w:asciiTheme="minorHAnsi" w:hAnsiTheme="minorHAnsi" w:cstheme="minorHAnsi"/>
          <w:sz w:val="22"/>
          <w:szCs w:val="22"/>
        </w:rPr>
        <w:t>(“Alt 1” and “Alt 2”)</w:t>
      </w:r>
      <w:r w:rsidR="441CF5CB" w:rsidRPr="002F5ED6">
        <w:rPr>
          <w:rFonts w:asciiTheme="minorHAnsi" w:hAnsiTheme="minorHAnsi" w:cstheme="minorHAnsi"/>
          <w:sz w:val="22"/>
          <w:szCs w:val="22"/>
        </w:rPr>
        <w:t xml:space="preserve">. </w:t>
      </w:r>
    </w:p>
    <w:p w14:paraId="4D2BBF35" w14:textId="77777777" w:rsidR="00EC6870" w:rsidRPr="002F5ED6" w:rsidRDefault="00EC6870" w:rsidP="00EC6870">
      <w:pPr>
        <w:spacing w:line="360" w:lineRule="atLeast"/>
        <w:rPr>
          <w:rFonts w:asciiTheme="minorHAnsi" w:hAnsiTheme="minorHAnsi" w:cstheme="minorHAnsi"/>
          <w:sz w:val="22"/>
          <w:szCs w:val="22"/>
        </w:rPr>
      </w:pPr>
    </w:p>
    <w:p w14:paraId="34CF42CB" w14:textId="090E42AC" w:rsidR="00455A51" w:rsidRPr="002F5ED6" w:rsidRDefault="00822769" w:rsidP="0065157D">
      <w:pPr>
        <w:numPr>
          <w:ilvl w:val="0"/>
          <w:numId w:val="26"/>
        </w:numPr>
        <w:spacing w:after="120"/>
        <w:ind w:left="360"/>
        <w:rPr>
          <w:rFonts w:asciiTheme="minorHAnsi" w:hAnsiTheme="minorHAnsi" w:cstheme="minorHAnsi"/>
          <w:sz w:val="22"/>
          <w:szCs w:val="22"/>
        </w:rPr>
      </w:pPr>
      <w:r w:rsidRPr="002F5ED6">
        <w:rPr>
          <w:rFonts w:asciiTheme="minorHAnsi" w:hAnsiTheme="minorHAnsi" w:cstheme="minorHAnsi"/>
          <w:sz w:val="22"/>
          <w:szCs w:val="22"/>
        </w:rPr>
        <w:t xml:space="preserve">Alt 1 Load Forecast: The Alt 1 load view reflects the </w:t>
      </w:r>
      <w:r w:rsidR="002D4109" w:rsidRPr="002F5ED6">
        <w:rPr>
          <w:rFonts w:asciiTheme="minorHAnsi" w:hAnsiTheme="minorHAnsi" w:cstheme="minorHAnsi"/>
          <w:sz w:val="22"/>
          <w:szCs w:val="22"/>
        </w:rPr>
        <w:t>C</w:t>
      </w:r>
      <w:r w:rsidRPr="002F5ED6">
        <w:rPr>
          <w:rFonts w:asciiTheme="minorHAnsi" w:hAnsiTheme="minorHAnsi" w:cstheme="minorHAnsi"/>
          <w:sz w:val="22"/>
          <w:szCs w:val="22"/>
        </w:rPr>
        <w:t>ompany’s view of how a moderate amount of CO</w:t>
      </w:r>
      <w:r w:rsidRPr="002F5ED6">
        <w:rPr>
          <w:rFonts w:asciiTheme="minorHAnsi" w:hAnsiTheme="minorHAnsi" w:cstheme="minorHAnsi"/>
          <w:sz w:val="22"/>
          <w:szCs w:val="22"/>
          <w:vertAlign w:val="subscript"/>
        </w:rPr>
        <w:t>2</w:t>
      </w:r>
      <w:r w:rsidRPr="002F5ED6">
        <w:rPr>
          <w:rFonts w:asciiTheme="minorHAnsi" w:hAnsiTheme="minorHAnsi" w:cstheme="minorHAnsi"/>
          <w:sz w:val="22"/>
          <w:szCs w:val="22"/>
        </w:rPr>
        <w:t xml:space="preserve"> pressure would have two generally opposing effects on load growth. First, CO</w:t>
      </w:r>
      <w:r w:rsidRPr="002F5ED6">
        <w:rPr>
          <w:rFonts w:asciiTheme="minorHAnsi" w:hAnsiTheme="minorHAnsi" w:cstheme="minorHAnsi"/>
          <w:sz w:val="22"/>
          <w:szCs w:val="22"/>
          <w:vertAlign w:val="subscript"/>
        </w:rPr>
        <w:t>2</w:t>
      </w:r>
      <w:r w:rsidRPr="002F5ED6">
        <w:rPr>
          <w:rFonts w:asciiTheme="minorHAnsi" w:hAnsiTheme="minorHAnsi" w:cstheme="minorHAnsi"/>
          <w:sz w:val="22"/>
          <w:szCs w:val="22"/>
        </w:rPr>
        <w:t xml:space="preserve"> pressure would be consistent with increased electrification of transportation, thus increasing load growth. Second, CO</w:t>
      </w:r>
      <w:r w:rsidRPr="002F5ED6">
        <w:rPr>
          <w:rFonts w:asciiTheme="minorHAnsi" w:hAnsiTheme="minorHAnsi" w:cstheme="minorHAnsi"/>
          <w:sz w:val="22"/>
          <w:szCs w:val="22"/>
          <w:vertAlign w:val="subscript"/>
        </w:rPr>
        <w:t>2</w:t>
      </w:r>
      <w:r w:rsidRPr="002F5ED6">
        <w:rPr>
          <w:rFonts w:asciiTheme="minorHAnsi" w:hAnsiTheme="minorHAnsi" w:cstheme="minorHAnsi"/>
          <w:sz w:val="22"/>
          <w:szCs w:val="22"/>
        </w:rPr>
        <w:t xml:space="preserve"> pressure would be consistent with increased efficiency of electricity end-use either </w:t>
      </w:r>
      <w:r w:rsidR="00455A51" w:rsidRPr="002F5ED6">
        <w:rPr>
          <w:rFonts w:asciiTheme="minorHAnsi" w:hAnsiTheme="minorHAnsi" w:cstheme="minorHAnsi"/>
          <w:sz w:val="22"/>
          <w:szCs w:val="22"/>
        </w:rPr>
        <w:t>because of improved energy efficiency of devices or because of income and substitution effects associated with more expensive electricity</w:t>
      </w:r>
      <w:r w:rsidR="001E0F37" w:rsidRPr="002F5ED6">
        <w:rPr>
          <w:rFonts w:asciiTheme="minorHAnsi" w:hAnsiTheme="minorHAnsi" w:cstheme="minorHAnsi"/>
          <w:sz w:val="22"/>
          <w:szCs w:val="22"/>
        </w:rPr>
        <w:t>, which would have the effect of reducing load growth</w:t>
      </w:r>
      <w:r w:rsidR="00455A51" w:rsidRPr="002F5ED6">
        <w:rPr>
          <w:rFonts w:asciiTheme="minorHAnsi" w:hAnsiTheme="minorHAnsi" w:cstheme="minorHAnsi"/>
          <w:sz w:val="22"/>
          <w:szCs w:val="22"/>
        </w:rPr>
        <w:t xml:space="preserve">. </w:t>
      </w:r>
    </w:p>
    <w:p w14:paraId="463E7D16" w14:textId="4CFABB3A" w:rsidR="00822769" w:rsidRPr="002F5ED6" w:rsidRDefault="00455A51" w:rsidP="0065157D">
      <w:pPr>
        <w:numPr>
          <w:ilvl w:val="0"/>
          <w:numId w:val="26"/>
        </w:numPr>
        <w:spacing w:after="120"/>
        <w:ind w:left="360"/>
        <w:rPr>
          <w:rFonts w:asciiTheme="minorHAnsi" w:hAnsiTheme="minorHAnsi" w:cstheme="minorHAnsi"/>
          <w:sz w:val="22"/>
          <w:szCs w:val="22"/>
        </w:rPr>
      </w:pPr>
      <w:r w:rsidRPr="002F5ED6">
        <w:rPr>
          <w:rFonts w:asciiTheme="minorHAnsi" w:hAnsiTheme="minorHAnsi" w:cstheme="minorHAnsi"/>
          <w:sz w:val="22"/>
          <w:szCs w:val="22"/>
        </w:rPr>
        <w:t>Alt 2 Load Forecast: The Alt 2 load view reflects a similar forecast to Alt 1, except that it reflects the effects of a large degree of CO</w:t>
      </w:r>
      <w:r w:rsidRPr="002F5ED6">
        <w:rPr>
          <w:rFonts w:asciiTheme="minorHAnsi" w:hAnsiTheme="minorHAnsi" w:cstheme="minorHAnsi"/>
          <w:sz w:val="22"/>
          <w:szCs w:val="22"/>
          <w:vertAlign w:val="subscript"/>
        </w:rPr>
        <w:t>2</w:t>
      </w:r>
      <w:r w:rsidRPr="002F5ED6">
        <w:rPr>
          <w:rFonts w:asciiTheme="minorHAnsi" w:hAnsiTheme="minorHAnsi" w:cstheme="minorHAnsi"/>
          <w:sz w:val="22"/>
          <w:szCs w:val="22"/>
        </w:rPr>
        <w:t xml:space="preserve"> pressure, rather than a moderate degree.</w:t>
      </w:r>
      <w:r w:rsidR="00822769" w:rsidRPr="002F5ED6">
        <w:rPr>
          <w:rFonts w:asciiTheme="minorHAnsi" w:hAnsiTheme="minorHAnsi" w:cstheme="minorHAnsi"/>
          <w:sz w:val="22"/>
          <w:szCs w:val="22"/>
        </w:rPr>
        <w:t xml:space="preserve"> </w:t>
      </w:r>
    </w:p>
    <w:p w14:paraId="7484483A" w14:textId="0E17FE46" w:rsidR="00A81944" w:rsidRPr="002F5ED6" w:rsidRDefault="004424AD" w:rsidP="004424AD">
      <w:pPr>
        <w:spacing w:line="360" w:lineRule="atLeast"/>
        <w:rPr>
          <w:rFonts w:asciiTheme="minorHAnsi" w:hAnsiTheme="minorHAnsi" w:cstheme="minorHAnsi"/>
          <w:sz w:val="22"/>
          <w:szCs w:val="22"/>
        </w:rPr>
      </w:pPr>
      <w:r w:rsidRPr="002F5ED6">
        <w:rPr>
          <w:rFonts w:asciiTheme="minorHAnsi" w:hAnsiTheme="minorHAnsi" w:cstheme="minorHAnsi"/>
          <w:sz w:val="22"/>
          <w:szCs w:val="22"/>
        </w:rPr>
        <w:t>A</w:t>
      </w:r>
      <w:r w:rsidR="008030DE" w:rsidRPr="002F5ED6">
        <w:rPr>
          <w:rFonts w:asciiTheme="minorHAnsi" w:hAnsiTheme="minorHAnsi" w:cstheme="minorHAnsi"/>
          <w:sz w:val="22"/>
          <w:szCs w:val="22"/>
        </w:rPr>
        <w:t xml:space="preserve">dditional </w:t>
      </w:r>
      <w:r w:rsidR="00AD0302" w:rsidRPr="002F5ED6">
        <w:rPr>
          <w:rFonts w:asciiTheme="minorHAnsi" w:hAnsiTheme="minorHAnsi" w:cstheme="minorHAnsi"/>
          <w:sz w:val="22"/>
          <w:szCs w:val="22"/>
        </w:rPr>
        <w:t>scenario</w:t>
      </w:r>
      <w:r w:rsidR="00FE4DAE" w:rsidRPr="002F5ED6">
        <w:rPr>
          <w:rFonts w:asciiTheme="minorHAnsi" w:hAnsiTheme="minorHAnsi" w:cstheme="minorHAnsi"/>
          <w:sz w:val="22"/>
          <w:szCs w:val="22"/>
        </w:rPr>
        <w:t xml:space="preserve"> </w:t>
      </w:r>
      <w:r w:rsidR="008030DE" w:rsidRPr="002F5ED6">
        <w:rPr>
          <w:rFonts w:asciiTheme="minorHAnsi" w:hAnsiTheme="minorHAnsi" w:cstheme="minorHAnsi"/>
          <w:sz w:val="22"/>
          <w:szCs w:val="22"/>
        </w:rPr>
        <w:t>analyses</w:t>
      </w:r>
      <w:r w:rsidR="00FE4DAE" w:rsidRPr="002F5ED6">
        <w:rPr>
          <w:rFonts w:asciiTheme="minorHAnsi" w:hAnsiTheme="minorHAnsi" w:cstheme="minorHAnsi"/>
          <w:sz w:val="22"/>
          <w:szCs w:val="22"/>
        </w:rPr>
        <w:t>,</w:t>
      </w:r>
      <w:r w:rsidR="008030DE" w:rsidRPr="002F5ED6">
        <w:rPr>
          <w:rFonts w:asciiTheme="minorHAnsi" w:hAnsiTheme="minorHAnsi" w:cstheme="minorHAnsi"/>
          <w:sz w:val="22"/>
          <w:szCs w:val="22"/>
        </w:rPr>
        <w:t xml:space="preserve"> including </w:t>
      </w:r>
      <w:r w:rsidR="00FE4DAE" w:rsidRPr="002F5ED6">
        <w:rPr>
          <w:rFonts w:asciiTheme="minorHAnsi" w:hAnsiTheme="minorHAnsi" w:cstheme="minorHAnsi"/>
          <w:sz w:val="22"/>
          <w:szCs w:val="22"/>
        </w:rPr>
        <w:t xml:space="preserve">those based on </w:t>
      </w:r>
      <w:r w:rsidR="00B448FD" w:rsidRPr="002F5ED6">
        <w:rPr>
          <w:rFonts w:asciiTheme="minorHAnsi" w:hAnsiTheme="minorHAnsi" w:cstheme="minorHAnsi"/>
          <w:sz w:val="22"/>
          <w:szCs w:val="22"/>
        </w:rPr>
        <w:t xml:space="preserve">the Alt 1 and Alt 2 </w:t>
      </w:r>
      <w:r w:rsidR="008030DE" w:rsidRPr="002F5ED6">
        <w:rPr>
          <w:rFonts w:asciiTheme="minorHAnsi" w:hAnsiTheme="minorHAnsi" w:cstheme="minorHAnsi"/>
          <w:sz w:val="22"/>
          <w:szCs w:val="22"/>
        </w:rPr>
        <w:t>load forecasts</w:t>
      </w:r>
      <w:r w:rsidR="00FE4DAE" w:rsidRPr="002F5ED6">
        <w:rPr>
          <w:rFonts w:asciiTheme="minorHAnsi" w:hAnsiTheme="minorHAnsi" w:cstheme="minorHAnsi"/>
          <w:sz w:val="22"/>
          <w:szCs w:val="22"/>
        </w:rPr>
        <w:t>,</w:t>
      </w:r>
      <w:r w:rsidR="008030DE" w:rsidRPr="002F5ED6">
        <w:rPr>
          <w:rFonts w:asciiTheme="minorHAnsi" w:hAnsiTheme="minorHAnsi" w:cstheme="minorHAnsi"/>
          <w:sz w:val="22"/>
          <w:szCs w:val="22"/>
        </w:rPr>
        <w:t xml:space="preserve"> will be provided in a supplemental update.</w:t>
      </w:r>
    </w:p>
    <w:p w14:paraId="55F7BCC8" w14:textId="77777777" w:rsidR="00DE6B12" w:rsidRPr="002F5ED6" w:rsidRDefault="00DE6B12" w:rsidP="0065157D">
      <w:pPr>
        <w:spacing w:after="240" w:line="360" w:lineRule="atLeast"/>
        <w:rPr>
          <w:rFonts w:asciiTheme="minorHAnsi" w:hAnsiTheme="minorHAnsi" w:cstheme="minorHAnsi"/>
          <w:color w:val="000000"/>
          <w:sz w:val="22"/>
          <w:szCs w:val="22"/>
        </w:rPr>
      </w:pPr>
    </w:p>
    <w:p w14:paraId="75E61829" w14:textId="1F0DAEA1" w:rsidR="0041046F" w:rsidRPr="002F5ED6" w:rsidRDefault="0041046F" w:rsidP="0041046F">
      <w:pPr>
        <w:pStyle w:val="Heading2"/>
        <w:keepLines/>
        <w:tabs>
          <w:tab w:val="num" w:pos="720"/>
        </w:tabs>
        <w:spacing w:line="360" w:lineRule="atLeast"/>
        <w:ind w:left="720" w:hanging="720"/>
        <w:rPr>
          <w:rFonts w:asciiTheme="minorHAnsi" w:hAnsiTheme="minorHAnsi" w:cstheme="minorHAnsi"/>
          <w:b w:val="0"/>
          <w:bCs/>
          <w:i/>
          <w:iCs/>
          <w:sz w:val="22"/>
          <w:szCs w:val="22"/>
        </w:rPr>
      </w:pPr>
      <w:r w:rsidRPr="002F5ED6">
        <w:rPr>
          <w:rFonts w:asciiTheme="minorHAnsi" w:hAnsiTheme="minorHAnsi" w:cstheme="minorHAnsi"/>
          <w:b w:val="0"/>
          <w:bCs/>
          <w:i/>
          <w:iCs/>
          <w:sz w:val="22"/>
          <w:szCs w:val="22"/>
        </w:rPr>
        <w:t>FUEL FORECASTS</w:t>
      </w:r>
    </w:p>
    <w:p w14:paraId="759FB34C" w14:textId="70516304" w:rsidR="00A02283" w:rsidRPr="002F5ED6" w:rsidRDefault="00D57C13" w:rsidP="00B54303">
      <w:pPr>
        <w:spacing w:line="360" w:lineRule="atLeast"/>
        <w:rPr>
          <w:rFonts w:asciiTheme="minorHAnsi" w:hAnsiTheme="minorHAnsi" w:cstheme="minorHAnsi"/>
          <w:sz w:val="22"/>
          <w:szCs w:val="22"/>
        </w:rPr>
      </w:pPr>
      <w:r w:rsidRPr="002F5ED6">
        <w:rPr>
          <w:rFonts w:asciiTheme="minorHAnsi" w:hAnsiTheme="minorHAnsi" w:cstheme="minorHAnsi"/>
          <w:sz w:val="22"/>
          <w:szCs w:val="22"/>
        </w:rPr>
        <w:t xml:space="preserve">Near term base fuel costs are based on the Southern Company fuel budgeting process. For </w:t>
      </w:r>
      <w:r w:rsidR="001B529F" w:rsidRPr="002F5ED6">
        <w:rPr>
          <w:rFonts w:asciiTheme="minorHAnsi" w:hAnsiTheme="minorHAnsi" w:cstheme="minorHAnsi"/>
          <w:sz w:val="22"/>
          <w:szCs w:val="22"/>
        </w:rPr>
        <w:t>the 2023 IRP Update</w:t>
      </w:r>
      <w:r w:rsidR="004424AD" w:rsidRPr="002F5ED6">
        <w:rPr>
          <w:rFonts w:asciiTheme="minorHAnsi" w:hAnsiTheme="minorHAnsi" w:cstheme="minorHAnsi"/>
          <w:sz w:val="22"/>
          <w:szCs w:val="22"/>
        </w:rPr>
        <w:t xml:space="preserve">, </w:t>
      </w:r>
      <w:r w:rsidRPr="002F5ED6">
        <w:rPr>
          <w:rFonts w:asciiTheme="minorHAnsi" w:hAnsiTheme="minorHAnsi" w:cstheme="minorHAnsi"/>
          <w:sz w:val="22"/>
          <w:szCs w:val="22"/>
        </w:rPr>
        <w:t>the Company adopted and adapted paths produced by EIA for its 202</w:t>
      </w:r>
      <w:r w:rsidR="656CB491" w:rsidRPr="002F5ED6">
        <w:rPr>
          <w:rFonts w:asciiTheme="minorHAnsi" w:hAnsiTheme="minorHAnsi" w:cstheme="minorHAnsi"/>
          <w:sz w:val="22"/>
          <w:szCs w:val="22"/>
        </w:rPr>
        <w:t>3</w:t>
      </w:r>
      <w:r w:rsidRPr="002F5ED6">
        <w:rPr>
          <w:rFonts w:asciiTheme="minorHAnsi" w:hAnsiTheme="minorHAnsi" w:cstheme="minorHAnsi"/>
          <w:sz w:val="22"/>
          <w:szCs w:val="22"/>
        </w:rPr>
        <w:t xml:space="preserve"> AEO for the </w:t>
      </w:r>
      <w:r w:rsidR="00F234A5" w:rsidRPr="002F5ED6">
        <w:rPr>
          <w:rFonts w:asciiTheme="minorHAnsi" w:hAnsiTheme="minorHAnsi" w:cstheme="minorHAnsi"/>
          <w:sz w:val="22"/>
          <w:szCs w:val="22"/>
        </w:rPr>
        <w:t>long-term</w:t>
      </w:r>
      <w:r w:rsidRPr="002F5ED6">
        <w:rPr>
          <w:rFonts w:asciiTheme="minorHAnsi" w:hAnsiTheme="minorHAnsi" w:cstheme="minorHAnsi"/>
          <w:sz w:val="22"/>
          <w:szCs w:val="22"/>
        </w:rPr>
        <w:t xml:space="preserve"> fuel costs. </w:t>
      </w:r>
      <w:r w:rsidR="00A02283" w:rsidRPr="002F5ED6">
        <w:rPr>
          <w:rFonts w:asciiTheme="minorHAnsi" w:hAnsiTheme="minorHAnsi" w:cstheme="minorHAnsi"/>
          <w:sz w:val="22"/>
          <w:szCs w:val="22"/>
        </w:rPr>
        <w:t>The following illustrations give the fuel price path</w:t>
      </w:r>
      <w:r w:rsidR="00E55AA8" w:rsidRPr="002F5ED6">
        <w:rPr>
          <w:rFonts w:asciiTheme="minorHAnsi" w:hAnsiTheme="minorHAnsi" w:cstheme="minorHAnsi"/>
          <w:sz w:val="22"/>
          <w:szCs w:val="22"/>
        </w:rPr>
        <w:t>s</w:t>
      </w:r>
      <w:r w:rsidR="00A02283" w:rsidRPr="002F5ED6">
        <w:rPr>
          <w:rFonts w:asciiTheme="minorHAnsi" w:hAnsiTheme="minorHAnsi" w:cstheme="minorHAnsi"/>
          <w:sz w:val="22"/>
          <w:szCs w:val="22"/>
        </w:rPr>
        <w:t xml:space="preserve"> that the Company has used in the </w:t>
      </w:r>
      <w:r w:rsidR="001B529F" w:rsidRPr="002F5ED6">
        <w:rPr>
          <w:rFonts w:asciiTheme="minorHAnsi" w:hAnsiTheme="minorHAnsi" w:cstheme="minorHAnsi"/>
          <w:sz w:val="22"/>
          <w:szCs w:val="22"/>
        </w:rPr>
        <w:t>2023 IRP Update</w:t>
      </w:r>
      <w:r w:rsidR="00A02283" w:rsidRPr="002F5ED6">
        <w:rPr>
          <w:rFonts w:asciiTheme="minorHAnsi" w:hAnsiTheme="minorHAnsi" w:cstheme="minorHAnsi"/>
          <w:sz w:val="22"/>
          <w:szCs w:val="22"/>
        </w:rPr>
        <w:t xml:space="preserve"> scenario analys</w:t>
      </w:r>
      <w:r w:rsidR="375E021D" w:rsidRPr="002F5ED6">
        <w:rPr>
          <w:rFonts w:asciiTheme="minorHAnsi" w:hAnsiTheme="minorHAnsi" w:cstheme="minorHAnsi"/>
          <w:sz w:val="22"/>
          <w:szCs w:val="22"/>
        </w:rPr>
        <w:t>i</w:t>
      </w:r>
      <w:r w:rsidR="00A02283" w:rsidRPr="002F5ED6">
        <w:rPr>
          <w:rFonts w:asciiTheme="minorHAnsi" w:hAnsiTheme="minorHAnsi" w:cstheme="minorHAnsi"/>
          <w:sz w:val="22"/>
          <w:szCs w:val="22"/>
        </w:rPr>
        <w:t xml:space="preserve">s. </w:t>
      </w:r>
      <w:r w:rsidR="004424AD" w:rsidRPr="002F5ED6">
        <w:rPr>
          <w:rFonts w:asciiTheme="minorHAnsi" w:hAnsiTheme="minorHAnsi" w:cstheme="minorHAnsi"/>
          <w:sz w:val="22"/>
          <w:szCs w:val="22"/>
        </w:rPr>
        <w:t xml:space="preserve">Only the moderate </w:t>
      </w:r>
      <w:r w:rsidR="00E55AA8" w:rsidRPr="002F5ED6">
        <w:rPr>
          <w:rFonts w:asciiTheme="minorHAnsi" w:hAnsiTheme="minorHAnsi" w:cstheme="minorHAnsi"/>
          <w:sz w:val="22"/>
          <w:szCs w:val="22"/>
        </w:rPr>
        <w:t xml:space="preserve">fuel </w:t>
      </w:r>
      <w:r w:rsidR="004424AD" w:rsidRPr="002F5ED6">
        <w:rPr>
          <w:rFonts w:asciiTheme="minorHAnsi" w:hAnsiTheme="minorHAnsi" w:cstheme="minorHAnsi"/>
          <w:sz w:val="22"/>
          <w:szCs w:val="22"/>
        </w:rPr>
        <w:t>price view</w:t>
      </w:r>
      <w:r w:rsidR="00E55AA8" w:rsidRPr="002F5ED6">
        <w:rPr>
          <w:rFonts w:asciiTheme="minorHAnsi" w:hAnsiTheme="minorHAnsi" w:cstheme="minorHAnsi"/>
          <w:sz w:val="22"/>
          <w:szCs w:val="22"/>
        </w:rPr>
        <w:t>s</w:t>
      </w:r>
      <w:r w:rsidR="004424AD" w:rsidRPr="002F5ED6">
        <w:rPr>
          <w:rFonts w:asciiTheme="minorHAnsi" w:hAnsiTheme="minorHAnsi" w:cstheme="minorHAnsi"/>
          <w:sz w:val="22"/>
          <w:szCs w:val="22"/>
        </w:rPr>
        <w:t xml:space="preserve"> </w:t>
      </w:r>
      <w:r w:rsidR="00E55AA8" w:rsidRPr="002F5ED6">
        <w:rPr>
          <w:rFonts w:asciiTheme="minorHAnsi" w:hAnsiTheme="minorHAnsi" w:cstheme="minorHAnsi"/>
          <w:sz w:val="22"/>
          <w:szCs w:val="22"/>
        </w:rPr>
        <w:t xml:space="preserve">are </w:t>
      </w:r>
      <w:r w:rsidR="004424AD" w:rsidRPr="002F5ED6">
        <w:rPr>
          <w:rFonts w:asciiTheme="minorHAnsi" w:hAnsiTheme="minorHAnsi" w:cstheme="minorHAnsi"/>
          <w:sz w:val="22"/>
          <w:szCs w:val="22"/>
        </w:rPr>
        <w:t xml:space="preserve">used for the Mix Study, but additional analyses including the other </w:t>
      </w:r>
      <w:r w:rsidR="00AB1717" w:rsidRPr="002F5ED6">
        <w:rPr>
          <w:rFonts w:asciiTheme="minorHAnsi" w:hAnsiTheme="minorHAnsi" w:cstheme="minorHAnsi"/>
          <w:sz w:val="22"/>
          <w:szCs w:val="22"/>
        </w:rPr>
        <w:t xml:space="preserve">fuel </w:t>
      </w:r>
      <w:r w:rsidR="004424AD" w:rsidRPr="002F5ED6">
        <w:rPr>
          <w:rFonts w:asciiTheme="minorHAnsi" w:hAnsiTheme="minorHAnsi" w:cstheme="minorHAnsi"/>
          <w:sz w:val="22"/>
          <w:szCs w:val="22"/>
        </w:rPr>
        <w:t xml:space="preserve">price </w:t>
      </w:r>
      <w:r w:rsidR="00E55AA8" w:rsidRPr="002F5ED6">
        <w:rPr>
          <w:rFonts w:asciiTheme="minorHAnsi" w:hAnsiTheme="minorHAnsi" w:cstheme="minorHAnsi"/>
          <w:sz w:val="22"/>
          <w:szCs w:val="22"/>
        </w:rPr>
        <w:t xml:space="preserve">views </w:t>
      </w:r>
      <w:r w:rsidR="004424AD" w:rsidRPr="002F5ED6">
        <w:rPr>
          <w:rFonts w:asciiTheme="minorHAnsi" w:hAnsiTheme="minorHAnsi" w:cstheme="minorHAnsi"/>
          <w:sz w:val="22"/>
          <w:szCs w:val="22"/>
        </w:rPr>
        <w:t>will be provided in a supplemental update.</w:t>
      </w:r>
    </w:p>
    <w:p w14:paraId="0DB54AB6" w14:textId="77777777" w:rsidR="00417C14" w:rsidRPr="002F5ED6" w:rsidRDefault="00417C14" w:rsidP="00A02283">
      <w:pPr>
        <w:pStyle w:val="Caption"/>
        <w:keepNext/>
        <w:keepLines/>
        <w:jc w:val="center"/>
        <w:rPr>
          <w:rFonts w:asciiTheme="minorHAnsi" w:hAnsiTheme="minorHAnsi" w:cstheme="minorHAnsi"/>
        </w:rPr>
      </w:pPr>
    </w:p>
    <w:p w14:paraId="0AAE7142" w14:textId="308D2403" w:rsidR="00A02283" w:rsidRPr="002F5ED6" w:rsidRDefault="00A02283" w:rsidP="00A02283">
      <w:pPr>
        <w:pStyle w:val="Caption"/>
        <w:keepNext/>
        <w:keepLines/>
        <w:jc w:val="center"/>
        <w:rPr>
          <w:rFonts w:asciiTheme="minorHAnsi" w:hAnsiTheme="minorHAnsi" w:cstheme="minorHAnsi"/>
          <w:b w:val="0"/>
          <w:bCs w:val="0"/>
          <w:i/>
          <w:iCs/>
        </w:rPr>
      </w:pPr>
      <w:r w:rsidRPr="002F5ED6">
        <w:rPr>
          <w:rFonts w:asciiTheme="minorHAnsi" w:hAnsiTheme="minorHAnsi" w:cstheme="minorHAnsi"/>
          <w:b w:val="0"/>
          <w:bCs w:val="0"/>
          <w:i/>
          <w:iCs/>
        </w:rPr>
        <w:t xml:space="preserve">Figure </w:t>
      </w:r>
      <w:r w:rsidR="00425E3A" w:rsidRPr="002F5ED6">
        <w:rPr>
          <w:rFonts w:asciiTheme="minorHAnsi" w:hAnsiTheme="minorHAnsi" w:cstheme="minorHAnsi"/>
          <w:b w:val="0"/>
          <w:bCs w:val="0"/>
          <w:i/>
          <w:iCs/>
        </w:rPr>
        <w:t>4</w:t>
      </w:r>
      <w:r w:rsidRPr="002F5ED6">
        <w:rPr>
          <w:rFonts w:asciiTheme="minorHAnsi" w:hAnsiTheme="minorHAnsi" w:cstheme="minorHAnsi"/>
          <w:b w:val="0"/>
          <w:bCs w:val="0"/>
          <w:i/>
          <w:iCs/>
        </w:rPr>
        <w:t>: Views of future price of Natural Gas at Henry Hub</w:t>
      </w:r>
    </w:p>
    <w:p w14:paraId="5E755C53" w14:textId="407A6F9D" w:rsidR="00B80C82" w:rsidRPr="002F5ED6" w:rsidRDefault="00777D82" w:rsidP="0065157D">
      <w:pPr>
        <w:keepNext/>
        <w:keepLines/>
        <w:jc w:val="center"/>
        <w:rPr>
          <w:rFonts w:asciiTheme="minorHAnsi" w:hAnsiTheme="minorHAnsi" w:cstheme="minorHAnsi"/>
        </w:rPr>
      </w:pPr>
      <w:r w:rsidRPr="002F5ED6">
        <w:rPr>
          <w:rFonts w:asciiTheme="minorHAnsi" w:hAnsiTheme="minorHAnsi" w:cstheme="minorHAnsi"/>
          <w:noProof/>
        </w:rPr>
        <w:drawing>
          <wp:inline distT="0" distB="0" distL="0" distR="0" wp14:anchorId="0BBE0F2A" wp14:editId="02369A17">
            <wp:extent cx="5943600" cy="3294797"/>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5943600" cy="3294797"/>
                    </a:xfrm>
                    <a:prstGeom prst="rect">
                      <a:avLst/>
                    </a:prstGeom>
                    <a:noFill/>
                    <a:ln>
                      <a:noFill/>
                    </a:ln>
                    <a:extLst>
                      <a:ext uri="{53640926-AAD7-44D8-BBD7-CCE9431645EC}">
                        <a14:shadowObscured xmlns:a14="http://schemas.microsoft.com/office/drawing/2010/main"/>
                      </a:ext>
                    </a:extLst>
                  </pic:spPr>
                </pic:pic>
              </a:graphicData>
            </a:graphic>
          </wp:inline>
        </w:drawing>
      </w:r>
    </w:p>
    <w:p w14:paraId="22BF9B6E" w14:textId="2BBA9BA9" w:rsidR="00B80C82" w:rsidRPr="002F5ED6" w:rsidRDefault="00B80C82" w:rsidP="00B80C82">
      <w:pPr>
        <w:rPr>
          <w:rFonts w:asciiTheme="minorHAnsi" w:hAnsiTheme="minorHAnsi" w:cstheme="minorHAnsi"/>
        </w:rPr>
      </w:pPr>
    </w:p>
    <w:p w14:paraId="133D52BB" w14:textId="77777777" w:rsidR="0065157D" w:rsidRPr="002F5ED6" w:rsidRDefault="0065157D" w:rsidP="00B80C82">
      <w:pPr>
        <w:pStyle w:val="Caption"/>
        <w:keepNext/>
        <w:keepLines/>
        <w:jc w:val="center"/>
        <w:rPr>
          <w:rFonts w:asciiTheme="minorHAnsi" w:hAnsiTheme="minorHAnsi" w:cstheme="minorHAnsi"/>
          <w:b w:val="0"/>
          <w:bCs w:val="0"/>
          <w:i/>
          <w:iCs/>
        </w:rPr>
      </w:pPr>
    </w:p>
    <w:p w14:paraId="5DAF7F59" w14:textId="77777777" w:rsidR="0065157D" w:rsidRPr="002F5ED6" w:rsidRDefault="0065157D" w:rsidP="00B80C82">
      <w:pPr>
        <w:pStyle w:val="Caption"/>
        <w:keepNext/>
        <w:keepLines/>
        <w:jc w:val="center"/>
        <w:rPr>
          <w:rFonts w:asciiTheme="minorHAnsi" w:hAnsiTheme="minorHAnsi" w:cstheme="minorHAnsi"/>
          <w:b w:val="0"/>
          <w:bCs w:val="0"/>
          <w:i/>
          <w:iCs/>
        </w:rPr>
      </w:pPr>
    </w:p>
    <w:p w14:paraId="61291051" w14:textId="1EF42CF3" w:rsidR="00B80C82" w:rsidRPr="002F5ED6" w:rsidRDefault="00B80C82" w:rsidP="00B80C82">
      <w:pPr>
        <w:pStyle w:val="Caption"/>
        <w:keepNext/>
        <w:keepLines/>
        <w:jc w:val="center"/>
        <w:rPr>
          <w:rFonts w:asciiTheme="minorHAnsi" w:hAnsiTheme="minorHAnsi" w:cstheme="minorHAnsi"/>
          <w:b w:val="0"/>
          <w:bCs w:val="0"/>
          <w:i/>
          <w:iCs/>
        </w:rPr>
      </w:pPr>
      <w:r w:rsidRPr="002F5ED6">
        <w:rPr>
          <w:rFonts w:asciiTheme="minorHAnsi" w:hAnsiTheme="minorHAnsi" w:cstheme="minorHAnsi"/>
          <w:b w:val="0"/>
          <w:bCs w:val="0"/>
          <w:i/>
          <w:iCs/>
        </w:rPr>
        <w:t>Figure</w:t>
      </w:r>
      <w:r w:rsidR="00425E3A" w:rsidRPr="002F5ED6">
        <w:rPr>
          <w:rFonts w:asciiTheme="minorHAnsi" w:hAnsiTheme="minorHAnsi" w:cstheme="minorHAnsi"/>
          <w:b w:val="0"/>
          <w:bCs w:val="0"/>
          <w:i/>
          <w:iCs/>
        </w:rPr>
        <w:t xml:space="preserve"> 5</w:t>
      </w:r>
      <w:r w:rsidRPr="002F5ED6">
        <w:rPr>
          <w:rFonts w:asciiTheme="minorHAnsi" w:hAnsiTheme="minorHAnsi" w:cstheme="minorHAnsi"/>
          <w:b w:val="0"/>
          <w:bCs w:val="0"/>
          <w:i/>
          <w:iCs/>
        </w:rPr>
        <w:t>: Views of future price of coal at mine, by scenario, Central Appalachia</w:t>
      </w:r>
    </w:p>
    <w:p w14:paraId="13635359" w14:textId="310A4D03" w:rsidR="0065157D" w:rsidRPr="002F5ED6" w:rsidRDefault="00A801B9" w:rsidP="0065157D">
      <w:pPr>
        <w:rPr>
          <w:rFonts w:asciiTheme="minorHAnsi" w:hAnsiTheme="minorHAnsi" w:cstheme="minorHAnsi"/>
        </w:rPr>
      </w:pPr>
      <w:r w:rsidRPr="002F5ED6">
        <w:rPr>
          <w:rFonts w:asciiTheme="minorHAnsi" w:hAnsiTheme="minorHAnsi" w:cstheme="minorHAnsi"/>
          <w:noProof/>
        </w:rPr>
        <w:drawing>
          <wp:inline distT="0" distB="0" distL="0" distR="0" wp14:anchorId="733946AD" wp14:editId="77594BD6">
            <wp:extent cx="5782482" cy="2857899"/>
            <wp:effectExtent l="0" t="0" r="8890" b="0"/>
            <wp:docPr id="1415483526" name="Picture 1415483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483526" name=""/>
                    <pic:cNvPicPr/>
                  </pic:nvPicPr>
                  <pic:blipFill>
                    <a:blip r:embed="rId11"/>
                    <a:stretch>
                      <a:fillRect/>
                    </a:stretch>
                  </pic:blipFill>
                  <pic:spPr>
                    <a:xfrm>
                      <a:off x="0" y="0"/>
                      <a:ext cx="5782482" cy="2857899"/>
                    </a:xfrm>
                    <a:prstGeom prst="rect">
                      <a:avLst/>
                    </a:prstGeom>
                  </pic:spPr>
                </pic:pic>
              </a:graphicData>
            </a:graphic>
          </wp:inline>
        </w:drawing>
      </w:r>
    </w:p>
    <w:p w14:paraId="4112AB5A" w14:textId="77777777" w:rsidR="00A801B9" w:rsidRPr="002F5ED6" w:rsidRDefault="00A801B9" w:rsidP="0065157D">
      <w:pPr>
        <w:rPr>
          <w:rFonts w:asciiTheme="minorHAnsi" w:hAnsiTheme="minorHAnsi" w:cstheme="minorHAnsi"/>
        </w:rPr>
      </w:pPr>
    </w:p>
    <w:p w14:paraId="0474F489" w14:textId="77777777" w:rsidR="00A801B9" w:rsidRPr="002F5ED6" w:rsidRDefault="00A801B9" w:rsidP="0065157D">
      <w:pPr>
        <w:rPr>
          <w:rFonts w:asciiTheme="minorHAnsi" w:hAnsiTheme="minorHAnsi" w:cstheme="minorHAnsi"/>
        </w:rPr>
      </w:pPr>
    </w:p>
    <w:p w14:paraId="45FF86CC" w14:textId="77777777" w:rsidR="00A801B9" w:rsidRPr="002F5ED6" w:rsidRDefault="00A801B9" w:rsidP="0065157D">
      <w:pPr>
        <w:rPr>
          <w:rFonts w:asciiTheme="minorHAnsi" w:hAnsiTheme="minorHAnsi" w:cstheme="minorHAnsi"/>
        </w:rPr>
      </w:pPr>
    </w:p>
    <w:p w14:paraId="636DBB2B" w14:textId="77777777" w:rsidR="0065461E" w:rsidRPr="002F5ED6" w:rsidRDefault="0065461E" w:rsidP="0065461E">
      <w:pPr>
        <w:keepNext/>
        <w:rPr>
          <w:rFonts w:asciiTheme="minorHAnsi" w:hAnsiTheme="minorHAnsi" w:cstheme="minorHAnsi"/>
        </w:rPr>
      </w:pPr>
    </w:p>
    <w:p w14:paraId="54EEF67E" w14:textId="77777777" w:rsidR="0065157D" w:rsidRPr="002F5ED6" w:rsidRDefault="0065157D" w:rsidP="0065461E">
      <w:pPr>
        <w:keepNext/>
        <w:rPr>
          <w:rFonts w:asciiTheme="minorHAnsi" w:hAnsiTheme="minorHAnsi" w:cstheme="minorHAnsi"/>
        </w:rPr>
      </w:pPr>
    </w:p>
    <w:p w14:paraId="03B25357" w14:textId="77777777" w:rsidR="0065461E" w:rsidRPr="002F5ED6" w:rsidRDefault="0065461E" w:rsidP="0065461E">
      <w:pPr>
        <w:keepNext/>
        <w:rPr>
          <w:rFonts w:asciiTheme="minorHAnsi" w:hAnsiTheme="minorHAnsi" w:cstheme="minorHAnsi"/>
        </w:rPr>
      </w:pPr>
    </w:p>
    <w:p w14:paraId="4148E539" w14:textId="73575177" w:rsidR="0065461E" w:rsidRPr="002F5ED6" w:rsidRDefault="0065461E" w:rsidP="00B80C82">
      <w:pPr>
        <w:pStyle w:val="Caption"/>
        <w:keepNext/>
        <w:keepLines/>
        <w:jc w:val="center"/>
        <w:rPr>
          <w:rFonts w:asciiTheme="minorHAnsi" w:hAnsiTheme="minorHAnsi" w:cstheme="minorHAnsi"/>
          <w:b w:val="0"/>
          <w:bCs w:val="0"/>
          <w:i/>
          <w:iCs/>
        </w:rPr>
      </w:pPr>
      <w:r w:rsidRPr="002F5ED6">
        <w:rPr>
          <w:rFonts w:asciiTheme="minorHAnsi" w:hAnsiTheme="minorHAnsi" w:cstheme="minorHAnsi"/>
          <w:b w:val="0"/>
          <w:bCs w:val="0"/>
          <w:i/>
          <w:iCs/>
        </w:rPr>
        <w:t>Figure</w:t>
      </w:r>
      <w:r w:rsidR="00425E3A" w:rsidRPr="002F5ED6">
        <w:rPr>
          <w:rFonts w:asciiTheme="minorHAnsi" w:hAnsiTheme="minorHAnsi" w:cstheme="minorHAnsi"/>
          <w:b w:val="0"/>
          <w:bCs w:val="0"/>
          <w:i/>
          <w:iCs/>
        </w:rPr>
        <w:t xml:space="preserve"> 6</w:t>
      </w:r>
      <w:r w:rsidRPr="002F5ED6">
        <w:rPr>
          <w:rFonts w:asciiTheme="minorHAnsi" w:hAnsiTheme="minorHAnsi" w:cstheme="minorHAnsi"/>
          <w:b w:val="0"/>
          <w:bCs w:val="0"/>
          <w:i/>
          <w:iCs/>
        </w:rPr>
        <w:t>: Views of future price of coal at mine, by scenario, Illinois Basin</w:t>
      </w:r>
    </w:p>
    <w:p w14:paraId="248E934D" w14:textId="539B513C" w:rsidR="0065461E" w:rsidRPr="002F5ED6" w:rsidRDefault="00A801B9" w:rsidP="0065461E">
      <w:pPr>
        <w:keepNext/>
        <w:keepLines/>
        <w:jc w:val="center"/>
        <w:rPr>
          <w:rFonts w:asciiTheme="minorHAnsi" w:hAnsiTheme="minorHAnsi" w:cstheme="minorHAnsi"/>
        </w:rPr>
      </w:pPr>
      <w:r w:rsidRPr="002F5ED6">
        <w:rPr>
          <w:rFonts w:asciiTheme="minorHAnsi" w:hAnsiTheme="minorHAnsi" w:cstheme="minorHAnsi"/>
          <w:noProof/>
        </w:rPr>
        <w:drawing>
          <wp:inline distT="0" distB="0" distL="0" distR="0" wp14:anchorId="08883EDF" wp14:editId="760CEE40">
            <wp:extent cx="5791199" cy="2876550"/>
            <wp:effectExtent l="0" t="0" r="635" b="0"/>
            <wp:docPr id="324005287" name="Picture 324005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005287" name=""/>
                    <pic:cNvPicPr/>
                  </pic:nvPicPr>
                  <pic:blipFill>
                    <a:blip r:embed="rId12"/>
                    <a:stretch>
                      <a:fillRect/>
                    </a:stretch>
                  </pic:blipFill>
                  <pic:spPr>
                    <a:xfrm>
                      <a:off x="0" y="0"/>
                      <a:ext cx="5795178" cy="2878527"/>
                    </a:xfrm>
                    <a:prstGeom prst="rect">
                      <a:avLst/>
                    </a:prstGeom>
                  </pic:spPr>
                </pic:pic>
              </a:graphicData>
            </a:graphic>
          </wp:inline>
        </w:drawing>
      </w:r>
    </w:p>
    <w:p w14:paraId="0CB5B16A" w14:textId="77777777" w:rsidR="0065461E" w:rsidRPr="002F5ED6" w:rsidRDefault="0065461E" w:rsidP="0065461E">
      <w:pPr>
        <w:keepNext/>
        <w:keepLines/>
        <w:jc w:val="center"/>
        <w:rPr>
          <w:rFonts w:asciiTheme="minorHAnsi" w:hAnsiTheme="minorHAnsi" w:cstheme="minorHAnsi"/>
        </w:rPr>
      </w:pPr>
    </w:p>
    <w:p w14:paraId="3571E823" w14:textId="77777777" w:rsidR="00B80C82" w:rsidRPr="002F5ED6" w:rsidRDefault="00B80C82" w:rsidP="00B80C82">
      <w:pPr>
        <w:pStyle w:val="Caption"/>
        <w:keepNext/>
        <w:keepLines/>
        <w:jc w:val="center"/>
        <w:rPr>
          <w:rFonts w:asciiTheme="minorHAnsi" w:hAnsiTheme="minorHAnsi" w:cstheme="minorHAnsi"/>
          <w:b w:val="0"/>
          <w:bCs w:val="0"/>
          <w:i/>
          <w:iCs/>
        </w:rPr>
      </w:pPr>
    </w:p>
    <w:p w14:paraId="46CDFB54" w14:textId="77777777" w:rsidR="00B80C82" w:rsidRPr="002F5ED6" w:rsidRDefault="00B80C82" w:rsidP="00B80C82">
      <w:pPr>
        <w:pStyle w:val="Caption"/>
        <w:keepNext/>
        <w:keepLines/>
        <w:jc w:val="center"/>
        <w:rPr>
          <w:rFonts w:asciiTheme="minorHAnsi" w:hAnsiTheme="minorHAnsi" w:cstheme="minorHAnsi"/>
          <w:b w:val="0"/>
          <w:bCs w:val="0"/>
          <w:i/>
          <w:iCs/>
        </w:rPr>
      </w:pPr>
    </w:p>
    <w:p w14:paraId="3163EB14" w14:textId="24835F27" w:rsidR="0065461E" w:rsidRPr="002F5ED6" w:rsidRDefault="0065461E" w:rsidP="00B80C82">
      <w:pPr>
        <w:pStyle w:val="Caption"/>
        <w:keepNext/>
        <w:keepLines/>
        <w:jc w:val="center"/>
        <w:rPr>
          <w:rFonts w:asciiTheme="minorHAnsi" w:hAnsiTheme="minorHAnsi" w:cstheme="minorHAnsi"/>
          <w:b w:val="0"/>
          <w:bCs w:val="0"/>
          <w:i/>
          <w:iCs/>
        </w:rPr>
      </w:pPr>
      <w:r w:rsidRPr="002F5ED6">
        <w:rPr>
          <w:rFonts w:asciiTheme="minorHAnsi" w:hAnsiTheme="minorHAnsi" w:cstheme="minorHAnsi"/>
          <w:b w:val="0"/>
          <w:bCs w:val="0"/>
          <w:i/>
          <w:iCs/>
        </w:rPr>
        <w:t>Figure</w:t>
      </w:r>
      <w:r w:rsidR="00425E3A" w:rsidRPr="002F5ED6">
        <w:rPr>
          <w:rFonts w:asciiTheme="minorHAnsi" w:hAnsiTheme="minorHAnsi" w:cstheme="minorHAnsi"/>
          <w:b w:val="0"/>
          <w:bCs w:val="0"/>
          <w:i/>
          <w:iCs/>
        </w:rPr>
        <w:t xml:space="preserve"> 7</w:t>
      </w:r>
      <w:r w:rsidRPr="002F5ED6">
        <w:rPr>
          <w:rFonts w:asciiTheme="minorHAnsi" w:hAnsiTheme="minorHAnsi" w:cstheme="minorHAnsi"/>
          <w:b w:val="0"/>
          <w:bCs w:val="0"/>
          <w:i/>
          <w:iCs/>
        </w:rPr>
        <w:t>: Views of future price of coal at mine, by scenario, Powder River Basin</w:t>
      </w:r>
    </w:p>
    <w:p w14:paraId="2757CADF" w14:textId="462BCF8C" w:rsidR="00B80C82" w:rsidRPr="002F5ED6" w:rsidRDefault="00A801B9" w:rsidP="0065157D">
      <w:pPr>
        <w:jc w:val="center"/>
        <w:rPr>
          <w:rFonts w:asciiTheme="minorHAnsi" w:hAnsiTheme="minorHAnsi" w:cstheme="minorHAnsi"/>
        </w:rPr>
      </w:pPr>
      <w:r w:rsidRPr="002F5ED6">
        <w:rPr>
          <w:rFonts w:asciiTheme="minorHAnsi" w:hAnsiTheme="minorHAnsi" w:cstheme="minorHAnsi"/>
          <w:noProof/>
        </w:rPr>
        <w:drawing>
          <wp:inline distT="0" distB="0" distL="0" distR="0" wp14:anchorId="19C61124" wp14:editId="5E8C5F67">
            <wp:extent cx="5801535" cy="2924583"/>
            <wp:effectExtent l="0" t="0" r="8890" b="9525"/>
            <wp:docPr id="2117943211" name="Picture 2117943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943211" name=""/>
                    <pic:cNvPicPr/>
                  </pic:nvPicPr>
                  <pic:blipFill>
                    <a:blip r:embed="rId13"/>
                    <a:stretch>
                      <a:fillRect/>
                    </a:stretch>
                  </pic:blipFill>
                  <pic:spPr>
                    <a:xfrm>
                      <a:off x="0" y="0"/>
                      <a:ext cx="5801535" cy="2924583"/>
                    </a:xfrm>
                    <a:prstGeom prst="rect">
                      <a:avLst/>
                    </a:prstGeom>
                  </pic:spPr>
                </pic:pic>
              </a:graphicData>
            </a:graphic>
          </wp:inline>
        </w:drawing>
      </w:r>
    </w:p>
    <w:p w14:paraId="6927B3A5" w14:textId="77777777" w:rsidR="00A801B9" w:rsidRPr="002F5ED6" w:rsidRDefault="00A801B9" w:rsidP="0065157D">
      <w:pPr>
        <w:jc w:val="center"/>
        <w:rPr>
          <w:rFonts w:asciiTheme="minorHAnsi" w:hAnsiTheme="minorHAnsi" w:cstheme="minorHAnsi"/>
        </w:rPr>
      </w:pPr>
    </w:p>
    <w:p w14:paraId="09C6287B" w14:textId="77777777" w:rsidR="00A801B9" w:rsidRPr="002F5ED6" w:rsidRDefault="00A801B9" w:rsidP="0065157D">
      <w:pPr>
        <w:jc w:val="center"/>
        <w:rPr>
          <w:rFonts w:asciiTheme="minorHAnsi" w:hAnsiTheme="minorHAnsi" w:cstheme="minorHAnsi"/>
        </w:rPr>
      </w:pPr>
    </w:p>
    <w:p w14:paraId="205B606C" w14:textId="77777777" w:rsidR="0065461E" w:rsidRPr="002F5ED6" w:rsidRDefault="0065461E" w:rsidP="0065461E">
      <w:pPr>
        <w:keepNext/>
        <w:keepLines/>
        <w:rPr>
          <w:rFonts w:asciiTheme="minorHAnsi" w:hAnsiTheme="minorHAnsi" w:cstheme="minorHAnsi"/>
        </w:rPr>
      </w:pPr>
    </w:p>
    <w:p w14:paraId="62C86CDE" w14:textId="77777777" w:rsidR="00A801B9" w:rsidRPr="002F5ED6" w:rsidRDefault="00A801B9" w:rsidP="0065461E">
      <w:pPr>
        <w:keepNext/>
        <w:keepLines/>
        <w:rPr>
          <w:rFonts w:asciiTheme="minorHAnsi" w:hAnsiTheme="minorHAnsi" w:cstheme="minorHAnsi"/>
        </w:rPr>
      </w:pPr>
    </w:p>
    <w:p w14:paraId="6C8EDE48" w14:textId="77777777" w:rsidR="0065461E" w:rsidRPr="002F5ED6" w:rsidRDefault="0065461E" w:rsidP="0065461E">
      <w:pPr>
        <w:keepNext/>
        <w:keepLines/>
        <w:rPr>
          <w:rFonts w:asciiTheme="minorHAnsi" w:hAnsiTheme="minorHAnsi" w:cstheme="minorHAnsi"/>
        </w:rPr>
      </w:pPr>
    </w:p>
    <w:p w14:paraId="73556690" w14:textId="77777777" w:rsidR="00A801B9" w:rsidRPr="002F5ED6" w:rsidRDefault="00A801B9" w:rsidP="0065461E">
      <w:pPr>
        <w:keepNext/>
        <w:keepLines/>
        <w:rPr>
          <w:rFonts w:asciiTheme="minorHAnsi" w:hAnsiTheme="minorHAnsi" w:cstheme="minorHAnsi"/>
        </w:rPr>
      </w:pPr>
    </w:p>
    <w:p w14:paraId="3FF26233" w14:textId="1261690E" w:rsidR="0065461E" w:rsidRPr="002F5ED6" w:rsidRDefault="0065461E" w:rsidP="00B80C82">
      <w:pPr>
        <w:pStyle w:val="Caption"/>
        <w:keepNext/>
        <w:keepLines/>
        <w:jc w:val="center"/>
        <w:rPr>
          <w:rFonts w:asciiTheme="minorHAnsi" w:hAnsiTheme="minorHAnsi" w:cstheme="minorHAnsi"/>
          <w:b w:val="0"/>
          <w:bCs w:val="0"/>
          <w:i/>
          <w:iCs/>
        </w:rPr>
      </w:pPr>
      <w:r w:rsidRPr="002F5ED6">
        <w:rPr>
          <w:rFonts w:asciiTheme="minorHAnsi" w:hAnsiTheme="minorHAnsi" w:cstheme="minorHAnsi"/>
          <w:b w:val="0"/>
          <w:bCs w:val="0"/>
          <w:i/>
          <w:iCs/>
        </w:rPr>
        <w:t>Figure</w:t>
      </w:r>
      <w:r w:rsidR="00425E3A" w:rsidRPr="002F5ED6">
        <w:rPr>
          <w:rFonts w:asciiTheme="minorHAnsi" w:hAnsiTheme="minorHAnsi" w:cstheme="minorHAnsi"/>
          <w:b w:val="0"/>
          <w:bCs w:val="0"/>
          <w:i/>
          <w:iCs/>
        </w:rPr>
        <w:t xml:space="preserve"> 8</w:t>
      </w:r>
      <w:r w:rsidRPr="002F5ED6">
        <w:rPr>
          <w:rFonts w:asciiTheme="minorHAnsi" w:hAnsiTheme="minorHAnsi" w:cstheme="minorHAnsi"/>
          <w:b w:val="0"/>
          <w:bCs w:val="0"/>
          <w:i/>
          <w:iCs/>
        </w:rPr>
        <w:t>: Views of future price of oil, West Texas Intermediate</w:t>
      </w:r>
    </w:p>
    <w:p w14:paraId="50AE03AF" w14:textId="705447A8" w:rsidR="0065461E" w:rsidRPr="002F5ED6" w:rsidRDefault="00A801B9" w:rsidP="0065461E">
      <w:pPr>
        <w:keepNext/>
        <w:keepLines/>
        <w:jc w:val="center"/>
        <w:rPr>
          <w:rFonts w:asciiTheme="minorHAnsi" w:hAnsiTheme="minorHAnsi" w:cstheme="minorHAnsi"/>
        </w:rPr>
      </w:pPr>
      <w:r w:rsidRPr="002F5ED6">
        <w:rPr>
          <w:rFonts w:asciiTheme="minorHAnsi" w:hAnsiTheme="minorHAnsi" w:cstheme="minorHAnsi"/>
          <w:noProof/>
        </w:rPr>
        <w:drawing>
          <wp:inline distT="0" distB="0" distL="0" distR="0" wp14:anchorId="6C4DF11D" wp14:editId="0527D3C2">
            <wp:extent cx="5906324" cy="2924583"/>
            <wp:effectExtent l="0" t="0" r="0" b="9525"/>
            <wp:docPr id="237206956" name="Picture 237206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206956" name=""/>
                    <pic:cNvPicPr/>
                  </pic:nvPicPr>
                  <pic:blipFill>
                    <a:blip r:embed="rId14"/>
                    <a:stretch>
                      <a:fillRect/>
                    </a:stretch>
                  </pic:blipFill>
                  <pic:spPr>
                    <a:xfrm>
                      <a:off x="0" y="0"/>
                      <a:ext cx="5906324" cy="2924583"/>
                    </a:xfrm>
                    <a:prstGeom prst="rect">
                      <a:avLst/>
                    </a:prstGeom>
                  </pic:spPr>
                </pic:pic>
              </a:graphicData>
            </a:graphic>
          </wp:inline>
        </w:drawing>
      </w:r>
    </w:p>
    <w:p w14:paraId="521A3CF3" w14:textId="77777777" w:rsidR="00A02283" w:rsidRPr="002F5ED6" w:rsidRDefault="00A02283" w:rsidP="00D57C13">
      <w:pPr>
        <w:spacing w:line="360" w:lineRule="atLeast"/>
        <w:rPr>
          <w:rFonts w:asciiTheme="minorHAnsi" w:hAnsiTheme="minorHAnsi" w:cstheme="minorHAnsi"/>
          <w:sz w:val="22"/>
          <w:szCs w:val="22"/>
        </w:rPr>
      </w:pPr>
    </w:p>
    <w:p w14:paraId="59091844" w14:textId="27B46934" w:rsidR="00537D66" w:rsidRPr="002F5ED6" w:rsidRDefault="00D57C13" w:rsidP="00365C95">
      <w:pPr>
        <w:spacing w:line="360" w:lineRule="atLeast"/>
        <w:rPr>
          <w:rFonts w:asciiTheme="minorHAnsi" w:hAnsiTheme="minorHAnsi" w:cstheme="minorHAnsi"/>
          <w:sz w:val="22"/>
          <w:szCs w:val="22"/>
        </w:rPr>
      </w:pPr>
      <w:r w:rsidRPr="002F5ED6">
        <w:rPr>
          <w:rFonts w:asciiTheme="minorHAnsi" w:hAnsiTheme="minorHAnsi" w:cstheme="minorHAnsi"/>
          <w:sz w:val="22"/>
          <w:szCs w:val="22"/>
        </w:rPr>
        <w:t xml:space="preserve">The candidate expansion unit gas price is a capacity need weighted average, by </w:t>
      </w:r>
      <w:r w:rsidR="011C6E59" w:rsidRPr="002F5ED6">
        <w:rPr>
          <w:rFonts w:asciiTheme="minorHAnsi" w:hAnsiTheme="minorHAnsi" w:cstheme="minorHAnsi"/>
          <w:sz w:val="22"/>
          <w:szCs w:val="22"/>
        </w:rPr>
        <w:t xml:space="preserve">retail </w:t>
      </w:r>
      <w:r w:rsidRPr="002F5ED6">
        <w:rPr>
          <w:rFonts w:asciiTheme="minorHAnsi" w:hAnsiTheme="minorHAnsi" w:cstheme="minorHAnsi"/>
          <w:sz w:val="22"/>
          <w:szCs w:val="22"/>
        </w:rPr>
        <w:t xml:space="preserve">operating company, of several potential plant locations throughout the Southern Company </w:t>
      </w:r>
      <w:r w:rsidR="00874D27" w:rsidRPr="002F5ED6">
        <w:rPr>
          <w:rFonts w:asciiTheme="minorHAnsi" w:hAnsiTheme="minorHAnsi" w:cstheme="minorHAnsi"/>
          <w:sz w:val="22"/>
          <w:szCs w:val="22"/>
        </w:rPr>
        <w:t>S</w:t>
      </w:r>
      <w:r w:rsidRPr="002F5ED6">
        <w:rPr>
          <w:rFonts w:asciiTheme="minorHAnsi" w:hAnsiTheme="minorHAnsi" w:cstheme="minorHAnsi"/>
          <w:sz w:val="22"/>
          <w:szCs w:val="22"/>
        </w:rPr>
        <w:t>ystem. Combined cycle additions include the cost of contracting for firm annual natural gas delivery</w:t>
      </w:r>
      <w:r w:rsidR="00675EF0" w:rsidRPr="002F5ED6">
        <w:rPr>
          <w:rFonts w:asciiTheme="minorHAnsi" w:hAnsiTheme="minorHAnsi" w:cstheme="minorHAnsi"/>
          <w:sz w:val="22"/>
          <w:szCs w:val="22"/>
        </w:rPr>
        <w:t>,</w:t>
      </w:r>
      <w:r w:rsidRPr="002F5ED6">
        <w:rPr>
          <w:rFonts w:asciiTheme="minorHAnsi" w:hAnsiTheme="minorHAnsi" w:cstheme="minorHAnsi"/>
          <w:sz w:val="22"/>
          <w:szCs w:val="22"/>
        </w:rPr>
        <w:t xml:space="preserve"> and combustion turbine additions include the cost of contracting for firm summer only natural gas delivery.</w:t>
      </w:r>
      <w:bookmarkStart w:id="8" w:name="_Toc86315684"/>
    </w:p>
    <w:p w14:paraId="007925C5" w14:textId="764A0CC1" w:rsidR="0041046F" w:rsidRPr="002F5ED6" w:rsidRDefault="58ED9918" w:rsidP="32DB3C0E">
      <w:pPr>
        <w:pStyle w:val="Heading2"/>
        <w:keepNext/>
        <w:keepLines/>
        <w:tabs>
          <w:tab w:val="num" w:pos="720"/>
        </w:tabs>
        <w:spacing w:line="360" w:lineRule="atLeast"/>
        <w:ind w:left="720" w:hanging="720"/>
        <w:rPr>
          <w:rFonts w:asciiTheme="minorHAnsi" w:hAnsiTheme="minorHAnsi" w:cstheme="minorHAnsi"/>
          <w:b w:val="0"/>
          <w:i/>
          <w:iCs/>
          <w:sz w:val="22"/>
          <w:szCs w:val="22"/>
        </w:rPr>
      </w:pPr>
      <w:r w:rsidRPr="002F5ED6">
        <w:rPr>
          <w:rFonts w:asciiTheme="minorHAnsi" w:hAnsiTheme="minorHAnsi" w:cstheme="minorHAnsi"/>
          <w:b w:val="0"/>
          <w:i/>
          <w:iCs/>
          <w:sz w:val="22"/>
          <w:szCs w:val="22"/>
        </w:rPr>
        <w:t>TECHNOLOGY SCREENING &amp; CANDIDATE EXPANSION UNITS</w:t>
      </w:r>
      <w:bookmarkEnd w:id="8"/>
      <w:r w:rsidR="7A193D06" w:rsidRPr="002F5ED6">
        <w:rPr>
          <w:rFonts w:asciiTheme="minorHAnsi" w:hAnsiTheme="minorHAnsi" w:cstheme="minorHAnsi"/>
          <w:b w:val="0"/>
          <w:i/>
          <w:iCs/>
          <w:sz w:val="22"/>
          <w:szCs w:val="22"/>
        </w:rPr>
        <w:t xml:space="preserve"> </w:t>
      </w:r>
    </w:p>
    <w:p w14:paraId="65FCA0AF" w14:textId="77777777" w:rsidR="0052582A" w:rsidRPr="002F5ED6" w:rsidRDefault="0052582A" w:rsidP="00171C14">
      <w:pPr>
        <w:spacing w:line="360" w:lineRule="auto"/>
        <w:rPr>
          <w:rFonts w:asciiTheme="minorHAnsi" w:hAnsiTheme="minorHAnsi" w:cstheme="minorHAnsi"/>
          <w:sz w:val="22"/>
          <w:szCs w:val="22"/>
        </w:rPr>
      </w:pPr>
    </w:p>
    <w:p w14:paraId="5138EBC1" w14:textId="12B28748" w:rsidR="00171C14" w:rsidRPr="002F5ED6" w:rsidRDefault="00171C14" w:rsidP="00171C14">
      <w:pPr>
        <w:spacing w:line="360" w:lineRule="auto"/>
        <w:rPr>
          <w:rFonts w:asciiTheme="minorHAnsi" w:hAnsiTheme="minorHAnsi" w:cstheme="minorHAnsi"/>
          <w:sz w:val="22"/>
          <w:szCs w:val="22"/>
        </w:rPr>
      </w:pPr>
      <w:r w:rsidRPr="002F5ED6">
        <w:rPr>
          <w:rFonts w:asciiTheme="minorHAnsi" w:hAnsiTheme="minorHAnsi" w:cstheme="minorHAnsi"/>
          <w:sz w:val="22"/>
          <w:szCs w:val="22"/>
        </w:rPr>
        <w:t>The Company performs detailed expansion planning and production cost analysis during each IRP. This detailed analysis requires extensive and complex computational analysis. Therefore, the Company completes a technology screening assessment of new generation technologies to reduce the potential list of new supply-side options to a manageable list of technologies that are likely to be economically competitive. This technology screening assessment evaluates both established and emerging generating technologies. The objective is to assess the cost, maturity, safety, operational reliability, flexibility, economic viability, environmental acceptability, fuel availability, construction lead times, and other relevant factors of new supply-side generation options.</w:t>
      </w:r>
    </w:p>
    <w:p w14:paraId="5F317B5C" w14:textId="77777777" w:rsidR="00767B92" w:rsidRPr="002F5ED6" w:rsidRDefault="00767B92" w:rsidP="00171C14">
      <w:pPr>
        <w:spacing w:line="360" w:lineRule="auto"/>
        <w:rPr>
          <w:rFonts w:asciiTheme="minorHAnsi" w:hAnsiTheme="minorHAnsi" w:cstheme="minorHAnsi"/>
          <w:sz w:val="22"/>
          <w:szCs w:val="22"/>
        </w:rPr>
      </w:pPr>
    </w:p>
    <w:p w14:paraId="14E2EACC" w14:textId="54392404" w:rsidR="0041046F" w:rsidRPr="002F5ED6" w:rsidRDefault="00171C14" w:rsidP="00767B92">
      <w:pPr>
        <w:spacing w:line="360" w:lineRule="auto"/>
        <w:rPr>
          <w:rFonts w:asciiTheme="minorHAnsi" w:hAnsiTheme="minorHAnsi" w:cstheme="minorHAnsi"/>
          <w:sz w:val="22"/>
          <w:szCs w:val="22"/>
        </w:rPr>
      </w:pPr>
      <w:r w:rsidRPr="002F5ED6">
        <w:rPr>
          <w:rFonts w:asciiTheme="minorHAnsi" w:hAnsiTheme="minorHAnsi" w:cstheme="minorHAnsi"/>
          <w:sz w:val="22"/>
          <w:szCs w:val="22"/>
        </w:rPr>
        <w:t>The technology screening process includes three main steps: (i) the Technology Identification, (ii) Preliminary Screening, and (iii) Detailed Qualitative Screening Analysis</w:t>
      </w:r>
      <w:r w:rsidR="001173BC" w:rsidRPr="002F5ED6">
        <w:rPr>
          <w:rFonts w:asciiTheme="minorHAnsi" w:hAnsiTheme="minorHAnsi" w:cstheme="minorHAnsi"/>
          <w:sz w:val="22"/>
          <w:szCs w:val="22"/>
        </w:rPr>
        <w:t>, as illustrated in Figure</w:t>
      </w:r>
      <w:r w:rsidR="00785F5A" w:rsidRPr="002F5ED6">
        <w:rPr>
          <w:rFonts w:asciiTheme="minorHAnsi" w:hAnsiTheme="minorHAnsi" w:cstheme="minorHAnsi"/>
          <w:sz w:val="22"/>
          <w:szCs w:val="22"/>
        </w:rPr>
        <w:t xml:space="preserve"> </w:t>
      </w:r>
      <w:r w:rsidR="00425E3A" w:rsidRPr="002F5ED6">
        <w:rPr>
          <w:rFonts w:asciiTheme="minorHAnsi" w:hAnsiTheme="minorHAnsi" w:cstheme="minorHAnsi"/>
          <w:sz w:val="22"/>
          <w:szCs w:val="22"/>
        </w:rPr>
        <w:t>9</w:t>
      </w:r>
      <w:r w:rsidRPr="002F5ED6">
        <w:rPr>
          <w:rFonts w:asciiTheme="minorHAnsi" w:hAnsiTheme="minorHAnsi" w:cstheme="minorHAnsi"/>
          <w:sz w:val="22"/>
          <w:szCs w:val="22"/>
        </w:rPr>
        <w:t>. Supply-side options retained after these steps are then considered in the more detailed expansion plan modeling.</w:t>
      </w:r>
      <w:r w:rsidR="0041046F" w:rsidRPr="002F5ED6">
        <w:rPr>
          <w:rFonts w:asciiTheme="minorHAnsi" w:hAnsiTheme="minorHAnsi" w:cstheme="minorHAnsi"/>
          <w:sz w:val="22"/>
          <w:szCs w:val="22"/>
        </w:rPr>
        <w:t xml:space="preserve"> </w:t>
      </w:r>
    </w:p>
    <w:p w14:paraId="60565D03" w14:textId="77777777" w:rsidR="0041046F" w:rsidRPr="002F5ED6" w:rsidRDefault="0041046F" w:rsidP="0041046F">
      <w:pPr>
        <w:rPr>
          <w:rFonts w:asciiTheme="minorHAnsi" w:hAnsiTheme="minorHAnsi" w:cstheme="minorHAnsi"/>
        </w:rPr>
      </w:pPr>
    </w:p>
    <w:p w14:paraId="3ED87A80" w14:textId="19F61A1C" w:rsidR="00785F5A" w:rsidRPr="002F5ED6" w:rsidRDefault="00785F5A" w:rsidP="00785F5A">
      <w:pPr>
        <w:pStyle w:val="Caption"/>
        <w:keepNext/>
        <w:keepLines/>
        <w:jc w:val="center"/>
        <w:rPr>
          <w:rFonts w:asciiTheme="minorHAnsi" w:hAnsiTheme="minorHAnsi" w:cstheme="minorHAnsi"/>
          <w:b w:val="0"/>
          <w:bCs w:val="0"/>
          <w:i/>
          <w:iCs/>
        </w:rPr>
      </w:pPr>
      <w:r w:rsidRPr="002F5ED6">
        <w:rPr>
          <w:rFonts w:asciiTheme="minorHAnsi" w:hAnsiTheme="minorHAnsi" w:cstheme="minorHAnsi"/>
          <w:b w:val="0"/>
          <w:bCs w:val="0"/>
          <w:i/>
          <w:iCs/>
        </w:rPr>
        <w:t xml:space="preserve">Figure </w:t>
      </w:r>
      <w:r w:rsidR="00425E3A" w:rsidRPr="002F5ED6">
        <w:rPr>
          <w:rFonts w:asciiTheme="minorHAnsi" w:hAnsiTheme="minorHAnsi" w:cstheme="minorHAnsi"/>
          <w:b w:val="0"/>
          <w:bCs w:val="0"/>
          <w:i/>
          <w:iCs/>
        </w:rPr>
        <w:t>9</w:t>
      </w:r>
      <w:r w:rsidRPr="002F5ED6">
        <w:rPr>
          <w:rFonts w:asciiTheme="minorHAnsi" w:hAnsiTheme="minorHAnsi" w:cstheme="minorHAnsi"/>
          <w:b w:val="0"/>
          <w:bCs w:val="0"/>
          <w:i/>
          <w:iCs/>
        </w:rPr>
        <w:t xml:space="preserve">: </w:t>
      </w:r>
      <w:r w:rsidR="00956791" w:rsidRPr="002F5ED6">
        <w:rPr>
          <w:rFonts w:asciiTheme="minorHAnsi" w:hAnsiTheme="minorHAnsi" w:cstheme="minorHAnsi"/>
          <w:b w:val="0"/>
          <w:bCs w:val="0"/>
          <w:i/>
          <w:iCs/>
        </w:rPr>
        <w:t>Technology Screening Process</w:t>
      </w:r>
    </w:p>
    <w:p w14:paraId="195A0749" w14:textId="77777777" w:rsidR="00785F5A" w:rsidRPr="002F5ED6" w:rsidRDefault="00785F5A" w:rsidP="0041046F">
      <w:pPr>
        <w:rPr>
          <w:rFonts w:asciiTheme="minorHAnsi" w:hAnsiTheme="minorHAnsi" w:cstheme="minorHAnsi"/>
        </w:rPr>
      </w:pPr>
    </w:p>
    <w:p w14:paraId="6C3B322D" w14:textId="45FDE873" w:rsidR="0041046F" w:rsidRPr="002F5ED6" w:rsidRDefault="004E0C39" w:rsidP="0041046F">
      <w:pPr>
        <w:jc w:val="center"/>
        <w:rPr>
          <w:rFonts w:asciiTheme="minorHAnsi" w:hAnsiTheme="minorHAnsi" w:cstheme="minorHAnsi"/>
        </w:rPr>
      </w:pPr>
      <w:r w:rsidRPr="002F5ED6">
        <w:rPr>
          <w:rFonts w:asciiTheme="minorHAnsi" w:hAnsiTheme="minorHAnsi" w:cstheme="minorHAnsi"/>
          <w:noProof/>
        </w:rPr>
        <w:drawing>
          <wp:inline distT="0" distB="0" distL="0" distR="0" wp14:anchorId="38CB633D" wp14:editId="6DAADE5E">
            <wp:extent cx="5760720" cy="177449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720" cy="1774490"/>
                    </a:xfrm>
                    <a:prstGeom prst="rect">
                      <a:avLst/>
                    </a:prstGeom>
                    <a:noFill/>
                  </pic:spPr>
                </pic:pic>
              </a:graphicData>
            </a:graphic>
          </wp:inline>
        </w:drawing>
      </w:r>
    </w:p>
    <w:p w14:paraId="3600CC61" w14:textId="74DBAD87" w:rsidR="0041046F" w:rsidRPr="002F5ED6" w:rsidRDefault="0041046F" w:rsidP="0041046F">
      <w:pPr>
        <w:spacing w:after="240" w:line="360" w:lineRule="auto"/>
        <w:rPr>
          <w:rFonts w:asciiTheme="minorHAnsi" w:hAnsiTheme="minorHAnsi" w:cstheme="minorHAnsi"/>
          <w:sz w:val="22"/>
          <w:szCs w:val="22"/>
        </w:rPr>
      </w:pPr>
    </w:p>
    <w:p w14:paraId="66B42B7E" w14:textId="16526F39" w:rsidR="00F234A5" w:rsidRPr="002F5ED6" w:rsidRDefault="00F234A5" w:rsidP="007A1602">
      <w:pPr>
        <w:spacing w:line="360" w:lineRule="atLeast"/>
        <w:rPr>
          <w:rFonts w:asciiTheme="minorHAnsi" w:hAnsiTheme="minorHAnsi" w:cstheme="minorHAnsi"/>
          <w:sz w:val="22"/>
          <w:szCs w:val="22"/>
        </w:rPr>
      </w:pPr>
      <w:r w:rsidRPr="002F5ED6">
        <w:rPr>
          <w:rFonts w:asciiTheme="minorHAnsi" w:hAnsiTheme="minorHAnsi" w:cstheme="minorHAnsi"/>
          <w:sz w:val="22"/>
          <w:szCs w:val="22"/>
        </w:rPr>
        <w:t>The screening process is useful for comparing costs of resource types but cannot be solely utilized for determining a long-term resource plan because future units must be optimized with an existing system containing various resource types. Results from the screening analysis provide guidance for the technologies to be further considered in the more detailed quantitative analysis phase of the planning process.  All resources that passed Steps 1-3 of the technology screening process were offered to the model to be optimized with the existing system.</w:t>
      </w:r>
    </w:p>
    <w:p w14:paraId="738196F3" w14:textId="77777777" w:rsidR="00515546" w:rsidRPr="002F5ED6" w:rsidRDefault="00515546" w:rsidP="007A1602">
      <w:pPr>
        <w:spacing w:line="360" w:lineRule="atLeast"/>
        <w:rPr>
          <w:rFonts w:asciiTheme="minorHAnsi" w:hAnsiTheme="minorHAnsi" w:cstheme="minorHAnsi"/>
          <w:sz w:val="22"/>
          <w:szCs w:val="22"/>
        </w:rPr>
      </w:pPr>
    </w:p>
    <w:p w14:paraId="57AD6B98" w14:textId="77777777" w:rsidR="0041046F" w:rsidRPr="002F5ED6" w:rsidRDefault="0041046F" w:rsidP="00392C59">
      <w:pPr>
        <w:pStyle w:val="Heading3"/>
        <w:keepNext/>
        <w:rPr>
          <w:rFonts w:asciiTheme="minorHAnsi" w:hAnsiTheme="minorHAnsi" w:cstheme="minorHAnsi"/>
          <w:i/>
          <w:iCs/>
          <w:sz w:val="22"/>
          <w:szCs w:val="18"/>
          <w:u w:val="none"/>
        </w:rPr>
      </w:pPr>
      <w:r w:rsidRPr="002F5ED6">
        <w:rPr>
          <w:rFonts w:asciiTheme="minorHAnsi" w:hAnsiTheme="minorHAnsi" w:cstheme="minorHAnsi"/>
          <w:i/>
          <w:iCs/>
          <w:sz w:val="22"/>
          <w:szCs w:val="18"/>
          <w:u w:val="none"/>
        </w:rPr>
        <w:t>CANDIDATE EXPANSION UNITS</w:t>
      </w:r>
    </w:p>
    <w:p w14:paraId="78478C00" w14:textId="2306129D" w:rsidR="0041046F" w:rsidRPr="002F5ED6" w:rsidRDefault="00084177" w:rsidP="007A1602">
      <w:pPr>
        <w:spacing w:line="360" w:lineRule="atLeast"/>
        <w:rPr>
          <w:rFonts w:asciiTheme="minorHAnsi" w:hAnsiTheme="minorHAnsi" w:cstheme="minorHAnsi"/>
          <w:sz w:val="22"/>
          <w:szCs w:val="22"/>
        </w:rPr>
      </w:pPr>
      <w:r w:rsidRPr="002F5ED6">
        <w:rPr>
          <w:rFonts w:asciiTheme="minorHAnsi" w:hAnsiTheme="minorHAnsi" w:cstheme="minorHAnsi"/>
          <w:sz w:val="22"/>
          <w:szCs w:val="22"/>
        </w:rPr>
        <w:t>For</w:t>
      </w:r>
      <w:r w:rsidR="540A7078" w:rsidRPr="002F5ED6">
        <w:rPr>
          <w:rFonts w:asciiTheme="minorHAnsi" w:hAnsiTheme="minorHAnsi" w:cstheme="minorHAnsi"/>
          <w:sz w:val="22"/>
          <w:szCs w:val="22"/>
        </w:rPr>
        <w:t xml:space="preserve"> </w:t>
      </w:r>
      <w:r w:rsidR="00D43251" w:rsidRPr="002F5ED6">
        <w:rPr>
          <w:rFonts w:asciiTheme="minorHAnsi" w:hAnsiTheme="minorHAnsi" w:cstheme="minorHAnsi"/>
          <w:sz w:val="22"/>
          <w:szCs w:val="22"/>
        </w:rPr>
        <w:t>2023 IRP Update</w:t>
      </w:r>
      <w:r w:rsidR="004424AD" w:rsidRPr="002F5ED6">
        <w:rPr>
          <w:rFonts w:asciiTheme="minorHAnsi" w:hAnsiTheme="minorHAnsi" w:cstheme="minorHAnsi"/>
          <w:sz w:val="22"/>
          <w:szCs w:val="22"/>
        </w:rPr>
        <w:t xml:space="preserve"> </w:t>
      </w:r>
      <w:r w:rsidRPr="002F5ED6">
        <w:rPr>
          <w:rFonts w:asciiTheme="minorHAnsi" w:hAnsiTheme="minorHAnsi" w:cstheme="minorHAnsi"/>
          <w:sz w:val="22"/>
          <w:szCs w:val="22"/>
        </w:rPr>
        <w:t>analyses, the technologies that screened as potentially cost-effective included natural gas combined cycle (with and without carbon capture</w:t>
      </w:r>
      <w:r w:rsidR="56DBB3A3" w:rsidRPr="002F5ED6">
        <w:rPr>
          <w:rFonts w:asciiTheme="minorHAnsi" w:hAnsiTheme="minorHAnsi" w:cstheme="minorHAnsi"/>
          <w:sz w:val="22"/>
          <w:szCs w:val="22"/>
        </w:rPr>
        <w:t xml:space="preserve"> and sequestration</w:t>
      </w:r>
      <w:r w:rsidRPr="002F5ED6">
        <w:rPr>
          <w:rFonts w:asciiTheme="minorHAnsi" w:hAnsiTheme="minorHAnsi" w:cstheme="minorHAnsi"/>
          <w:sz w:val="22"/>
          <w:szCs w:val="22"/>
        </w:rPr>
        <w:t xml:space="preserve">), </w:t>
      </w:r>
      <w:r w:rsidR="004424AD" w:rsidRPr="002F5ED6">
        <w:rPr>
          <w:rFonts w:asciiTheme="minorHAnsi" w:hAnsiTheme="minorHAnsi" w:cstheme="minorHAnsi"/>
          <w:sz w:val="22"/>
          <w:szCs w:val="22"/>
        </w:rPr>
        <w:t>dual-fuel</w:t>
      </w:r>
      <w:r w:rsidRPr="002F5ED6">
        <w:rPr>
          <w:rFonts w:asciiTheme="minorHAnsi" w:hAnsiTheme="minorHAnsi" w:cstheme="minorHAnsi"/>
          <w:sz w:val="22"/>
          <w:szCs w:val="22"/>
        </w:rPr>
        <w:t xml:space="preserve"> combustion turbine </w:t>
      </w:r>
      <w:r w:rsidR="004424AD" w:rsidRPr="002F5ED6">
        <w:rPr>
          <w:rFonts w:asciiTheme="minorHAnsi" w:hAnsiTheme="minorHAnsi" w:cstheme="minorHAnsi"/>
          <w:sz w:val="22"/>
          <w:szCs w:val="22"/>
        </w:rPr>
        <w:t>with S</w:t>
      </w:r>
      <w:r w:rsidR="00483C8E" w:rsidRPr="002F5ED6">
        <w:rPr>
          <w:rFonts w:asciiTheme="minorHAnsi" w:hAnsiTheme="minorHAnsi" w:cstheme="minorHAnsi"/>
          <w:sz w:val="22"/>
          <w:szCs w:val="22"/>
        </w:rPr>
        <w:t xml:space="preserve">elective </w:t>
      </w:r>
      <w:r w:rsidR="004424AD" w:rsidRPr="002F5ED6">
        <w:rPr>
          <w:rFonts w:asciiTheme="minorHAnsi" w:hAnsiTheme="minorHAnsi" w:cstheme="minorHAnsi"/>
          <w:sz w:val="22"/>
          <w:szCs w:val="22"/>
        </w:rPr>
        <w:t>C</w:t>
      </w:r>
      <w:r w:rsidR="00483C8E" w:rsidRPr="002F5ED6">
        <w:rPr>
          <w:rFonts w:asciiTheme="minorHAnsi" w:hAnsiTheme="minorHAnsi" w:cstheme="minorHAnsi"/>
          <w:sz w:val="22"/>
          <w:szCs w:val="22"/>
        </w:rPr>
        <w:t xml:space="preserve">atalytic </w:t>
      </w:r>
      <w:r w:rsidR="004424AD" w:rsidRPr="002F5ED6">
        <w:rPr>
          <w:rFonts w:asciiTheme="minorHAnsi" w:hAnsiTheme="minorHAnsi" w:cstheme="minorHAnsi"/>
          <w:sz w:val="22"/>
          <w:szCs w:val="22"/>
        </w:rPr>
        <w:t>R</w:t>
      </w:r>
      <w:r w:rsidR="00483C8E" w:rsidRPr="002F5ED6">
        <w:rPr>
          <w:rFonts w:asciiTheme="minorHAnsi" w:hAnsiTheme="minorHAnsi" w:cstheme="minorHAnsi"/>
          <w:sz w:val="22"/>
          <w:szCs w:val="22"/>
        </w:rPr>
        <w:t>eduction</w:t>
      </w:r>
      <w:r w:rsidR="00404750" w:rsidRPr="002F5ED6">
        <w:rPr>
          <w:rFonts w:asciiTheme="minorHAnsi" w:hAnsiTheme="minorHAnsi" w:cstheme="minorHAnsi"/>
          <w:sz w:val="22"/>
          <w:szCs w:val="22"/>
        </w:rPr>
        <w:t xml:space="preserve"> (“SCR”</w:t>
      </w:r>
      <w:r w:rsidR="002C3EB2" w:rsidRPr="002F5ED6">
        <w:rPr>
          <w:rFonts w:asciiTheme="minorHAnsi" w:hAnsiTheme="minorHAnsi" w:cstheme="minorHAnsi"/>
          <w:sz w:val="22"/>
          <w:szCs w:val="22"/>
        </w:rPr>
        <w:t>)</w:t>
      </w:r>
      <w:r w:rsidR="004424AD" w:rsidRPr="002F5ED6">
        <w:rPr>
          <w:rFonts w:asciiTheme="minorHAnsi" w:hAnsiTheme="minorHAnsi" w:cstheme="minorHAnsi"/>
          <w:sz w:val="22"/>
          <w:szCs w:val="22"/>
        </w:rPr>
        <w:t>,</w:t>
      </w:r>
      <w:r w:rsidR="00F361BA" w:rsidRPr="002F5ED6">
        <w:rPr>
          <w:rFonts w:asciiTheme="minorHAnsi" w:hAnsiTheme="minorHAnsi" w:cstheme="minorHAnsi"/>
          <w:sz w:val="22"/>
          <w:szCs w:val="22"/>
        </w:rPr>
        <w:t xml:space="preserve"> </w:t>
      </w:r>
      <w:r w:rsidRPr="002F5ED6">
        <w:rPr>
          <w:rFonts w:asciiTheme="minorHAnsi" w:hAnsiTheme="minorHAnsi" w:cstheme="minorHAnsi"/>
          <w:sz w:val="22"/>
          <w:szCs w:val="22"/>
        </w:rPr>
        <w:t>reciprocating internal combustion engine</w:t>
      </w:r>
      <w:r w:rsidR="00F361BA" w:rsidRPr="002F5ED6">
        <w:rPr>
          <w:rFonts w:asciiTheme="minorHAnsi" w:hAnsiTheme="minorHAnsi" w:cstheme="minorHAnsi"/>
          <w:sz w:val="22"/>
          <w:szCs w:val="22"/>
        </w:rPr>
        <w:t>,</w:t>
      </w:r>
      <w:r w:rsidRPr="002F5ED6">
        <w:rPr>
          <w:rFonts w:asciiTheme="minorHAnsi" w:hAnsiTheme="minorHAnsi" w:cstheme="minorHAnsi"/>
          <w:sz w:val="22"/>
          <w:szCs w:val="22"/>
        </w:rPr>
        <w:t xml:space="preserve"> solar photovoltaic, wind, </w:t>
      </w:r>
      <w:r w:rsidR="004424AD" w:rsidRPr="002F5ED6">
        <w:rPr>
          <w:rFonts w:asciiTheme="minorHAnsi" w:hAnsiTheme="minorHAnsi" w:cstheme="minorHAnsi"/>
          <w:sz w:val="22"/>
          <w:szCs w:val="22"/>
        </w:rPr>
        <w:t xml:space="preserve">advanced nuclear, </w:t>
      </w:r>
      <w:r w:rsidRPr="002F5ED6">
        <w:rPr>
          <w:rFonts w:asciiTheme="minorHAnsi" w:hAnsiTheme="minorHAnsi" w:cstheme="minorHAnsi"/>
          <w:sz w:val="22"/>
          <w:szCs w:val="22"/>
        </w:rPr>
        <w:t>and battery storage</w:t>
      </w:r>
      <w:r w:rsidR="004424AD" w:rsidRPr="002F5ED6">
        <w:rPr>
          <w:rFonts w:asciiTheme="minorHAnsi" w:hAnsiTheme="minorHAnsi" w:cstheme="minorHAnsi"/>
          <w:sz w:val="22"/>
          <w:szCs w:val="22"/>
        </w:rPr>
        <w:t xml:space="preserve"> (short- and medium-duration)</w:t>
      </w:r>
      <w:r w:rsidRPr="002F5ED6">
        <w:rPr>
          <w:rFonts w:asciiTheme="minorHAnsi" w:hAnsiTheme="minorHAnsi" w:cstheme="minorHAnsi"/>
          <w:sz w:val="22"/>
          <w:szCs w:val="22"/>
        </w:rPr>
        <w:t xml:space="preserve">. </w:t>
      </w:r>
      <w:r w:rsidR="0041046F" w:rsidRPr="002F5ED6">
        <w:rPr>
          <w:rFonts w:asciiTheme="minorHAnsi" w:hAnsiTheme="minorHAnsi" w:cstheme="minorHAnsi"/>
          <w:sz w:val="22"/>
          <w:szCs w:val="22"/>
        </w:rPr>
        <w:t xml:space="preserve"> </w:t>
      </w:r>
    </w:p>
    <w:p w14:paraId="43D9C38D" w14:textId="77777777" w:rsidR="00BD7A05" w:rsidRPr="002F5ED6" w:rsidRDefault="00BD7A05" w:rsidP="007A1602">
      <w:pPr>
        <w:spacing w:line="360" w:lineRule="atLeast"/>
        <w:rPr>
          <w:rFonts w:asciiTheme="minorHAnsi" w:hAnsiTheme="minorHAnsi" w:cstheme="minorHAnsi"/>
          <w:sz w:val="22"/>
          <w:szCs w:val="22"/>
        </w:rPr>
      </w:pPr>
    </w:p>
    <w:p w14:paraId="12822464" w14:textId="29F6F69D" w:rsidR="006255D3" w:rsidRPr="002F5ED6" w:rsidRDefault="4E59BEED" w:rsidP="30EEA533">
      <w:pPr>
        <w:pStyle w:val="ListParagraph"/>
        <w:numPr>
          <w:ilvl w:val="0"/>
          <w:numId w:val="17"/>
        </w:numPr>
        <w:spacing w:after="240"/>
        <w:rPr>
          <w:rFonts w:asciiTheme="minorHAnsi" w:hAnsiTheme="minorHAnsi" w:cstheme="minorHAnsi"/>
          <w:sz w:val="22"/>
          <w:szCs w:val="22"/>
        </w:rPr>
      </w:pPr>
      <w:r w:rsidRPr="002F5ED6">
        <w:rPr>
          <w:rFonts w:asciiTheme="minorHAnsi" w:hAnsiTheme="minorHAnsi" w:cstheme="minorHAnsi"/>
          <w:b/>
          <w:bCs/>
          <w:sz w:val="22"/>
          <w:szCs w:val="22"/>
        </w:rPr>
        <w:t>Natural Gas Combined Cycle (“CC”</w:t>
      </w:r>
      <w:r w:rsidR="00AB31A3" w:rsidRPr="002F5ED6">
        <w:rPr>
          <w:rFonts w:asciiTheme="minorHAnsi" w:hAnsiTheme="minorHAnsi" w:cstheme="minorHAnsi"/>
          <w:b/>
          <w:bCs/>
          <w:sz w:val="22"/>
          <w:szCs w:val="22"/>
        </w:rPr>
        <w:t xml:space="preserve"> and “CC with CCS”</w:t>
      </w:r>
      <w:r w:rsidRPr="002F5ED6">
        <w:rPr>
          <w:rFonts w:asciiTheme="minorHAnsi" w:hAnsiTheme="minorHAnsi" w:cstheme="minorHAnsi"/>
          <w:b/>
          <w:bCs/>
          <w:sz w:val="22"/>
          <w:szCs w:val="22"/>
        </w:rPr>
        <w:t>)</w:t>
      </w:r>
      <w:r w:rsidRPr="002F5ED6">
        <w:rPr>
          <w:rFonts w:asciiTheme="minorHAnsi" w:hAnsiTheme="minorHAnsi" w:cstheme="minorHAnsi"/>
          <w:sz w:val="22"/>
          <w:szCs w:val="22"/>
        </w:rPr>
        <w:t xml:space="preserve">: The Company’s current assumption for planning purposes is that CC plants without carbon capture facilities are available for fleet expansion </w:t>
      </w:r>
      <w:r w:rsidR="00AB31A3" w:rsidRPr="002F5ED6">
        <w:rPr>
          <w:rFonts w:asciiTheme="minorHAnsi" w:hAnsiTheme="minorHAnsi" w:cstheme="minorHAnsi"/>
          <w:sz w:val="22"/>
          <w:szCs w:val="22"/>
        </w:rPr>
        <w:t xml:space="preserve">beginning in 2030 and </w:t>
      </w:r>
      <w:r w:rsidRPr="002F5ED6">
        <w:rPr>
          <w:rFonts w:asciiTheme="minorHAnsi" w:hAnsiTheme="minorHAnsi" w:cstheme="minorHAnsi"/>
          <w:sz w:val="22"/>
          <w:szCs w:val="22"/>
        </w:rPr>
        <w:t>only through 2039 ($0 CO</w:t>
      </w:r>
      <w:r w:rsidRPr="002F5ED6">
        <w:rPr>
          <w:rFonts w:asciiTheme="minorHAnsi" w:hAnsiTheme="minorHAnsi" w:cstheme="minorHAnsi"/>
          <w:sz w:val="22"/>
          <w:szCs w:val="22"/>
          <w:vertAlign w:val="subscript"/>
        </w:rPr>
        <w:t>2</w:t>
      </w:r>
      <w:r w:rsidRPr="002F5ED6">
        <w:rPr>
          <w:rFonts w:asciiTheme="minorHAnsi" w:hAnsiTheme="minorHAnsi" w:cstheme="minorHAnsi"/>
          <w:sz w:val="22"/>
          <w:szCs w:val="22"/>
        </w:rPr>
        <w:t xml:space="preserve"> view) or 2034 (all other CO</w:t>
      </w:r>
      <w:r w:rsidRPr="002F5ED6">
        <w:rPr>
          <w:rFonts w:asciiTheme="minorHAnsi" w:hAnsiTheme="minorHAnsi" w:cstheme="minorHAnsi"/>
          <w:sz w:val="22"/>
          <w:szCs w:val="22"/>
          <w:vertAlign w:val="subscript"/>
        </w:rPr>
        <w:t>2</w:t>
      </w:r>
      <w:r w:rsidRPr="002F5ED6">
        <w:rPr>
          <w:rFonts w:asciiTheme="minorHAnsi" w:hAnsiTheme="minorHAnsi" w:cstheme="minorHAnsi"/>
          <w:sz w:val="22"/>
          <w:szCs w:val="22"/>
        </w:rPr>
        <w:t xml:space="preserve"> views). </w:t>
      </w:r>
      <w:r w:rsidR="3E857961" w:rsidRPr="002F5ED6">
        <w:rPr>
          <w:rFonts w:asciiTheme="minorHAnsi" w:hAnsiTheme="minorHAnsi" w:cstheme="minorHAnsi"/>
          <w:sz w:val="22"/>
          <w:szCs w:val="22"/>
        </w:rPr>
        <w:t xml:space="preserve">This is due to a corresponding </w:t>
      </w:r>
      <w:r w:rsidRPr="002F5ED6">
        <w:rPr>
          <w:rFonts w:asciiTheme="minorHAnsi" w:hAnsiTheme="minorHAnsi" w:cstheme="minorHAnsi"/>
          <w:sz w:val="22"/>
          <w:szCs w:val="22"/>
        </w:rPr>
        <w:t>planning assumption that beginning in 2035 or 2040, depending on the CO</w:t>
      </w:r>
      <w:r w:rsidRPr="002F5ED6">
        <w:rPr>
          <w:rFonts w:asciiTheme="minorHAnsi" w:hAnsiTheme="minorHAnsi" w:cstheme="minorHAnsi"/>
          <w:sz w:val="22"/>
          <w:szCs w:val="22"/>
          <w:vertAlign w:val="subscript"/>
        </w:rPr>
        <w:t>2</w:t>
      </w:r>
      <w:r w:rsidRPr="002F5ED6">
        <w:rPr>
          <w:rFonts w:asciiTheme="minorHAnsi" w:hAnsiTheme="minorHAnsi" w:cstheme="minorHAnsi"/>
          <w:sz w:val="22"/>
          <w:szCs w:val="22"/>
        </w:rPr>
        <w:t xml:space="preserve"> view, new CC plants must capture</w:t>
      </w:r>
      <w:r w:rsidR="117AC0A9" w:rsidRPr="002F5ED6">
        <w:rPr>
          <w:rFonts w:asciiTheme="minorHAnsi" w:hAnsiTheme="minorHAnsi" w:cstheme="minorHAnsi"/>
          <w:sz w:val="22"/>
          <w:szCs w:val="22"/>
        </w:rPr>
        <w:t xml:space="preserve"> at least</w:t>
      </w:r>
      <w:r w:rsidRPr="002F5ED6">
        <w:rPr>
          <w:rFonts w:asciiTheme="minorHAnsi" w:hAnsiTheme="minorHAnsi" w:cstheme="minorHAnsi"/>
          <w:sz w:val="22"/>
          <w:szCs w:val="22"/>
        </w:rPr>
        <w:t xml:space="preserve"> 90% of their carbon dioxide emissions. The timing of this requirement is based on the Company’s understanding of the existing Clean Air Act and its statutory </w:t>
      </w:r>
      <w:r w:rsidR="735B6E1E" w:rsidRPr="002F5ED6">
        <w:rPr>
          <w:rFonts w:asciiTheme="minorHAnsi" w:hAnsiTheme="minorHAnsi" w:cstheme="minorHAnsi"/>
          <w:sz w:val="22"/>
          <w:szCs w:val="22"/>
        </w:rPr>
        <w:t>requirements</w:t>
      </w:r>
      <w:r w:rsidRPr="002F5ED6">
        <w:rPr>
          <w:rFonts w:asciiTheme="minorHAnsi" w:hAnsiTheme="minorHAnsi" w:cstheme="minorHAnsi"/>
          <w:sz w:val="22"/>
          <w:szCs w:val="22"/>
        </w:rPr>
        <w:t xml:space="preserve"> for review of abatement technologies (New Source Performance Standards and Best Available Control Technology). With a carbon capture facility, CC plants are referred to as natural gas combined cycle with carbon capture and storage (“CC</w:t>
      </w:r>
      <w:r w:rsidR="00AB31A3" w:rsidRPr="002F5ED6">
        <w:rPr>
          <w:rFonts w:asciiTheme="minorHAnsi" w:hAnsiTheme="minorHAnsi" w:cstheme="minorHAnsi"/>
          <w:sz w:val="22"/>
          <w:szCs w:val="22"/>
        </w:rPr>
        <w:t xml:space="preserve"> with CCS</w:t>
      </w:r>
      <w:r w:rsidRPr="002F5ED6">
        <w:rPr>
          <w:rFonts w:asciiTheme="minorHAnsi" w:hAnsiTheme="minorHAnsi" w:cstheme="minorHAnsi"/>
          <w:sz w:val="22"/>
          <w:szCs w:val="22"/>
        </w:rPr>
        <w:t>”).</w:t>
      </w:r>
      <w:r w:rsidR="00AB31A3" w:rsidRPr="002F5ED6">
        <w:rPr>
          <w:rFonts w:asciiTheme="minorHAnsi" w:hAnsiTheme="minorHAnsi" w:cstheme="minorHAnsi"/>
          <w:sz w:val="22"/>
          <w:szCs w:val="22"/>
        </w:rPr>
        <w:t xml:space="preserve"> The Company assumes that CC with CCS </w:t>
      </w:r>
      <w:r w:rsidR="70CC23D4" w:rsidRPr="002F5ED6">
        <w:rPr>
          <w:rFonts w:asciiTheme="minorHAnsi" w:hAnsiTheme="minorHAnsi" w:cstheme="minorHAnsi"/>
          <w:sz w:val="22"/>
          <w:szCs w:val="22"/>
        </w:rPr>
        <w:t xml:space="preserve">that is online by end of 2038 </w:t>
      </w:r>
      <w:r w:rsidR="00AB31A3" w:rsidRPr="002F5ED6">
        <w:rPr>
          <w:rFonts w:asciiTheme="minorHAnsi" w:hAnsiTheme="minorHAnsi" w:cstheme="minorHAnsi"/>
          <w:sz w:val="22"/>
          <w:szCs w:val="22"/>
        </w:rPr>
        <w:t xml:space="preserve">will receive the </w:t>
      </w:r>
      <w:r w:rsidR="002E5B57" w:rsidRPr="002F5ED6">
        <w:rPr>
          <w:rFonts w:asciiTheme="minorHAnsi" w:hAnsiTheme="minorHAnsi" w:cstheme="minorHAnsi"/>
          <w:sz w:val="22"/>
          <w:szCs w:val="22"/>
        </w:rPr>
        <w:t xml:space="preserve">12-year </w:t>
      </w:r>
      <w:r w:rsidR="00AB31A3" w:rsidRPr="002F5ED6">
        <w:rPr>
          <w:rFonts w:asciiTheme="minorHAnsi" w:hAnsiTheme="minorHAnsi" w:cstheme="minorHAnsi"/>
          <w:sz w:val="22"/>
          <w:szCs w:val="22"/>
        </w:rPr>
        <w:t>45Q tax credit for each ton of carbon that is captured and stored.</w:t>
      </w:r>
    </w:p>
    <w:p w14:paraId="2F787C27" w14:textId="77777777" w:rsidR="005F4238" w:rsidRPr="002F5ED6" w:rsidRDefault="005F4238" w:rsidP="005F4238">
      <w:pPr>
        <w:pStyle w:val="ListParagraph"/>
        <w:spacing w:after="240"/>
        <w:rPr>
          <w:rFonts w:asciiTheme="minorHAnsi" w:hAnsiTheme="minorHAnsi" w:cstheme="minorHAnsi"/>
          <w:sz w:val="22"/>
          <w:szCs w:val="22"/>
        </w:rPr>
      </w:pPr>
    </w:p>
    <w:p w14:paraId="25BAD1BF" w14:textId="0C92936B" w:rsidR="006255D3" w:rsidRPr="002F5ED6" w:rsidRDefault="00D5797D" w:rsidP="30EEA533">
      <w:pPr>
        <w:pStyle w:val="ListParagraph"/>
        <w:numPr>
          <w:ilvl w:val="0"/>
          <w:numId w:val="17"/>
        </w:numPr>
        <w:spacing w:after="240"/>
        <w:rPr>
          <w:rFonts w:asciiTheme="minorHAnsi" w:hAnsiTheme="minorHAnsi" w:cstheme="minorHAnsi"/>
          <w:sz w:val="22"/>
          <w:szCs w:val="22"/>
        </w:rPr>
      </w:pPr>
      <w:r w:rsidRPr="002F5ED6">
        <w:rPr>
          <w:rFonts w:asciiTheme="minorHAnsi" w:hAnsiTheme="minorHAnsi" w:cstheme="minorHAnsi"/>
          <w:b/>
          <w:bCs/>
          <w:sz w:val="22"/>
          <w:szCs w:val="22"/>
        </w:rPr>
        <w:t>Dual-Fuel</w:t>
      </w:r>
      <w:r w:rsidR="006255D3" w:rsidRPr="002F5ED6">
        <w:rPr>
          <w:rFonts w:asciiTheme="minorHAnsi" w:hAnsiTheme="minorHAnsi" w:cstheme="minorHAnsi"/>
          <w:b/>
          <w:bCs/>
          <w:sz w:val="22"/>
          <w:szCs w:val="22"/>
        </w:rPr>
        <w:t xml:space="preserve"> Combustion Turbines (“CT</w:t>
      </w:r>
      <w:r w:rsidRPr="002F5ED6">
        <w:rPr>
          <w:rFonts w:asciiTheme="minorHAnsi" w:hAnsiTheme="minorHAnsi" w:cstheme="minorHAnsi"/>
          <w:b/>
          <w:bCs/>
          <w:sz w:val="22"/>
          <w:szCs w:val="22"/>
        </w:rPr>
        <w:t xml:space="preserve"> with SCR</w:t>
      </w:r>
      <w:r w:rsidR="006255D3" w:rsidRPr="002F5ED6">
        <w:rPr>
          <w:rFonts w:asciiTheme="minorHAnsi" w:hAnsiTheme="minorHAnsi" w:cstheme="minorHAnsi"/>
          <w:b/>
          <w:bCs/>
          <w:sz w:val="22"/>
          <w:szCs w:val="22"/>
        </w:rPr>
        <w:t>”)</w:t>
      </w:r>
      <w:r w:rsidR="006255D3" w:rsidRPr="002F5ED6">
        <w:rPr>
          <w:rFonts w:asciiTheme="minorHAnsi" w:hAnsiTheme="minorHAnsi" w:cstheme="minorHAnsi"/>
          <w:sz w:val="22"/>
          <w:szCs w:val="22"/>
        </w:rPr>
        <w:t xml:space="preserve">: The Company’s current assumption for planning purposes is that </w:t>
      </w:r>
      <w:r w:rsidRPr="002F5ED6">
        <w:rPr>
          <w:rFonts w:asciiTheme="minorHAnsi" w:hAnsiTheme="minorHAnsi" w:cstheme="minorHAnsi"/>
          <w:sz w:val="22"/>
          <w:szCs w:val="22"/>
        </w:rPr>
        <w:t xml:space="preserve">dual-fuel </w:t>
      </w:r>
      <w:r w:rsidR="006255D3" w:rsidRPr="002F5ED6">
        <w:rPr>
          <w:rFonts w:asciiTheme="minorHAnsi" w:hAnsiTheme="minorHAnsi" w:cstheme="minorHAnsi"/>
          <w:sz w:val="22"/>
          <w:szCs w:val="22"/>
        </w:rPr>
        <w:t xml:space="preserve">combustion turbines </w:t>
      </w:r>
      <w:r w:rsidRPr="002F5ED6">
        <w:rPr>
          <w:rFonts w:asciiTheme="minorHAnsi" w:hAnsiTheme="minorHAnsi" w:cstheme="minorHAnsi"/>
          <w:sz w:val="22"/>
          <w:szCs w:val="22"/>
        </w:rPr>
        <w:t xml:space="preserve">with </w:t>
      </w:r>
      <w:r w:rsidR="00D13C24" w:rsidRPr="002F5ED6">
        <w:rPr>
          <w:rFonts w:asciiTheme="minorHAnsi" w:hAnsiTheme="minorHAnsi" w:cstheme="minorHAnsi"/>
          <w:sz w:val="22"/>
          <w:szCs w:val="22"/>
        </w:rPr>
        <w:t xml:space="preserve">SCR are available for fleet expansion </w:t>
      </w:r>
      <w:r w:rsidR="00D22BC9" w:rsidRPr="002F5ED6">
        <w:rPr>
          <w:rFonts w:asciiTheme="minorHAnsi" w:hAnsiTheme="minorHAnsi" w:cstheme="minorHAnsi"/>
          <w:sz w:val="22"/>
          <w:szCs w:val="22"/>
        </w:rPr>
        <w:t xml:space="preserve">beginning in the year of capacity need for each scenario </w:t>
      </w:r>
      <w:r w:rsidR="00D13C24" w:rsidRPr="002F5ED6">
        <w:rPr>
          <w:rFonts w:asciiTheme="minorHAnsi" w:hAnsiTheme="minorHAnsi" w:cstheme="minorHAnsi"/>
          <w:sz w:val="22"/>
          <w:szCs w:val="22"/>
        </w:rPr>
        <w:t xml:space="preserve">and assumed to operate with oil as a primary fuel source. CTs </w:t>
      </w:r>
      <w:r w:rsidR="006255D3" w:rsidRPr="002F5ED6">
        <w:rPr>
          <w:rFonts w:asciiTheme="minorHAnsi" w:hAnsiTheme="minorHAnsi" w:cstheme="minorHAnsi"/>
          <w:sz w:val="22"/>
          <w:szCs w:val="22"/>
        </w:rPr>
        <w:t>must significantly reduce their NO</w:t>
      </w:r>
      <w:r w:rsidR="006255D3" w:rsidRPr="002F5ED6">
        <w:rPr>
          <w:rFonts w:asciiTheme="minorHAnsi" w:hAnsiTheme="minorHAnsi" w:cstheme="minorHAnsi"/>
          <w:sz w:val="22"/>
          <w:szCs w:val="22"/>
          <w:vertAlign w:val="subscript"/>
        </w:rPr>
        <w:t>x</w:t>
      </w:r>
      <w:r w:rsidR="006255D3" w:rsidRPr="002F5ED6">
        <w:rPr>
          <w:rFonts w:asciiTheme="minorHAnsi" w:hAnsiTheme="minorHAnsi" w:cstheme="minorHAnsi"/>
          <w:sz w:val="22"/>
          <w:szCs w:val="22"/>
        </w:rPr>
        <w:t xml:space="preserve"> emissions by install</w:t>
      </w:r>
      <w:r w:rsidR="00C45960" w:rsidRPr="002F5ED6">
        <w:rPr>
          <w:rFonts w:asciiTheme="minorHAnsi" w:hAnsiTheme="minorHAnsi" w:cstheme="minorHAnsi"/>
          <w:sz w:val="22"/>
          <w:szCs w:val="22"/>
        </w:rPr>
        <w:t>ing</w:t>
      </w:r>
      <w:r w:rsidR="006255D3" w:rsidRPr="002F5ED6">
        <w:rPr>
          <w:rFonts w:asciiTheme="minorHAnsi" w:hAnsiTheme="minorHAnsi" w:cstheme="minorHAnsi"/>
          <w:sz w:val="22"/>
          <w:szCs w:val="22"/>
        </w:rPr>
        <w:t xml:space="preserve"> a</w:t>
      </w:r>
      <w:r w:rsidR="56DA33D5" w:rsidRPr="002F5ED6">
        <w:rPr>
          <w:rFonts w:asciiTheme="minorHAnsi" w:hAnsiTheme="minorHAnsi" w:cstheme="minorHAnsi"/>
          <w:sz w:val="22"/>
          <w:szCs w:val="22"/>
        </w:rPr>
        <w:t>n</w:t>
      </w:r>
      <w:r w:rsidR="006255D3" w:rsidRPr="002F5ED6">
        <w:rPr>
          <w:rFonts w:asciiTheme="minorHAnsi" w:hAnsiTheme="minorHAnsi" w:cstheme="minorHAnsi"/>
          <w:sz w:val="22"/>
          <w:szCs w:val="22"/>
        </w:rPr>
        <w:t xml:space="preserve"> SCR device. </w:t>
      </w:r>
      <w:r w:rsidR="00D43251" w:rsidRPr="002F5ED6">
        <w:rPr>
          <w:rFonts w:asciiTheme="minorHAnsi" w:hAnsiTheme="minorHAnsi" w:cstheme="minorHAnsi"/>
          <w:sz w:val="22"/>
          <w:szCs w:val="22"/>
        </w:rPr>
        <w:t>This assumption</w:t>
      </w:r>
      <w:r w:rsidR="006255D3" w:rsidRPr="002F5ED6">
        <w:rPr>
          <w:rFonts w:asciiTheme="minorHAnsi" w:hAnsiTheme="minorHAnsi" w:cstheme="minorHAnsi"/>
          <w:sz w:val="22"/>
          <w:szCs w:val="22"/>
        </w:rPr>
        <w:t xml:space="preserve"> comes from </w:t>
      </w:r>
      <w:r w:rsidR="0F0FECC1" w:rsidRPr="002F5ED6">
        <w:rPr>
          <w:rFonts w:asciiTheme="minorHAnsi" w:hAnsiTheme="minorHAnsi" w:cstheme="minorHAnsi"/>
          <w:sz w:val="22"/>
          <w:szCs w:val="22"/>
        </w:rPr>
        <w:t xml:space="preserve">recent deployments of this technology across the industry and </w:t>
      </w:r>
      <w:r w:rsidR="006255D3" w:rsidRPr="002F5ED6">
        <w:rPr>
          <w:rFonts w:asciiTheme="minorHAnsi" w:hAnsiTheme="minorHAnsi" w:cstheme="minorHAnsi"/>
          <w:sz w:val="22"/>
          <w:szCs w:val="22"/>
        </w:rPr>
        <w:t xml:space="preserve">the Company’s understanding of the existing Clean Air Act and its statutory </w:t>
      </w:r>
      <w:r w:rsidR="1747655C" w:rsidRPr="002F5ED6">
        <w:rPr>
          <w:rFonts w:asciiTheme="minorHAnsi" w:hAnsiTheme="minorHAnsi" w:cstheme="minorHAnsi"/>
          <w:sz w:val="22"/>
          <w:szCs w:val="22"/>
        </w:rPr>
        <w:t>requirements</w:t>
      </w:r>
      <w:r w:rsidR="006255D3" w:rsidRPr="002F5ED6">
        <w:rPr>
          <w:rFonts w:asciiTheme="minorHAnsi" w:hAnsiTheme="minorHAnsi" w:cstheme="minorHAnsi"/>
          <w:sz w:val="22"/>
          <w:szCs w:val="22"/>
        </w:rPr>
        <w:t xml:space="preserve"> for review of abatement technologies and requirements.</w:t>
      </w:r>
    </w:p>
    <w:p w14:paraId="49D9F6DD" w14:textId="77777777" w:rsidR="005F4238" w:rsidRPr="002F5ED6" w:rsidRDefault="005F4238" w:rsidP="005F4238">
      <w:pPr>
        <w:pStyle w:val="ListParagraph"/>
        <w:rPr>
          <w:rFonts w:asciiTheme="minorHAnsi" w:hAnsiTheme="minorHAnsi" w:cstheme="minorHAnsi"/>
          <w:sz w:val="22"/>
          <w:szCs w:val="22"/>
        </w:rPr>
      </w:pPr>
    </w:p>
    <w:p w14:paraId="7DD375A2" w14:textId="62892FC3" w:rsidR="008B40C1" w:rsidRPr="002F5ED6" w:rsidRDefault="008B40C1" w:rsidP="00544EAF">
      <w:pPr>
        <w:pStyle w:val="ListParagraph"/>
        <w:numPr>
          <w:ilvl w:val="0"/>
          <w:numId w:val="17"/>
        </w:numPr>
        <w:spacing w:after="240"/>
        <w:contextualSpacing w:val="0"/>
        <w:rPr>
          <w:rFonts w:asciiTheme="minorHAnsi" w:hAnsiTheme="minorHAnsi" w:cstheme="minorHAnsi"/>
          <w:sz w:val="22"/>
          <w:szCs w:val="22"/>
        </w:rPr>
      </w:pPr>
      <w:r w:rsidRPr="002F5ED6">
        <w:rPr>
          <w:rFonts w:asciiTheme="minorHAnsi" w:hAnsiTheme="minorHAnsi" w:cstheme="minorHAnsi"/>
          <w:b/>
          <w:bCs/>
          <w:sz w:val="22"/>
          <w:szCs w:val="22"/>
        </w:rPr>
        <w:t>Reciprocating Internal Combustion Engine (“RICE”)</w:t>
      </w:r>
      <w:r w:rsidRPr="002F5ED6">
        <w:rPr>
          <w:rFonts w:asciiTheme="minorHAnsi" w:hAnsiTheme="minorHAnsi" w:cstheme="minorHAnsi"/>
          <w:sz w:val="22"/>
          <w:szCs w:val="22"/>
        </w:rPr>
        <w:t xml:space="preserve">: Reciprocating internal combustion engines are available as an expansion resource beginning in the year of capacity need for each scenario. </w:t>
      </w:r>
    </w:p>
    <w:p w14:paraId="0B0D4676" w14:textId="46228805" w:rsidR="006255D3" w:rsidRPr="002F5ED6" w:rsidRDefault="4E59BEED" w:rsidP="00544EAF">
      <w:pPr>
        <w:pStyle w:val="ListParagraph"/>
        <w:numPr>
          <w:ilvl w:val="0"/>
          <w:numId w:val="17"/>
        </w:numPr>
        <w:spacing w:after="240"/>
        <w:contextualSpacing w:val="0"/>
        <w:rPr>
          <w:rFonts w:asciiTheme="minorHAnsi" w:hAnsiTheme="minorHAnsi" w:cstheme="minorHAnsi"/>
          <w:sz w:val="22"/>
          <w:szCs w:val="22"/>
        </w:rPr>
      </w:pPr>
      <w:r w:rsidRPr="002F5ED6">
        <w:rPr>
          <w:rFonts w:asciiTheme="minorHAnsi" w:hAnsiTheme="minorHAnsi" w:cstheme="minorHAnsi"/>
          <w:b/>
          <w:bCs/>
          <w:sz w:val="22"/>
          <w:szCs w:val="22"/>
        </w:rPr>
        <w:t>Solar PV</w:t>
      </w:r>
      <w:r w:rsidRPr="002F5ED6">
        <w:rPr>
          <w:rFonts w:asciiTheme="minorHAnsi" w:hAnsiTheme="minorHAnsi" w:cstheme="minorHAnsi"/>
          <w:sz w:val="22"/>
          <w:szCs w:val="22"/>
        </w:rPr>
        <w:t>: Solar PV with single-axis tracking is available as an expansion resource beginning in 202</w:t>
      </w:r>
      <w:r w:rsidR="62880B2C" w:rsidRPr="002F5ED6">
        <w:rPr>
          <w:rFonts w:asciiTheme="minorHAnsi" w:hAnsiTheme="minorHAnsi" w:cstheme="minorHAnsi"/>
          <w:sz w:val="22"/>
          <w:szCs w:val="22"/>
        </w:rPr>
        <w:t>7</w:t>
      </w:r>
      <w:r w:rsidRPr="002F5ED6">
        <w:rPr>
          <w:rFonts w:asciiTheme="minorHAnsi" w:hAnsiTheme="minorHAnsi" w:cstheme="minorHAnsi"/>
          <w:sz w:val="22"/>
          <w:szCs w:val="22"/>
        </w:rPr>
        <w:t xml:space="preserve">. The Company’s view is that its costs will continue to decline in real terms, meaning it will become increasingly cost-effective throughout the study timeframe. </w:t>
      </w:r>
      <w:r w:rsidR="007E196C" w:rsidRPr="002F5ED6">
        <w:rPr>
          <w:rFonts w:asciiTheme="minorHAnsi" w:hAnsiTheme="minorHAnsi" w:cstheme="minorHAnsi"/>
          <w:sz w:val="22"/>
          <w:szCs w:val="22"/>
        </w:rPr>
        <w:t xml:space="preserve">The Company assumes that solar will receive the </w:t>
      </w:r>
      <w:r w:rsidR="00D33EF3" w:rsidRPr="002F5ED6">
        <w:rPr>
          <w:rFonts w:asciiTheme="minorHAnsi" w:hAnsiTheme="minorHAnsi" w:cstheme="minorHAnsi"/>
          <w:sz w:val="22"/>
          <w:szCs w:val="22"/>
        </w:rPr>
        <w:t xml:space="preserve">10-year </w:t>
      </w:r>
      <w:r w:rsidR="007E196C" w:rsidRPr="002F5ED6">
        <w:rPr>
          <w:rFonts w:asciiTheme="minorHAnsi" w:hAnsiTheme="minorHAnsi" w:cstheme="minorHAnsi"/>
          <w:sz w:val="22"/>
          <w:szCs w:val="22"/>
        </w:rPr>
        <w:t>clean electricity production tax credit as part of the I</w:t>
      </w:r>
      <w:r w:rsidR="00C90760" w:rsidRPr="002F5ED6">
        <w:rPr>
          <w:rFonts w:asciiTheme="minorHAnsi" w:hAnsiTheme="minorHAnsi" w:cstheme="minorHAnsi"/>
          <w:sz w:val="22"/>
          <w:szCs w:val="22"/>
        </w:rPr>
        <w:t xml:space="preserve">nflation </w:t>
      </w:r>
      <w:r w:rsidR="007E196C" w:rsidRPr="002F5ED6">
        <w:rPr>
          <w:rFonts w:asciiTheme="minorHAnsi" w:hAnsiTheme="minorHAnsi" w:cstheme="minorHAnsi"/>
          <w:sz w:val="22"/>
          <w:szCs w:val="22"/>
        </w:rPr>
        <w:t>R</w:t>
      </w:r>
      <w:r w:rsidR="00C90760" w:rsidRPr="002F5ED6">
        <w:rPr>
          <w:rFonts w:asciiTheme="minorHAnsi" w:hAnsiTheme="minorHAnsi" w:cstheme="minorHAnsi"/>
          <w:sz w:val="22"/>
          <w:szCs w:val="22"/>
        </w:rPr>
        <w:t xml:space="preserve">eduction </w:t>
      </w:r>
      <w:r w:rsidR="007E196C" w:rsidRPr="002F5ED6">
        <w:rPr>
          <w:rFonts w:asciiTheme="minorHAnsi" w:hAnsiTheme="minorHAnsi" w:cstheme="minorHAnsi"/>
          <w:sz w:val="22"/>
          <w:szCs w:val="22"/>
        </w:rPr>
        <w:t>A</w:t>
      </w:r>
      <w:r w:rsidR="00C90760" w:rsidRPr="002F5ED6">
        <w:rPr>
          <w:rFonts w:asciiTheme="minorHAnsi" w:hAnsiTheme="minorHAnsi" w:cstheme="minorHAnsi"/>
          <w:sz w:val="22"/>
          <w:szCs w:val="22"/>
        </w:rPr>
        <w:t>ct (“IRA”)</w:t>
      </w:r>
      <w:r w:rsidR="007E196C" w:rsidRPr="002F5ED6">
        <w:rPr>
          <w:rFonts w:asciiTheme="minorHAnsi" w:hAnsiTheme="minorHAnsi" w:cstheme="minorHAnsi"/>
          <w:sz w:val="22"/>
          <w:szCs w:val="22"/>
        </w:rPr>
        <w:t>.</w:t>
      </w:r>
    </w:p>
    <w:p w14:paraId="7B773B12" w14:textId="24ACD72C" w:rsidR="009F4DC2" w:rsidRPr="002F5ED6" w:rsidRDefault="00B964F5" w:rsidP="009F4DC2">
      <w:pPr>
        <w:pStyle w:val="ListParagraph"/>
        <w:numPr>
          <w:ilvl w:val="0"/>
          <w:numId w:val="17"/>
        </w:numPr>
        <w:spacing w:after="240"/>
        <w:rPr>
          <w:rFonts w:asciiTheme="minorHAnsi" w:hAnsiTheme="minorHAnsi" w:cstheme="minorHAnsi"/>
          <w:sz w:val="22"/>
          <w:szCs w:val="22"/>
        </w:rPr>
      </w:pPr>
      <w:r w:rsidRPr="002F5ED6">
        <w:rPr>
          <w:rFonts w:asciiTheme="minorHAnsi" w:hAnsiTheme="minorHAnsi" w:cstheme="minorHAnsi"/>
          <w:b/>
          <w:bCs/>
          <w:sz w:val="22"/>
          <w:szCs w:val="22"/>
        </w:rPr>
        <w:t xml:space="preserve">Southeast </w:t>
      </w:r>
      <w:r w:rsidR="006255D3" w:rsidRPr="002F5ED6">
        <w:rPr>
          <w:rFonts w:asciiTheme="minorHAnsi" w:hAnsiTheme="minorHAnsi" w:cstheme="minorHAnsi"/>
          <w:b/>
          <w:bCs/>
          <w:sz w:val="22"/>
          <w:szCs w:val="22"/>
        </w:rPr>
        <w:t>Wind</w:t>
      </w:r>
      <w:r w:rsidR="006255D3" w:rsidRPr="002F5ED6">
        <w:rPr>
          <w:rFonts w:asciiTheme="minorHAnsi" w:hAnsiTheme="minorHAnsi" w:cstheme="minorHAnsi"/>
          <w:sz w:val="22"/>
          <w:szCs w:val="22"/>
        </w:rPr>
        <w:t xml:space="preserve">: Wind is available as an expansion resource beginning in </w:t>
      </w:r>
      <w:r w:rsidR="008B40C1" w:rsidRPr="002F5ED6">
        <w:rPr>
          <w:rFonts w:asciiTheme="minorHAnsi" w:hAnsiTheme="minorHAnsi" w:cstheme="minorHAnsi"/>
          <w:sz w:val="22"/>
          <w:szCs w:val="22"/>
        </w:rPr>
        <w:t xml:space="preserve">2032. </w:t>
      </w:r>
      <w:r w:rsidR="007E196C" w:rsidRPr="002F5ED6">
        <w:rPr>
          <w:rFonts w:asciiTheme="minorHAnsi" w:hAnsiTheme="minorHAnsi" w:cstheme="minorHAnsi"/>
          <w:sz w:val="22"/>
          <w:szCs w:val="22"/>
        </w:rPr>
        <w:t xml:space="preserve">The Company assumes that wind will receive the </w:t>
      </w:r>
      <w:r w:rsidR="00D33EF3" w:rsidRPr="002F5ED6">
        <w:rPr>
          <w:rFonts w:asciiTheme="minorHAnsi" w:hAnsiTheme="minorHAnsi" w:cstheme="minorHAnsi"/>
          <w:sz w:val="22"/>
          <w:szCs w:val="22"/>
        </w:rPr>
        <w:t xml:space="preserve">10-year </w:t>
      </w:r>
      <w:r w:rsidR="007E196C" w:rsidRPr="002F5ED6">
        <w:rPr>
          <w:rFonts w:asciiTheme="minorHAnsi" w:hAnsiTheme="minorHAnsi" w:cstheme="minorHAnsi"/>
          <w:sz w:val="22"/>
          <w:szCs w:val="22"/>
        </w:rPr>
        <w:t>clean electricity production tax credit as part of the IRA.</w:t>
      </w:r>
      <w:r w:rsidR="65457127" w:rsidRPr="002F5ED6">
        <w:rPr>
          <w:rFonts w:asciiTheme="minorHAnsi" w:hAnsiTheme="minorHAnsi" w:cstheme="minorHAnsi"/>
          <w:sz w:val="22"/>
          <w:szCs w:val="22"/>
        </w:rPr>
        <w:t xml:space="preserve"> </w:t>
      </w:r>
      <w:r w:rsidR="1BCEBE3E" w:rsidRPr="002F5ED6">
        <w:rPr>
          <w:rFonts w:asciiTheme="minorHAnsi" w:hAnsiTheme="minorHAnsi" w:cstheme="minorHAnsi"/>
          <w:sz w:val="22"/>
          <w:szCs w:val="22"/>
        </w:rPr>
        <w:t xml:space="preserve">Wind has been limited to 8,100 MW total within </w:t>
      </w:r>
      <w:r w:rsidR="00BD4C16" w:rsidRPr="002F5ED6">
        <w:rPr>
          <w:rFonts w:asciiTheme="minorHAnsi" w:hAnsiTheme="minorHAnsi" w:cstheme="minorHAnsi"/>
          <w:sz w:val="22"/>
          <w:szCs w:val="22"/>
        </w:rPr>
        <w:t>t</w:t>
      </w:r>
      <w:r w:rsidR="1BCEBE3E" w:rsidRPr="002F5ED6">
        <w:rPr>
          <w:rFonts w:asciiTheme="minorHAnsi" w:hAnsiTheme="minorHAnsi" w:cstheme="minorHAnsi"/>
          <w:sz w:val="22"/>
          <w:szCs w:val="22"/>
        </w:rPr>
        <w:t xml:space="preserve">he </w:t>
      </w:r>
      <w:r w:rsidR="009F4DC2" w:rsidRPr="002F5ED6">
        <w:rPr>
          <w:rFonts w:asciiTheme="minorHAnsi" w:hAnsiTheme="minorHAnsi" w:cstheme="minorHAnsi"/>
          <w:sz w:val="22"/>
          <w:szCs w:val="22"/>
        </w:rPr>
        <w:t xml:space="preserve">Southern </w:t>
      </w:r>
      <w:r w:rsidR="1BCEBE3E" w:rsidRPr="002F5ED6">
        <w:rPr>
          <w:rFonts w:asciiTheme="minorHAnsi" w:hAnsiTheme="minorHAnsi" w:cstheme="minorHAnsi"/>
          <w:sz w:val="22"/>
          <w:szCs w:val="22"/>
        </w:rPr>
        <w:t xml:space="preserve">Company footprint based on expected </w:t>
      </w:r>
      <w:r w:rsidR="6EEA1DE5" w:rsidRPr="002F5ED6">
        <w:rPr>
          <w:rFonts w:asciiTheme="minorHAnsi" w:hAnsiTheme="minorHAnsi" w:cstheme="minorHAnsi"/>
          <w:sz w:val="22"/>
          <w:szCs w:val="22"/>
        </w:rPr>
        <w:t>wind resource potential and</w:t>
      </w:r>
      <w:r w:rsidR="1BCEBE3E" w:rsidRPr="002F5ED6">
        <w:rPr>
          <w:rFonts w:asciiTheme="minorHAnsi" w:hAnsiTheme="minorHAnsi" w:cstheme="minorHAnsi"/>
          <w:sz w:val="22"/>
          <w:szCs w:val="22"/>
        </w:rPr>
        <w:t xml:space="preserve"> land availability.</w:t>
      </w:r>
    </w:p>
    <w:p w14:paraId="23E86C44" w14:textId="77777777" w:rsidR="005F4238" w:rsidRPr="002F5ED6" w:rsidRDefault="005F4238" w:rsidP="005F4238">
      <w:pPr>
        <w:pStyle w:val="ListParagraph"/>
        <w:spacing w:after="240"/>
        <w:rPr>
          <w:rFonts w:asciiTheme="minorHAnsi" w:hAnsiTheme="minorHAnsi" w:cstheme="minorHAnsi"/>
          <w:sz w:val="22"/>
          <w:szCs w:val="22"/>
        </w:rPr>
      </w:pPr>
    </w:p>
    <w:p w14:paraId="115A61FE" w14:textId="49DFA913" w:rsidR="00D5797D" w:rsidRPr="002F5ED6" w:rsidRDefault="006255D3" w:rsidP="00BD4C16">
      <w:pPr>
        <w:pStyle w:val="ListParagraph"/>
        <w:numPr>
          <w:ilvl w:val="0"/>
          <w:numId w:val="17"/>
        </w:numPr>
        <w:spacing w:after="240"/>
        <w:contextualSpacing w:val="0"/>
        <w:rPr>
          <w:rFonts w:asciiTheme="minorHAnsi" w:hAnsiTheme="minorHAnsi" w:cstheme="minorHAnsi"/>
          <w:sz w:val="22"/>
          <w:szCs w:val="22"/>
        </w:rPr>
      </w:pPr>
      <w:r w:rsidRPr="002F5ED6">
        <w:rPr>
          <w:rFonts w:asciiTheme="minorHAnsi" w:hAnsiTheme="minorHAnsi" w:cstheme="minorHAnsi"/>
          <w:b/>
          <w:bCs/>
          <w:sz w:val="22"/>
          <w:szCs w:val="22"/>
        </w:rPr>
        <w:t xml:space="preserve">Battery </w:t>
      </w:r>
      <w:r w:rsidR="0042669B" w:rsidRPr="002F5ED6">
        <w:rPr>
          <w:rFonts w:asciiTheme="minorHAnsi" w:hAnsiTheme="minorHAnsi" w:cstheme="minorHAnsi"/>
          <w:b/>
          <w:bCs/>
          <w:sz w:val="22"/>
          <w:szCs w:val="22"/>
        </w:rPr>
        <w:t xml:space="preserve">energy </w:t>
      </w:r>
      <w:r w:rsidRPr="002F5ED6">
        <w:rPr>
          <w:rFonts w:asciiTheme="minorHAnsi" w:hAnsiTheme="minorHAnsi" w:cstheme="minorHAnsi"/>
          <w:b/>
          <w:bCs/>
          <w:sz w:val="22"/>
          <w:szCs w:val="22"/>
        </w:rPr>
        <w:t>storage</w:t>
      </w:r>
      <w:r w:rsidR="00DE6B12" w:rsidRPr="002F5ED6">
        <w:rPr>
          <w:rFonts w:asciiTheme="minorHAnsi" w:hAnsiTheme="minorHAnsi" w:cstheme="minorHAnsi"/>
          <w:b/>
          <w:bCs/>
          <w:sz w:val="22"/>
          <w:szCs w:val="22"/>
        </w:rPr>
        <w:t xml:space="preserve"> </w:t>
      </w:r>
      <w:r w:rsidR="0042669B" w:rsidRPr="002F5ED6">
        <w:rPr>
          <w:rFonts w:asciiTheme="minorHAnsi" w:hAnsiTheme="minorHAnsi" w:cstheme="minorHAnsi"/>
          <w:b/>
          <w:bCs/>
          <w:sz w:val="22"/>
          <w:szCs w:val="22"/>
        </w:rPr>
        <w:t xml:space="preserve">systems </w:t>
      </w:r>
      <w:r w:rsidR="00DE6B12" w:rsidRPr="002F5ED6">
        <w:rPr>
          <w:rFonts w:asciiTheme="minorHAnsi" w:hAnsiTheme="minorHAnsi" w:cstheme="minorHAnsi"/>
          <w:b/>
          <w:bCs/>
          <w:sz w:val="22"/>
          <w:szCs w:val="22"/>
        </w:rPr>
        <w:t>(“BESS”)</w:t>
      </w:r>
      <w:r w:rsidRPr="002F5ED6">
        <w:rPr>
          <w:rFonts w:asciiTheme="minorHAnsi" w:hAnsiTheme="minorHAnsi" w:cstheme="minorHAnsi"/>
          <w:sz w:val="22"/>
          <w:szCs w:val="22"/>
        </w:rPr>
        <w:t>: Battery storage</w:t>
      </w:r>
      <w:r w:rsidR="00526E73" w:rsidRPr="002F5ED6">
        <w:rPr>
          <w:rFonts w:asciiTheme="minorHAnsi" w:hAnsiTheme="minorHAnsi" w:cstheme="minorHAnsi"/>
          <w:sz w:val="22"/>
          <w:szCs w:val="22"/>
        </w:rPr>
        <w:t xml:space="preserve"> (4</w:t>
      </w:r>
      <w:r w:rsidR="00C9447F" w:rsidRPr="002F5ED6">
        <w:rPr>
          <w:rFonts w:asciiTheme="minorHAnsi" w:hAnsiTheme="minorHAnsi" w:cstheme="minorHAnsi"/>
          <w:sz w:val="22"/>
          <w:szCs w:val="22"/>
        </w:rPr>
        <w:t>-</w:t>
      </w:r>
      <w:r w:rsidR="00526E73" w:rsidRPr="002F5ED6">
        <w:rPr>
          <w:rFonts w:asciiTheme="minorHAnsi" w:hAnsiTheme="minorHAnsi" w:cstheme="minorHAnsi"/>
          <w:sz w:val="22"/>
          <w:szCs w:val="22"/>
        </w:rPr>
        <w:t>hour</w:t>
      </w:r>
      <w:r w:rsidR="00D5797D" w:rsidRPr="002F5ED6">
        <w:rPr>
          <w:rFonts w:asciiTheme="minorHAnsi" w:hAnsiTheme="minorHAnsi" w:cstheme="minorHAnsi"/>
          <w:sz w:val="22"/>
          <w:szCs w:val="22"/>
        </w:rPr>
        <w:t xml:space="preserve"> </w:t>
      </w:r>
      <w:r w:rsidR="00526E73" w:rsidRPr="002F5ED6">
        <w:rPr>
          <w:rFonts w:asciiTheme="minorHAnsi" w:hAnsiTheme="minorHAnsi" w:cstheme="minorHAnsi"/>
          <w:sz w:val="22"/>
          <w:szCs w:val="22"/>
        </w:rPr>
        <w:t>option)</w:t>
      </w:r>
      <w:r w:rsidRPr="002F5ED6">
        <w:rPr>
          <w:rFonts w:asciiTheme="minorHAnsi" w:hAnsiTheme="minorHAnsi" w:cstheme="minorHAnsi"/>
          <w:sz w:val="22"/>
          <w:szCs w:val="22"/>
        </w:rPr>
        <w:t xml:space="preserve"> is available as an expansion resource beginning in the year of capacity need for each scenario. The Company’s view is that its costs will continue to decline</w:t>
      </w:r>
      <w:r w:rsidR="00777D82" w:rsidRPr="002F5ED6">
        <w:rPr>
          <w:rFonts w:asciiTheme="minorHAnsi" w:hAnsiTheme="minorHAnsi" w:cstheme="minorHAnsi"/>
          <w:sz w:val="22"/>
          <w:szCs w:val="22"/>
        </w:rPr>
        <w:t xml:space="preserve"> </w:t>
      </w:r>
      <w:r w:rsidR="00822769" w:rsidRPr="002F5ED6">
        <w:rPr>
          <w:rFonts w:asciiTheme="minorHAnsi" w:hAnsiTheme="minorHAnsi" w:cstheme="minorHAnsi"/>
          <w:sz w:val="22"/>
          <w:szCs w:val="22"/>
        </w:rPr>
        <w:t>into the middle of the planning horizon, before leveling off in real terms,</w:t>
      </w:r>
      <w:r w:rsidRPr="002F5ED6">
        <w:rPr>
          <w:rFonts w:asciiTheme="minorHAnsi" w:hAnsiTheme="minorHAnsi" w:cstheme="minorHAnsi"/>
          <w:sz w:val="22"/>
          <w:szCs w:val="22"/>
        </w:rPr>
        <w:t xml:space="preserve"> meaning that it will become increasingly cost-effective throughout the study timeframe.</w:t>
      </w:r>
      <w:r w:rsidR="00822769" w:rsidRPr="002F5ED6">
        <w:rPr>
          <w:rFonts w:asciiTheme="minorHAnsi" w:hAnsiTheme="minorHAnsi" w:cstheme="minorHAnsi"/>
          <w:sz w:val="22"/>
          <w:szCs w:val="22"/>
        </w:rPr>
        <w:t xml:space="preserve"> </w:t>
      </w:r>
      <w:r w:rsidR="7DC92D59" w:rsidRPr="002F5ED6">
        <w:rPr>
          <w:rFonts w:asciiTheme="minorHAnsi" w:hAnsiTheme="minorHAnsi" w:cstheme="minorHAnsi"/>
          <w:sz w:val="22"/>
          <w:szCs w:val="22"/>
        </w:rPr>
        <w:t xml:space="preserve">The Company assumes that battery storage </w:t>
      </w:r>
      <w:proofErr w:type="gramStart"/>
      <w:r w:rsidR="7DC92D59" w:rsidRPr="002F5ED6">
        <w:rPr>
          <w:rFonts w:asciiTheme="minorHAnsi" w:hAnsiTheme="minorHAnsi" w:cstheme="minorHAnsi"/>
          <w:sz w:val="22"/>
          <w:szCs w:val="22"/>
        </w:rPr>
        <w:t>is able to</w:t>
      </w:r>
      <w:proofErr w:type="gramEnd"/>
      <w:r w:rsidR="7DC92D59" w:rsidRPr="002F5ED6">
        <w:rPr>
          <w:rFonts w:asciiTheme="minorHAnsi" w:hAnsiTheme="minorHAnsi" w:cstheme="minorHAnsi"/>
          <w:sz w:val="22"/>
          <w:szCs w:val="22"/>
        </w:rPr>
        <w:t xml:space="preserve"> take advantage of a 40% investment tax credit as part of the IRA. </w:t>
      </w:r>
    </w:p>
    <w:p w14:paraId="6554BEFD" w14:textId="65E5F9D8" w:rsidR="00D22BC9" w:rsidRPr="002F5ED6" w:rsidRDefault="00D22BC9" w:rsidP="00BD4C16">
      <w:pPr>
        <w:pStyle w:val="ListParagraph"/>
        <w:numPr>
          <w:ilvl w:val="0"/>
          <w:numId w:val="17"/>
        </w:numPr>
        <w:spacing w:after="240"/>
        <w:contextualSpacing w:val="0"/>
        <w:rPr>
          <w:rFonts w:asciiTheme="minorHAnsi" w:hAnsiTheme="minorHAnsi" w:cstheme="minorHAnsi"/>
          <w:sz w:val="22"/>
          <w:szCs w:val="22"/>
        </w:rPr>
      </w:pPr>
      <w:r w:rsidRPr="002F5ED6">
        <w:rPr>
          <w:rFonts w:asciiTheme="minorHAnsi" w:hAnsiTheme="minorHAnsi" w:cstheme="minorHAnsi"/>
          <w:b/>
          <w:bCs/>
          <w:sz w:val="22"/>
          <w:szCs w:val="22"/>
        </w:rPr>
        <w:t xml:space="preserve">Medium duration </w:t>
      </w:r>
      <w:r w:rsidR="0042669B" w:rsidRPr="002F5ED6">
        <w:rPr>
          <w:rFonts w:asciiTheme="minorHAnsi" w:hAnsiTheme="minorHAnsi" w:cstheme="minorHAnsi"/>
          <w:b/>
          <w:bCs/>
          <w:sz w:val="22"/>
          <w:szCs w:val="22"/>
        </w:rPr>
        <w:t xml:space="preserve">energy </w:t>
      </w:r>
      <w:r w:rsidRPr="002F5ED6">
        <w:rPr>
          <w:rFonts w:asciiTheme="minorHAnsi" w:hAnsiTheme="minorHAnsi" w:cstheme="minorHAnsi"/>
          <w:b/>
          <w:bCs/>
          <w:sz w:val="22"/>
          <w:szCs w:val="22"/>
        </w:rPr>
        <w:t>storage</w:t>
      </w:r>
      <w:r w:rsidR="0042669B" w:rsidRPr="002F5ED6">
        <w:rPr>
          <w:rFonts w:asciiTheme="minorHAnsi" w:hAnsiTheme="minorHAnsi" w:cstheme="minorHAnsi"/>
          <w:b/>
          <w:bCs/>
          <w:sz w:val="22"/>
          <w:szCs w:val="22"/>
        </w:rPr>
        <w:t xml:space="preserve"> systems</w:t>
      </w:r>
      <w:r w:rsidRPr="002F5ED6">
        <w:rPr>
          <w:rFonts w:asciiTheme="minorHAnsi" w:hAnsiTheme="minorHAnsi" w:cstheme="minorHAnsi"/>
          <w:b/>
          <w:bCs/>
          <w:sz w:val="22"/>
          <w:szCs w:val="22"/>
        </w:rPr>
        <w:t xml:space="preserve"> (“MDESS”)</w:t>
      </w:r>
      <w:r w:rsidRPr="002F5ED6">
        <w:rPr>
          <w:rFonts w:asciiTheme="minorHAnsi" w:hAnsiTheme="minorHAnsi" w:cstheme="minorHAnsi"/>
          <w:sz w:val="22"/>
          <w:szCs w:val="22"/>
        </w:rPr>
        <w:t xml:space="preserve">: MDESS (12-hour option) is available as an expansion resource beginning in 2033. </w:t>
      </w:r>
      <w:r w:rsidR="008B40C1" w:rsidRPr="002F5ED6">
        <w:rPr>
          <w:rFonts w:asciiTheme="minorHAnsi" w:hAnsiTheme="minorHAnsi" w:cstheme="minorHAnsi"/>
          <w:sz w:val="22"/>
          <w:szCs w:val="22"/>
        </w:rPr>
        <w:t>MDESS is assumed to be representative of pumped thermal energy storage.</w:t>
      </w:r>
      <w:r w:rsidRPr="002F5ED6">
        <w:rPr>
          <w:rFonts w:asciiTheme="minorHAnsi" w:hAnsiTheme="minorHAnsi" w:cstheme="minorHAnsi"/>
          <w:sz w:val="22"/>
          <w:szCs w:val="22"/>
        </w:rPr>
        <w:t xml:space="preserve"> The Company assumes that MDESS </w:t>
      </w:r>
      <w:proofErr w:type="gramStart"/>
      <w:r w:rsidRPr="002F5ED6">
        <w:rPr>
          <w:rFonts w:asciiTheme="minorHAnsi" w:hAnsiTheme="minorHAnsi" w:cstheme="minorHAnsi"/>
          <w:sz w:val="22"/>
          <w:szCs w:val="22"/>
        </w:rPr>
        <w:t>is able to</w:t>
      </w:r>
      <w:proofErr w:type="gramEnd"/>
      <w:r w:rsidRPr="002F5ED6">
        <w:rPr>
          <w:rFonts w:asciiTheme="minorHAnsi" w:hAnsiTheme="minorHAnsi" w:cstheme="minorHAnsi"/>
          <w:sz w:val="22"/>
          <w:szCs w:val="22"/>
        </w:rPr>
        <w:t xml:space="preserve"> take advantage of a 40% investment tax credit as part of the IRA.</w:t>
      </w:r>
    </w:p>
    <w:p w14:paraId="08B6B4C4" w14:textId="33ED689B" w:rsidR="006255D3" w:rsidRPr="002F5ED6" w:rsidRDefault="006255D3" w:rsidP="00BD4C16">
      <w:pPr>
        <w:pStyle w:val="ListParagraph"/>
        <w:numPr>
          <w:ilvl w:val="0"/>
          <w:numId w:val="17"/>
        </w:numPr>
        <w:spacing w:after="240"/>
        <w:contextualSpacing w:val="0"/>
        <w:rPr>
          <w:rFonts w:asciiTheme="minorHAnsi" w:hAnsiTheme="minorHAnsi" w:cstheme="minorHAnsi"/>
          <w:sz w:val="22"/>
          <w:szCs w:val="22"/>
        </w:rPr>
      </w:pPr>
      <w:r w:rsidRPr="002F5ED6">
        <w:rPr>
          <w:rFonts w:asciiTheme="minorHAnsi" w:hAnsiTheme="minorHAnsi" w:cstheme="minorHAnsi"/>
          <w:b/>
          <w:bCs/>
          <w:sz w:val="22"/>
          <w:szCs w:val="22"/>
        </w:rPr>
        <w:t>Nuclear</w:t>
      </w:r>
      <w:r w:rsidRPr="002F5ED6">
        <w:rPr>
          <w:rFonts w:asciiTheme="minorHAnsi" w:hAnsiTheme="minorHAnsi" w:cstheme="minorHAnsi"/>
          <w:sz w:val="22"/>
          <w:szCs w:val="22"/>
        </w:rPr>
        <w:t xml:space="preserve">: </w:t>
      </w:r>
      <w:r w:rsidR="00D5797D" w:rsidRPr="002F5ED6">
        <w:rPr>
          <w:rFonts w:asciiTheme="minorHAnsi" w:hAnsiTheme="minorHAnsi" w:cstheme="minorHAnsi"/>
          <w:sz w:val="22"/>
          <w:szCs w:val="22"/>
        </w:rPr>
        <w:t xml:space="preserve">Advanced nuclear options including </w:t>
      </w:r>
      <w:r w:rsidRPr="002F5ED6">
        <w:rPr>
          <w:rFonts w:asciiTheme="minorHAnsi" w:hAnsiTheme="minorHAnsi" w:cstheme="minorHAnsi"/>
          <w:sz w:val="22"/>
          <w:szCs w:val="22"/>
        </w:rPr>
        <w:t>Small Modular Reactors and Generation IV Nuclear technology are</w:t>
      </w:r>
      <w:r w:rsidR="00D5797D" w:rsidRPr="002F5ED6">
        <w:rPr>
          <w:rFonts w:asciiTheme="minorHAnsi" w:hAnsiTheme="minorHAnsi" w:cstheme="minorHAnsi"/>
          <w:sz w:val="22"/>
          <w:szCs w:val="22"/>
        </w:rPr>
        <w:t xml:space="preserve"> considered as part of the technology screening. Small Modular Reactor cost and performance metrics are modeled and</w:t>
      </w:r>
      <w:r w:rsidRPr="002F5ED6">
        <w:rPr>
          <w:rFonts w:asciiTheme="minorHAnsi" w:hAnsiTheme="minorHAnsi" w:cstheme="minorHAnsi"/>
          <w:sz w:val="22"/>
          <w:szCs w:val="22"/>
        </w:rPr>
        <w:t xml:space="preserve"> available as </w:t>
      </w:r>
      <w:r w:rsidR="00D5797D" w:rsidRPr="002F5ED6">
        <w:rPr>
          <w:rFonts w:asciiTheme="minorHAnsi" w:hAnsiTheme="minorHAnsi" w:cstheme="minorHAnsi"/>
          <w:sz w:val="22"/>
          <w:szCs w:val="22"/>
        </w:rPr>
        <w:t xml:space="preserve">an </w:t>
      </w:r>
      <w:r w:rsidRPr="002F5ED6">
        <w:rPr>
          <w:rFonts w:asciiTheme="minorHAnsi" w:hAnsiTheme="minorHAnsi" w:cstheme="minorHAnsi"/>
          <w:sz w:val="22"/>
          <w:szCs w:val="22"/>
        </w:rPr>
        <w:t>expansion resource</w:t>
      </w:r>
      <w:r w:rsidR="00D5797D" w:rsidRPr="002F5ED6">
        <w:rPr>
          <w:rFonts w:asciiTheme="minorHAnsi" w:hAnsiTheme="minorHAnsi" w:cstheme="minorHAnsi"/>
          <w:sz w:val="22"/>
          <w:szCs w:val="22"/>
        </w:rPr>
        <w:t>.</w:t>
      </w:r>
      <w:r w:rsidR="007E196C" w:rsidRPr="002F5ED6">
        <w:rPr>
          <w:rFonts w:asciiTheme="minorHAnsi" w:hAnsiTheme="minorHAnsi" w:cstheme="minorHAnsi"/>
          <w:sz w:val="22"/>
          <w:szCs w:val="22"/>
        </w:rPr>
        <w:t xml:space="preserve"> The Company assumes that nuclear will receive the</w:t>
      </w:r>
      <w:r w:rsidR="00D33EF3" w:rsidRPr="002F5ED6">
        <w:rPr>
          <w:rFonts w:asciiTheme="minorHAnsi" w:hAnsiTheme="minorHAnsi" w:cstheme="minorHAnsi"/>
          <w:sz w:val="22"/>
          <w:szCs w:val="22"/>
        </w:rPr>
        <w:t xml:space="preserve"> 10-year</w:t>
      </w:r>
      <w:r w:rsidR="007E196C" w:rsidRPr="002F5ED6">
        <w:rPr>
          <w:rFonts w:asciiTheme="minorHAnsi" w:hAnsiTheme="minorHAnsi" w:cstheme="minorHAnsi"/>
          <w:sz w:val="22"/>
          <w:szCs w:val="22"/>
        </w:rPr>
        <w:t xml:space="preserve"> clean electricity production tax credit as part of the IRA.</w:t>
      </w:r>
    </w:p>
    <w:p w14:paraId="2F671EB2" w14:textId="6D42754F" w:rsidR="003217B7" w:rsidRPr="002F5ED6" w:rsidRDefault="00AB31A3" w:rsidP="30EEA533">
      <w:pPr>
        <w:pStyle w:val="ListParagraph"/>
        <w:numPr>
          <w:ilvl w:val="0"/>
          <w:numId w:val="17"/>
        </w:numPr>
        <w:spacing w:after="240"/>
        <w:rPr>
          <w:rFonts w:asciiTheme="minorHAnsi" w:hAnsiTheme="minorHAnsi" w:cstheme="minorHAnsi"/>
          <w:sz w:val="22"/>
          <w:szCs w:val="22"/>
        </w:rPr>
      </w:pPr>
      <w:r w:rsidRPr="002F5ED6">
        <w:rPr>
          <w:rFonts w:asciiTheme="minorHAnsi" w:hAnsiTheme="minorHAnsi" w:cstheme="minorHAnsi"/>
          <w:b/>
          <w:bCs/>
          <w:sz w:val="22"/>
          <w:szCs w:val="22"/>
        </w:rPr>
        <w:t>Power Purchase Agreement between Georgia Power Company and Mississippi Power Company</w:t>
      </w:r>
      <w:r w:rsidR="003217B7" w:rsidRPr="002F5ED6">
        <w:rPr>
          <w:rFonts w:asciiTheme="minorHAnsi" w:hAnsiTheme="minorHAnsi" w:cstheme="minorHAnsi"/>
          <w:sz w:val="22"/>
          <w:szCs w:val="22"/>
        </w:rPr>
        <w:t>:</w:t>
      </w:r>
      <w:r w:rsidR="003217B7" w:rsidRPr="002F5ED6">
        <w:rPr>
          <w:rFonts w:asciiTheme="minorHAnsi" w:hAnsiTheme="minorHAnsi" w:cstheme="minorHAnsi"/>
          <w:b/>
          <w:bCs/>
          <w:sz w:val="22"/>
          <w:szCs w:val="22"/>
        </w:rPr>
        <w:t xml:space="preserve"> </w:t>
      </w:r>
      <w:r w:rsidR="003217B7" w:rsidRPr="002F5ED6">
        <w:rPr>
          <w:rFonts w:asciiTheme="minorHAnsi" w:hAnsiTheme="minorHAnsi" w:cstheme="minorHAnsi"/>
          <w:sz w:val="22"/>
          <w:szCs w:val="22"/>
        </w:rPr>
        <w:t xml:space="preserve">Due to the significant increase in economic development load that the Company has seen, the Company’s first capacity need falls in Winter of 2027. Many of the technology options </w:t>
      </w:r>
      <w:r w:rsidR="00160288" w:rsidRPr="002F5ED6">
        <w:rPr>
          <w:rFonts w:asciiTheme="minorHAnsi" w:hAnsiTheme="minorHAnsi" w:cstheme="minorHAnsi"/>
          <w:sz w:val="22"/>
          <w:szCs w:val="22"/>
        </w:rPr>
        <w:t>are not assumed to be available as early as Winter 2027. Because of this, for planning purposes</w:t>
      </w:r>
      <w:r w:rsidR="00843F2C" w:rsidRPr="002F5ED6">
        <w:rPr>
          <w:rFonts w:asciiTheme="minorHAnsi" w:hAnsiTheme="minorHAnsi" w:cstheme="minorHAnsi"/>
          <w:sz w:val="22"/>
          <w:szCs w:val="22"/>
        </w:rPr>
        <w:t>,</w:t>
      </w:r>
      <w:r w:rsidR="00160288" w:rsidRPr="002F5ED6">
        <w:rPr>
          <w:rFonts w:asciiTheme="minorHAnsi" w:hAnsiTheme="minorHAnsi" w:cstheme="minorHAnsi"/>
          <w:sz w:val="22"/>
          <w:szCs w:val="22"/>
        </w:rPr>
        <w:t xml:space="preserve"> the Company has included the Georgia Power </w:t>
      </w:r>
      <w:r w:rsidRPr="002F5ED6">
        <w:rPr>
          <w:rFonts w:asciiTheme="minorHAnsi" w:hAnsiTheme="minorHAnsi" w:cstheme="minorHAnsi"/>
          <w:sz w:val="22"/>
          <w:szCs w:val="22"/>
        </w:rPr>
        <w:t xml:space="preserve">Company </w:t>
      </w:r>
      <w:r w:rsidR="00160288" w:rsidRPr="002F5ED6">
        <w:rPr>
          <w:rFonts w:asciiTheme="minorHAnsi" w:hAnsiTheme="minorHAnsi" w:cstheme="minorHAnsi"/>
          <w:sz w:val="22"/>
          <w:szCs w:val="22"/>
        </w:rPr>
        <w:t xml:space="preserve">and Mississippi Power </w:t>
      </w:r>
      <w:r w:rsidRPr="002F5ED6">
        <w:rPr>
          <w:rFonts w:asciiTheme="minorHAnsi" w:hAnsiTheme="minorHAnsi" w:cstheme="minorHAnsi"/>
          <w:sz w:val="22"/>
          <w:szCs w:val="22"/>
        </w:rPr>
        <w:t xml:space="preserve">Company </w:t>
      </w:r>
      <w:r w:rsidR="00160288" w:rsidRPr="002F5ED6">
        <w:rPr>
          <w:rFonts w:asciiTheme="minorHAnsi" w:hAnsiTheme="minorHAnsi" w:cstheme="minorHAnsi"/>
          <w:sz w:val="22"/>
          <w:szCs w:val="22"/>
        </w:rPr>
        <w:t>PPA as a resource option within the model.</w:t>
      </w:r>
      <w:r w:rsidRPr="002F5ED6">
        <w:rPr>
          <w:rFonts w:asciiTheme="minorHAnsi" w:hAnsiTheme="minorHAnsi" w:cstheme="minorHAnsi"/>
          <w:sz w:val="22"/>
          <w:szCs w:val="22"/>
        </w:rPr>
        <w:t xml:space="preserve"> It is modeled to assume the capacity and energy costs per the </w:t>
      </w:r>
      <w:r w:rsidR="00720EF5" w:rsidRPr="002F5ED6">
        <w:rPr>
          <w:rFonts w:asciiTheme="minorHAnsi" w:hAnsiTheme="minorHAnsi" w:cstheme="minorHAnsi"/>
          <w:sz w:val="22"/>
          <w:szCs w:val="22"/>
        </w:rPr>
        <w:t>executed PPA</w:t>
      </w:r>
      <w:r w:rsidR="4DAD4B7D" w:rsidRPr="002F5ED6">
        <w:rPr>
          <w:rFonts w:asciiTheme="minorHAnsi" w:hAnsiTheme="minorHAnsi" w:cstheme="minorHAnsi"/>
          <w:sz w:val="22"/>
          <w:szCs w:val="22"/>
        </w:rPr>
        <w:t xml:space="preserve"> </w:t>
      </w:r>
      <w:r w:rsidRPr="002F5ED6">
        <w:rPr>
          <w:rFonts w:asciiTheme="minorHAnsi" w:hAnsiTheme="minorHAnsi" w:cstheme="minorHAnsi"/>
          <w:sz w:val="22"/>
          <w:szCs w:val="22"/>
        </w:rPr>
        <w:t>in the Technical Appendix to the 2023 IRP Update.</w:t>
      </w:r>
    </w:p>
    <w:p w14:paraId="2168A841" w14:textId="55507729" w:rsidR="00D57C13" w:rsidRPr="002F5ED6" w:rsidRDefault="00D57C13" w:rsidP="00392C59">
      <w:pPr>
        <w:pStyle w:val="Heading3"/>
        <w:keepNext/>
        <w:rPr>
          <w:rFonts w:asciiTheme="minorHAnsi" w:hAnsiTheme="minorHAnsi" w:cstheme="minorHAnsi"/>
          <w:i/>
          <w:iCs/>
          <w:sz w:val="22"/>
          <w:szCs w:val="18"/>
          <w:u w:val="none"/>
        </w:rPr>
      </w:pPr>
      <w:bookmarkStart w:id="9" w:name="_Toc305487200"/>
      <w:r w:rsidRPr="002F5ED6">
        <w:rPr>
          <w:rFonts w:asciiTheme="minorHAnsi" w:hAnsiTheme="minorHAnsi" w:cstheme="minorHAnsi"/>
          <w:i/>
          <w:iCs/>
          <w:sz w:val="22"/>
          <w:szCs w:val="18"/>
          <w:u w:val="none"/>
        </w:rPr>
        <w:t xml:space="preserve">GENERIC </w:t>
      </w:r>
      <w:bookmarkEnd w:id="9"/>
      <w:r w:rsidRPr="002F5ED6">
        <w:rPr>
          <w:rFonts w:asciiTheme="minorHAnsi" w:hAnsiTheme="minorHAnsi" w:cstheme="minorHAnsi"/>
          <w:i/>
          <w:iCs/>
          <w:sz w:val="22"/>
          <w:szCs w:val="18"/>
          <w:u w:val="none"/>
        </w:rPr>
        <w:t xml:space="preserve">UNIT COSTS AND PERFORMANCE </w:t>
      </w:r>
    </w:p>
    <w:p w14:paraId="1EAFB357" w14:textId="6D5DD1BD" w:rsidR="00D57C13" w:rsidRPr="002F5ED6" w:rsidRDefault="00D57C13" w:rsidP="00392C59">
      <w:pPr>
        <w:keepNext/>
        <w:spacing w:line="360" w:lineRule="atLeast"/>
        <w:rPr>
          <w:rFonts w:asciiTheme="minorHAnsi" w:hAnsiTheme="minorHAnsi" w:cstheme="minorHAnsi"/>
          <w:sz w:val="22"/>
          <w:szCs w:val="22"/>
        </w:rPr>
      </w:pPr>
      <w:r w:rsidRPr="002F5ED6">
        <w:rPr>
          <w:rFonts w:asciiTheme="minorHAnsi" w:hAnsiTheme="minorHAnsi" w:cstheme="minorHAnsi"/>
          <w:sz w:val="22"/>
          <w:szCs w:val="22"/>
        </w:rPr>
        <w:t xml:space="preserve">Table </w:t>
      </w:r>
      <w:r w:rsidR="00171D71" w:rsidRPr="002F5ED6">
        <w:rPr>
          <w:rFonts w:asciiTheme="minorHAnsi" w:hAnsiTheme="minorHAnsi" w:cstheme="minorHAnsi"/>
          <w:sz w:val="22"/>
          <w:szCs w:val="22"/>
        </w:rPr>
        <w:t>2</w:t>
      </w:r>
      <w:r w:rsidRPr="002F5ED6">
        <w:rPr>
          <w:rFonts w:asciiTheme="minorHAnsi" w:hAnsiTheme="minorHAnsi" w:cstheme="minorHAnsi"/>
          <w:sz w:val="22"/>
          <w:szCs w:val="22"/>
        </w:rPr>
        <w:t xml:space="preserve"> shows the </w:t>
      </w:r>
      <w:r w:rsidR="007824BC" w:rsidRPr="002F5ED6">
        <w:rPr>
          <w:rFonts w:asciiTheme="minorHAnsi" w:hAnsiTheme="minorHAnsi" w:cstheme="minorHAnsi"/>
          <w:sz w:val="22"/>
          <w:szCs w:val="22"/>
        </w:rPr>
        <w:t xml:space="preserve">technology assumptions for the </w:t>
      </w:r>
      <w:r w:rsidRPr="002F5ED6">
        <w:rPr>
          <w:rFonts w:asciiTheme="minorHAnsi" w:hAnsiTheme="minorHAnsi" w:cstheme="minorHAnsi"/>
          <w:sz w:val="22"/>
          <w:szCs w:val="22"/>
        </w:rPr>
        <w:t xml:space="preserve">candidate units </w:t>
      </w:r>
      <w:r w:rsidR="00E563EB" w:rsidRPr="002F5ED6">
        <w:rPr>
          <w:rFonts w:asciiTheme="minorHAnsi" w:hAnsiTheme="minorHAnsi" w:cstheme="minorHAnsi"/>
          <w:sz w:val="22"/>
          <w:szCs w:val="22"/>
        </w:rPr>
        <w:t xml:space="preserve">offered in the </w:t>
      </w:r>
      <w:r w:rsidR="00DE6B12" w:rsidRPr="002F5ED6">
        <w:rPr>
          <w:rFonts w:asciiTheme="minorHAnsi" w:hAnsiTheme="minorHAnsi" w:cstheme="minorHAnsi"/>
          <w:sz w:val="22"/>
          <w:szCs w:val="22"/>
        </w:rPr>
        <w:t>2023 IRP Update Mix Study.</w:t>
      </w:r>
    </w:p>
    <w:p w14:paraId="557FCE1F" w14:textId="77777777" w:rsidR="00D57C13" w:rsidRPr="00A1701E" w:rsidRDefault="00D57C13" w:rsidP="00392C59">
      <w:pPr>
        <w:keepNext/>
        <w:spacing w:line="360" w:lineRule="atLeast"/>
        <w:ind w:right="180"/>
        <w:jc w:val="center"/>
        <w:rPr>
          <w:rFonts w:asciiTheme="minorHAnsi" w:hAnsiTheme="minorHAnsi" w:cstheme="minorHAnsi"/>
          <w:sz w:val="22"/>
          <w:szCs w:val="22"/>
        </w:rPr>
      </w:pPr>
      <w:bookmarkStart w:id="10" w:name="_Toc305487202"/>
    </w:p>
    <w:p w14:paraId="47E810C2" w14:textId="6B2F7C88" w:rsidR="002E37A4" w:rsidRPr="00A1701E" w:rsidRDefault="00171D71" w:rsidP="00392C59">
      <w:pPr>
        <w:keepNext/>
        <w:spacing w:line="360" w:lineRule="atLeast"/>
        <w:ind w:left="58" w:right="180"/>
        <w:jc w:val="center"/>
        <w:rPr>
          <w:rFonts w:asciiTheme="minorHAnsi" w:hAnsiTheme="minorHAnsi" w:cstheme="minorHAnsi"/>
          <w:i/>
          <w:iCs/>
        </w:rPr>
      </w:pPr>
      <w:r w:rsidRPr="00917AF5">
        <w:rPr>
          <w:rFonts w:asciiTheme="minorHAnsi" w:hAnsiTheme="minorHAnsi" w:cstheme="minorHAnsi"/>
          <w:i/>
          <w:iCs/>
        </w:rPr>
        <w:t>Table 2</w:t>
      </w:r>
      <w:r w:rsidRPr="00917AF5">
        <w:rPr>
          <w:rFonts w:asciiTheme="minorHAnsi" w:hAnsiTheme="minorHAnsi" w:cstheme="minorHAnsi"/>
          <w:i/>
        </w:rPr>
        <w:t xml:space="preserve">: </w:t>
      </w:r>
      <w:r w:rsidR="00D57C13" w:rsidRPr="00917AF5">
        <w:rPr>
          <w:rFonts w:asciiTheme="minorHAnsi" w:hAnsiTheme="minorHAnsi" w:cstheme="minorHAnsi"/>
          <w:i/>
        </w:rPr>
        <w:t>Candidate Technology Assumptions</w:t>
      </w:r>
    </w:p>
    <w:p w14:paraId="4BB0EB9C" w14:textId="00D1D508" w:rsidR="002E37A4" w:rsidRPr="00120916" w:rsidRDefault="002E37A4" w:rsidP="00392C59">
      <w:pPr>
        <w:keepNext/>
        <w:spacing w:line="360" w:lineRule="atLeast"/>
        <w:ind w:right="180"/>
        <w:rPr>
          <w:rFonts w:asciiTheme="minorHAnsi" w:hAnsiTheme="minorHAnsi" w:cstheme="minorHAnsi"/>
          <w:sz w:val="40"/>
          <w:szCs w:val="40"/>
        </w:rPr>
      </w:pPr>
    </w:p>
    <w:tbl>
      <w:tblPr>
        <w:tblW w:w="9751" w:type="dxa"/>
        <w:tblBorders>
          <w:top w:val="single" w:sz="4" w:space="0" w:color="auto"/>
          <w:left w:val="single" w:sz="4" w:space="0" w:color="auto"/>
          <w:bottom w:val="single" w:sz="4" w:space="0" w:color="auto"/>
          <w:right w:val="single" w:sz="4" w:space="0" w:color="auto"/>
          <w:insideH w:val="single" w:sz="4" w:space="0" w:color="4D4D4D"/>
          <w:insideV w:val="single" w:sz="4" w:space="0" w:color="4D4D4D"/>
        </w:tblBorders>
        <w:tblLayout w:type="fixed"/>
        <w:tblCellMar>
          <w:left w:w="0" w:type="dxa"/>
          <w:right w:w="14" w:type="dxa"/>
        </w:tblCellMar>
        <w:tblLook w:val="04A0" w:firstRow="1" w:lastRow="0" w:firstColumn="1" w:lastColumn="0" w:noHBand="0" w:noVBand="1"/>
      </w:tblPr>
      <w:tblGrid>
        <w:gridCol w:w="1795"/>
        <w:gridCol w:w="1080"/>
        <w:gridCol w:w="1620"/>
        <w:gridCol w:w="720"/>
        <w:gridCol w:w="810"/>
        <w:gridCol w:w="720"/>
        <w:gridCol w:w="900"/>
        <w:gridCol w:w="810"/>
        <w:gridCol w:w="770"/>
        <w:gridCol w:w="526"/>
      </w:tblGrid>
      <w:tr w:rsidR="00684E89" w:rsidRPr="00A1701E" w14:paraId="3075C33C" w14:textId="77777777" w:rsidTr="00217C29">
        <w:trPr>
          <w:trHeight w:val="1200"/>
          <w:tblHeader/>
        </w:trPr>
        <w:tc>
          <w:tcPr>
            <w:tcW w:w="1795" w:type="dxa"/>
            <w:shd w:val="clear" w:color="auto" w:fill="007DB9"/>
            <w:noWrap/>
            <w:vAlign w:val="center"/>
            <w:hideMark/>
          </w:tcPr>
          <w:p w14:paraId="6312F8B3" w14:textId="77777777" w:rsidR="00684E89" w:rsidRPr="00A1701E" w:rsidRDefault="00684E89">
            <w:pPr>
              <w:keepNext/>
              <w:jc w:val="center"/>
              <w:rPr>
                <w:rFonts w:asciiTheme="minorHAnsi" w:hAnsiTheme="minorHAnsi" w:cstheme="minorHAnsi"/>
                <w:b/>
                <w:bCs/>
                <w:color w:val="FFFFFF"/>
                <w:sz w:val="18"/>
                <w:szCs w:val="18"/>
              </w:rPr>
            </w:pPr>
            <w:bookmarkStart w:id="11" w:name="RANGE!C5:L19"/>
            <w:bookmarkEnd w:id="10"/>
            <w:r w:rsidRPr="00A1701E">
              <w:rPr>
                <w:rFonts w:asciiTheme="minorHAnsi" w:hAnsiTheme="minorHAnsi" w:cstheme="minorHAnsi"/>
                <w:b/>
                <w:bCs/>
                <w:color w:val="FFFFFF"/>
                <w:sz w:val="18"/>
                <w:szCs w:val="18"/>
              </w:rPr>
              <w:t>Technology</w:t>
            </w:r>
            <w:bookmarkEnd w:id="11"/>
          </w:p>
        </w:tc>
        <w:tc>
          <w:tcPr>
            <w:tcW w:w="1080" w:type="dxa"/>
            <w:shd w:val="clear" w:color="auto" w:fill="007DB9"/>
            <w:vAlign w:val="center"/>
            <w:hideMark/>
          </w:tcPr>
          <w:p w14:paraId="69DBE742" w14:textId="77777777" w:rsidR="00684E89" w:rsidRPr="00A1701E" w:rsidRDefault="00684E89">
            <w:pPr>
              <w:keepNext/>
              <w:jc w:val="center"/>
              <w:rPr>
                <w:rFonts w:asciiTheme="minorHAnsi" w:hAnsiTheme="minorHAnsi" w:cstheme="minorHAnsi"/>
                <w:b/>
                <w:bCs/>
                <w:color w:val="FFFFFF"/>
                <w:sz w:val="18"/>
                <w:szCs w:val="18"/>
              </w:rPr>
            </w:pPr>
            <w:r w:rsidRPr="00A1701E">
              <w:rPr>
                <w:rFonts w:asciiTheme="minorHAnsi" w:hAnsiTheme="minorHAnsi" w:cstheme="minorHAnsi"/>
                <w:b/>
                <w:bCs/>
                <w:color w:val="FFFFFF"/>
                <w:sz w:val="18"/>
                <w:szCs w:val="18"/>
              </w:rPr>
              <w:t>Capacity Winter</w:t>
            </w:r>
            <w:r w:rsidRPr="00A1701E">
              <w:rPr>
                <w:rFonts w:asciiTheme="minorHAnsi" w:hAnsiTheme="minorHAnsi" w:cstheme="minorHAnsi"/>
                <w:b/>
                <w:bCs/>
                <w:color w:val="FFFFFF"/>
                <w:sz w:val="18"/>
                <w:szCs w:val="18"/>
              </w:rPr>
              <w:br/>
            </w:r>
            <w:r w:rsidRPr="00A1701E">
              <w:rPr>
                <w:rFonts w:asciiTheme="minorHAnsi" w:hAnsiTheme="minorHAnsi" w:cstheme="minorHAnsi"/>
                <w:color w:val="FFFFFF"/>
                <w:sz w:val="18"/>
                <w:szCs w:val="18"/>
              </w:rPr>
              <w:t>(MW)</w:t>
            </w:r>
          </w:p>
        </w:tc>
        <w:tc>
          <w:tcPr>
            <w:tcW w:w="1620" w:type="dxa"/>
            <w:shd w:val="clear" w:color="auto" w:fill="007DB9"/>
            <w:vAlign w:val="center"/>
            <w:hideMark/>
          </w:tcPr>
          <w:p w14:paraId="3443AEF6" w14:textId="77777777" w:rsidR="00684E89" w:rsidRPr="00A1701E" w:rsidRDefault="00684E89">
            <w:pPr>
              <w:keepNext/>
              <w:jc w:val="center"/>
              <w:rPr>
                <w:rFonts w:asciiTheme="minorHAnsi" w:hAnsiTheme="minorHAnsi" w:cstheme="minorHAnsi"/>
                <w:b/>
                <w:bCs/>
                <w:color w:val="FFFFFF"/>
                <w:sz w:val="18"/>
                <w:szCs w:val="18"/>
              </w:rPr>
            </w:pPr>
            <w:r w:rsidRPr="00A1701E">
              <w:rPr>
                <w:rFonts w:asciiTheme="minorHAnsi" w:hAnsiTheme="minorHAnsi" w:cstheme="minorHAnsi"/>
                <w:b/>
                <w:bCs/>
                <w:color w:val="FFFFFF"/>
                <w:sz w:val="18"/>
                <w:szCs w:val="18"/>
              </w:rPr>
              <w:t>ICE Factor</w:t>
            </w:r>
          </w:p>
        </w:tc>
        <w:tc>
          <w:tcPr>
            <w:tcW w:w="720" w:type="dxa"/>
            <w:shd w:val="clear" w:color="auto" w:fill="007DB9"/>
            <w:vAlign w:val="center"/>
            <w:hideMark/>
          </w:tcPr>
          <w:p w14:paraId="239BE0FF" w14:textId="77777777" w:rsidR="00684E89" w:rsidRPr="00A1701E" w:rsidRDefault="00684E89">
            <w:pPr>
              <w:keepNext/>
              <w:jc w:val="center"/>
              <w:rPr>
                <w:rFonts w:asciiTheme="minorHAnsi" w:hAnsiTheme="minorHAnsi" w:cstheme="minorHAnsi"/>
                <w:b/>
                <w:bCs/>
                <w:color w:val="FFFFFF"/>
                <w:sz w:val="18"/>
                <w:szCs w:val="18"/>
              </w:rPr>
            </w:pPr>
            <w:r w:rsidRPr="00A1701E">
              <w:rPr>
                <w:rFonts w:asciiTheme="minorHAnsi" w:hAnsiTheme="minorHAnsi" w:cstheme="minorHAnsi"/>
                <w:b/>
                <w:bCs/>
                <w:color w:val="FFFFFF"/>
                <w:sz w:val="18"/>
                <w:szCs w:val="18"/>
              </w:rPr>
              <w:t>Average Heat Rate</w:t>
            </w:r>
            <w:r w:rsidRPr="00A1701E">
              <w:rPr>
                <w:rFonts w:asciiTheme="minorHAnsi" w:hAnsiTheme="minorHAnsi" w:cstheme="minorHAnsi"/>
                <w:b/>
                <w:bCs/>
                <w:color w:val="FFFFFF"/>
                <w:sz w:val="18"/>
                <w:szCs w:val="18"/>
              </w:rPr>
              <w:br/>
            </w:r>
            <w:r w:rsidRPr="00A1701E">
              <w:rPr>
                <w:rFonts w:asciiTheme="minorHAnsi" w:hAnsiTheme="minorHAnsi" w:cstheme="minorHAnsi"/>
                <w:color w:val="FFFFFF"/>
                <w:sz w:val="18"/>
                <w:szCs w:val="18"/>
              </w:rPr>
              <w:t>(Btu/</w:t>
            </w:r>
            <w:r w:rsidRPr="00A1701E">
              <w:rPr>
                <w:rFonts w:asciiTheme="minorHAnsi" w:hAnsiTheme="minorHAnsi" w:cstheme="minorHAnsi"/>
                <w:color w:val="FFFFFF"/>
                <w:sz w:val="18"/>
                <w:szCs w:val="18"/>
              </w:rPr>
              <w:br/>
              <w:t>kWh)</w:t>
            </w:r>
          </w:p>
        </w:tc>
        <w:tc>
          <w:tcPr>
            <w:tcW w:w="810" w:type="dxa"/>
            <w:shd w:val="clear" w:color="auto" w:fill="007DB9"/>
            <w:vAlign w:val="center"/>
            <w:hideMark/>
          </w:tcPr>
          <w:p w14:paraId="2E135102" w14:textId="77777777" w:rsidR="00684E89" w:rsidRPr="00A1701E" w:rsidRDefault="00684E89">
            <w:pPr>
              <w:keepNext/>
              <w:jc w:val="center"/>
              <w:rPr>
                <w:rFonts w:asciiTheme="minorHAnsi" w:hAnsiTheme="minorHAnsi" w:cstheme="minorHAnsi"/>
                <w:b/>
                <w:bCs/>
                <w:color w:val="FFFFFF"/>
                <w:sz w:val="18"/>
                <w:szCs w:val="18"/>
              </w:rPr>
            </w:pPr>
            <w:r w:rsidRPr="00A1701E">
              <w:rPr>
                <w:rFonts w:asciiTheme="minorHAnsi" w:hAnsiTheme="minorHAnsi" w:cstheme="minorHAnsi"/>
                <w:b/>
                <w:bCs/>
                <w:color w:val="FFFFFF"/>
                <w:sz w:val="18"/>
                <w:szCs w:val="18"/>
              </w:rPr>
              <w:t>Round Trip Efficiency</w:t>
            </w:r>
          </w:p>
        </w:tc>
        <w:tc>
          <w:tcPr>
            <w:tcW w:w="720" w:type="dxa"/>
            <w:shd w:val="clear" w:color="auto" w:fill="007DB9"/>
            <w:vAlign w:val="center"/>
            <w:hideMark/>
          </w:tcPr>
          <w:p w14:paraId="3617804F" w14:textId="77777777" w:rsidR="00684E89" w:rsidRPr="00A1701E" w:rsidRDefault="00684E89">
            <w:pPr>
              <w:keepNext/>
              <w:jc w:val="center"/>
              <w:rPr>
                <w:rFonts w:asciiTheme="minorHAnsi" w:hAnsiTheme="minorHAnsi" w:cstheme="minorHAnsi"/>
                <w:b/>
                <w:bCs/>
                <w:color w:val="FFFFFF"/>
                <w:sz w:val="18"/>
                <w:szCs w:val="18"/>
              </w:rPr>
            </w:pPr>
            <w:r w:rsidRPr="00A1701E">
              <w:rPr>
                <w:rFonts w:asciiTheme="minorHAnsi" w:hAnsiTheme="minorHAnsi" w:cstheme="minorHAnsi"/>
                <w:b/>
                <w:bCs/>
                <w:color w:val="FFFFFF"/>
                <w:sz w:val="18"/>
                <w:szCs w:val="18"/>
              </w:rPr>
              <w:t>Fixed Capacity Factor</w:t>
            </w:r>
          </w:p>
        </w:tc>
        <w:tc>
          <w:tcPr>
            <w:tcW w:w="900" w:type="dxa"/>
            <w:shd w:val="clear" w:color="auto" w:fill="007DB9"/>
            <w:vAlign w:val="center"/>
            <w:hideMark/>
          </w:tcPr>
          <w:p w14:paraId="3EA23496" w14:textId="77777777" w:rsidR="00684E89" w:rsidRPr="00A1701E" w:rsidRDefault="00684E89">
            <w:pPr>
              <w:keepNext/>
              <w:jc w:val="center"/>
              <w:rPr>
                <w:rFonts w:asciiTheme="minorHAnsi" w:hAnsiTheme="minorHAnsi" w:cstheme="minorHAnsi"/>
                <w:b/>
                <w:bCs/>
                <w:color w:val="FFFFFF"/>
                <w:sz w:val="18"/>
                <w:szCs w:val="18"/>
              </w:rPr>
            </w:pPr>
            <w:r w:rsidRPr="00A1701E">
              <w:rPr>
                <w:rFonts w:asciiTheme="minorHAnsi" w:hAnsiTheme="minorHAnsi" w:cstheme="minorHAnsi"/>
                <w:b/>
                <w:bCs/>
                <w:color w:val="FFFFFF"/>
                <w:sz w:val="18"/>
                <w:szCs w:val="18"/>
              </w:rPr>
              <w:t>Overnight Cost</w:t>
            </w:r>
            <w:r w:rsidRPr="00A1701E">
              <w:rPr>
                <w:rFonts w:asciiTheme="minorHAnsi" w:hAnsiTheme="minorHAnsi" w:cstheme="minorHAnsi"/>
                <w:b/>
                <w:bCs/>
                <w:color w:val="FFFFFF"/>
                <w:sz w:val="18"/>
                <w:szCs w:val="18"/>
              </w:rPr>
              <w:br/>
            </w:r>
            <w:r w:rsidRPr="00A1701E">
              <w:rPr>
                <w:rFonts w:asciiTheme="minorHAnsi" w:hAnsiTheme="minorHAnsi" w:cstheme="minorHAnsi"/>
                <w:color w:val="FFFFFF"/>
                <w:sz w:val="18"/>
                <w:szCs w:val="18"/>
              </w:rPr>
              <w:t>(2023$/</w:t>
            </w:r>
            <w:r w:rsidRPr="00A1701E">
              <w:rPr>
                <w:rFonts w:asciiTheme="minorHAnsi" w:hAnsiTheme="minorHAnsi" w:cstheme="minorHAnsi"/>
                <w:color w:val="FFFFFF"/>
                <w:sz w:val="18"/>
                <w:szCs w:val="18"/>
              </w:rPr>
              <w:br/>
              <w:t>kW)</w:t>
            </w:r>
          </w:p>
        </w:tc>
        <w:tc>
          <w:tcPr>
            <w:tcW w:w="810" w:type="dxa"/>
            <w:shd w:val="clear" w:color="auto" w:fill="007DB9"/>
            <w:vAlign w:val="center"/>
            <w:hideMark/>
          </w:tcPr>
          <w:p w14:paraId="6FC828D2" w14:textId="77777777" w:rsidR="00684E89" w:rsidRPr="00A1701E" w:rsidRDefault="00684E89">
            <w:pPr>
              <w:keepNext/>
              <w:jc w:val="center"/>
              <w:rPr>
                <w:rFonts w:asciiTheme="minorHAnsi" w:hAnsiTheme="minorHAnsi" w:cstheme="minorHAnsi"/>
                <w:b/>
                <w:bCs/>
                <w:color w:val="FFFFFF"/>
                <w:sz w:val="18"/>
                <w:szCs w:val="18"/>
              </w:rPr>
            </w:pPr>
            <w:r w:rsidRPr="00A1701E">
              <w:rPr>
                <w:rFonts w:asciiTheme="minorHAnsi" w:hAnsiTheme="minorHAnsi" w:cstheme="minorHAnsi"/>
                <w:b/>
                <w:bCs/>
                <w:color w:val="FFFFFF"/>
                <w:sz w:val="18"/>
                <w:szCs w:val="18"/>
              </w:rPr>
              <w:t>Recurring Fixed Cost</w:t>
            </w:r>
            <w:r w:rsidRPr="00A1701E">
              <w:rPr>
                <w:rStyle w:val="FootnoteReference"/>
                <w:rFonts w:asciiTheme="minorHAnsi" w:hAnsiTheme="minorHAnsi" w:cstheme="minorHAnsi"/>
                <w:b/>
                <w:bCs/>
                <w:color w:val="FFFFFF"/>
                <w:sz w:val="18"/>
                <w:szCs w:val="18"/>
              </w:rPr>
              <w:footnoteReference w:id="3"/>
            </w:r>
            <w:r w:rsidRPr="00A1701E">
              <w:rPr>
                <w:rFonts w:asciiTheme="minorHAnsi" w:hAnsiTheme="minorHAnsi" w:cstheme="minorHAnsi"/>
                <w:b/>
                <w:bCs/>
                <w:color w:val="FFFFFF"/>
                <w:sz w:val="18"/>
                <w:szCs w:val="18"/>
              </w:rPr>
              <w:br/>
            </w:r>
            <w:r w:rsidRPr="00A1701E">
              <w:rPr>
                <w:rFonts w:asciiTheme="minorHAnsi" w:hAnsiTheme="minorHAnsi" w:cstheme="minorHAnsi"/>
                <w:color w:val="FFFFFF"/>
                <w:sz w:val="18"/>
                <w:szCs w:val="18"/>
              </w:rPr>
              <w:t>(2023$/</w:t>
            </w:r>
            <w:r w:rsidRPr="00A1701E">
              <w:rPr>
                <w:rFonts w:asciiTheme="minorHAnsi" w:hAnsiTheme="minorHAnsi" w:cstheme="minorHAnsi"/>
                <w:color w:val="FFFFFF"/>
                <w:sz w:val="18"/>
                <w:szCs w:val="18"/>
              </w:rPr>
              <w:br/>
              <w:t>kW-</w:t>
            </w:r>
            <w:proofErr w:type="spellStart"/>
            <w:r w:rsidRPr="00A1701E">
              <w:rPr>
                <w:rFonts w:asciiTheme="minorHAnsi" w:hAnsiTheme="minorHAnsi" w:cstheme="minorHAnsi"/>
                <w:color w:val="FFFFFF"/>
                <w:sz w:val="18"/>
                <w:szCs w:val="18"/>
              </w:rPr>
              <w:t>yr</w:t>
            </w:r>
            <w:proofErr w:type="spellEnd"/>
            <w:r w:rsidRPr="00A1701E">
              <w:rPr>
                <w:rFonts w:asciiTheme="minorHAnsi" w:hAnsiTheme="minorHAnsi" w:cstheme="minorHAnsi"/>
                <w:color w:val="FFFFFF"/>
                <w:sz w:val="18"/>
                <w:szCs w:val="18"/>
              </w:rPr>
              <w:t>)</w:t>
            </w:r>
          </w:p>
        </w:tc>
        <w:tc>
          <w:tcPr>
            <w:tcW w:w="770" w:type="dxa"/>
            <w:shd w:val="clear" w:color="auto" w:fill="007DB9"/>
            <w:vAlign w:val="center"/>
            <w:hideMark/>
          </w:tcPr>
          <w:p w14:paraId="6CD2E152" w14:textId="77777777" w:rsidR="00684E89" w:rsidRPr="00A1701E" w:rsidRDefault="00684E89">
            <w:pPr>
              <w:keepNext/>
              <w:jc w:val="center"/>
              <w:rPr>
                <w:rFonts w:asciiTheme="minorHAnsi" w:hAnsiTheme="minorHAnsi" w:cstheme="minorHAnsi"/>
                <w:b/>
                <w:bCs/>
                <w:color w:val="FFFFFF"/>
                <w:sz w:val="18"/>
                <w:szCs w:val="18"/>
              </w:rPr>
            </w:pPr>
            <w:r w:rsidRPr="00A1701E">
              <w:rPr>
                <w:rFonts w:asciiTheme="minorHAnsi" w:hAnsiTheme="minorHAnsi" w:cstheme="minorHAnsi"/>
                <w:b/>
                <w:bCs/>
                <w:color w:val="FFFFFF"/>
                <w:sz w:val="18"/>
                <w:szCs w:val="18"/>
              </w:rPr>
              <w:t>Variable O&amp;M</w:t>
            </w:r>
            <w:r w:rsidRPr="00A1701E">
              <w:rPr>
                <w:rFonts w:asciiTheme="minorHAnsi" w:hAnsiTheme="minorHAnsi" w:cstheme="minorHAnsi"/>
                <w:b/>
                <w:bCs/>
                <w:color w:val="FFFFFF"/>
                <w:sz w:val="18"/>
                <w:szCs w:val="18"/>
              </w:rPr>
              <w:br/>
            </w:r>
            <w:r w:rsidRPr="00A1701E">
              <w:rPr>
                <w:rFonts w:asciiTheme="minorHAnsi" w:hAnsiTheme="minorHAnsi" w:cstheme="minorHAnsi"/>
                <w:color w:val="FFFFFF"/>
                <w:sz w:val="18"/>
                <w:szCs w:val="18"/>
              </w:rPr>
              <w:t>($/MWh)</w:t>
            </w:r>
          </w:p>
        </w:tc>
        <w:tc>
          <w:tcPr>
            <w:tcW w:w="526" w:type="dxa"/>
            <w:shd w:val="clear" w:color="auto" w:fill="007DB9"/>
            <w:vAlign w:val="center"/>
            <w:hideMark/>
          </w:tcPr>
          <w:p w14:paraId="711AE951" w14:textId="77777777" w:rsidR="00684E89" w:rsidRPr="00A1701E" w:rsidRDefault="00684E89">
            <w:pPr>
              <w:keepNext/>
              <w:jc w:val="center"/>
              <w:rPr>
                <w:rFonts w:asciiTheme="minorHAnsi" w:hAnsiTheme="minorHAnsi" w:cstheme="minorHAnsi"/>
                <w:b/>
                <w:bCs/>
                <w:color w:val="FFFFFF"/>
                <w:sz w:val="18"/>
                <w:szCs w:val="18"/>
              </w:rPr>
            </w:pPr>
            <w:r w:rsidRPr="00A1701E">
              <w:rPr>
                <w:rFonts w:asciiTheme="minorHAnsi" w:hAnsiTheme="minorHAnsi" w:cstheme="minorHAnsi"/>
                <w:b/>
                <w:bCs/>
                <w:color w:val="FFFFFF"/>
                <w:sz w:val="18"/>
                <w:szCs w:val="18"/>
              </w:rPr>
              <w:t>Asset Life</w:t>
            </w:r>
            <w:r w:rsidRPr="00A1701E">
              <w:rPr>
                <w:rFonts w:asciiTheme="minorHAnsi" w:hAnsiTheme="minorHAnsi" w:cstheme="minorHAnsi"/>
                <w:b/>
                <w:bCs/>
                <w:color w:val="FFFFFF"/>
                <w:sz w:val="18"/>
                <w:szCs w:val="18"/>
              </w:rPr>
              <w:br/>
            </w:r>
            <w:r w:rsidRPr="00A1701E">
              <w:rPr>
                <w:rFonts w:asciiTheme="minorHAnsi" w:hAnsiTheme="minorHAnsi" w:cstheme="minorHAnsi"/>
                <w:color w:val="FFFFFF"/>
                <w:sz w:val="18"/>
                <w:szCs w:val="18"/>
              </w:rPr>
              <w:t>(</w:t>
            </w:r>
            <w:proofErr w:type="spellStart"/>
            <w:r w:rsidRPr="00A1701E">
              <w:rPr>
                <w:rFonts w:asciiTheme="minorHAnsi" w:hAnsiTheme="minorHAnsi" w:cstheme="minorHAnsi"/>
                <w:color w:val="FFFFFF"/>
                <w:sz w:val="18"/>
                <w:szCs w:val="18"/>
              </w:rPr>
              <w:t>Yrs</w:t>
            </w:r>
            <w:proofErr w:type="spellEnd"/>
            <w:r w:rsidRPr="00A1701E">
              <w:rPr>
                <w:rFonts w:asciiTheme="minorHAnsi" w:hAnsiTheme="minorHAnsi" w:cstheme="minorHAnsi"/>
                <w:color w:val="FFFFFF"/>
                <w:sz w:val="18"/>
                <w:szCs w:val="18"/>
              </w:rPr>
              <w:t>)</w:t>
            </w:r>
          </w:p>
        </w:tc>
      </w:tr>
      <w:tr w:rsidR="00AB4A29" w:rsidRPr="002F5ED6" w14:paraId="10B20FA8" w14:textId="77777777" w:rsidTr="00217C29">
        <w:trPr>
          <w:trHeight w:val="276"/>
        </w:trPr>
        <w:tc>
          <w:tcPr>
            <w:tcW w:w="1795" w:type="dxa"/>
            <w:shd w:val="clear" w:color="auto" w:fill="auto"/>
            <w:vAlign w:val="center"/>
            <w:hideMark/>
          </w:tcPr>
          <w:p w14:paraId="30CFA38C" w14:textId="77777777" w:rsidR="00AB4A29" w:rsidRPr="00A1701E" w:rsidRDefault="00AB4A29" w:rsidP="00AB4A29">
            <w:pPr>
              <w:keepNext/>
              <w:jc w:val="left"/>
              <w:rPr>
                <w:rFonts w:asciiTheme="minorHAnsi" w:hAnsiTheme="minorHAnsi" w:cstheme="minorHAnsi"/>
                <w:color w:val="4D4D4D"/>
                <w:sz w:val="18"/>
                <w:szCs w:val="18"/>
              </w:rPr>
            </w:pPr>
            <w:r w:rsidRPr="00A1701E">
              <w:rPr>
                <w:rFonts w:asciiTheme="minorHAnsi" w:hAnsiTheme="minorHAnsi" w:cstheme="minorHAnsi"/>
                <w:color w:val="4D4D4D"/>
                <w:sz w:val="18"/>
                <w:szCs w:val="18"/>
              </w:rPr>
              <w:t>Combined Cycle (CC)</w:t>
            </w:r>
          </w:p>
        </w:tc>
        <w:tc>
          <w:tcPr>
            <w:tcW w:w="1080" w:type="dxa"/>
            <w:shd w:val="clear" w:color="auto" w:fill="auto"/>
            <w:noWrap/>
            <w:vAlign w:val="center"/>
            <w:hideMark/>
          </w:tcPr>
          <w:p w14:paraId="28C20807" w14:textId="217FC267" w:rsidR="00AB4A29" w:rsidRPr="00A614E9" w:rsidRDefault="00AB4A29" w:rsidP="00AB4A29">
            <w:pPr>
              <w:keepNext/>
              <w:jc w:val="center"/>
              <w:rPr>
                <w:rFonts w:asciiTheme="minorHAnsi" w:hAnsiTheme="minorHAnsi" w:cstheme="minorHAnsi"/>
                <w:b/>
                <w:bCs/>
                <w:color w:val="4D4D4D"/>
                <w:sz w:val="18"/>
                <w:szCs w:val="18"/>
                <w:highlight w:val="yellow"/>
              </w:rPr>
            </w:pPr>
            <w:r w:rsidRPr="00702ACD">
              <w:rPr>
                <w:rFonts w:asciiTheme="minorHAnsi" w:hAnsiTheme="minorHAnsi" w:cstheme="minorHAnsi"/>
                <w:b/>
                <w:bCs/>
                <w:sz w:val="18"/>
                <w:szCs w:val="18"/>
              </w:rPr>
              <w:t>REDACTED</w:t>
            </w:r>
          </w:p>
        </w:tc>
        <w:tc>
          <w:tcPr>
            <w:tcW w:w="1620" w:type="dxa"/>
            <w:shd w:val="clear" w:color="auto" w:fill="auto"/>
            <w:noWrap/>
            <w:vAlign w:val="center"/>
            <w:hideMark/>
          </w:tcPr>
          <w:p w14:paraId="36BACA09" w14:textId="22CBBB53" w:rsidR="00AB4A29" w:rsidRPr="00A1701E" w:rsidRDefault="00AB4A29" w:rsidP="00AB4A29">
            <w:pPr>
              <w:keepNext/>
              <w:jc w:val="center"/>
              <w:rPr>
                <w:rFonts w:asciiTheme="minorHAnsi" w:hAnsiTheme="minorHAnsi" w:cstheme="minorHAnsi"/>
                <w:color w:val="4D4D4D"/>
                <w:sz w:val="18"/>
                <w:szCs w:val="18"/>
                <w:highlight w:val="yellow"/>
              </w:rPr>
            </w:pPr>
            <w:r w:rsidRPr="00702ACD">
              <w:rPr>
                <w:rFonts w:asciiTheme="minorHAnsi" w:hAnsiTheme="minorHAnsi" w:cstheme="minorHAnsi"/>
                <w:b/>
                <w:bCs/>
                <w:sz w:val="18"/>
                <w:szCs w:val="18"/>
              </w:rPr>
              <w:t>REDACTED</w:t>
            </w:r>
          </w:p>
        </w:tc>
        <w:tc>
          <w:tcPr>
            <w:tcW w:w="720" w:type="dxa"/>
            <w:shd w:val="clear" w:color="auto" w:fill="auto"/>
            <w:noWrap/>
            <w:vAlign w:val="center"/>
            <w:hideMark/>
          </w:tcPr>
          <w:p w14:paraId="36E59EC6" w14:textId="2BA279D1" w:rsidR="00AB4A29" w:rsidRPr="00CD012B" w:rsidRDefault="00AB4A29" w:rsidP="00AB4A29">
            <w:pPr>
              <w:keepNext/>
              <w:jc w:val="center"/>
              <w:rPr>
                <w:rFonts w:asciiTheme="minorHAnsi" w:hAnsiTheme="minorHAnsi" w:cstheme="minorHAnsi"/>
                <w:b/>
                <w:bCs/>
                <w:color w:val="4D4D4D"/>
                <w:sz w:val="18"/>
                <w:szCs w:val="18"/>
                <w:highlight w:val="yellow"/>
              </w:rPr>
            </w:pPr>
            <w:r w:rsidRPr="00CD012B">
              <w:rPr>
                <w:rFonts w:asciiTheme="minorHAnsi" w:hAnsiTheme="minorHAnsi" w:cstheme="minorHAnsi"/>
                <w:b/>
                <w:bCs/>
                <w:sz w:val="14"/>
                <w:szCs w:val="14"/>
              </w:rPr>
              <w:t>REDACTED</w:t>
            </w:r>
          </w:p>
        </w:tc>
        <w:tc>
          <w:tcPr>
            <w:tcW w:w="810" w:type="dxa"/>
            <w:shd w:val="clear" w:color="auto" w:fill="DBDBDB"/>
            <w:noWrap/>
            <w:vAlign w:val="center"/>
            <w:hideMark/>
          </w:tcPr>
          <w:p w14:paraId="2208F42A" w14:textId="4BB9650A" w:rsidR="00AB4A29" w:rsidRPr="00A1701E" w:rsidRDefault="00AB4A29" w:rsidP="00AB4A29">
            <w:pPr>
              <w:keepNext/>
              <w:jc w:val="center"/>
              <w:rPr>
                <w:rFonts w:asciiTheme="minorHAnsi" w:hAnsiTheme="minorHAnsi" w:cstheme="minorHAnsi"/>
                <w:color w:val="4D4D4D"/>
                <w:sz w:val="18"/>
                <w:szCs w:val="18"/>
              </w:rPr>
            </w:pPr>
          </w:p>
        </w:tc>
        <w:tc>
          <w:tcPr>
            <w:tcW w:w="720" w:type="dxa"/>
            <w:shd w:val="clear" w:color="auto" w:fill="DBDBDB"/>
            <w:noWrap/>
            <w:vAlign w:val="center"/>
            <w:hideMark/>
          </w:tcPr>
          <w:p w14:paraId="4C8BA7C1" w14:textId="22661A0F" w:rsidR="00AB4A29" w:rsidRPr="00A1701E" w:rsidRDefault="00AB4A29" w:rsidP="00AB4A29">
            <w:pPr>
              <w:keepNext/>
              <w:jc w:val="center"/>
              <w:rPr>
                <w:rFonts w:asciiTheme="minorHAnsi" w:hAnsiTheme="minorHAnsi" w:cstheme="minorHAnsi"/>
                <w:color w:val="4D4D4D"/>
                <w:sz w:val="18"/>
                <w:szCs w:val="18"/>
              </w:rPr>
            </w:pPr>
          </w:p>
        </w:tc>
        <w:tc>
          <w:tcPr>
            <w:tcW w:w="900" w:type="dxa"/>
            <w:shd w:val="clear" w:color="auto" w:fill="auto"/>
            <w:noWrap/>
            <w:vAlign w:val="center"/>
            <w:hideMark/>
          </w:tcPr>
          <w:p w14:paraId="24AF6F4E" w14:textId="7D77D070" w:rsidR="00AB4A29" w:rsidRPr="009749AC" w:rsidRDefault="00AB4A29" w:rsidP="00AB4A29">
            <w:pPr>
              <w:keepNext/>
              <w:jc w:val="center"/>
              <w:rPr>
                <w:rFonts w:asciiTheme="minorHAnsi" w:hAnsiTheme="minorHAnsi" w:cstheme="minorHAnsi"/>
                <w:b/>
                <w:bCs/>
                <w:color w:val="4D4D4D"/>
                <w:sz w:val="18"/>
                <w:szCs w:val="18"/>
                <w:highlight w:val="yellow"/>
              </w:rPr>
            </w:pPr>
            <w:r w:rsidRPr="00BF543E">
              <w:rPr>
                <w:rFonts w:asciiTheme="minorHAnsi" w:hAnsiTheme="minorHAnsi" w:cstheme="minorHAnsi"/>
                <w:b/>
                <w:bCs/>
                <w:color w:val="4D4D4D"/>
                <w:sz w:val="18"/>
                <w:szCs w:val="18"/>
              </w:rPr>
              <w:t>REDACTED</w:t>
            </w:r>
          </w:p>
        </w:tc>
        <w:tc>
          <w:tcPr>
            <w:tcW w:w="810" w:type="dxa"/>
            <w:shd w:val="clear" w:color="auto" w:fill="auto"/>
            <w:noWrap/>
            <w:vAlign w:val="center"/>
            <w:hideMark/>
          </w:tcPr>
          <w:p w14:paraId="794DD528" w14:textId="3BF6D32D" w:rsidR="00AB4A29" w:rsidRPr="00AB4A29" w:rsidRDefault="00AB4A29" w:rsidP="00AB4A29">
            <w:pPr>
              <w:keepNext/>
              <w:jc w:val="center"/>
              <w:rPr>
                <w:rFonts w:asciiTheme="minorHAnsi" w:hAnsiTheme="minorHAnsi" w:cstheme="minorHAnsi"/>
                <w:b/>
                <w:bCs/>
                <w:color w:val="4D4D4D"/>
                <w:sz w:val="18"/>
                <w:szCs w:val="18"/>
                <w:highlight w:val="yellow"/>
              </w:rPr>
            </w:pPr>
            <w:r w:rsidRPr="00AB4A29">
              <w:rPr>
                <w:rFonts w:asciiTheme="minorHAnsi" w:hAnsiTheme="minorHAnsi" w:cstheme="minorHAnsi"/>
                <w:b/>
                <w:bCs/>
                <w:sz w:val="16"/>
                <w:szCs w:val="16"/>
              </w:rPr>
              <w:t>REDACTED</w:t>
            </w:r>
          </w:p>
        </w:tc>
        <w:tc>
          <w:tcPr>
            <w:tcW w:w="770" w:type="dxa"/>
            <w:shd w:val="clear" w:color="auto" w:fill="auto"/>
            <w:noWrap/>
            <w:vAlign w:val="center"/>
            <w:hideMark/>
          </w:tcPr>
          <w:p w14:paraId="39F746DC" w14:textId="67C41D1A" w:rsidR="00AB4A29" w:rsidRPr="00AB4A29" w:rsidRDefault="00AB4A29" w:rsidP="00AB4A29">
            <w:pPr>
              <w:keepNext/>
              <w:jc w:val="center"/>
              <w:rPr>
                <w:rFonts w:asciiTheme="minorHAnsi" w:hAnsiTheme="minorHAnsi" w:cstheme="minorHAnsi"/>
                <w:b/>
                <w:bCs/>
                <w:color w:val="4D4D4D"/>
                <w:sz w:val="18"/>
                <w:szCs w:val="18"/>
                <w:highlight w:val="yellow"/>
              </w:rPr>
            </w:pPr>
            <w:r w:rsidRPr="00AB4A29">
              <w:rPr>
                <w:rFonts w:asciiTheme="minorHAnsi" w:hAnsiTheme="minorHAnsi" w:cstheme="minorHAnsi"/>
                <w:b/>
                <w:bCs/>
                <w:sz w:val="16"/>
                <w:szCs w:val="16"/>
              </w:rPr>
              <w:t>REDACTED</w:t>
            </w:r>
          </w:p>
        </w:tc>
        <w:tc>
          <w:tcPr>
            <w:tcW w:w="526" w:type="dxa"/>
            <w:shd w:val="clear" w:color="auto" w:fill="auto"/>
            <w:noWrap/>
            <w:vAlign w:val="center"/>
            <w:hideMark/>
          </w:tcPr>
          <w:p w14:paraId="5E662BFA" w14:textId="33F9C8AB" w:rsidR="00AB4A29" w:rsidRPr="00AB4A29" w:rsidRDefault="00AB4A29" w:rsidP="00AB4A29">
            <w:pPr>
              <w:keepNext/>
              <w:jc w:val="center"/>
              <w:rPr>
                <w:rFonts w:asciiTheme="minorHAnsi" w:hAnsiTheme="minorHAnsi" w:cstheme="minorHAnsi"/>
                <w:color w:val="4D4D4D"/>
                <w:sz w:val="10"/>
                <w:szCs w:val="10"/>
                <w:highlight w:val="yellow"/>
              </w:rPr>
            </w:pPr>
            <w:r w:rsidRPr="00AB4A29">
              <w:rPr>
                <w:rFonts w:asciiTheme="minorHAnsi" w:hAnsiTheme="minorHAnsi" w:cstheme="minorHAnsi"/>
                <w:b/>
                <w:bCs/>
                <w:sz w:val="10"/>
                <w:szCs w:val="10"/>
              </w:rPr>
              <w:t>REDACTED</w:t>
            </w:r>
          </w:p>
        </w:tc>
      </w:tr>
      <w:tr w:rsidR="00AB4A29" w:rsidRPr="002F5ED6" w14:paraId="5E17B432" w14:textId="77777777" w:rsidTr="00217C29">
        <w:trPr>
          <w:trHeight w:val="816"/>
        </w:trPr>
        <w:tc>
          <w:tcPr>
            <w:tcW w:w="1795" w:type="dxa"/>
            <w:shd w:val="clear" w:color="auto" w:fill="auto"/>
            <w:vAlign w:val="center"/>
            <w:hideMark/>
          </w:tcPr>
          <w:p w14:paraId="1A0F60D9" w14:textId="7EBF3FF9" w:rsidR="00AB4A29" w:rsidRPr="00A1701E" w:rsidRDefault="00AB4A29" w:rsidP="00AB4A29">
            <w:pPr>
              <w:keepNext/>
              <w:jc w:val="left"/>
              <w:rPr>
                <w:rFonts w:asciiTheme="minorHAnsi" w:hAnsiTheme="minorHAnsi" w:cstheme="minorHAnsi"/>
                <w:color w:val="4D4D4D"/>
                <w:sz w:val="18"/>
                <w:szCs w:val="18"/>
              </w:rPr>
            </w:pPr>
            <w:r w:rsidRPr="00A1701E">
              <w:rPr>
                <w:rFonts w:asciiTheme="minorHAnsi" w:hAnsiTheme="minorHAnsi" w:cstheme="minorHAnsi"/>
                <w:color w:val="4D4D4D"/>
                <w:sz w:val="18"/>
                <w:szCs w:val="18"/>
              </w:rPr>
              <w:t>Combined Cycle with Carbon Capture &amp; Storage (CC w CCS)</w:t>
            </w:r>
          </w:p>
        </w:tc>
        <w:tc>
          <w:tcPr>
            <w:tcW w:w="1080" w:type="dxa"/>
            <w:shd w:val="clear" w:color="auto" w:fill="auto"/>
            <w:noWrap/>
            <w:vAlign w:val="center"/>
            <w:hideMark/>
          </w:tcPr>
          <w:p w14:paraId="5B031CE1" w14:textId="7FF123DE" w:rsidR="00AB4A29" w:rsidRPr="00A1701E" w:rsidRDefault="00AB4A29" w:rsidP="00AB4A29">
            <w:pPr>
              <w:keepNext/>
              <w:jc w:val="center"/>
              <w:rPr>
                <w:rFonts w:asciiTheme="minorHAnsi" w:hAnsiTheme="minorHAnsi" w:cstheme="minorHAnsi"/>
                <w:color w:val="4D4D4D"/>
                <w:sz w:val="18"/>
                <w:szCs w:val="18"/>
                <w:highlight w:val="yellow"/>
              </w:rPr>
            </w:pPr>
            <w:r w:rsidRPr="00702ACD">
              <w:rPr>
                <w:rFonts w:asciiTheme="minorHAnsi" w:hAnsiTheme="minorHAnsi" w:cstheme="minorHAnsi"/>
                <w:b/>
                <w:bCs/>
                <w:sz w:val="18"/>
                <w:szCs w:val="18"/>
              </w:rPr>
              <w:t>REDACTED</w:t>
            </w:r>
          </w:p>
        </w:tc>
        <w:tc>
          <w:tcPr>
            <w:tcW w:w="1620" w:type="dxa"/>
            <w:shd w:val="clear" w:color="auto" w:fill="auto"/>
            <w:noWrap/>
            <w:vAlign w:val="center"/>
            <w:hideMark/>
          </w:tcPr>
          <w:p w14:paraId="2177B87C" w14:textId="6F15E0CE" w:rsidR="00AB4A29" w:rsidRPr="00A1701E" w:rsidRDefault="00AB4A29" w:rsidP="00AB4A29">
            <w:pPr>
              <w:keepNext/>
              <w:jc w:val="center"/>
              <w:rPr>
                <w:rFonts w:asciiTheme="minorHAnsi" w:hAnsiTheme="minorHAnsi" w:cstheme="minorHAnsi"/>
                <w:color w:val="4D4D4D"/>
                <w:sz w:val="18"/>
                <w:szCs w:val="18"/>
                <w:highlight w:val="yellow"/>
              </w:rPr>
            </w:pPr>
            <w:r w:rsidRPr="00702ACD">
              <w:rPr>
                <w:rFonts w:asciiTheme="minorHAnsi" w:hAnsiTheme="minorHAnsi" w:cstheme="minorHAnsi"/>
                <w:b/>
                <w:bCs/>
                <w:sz w:val="18"/>
                <w:szCs w:val="18"/>
              </w:rPr>
              <w:t>REDACTED</w:t>
            </w:r>
          </w:p>
        </w:tc>
        <w:tc>
          <w:tcPr>
            <w:tcW w:w="720" w:type="dxa"/>
            <w:shd w:val="clear" w:color="auto" w:fill="auto"/>
            <w:noWrap/>
            <w:vAlign w:val="center"/>
            <w:hideMark/>
          </w:tcPr>
          <w:p w14:paraId="08ED313C" w14:textId="027B738A" w:rsidR="00AB4A29" w:rsidRPr="00A1701E" w:rsidRDefault="00AB4A29" w:rsidP="00AB4A29">
            <w:pPr>
              <w:keepNext/>
              <w:jc w:val="center"/>
              <w:rPr>
                <w:rFonts w:asciiTheme="minorHAnsi" w:hAnsiTheme="minorHAnsi" w:cstheme="minorHAnsi"/>
                <w:color w:val="4D4D4D"/>
                <w:sz w:val="18"/>
                <w:szCs w:val="18"/>
                <w:highlight w:val="yellow"/>
              </w:rPr>
            </w:pPr>
            <w:r w:rsidRPr="00CD012B">
              <w:rPr>
                <w:rFonts w:asciiTheme="minorHAnsi" w:hAnsiTheme="minorHAnsi" w:cstheme="minorHAnsi"/>
                <w:b/>
                <w:bCs/>
                <w:sz w:val="14"/>
                <w:szCs w:val="14"/>
              </w:rPr>
              <w:t>REDACTED</w:t>
            </w:r>
          </w:p>
        </w:tc>
        <w:tc>
          <w:tcPr>
            <w:tcW w:w="810" w:type="dxa"/>
            <w:shd w:val="clear" w:color="auto" w:fill="DBDBDB"/>
            <w:noWrap/>
            <w:vAlign w:val="center"/>
            <w:hideMark/>
          </w:tcPr>
          <w:p w14:paraId="0E868984" w14:textId="36162224" w:rsidR="00AB4A29" w:rsidRPr="00A1701E" w:rsidRDefault="00AB4A29" w:rsidP="00AB4A29">
            <w:pPr>
              <w:keepNext/>
              <w:jc w:val="center"/>
              <w:rPr>
                <w:rFonts w:asciiTheme="minorHAnsi" w:hAnsiTheme="minorHAnsi" w:cstheme="minorHAnsi"/>
                <w:color w:val="4D4D4D"/>
                <w:sz w:val="18"/>
                <w:szCs w:val="18"/>
              </w:rPr>
            </w:pPr>
          </w:p>
        </w:tc>
        <w:tc>
          <w:tcPr>
            <w:tcW w:w="720" w:type="dxa"/>
            <w:shd w:val="clear" w:color="auto" w:fill="DBDBDB"/>
            <w:noWrap/>
            <w:vAlign w:val="center"/>
            <w:hideMark/>
          </w:tcPr>
          <w:p w14:paraId="5A5641B4" w14:textId="0A28873D" w:rsidR="00AB4A29" w:rsidRPr="00A1701E" w:rsidRDefault="00AB4A29" w:rsidP="00AB4A29">
            <w:pPr>
              <w:keepNext/>
              <w:jc w:val="center"/>
              <w:rPr>
                <w:rFonts w:asciiTheme="minorHAnsi" w:hAnsiTheme="minorHAnsi" w:cstheme="minorHAnsi"/>
                <w:color w:val="4D4D4D"/>
                <w:sz w:val="18"/>
                <w:szCs w:val="18"/>
              </w:rPr>
            </w:pPr>
          </w:p>
        </w:tc>
        <w:tc>
          <w:tcPr>
            <w:tcW w:w="900" w:type="dxa"/>
            <w:shd w:val="clear" w:color="auto" w:fill="auto"/>
            <w:noWrap/>
            <w:vAlign w:val="center"/>
            <w:hideMark/>
          </w:tcPr>
          <w:p w14:paraId="3A236B6F" w14:textId="08A370F5" w:rsidR="00AB4A29" w:rsidRPr="00A1701E" w:rsidRDefault="00AB4A29" w:rsidP="00AB4A29">
            <w:pPr>
              <w:keepNext/>
              <w:jc w:val="center"/>
              <w:rPr>
                <w:rFonts w:asciiTheme="minorHAnsi" w:hAnsiTheme="minorHAnsi" w:cstheme="minorHAnsi"/>
                <w:color w:val="4D4D4D"/>
                <w:sz w:val="18"/>
                <w:szCs w:val="18"/>
                <w:highlight w:val="yellow"/>
              </w:rPr>
            </w:pPr>
            <w:r w:rsidRPr="00BF543E">
              <w:rPr>
                <w:rFonts w:asciiTheme="minorHAnsi" w:hAnsiTheme="minorHAnsi" w:cstheme="minorHAnsi"/>
                <w:b/>
                <w:bCs/>
                <w:color w:val="4D4D4D"/>
                <w:sz w:val="18"/>
                <w:szCs w:val="18"/>
              </w:rPr>
              <w:t>REDACTED</w:t>
            </w:r>
          </w:p>
        </w:tc>
        <w:tc>
          <w:tcPr>
            <w:tcW w:w="810" w:type="dxa"/>
            <w:shd w:val="clear" w:color="auto" w:fill="auto"/>
            <w:noWrap/>
            <w:vAlign w:val="center"/>
            <w:hideMark/>
          </w:tcPr>
          <w:p w14:paraId="7BDD6161" w14:textId="153DE726" w:rsidR="00AB4A29" w:rsidRPr="00A1701E" w:rsidRDefault="00AB4A29" w:rsidP="00AB4A29">
            <w:pPr>
              <w:keepNext/>
              <w:jc w:val="center"/>
              <w:rPr>
                <w:rFonts w:asciiTheme="minorHAnsi" w:hAnsiTheme="minorHAnsi" w:cstheme="minorHAnsi"/>
                <w:color w:val="4D4D4D"/>
                <w:sz w:val="18"/>
                <w:szCs w:val="18"/>
                <w:highlight w:val="yellow"/>
              </w:rPr>
            </w:pPr>
            <w:r w:rsidRPr="00AB4A29">
              <w:rPr>
                <w:rFonts w:asciiTheme="minorHAnsi" w:hAnsiTheme="minorHAnsi" w:cstheme="minorHAnsi"/>
                <w:b/>
                <w:bCs/>
                <w:sz w:val="16"/>
                <w:szCs w:val="16"/>
              </w:rPr>
              <w:t>REDACTED</w:t>
            </w:r>
          </w:p>
        </w:tc>
        <w:tc>
          <w:tcPr>
            <w:tcW w:w="770" w:type="dxa"/>
            <w:shd w:val="clear" w:color="auto" w:fill="auto"/>
            <w:noWrap/>
            <w:vAlign w:val="center"/>
            <w:hideMark/>
          </w:tcPr>
          <w:p w14:paraId="76EDC131" w14:textId="58FB6485" w:rsidR="00AB4A29" w:rsidRPr="00A1701E" w:rsidRDefault="00AB4A29" w:rsidP="00AB4A29">
            <w:pPr>
              <w:keepNext/>
              <w:jc w:val="center"/>
              <w:rPr>
                <w:rFonts w:asciiTheme="minorHAnsi" w:hAnsiTheme="minorHAnsi" w:cstheme="minorHAnsi"/>
                <w:color w:val="4D4D4D"/>
                <w:sz w:val="18"/>
                <w:szCs w:val="18"/>
                <w:highlight w:val="yellow"/>
              </w:rPr>
            </w:pPr>
            <w:r w:rsidRPr="005F62EC">
              <w:rPr>
                <w:rFonts w:asciiTheme="minorHAnsi" w:hAnsiTheme="minorHAnsi" w:cstheme="minorHAnsi"/>
                <w:b/>
                <w:bCs/>
                <w:sz w:val="16"/>
                <w:szCs w:val="16"/>
              </w:rPr>
              <w:t>REDACTED</w:t>
            </w:r>
          </w:p>
        </w:tc>
        <w:tc>
          <w:tcPr>
            <w:tcW w:w="526" w:type="dxa"/>
            <w:shd w:val="clear" w:color="auto" w:fill="auto"/>
            <w:noWrap/>
            <w:vAlign w:val="center"/>
            <w:hideMark/>
          </w:tcPr>
          <w:p w14:paraId="1A1977DA" w14:textId="1C833C14" w:rsidR="00AB4A29" w:rsidRPr="00A1701E" w:rsidRDefault="00AB4A29" w:rsidP="00AB4A29">
            <w:pPr>
              <w:keepNext/>
              <w:jc w:val="center"/>
              <w:rPr>
                <w:rFonts w:asciiTheme="minorHAnsi" w:hAnsiTheme="minorHAnsi" w:cstheme="minorHAnsi"/>
                <w:color w:val="4D4D4D"/>
                <w:sz w:val="18"/>
                <w:szCs w:val="18"/>
                <w:highlight w:val="yellow"/>
              </w:rPr>
            </w:pPr>
            <w:r w:rsidRPr="00AB4A29">
              <w:rPr>
                <w:rFonts w:asciiTheme="minorHAnsi" w:hAnsiTheme="minorHAnsi" w:cstheme="minorHAnsi"/>
                <w:b/>
                <w:bCs/>
                <w:sz w:val="10"/>
                <w:szCs w:val="10"/>
              </w:rPr>
              <w:t>REDACTED</w:t>
            </w:r>
          </w:p>
        </w:tc>
      </w:tr>
      <w:tr w:rsidR="00AB4A29" w:rsidRPr="002F5ED6" w14:paraId="2BABFF86" w14:textId="77777777" w:rsidTr="00217C29">
        <w:trPr>
          <w:trHeight w:val="612"/>
        </w:trPr>
        <w:tc>
          <w:tcPr>
            <w:tcW w:w="1795" w:type="dxa"/>
            <w:shd w:val="clear" w:color="auto" w:fill="auto"/>
            <w:vAlign w:val="center"/>
            <w:hideMark/>
          </w:tcPr>
          <w:p w14:paraId="4E68BF60" w14:textId="77777777" w:rsidR="00AB4A29" w:rsidRPr="00A1701E" w:rsidRDefault="00AB4A29" w:rsidP="00AB4A29">
            <w:pPr>
              <w:keepNext/>
              <w:jc w:val="left"/>
              <w:rPr>
                <w:rFonts w:asciiTheme="minorHAnsi" w:hAnsiTheme="minorHAnsi" w:cstheme="minorHAnsi"/>
                <w:color w:val="4D4D4D"/>
                <w:sz w:val="18"/>
                <w:szCs w:val="18"/>
              </w:rPr>
            </w:pPr>
            <w:r w:rsidRPr="00A1701E">
              <w:rPr>
                <w:rFonts w:asciiTheme="minorHAnsi" w:hAnsiTheme="minorHAnsi" w:cstheme="minorHAnsi"/>
                <w:color w:val="4D4D4D"/>
                <w:sz w:val="18"/>
                <w:szCs w:val="18"/>
              </w:rPr>
              <w:t>Combustion Turbine with Future Emission Controls (CT w SCR)</w:t>
            </w:r>
          </w:p>
        </w:tc>
        <w:tc>
          <w:tcPr>
            <w:tcW w:w="1080" w:type="dxa"/>
            <w:shd w:val="clear" w:color="auto" w:fill="auto"/>
            <w:noWrap/>
            <w:vAlign w:val="center"/>
            <w:hideMark/>
          </w:tcPr>
          <w:p w14:paraId="23829E38" w14:textId="706DD575" w:rsidR="00AB4A29" w:rsidRPr="00A1701E" w:rsidRDefault="00AB4A29" w:rsidP="00AB4A29">
            <w:pPr>
              <w:keepNext/>
              <w:jc w:val="center"/>
              <w:rPr>
                <w:rFonts w:asciiTheme="minorHAnsi" w:hAnsiTheme="minorHAnsi" w:cstheme="minorHAnsi"/>
                <w:color w:val="4D4D4D"/>
                <w:sz w:val="18"/>
                <w:szCs w:val="18"/>
                <w:highlight w:val="yellow"/>
              </w:rPr>
            </w:pPr>
            <w:r w:rsidRPr="00702ACD">
              <w:rPr>
                <w:rFonts w:asciiTheme="minorHAnsi" w:hAnsiTheme="minorHAnsi" w:cstheme="minorHAnsi"/>
                <w:b/>
                <w:bCs/>
                <w:sz w:val="18"/>
                <w:szCs w:val="18"/>
              </w:rPr>
              <w:t>REDACTED</w:t>
            </w:r>
          </w:p>
        </w:tc>
        <w:tc>
          <w:tcPr>
            <w:tcW w:w="1620" w:type="dxa"/>
            <w:shd w:val="clear" w:color="auto" w:fill="auto"/>
            <w:noWrap/>
            <w:vAlign w:val="center"/>
            <w:hideMark/>
          </w:tcPr>
          <w:p w14:paraId="64FC83BD" w14:textId="79CDC996" w:rsidR="00AB4A29" w:rsidRPr="00A1701E" w:rsidRDefault="00AB4A29" w:rsidP="00AB4A29">
            <w:pPr>
              <w:keepNext/>
              <w:jc w:val="center"/>
              <w:rPr>
                <w:rFonts w:asciiTheme="minorHAnsi" w:hAnsiTheme="minorHAnsi" w:cstheme="minorHAnsi"/>
                <w:color w:val="4D4D4D"/>
                <w:sz w:val="18"/>
                <w:szCs w:val="18"/>
                <w:highlight w:val="yellow"/>
              </w:rPr>
            </w:pPr>
            <w:r w:rsidRPr="00702ACD">
              <w:rPr>
                <w:rFonts w:asciiTheme="minorHAnsi" w:hAnsiTheme="minorHAnsi" w:cstheme="minorHAnsi"/>
                <w:b/>
                <w:bCs/>
                <w:sz w:val="18"/>
                <w:szCs w:val="18"/>
              </w:rPr>
              <w:t>REDACTED</w:t>
            </w:r>
          </w:p>
        </w:tc>
        <w:tc>
          <w:tcPr>
            <w:tcW w:w="720" w:type="dxa"/>
            <w:shd w:val="clear" w:color="auto" w:fill="auto"/>
            <w:noWrap/>
            <w:vAlign w:val="center"/>
            <w:hideMark/>
          </w:tcPr>
          <w:p w14:paraId="4656C8BE" w14:textId="4D370917" w:rsidR="00AB4A29" w:rsidRPr="00A1701E" w:rsidRDefault="00AB4A29" w:rsidP="00AB4A29">
            <w:pPr>
              <w:keepNext/>
              <w:jc w:val="center"/>
              <w:rPr>
                <w:rFonts w:asciiTheme="minorHAnsi" w:hAnsiTheme="minorHAnsi" w:cstheme="minorHAnsi"/>
                <w:color w:val="4D4D4D"/>
                <w:sz w:val="18"/>
                <w:szCs w:val="18"/>
                <w:highlight w:val="yellow"/>
              </w:rPr>
            </w:pPr>
            <w:r w:rsidRPr="00CD012B">
              <w:rPr>
                <w:rFonts w:asciiTheme="minorHAnsi" w:hAnsiTheme="minorHAnsi" w:cstheme="minorHAnsi"/>
                <w:b/>
                <w:bCs/>
                <w:sz w:val="14"/>
                <w:szCs w:val="14"/>
              </w:rPr>
              <w:t>REDACTED</w:t>
            </w:r>
          </w:p>
        </w:tc>
        <w:tc>
          <w:tcPr>
            <w:tcW w:w="810" w:type="dxa"/>
            <w:shd w:val="clear" w:color="auto" w:fill="DBDBDB"/>
            <w:noWrap/>
            <w:vAlign w:val="center"/>
            <w:hideMark/>
          </w:tcPr>
          <w:p w14:paraId="0A600E1F" w14:textId="43C6E056" w:rsidR="00AB4A29" w:rsidRPr="00A1701E" w:rsidRDefault="00AB4A29" w:rsidP="00AB4A29">
            <w:pPr>
              <w:keepNext/>
              <w:jc w:val="center"/>
              <w:rPr>
                <w:rFonts w:asciiTheme="minorHAnsi" w:hAnsiTheme="minorHAnsi" w:cstheme="minorHAnsi"/>
                <w:color w:val="4D4D4D"/>
                <w:sz w:val="18"/>
                <w:szCs w:val="18"/>
              </w:rPr>
            </w:pPr>
          </w:p>
        </w:tc>
        <w:tc>
          <w:tcPr>
            <w:tcW w:w="720" w:type="dxa"/>
            <w:shd w:val="clear" w:color="auto" w:fill="DBDBDB"/>
            <w:noWrap/>
            <w:vAlign w:val="center"/>
            <w:hideMark/>
          </w:tcPr>
          <w:p w14:paraId="220A80B9" w14:textId="3F992878" w:rsidR="00AB4A29" w:rsidRPr="00A1701E" w:rsidRDefault="00AB4A29" w:rsidP="00AB4A29">
            <w:pPr>
              <w:keepNext/>
              <w:jc w:val="center"/>
              <w:rPr>
                <w:rFonts w:asciiTheme="minorHAnsi" w:hAnsiTheme="minorHAnsi" w:cstheme="minorHAnsi"/>
                <w:color w:val="4D4D4D"/>
                <w:sz w:val="18"/>
                <w:szCs w:val="18"/>
              </w:rPr>
            </w:pPr>
          </w:p>
        </w:tc>
        <w:tc>
          <w:tcPr>
            <w:tcW w:w="900" w:type="dxa"/>
            <w:shd w:val="clear" w:color="auto" w:fill="auto"/>
            <w:noWrap/>
            <w:vAlign w:val="center"/>
            <w:hideMark/>
          </w:tcPr>
          <w:p w14:paraId="07F8FB4C" w14:textId="54C3277E" w:rsidR="00AB4A29" w:rsidRPr="00A1701E" w:rsidRDefault="00AB4A29" w:rsidP="00AB4A29">
            <w:pPr>
              <w:keepNext/>
              <w:jc w:val="center"/>
              <w:rPr>
                <w:rFonts w:asciiTheme="minorHAnsi" w:hAnsiTheme="minorHAnsi" w:cstheme="minorHAnsi"/>
                <w:color w:val="4D4D4D"/>
                <w:sz w:val="18"/>
                <w:szCs w:val="18"/>
                <w:highlight w:val="yellow"/>
              </w:rPr>
            </w:pPr>
            <w:r w:rsidRPr="00BF543E">
              <w:rPr>
                <w:rFonts w:asciiTheme="minorHAnsi" w:hAnsiTheme="minorHAnsi" w:cstheme="minorHAnsi"/>
                <w:b/>
                <w:bCs/>
                <w:color w:val="4D4D4D"/>
                <w:sz w:val="18"/>
                <w:szCs w:val="18"/>
              </w:rPr>
              <w:t>REDACTED</w:t>
            </w:r>
          </w:p>
        </w:tc>
        <w:tc>
          <w:tcPr>
            <w:tcW w:w="810" w:type="dxa"/>
            <w:shd w:val="clear" w:color="auto" w:fill="auto"/>
            <w:noWrap/>
            <w:vAlign w:val="center"/>
            <w:hideMark/>
          </w:tcPr>
          <w:p w14:paraId="75CD4E06" w14:textId="650975EA" w:rsidR="00AB4A29" w:rsidRPr="00A1701E" w:rsidRDefault="00AB4A29" w:rsidP="00AB4A29">
            <w:pPr>
              <w:keepNext/>
              <w:jc w:val="center"/>
              <w:rPr>
                <w:rFonts w:asciiTheme="minorHAnsi" w:hAnsiTheme="minorHAnsi" w:cstheme="minorHAnsi"/>
                <w:color w:val="4D4D4D"/>
                <w:sz w:val="18"/>
                <w:szCs w:val="18"/>
                <w:highlight w:val="yellow"/>
              </w:rPr>
            </w:pPr>
            <w:r w:rsidRPr="00AB4A29">
              <w:rPr>
                <w:rFonts w:asciiTheme="minorHAnsi" w:hAnsiTheme="minorHAnsi" w:cstheme="minorHAnsi"/>
                <w:b/>
                <w:bCs/>
                <w:sz w:val="16"/>
                <w:szCs w:val="16"/>
              </w:rPr>
              <w:t>REDACTED</w:t>
            </w:r>
          </w:p>
        </w:tc>
        <w:tc>
          <w:tcPr>
            <w:tcW w:w="770" w:type="dxa"/>
            <w:shd w:val="clear" w:color="auto" w:fill="auto"/>
            <w:noWrap/>
            <w:vAlign w:val="center"/>
            <w:hideMark/>
          </w:tcPr>
          <w:p w14:paraId="60373DF4" w14:textId="68E91948" w:rsidR="00AB4A29" w:rsidRPr="00A1701E" w:rsidRDefault="00AB4A29" w:rsidP="00AB4A29">
            <w:pPr>
              <w:keepNext/>
              <w:jc w:val="center"/>
              <w:rPr>
                <w:rFonts w:asciiTheme="minorHAnsi" w:hAnsiTheme="minorHAnsi" w:cstheme="minorHAnsi"/>
                <w:color w:val="4D4D4D"/>
                <w:sz w:val="18"/>
                <w:szCs w:val="18"/>
                <w:highlight w:val="yellow"/>
              </w:rPr>
            </w:pPr>
            <w:r w:rsidRPr="005F62EC">
              <w:rPr>
                <w:rFonts w:asciiTheme="minorHAnsi" w:hAnsiTheme="minorHAnsi" w:cstheme="minorHAnsi"/>
                <w:b/>
                <w:bCs/>
                <w:sz w:val="16"/>
                <w:szCs w:val="16"/>
              </w:rPr>
              <w:t>REDACTED</w:t>
            </w:r>
          </w:p>
        </w:tc>
        <w:tc>
          <w:tcPr>
            <w:tcW w:w="526" w:type="dxa"/>
            <w:shd w:val="clear" w:color="auto" w:fill="auto"/>
            <w:noWrap/>
            <w:vAlign w:val="center"/>
            <w:hideMark/>
          </w:tcPr>
          <w:p w14:paraId="4250AA8F" w14:textId="50653C43" w:rsidR="00AB4A29" w:rsidRPr="00A1701E" w:rsidRDefault="00AB4A29" w:rsidP="00AB4A29">
            <w:pPr>
              <w:keepNext/>
              <w:jc w:val="center"/>
              <w:rPr>
                <w:rFonts w:asciiTheme="minorHAnsi" w:hAnsiTheme="minorHAnsi" w:cstheme="minorHAnsi"/>
                <w:color w:val="4D4D4D"/>
                <w:sz w:val="18"/>
                <w:szCs w:val="18"/>
                <w:highlight w:val="yellow"/>
              </w:rPr>
            </w:pPr>
            <w:r w:rsidRPr="00AB4A29">
              <w:rPr>
                <w:rFonts w:asciiTheme="minorHAnsi" w:hAnsiTheme="minorHAnsi" w:cstheme="minorHAnsi"/>
                <w:b/>
                <w:bCs/>
                <w:sz w:val="10"/>
                <w:szCs w:val="10"/>
              </w:rPr>
              <w:t>REDACTED</w:t>
            </w:r>
          </w:p>
        </w:tc>
      </w:tr>
      <w:tr w:rsidR="00AB4A29" w:rsidRPr="002F5ED6" w14:paraId="3A977699" w14:textId="77777777" w:rsidTr="00217C29">
        <w:trPr>
          <w:trHeight w:val="612"/>
        </w:trPr>
        <w:tc>
          <w:tcPr>
            <w:tcW w:w="1795" w:type="dxa"/>
            <w:shd w:val="clear" w:color="auto" w:fill="auto"/>
            <w:vAlign w:val="center"/>
            <w:hideMark/>
          </w:tcPr>
          <w:p w14:paraId="00768DC7" w14:textId="77777777" w:rsidR="00AB4A29" w:rsidRPr="00A1701E" w:rsidRDefault="00AB4A29" w:rsidP="00AB4A29">
            <w:pPr>
              <w:keepNext/>
              <w:jc w:val="left"/>
              <w:rPr>
                <w:rFonts w:asciiTheme="minorHAnsi" w:hAnsiTheme="minorHAnsi" w:cstheme="minorHAnsi"/>
                <w:color w:val="4D4D4D"/>
                <w:sz w:val="18"/>
                <w:szCs w:val="18"/>
              </w:rPr>
            </w:pPr>
            <w:r w:rsidRPr="00A1701E">
              <w:rPr>
                <w:rFonts w:asciiTheme="minorHAnsi" w:hAnsiTheme="minorHAnsi" w:cstheme="minorHAnsi"/>
                <w:color w:val="4D4D4D"/>
                <w:sz w:val="18"/>
                <w:szCs w:val="18"/>
              </w:rPr>
              <w:t>Reciprocating Internal Combustion Engines (RICE)</w:t>
            </w:r>
          </w:p>
        </w:tc>
        <w:tc>
          <w:tcPr>
            <w:tcW w:w="1080" w:type="dxa"/>
            <w:shd w:val="clear" w:color="auto" w:fill="auto"/>
            <w:noWrap/>
            <w:vAlign w:val="center"/>
            <w:hideMark/>
          </w:tcPr>
          <w:p w14:paraId="5F29B374" w14:textId="40496BFD" w:rsidR="00AB4A29" w:rsidRPr="00A1701E" w:rsidRDefault="00AB4A29" w:rsidP="00AB4A29">
            <w:pPr>
              <w:keepNext/>
              <w:jc w:val="center"/>
              <w:rPr>
                <w:rFonts w:asciiTheme="minorHAnsi" w:hAnsiTheme="minorHAnsi" w:cstheme="minorHAnsi"/>
                <w:color w:val="4D4D4D"/>
                <w:sz w:val="18"/>
                <w:szCs w:val="18"/>
                <w:highlight w:val="yellow"/>
              </w:rPr>
            </w:pPr>
            <w:r w:rsidRPr="00702ACD">
              <w:rPr>
                <w:rFonts w:asciiTheme="minorHAnsi" w:hAnsiTheme="minorHAnsi" w:cstheme="minorHAnsi"/>
                <w:b/>
                <w:bCs/>
                <w:sz w:val="18"/>
                <w:szCs w:val="18"/>
              </w:rPr>
              <w:t>REDACTED</w:t>
            </w:r>
          </w:p>
        </w:tc>
        <w:tc>
          <w:tcPr>
            <w:tcW w:w="1620" w:type="dxa"/>
            <w:shd w:val="clear" w:color="auto" w:fill="auto"/>
            <w:noWrap/>
            <w:vAlign w:val="center"/>
            <w:hideMark/>
          </w:tcPr>
          <w:p w14:paraId="5DD650C4" w14:textId="40E54F95" w:rsidR="00AB4A29" w:rsidRPr="00A1701E" w:rsidRDefault="00AB4A29" w:rsidP="00AB4A29">
            <w:pPr>
              <w:keepNext/>
              <w:jc w:val="center"/>
              <w:rPr>
                <w:rFonts w:asciiTheme="minorHAnsi" w:hAnsiTheme="minorHAnsi" w:cstheme="minorHAnsi"/>
                <w:color w:val="4D4D4D"/>
                <w:sz w:val="18"/>
                <w:szCs w:val="18"/>
                <w:highlight w:val="yellow"/>
              </w:rPr>
            </w:pPr>
            <w:r w:rsidRPr="00702ACD">
              <w:rPr>
                <w:rFonts w:asciiTheme="minorHAnsi" w:hAnsiTheme="minorHAnsi" w:cstheme="minorHAnsi"/>
                <w:b/>
                <w:bCs/>
                <w:sz w:val="18"/>
                <w:szCs w:val="18"/>
              </w:rPr>
              <w:t>REDACTED</w:t>
            </w:r>
          </w:p>
        </w:tc>
        <w:tc>
          <w:tcPr>
            <w:tcW w:w="720" w:type="dxa"/>
            <w:shd w:val="clear" w:color="auto" w:fill="auto"/>
            <w:noWrap/>
            <w:vAlign w:val="center"/>
            <w:hideMark/>
          </w:tcPr>
          <w:p w14:paraId="01E55C87" w14:textId="532EA7D4" w:rsidR="00AB4A29" w:rsidRPr="00A1701E" w:rsidRDefault="00AB4A29" w:rsidP="00AB4A29">
            <w:pPr>
              <w:keepNext/>
              <w:jc w:val="center"/>
              <w:rPr>
                <w:rFonts w:asciiTheme="minorHAnsi" w:hAnsiTheme="minorHAnsi" w:cstheme="minorHAnsi"/>
                <w:color w:val="4D4D4D"/>
                <w:sz w:val="18"/>
                <w:szCs w:val="18"/>
                <w:highlight w:val="yellow"/>
              </w:rPr>
            </w:pPr>
            <w:r w:rsidRPr="00CD012B">
              <w:rPr>
                <w:rFonts w:asciiTheme="minorHAnsi" w:hAnsiTheme="minorHAnsi" w:cstheme="minorHAnsi"/>
                <w:b/>
                <w:bCs/>
                <w:sz w:val="14"/>
                <w:szCs w:val="14"/>
              </w:rPr>
              <w:t>REDACTED</w:t>
            </w:r>
          </w:p>
        </w:tc>
        <w:tc>
          <w:tcPr>
            <w:tcW w:w="810" w:type="dxa"/>
            <w:shd w:val="clear" w:color="auto" w:fill="DBDBDB"/>
            <w:noWrap/>
            <w:vAlign w:val="center"/>
            <w:hideMark/>
          </w:tcPr>
          <w:p w14:paraId="571B5B0B" w14:textId="1C81D3E9" w:rsidR="00AB4A29" w:rsidRPr="00A1701E" w:rsidRDefault="00AB4A29" w:rsidP="00AB4A29">
            <w:pPr>
              <w:keepNext/>
              <w:jc w:val="center"/>
              <w:rPr>
                <w:rFonts w:asciiTheme="minorHAnsi" w:hAnsiTheme="minorHAnsi" w:cstheme="minorHAnsi"/>
                <w:color w:val="4D4D4D"/>
                <w:sz w:val="18"/>
                <w:szCs w:val="18"/>
              </w:rPr>
            </w:pPr>
          </w:p>
        </w:tc>
        <w:tc>
          <w:tcPr>
            <w:tcW w:w="720" w:type="dxa"/>
            <w:shd w:val="clear" w:color="auto" w:fill="DBDBDB"/>
            <w:noWrap/>
            <w:vAlign w:val="center"/>
            <w:hideMark/>
          </w:tcPr>
          <w:p w14:paraId="4F809116" w14:textId="3BAB3FCD" w:rsidR="00AB4A29" w:rsidRPr="00A1701E" w:rsidRDefault="00AB4A29" w:rsidP="00AB4A29">
            <w:pPr>
              <w:keepNext/>
              <w:jc w:val="center"/>
              <w:rPr>
                <w:rFonts w:asciiTheme="minorHAnsi" w:hAnsiTheme="minorHAnsi" w:cstheme="minorHAnsi"/>
                <w:color w:val="4D4D4D"/>
                <w:sz w:val="18"/>
                <w:szCs w:val="18"/>
              </w:rPr>
            </w:pPr>
          </w:p>
        </w:tc>
        <w:tc>
          <w:tcPr>
            <w:tcW w:w="900" w:type="dxa"/>
            <w:shd w:val="clear" w:color="auto" w:fill="auto"/>
            <w:noWrap/>
            <w:vAlign w:val="center"/>
            <w:hideMark/>
          </w:tcPr>
          <w:p w14:paraId="124ACC8A" w14:textId="653E347F" w:rsidR="00AB4A29" w:rsidRPr="00A1701E" w:rsidRDefault="00AB4A29" w:rsidP="00AB4A29">
            <w:pPr>
              <w:keepNext/>
              <w:jc w:val="center"/>
              <w:rPr>
                <w:rFonts w:asciiTheme="minorHAnsi" w:hAnsiTheme="minorHAnsi" w:cstheme="minorHAnsi"/>
                <w:color w:val="4D4D4D"/>
                <w:sz w:val="18"/>
                <w:szCs w:val="18"/>
                <w:highlight w:val="yellow"/>
              </w:rPr>
            </w:pPr>
            <w:r w:rsidRPr="00BF543E">
              <w:rPr>
                <w:rFonts w:asciiTheme="minorHAnsi" w:hAnsiTheme="minorHAnsi" w:cstheme="minorHAnsi"/>
                <w:b/>
                <w:bCs/>
                <w:color w:val="4D4D4D"/>
                <w:sz w:val="18"/>
                <w:szCs w:val="18"/>
              </w:rPr>
              <w:t>REDACTED</w:t>
            </w:r>
          </w:p>
        </w:tc>
        <w:tc>
          <w:tcPr>
            <w:tcW w:w="810" w:type="dxa"/>
            <w:shd w:val="clear" w:color="auto" w:fill="auto"/>
            <w:noWrap/>
            <w:vAlign w:val="center"/>
            <w:hideMark/>
          </w:tcPr>
          <w:p w14:paraId="5A9591EA" w14:textId="353BB432" w:rsidR="00AB4A29" w:rsidRPr="00A1701E" w:rsidRDefault="00AB4A29" w:rsidP="00AB4A29">
            <w:pPr>
              <w:keepNext/>
              <w:jc w:val="center"/>
              <w:rPr>
                <w:rFonts w:asciiTheme="minorHAnsi" w:hAnsiTheme="minorHAnsi" w:cstheme="minorHAnsi"/>
                <w:color w:val="4D4D4D"/>
                <w:sz w:val="18"/>
                <w:szCs w:val="18"/>
                <w:highlight w:val="yellow"/>
              </w:rPr>
            </w:pPr>
            <w:r w:rsidRPr="00AB4A29">
              <w:rPr>
                <w:rFonts w:asciiTheme="minorHAnsi" w:hAnsiTheme="minorHAnsi" w:cstheme="minorHAnsi"/>
                <w:b/>
                <w:bCs/>
                <w:sz w:val="16"/>
                <w:szCs w:val="16"/>
              </w:rPr>
              <w:t>REDACTED</w:t>
            </w:r>
          </w:p>
        </w:tc>
        <w:tc>
          <w:tcPr>
            <w:tcW w:w="770" w:type="dxa"/>
            <w:shd w:val="clear" w:color="auto" w:fill="auto"/>
            <w:noWrap/>
            <w:vAlign w:val="center"/>
            <w:hideMark/>
          </w:tcPr>
          <w:p w14:paraId="370B984C" w14:textId="181D9F22" w:rsidR="00AB4A29" w:rsidRPr="00A1701E" w:rsidRDefault="00AB4A29" w:rsidP="00AB4A29">
            <w:pPr>
              <w:keepNext/>
              <w:jc w:val="center"/>
              <w:rPr>
                <w:rFonts w:asciiTheme="minorHAnsi" w:hAnsiTheme="minorHAnsi" w:cstheme="minorHAnsi"/>
                <w:color w:val="4D4D4D"/>
                <w:sz w:val="18"/>
                <w:szCs w:val="18"/>
                <w:highlight w:val="yellow"/>
              </w:rPr>
            </w:pPr>
            <w:r w:rsidRPr="005F62EC">
              <w:rPr>
                <w:rFonts w:asciiTheme="minorHAnsi" w:hAnsiTheme="minorHAnsi" w:cstheme="minorHAnsi"/>
                <w:b/>
                <w:bCs/>
                <w:sz w:val="16"/>
                <w:szCs w:val="16"/>
              </w:rPr>
              <w:t>REDACTED</w:t>
            </w:r>
          </w:p>
        </w:tc>
        <w:tc>
          <w:tcPr>
            <w:tcW w:w="526" w:type="dxa"/>
            <w:shd w:val="clear" w:color="auto" w:fill="auto"/>
            <w:noWrap/>
            <w:vAlign w:val="center"/>
            <w:hideMark/>
          </w:tcPr>
          <w:p w14:paraId="52DE70BA" w14:textId="791BA558" w:rsidR="00AB4A29" w:rsidRPr="00A1701E" w:rsidRDefault="00AB4A29" w:rsidP="00AB4A29">
            <w:pPr>
              <w:keepNext/>
              <w:jc w:val="center"/>
              <w:rPr>
                <w:rFonts w:asciiTheme="minorHAnsi" w:hAnsiTheme="minorHAnsi" w:cstheme="minorHAnsi"/>
                <w:color w:val="4D4D4D"/>
                <w:sz w:val="18"/>
                <w:szCs w:val="18"/>
                <w:highlight w:val="yellow"/>
              </w:rPr>
            </w:pPr>
            <w:r w:rsidRPr="00AB4A29">
              <w:rPr>
                <w:rFonts w:asciiTheme="minorHAnsi" w:hAnsiTheme="minorHAnsi" w:cstheme="minorHAnsi"/>
                <w:b/>
                <w:bCs/>
                <w:sz w:val="10"/>
                <w:szCs w:val="10"/>
              </w:rPr>
              <w:t>REDACTED</w:t>
            </w:r>
          </w:p>
        </w:tc>
      </w:tr>
      <w:tr w:rsidR="00AB4A29" w:rsidRPr="002F5ED6" w14:paraId="3A61AAAA" w14:textId="77777777" w:rsidTr="00217C29">
        <w:trPr>
          <w:trHeight w:val="612"/>
        </w:trPr>
        <w:tc>
          <w:tcPr>
            <w:tcW w:w="1795" w:type="dxa"/>
            <w:shd w:val="clear" w:color="auto" w:fill="auto"/>
            <w:vAlign w:val="center"/>
            <w:hideMark/>
          </w:tcPr>
          <w:p w14:paraId="5FAD9C0E" w14:textId="77777777" w:rsidR="00AB4A29" w:rsidRPr="00A1701E" w:rsidRDefault="00AB4A29" w:rsidP="00AB4A29">
            <w:pPr>
              <w:keepNext/>
              <w:jc w:val="left"/>
              <w:rPr>
                <w:rFonts w:asciiTheme="minorHAnsi" w:hAnsiTheme="minorHAnsi" w:cstheme="minorHAnsi"/>
                <w:color w:val="4D4D4D"/>
                <w:sz w:val="18"/>
                <w:szCs w:val="18"/>
              </w:rPr>
            </w:pPr>
            <w:r w:rsidRPr="00A1701E">
              <w:rPr>
                <w:rFonts w:asciiTheme="minorHAnsi" w:hAnsiTheme="minorHAnsi" w:cstheme="minorHAnsi"/>
                <w:color w:val="4D4D4D"/>
                <w:sz w:val="18"/>
                <w:szCs w:val="18"/>
              </w:rPr>
              <w:t>Solar Photovoltaic (PV) - Single Axis Tracker (SAT)</w:t>
            </w:r>
          </w:p>
        </w:tc>
        <w:tc>
          <w:tcPr>
            <w:tcW w:w="1080" w:type="dxa"/>
            <w:shd w:val="clear" w:color="auto" w:fill="auto"/>
            <w:noWrap/>
            <w:vAlign w:val="center"/>
            <w:hideMark/>
          </w:tcPr>
          <w:p w14:paraId="2248A213" w14:textId="068FA42E" w:rsidR="00AB4A29" w:rsidRPr="00A1701E" w:rsidRDefault="00AB4A29" w:rsidP="00AB4A29">
            <w:pPr>
              <w:keepNext/>
              <w:jc w:val="center"/>
              <w:rPr>
                <w:rFonts w:asciiTheme="minorHAnsi" w:hAnsiTheme="minorHAnsi" w:cstheme="minorHAnsi"/>
                <w:color w:val="4D4D4D"/>
                <w:sz w:val="18"/>
                <w:szCs w:val="18"/>
                <w:highlight w:val="yellow"/>
              </w:rPr>
            </w:pPr>
            <w:r w:rsidRPr="00702ACD">
              <w:rPr>
                <w:rFonts w:asciiTheme="minorHAnsi" w:hAnsiTheme="minorHAnsi" w:cstheme="minorHAnsi"/>
                <w:b/>
                <w:bCs/>
                <w:sz w:val="18"/>
                <w:szCs w:val="18"/>
              </w:rPr>
              <w:t>REDACTED</w:t>
            </w:r>
          </w:p>
        </w:tc>
        <w:tc>
          <w:tcPr>
            <w:tcW w:w="1620" w:type="dxa"/>
            <w:shd w:val="clear" w:color="auto" w:fill="auto"/>
            <w:noWrap/>
            <w:vAlign w:val="center"/>
            <w:hideMark/>
          </w:tcPr>
          <w:p w14:paraId="577E7656" w14:textId="605E77C1" w:rsidR="00AB4A29" w:rsidRPr="00A1701E" w:rsidRDefault="00AB4A29" w:rsidP="00AB4A29">
            <w:pPr>
              <w:keepNext/>
              <w:jc w:val="center"/>
              <w:rPr>
                <w:rFonts w:asciiTheme="minorHAnsi" w:hAnsiTheme="minorHAnsi" w:cstheme="minorHAnsi"/>
                <w:color w:val="4D4D4D"/>
                <w:sz w:val="18"/>
                <w:szCs w:val="18"/>
                <w:highlight w:val="yellow"/>
              </w:rPr>
            </w:pPr>
            <w:r w:rsidRPr="00702ACD">
              <w:rPr>
                <w:rFonts w:asciiTheme="minorHAnsi" w:hAnsiTheme="minorHAnsi" w:cstheme="minorHAnsi"/>
                <w:b/>
                <w:bCs/>
                <w:sz w:val="18"/>
                <w:szCs w:val="18"/>
              </w:rPr>
              <w:t>REDACTED</w:t>
            </w:r>
          </w:p>
        </w:tc>
        <w:tc>
          <w:tcPr>
            <w:tcW w:w="720" w:type="dxa"/>
            <w:shd w:val="clear" w:color="auto" w:fill="DBDBDB"/>
            <w:noWrap/>
            <w:vAlign w:val="center"/>
            <w:hideMark/>
          </w:tcPr>
          <w:p w14:paraId="298EAD5E" w14:textId="38EF56FA" w:rsidR="00AB4A29" w:rsidRPr="00A1701E" w:rsidRDefault="00AB4A29" w:rsidP="00AB4A29">
            <w:pPr>
              <w:keepNext/>
              <w:jc w:val="center"/>
              <w:rPr>
                <w:rFonts w:asciiTheme="minorHAnsi" w:hAnsiTheme="minorHAnsi" w:cstheme="minorHAnsi"/>
                <w:color w:val="4D4D4D"/>
                <w:sz w:val="18"/>
                <w:szCs w:val="18"/>
              </w:rPr>
            </w:pPr>
          </w:p>
        </w:tc>
        <w:tc>
          <w:tcPr>
            <w:tcW w:w="810" w:type="dxa"/>
            <w:shd w:val="clear" w:color="auto" w:fill="DBDBDB"/>
            <w:noWrap/>
            <w:vAlign w:val="center"/>
            <w:hideMark/>
          </w:tcPr>
          <w:p w14:paraId="619DA6BE" w14:textId="50E88ECF" w:rsidR="00AB4A29" w:rsidRPr="00A1701E" w:rsidRDefault="00AB4A29" w:rsidP="00AB4A29">
            <w:pPr>
              <w:keepNext/>
              <w:jc w:val="center"/>
              <w:rPr>
                <w:rFonts w:asciiTheme="minorHAnsi" w:hAnsiTheme="minorHAnsi" w:cstheme="minorHAnsi"/>
                <w:color w:val="4D4D4D"/>
                <w:sz w:val="18"/>
                <w:szCs w:val="18"/>
              </w:rPr>
            </w:pPr>
          </w:p>
        </w:tc>
        <w:tc>
          <w:tcPr>
            <w:tcW w:w="720" w:type="dxa"/>
            <w:shd w:val="clear" w:color="auto" w:fill="auto"/>
            <w:noWrap/>
            <w:vAlign w:val="center"/>
            <w:hideMark/>
          </w:tcPr>
          <w:p w14:paraId="7812BEAE" w14:textId="403396EB" w:rsidR="00AB4A29" w:rsidRPr="00AB4A29" w:rsidRDefault="00AB4A29" w:rsidP="00AB4A29">
            <w:pPr>
              <w:keepNext/>
              <w:jc w:val="center"/>
              <w:rPr>
                <w:rFonts w:asciiTheme="minorHAnsi" w:hAnsiTheme="minorHAnsi" w:cstheme="minorHAnsi"/>
                <w:b/>
                <w:bCs/>
                <w:color w:val="4D4D4D"/>
                <w:sz w:val="18"/>
                <w:szCs w:val="18"/>
                <w:highlight w:val="yellow"/>
              </w:rPr>
            </w:pPr>
            <w:r w:rsidRPr="00AB4A29">
              <w:rPr>
                <w:rFonts w:asciiTheme="minorHAnsi" w:hAnsiTheme="minorHAnsi" w:cstheme="minorHAnsi"/>
                <w:b/>
                <w:bCs/>
                <w:sz w:val="14"/>
                <w:szCs w:val="14"/>
              </w:rPr>
              <w:t>REDACTED</w:t>
            </w:r>
          </w:p>
        </w:tc>
        <w:tc>
          <w:tcPr>
            <w:tcW w:w="900" w:type="dxa"/>
            <w:shd w:val="clear" w:color="auto" w:fill="auto"/>
            <w:noWrap/>
            <w:vAlign w:val="center"/>
            <w:hideMark/>
          </w:tcPr>
          <w:p w14:paraId="022A1C7D" w14:textId="6925019A" w:rsidR="00AB4A29" w:rsidRPr="00A1701E" w:rsidRDefault="00AB4A29" w:rsidP="00AB4A29">
            <w:pPr>
              <w:keepNext/>
              <w:jc w:val="center"/>
              <w:rPr>
                <w:rFonts w:asciiTheme="minorHAnsi" w:hAnsiTheme="minorHAnsi" w:cstheme="minorHAnsi"/>
                <w:color w:val="4D4D4D"/>
                <w:sz w:val="18"/>
                <w:szCs w:val="18"/>
                <w:highlight w:val="yellow"/>
              </w:rPr>
            </w:pPr>
            <w:r w:rsidRPr="005C70AB">
              <w:rPr>
                <w:rFonts w:asciiTheme="minorHAnsi" w:hAnsiTheme="minorHAnsi" w:cstheme="minorHAnsi"/>
                <w:b/>
                <w:bCs/>
                <w:color w:val="4D4D4D"/>
                <w:sz w:val="18"/>
                <w:szCs w:val="18"/>
              </w:rPr>
              <w:t>REDACTED</w:t>
            </w:r>
          </w:p>
        </w:tc>
        <w:tc>
          <w:tcPr>
            <w:tcW w:w="810" w:type="dxa"/>
            <w:shd w:val="clear" w:color="auto" w:fill="auto"/>
            <w:noWrap/>
            <w:vAlign w:val="center"/>
            <w:hideMark/>
          </w:tcPr>
          <w:p w14:paraId="2493A3E1" w14:textId="1FB8C165" w:rsidR="00AB4A29" w:rsidRPr="00A1701E" w:rsidRDefault="00AB4A29" w:rsidP="00AB4A29">
            <w:pPr>
              <w:keepNext/>
              <w:jc w:val="center"/>
              <w:rPr>
                <w:rFonts w:asciiTheme="minorHAnsi" w:hAnsiTheme="minorHAnsi" w:cstheme="minorHAnsi"/>
                <w:color w:val="4D4D4D"/>
                <w:sz w:val="18"/>
                <w:szCs w:val="18"/>
                <w:highlight w:val="yellow"/>
              </w:rPr>
            </w:pPr>
            <w:r w:rsidRPr="00AB4A29">
              <w:rPr>
                <w:rFonts w:asciiTheme="minorHAnsi" w:hAnsiTheme="minorHAnsi" w:cstheme="minorHAnsi"/>
                <w:b/>
                <w:bCs/>
                <w:sz w:val="16"/>
                <w:szCs w:val="16"/>
              </w:rPr>
              <w:t>REDACTED</w:t>
            </w:r>
          </w:p>
        </w:tc>
        <w:tc>
          <w:tcPr>
            <w:tcW w:w="770" w:type="dxa"/>
            <w:shd w:val="clear" w:color="auto" w:fill="DBDBDB"/>
            <w:noWrap/>
            <w:vAlign w:val="center"/>
            <w:hideMark/>
          </w:tcPr>
          <w:p w14:paraId="4F02B89F" w14:textId="27632859" w:rsidR="00AB4A29" w:rsidRPr="00A1701E" w:rsidRDefault="00AB4A29" w:rsidP="00AB4A29">
            <w:pPr>
              <w:keepNext/>
              <w:jc w:val="center"/>
              <w:rPr>
                <w:rFonts w:asciiTheme="minorHAnsi" w:hAnsiTheme="minorHAnsi" w:cstheme="minorHAnsi"/>
                <w:color w:val="4D4D4D"/>
                <w:sz w:val="18"/>
                <w:szCs w:val="18"/>
              </w:rPr>
            </w:pPr>
          </w:p>
        </w:tc>
        <w:tc>
          <w:tcPr>
            <w:tcW w:w="526" w:type="dxa"/>
            <w:shd w:val="clear" w:color="auto" w:fill="auto"/>
            <w:noWrap/>
            <w:vAlign w:val="center"/>
            <w:hideMark/>
          </w:tcPr>
          <w:p w14:paraId="367179FD" w14:textId="71FA1E31" w:rsidR="00AB4A29" w:rsidRPr="00A1701E" w:rsidRDefault="00AB4A29" w:rsidP="00AB4A29">
            <w:pPr>
              <w:keepNext/>
              <w:jc w:val="center"/>
              <w:rPr>
                <w:rFonts w:asciiTheme="minorHAnsi" w:hAnsiTheme="minorHAnsi" w:cstheme="minorHAnsi"/>
                <w:color w:val="4D4D4D"/>
                <w:sz w:val="18"/>
                <w:szCs w:val="18"/>
                <w:highlight w:val="yellow"/>
              </w:rPr>
            </w:pPr>
            <w:r w:rsidRPr="00AB4A29">
              <w:rPr>
                <w:rFonts w:asciiTheme="minorHAnsi" w:hAnsiTheme="minorHAnsi" w:cstheme="minorHAnsi"/>
                <w:b/>
                <w:bCs/>
                <w:sz w:val="10"/>
                <w:szCs w:val="10"/>
              </w:rPr>
              <w:t>REDACTED</w:t>
            </w:r>
          </w:p>
        </w:tc>
      </w:tr>
      <w:tr w:rsidR="00AB4A29" w:rsidRPr="002F5ED6" w14:paraId="578E0F74" w14:textId="77777777" w:rsidTr="00217C29">
        <w:trPr>
          <w:trHeight w:val="276"/>
        </w:trPr>
        <w:tc>
          <w:tcPr>
            <w:tcW w:w="1795" w:type="dxa"/>
            <w:shd w:val="clear" w:color="auto" w:fill="auto"/>
            <w:vAlign w:val="center"/>
            <w:hideMark/>
          </w:tcPr>
          <w:p w14:paraId="4FDD07BC" w14:textId="77777777" w:rsidR="00AB4A29" w:rsidRPr="00A1701E" w:rsidRDefault="00AB4A29" w:rsidP="00AB4A29">
            <w:pPr>
              <w:keepNext/>
              <w:jc w:val="left"/>
              <w:rPr>
                <w:rFonts w:asciiTheme="minorHAnsi" w:hAnsiTheme="minorHAnsi" w:cstheme="minorHAnsi"/>
                <w:color w:val="4D4D4D"/>
                <w:sz w:val="18"/>
                <w:szCs w:val="18"/>
              </w:rPr>
            </w:pPr>
            <w:r w:rsidRPr="00A1701E">
              <w:rPr>
                <w:rFonts w:asciiTheme="minorHAnsi" w:hAnsiTheme="minorHAnsi" w:cstheme="minorHAnsi"/>
                <w:color w:val="4D4D4D"/>
                <w:sz w:val="18"/>
                <w:szCs w:val="18"/>
              </w:rPr>
              <w:t>Onshore Wind Power</w:t>
            </w:r>
          </w:p>
        </w:tc>
        <w:tc>
          <w:tcPr>
            <w:tcW w:w="1080" w:type="dxa"/>
            <w:shd w:val="clear" w:color="auto" w:fill="auto"/>
            <w:noWrap/>
            <w:vAlign w:val="center"/>
            <w:hideMark/>
          </w:tcPr>
          <w:p w14:paraId="6D7E982D" w14:textId="661CFBF2" w:rsidR="00AB4A29" w:rsidRPr="00A1701E" w:rsidRDefault="00AB4A29" w:rsidP="00AB4A29">
            <w:pPr>
              <w:keepNext/>
              <w:jc w:val="center"/>
              <w:rPr>
                <w:rFonts w:asciiTheme="minorHAnsi" w:hAnsiTheme="minorHAnsi" w:cstheme="minorHAnsi"/>
                <w:color w:val="4D4D4D"/>
                <w:sz w:val="18"/>
                <w:szCs w:val="18"/>
                <w:highlight w:val="yellow"/>
              </w:rPr>
            </w:pPr>
            <w:r w:rsidRPr="00702ACD">
              <w:rPr>
                <w:rFonts w:asciiTheme="minorHAnsi" w:hAnsiTheme="minorHAnsi" w:cstheme="minorHAnsi"/>
                <w:b/>
                <w:bCs/>
                <w:sz w:val="18"/>
                <w:szCs w:val="18"/>
              </w:rPr>
              <w:t>REDACTED</w:t>
            </w:r>
          </w:p>
        </w:tc>
        <w:tc>
          <w:tcPr>
            <w:tcW w:w="1620" w:type="dxa"/>
            <w:shd w:val="clear" w:color="auto" w:fill="auto"/>
            <w:noWrap/>
            <w:vAlign w:val="center"/>
            <w:hideMark/>
          </w:tcPr>
          <w:p w14:paraId="2CA0F13B" w14:textId="616B16BA" w:rsidR="00AB4A29" w:rsidRPr="00A1701E" w:rsidRDefault="00AB4A29" w:rsidP="00AB4A29">
            <w:pPr>
              <w:keepNext/>
              <w:jc w:val="center"/>
              <w:rPr>
                <w:rFonts w:asciiTheme="minorHAnsi" w:hAnsiTheme="minorHAnsi" w:cstheme="minorHAnsi"/>
                <w:color w:val="4D4D4D"/>
                <w:sz w:val="18"/>
                <w:szCs w:val="18"/>
                <w:highlight w:val="yellow"/>
              </w:rPr>
            </w:pPr>
            <w:r w:rsidRPr="00702ACD">
              <w:rPr>
                <w:rFonts w:asciiTheme="minorHAnsi" w:hAnsiTheme="minorHAnsi" w:cstheme="minorHAnsi"/>
                <w:b/>
                <w:bCs/>
                <w:sz w:val="18"/>
                <w:szCs w:val="18"/>
              </w:rPr>
              <w:t>REDACTED</w:t>
            </w:r>
          </w:p>
        </w:tc>
        <w:tc>
          <w:tcPr>
            <w:tcW w:w="720" w:type="dxa"/>
            <w:shd w:val="clear" w:color="auto" w:fill="DBDBDB"/>
            <w:noWrap/>
            <w:vAlign w:val="center"/>
            <w:hideMark/>
          </w:tcPr>
          <w:p w14:paraId="35533A14" w14:textId="220FAD4F" w:rsidR="00AB4A29" w:rsidRPr="00A1701E" w:rsidRDefault="00AB4A29" w:rsidP="00AB4A29">
            <w:pPr>
              <w:keepNext/>
              <w:jc w:val="center"/>
              <w:rPr>
                <w:rFonts w:asciiTheme="minorHAnsi" w:hAnsiTheme="minorHAnsi" w:cstheme="minorHAnsi"/>
                <w:color w:val="4D4D4D"/>
                <w:sz w:val="18"/>
                <w:szCs w:val="18"/>
              </w:rPr>
            </w:pPr>
          </w:p>
        </w:tc>
        <w:tc>
          <w:tcPr>
            <w:tcW w:w="810" w:type="dxa"/>
            <w:shd w:val="clear" w:color="auto" w:fill="DBDBDB"/>
            <w:noWrap/>
            <w:vAlign w:val="center"/>
            <w:hideMark/>
          </w:tcPr>
          <w:p w14:paraId="54E7DC58" w14:textId="4E787468" w:rsidR="00AB4A29" w:rsidRPr="00A1701E" w:rsidRDefault="00AB4A29" w:rsidP="00AB4A29">
            <w:pPr>
              <w:keepNext/>
              <w:jc w:val="center"/>
              <w:rPr>
                <w:rFonts w:asciiTheme="minorHAnsi" w:hAnsiTheme="minorHAnsi" w:cstheme="minorHAnsi"/>
                <w:color w:val="4D4D4D"/>
                <w:sz w:val="18"/>
                <w:szCs w:val="18"/>
              </w:rPr>
            </w:pPr>
          </w:p>
        </w:tc>
        <w:tc>
          <w:tcPr>
            <w:tcW w:w="720" w:type="dxa"/>
            <w:shd w:val="clear" w:color="auto" w:fill="auto"/>
            <w:noWrap/>
            <w:vAlign w:val="center"/>
            <w:hideMark/>
          </w:tcPr>
          <w:p w14:paraId="5DFCF5F5" w14:textId="12C548C5" w:rsidR="00AB4A29" w:rsidRPr="00A1701E" w:rsidRDefault="00AB4A29" w:rsidP="00AB4A29">
            <w:pPr>
              <w:keepNext/>
              <w:jc w:val="center"/>
              <w:rPr>
                <w:rFonts w:asciiTheme="minorHAnsi" w:hAnsiTheme="minorHAnsi" w:cstheme="minorHAnsi"/>
                <w:color w:val="4D4D4D"/>
                <w:sz w:val="18"/>
                <w:szCs w:val="18"/>
                <w:highlight w:val="yellow"/>
              </w:rPr>
            </w:pPr>
            <w:r w:rsidRPr="00AB4A29">
              <w:rPr>
                <w:rFonts w:asciiTheme="minorHAnsi" w:hAnsiTheme="minorHAnsi" w:cstheme="minorHAnsi"/>
                <w:b/>
                <w:bCs/>
                <w:sz w:val="14"/>
                <w:szCs w:val="14"/>
              </w:rPr>
              <w:t>REDACTED</w:t>
            </w:r>
          </w:p>
        </w:tc>
        <w:tc>
          <w:tcPr>
            <w:tcW w:w="900" w:type="dxa"/>
            <w:shd w:val="clear" w:color="auto" w:fill="auto"/>
            <w:noWrap/>
            <w:vAlign w:val="center"/>
            <w:hideMark/>
          </w:tcPr>
          <w:p w14:paraId="4C74979D" w14:textId="6C4A8604" w:rsidR="00AB4A29" w:rsidRPr="00A1701E" w:rsidRDefault="00AB4A29" w:rsidP="00AB4A29">
            <w:pPr>
              <w:keepNext/>
              <w:jc w:val="center"/>
              <w:rPr>
                <w:rFonts w:asciiTheme="minorHAnsi" w:hAnsiTheme="minorHAnsi" w:cstheme="minorHAnsi"/>
                <w:color w:val="4D4D4D"/>
                <w:sz w:val="18"/>
                <w:szCs w:val="18"/>
                <w:highlight w:val="yellow"/>
              </w:rPr>
            </w:pPr>
            <w:r w:rsidRPr="005C70AB">
              <w:rPr>
                <w:rFonts w:asciiTheme="minorHAnsi" w:hAnsiTheme="minorHAnsi" w:cstheme="minorHAnsi"/>
                <w:b/>
                <w:bCs/>
                <w:color w:val="4D4D4D"/>
                <w:sz w:val="18"/>
                <w:szCs w:val="18"/>
              </w:rPr>
              <w:t>REDACTED</w:t>
            </w:r>
          </w:p>
        </w:tc>
        <w:tc>
          <w:tcPr>
            <w:tcW w:w="810" w:type="dxa"/>
            <w:shd w:val="clear" w:color="auto" w:fill="auto"/>
            <w:noWrap/>
            <w:vAlign w:val="center"/>
            <w:hideMark/>
          </w:tcPr>
          <w:p w14:paraId="2FE9332F" w14:textId="65A59197" w:rsidR="00AB4A29" w:rsidRPr="00A1701E" w:rsidRDefault="00AB4A29" w:rsidP="00AB4A29">
            <w:pPr>
              <w:keepNext/>
              <w:jc w:val="center"/>
              <w:rPr>
                <w:rFonts w:asciiTheme="minorHAnsi" w:hAnsiTheme="minorHAnsi" w:cstheme="minorHAnsi"/>
                <w:color w:val="4D4D4D"/>
                <w:sz w:val="18"/>
                <w:szCs w:val="18"/>
                <w:highlight w:val="yellow"/>
              </w:rPr>
            </w:pPr>
            <w:r w:rsidRPr="00AB4A29">
              <w:rPr>
                <w:rFonts w:asciiTheme="minorHAnsi" w:hAnsiTheme="minorHAnsi" w:cstheme="minorHAnsi"/>
                <w:b/>
                <w:bCs/>
                <w:sz w:val="16"/>
                <w:szCs w:val="16"/>
              </w:rPr>
              <w:t>REDACTED</w:t>
            </w:r>
          </w:p>
        </w:tc>
        <w:tc>
          <w:tcPr>
            <w:tcW w:w="770" w:type="dxa"/>
            <w:shd w:val="clear" w:color="auto" w:fill="DBDBDB"/>
            <w:noWrap/>
            <w:vAlign w:val="center"/>
            <w:hideMark/>
          </w:tcPr>
          <w:p w14:paraId="205D610D" w14:textId="7E16A945" w:rsidR="00AB4A29" w:rsidRPr="00A1701E" w:rsidRDefault="00AB4A29" w:rsidP="00AB4A29">
            <w:pPr>
              <w:keepNext/>
              <w:jc w:val="center"/>
              <w:rPr>
                <w:rFonts w:asciiTheme="minorHAnsi" w:hAnsiTheme="minorHAnsi" w:cstheme="minorHAnsi"/>
                <w:color w:val="4D4D4D"/>
                <w:sz w:val="18"/>
                <w:szCs w:val="18"/>
              </w:rPr>
            </w:pPr>
          </w:p>
        </w:tc>
        <w:tc>
          <w:tcPr>
            <w:tcW w:w="526" w:type="dxa"/>
            <w:shd w:val="clear" w:color="auto" w:fill="auto"/>
            <w:noWrap/>
            <w:vAlign w:val="center"/>
            <w:hideMark/>
          </w:tcPr>
          <w:p w14:paraId="3960F46F" w14:textId="7E7E58BB" w:rsidR="00AB4A29" w:rsidRPr="00A1701E" w:rsidRDefault="00AB4A29" w:rsidP="00AB4A29">
            <w:pPr>
              <w:keepNext/>
              <w:jc w:val="center"/>
              <w:rPr>
                <w:rFonts w:asciiTheme="minorHAnsi" w:hAnsiTheme="minorHAnsi" w:cstheme="minorHAnsi"/>
                <w:color w:val="4D4D4D"/>
                <w:sz w:val="18"/>
                <w:szCs w:val="18"/>
                <w:highlight w:val="yellow"/>
              </w:rPr>
            </w:pPr>
            <w:r w:rsidRPr="00AB4A29">
              <w:rPr>
                <w:rFonts w:asciiTheme="minorHAnsi" w:hAnsiTheme="minorHAnsi" w:cstheme="minorHAnsi"/>
                <w:b/>
                <w:bCs/>
                <w:sz w:val="10"/>
                <w:szCs w:val="10"/>
              </w:rPr>
              <w:t>REDACTED</w:t>
            </w:r>
          </w:p>
        </w:tc>
      </w:tr>
      <w:tr w:rsidR="00AB4A29" w:rsidRPr="002F5ED6" w14:paraId="36522D44" w14:textId="77777777" w:rsidTr="00217C29">
        <w:trPr>
          <w:trHeight w:val="816"/>
        </w:trPr>
        <w:tc>
          <w:tcPr>
            <w:tcW w:w="1795" w:type="dxa"/>
            <w:shd w:val="clear" w:color="auto" w:fill="auto"/>
            <w:vAlign w:val="center"/>
            <w:hideMark/>
          </w:tcPr>
          <w:p w14:paraId="7FF3B9C4" w14:textId="77777777" w:rsidR="00AB4A29" w:rsidRPr="00A1701E" w:rsidRDefault="00AB4A29" w:rsidP="00AB4A29">
            <w:pPr>
              <w:keepNext/>
              <w:jc w:val="left"/>
              <w:rPr>
                <w:rFonts w:asciiTheme="minorHAnsi" w:hAnsiTheme="minorHAnsi" w:cstheme="minorHAnsi"/>
                <w:color w:val="4D4D4D"/>
                <w:sz w:val="18"/>
                <w:szCs w:val="18"/>
              </w:rPr>
            </w:pPr>
            <w:r w:rsidRPr="00A1701E">
              <w:rPr>
                <w:rFonts w:asciiTheme="minorHAnsi" w:hAnsiTheme="minorHAnsi" w:cstheme="minorHAnsi"/>
                <w:color w:val="4D4D4D"/>
                <w:sz w:val="18"/>
                <w:szCs w:val="18"/>
              </w:rPr>
              <w:t xml:space="preserve">Lithium-ion Battery Energy Storage System (BESS) - 4 </w:t>
            </w:r>
            <w:proofErr w:type="spellStart"/>
            <w:r w:rsidRPr="00A1701E">
              <w:rPr>
                <w:rFonts w:asciiTheme="minorHAnsi" w:hAnsiTheme="minorHAnsi" w:cstheme="minorHAnsi"/>
                <w:color w:val="4D4D4D"/>
                <w:sz w:val="18"/>
                <w:szCs w:val="18"/>
              </w:rPr>
              <w:t>Hr</w:t>
            </w:r>
            <w:proofErr w:type="spellEnd"/>
          </w:p>
        </w:tc>
        <w:tc>
          <w:tcPr>
            <w:tcW w:w="1080" w:type="dxa"/>
            <w:shd w:val="clear" w:color="auto" w:fill="auto"/>
            <w:vAlign w:val="center"/>
            <w:hideMark/>
          </w:tcPr>
          <w:p w14:paraId="673D320F" w14:textId="77777777" w:rsidR="00AB4A29" w:rsidRDefault="00AB4A29" w:rsidP="00AB4A29">
            <w:pPr>
              <w:keepNext/>
              <w:jc w:val="center"/>
              <w:rPr>
                <w:rFonts w:asciiTheme="minorHAnsi" w:hAnsiTheme="minorHAnsi" w:cstheme="minorHAnsi"/>
                <w:b/>
                <w:bCs/>
                <w:sz w:val="18"/>
                <w:szCs w:val="18"/>
              </w:rPr>
            </w:pPr>
            <w:r w:rsidRPr="00A614E9">
              <w:rPr>
                <w:rFonts w:asciiTheme="minorHAnsi" w:hAnsiTheme="minorHAnsi" w:cstheme="minorHAnsi"/>
                <w:b/>
                <w:bCs/>
                <w:sz w:val="18"/>
                <w:szCs w:val="18"/>
              </w:rPr>
              <w:t>REDACTED</w:t>
            </w:r>
          </w:p>
          <w:p w14:paraId="442A923C" w14:textId="62D955B2" w:rsidR="00930CBA" w:rsidRPr="00A1701E" w:rsidRDefault="00930CBA" w:rsidP="00AB4A29">
            <w:pPr>
              <w:keepNext/>
              <w:jc w:val="center"/>
              <w:rPr>
                <w:rFonts w:asciiTheme="minorHAnsi" w:hAnsiTheme="minorHAnsi" w:cstheme="minorHAnsi"/>
                <w:color w:val="4D4D4D"/>
                <w:sz w:val="18"/>
                <w:szCs w:val="18"/>
                <w:highlight w:val="yellow"/>
              </w:rPr>
            </w:pPr>
            <w:r>
              <w:rPr>
                <w:rFonts w:asciiTheme="minorHAnsi" w:hAnsiTheme="minorHAnsi" w:cstheme="minorHAnsi"/>
                <w:b/>
                <w:bCs/>
                <w:sz w:val="18"/>
                <w:szCs w:val="18"/>
              </w:rPr>
              <w:t>REDACTED</w:t>
            </w:r>
          </w:p>
        </w:tc>
        <w:tc>
          <w:tcPr>
            <w:tcW w:w="1620" w:type="dxa"/>
            <w:shd w:val="clear" w:color="auto" w:fill="auto"/>
            <w:vAlign w:val="center"/>
            <w:hideMark/>
          </w:tcPr>
          <w:p w14:paraId="01F8CAD1" w14:textId="77777777" w:rsidR="00AB4A29" w:rsidRPr="00520748" w:rsidRDefault="00AB4A29" w:rsidP="00AB4A29">
            <w:pPr>
              <w:keepNext/>
              <w:ind w:firstLineChars="100" w:firstLine="161"/>
              <w:jc w:val="center"/>
              <w:rPr>
                <w:rFonts w:asciiTheme="minorHAnsi" w:hAnsiTheme="minorHAnsi" w:cstheme="minorHAnsi"/>
                <w:b/>
                <w:bCs/>
                <w:sz w:val="16"/>
                <w:szCs w:val="16"/>
              </w:rPr>
            </w:pPr>
            <w:r w:rsidRPr="00520748">
              <w:rPr>
                <w:rFonts w:asciiTheme="minorHAnsi" w:hAnsiTheme="minorHAnsi" w:cstheme="minorHAnsi"/>
                <w:b/>
                <w:bCs/>
                <w:sz w:val="16"/>
                <w:szCs w:val="16"/>
              </w:rPr>
              <w:t>REDACTED</w:t>
            </w:r>
          </w:p>
          <w:p w14:paraId="54482BEB" w14:textId="77777777" w:rsidR="00930CBA" w:rsidRPr="00520748" w:rsidRDefault="00930CBA" w:rsidP="00AB4A29">
            <w:pPr>
              <w:keepNext/>
              <w:ind w:firstLineChars="100" w:firstLine="161"/>
              <w:jc w:val="center"/>
              <w:rPr>
                <w:rFonts w:asciiTheme="minorHAnsi" w:hAnsiTheme="minorHAnsi" w:cstheme="minorHAnsi"/>
                <w:b/>
                <w:bCs/>
                <w:sz w:val="16"/>
                <w:szCs w:val="16"/>
              </w:rPr>
            </w:pPr>
            <w:r w:rsidRPr="00520748">
              <w:rPr>
                <w:rFonts w:asciiTheme="minorHAnsi" w:hAnsiTheme="minorHAnsi" w:cstheme="minorHAnsi"/>
                <w:b/>
                <w:bCs/>
                <w:sz w:val="16"/>
                <w:szCs w:val="16"/>
              </w:rPr>
              <w:t>REDACTED</w:t>
            </w:r>
          </w:p>
          <w:p w14:paraId="667F4258" w14:textId="77777777" w:rsidR="00930CBA" w:rsidRPr="00520748" w:rsidRDefault="00930CBA" w:rsidP="00AB4A29">
            <w:pPr>
              <w:keepNext/>
              <w:ind w:firstLineChars="100" w:firstLine="161"/>
              <w:jc w:val="center"/>
              <w:rPr>
                <w:rFonts w:asciiTheme="minorHAnsi" w:hAnsiTheme="minorHAnsi" w:cstheme="minorHAnsi"/>
                <w:b/>
                <w:bCs/>
                <w:sz w:val="16"/>
                <w:szCs w:val="16"/>
              </w:rPr>
            </w:pPr>
            <w:r w:rsidRPr="00520748">
              <w:rPr>
                <w:rFonts w:asciiTheme="minorHAnsi" w:hAnsiTheme="minorHAnsi" w:cstheme="minorHAnsi"/>
                <w:b/>
                <w:bCs/>
                <w:sz w:val="16"/>
                <w:szCs w:val="16"/>
              </w:rPr>
              <w:t>REDACTED</w:t>
            </w:r>
          </w:p>
          <w:p w14:paraId="3038CF5B" w14:textId="587A4F21" w:rsidR="00930CBA" w:rsidRPr="00A1701E" w:rsidRDefault="00930CBA" w:rsidP="00AB4A29">
            <w:pPr>
              <w:keepNext/>
              <w:ind w:firstLineChars="100" w:firstLine="161"/>
              <w:jc w:val="center"/>
              <w:rPr>
                <w:rFonts w:asciiTheme="minorHAnsi" w:hAnsiTheme="minorHAnsi" w:cstheme="minorHAnsi"/>
                <w:color w:val="4D4D4D"/>
                <w:sz w:val="18"/>
                <w:szCs w:val="18"/>
                <w:highlight w:val="yellow"/>
              </w:rPr>
            </w:pPr>
            <w:r w:rsidRPr="00520748">
              <w:rPr>
                <w:rFonts w:asciiTheme="minorHAnsi" w:hAnsiTheme="minorHAnsi" w:cstheme="minorHAnsi"/>
                <w:b/>
                <w:bCs/>
                <w:sz w:val="16"/>
                <w:szCs w:val="16"/>
              </w:rPr>
              <w:t>REDACTED</w:t>
            </w:r>
          </w:p>
        </w:tc>
        <w:tc>
          <w:tcPr>
            <w:tcW w:w="720" w:type="dxa"/>
            <w:shd w:val="clear" w:color="auto" w:fill="DBDBDB"/>
            <w:noWrap/>
            <w:vAlign w:val="center"/>
            <w:hideMark/>
          </w:tcPr>
          <w:p w14:paraId="0E779B72" w14:textId="4668C70F" w:rsidR="00AB4A29" w:rsidRPr="00A1701E" w:rsidRDefault="00AB4A29" w:rsidP="00AB4A29">
            <w:pPr>
              <w:keepNext/>
              <w:jc w:val="center"/>
              <w:rPr>
                <w:rFonts w:asciiTheme="minorHAnsi" w:hAnsiTheme="minorHAnsi" w:cstheme="minorHAnsi"/>
                <w:color w:val="4D4D4D"/>
                <w:sz w:val="18"/>
                <w:szCs w:val="18"/>
              </w:rPr>
            </w:pPr>
          </w:p>
        </w:tc>
        <w:tc>
          <w:tcPr>
            <w:tcW w:w="810" w:type="dxa"/>
            <w:shd w:val="clear" w:color="auto" w:fill="auto"/>
            <w:noWrap/>
            <w:vAlign w:val="center"/>
            <w:hideMark/>
          </w:tcPr>
          <w:p w14:paraId="1D931F89" w14:textId="7394BF3C" w:rsidR="00AB4A29" w:rsidRPr="00AB4A29" w:rsidRDefault="00AB4A29" w:rsidP="00AB4A29">
            <w:pPr>
              <w:keepNext/>
              <w:jc w:val="center"/>
              <w:rPr>
                <w:rFonts w:asciiTheme="minorHAnsi" w:hAnsiTheme="minorHAnsi" w:cstheme="minorHAnsi"/>
                <w:color w:val="4D4D4D"/>
                <w:sz w:val="16"/>
                <w:szCs w:val="16"/>
                <w:highlight w:val="yellow"/>
              </w:rPr>
            </w:pPr>
            <w:r w:rsidRPr="00AB4A29">
              <w:rPr>
                <w:rFonts w:asciiTheme="minorHAnsi" w:hAnsiTheme="minorHAnsi" w:cstheme="minorHAnsi"/>
                <w:b/>
                <w:bCs/>
                <w:color w:val="4D4D4D"/>
                <w:sz w:val="16"/>
                <w:szCs w:val="16"/>
              </w:rPr>
              <w:t>REDACTED</w:t>
            </w:r>
          </w:p>
        </w:tc>
        <w:tc>
          <w:tcPr>
            <w:tcW w:w="720" w:type="dxa"/>
            <w:shd w:val="clear" w:color="auto" w:fill="DBDBDB"/>
            <w:noWrap/>
            <w:vAlign w:val="center"/>
            <w:hideMark/>
          </w:tcPr>
          <w:p w14:paraId="302D8A4F" w14:textId="3CA96231" w:rsidR="00AB4A29" w:rsidRPr="00A1701E" w:rsidRDefault="00AB4A29" w:rsidP="00AB4A29">
            <w:pPr>
              <w:keepNext/>
              <w:jc w:val="center"/>
              <w:rPr>
                <w:rFonts w:asciiTheme="minorHAnsi" w:hAnsiTheme="minorHAnsi" w:cstheme="minorHAnsi"/>
                <w:color w:val="4D4D4D"/>
                <w:sz w:val="18"/>
                <w:szCs w:val="18"/>
              </w:rPr>
            </w:pPr>
          </w:p>
        </w:tc>
        <w:tc>
          <w:tcPr>
            <w:tcW w:w="900" w:type="dxa"/>
            <w:shd w:val="clear" w:color="auto" w:fill="auto"/>
            <w:noWrap/>
            <w:vAlign w:val="center"/>
            <w:hideMark/>
          </w:tcPr>
          <w:p w14:paraId="5E1FD3BC" w14:textId="76246D78" w:rsidR="00AB4A29" w:rsidRPr="00A1701E" w:rsidRDefault="00AB4A29" w:rsidP="00AB4A29">
            <w:pPr>
              <w:keepNext/>
              <w:jc w:val="center"/>
              <w:rPr>
                <w:rFonts w:asciiTheme="minorHAnsi" w:hAnsiTheme="minorHAnsi" w:cstheme="minorHAnsi"/>
                <w:color w:val="4D4D4D"/>
                <w:sz w:val="18"/>
                <w:szCs w:val="18"/>
                <w:highlight w:val="yellow"/>
              </w:rPr>
            </w:pPr>
            <w:r w:rsidRPr="005C70AB">
              <w:rPr>
                <w:rFonts w:asciiTheme="minorHAnsi" w:hAnsiTheme="minorHAnsi" w:cstheme="minorHAnsi"/>
                <w:b/>
                <w:bCs/>
                <w:color w:val="4D4D4D"/>
                <w:sz w:val="18"/>
                <w:szCs w:val="18"/>
              </w:rPr>
              <w:t>REDACTED</w:t>
            </w:r>
          </w:p>
        </w:tc>
        <w:tc>
          <w:tcPr>
            <w:tcW w:w="810" w:type="dxa"/>
            <w:shd w:val="clear" w:color="auto" w:fill="auto"/>
            <w:noWrap/>
            <w:vAlign w:val="center"/>
            <w:hideMark/>
          </w:tcPr>
          <w:p w14:paraId="060AC7BD" w14:textId="77E76A2A" w:rsidR="00AB4A29" w:rsidRPr="00A1701E" w:rsidRDefault="00AB4A29" w:rsidP="00AB4A29">
            <w:pPr>
              <w:keepNext/>
              <w:jc w:val="center"/>
              <w:rPr>
                <w:rFonts w:asciiTheme="minorHAnsi" w:hAnsiTheme="minorHAnsi" w:cstheme="minorHAnsi"/>
                <w:color w:val="4D4D4D"/>
                <w:sz w:val="18"/>
                <w:szCs w:val="18"/>
                <w:highlight w:val="yellow"/>
              </w:rPr>
            </w:pPr>
            <w:r w:rsidRPr="00AB4A29">
              <w:rPr>
                <w:rFonts w:asciiTheme="minorHAnsi" w:hAnsiTheme="minorHAnsi" w:cstheme="minorHAnsi"/>
                <w:b/>
                <w:bCs/>
                <w:sz w:val="16"/>
                <w:szCs w:val="16"/>
              </w:rPr>
              <w:t>REDACTED</w:t>
            </w:r>
          </w:p>
        </w:tc>
        <w:tc>
          <w:tcPr>
            <w:tcW w:w="770" w:type="dxa"/>
            <w:shd w:val="clear" w:color="auto" w:fill="auto"/>
            <w:noWrap/>
            <w:vAlign w:val="center"/>
            <w:hideMark/>
          </w:tcPr>
          <w:p w14:paraId="669D5B79" w14:textId="3C5815A0" w:rsidR="00AB4A29" w:rsidRPr="00A1701E" w:rsidRDefault="00AB4A29" w:rsidP="00AB4A29">
            <w:pPr>
              <w:keepNext/>
              <w:jc w:val="center"/>
              <w:rPr>
                <w:rFonts w:asciiTheme="minorHAnsi" w:hAnsiTheme="minorHAnsi" w:cstheme="minorHAnsi"/>
                <w:color w:val="4D4D4D"/>
                <w:sz w:val="18"/>
                <w:szCs w:val="18"/>
                <w:highlight w:val="yellow"/>
              </w:rPr>
            </w:pPr>
            <w:r w:rsidRPr="007C631D">
              <w:rPr>
                <w:rFonts w:asciiTheme="minorHAnsi" w:hAnsiTheme="minorHAnsi" w:cstheme="minorHAnsi"/>
                <w:b/>
                <w:bCs/>
                <w:sz w:val="16"/>
                <w:szCs w:val="16"/>
              </w:rPr>
              <w:t>REDACTED</w:t>
            </w:r>
          </w:p>
        </w:tc>
        <w:tc>
          <w:tcPr>
            <w:tcW w:w="526" w:type="dxa"/>
            <w:shd w:val="clear" w:color="auto" w:fill="auto"/>
            <w:noWrap/>
            <w:vAlign w:val="center"/>
            <w:hideMark/>
          </w:tcPr>
          <w:p w14:paraId="3DCB2B8A" w14:textId="4DA41215" w:rsidR="00AB4A29" w:rsidRPr="00A1701E" w:rsidRDefault="00AB4A29" w:rsidP="00AB4A29">
            <w:pPr>
              <w:keepNext/>
              <w:jc w:val="center"/>
              <w:rPr>
                <w:rFonts w:asciiTheme="minorHAnsi" w:hAnsiTheme="minorHAnsi" w:cstheme="minorHAnsi"/>
                <w:color w:val="4D4D4D"/>
                <w:sz w:val="18"/>
                <w:szCs w:val="18"/>
                <w:highlight w:val="yellow"/>
              </w:rPr>
            </w:pPr>
            <w:r w:rsidRPr="00AB4A29">
              <w:rPr>
                <w:rFonts w:asciiTheme="minorHAnsi" w:hAnsiTheme="minorHAnsi" w:cstheme="minorHAnsi"/>
                <w:b/>
                <w:bCs/>
                <w:sz w:val="10"/>
                <w:szCs w:val="10"/>
              </w:rPr>
              <w:t>REDACTED</w:t>
            </w:r>
          </w:p>
        </w:tc>
      </w:tr>
      <w:tr w:rsidR="00AB4A29" w:rsidRPr="002F5ED6" w14:paraId="0E19188D" w14:textId="77777777" w:rsidTr="00217C29">
        <w:trPr>
          <w:trHeight w:val="612"/>
        </w:trPr>
        <w:tc>
          <w:tcPr>
            <w:tcW w:w="1795" w:type="dxa"/>
            <w:shd w:val="clear" w:color="auto" w:fill="auto"/>
            <w:vAlign w:val="center"/>
          </w:tcPr>
          <w:p w14:paraId="099F6545" w14:textId="77777777" w:rsidR="00AB4A29" w:rsidRPr="00A1701E" w:rsidRDefault="00AB4A29" w:rsidP="00AB4A29">
            <w:pPr>
              <w:keepNext/>
              <w:jc w:val="left"/>
              <w:rPr>
                <w:rFonts w:asciiTheme="minorHAnsi" w:hAnsiTheme="minorHAnsi" w:cstheme="minorHAnsi"/>
                <w:color w:val="4D4D4D"/>
                <w:sz w:val="18"/>
                <w:szCs w:val="18"/>
              </w:rPr>
            </w:pPr>
            <w:r w:rsidRPr="00A1701E">
              <w:rPr>
                <w:rFonts w:asciiTheme="minorHAnsi" w:hAnsiTheme="minorHAnsi" w:cstheme="minorHAnsi"/>
                <w:color w:val="4D4D4D"/>
                <w:sz w:val="18"/>
                <w:szCs w:val="18"/>
              </w:rPr>
              <w:t>Medium Duration Energy Storage System</w:t>
            </w:r>
          </w:p>
        </w:tc>
        <w:tc>
          <w:tcPr>
            <w:tcW w:w="1080" w:type="dxa"/>
            <w:shd w:val="clear" w:color="auto" w:fill="auto"/>
            <w:noWrap/>
            <w:vAlign w:val="center"/>
          </w:tcPr>
          <w:p w14:paraId="56F775A8" w14:textId="77777777" w:rsidR="00AB4A29" w:rsidRDefault="00AB4A29" w:rsidP="00AB4A29">
            <w:pPr>
              <w:keepNext/>
              <w:jc w:val="center"/>
              <w:rPr>
                <w:rFonts w:asciiTheme="minorHAnsi" w:hAnsiTheme="minorHAnsi" w:cstheme="minorHAnsi"/>
                <w:b/>
                <w:bCs/>
                <w:sz w:val="18"/>
                <w:szCs w:val="18"/>
              </w:rPr>
            </w:pPr>
            <w:r w:rsidRPr="00E55F33">
              <w:rPr>
                <w:rFonts w:asciiTheme="minorHAnsi" w:hAnsiTheme="minorHAnsi" w:cstheme="minorHAnsi"/>
                <w:b/>
                <w:bCs/>
                <w:sz w:val="18"/>
                <w:szCs w:val="18"/>
              </w:rPr>
              <w:t>REDACTED</w:t>
            </w:r>
          </w:p>
          <w:p w14:paraId="747FD77E" w14:textId="3B5289B0" w:rsidR="00930CBA" w:rsidRPr="00A1701E" w:rsidRDefault="00930CBA" w:rsidP="00AB4A29">
            <w:pPr>
              <w:keepNext/>
              <w:jc w:val="center"/>
              <w:rPr>
                <w:rFonts w:asciiTheme="minorHAnsi" w:hAnsiTheme="minorHAnsi" w:cstheme="minorHAnsi"/>
                <w:color w:val="4D4D4D"/>
                <w:sz w:val="18"/>
                <w:szCs w:val="18"/>
                <w:highlight w:val="yellow"/>
              </w:rPr>
            </w:pPr>
            <w:r>
              <w:rPr>
                <w:rFonts w:asciiTheme="minorHAnsi" w:hAnsiTheme="minorHAnsi" w:cstheme="minorHAnsi"/>
                <w:b/>
                <w:bCs/>
                <w:sz w:val="18"/>
                <w:szCs w:val="18"/>
              </w:rPr>
              <w:t>REDACTED</w:t>
            </w:r>
          </w:p>
        </w:tc>
        <w:tc>
          <w:tcPr>
            <w:tcW w:w="1620" w:type="dxa"/>
            <w:shd w:val="clear" w:color="auto" w:fill="auto"/>
            <w:noWrap/>
            <w:vAlign w:val="center"/>
          </w:tcPr>
          <w:p w14:paraId="677AF9FA" w14:textId="7363C537" w:rsidR="00AB4A29" w:rsidRPr="00A1701E" w:rsidRDefault="00AB4A29" w:rsidP="00AB4A29">
            <w:pPr>
              <w:keepNext/>
              <w:jc w:val="center"/>
              <w:rPr>
                <w:rFonts w:asciiTheme="minorHAnsi" w:hAnsiTheme="minorHAnsi" w:cstheme="minorHAnsi"/>
                <w:color w:val="4D4D4D"/>
                <w:sz w:val="18"/>
                <w:szCs w:val="18"/>
                <w:highlight w:val="yellow"/>
              </w:rPr>
            </w:pPr>
            <w:r w:rsidRPr="00E55F33">
              <w:rPr>
                <w:rFonts w:asciiTheme="minorHAnsi" w:hAnsiTheme="minorHAnsi" w:cstheme="minorHAnsi"/>
                <w:b/>
                <w:bCs/>
                <w:sz w:val="18"/>
                <w:szCs w:val="18"/>
              </w:rPr>
              <w:t>REDACTED</w:t>
            </w:r>
          </w:p>
        </w:tc>
        <w:tc>
          <w:tcPr>
            <w:tcW w:w="720" w:type="dxa"/>
            <w:shd w:val="clear" w:color="auto" w:fill="DBDBDB"/>
            <w:noWrap/>
            <w:vAlign w:val="center"/>
          </w:tcPr>
          <w:p w14:paraId="73D4D9BD" w14:textId="77777777" w:rsidR="00AB4A29" w:rsidRPr="00A1701E" w:rsidRDefault="00AB4A29" w:rsidP="00AB4A29">
            <w:pPr>
              <w:keepNext/>
              <w:jc w:val="center"/>
              <w:rPr>
                <w:rFonts w:asciiTheme="minorHAnsi" w:hAnsiTheme="minorHAnsi" w:cstheme="minorHAnsi"/>
                <w:color w:val="4D4D4D"/>
                <w:sz w:val="18"/>
                <w:szCs w:val="18"/>
              </w:rPr>
            </w:pPr>
          </w:p>
        </w:tc>
        <w:tc>
          <w:tcPr>
            <w:tcW w:w="810" w:type="dxa"/>
            <w:shd w:val="clear" w:color="auto" w:fill="auto"/>
            <w:noWrap/>
            <w:vAlign w:val="center"/>
          </w:tcPr>
          <w:p w14:paraId="47B21368" w14:textId="43637E99" w:rsidR="00AB4A29" w:rsidRPr="00AB4A29" w:rsidRDefault="00AB4A29" w:rsidP="00AB4A29">
            <w:pPr>
              <w:keepNext/>
              <w:jc w:val="center"/>
              <w:rPr>
                <w:rFonts w:asciiTheme="minorHAnsi" w:hAnsiTheme="minorHAnsi" w:cstheme="minorHAnsi"/>
                <w:color w:val="4D4D4D"/>
                <w:sz w:val="16"/>
                <w:szCs w:val="16"/>
                <w:highlight w:val="yellow"/>
              </w:rPr>
            </w:pPr>
            <w:r w:rsidRPr="00AB4A29">
              <w:rPr>
                <w:rFonts w:asciiTheme="minorHAnsi" w:hAnsiTheme="minorHAnsi" w:cstheme="minorHAnsi"/>
                <w:b/>
                <w:bCs/>
                <w:color w:val="4D4D4D"/>
                <w:sz w:val="16"/>
                <w:szCs w:val="16"/>
              </w:rPr>
              <w:t>REDACTED</w:t>
            </w:r>
          </w:p>
        </w:tc>
        <w:tc>
          <w:tcPr>
            <w:tcW w:w="720" w:type="dxa"/>
            <w:shd w:val="clear" w:color="auto" w:fill="DBDBDB"/>
            <w:noWrap/>
            <w:vAlign w:val="center"/>
          </w:tcPr>
          <w:p w14:paraId="159F5E6A" w14:textId="77777777" w:rsidR="00AB4A29" w:rsidRPr="00A1701E" w:rsidRDefault="00AB4A29" w:rsidP="00AB4A29">
            <w:pPr>
              <w:keepNext/>
              <w:jc w:val="center"/>
              <w:rPr>
                <w:rFonts w:asciiTheme="minorHAnsi" w:hAnsiTheme="minorHAnsi" w:cstheme="minorHAnsi"/>
                <w:color w:val="4D4D4D"/>
                <w:sz w:val="18"/>
                <w:szCs w:val="18"/>
              </w:rPr>
            </w:pPr>
          </w:p>
        </w:tc>
        <w:tc>
          <w:tcPr>
            <w:tcW w:w="900" w:type="dxa"/>
            <w:shd w:val="clear" w:color="auto" w:fill="auto"/>
            <w:noWrap/>
            <w:vAlign w:val="center"/>
          </w:tcPr>
          <w:p w14:paraId="1DF5D5FC" w14:textId="07B5EAE4" w:rsidR="00AB4A29" w:rsidRPr="00A1701E" w:rsidRDefault="00AB4A29" w:rsidP="00AB4A29">
            <w:pPr>
              <w:keepNext/>
              <w:jc w:val="center"/>
              <w:rPr>
                <w:rFonts w:asciiTheme="minorHAnsi" w:hAnsiTheme="minorHAnsi" w:cstheme="minorHAnsi"/>
                <w:color w:val="4D4D4D"/>
                <w:sz w:val="18"/>
                <w:szCs w:val="18"/>
                <w:highlight w:val="yellow"/>
              </w:rPr>
            </w:pPr>
            <w:r w:rsidRPr="005C70AB">
              <w:rPr>
                <w:rFonts w:asciiTheme="minorHAnsi" w:hAnsiTheme="minorHAnsi" w:cstheme="minorHAnsi"/>
                <w:b/>
                <w:bCs/>
                <w:color w:val="4D4D4D"/>
                <w:sz w:val="18"/>
                <w:szCs w:val="18"/>
              </w:rPr>
              <w:t>REDACTED</w:t>
            </w:r>
          </w:p>
        </w:tc>
        <w:tc>
          <w:tcPr>
            <w:tcW w:w="810" w:type="dxa"/>
            <w:shd w:val="clear" w:color="auto" w:fill="auto"/>
            <w:noWrap/>
            <w:vAlign w:val="center"/>
          </w:tcPr>
          <w:p w14:paraId="7B1EF757" w14:textId="62C99317" w:rsidR="00AB4A29" w:rsidRPr="00A1701E" w:rsidRDefault="00AB4A29" w:rsidP="00AB4A29">
            <w:pPr>
              <w:keepNext/>
              <w:jc w:val="center"/>
              <w:rPr>
                <w:rFonts w:asciiTheme="minorHAnsi" w:hAnsiTheme="minorHAnsi" w:cstheme="minorHAnsi"/>
                <w:color w:val="4D4D4D"/>
                <w:sz w:val="18"/>
                <w:szCs w:val="18"/>
                <w:highlight w:val="yellow"/>
              </w:rPr>
            </w:pPr>
            <w:r w:rsidRPr="00AB4A29">
              <w:rPr>
                <w:rFonts w:asciiTheme="minorHAnsi" w:hAnsiTheme="minorHAnsi" w:cstheme="minorHAnsi"/>
                <w:b/>
                <w:bCs/>
                <w:sz w:val="16"/>
                <w:szCs w:val="16"/>
              </w:rPr>
              <w:t>REDACTED</w:t>
            </w:r>
          </w:p>
        </w:tc>
        <w:tc>
          <w:tcPr>
            <w:tcW w:w="770" w:type="dxa"/>
            <w:shd w:val="clear" w:color="auto" w:fill="auto"/>
            <w:noWrap/>
            <w:vAlign w:val="center"/>
          </w:tcPr>
          <w:p w14:paraId="6E03B9CA" w14:textId="0431A686" w:rsidR="00AB4A29" w:rsidRPr="00A1701E" w:rsidRDefault="00AB4A29" w:rsidP="00AB4A29">
            <w:pPr>
              <w:keepNext/>
              <w:jc w:val="center"/>
              <w:rPr>
                <w:rFonts w:asciiTheme="minorHAnsi" w:hAnsiTheme="minorHAnsi" w:cstheme="minorHAnsi"/>
                <w:color w:val="4D4D4D"/>
                <w:sz w:val="18"/>
                <w:szCs w:val="18"/>
                <w:highlight w:val="yellow"/>
              </w:rPr>
            </w:pPr>
            <w:r w:rsidRPr="007C631D">
              <w:rPr>
                <w:rFonts w:asciiTheme="minorHAnsi" w:hAnsiTheme="minorHAnsi" w:cstheme="minorHAnsi"/>
                <w:b/>
                <w:bCs/>
                <w:sz w:val="16"/>
                <w:szCs w:val="16"/>
              </w:rPr>
              <w:t>REDACTED</w:t>
            </w:r>
          </w:p>
        </w:tc>
        <w:tc>
          <w:tcPr>
            <w:tcW w:w="526" w:type="dxa"/>
            <w:shd w:val="clear" w:color="auto" w:fill="auto"/>
            <w:noWrap/>
            <w:vAlign w:val="center"/>
          </w:tcPr>
          <w:p w14:paraId="1FFB7DE2" w14:textId="563AA2E0" w:rsidR="00AB4A29" w:rsidRPr="00A1701E" w:rsidRDefault="00AB4A29" w:rsidP="00AB4A29">
            <w:pPr>
              <w:keepNext/>
              <w:jc w:val="center"/>
              <w:rPr>
                <w:rFonts w:asciiTheme="minorHAnsi" w:hAnsiTheme="minorHAnsi" w:cstheme="minorHAnsi"/>
                <w:color w:val="4D4D4D"/>
                <w:sz w:val="18"/>
                <w:szCs w:val="18"/>
                <w:highlight w:val="yellow"/>
              </w:rPr>
            </w:pPr>
            <w:r w:rsidRPr="00AB4A29">
              <w:rPr>
                <w:rFonts w:asciiTheme="minorHAnsi" w:hAnsiTheme="minorHAnsi" w:cstheme="minorHAnsi"/>
                <w:b/>
                <w:bCs/>
                <w:sz w:val="10"/>
                <w:szCs w:val="10"/>
              </w:rPr>
              <w:t>REDACTED</w:t>
            </w:r>
          </w:p>
        </w:tc>
      </w:tr>
      <w:tr w:rsidR="00AB4A29" w:rsidRPr="002F5ED6" w14:paraId="048E6860" w14:textId="77777777" w:rsidTr="00217C29">
        <w:trPr>
          <w:trHeight w:val="612"/>
        </w:trPr>
        <w:tc>
          <w:tcPr>
            <w:tcW w:w="1795" w:type="dxa"/>
            <w:shd w:val="clear" w:color="auto" w:fill="auto"/>
            <w:vAlign w:val="center"/>
            <w:hideMark/>
          </w:tcPr>
          <w:p w14:paraId="73CF9DB4" w14:textId="550AE8BF" w:rsidR="00AB4A29" w:rsidRPr="00A1701E" w:rsidRDefault="00AB4A29" w:rsidP="00AB4A29">
            <w:pPr>
              <w:keepNext/>
              <w:jc w:val="left"/>
              <w:rPr>
                <w:rFonts w:asciiTheme="minorHAnsi" w:hAnsiTheme="minorHAnsi" w:cstheme="minorHAnsi"/>
                <w:color w:val="4D4D4D"/>
                <w:sz w:val="18"/>
                <w:szCs w:val="18"/>
              </w:rPr>
            </w:pPr>
            <w:r w:rsidRPr="00A1701E">
              <w:rPr>
                <w:rFonts w:asciiTheme="minorHAnsi" w:hAnsiTheme="minorHAnsi" w:cstheme="minorHAnsi"/>
                <w:color w:val="4D4D4D"/>
                <w:sz w:val="18"/>
                <w:szCs w:val="18"/>
              </w:rPr>
              <w:t>Small Modular Reactors (SMRs)</w:t>
            </w:r>
          </w:p>
        </w:tc>
        <w:tc>
          <w:tcPr>
            <w:tcW w:w="1080" w:type="dxa"/>
            <w:shd w:val="clear" w:color="auto" w:fill="auto"/>
            <w:noWrap/>
            <w:vAlign w:val="center"/>
            <w:hideMark/>
          </w:tcPr>
          <w:p w14:paraId="7EE20357" w14:textId="27F633AF" w:rsidR="00AB4A29" w:rsidRPr="00A1701E" w:rsidRDefault="00AB4A29" w:rsidP="00AB4A29">
            <w:pPr>
              <w:keepNext/>
              <w:jc w:val="center"/>
              <w:rPr>
                <w:rFonts w:asciiTheme="minorHAnsi" w:hAnsiTheme="minorHAnsi" w:cstheme="minorHAnsi"/>
                <w:color w:val="4D4D4D"/>
                <w:sz w:val="18"/>
                <w:szCs w:val="18"/>
                <w:highlight w:val="yellow"/>
              </w:rPr>
            </w:pPr>
            <w:r w:rsidRPr="00E55F33">
              <w:rPr>
                <w:rFonts w:asciiTheme="minorHAnsi" w:hAnsiTheme="minorHAnsi" w:cstheme="minorHAnsi"/>
                <w:b/>
                <w:bCs/>
                <w:sz w:val="18"/>
                <w:szCs w:val="18"/>
              </w:rPr>
              <w:t>REDACTED</w:t>
            </w:r>
          </w:p>
        </w:tc>
        <w:tc>
          <w:tcPr>
            <w:tcW w:w="1620" w:type="dxa"/>
            <w:shd w:val="clear" w:color="auto" w:fill="auto"/>
            <w:noWrap/>
            <w:vAlign w:val="center"/>
            <w:hideMark/>
          </w:tcPr>
          <w:p w14:paraId="3FA711AC" w14:textId="5472DF15" w:rsidR="00AB4A29" w:rsidRPr="00A1701E" w:rsidRDefault="00AB4A29" w:rsidP="00AB4A29">
            <w:pPr>
              <w:keepNext/>
              <w:jc w:val="center"/>
              <w:rPr>
                <w:rFonts w:asciiTheme="minorHAnsi" w:hAnsiTheme="minorHAnsi" w:cstheme="minorHAnsi"/>
                <w:color w:val="4D4D4D"/>
                <w:sz w:val="18"/>
                <w:szCs w:val="18"/>
                <w:highlight w:val="yellow"/>
              </w:rPr>
            </w:pPr>
            <w:r w:rsidRPr="00E55F33">
              <w:rPr>
                <w:rFonts w:asciiTheme="minorHAnsi" w:hAnsiTheme="minorHAnsi" w:cstheme="minorHAnsi"/>
                <w:b/>
                <w:bCs/>
                <w:sz w:val="18"/>
                <w:szCs w:val="18"/>
              </w:rPr>
              <w:t>REDACTED</w:t>
            </w:r>
          </w:p>
        </w:tc>
        <w:tc>
          <w:tcPr>
            <w:tcW w:w="720" w:type="dxa"/>
            <w:shd w:val="clear" w:color="auto" w:fill="DBDBDB"/>
            <w:noWrap/>
            <w:vAlign w:val="center"/>
            <w:hideMark/>
          </w:tcPr>
          <w:p w14:paraId="075DD113" w14:textId="207B3B5F" w:rsidR="00AB4A29" w:rsidRPr="00A1701E" w:rsidRDefault="00AB4A29" w:rsidP="00AB4A29">
            <w:pPr>
              <w:keepNext/>
              <w:jc w:val="center"/>
              <w:rPr>
                <w:rFonts w:asciiTheme="minorHAnsi" w:hAnsiTheme="minorHAnsi" w:cstheme="minorHAnsi"/>
                <w:color w:val="4D4D4D"/>
                <w:sz w:val="18"/>
                <w:szCs w:val="18"/>
              </w:rPr>
            </w:pPr>
          </w:p>
        </w:tc>
        <w:tc>
          <w:tcPr>
            <w:tcW w:w="810" w:type="dxa"/>
            <w:shd w:val="clear" w:color="auto" w:fill="DBDBDB"/>
            <w:noWrap/>
            <w:vAlign w:val="center"/>
            <w:hideMark/>
          </w:tcPr>
          <w:p w14:paraId="352A745C" w14:textId="32A166C8" w:rsidR="00AB4A29" w:rsidRPr="00A1701E" w:rsidRDefault="00AB4A29" w:rsidP="00AB4A29">
            <w:pPr>
              <w:keepNext/>
              <w:jc w:val="center"/>
              <w:rPr>
                <w:rFonts w:asciiTheme="minorHAnsi" w:hAnsiTheme="minorHAnsi" w:cstheme="minorHAnsi"/>
                <w:color w:val="4D4D4D"/>
                <w:sz w:val="18"/>
                <w:szCs w:val="18"/>
              </w:rPr>
            </w:pPr>
          </w:p>
        </w:tc>
        <w:tc>
          <w:tcPr>
            <w:tcW w:w="720" w:type="dxa"/>
            <w:shd w:val="clear" w:color="auto" w:fill="DBDBDB"/>
            <w:noWrap/>
            <w:vAlign w:val="center"/>
            <w:hideMark/>
          </w:tcPr>
          <w:p w14:paraId="38BEB893" w14:textId="74F0D421" w:rsidR="00AB4A29" w:rsidRPr="00A1701E" w:rsidRDefault="00AB4A29" w:rsidP="00AB4A29">
            <w:pPr>
              <w:keepNext/>
              <w:jc w:val="center"/>
              <w:rPr>
                <w:rFonts w:asciiTheme="minorHAnsi" w:hAnsiTheme="minorHAnsi" w:cstheme="minorHAnsi"/>
                <w:color w:val="4D4D4D"/>
                <w:sz w:val="18"/>
                <w:szCs w:val="18"/>
              </w:rPr>
            </w:pPr>
          </w:p>
        </w:tc>
        <w:tc>
          <w:tcPr>
            <w:tcW w:w="900" w:type="dxa"/>
            <w:shd w:val="clear" w:color="auto" w:fill="auto"/>
            <w:noWrap/>
            <w:vAlign w:val="center"/>
            <w:hideMark/>
          </w:tcPr>
          <w:p w14:paraId="07BBC05D" w14:textId="613CA6EC" w:rsidR="00AB4A29" w:rsidRPr="00A1701E" w:rsidRDefault="00AB4A29" w:rsidP="00AB4A29">
            <w:pPr>
              <w:keepNext/>
              <w:jc w:val="center"/>
              <w:rPr>
                <w:rFonts w:asciiTheme="minorHAnsi" w:hAnsiTheme="minorHAnsi" w:cstheme="minorHAnsi"/>
                <w:color w:val="4D4D4D"/>
                <w:sz w:val="18"/>
                <w:szCs w:val="18"/>
                <w:highlight w:val="yellow"/>
              </w:rPr>
            </w:pPr>
            <w:r w:rsidRPr="005C70AB">
              <w:rPr>
                <w:rFonts w:asciiTheme="minorHAnsi" w:hAnsiTheme="minorHAnsi" w:cstheme="minorHAnsi"/>
                <w:b/>
                <w:bCs/>
                <w:color w:val="4D4D4D"/>
                <w:sz w:val="18"/>
                <w:szCs w:val="18"/>
              </w:rPr>
              <w:t>REDACTED</w:t>
            </w:r>
          </w:p>
        </w:tc>
        <w:tc>
          <w:tcPr>
            <w:tcW w:w="810" w:type="dxa"/>
            <w:shd w:val="clear" w:color="auto" w:fill="auto"/>
            <w:noWrap/>
            <w:vAlign w:val="center"/>
            <w:hideMark/>
          </w:tcPr>
          <w:p w14:paraId="48CF64E9" w14:textId="6F183D06" w:rsidR="00AB4A29" w:rsidRPr="00A1701E" w:rsidRDefault="00AB4A29" w:rsidP="00AB4A29">
            <w:pPr>
              <w:keepNext/>
              <w:jc w:val="center"/>
              <w:rPr>
                <w:rFonts w:asciiTheme="minorHAnsi" w:hAnsiTheme="minorHAnsi" w:cstheme="minorHAnsi"/>
                <w:color w:val="4D4D4D"/>
                <w:sz w:val="18"/>
                <w:szCs w:val="18"/>
                <w:highlight w:val="yellow"/>
              </w:rPr>
            </w:pPr>
            <w:r w:rsidRPr="00AB4A29">
              <w:rPr>
                <w:rFonts w:asciiTheme="minorHAnsi" w:hAnsiTheme="minorHAnsi" w:cstheme="minorHAnsi"/>
                <w:b/>
                <w:bCs/>
                <w:sz w:val="16"/>
                <w:szCs w:val="16"/>
              </w:rPr>
              <w:t>REDACTED</w:t>
            </w:r>
          </w:p>
        </w:tc>
        <w:tc>
          <w:tcPr>
            <w:tcW w:w="770" w:type="dxa"/>
            <w:shd w:val="clear" w:color="auto" w:fill="DBDBDB"/>
            <w:noWrap/>
            <w:vAlign w:val="center"/>
            <w:hideMark/>
          </w:tcPr>
          <w:p w14:paraId="575F102A" w14:textId="631153B4" w:rsidR="00AB4A29" w:rsidRPr="00A1701E" w:rsidRDefault="00AB4A29" w:rsidP="00AB4A29">
            <w:pPr>
              <w:keepNext/>
              <w:jc w:val="center"/>
              <w:rPr>
                <w:rFonts w:asciiTheme="minorHAnsi" w:hAnsiTheme="minorHAnsi" w:cstheme="minorHAnsi"/>
                <w:color w:val="4D4D4D"/>
                <w:sz w:val="18"/>
                <w:szCs w:val="18"/>
              </w:rPr>
            </w:pPr>
          </w:p>
        </w:tc>
        <w:tc>
          <w:tcPr>
            <w:tcW w:w="526" w:type="dxa"/>
            <w:shd w:val="clear" w:color="auto" w:fill="auto"/>
            <w:noWrap/>
            <w:vAlign w:val="center"/>
            <w:hideMark/>
          </w:tcPr>
          <w:p w14:paraId="74FC0D12" w14:textId="3BA4F313" w:rsidR="00AB4A29" w:rsidRPr="00A1701E" w:rsidRDefault="00AB4A29" w:rsidP="00AB4A29">
            <w:pPr>
              <w:keepNext/>
              <w:jc w:val="center"/>
              <w:rPr>
                <w:rFonts w:asciiTheme="minorHAnsi" w:hAnsiTheme="minorHAnsi" w:cstheme="minorHAnsi"/>
                <w:color w:val="4D4D4D"/>
                <w:sz w:val="18"/>
                <w:szCs w:val="18"/>
                <w:highlight w:val="yellow"/>
              </w:rPr>
            </w:pPr>
            <w:r w:rsidRPr="00AB4A29">
              <w:rPr>
                <w:rFonts w:asciiTheme="minorHAnsi" w:hAnsiTheme="minorHAnsi" w:cstheme="minorHAnsi"/>
                <w:b/>
                <w:bCs/>
                <w:sz w:val="10"/>
                <w:szCs w:val="10"/>
              </w:rPr>
              <w:t>REDACTED</w:t>
            </w:r>
          </w:p>
        </w:tc>
      </w:tr>
    </w:tbl>
    <w:p w14:paraId="3562E345" w14:textId="77777777" w:rsidR="00392C59" w:rsidRPr="00A1701E" w:rsidRDefault="00392C59" w:rsidP="00293B48">
      <w:pPr>
        <w:spacing w:after="240" w:line="360" w:lineRule="auto"/>
        <w:rPr>
          <w:rFonts w:asciiTheme="minorHAnsi" w:hAnsiTheme="minorHAnsi" w:cstheme="minorHAnsi"/>
          <w:sz w:val="22"/>
          <w:szCs w:val="22"/>
        </w:rPr>
      </w:pPr>
    </w:p>
    <w:p w14:paraId="28C4F4C7" w14:textId="77777777" w:rsidR="001D536D" w:rsidRDefault="001D536D">
      <w:pPr>
        <w:jc w:val="left"/>
        <w:rPr>
          <w:rFonts w:asciiTheme="minorHAnsi" w:hAnsiTheme="minorHAnsi" w:cstheme="minorHAnsi"/>
          <w:sz w:val="22"/>
          <w:szCs w:val="22"/>
        </w:rPr>
      </w:pPr>
      <w:r>
        <w:rPr>
          <w:rFonts w:asciiTheme="minorHAnsi" w:hAnsiTheme="minorHAnsi" w:cstheme="minorHAnsi"/>
          <w:sz w:val="22"/>
          <w:szCs w:val="22"/>
        </w:rPr>
        <w:br w:type="page"/>
      </w:r>
    </w:p>
    <w:p w14:paraId="339256D5" w14:textId="5480A24C" w:rsidR="007E196C" w:rsidRPr="00A1701E" w:rsidRDefault="0047631C" w:rsidP="002A2B0A">
      <w:pPr>
        <w:spacing w:after="240" w:line="360" w:lineRule="auto"/>
        <w:rPr>
          <w:rStyle w:val="normaltextrun"/>
          <w:rFonts w:asciiTheme="minorHAnsi" w:hAnsiTheme="minorHAnsi" w:cstheme="minorHAnsi"/>
          <w:sz w:val="22"/>
          <w:szCs w:val="22"/>
        </w:rPr>
      </w:pPr>
      <w:r w:rsidRPr="00A1701E">
        <w:rPr>
          <w:rFonts w:asciiTheme="minorHAnsi" w:hAnsiTheme="minorHAnsi" w:cstheme="minorHAnsi"/>
          <w:sz w:val="22"/>
          <w:szCs w:val="22"/>
        </w:rPr>
        <w:t>Construction cost e</w:t>
      </w:r>
      <w:r w:rsidR="00D57C13" w:rsidRPr="00A1701E">
        <w:rPr>
          <w:rFonts w:asciiTheme="minorHAnsi" w:hAnsiTheme="minorHAnsi" w:cstheme="minorHAnsi"/>
          <w:sz w:val="22"/>
          <w:szCs w:val="22"/>
        </w:rPr>
        <w:t xml:space="preserve">scalation </w:t>
      </w:r>
      <w:r w:rsidR="00EC56DB" w:rsidRPr="00A1701E">
        <w:rPr>
          <w:rFonts w:asciiTheme="minorHAnsi" w:hAnsiTheme="minorHAnsi" w:cstheme="minorHAnsi"/>
          <w:sz w:val="22"/>
          <w:szCs w:val="22"/>
        </w:rPr>
        <w:t xml:space="preserve">rates </w:t>
      </w:r>
      <w:r w:rsidR="00D57C13" w:rsidRPr="00A1701E">
        <w:rPr>
          <w:rFonts w:asciiTheme="minorHAnsi" w:hAnsiTheme="minorHAnsi" w:cstheme="minorHAnsi"/>
          <w:sz w:val="22"/>
          <w:szCs w:val="22"/>
        </w:rPr>
        <w:t>for all technologies</w:t>
      </w:r>
      <w:r w:rsidR="00F71F34" w:rsidRPr="00A1701E">
        <w:rPr>
          <w:rFonts w:asciiTheme="minorHAnsi" w:hAnsiTheme="minorHAnsi" w:cstheme="minorHAnsi"/>
          <w:sz w:val="22"/>
          <w:szCs w:val="22"/>
        </w:rPr>
        <w:t xml:space="preserve"> except </w:t>
      </w:r>
      <w:r w:rsidR="009339A0" w:rsidRPr="00A1701E">
        <w:rPr>
          <w:rFonts w:asciiTheme="minorHAnsi" w:hAnsiTheme="minorHAnsi" w:cstheme="minorHAnsi"/>
          <w:sz w:val="22"/>
          <w:szCs w:val="22"/>
        </w:rPr>
        <w:t xml:space="preserve">solar, wind, and </w:t>
      </w:r>
      <w:r w:rsidR="00843F2C" w:rsidRPr="00A1701E">
        <w:rPr>
          <w:rFonts w:asciiTheme="minorHAnsi" w:hAnsiTheme="minorHAnsi" w:cstheme="minorHAnsi"/>
          <w:sz w:val="22"/>
          <w:szCs w:val="22"/>
        </w:rPr>
        <w:t>BESS</w:t>
      </w:r>
      <w:r w:rsidR="00D57C13" w:rsidRPr="00A1701E">
        <w:rPr>
          <w:rFonts w:asciiTheme="minorHAnsi" w:hAnsiTheme="minorHAnsi" w:cstheme="minorHAnsi"/>
          <w:sz w:val="22"/>
          <w:szCs w:val="22"/>
        </w:rPr>
        <w:t xml:space="preserve"> are based on the Producer Price Index (</w:t>
      </w:r>
      <w:r w:rsidR="007243AD" w:rsidRPr="00A1701E">
        <w:rPr>
          <w:rFonts w:asciiTheme="minorHAnsi" w:hAnsiTheme="minorHAnsi" w:cstheme="minorHAnsi"/>
          <w:sz w:val="22"/>
          <w:szCs w:val="22"/>
        </w:rPr>
        <w:t>“</w:t>
      </w:r>
      <w:r w:rsidR="00D57C13" w:rsidRPr="00A1701E">
        <w:rPr>
          <w:rFonts w:asciiTheme="minorHAnsi" w:hAnsiTheme="minorHAnsi" w:cstheme="minorHAnsi"/>
          <w:sz w:val="22"/>
          <w:szCs w:val="22"/>
        </w:rPr>
        <w:t>PPI</w:t>
      </w:r>
      <w:r w:rsidR="007243AD" w:rsidRPr="00A1701E">
        <w:rPr>
          <w:rFonts w:asciiTheme="minorHAnsi" w:hAnsiTheme="minorHAnsi" w:cstheme="minorHAnsi"/>
          <w:sz w:val="22"/>
          <w:szCs w:val="22"/>
        </w:rPr>
        <w:t>”</w:t>
      </w:r>
      <w:r w:rsidR="00D57C13" w:rsidRPr="00A1701E">
        <w:rPr>
          <w:rFonts w:asciiTheme="minorHAnsi" w:hAnsiTheme="minorHAnsi" w:cstheme="minorHAnsi"/>
          <w:sz w:val="22"/>
          <w:szCs w:val="22"/>
        </w:rPr>
        <w:t xml:space="preserve">) from the </w:t>
      </w:r>
      <w:r w:rsidR="008C5AD9" w:rsidRPr="00A1701E">
        <w:rPr>
          <w:rFonts w:asciiTheme="minorHAnsi" w:hAnsiTheme="minorHAnsi" w:cstheme="minorHAnsi"/>
          <w:sz w:val="22"/>
          <w:szCs w:val="22"/>
        </w:rPr>
        <w:t xml:space="preserve">IHS </w:t>
      </w:r>
      <w:r w:rsidR="00D57C13" w:rsidRPr="00A1701E">
        <w:rPr>
          <w:rFonts w:asciiTheme="minorHAnsi" w:hAnsiTheme="minorHAnsi" w:cstheme="minorHAnsi"/>
          <w:sz w:val="22"/>
          <w:szCs w:val="22"/>
        </w:rPr>
        <w:t>Markit June 202</w:t>
      </w:r>
      <w:r w:rsidR="007E196C" w:rsidRPr="00A1701E">
        <w:rPr>
          <w:rFonts w:asciiTheme="minorHAnsi" w:hAnsiTheme="minorHAnsi" w:cstheme="minorHAnsi"/>
          <w:sz w:val="22"/>
          <w:szCs w:val="22"/>
        </w:rPr>
        <w:t>3</w:t>
      </w:r>
      <w:r w:rsidR="00D57C13" w:rsidRPr="00A1701E">
        <w:rPr>
          <w:rFonts w:asciiTheme="minorHAnsi" w:hAnsiTheme="minorHAnsi" w:cstheme="minorHAnsi"/>
          <w:sz w:val="22"/>
          <w:szCs w:val="22"/>
        </w:rPr>
        <w:t xml:space="preserve"> Forecast</w:t>
      </w:r>
      <w:r w:rsidRPr="00A1701E">
        <w:rPr>
          <w:rFonts w:asciiTheme="minorHAnsi" w:hAnsiTheme="minorHAnsi" w:cstheme="minorHAnsi"/>
          <w:sz w:val="22"/>
          <w:szCs w:val="22"/>
        </w:rPr>
        <w:t xml:space="preserve">, which is </w:t>
      </w:r>
      <w:r w:rsidR="000537CE" w:rsidRPr="00A1701E">
        <w:rPr>
          <w:rFonts w:asciiTheme="minorHAnsi" w:hAnsiTheme="minorHAnsi" w:cstheme="minorHAnsi"/>
          <w:sz w:val="22"/>
          <w:szCs w:val="22"/>
        </w:rPr>
        <w:br/>
      </w:r>
      <w:r w:rsidR="00745DE6" w:rsidRPr="00482F80">
        <w:rPr>
          <w:rFonts w:asciiTheme="minorHAnsi" w:hAnsiTheme="minorHAnsi" w:cstheme="minorHAnsi"/>
          <w:b/>
          <w:bCs/>
          <w:sz w:val="10"/>
          <w:szCs w:val="10"/>
        </w:rPr>
        <w:t>REDACTED</w:t>
      </w:r>
      <w:r w:rsidR="00D57C13" w:rsidRPr="00A1701E">
        <w:rPr>
          <w:rFonts w:asciiTheme="minorHAnsi" w:hAnsiTheme="minorHAnsi" w:cstheme="minorHAnsi"/>
          <w:sz w:val="22"/>
          <w:szCs w:val="22"/>
        </w:rPr>
        <w:t xml:space="preserve">% for the duration of the planning period. </w:t>
      </w:r>
    </w:p>
    <w:p w14:paraId="4779C00A" w14:textId="1A3FB962" w:rsidR="007E196C" w:rsidRPr="00A1701E" w:rsidRDefault="000E3E1E" w:rsidP="007E196C">
      <w:pPr>
        <w:spacing w:after="240" w:line="360" w:lineRule="auto"/>
        <w:rPr>
          <w:rFonts w:asciiTheme="minorHAnsi" w:hAnsiTheme="minorHAnsi" w:cstheme="minorHAnsi"/>
          <w:sz w:val="22"/>
          <w:szCs w:val="22"/>
        </w:rPr>
      </w:pPr>
      <w:r w:rsidRPr="00A1701E">
        <w:rPr>
          <w:rFonts w:asciiTheme="minorHAnsi" w:hAnsiTheme="minorHAnsi" w:cstheme="minorHAnsi"/>
          <w:sz w:val="22"/>
          <w:szCs w:val="22"/>
        </w:rPr>
        <w:t xml:space="preserve">Figure </w:t>
      </w:r>
      <w:r w:rsidR="00425E3A" w:rsidRPr="00A1701E">
        <w:rPr>
          <w:rFonts w:asciiTheme="minorHAnsi" w:hAnsiTheme="minorHAnsi" w:cstheme="minorHAnsi"/>
          <w:sz w:val="22"/>
          <w:szCs w:val="22"/>
        </w:rPr>
        <w:t>10</w:t>
      </w:r>
      <w:r w:rsidRPr="00A1701E">
        <w:rPr>
          <w:rFonts w:asciiTheme="minorHAnsi" w:hAnsiTheme="minorHAnsi" w:cstheme="minorHAnsi"/>
          <w:sz w:val="22"/>
          <w:szCs w:val="22"/>
        </w:rPr>
        <w:t xml:space="preserve"> shows the normalized cost projections </w:t>
      </w:r>
      <w:r w:rsidR="003A4C96" w:rsidRPr="00A1701E">
        <w:rPr>
          <w:rFonts w:asciiTheme="minorHAnsi" w:hAnsiTheme="minorHAnsi" w:cstheme="minorHAnsi"/>
          <w:sz w:val="22"/>
          <w:szCs w:val="22"/>
        </w:rPr>
        <w:t>for</w:t>
      </w:r>
      <w:r w:rsidRPr="00A1701E">
        <w:rPr>
          <w:rFonts w:asciiTheme="minorHAnsi" w:hAnsiTheme="minorHAnsi" w:cstheme="minorHAnsi"/>
          <w:sz w:val="22"/>
          <w:szCs w:val="22"/>
        </w:rPr>
        <w:t xml:space="preserve"> Southeast Wind</w:t>
      </w:r>
      <w:r w:rsidR="00883749" w:rsidRPr="00A1701E">
        <w:rPr>
          <w:rFonts w:asciiTheme="minorHAnsi" w:hAnsiTheme="minorHAnsi" w:cstheme="minorHAnsi"/>
          <w:sz w:val="22"/>
          <w:szCs w:val="22"/>
        </w:rPr>
        <w:t>,</w:t>
      </w:r>
      <w:r w:rsidR="003A4C96" w:rsidRPr="00A1701E">
        <w:rPr>
          <w:rFonts w:asciiTheme="minorHAnsi" w:hAnsiTheme="minorHAnsi" w:cstheme="minorHAnsi"/>
          <w:sz w:val="22"/>
          <w:szCs w:val="22"/>
        </w:rPr>
        <w:t xml:space="preserve"> Solar, and BESS,</w:t>
      </w:r>
      <w:r w:rsidR="00883749" w:rsidRPr="00A1701E">
        <w:rPr>
          <w:rFonts w:asciiTheme="minorHAnsi" w:hAnsiTheme="minorHAnsi" w:cstheme="minorHAnsi"/>
          <w:sz w:val="22"/>
          <w:szCs w:val="22"/>
        </w:rPr>
        <w:t xml:space="preserve"> which show the escalation trajectory used in </w:t>
      </w:r>
      <w:r w:rsidR="007E196C" w:rsidRPr="00A1701E">
        <w:rPr>
          <w:rFonts w:asciiTheme="minorHAnsi" w:hAnsiTheme="minorHAnsi" w:cstheme="minorHAnsi"/>
          <w:sz w:val="22"/>
          <w:szCs w:val="22"/>
        </w:rPr>
        <w:t>the Resource Mix study</w:t>
      </w:r>
      <w:r w:rsidR="00883749" w:rsidRPr="00A1701E">
        <w:rPr>
          <w:rFonts w:asciiTheme="minorHAnsi" w:hAnsiTheme="minorHAnsi" w:cstheme="minorHAnsi"/>
          <w:sz w:val="22"/>
          <w:szCs w:val="22"/>
        </w:rPr>
        <w:t>.</w:t>
      </w:r>
      <w:r w:rsidR="49FA0ECF" w:rsidRPr="00A1701E">
        <w:rPr>
          <w:rFonts w:asciiTheme="minorHAnsi" w:hAnsiTheme="minorHAnsi" w:cstheme="minorHAnsi"/>
          <w:sz w:val="22"/>
          <w:szCs w:val="22"/>
        </w:rPr>
        <w:t xml:space="preserve"> </w:t>
      </w:r>
    </w:p>
    <w:p w14:paraId="5B8A53D3" w14:textId="3787F871" w:rsidR="00FC3E86" w:rsidRDefault="00883749" w:rsidP="00BA1AF1">
      <w:pPr>
        <w:keepNext/>
        <w:spacing w:line="360" w:lineRule="auto"/>
        <w:jc w:val="center"/>
        <w:rPr>
          <w:rFonts w:asciiTheme="minorHAnsi" w:eastAsia="Arial" w:hAnsiTheme="minorHAnsi" w:cstheme="minorHAnsi"/>
          <w:i/>
          <w:iCs/>
        </w:rPr>
      </w:pPr>
      <w:r w:rsidRPr="00482F80">
        <w:rPr>
          <w:rFonts w:asciiTheme="minorHAnsi" w:eastAsia="Arial" w:hAnsiTheme="minorHAnsi" w:cstheme="minorHAnsi"/>
          <w:i/>
          <w:iCs/>
        </w:rPr>
        <w:t xml:space="preserve">Figure </w:t>
      </w:r>
      <w:r w:rsidR="00293B48" w:rsidRPr="00482F80">
        <w:rPr>
          <w:rFonts w:asciiTheme="minorHAnsi" w:eastAsia="Arial" w:hAnsiTheme="minorHAnsi" w:cstheme="minorHAnsi"/>
          <w:i/>
          <w:iCs/>
        </w:rPr>
        <w:t>1</w:t>
      </w:r>
      <w:r w:rsidR="00425E3A" w:rsidRPr="00482F80">
        <w:rPr>
          <w:rFonts w:asciiTheme="minorHAnsi" w:eastAsia="Arial" w:hAnsiTheme="minorHAnsi" w:cstheme="minorHAnsi"/>
          <w:i/>
          <w:iCs/>
        </w:rPr>
        <w:t>0</w:t>
      </w:r>
      <w:r w:rsidRPr="00482F80">
        <w:rPr>
          <w:rFonts w:asciiTheme="minorHAnsi" w:eastAsia="Arial" w:hAnsiTheme="minorHAnsi" w:cstheme="minorHAnsi"/>
          <w:i/>
        </w:rPr>
        <w:t xml:space="preserve">: </w:t>
      </w:r>
      <w:r w:rsidR="00FC3E86" w:rsidRPr="00482F80">
        <w:rPr>
          <w:rFonts w:asciiTheme="minorHAnsi" w:eastAsia="Arial" w:hAnsiTheme="minorHAnsi" w:cstheme="minorHAnsi"/>
          <w:i/>
        </w:rPr>
        <w:t xml:space="preserve">Normalized Cost Projections for </w:t>
      </w:r>
      <w:r w:rsidR="00B3389E" w:rsidRPr="00482F80">
        <w:rPr>
          <w:rFonts w:asciiTheme="minorHAnsi" w:eastAsia="Arial" w:hAnsiTheme="minorHAnsi" w:cstheme="minorHAnsi"/>
          <w:i/>
        </w:rPr>
        <w:t xml:space="preserve">Southeast Wind, Solar, and </w:t>
      </w:r>
      <w:r w:rsidR="00FC3E86" w:rsidRPr="00482F80">
        <w:rPr>
          <w:rFonts w:asciiTheme="minorHAnsi" w:eastAsia="Arial" w:hAnsiTheme="minorHAnsi" w:cstheme="minorHAnsi"/>
          <w:i/>
        </w:rPr>
        <w:t>BESS</w:t>
      </w:r>
      <w:r w:rsidR="00FC3E86" w:rsidRPr="00A1701E">
        <w:rPr>
          <w:rFonts w:asciiTheme="minorHAnsi" w:eastAsia="Arial" w:hAnsiTheme="minorHAnsi" w:cstheme="minorHAnsi"/>
          <w:i/>
          <w:iCs/>
        </w:rPr>
        <w:t xml:space="preserve"> </w:t>
      </w:r>
    </w:p>
    <w:p w14:paraId="07D0CD77" w14:textId="77777777" w:rsidR="00BA1AF1" w:rsidRPr="00A1701E" w:rsidRDefault="00BA1AF1" w:rsidP="00BA1AF1">
      <w:pPr>
        <w:keepNext/>
        <w:spacing w:line="360" w:lineRule="auto"/>
        <w:jc w:val="center"/>
        <w:rPr>
          <w:rFonts w:asciiTheme="minorHAnsi" w:eastAsia="Arial" w:hAnsiTheme="minorHAnsi" w:cstheme="minorHAnsi"/>
          <w:i/>
          <w:iCs/>
        </w:rPr>
      </w:pPr>
    </w:p>
    <w:p w14:paraId="64BEA7BB" w14:textId="54CD757D" w:rsidR="00FC3E86" w:rsidRDefault="006506AE" w:rsidP="00FC3E86">
      <w:pPr>
        <w:spacing w:after="240" w:line="360" w:lineRule="auto"/>
        <w:jc w:val="center"/>
        <w:rPr>
          <w:rFonts w:asciiTheme="minorHAnsi" w:eastAsia="Arial" w:hAnsiTheme="minorHAnsi" w:cstheme="minorHAnsi"/>
        </w:rPr>
      </w:pPr>
      <w:r>
        <w:rPr>
          <w:noProof/>
        </w:rPr>
        <w:drawing>
          <wp:inline distT="0" distB="0" distL="0" distR="0" wp14:anchorId="69AEA570" wp14:editId="2DC5AE2F">
            <wp:extent cx="5943600" cy="3553541"/>
            <wp:effectExtent l="0" t="0" r="0" b="8890"/>
            <wp:docPr id="974457670" name="Picture 974457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5943600" cy="3553541"/>
                    </a:xfrm>
                    <a:prstGeom prst="rect">
                      <a:avLst/>
                    </a:prstGeom>
                  </pic:spPr>
                </pic:pic>
              </a:graphicData>
            </a:graphic>
          </wp:inline>
        </w:drawing>
      </w:r>
    </w:p>
    <w:p w14:paraId="1952A1CC" w14:textId="77777777" w:rsidR="0024414A" w:rsidRPr="0024414A" w:rsidRDefault="0024414A" w:rsidP="0024414A">
      <w:pPr>
        <w:spacing w:line="360" w:lineRule="auto"/>
        <w:jc w:val="center"/>
        <w:rPr>
          <w:rFonts w:asciiTheme="minorHAnsi" w:eastAsia="Arial" w:hAnsiTheme="minorHAnsi" w:cstheme="minorHAnsi"/>
          <w:sz w:val="24"/>
          <w:szCs w:val="24"/>
        </w:rPr>
      </w:pPr>
    </w:p>
    <w:p w14:paraId="10218077" w14:textId="6133BDDD" w:rsidR="006A0574" w:rsidRPr="00A1701E" w:rsidRDefault="69E763A8" w:rsidP="001E4BE5">
      <w:pPr>
        <w:spacing w:line="360" w:lineRule="auto"/>
        <w:rPr>
          <w:rFonts w:asciiTheme="minorHAnsi" w:hAnsiTheme="minorHAnsi" w:cstheme="minorHAnsi"/>
          <w:sz w:val="22"/>
          <w:szCs w:val="22"/>
        </w:rPr>
      </w:pPr>
      <w:r w:rsidRPr="00A1701E">
        <w:rPr>
          <w:rFonts w:asciiTheme="minorHAnsi" w:hAnsiTheme="minorHAnsi" w:cstheme="minorHAnsi"/>
          <w:sz w:val="22"/>
          <w:szCs w:val="22"/>
        </w:rPr>
        <w:t xml:space="preserve">Aurora selects new units based on minimizing total operating and capital costs. </w:t>
      </w:r>
      <w:proofErr w:type="gramStart"/>
      <w:r w:rsidRPr="00A1701E">
        <w:rPr>
          <w:rFonts w:asciiTheme="minorHAnsi" w:hAnsiTheme="minorHAnsi" w:cstheme="minorHAnsi"/>
          <w:sz w:val="22"/>
          <w:szCs w:val="22"/>
        </w:rPr>
        <w:t>In order to</w:t>
      </w:r>
      <w:proofErr w:type="gramEnd"/>
      <w:r w:rsidRPr="00A1701E">
        <w:rPr>
          <w:rFonts w:asciiTheme="minorHAnsi" w:hAnsiTheme="minorHAnsi" w:cstheme="minorHAnsi"/>
          <w:sz w:val="22"/>
          <w:szCs w:val="22"/>
        </w:rPr>
        <w:t xml:space="preserve"> minimize potential size bias, a unit size of 300 MW was considered for all technologies. The model adds resources in multiples of 300 MW. </w:t>
      </w:r>
    </w:p>
    <w:p w14:paraId="2CCBEC06" w14:textId="77777777" w:rsidR="00EF36B4" w:rsidRPr="00A1701E" w:rsidRDefault="00EF36B4" w:rsidP="001E4BE5">
      <w:pPr>
        <w:spacing w:line="360" w:lineRule="auto"/>
        <w:rPr>
          <w:rFonts w:asciiTheme="minorHAnsi" w:hAnsiTheme="minorHAnsi" w:cstheme="minorHAnsi"/>
          <w:sz w:val="22"/>
          <w:szCs w:val="22"/>
        </w:rPr>
      </w:pPr>
    </w:p>
    <w:p w14:paraId="0BAC2C0C" w14:textId="1C8C6FB3" w:rsidR="00365C95" w:rsidRPr="00A1701E" w:rsidRDefault="00365C95" w:rsidP="00365C95">
      <w:pPr>
        <w:pStyle w:val="Heading3"/>
        <w:keepNext/>
        <w:rPr>
          <w:rFonts w:asciiTheme="minorHAnsi" w:hAnsiTheme="minorHAnsi" w:cstheme="minorHAnsi"/>
          <w:i/>
          <w:iCs/>
          <w:sz w:val="22"/>
          <w:szCs w:val="18"/>
          <w:u w:val="none"/>
        </w:rPr>
      </w:pPr>
      <w:r w:rsidRPr="00A1701E">
        <w:rPr>
          <w:rFonts w:asciiTheme="minorHAnsi" w:hAnsiTheme="minorHAnsi" w:cstheme="minorHAnsi"/>
          <w:i/>
          <w:iCs/>
          <w:sz w:val="22"/>
          <w:szCs w:val="18"/>
          <w:u w:val="none"/>
        </w:rPr>
        <w:t>INFLATION REDUCTION ACT</w:t>
      </w:r>
    </w:p>
    <w:p w14:paraId="0D25C90D" w14:textId="416B1C75" w:rsidR="00365C95" w:rsidRPr="00A1701E" w:rsidRDefault="00365C95" w:rsidP="00365C95">
      <w:pPr>
        <w:pStyle w:val="NormalIndent"/>
        <w:ind w:left="0"/>
        <w:rPr>
          <w:rFonts w:asciiTheme="minorHAnsi" w:hAnsiTheme="minorHAnsi" w:cstheme="minorHAnsi"/>
        </w:rPr>
      </w:pPr>
    </w:p>
    <w:p w14:paraId="44A89739" w14:textId="0AA3DA37" w:rsidR="00EF36B4" w:rsidRPr="00A1701E" w:rsidRDefault="00365C95" w:rsidP="001E4BE5">
      <w:pPr>
        <w:spacing w:line="360" w:lineRule="auto"/>
        <w:rPr>
          <w:rFonts w:asciiTheme="minorHAnsi" w:hAnsiTheme="minorHAnsi" w:cstheme="minorHAnsi"/>
          <w:sz w:val="22"/>
          <w:szCs w:val="22"/>
        </w:rPr>
      </w:pPr>
      <w:r w:rsidRPr="00A1701E">
        <w:rPr>
          <w:rFonts w:asciiTheme="minorHAnsi" w:hAnsiTheme="minorHAnsi" w:cstheme="minorHAnsi"/>
          <w:sz w:val="22"/>
          <w:szCs w:val="22"/>
        </w:rPr>
        <w:t xml:space="preserve">The </w:t>
      </w:r>
      <w:r w:rsidR="003B5027" w:rsidRPr="00A1701E">
        <w:rPr>
          <w:rFonts w:asciiTheme="minorHAnsi" w:hAnsiTheme="minorHAnsi" w:cstheme="minorHAnsi"/>
          <w:sz w:val="22"/>
          <w:szCs w:val="22"/>
        </w:rPr>
        <w:t xml:space="preserve">IRA </w:t>
      </w:r>
      <w:r w:rsidRPr="00A1701E">
        <w:rPr>
          <w:rFonts w:asciiTheme="minorHAnsi" w:hAnsiTheme="minorHAnsi" w:cstheme="minorHAnsi"/>
          <w:sz w:val="22"/>
          <w:szCs w:val="22"/>
        </w:rPr>
        <w:t xml:space="preserve">was passed in August of 2022, providing tax incentives to various clean energy technology options. These tax incentives have been incorporated into various technology options that are eligible for selection in the Mix Study. </w:t>
      </w:r>
      <w:r w:rsidR="00D33EF3" w:rsidRPr="00A1701E">
        <w:rPr>
          <w:rFonts w:asciiTheme="minorHAnsi" w:hAnsiTheme="minorHAnsi" w:cstheme="minorHAnsi"/>
          <w:sz w:val="22"/>
          <w:szCs w:val="22"/>
        </w:rPr>
        <w:t>Section 2.6.1 on the candidate expansion technologies references how the IRA credits are incorporated for each eligible technology.</w:t>
      </w:r>
      <w:r w:rsidRPr="00A1701E">
        <w:rPr>
          <w:rFonts w:asciiTheme="minorHAnsi" w:hAnsiTheme="minorHAnsi" w:cstheme="minorHAnsi"/>
          <w:sz w:val="22"/>
          <w:szCs w:val="22"/>
        </w:rPr>
        <w:t xml:space="preserve"> </w:t>
      </w:r>
    </w:p>
    <w:p w14:paraId="48694F4C" w14:textId="3FA87C4F" w:rsidR="003B5027" w:rsidRPr="00A1701E" w:rsidRDefault="003B5027" w:rsidP="001E4BE5">
      <w:pPr>
        <w:spacing w:line="360" w:lineRule="auto"/>
        <w:rPr>
          <w:rFonts w:asciiTheme="minorHAnsi" w:hAnsiTheme="minorHAnsi" w:cstheme="minorHAnsi"/>
          <w:sz w:val="22"/>
          <w:szCs w:val="22"/>
        </w:rPr>
      </w:pPr>
    </w:p>
    <w:p w14:paraId="01384E76" w14:textId="42326E4B" w:rsidR="003B5027" w:rsidRPr="00A1701E" w:rsidRDefault="003B5027" w:rsidP="001E4BE5">
      <w:pPr>
        <w:spacing w:line="360" w:lineRule="auto"/>
        <w:rPr>
          <w:rFonts w:asciiTheme="minorHAnsi" w:hAnsiTheme="minorHAnsi" w:cstheme="minorHAnsi"/>
          <w:sz w:val="22"/>
          <w:szCs w:val="22"/>
        </w:rPr>
      </w:pPr>
      <w:r w:rsidRPr="00A1701E">
        <w:rPr>
          <w:rFonts w:asciiTheme="minorHAnsi" w:hAnsiTheme="minorHAnsi" w:cstheme="minorHAnsi"/>
          <w:sz w:val="22"/>
          <w:szCs w:val="22"/>
        </w:rPr>
        <w:t xml:space="preserve">The IRA </w:t>
      </w:r>
      <w:r w:rsidR="001030E7" w:rsidRPr="00A1701E">
        <w:rPr>
          <w:rFonts w:asciiTheme="minorHAnsi" w:hAnsiTheme="minorHAnsi" w:cstheme="minorHAnsi"/>
          <w:sz w:val="22"/>
          <w:szCs w:val="22"/>
        </w:rPr>
        <w:t xml:space="preserve">has various provisions for when incentives are set to end. Many </w:t>
      </w:r>
      <w:r w:rsidR="0048046E" w:rsidRPr="00A1701E">
        <w:rPr>
          <w:rFonts w:asciiTheme="minorHAnsi" w:hAnsiTheme="minorHAnsi" w:cstheme="minorHAnsi"/>
          <w:sz w:val="22"/>
          <w:szCs w:val="22"/>
        </w:rPr>
        <w:t xml:space="preserve">tax credits are set to phase out at the later of </w:t>
      </w:r>
      <w:r w:rsidR="006D07E2" w:rsidRPr="00A1701E">
        <w:rPr>
          <w:rFonts w:asciiTheme="minorHAnsi" w:hAnsiTheme="minorHAnsi" w:cstheme="minorHAnsi"/>
          <w:sz w:val="22"/>
          <w:szCs w:val="22"/>
        </w:rPr>
        <w:t>2032 or</w:t>
      </w:r>
      <w:r w:rsidR="0048046E" w:rsidRPr="00A1701E">
        <w:rPr>
          <w:rFonts w:asciiTheme="minorHAnsi" w:hAnsiTheme="minorHAnsi" w:cstheme="minorHAnsi"/>
          <w:sz w:val="22"/>
          <w:szCs w:val="22"/>
        </w:rPr>
        <w:t xml:space="preserve"> when the nation-wide electric sector reaches 7</w:t>
      </w:r>
      <w:r w:rsidR="006D07E2" w:rsidRPr="00A1701E">
        <w:rPr>
          <w:rFonts w:asciiTheme="minorHAnsi" w:hAnsiTheme="minorHAnsi" w:cstheme="minorHAnsi"/>
          <w:sz w:val="22"/>
          <w:szCs w:val="22"/>
        </w:rPr>
        <w:t>5</w:t>
      </w:r>
      <w:r w:rsidR="0048046E" w:rsidRPr="00A1701E">
        <w:rPr>
          <w:rFonts w:asciiTheme="minorHAnsi" w:hAnsiTheme="minorHAnsi" w:cstheme="minorHAnsi"/>
          <w:sz w:val="22"/>
          <w:szCs w:val="22"/>
        </w:rPr>
        <w:t>% carbon emission reduction from 2022 levels. Due to the progression of current carbon emission reductions, the IRA incentives are assumed to extend through the planning horizon for all $0 CO</w:t>
      </w:r>
      <w:r w:rsidR="0048046E" w:rsidRPr="00A1701E">
        <w:rPr>
          <w:rFonts w:asciiTheme="minorHAnsi" w:hAnsiTheme="minorHAnsi" w:cstheme="minorHAnsi"/>
          <w:sz w:val="22"/>
          <w:szCs w:val="22"/>
          <w:vertAlign w:val="subscript"/>
        </w:rPr>
        <w:t>2</w:t>
      </w:r>
      <w:r w:rsidR="0048046E" w:rsidRPr="00A1701E">
        <w:rPr>
          <w:rFonts w:asciiTheme="minorHAnsi" w:hAnsiTheme="minorHAnsi" w:cstheme="minorHAnsi"/>
          <w:sz w:val="22"/>
          <w:szCs w:val="22"/>
        </w:rPr>
        <w:t xml:space="preserve"> scenarios. For CO</w:t>
      </w:r>
      <w:r w:rsidR="0048046E" w:rsidRPr="00A1701E">
        <w:rPr>
          <w:rFonts w:asciiTheme="minorHAnsi" w:hAnsiTheme="minorHAnsi" w:cstheme="minorHAnsi"/>
          <w:sz w:val="22"/>
          <w:szCs w:val="22"/>
          <w:vertAlign w:val="subscript"/>
        </w:rPr>
        <w:t>2</w:t>
      </w:r>
      <w:r w:rsidR="0048046E" w:rsidRPr="00A1701E">
        <w:rPr>
          <w:rFonts w:asciiTheme="minorHAnsi" w:hAnsiTheme="minorHAnsi" w:cstheme="minorHAnsi"/>
          <w:sz w:val="22"/>
          <w:szCs w:val="22"/>
        </w:rPr>
        <w:t xml:space="preserve"> scenarios</w:t>
      </w:r>
      <w:r w:rsidR="00AB5416" w:rsidRPr="00A1701E">
        <w:rPr>
          <w:rFonts w:asciiTheme="minorHAnsi" w:hAnsiTheme="minorHAnsi" w:cstheme="minorHAnsi"/>
          <w:sz w:val="22"/>
          <w:szCs w:val="22"/>
        </w:rPr>
        <w:t>, the IRA incentives are assumed to phase out earlier, due to the additional greenhouse gas pressure. The phase out is assumed to begin in 2045 for the $20 CO</w:t>
      </w:r>
      <w:r w:rsidR="00AB5416" w:rsidRPr="00A1701E">
        <w:rPr>
          <w:rFonts w:asciiTheme="minorHAnsi" w:hAnsiTheme="minorHAnsi" w:cstheme="minorHAnsi"/>
          <w:sz w:val="22"/>
          <w:szCs w:val="22"/>
          <w:vertAlign w:val="subscript"/>
        </w:rPr>
        <w:t>2</w:t>
      </w:r>
      <w:r w:rsidR="00AB5416" w:rsidRPr="00A1701E">
        <w:rPr>
          <w:rFonts w:asciiTheme="minorHAnsi" w:hAnsiTheme="minorHAnsi" w:cstheme="minorHAnsi"/>
          <w:sz w:val="22"/>
          <w:szCs w:val="22"/>
        </w:rPr>
        <w:t xml:space="preserve"> view and in 2035 for the $50 CO</w:t>
      </w:r>
      <w:r w:rsidR="00AB5416" w:rsidRPr="00A1701E">
        <w:rPr>
          <w:rFonts w:asciiTheme="minorHAnsi" w:hAnsiTheme="minorHAnsi" w:cstheme="minorHAnsi"/>
          <w:sz w:val="22"/>
          <w:szCs w:val="22"/>
          <w:vertAlign w:val="subscript"/>
        </w:rPr>
        <w:t>2</w:t>
      </w:r>
      <w:r w:rsidR="00AB5416" w:rsidRPr="00A1701E">
        <w:rPr>
          <w:rFonts w:asciiTheme="minorHAnsi" w:hAnsiTheme="minorHAnsi" w:cstheme="minorHAnsi"/>
          <w:sz w:val="22"/>
          <w:szCs w:val="22"/>
        </w:rPr>
        <w:t xml:space="preserve"> view. </w:t>
      </w:r>
    </w:p>
    <w:p w14:paraId="3A96AF98" w14:textId="77777777" w:rsidR="006A0574" w:rsidRPr="00A1701E" w:rsidRDefault="006A0574" w:rsidP="006A0574">
      <w:pPr>
        <w:pStyle w:val="Heading1"/>
        <w:spacing w:line="360" w:lineRule="atLeast"/>
        <w:jc w:val="left"/>
        <w:rPr>
          <w:rFonts w:asciiTheme="minorHAnsi" w:hAnsiTheme="minorHAnsi" w:cstheme="minorHAnsi"/>
          <w:sz w:val="22"/>
          <w:szCs w:val="22"/>
        </w:rPr>
      </w:pPr>
      <w:r w:rsidRPr="00A1701E">
        <w:rPr>
          <w:rFonts w:asciiTheme="minorHAnsi" w:hAnsiTheme="minorHAnsi" w:cstheme="minorHAnsi"/>
          <w:sz w:val="22"/>
          <w:szCs w:val="22"/>
        </w:rPr>
        <w:t xml:space="preserve">BASE CASE GENERIC EXPANSION PLAN </w:t>
      </w:r>
    </w:p>
    <w:p w14:paraId="41DB27C5" w14:textId="62D85007" w:rsidR="006A0574" w:rsidRPr="00A1701E" w:rsidRDefault="006A0574" w:rsidP="006A0574">
      <w:pPr>
        <w:spacing w:line="360" w:lineRule="atLeast"/>
        <w:rPr>
          <w:rFonts w:asciiTheme="minorHAnsi" w:hAnsiTheme="minorHAnsi" w:cstheme="minorHAnsi"/>
          <w:sz w:val="22"/>
          <w:szCs w:val="22"/>
        </w:rPr>
      </w:pPr>
      <w:r w:rsidRPr="00A1701E">
        <w:rPr>
          <w:rFonts w:asciiTheme="minorHAnsi" w:hAnsiTheme="minorHAnsi" w:cstheme="minorHAnsi"/>
          <w:sz w:val="22"/>
          <w:szCs w:val="22"/>
        </w:rPr>
        <w:t xml:space="preserve">The following base case capacity addition schedule was used as an input to the integrated resource planning process for the </w:t>
      </w:r>
      <w:r w:rsidR="00737C5B" w:rsidRPr="00A1701E">
        <w:rPr>
          <w:rFonts w:asciiTheme="minorHAnsi" w:hAnsiTheme="minorHAnsi" w:cstheme="minorHAnsi"/>
          <w:sz w:val="22"/>
          <w:szCs w:val="22"/>
        </w:rPr>
        <w:t>retail operating companies</w:t>
      </w:r>
      <w:r w:rsidRPr="00A1701E">
        <w:rPr>
          <w:rFonts w:asciiTheme="minorHAnsi" w:hAnsiTheme="minorHAnsi" w:cstheme="minorHAnsi"/>
          <w:sz w:val="22"/>
          <w:szCs w:val="22"/>
        </w:rPr>
        <w:t xml:space="preserve">. The base case scenario reflects the moderate gas, zero-dollar carbon (“MG0”) scenario. Figure </w:t>
      </w:r>
      <w:r w:rsidR="00DF3FD9" w:rsidRPr="00A1701E">
        <w:rPr>
          <w:rFonts w:asciiTheme="minorHAnsi" w:hAnsiTheme="minorHAnsi" w:cstheme="minorHAnsi"/>
          <w:sz w:val="22"/>
          <w:szCs w:val="22"/>
        </w:rPr>
        <w:t>1</w:t>
      </w:r>
      <w:r w:rsidR="00425E3A" w:rsidRPr="00A1701E">
        <w:rPr>
          <w:rFonts w:asciiTheme="minorHAnsi" w:hAnsiTheme="minorHAnsi" w:cstheme="minorHAnsi"/>
          <w:sz w:val="22"/>
          <w:szCs w:val="22"/>
        </w:rPr>
        <w:t>1</w:t>
      </w:r>
      <w:r w:rsidRPr="00A1701E">
        <w:rPr>
          <w:rFonts w:asciiTheme="minorHAnsi" w:hAnsiTheme="minorHAnsi" w:cstheme="minorHAnsi"/>
          <w:sz w:val="22"/>
          <w:szCs w:val="22"/>
        </w:rPr>
        <w:t xml:space="preserve"> below shows the recommended capacity and energy addition schedule for generic expansion. </w:t>
      </w:r>
    </w:p>
    <w:p w14:paraId="5D74A995" w14:textId="7F69514D" w:rsidR="006A0574" w:rsidRPr="00A1701E" w:rsidRDefault="006A0574" w:rsidP="4B6647F7">
      <w:pPr>
        <w:spacing w:line="360" w:lineRule="atLeast"/>
        <w:jc w:val="center"/>
        <w:rPr>
          <w:rFonts w:asciiTheme="minorHAnsi" w:hAnsiTheme="minorHAnsi" w:cstheme="minorHAnsi"/>
          <w:i/>
          <w:iCs/>
        </w:rPr>
      </w:pPr>
      <w:r w:rsidRPr="00667285">
        <w:rPr>
          <w:rFonts w:asciiTheme="minorHAnsi" w:hAnsiTheme="minorHAnsi" w:cstheme="minorHAnsi"/>
          <w:i/>
          <w:iCs/>
        </w:rPr>
        <w:t>Figure 1</w:t>
      </w:r>
      <w:r w:rsidR="00425E3A" w:rsidRPr="00667285">
        <w:rPr>
          <w:rFonts w:asciiTheme="minorHAnsi" w:hAnsiTheme="minorHAnsi" w:cstheme="minorHAnsi"/>
          <w:i/>
          <w:iCs/>
        </w:rPr>
        <w:t>1</w:t>
      </w:r>
      <w:r w:rsidRPr="00667285">
        <w:rPr>
          <w:rFonts w:asciiTheme="minorHAnsi" w:hAnsiTheme="minorHAnsi" w:cstheme="minorHAnsi"/>
          <w:i/>
          <w:iCs/>
        </w:rPr>
        <w:t>:</w:t>
      </w:r>
      <w:r w:rsidRPr="00667285">
        <w:rPr>
          <w:rFonts w:asciiTheme="minorHAnsi" w:hAnsiTheme="minorHAnsi" w:cstheme="minorHAnsi"/>
          <w:i/>
        </w:rPr>
        <w:t xml:space="preserve"> 202</w:t>
      </w:r>
      <w:r w:rsidR="32D9EA4B" w:rsidRPr="00667285">
        <w:rPr>
          <w:rFonts w:asciiTheme="minorHAnsi" w:hAnsiTheme="minorHAnsi" w:cstheme="minorHAnsi"/>
          <w:i/>
        </w:rPr>
        <w:t>3</w:t>
      </w:r>
      <w:r w:rsidRPr="00667285">
        <w:rPr>
          <w:rFonts w:asciiTheme="minorHAnsi" w:hAnsiTheme="minorHAnsi" w:cstheme="minorHAnsi"/>
          <w:i/>
        </w:rPr>
        <w:t xml:space="preserve"> </w:t>
      </w:r>
      <w:r w:rsidR="00C1622F" w:rsidRPr="00667285">
        <w:rPr>
          <w:rFonts w:asciiTheme="minorHAnsi" w:hAnsiTheme="minorHAnsi" w:cstheme="minorHAnsi"/>
          <w:i/>
        </w:rPr>
        <w:t xml:space="preserve">IRP Update </w:t>
      </w:r>
      <w:r w:rsidRPr="00667285">
        <w:rPr>
          <w:rFonts w:asciiTheme="minorHAnsi" w:hAnsiTheme="minorHAnsi" w:cstheme="minorHAnsi"/>
          <w:i/>
        </w:rPr>
        <w:t>MG0 Expansion Plan</w:t>
      </w:r>
    </w:p>
    <w:p w14:paraId="126FCE34" w14:textId="77777777" w:rsidR="00543787" w:rsidRPr="00B36F1B" w:rsidRDefault="00543787" w:rsidP="4B6647F7">
      <w:pPr>
        <w:spacing w:line="360" w:lineRule="atLeast"/>
        <w:jc w:val="center"/>
        <w:rPr>
          <w:rFonts w:asciiTheme="minorHAnsi" w:hAnsiTheme="minorHAnsi" w:cstheme="minorHAnsi"/>
          <w:i/>
          <w:sz w:val="36"/>
          <w:szCs w:val="36"/>
        </w:rPr>
      </w:pPr>
    </w:p>
    <w:p w14:paraId="550D8F74" w14:textId="0F03736D" w:rsidR="006A0574" w:rsidRPr="00A1701E" w:rsidRDefault="00504599" w:rsidP="4B6647F7">
      <w:pPr>
        <w:spacing w:line="360" w:lineRule="atLeast"/>
        <w:jc w:val="center"/>
        <w:rPr>
          <w:rFonts w:asciiTheme="minorHAnsi" w:hAnsiTheme="minorHAnsi" w:cstheme="minorHAnsi"/>
          <w:i/>
        </w:rPr>
      </w:pPr>
      <w:r>
        <w:rPr>
          <w:noProof/>
        </w:rPr>
        <w:drawing>
          <wp:inline distT="0" distB="0" distL="0" distR="0" wp14:anchorId="419DFAE2" wp14:editId="493D66A3">
            <wp:extent cx="5943600" cy="3157220"/>
            <wp:effectExtent l="0" t="0" r="0" b="0"/>
            <wp:docPr id="1933370998" name="Picture 1933370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3157220"/>
                    </a:xfrm>
                    <a:prstGeom prst="rect">
                      <a:avLst/>
                    </a:prstGeom>
                  </pic:spPr>
                </pic:pic>
              </a:graphicData>
            </a:graphic>
          </wp:inline>
        </w:drawing>
      </w:r>
    </w:p>
    <w:p w14:paraId="1F354E3D" w14:textId="77777777" w:rsidR="006A0574" w:rsidRPr="00B36F1B" w:rsidRDefault="006A0574" w:rsidP="006A0574">
      <w:pPr>
        <w:spacing w:line="360" w:lineRule="atLeast"/>
        <w:jc w:val="center"/>
        <w:rPr>
          <w:rFonts w:asciiTheme="minorHAnsi" w:hAnsiTheme="minorHAnsi" w:cstheme="minorHAnsi"/>
          <w:sz w:val="36"/>
          <w:szCs w:val="32"/>
        </w:rPr>
      </w:pPr>
    </w:p>
    <w:p w14:paraId="3E714C3F" w14:textId="6AF7D611" w:rsidR="006A0574" w:rsidRPr="00A1701E" w:rsidRDefault="006A0574" w:rsidP="006A0574">
      <w:pPr>
        <w:keepLines/>
        <w:spacing w:line="360" w:lineRule="atLeast"/>
        <w:rPr>
          <w:rFonts w:asciiTheme="minorHAnsi" w:hAnsiTheme="minorHAnsi" w:cstheme="minorHAnsi"/>
          <w:sz w:val="18"/>
          <w:szCs w:val="18"/>
        </w:rPr>
      </w:pPr>
      <w:r w:rsidRPr="00A1701E">
        <w:rPr>
          <w:rFonts w:asciiTheme="minorHAnsi" w:hAnsiTheme="minorHAnsi" w:cstheme="minorHAnsi"/>
          <w:sz w:val="22"/>
          <w:szCs w:val="22"/>
        </w:rPr>
        <w:t>The conclusion of this study, based upon the results of the base case</w:t>
      </w:r>
      <w:r w:rsidR="006D07E2" w:rsidRPr="00A1701E">
        <w:rPr>
          <w:rFonts w:asciiTheme="minorHAnsi" w:hAnsiTheme="minorHAnsi" w:cstheme="minorHAnsi"/>
          <w:sz w:val="22"/>
          <w:szCs w:val="22"/>
        </w:rPr>
        <w:t xml:space="preserve">, </w:t>
      </w:r>
      <w:r w:rsidRPr="00A1701E">
        <w:rPr>
          <w:rFonts w:asciiTheme="minorHAnsi" w:hAnsiTheme="minorHAnsi" w:cstheme="minorHAnsi"/>
          <w:sz w:val="22"/>
          <w:szCs w:val="22"/>
        </w:rPr>
        <w:t xml:space="preserve">is that additional generation capacity requirements </w:t>
      </w:r>
      <w:r w:rsidR="00855830" w:rsidRPr="00A1701E">
        <w:rPr>
          <w:rFonts w:asciiTheme="minorHAnsi" w:hAnsiTheme="minorHAnsi" w:cstheme="minorHAnsi"/>
          <w:sz w:val="22"/>
          <w:szCs w:val="22"/>
        </w:rPr>
        <w:t xml:space="preserve">may </w:t>
      </w:r>
      <w:r w:rsidRPr="00A1701E">
        <w:rPr>
          <w:rFonts w:asciiTheme="minorHAnsi" w:hAnsiTheme="minorHAnsi" w:cstheme="minorHAnsi"/>
          <w:sz w:val="22"/>
          <w:szCs w:val="22"/>
        </w:rPr>
        <w:t>involve a mixture of natural gas combined cycle</w:t>
      </w:r>
      <w:r w:rsidR="006D07E2" w:rsidRPr="00A1701E">
        <w:rPr>
          <w:rFonts w:asciiTheme="minorHAnsi" w:hAnsiTheme="minorHAnsi" w:cstheme="minorHAnsi"/>
          <w:sz w:val="22"/>
          <w:szCs w:val="22"/>
        </w:rPr>
        <w:t>,</w:t>
      </w:r>
      <w:r w:rsidRPr="00A1701E">
        <w:rPr>
          <w:rFonts w:asciiTheme="minorHAnsi" w:hAnsiTheme="minorHAnsi" w:cstheme="minorHAnsi"/>
          <w:sz w:val="22"/>
          <w:szCs w:val="22"/>
        </w:rPr>
        <w:t xml:space="preserve"> </w:t>
      </w:r>
      <w:r w:rsidR="006D07E2" w:rsidRPr="00A1701E">
        <w:rPr>
          <w:rFonts w:asciiTheme="minorHAnsi" w:hAnsiTheme="minorHAnsi" w:cstheme="minorHAnsi"/>
          <w:sz w:val="22"/>
          <w:szCs w:val="22"/>
        </w:rPr>
        <w:t xml:space="preserve">dual-fuel </w:t>
      </w:r>
      <w:r w:rsidRPr="00A1701E">
        <w:rPr>
          <w:rFonts w:asciiTheme="minorHAnsi" w:hAnsiTheme="minorHAnsi" w:cstheme="minorHAnsi"/>
          <w:sz w:val="22"/>
          <w:szCs w:val="22"/>
        </w:rPr>
        <w:t>combustion turbine</w:t>
      </w:r>
      <w:r w:rsidR="00BF3944" w:rsidRPr="00A1701E">
        <w:rPr>
          <w:rFonts w:asciiTheme="minorHAnsi" w:hAnsiTheme="minorHAnsi" w:cstheme="minorHAnsi"/>
          <w:sz w:val="22"/>
          <w:szCs w:val="22"/>
        </w:rPr>
        <w:t xml:space="preserve"> with SCR</w:t>
      </w:r>
      <w:r w:rsidRPr="00A1701E">
        <w:rPr>
          <w:rFonts w:asciiTheme="minorHAnsi" w:hAnsiTheme="minorHAnsi" w:cstheme="minorHAnsi"/>
          <w:sz w:val="22"/>
          <w:szCs w:val="22"/>
        </w:rPr>
        <w:t>,</w:t>
      </w:r>
      <w:r w:rsidR="006D07E2" w:rsidRPr="00A1701E">
        <w:rPr>
          <w:rFonts w:asciiTheme="minorHAnsi" w:hAnsiTheme="minorHAnsi" w:cstheme="minorHAnsi"/>
          <w:sz w:val="22"/>
          <w:szCs w:val="22"/>
        </w:rPr>
        <w:t xml:space="preserve"> advanced nuclear,</w:t>
      </w:r>
      <w:r w:rsidRPr="00A1701E">
        <w:rPr>
          <w:rFonts w:asciiTheme="minorHAnsi" w:hAnsiTheme="minorHAnsi" w:cstheme="minorHAnsi"/>
          <w:sz w:val="22"/>
          <w:szCs w:val="22"/>
        </w:rPr>
        <w:t xml:space="preserve"> solar photovoltaic, wind, and battery storage. </w:t>
      </w:r>
      <w:r w:rsidR="006D07E2" w:rsidRPr="00A1701E">
        <w:rPr>
          <w:rFonts w:asciiTheme="minorHAnsi" w:hAnsiTheme="minorHAnsi" w:cstheme="minorHAnsi"/>
          <w:sz w:val="22"/>
          <w:szCs w:val="22"/>
        </w:rPr>
        <w:t xml:space="preserve">Additionally, the study concludes that a market option, such as the Mississippi Power Company PPA, will be needed to meet near term capacity needs. </w:t>
      </w:r>
      <w:r w:rsidRPr="00A1701E">
        <w:rPr>
          <w:rFonts w:asciiTheme="minorHAnsi" w:hAnsiTheme="minorHAnsi" w:cstheme="minorHAnsi"/>
          <w:sz w:val="22"/>
          <w:szCs w:val="22"/>
        </w:rPr>
        <w:t>At the appropriate time, actual resource selection will occur in accordance with Commission rules</w:t>
      </w:r>
      <w:r w:rsidR="006D07E2" w:rsidRPr="00A1701E">
        <w:rPr>
          <w:rFonts w:asciiTheme="minorHAnsi" w:hAnsiTheme="minorHAnsi" w:cstheme="minorHAnsi"/>
          <w:sz w:val="22"/>
          <w:szCs w:val="22"/>
        </w:rPr>
        <w:t>. Additional conclusions will be drawn upon completion of all scenarios and sensitivities to be filed in the supplemental update</w:t>
      </w:r>
      <w:r w:rsidRPr="00A1701E">
        <w:rPr>
          <w:rFonts w:asciiTheme="minorHAnsi" w:hAnsiTheme="minorHAnsi" w:cstheme="minorHAnsi"/>
          <w:sz w:val="22"/>
          <w:szCs w:val="22"/>
        </w:rPr>
        <w:t>.</w:t>
      </w:r>
    </w:p>
    <w:p w14:paraId="59EA5D10" w14:textId="0F010BF4" w:rsidR="00F46F8C" w:rsidRPr="00A1701E" w:rsidRDefault="00F46F8C" w:rsidP="006A0574">
      <w:pPr>
        <w:keepLines/>
        <w:spacing w:line="360" w:lineRule="atLeast"/>
        <w:rPr>
          <w:rFonts w:asciiTheme="minorHAnsi" w:hAnsiTheme="minorHAnsi" w:cstheme="minorHAnsi"/>
          <w:sz w:val="18"/>
          <w:szCs w:val="18"/>
        </w:rPr>
      </w:pPr>
    </w:p>
    <w:p w14:paraId="36343AA7" w14:textId="5095E564" w:rsidR="00F46F8C" w:rsidRPr="00A1701E" w:rsidRDefault="00F46F8C" w:rsidP="006A0574">
      <w:pPr>
        <w:keepLines/>
        <w:spacing w:line="360" w:lineRule="atLeast"/>
        <w:rPr>
          <w:rFonts w:asciiTheme="minorHAnsi" w:hAnsiTheme="minorHAnsi" w:cstheme="minorHAnsi"/>
          <w:sz w:val="22"/>
          <w:szCs w:val="22"/>
        </w:rPr>
      </w:pPr>
      <w:r w:rsidRPr="00A1701E">
        <w:rPr>
          <w:rFonts w:asciiTheme="minorHAnsi" w:hAnsiTheme="minorHAnsi" w:cstheme="minorHAnsi"/>
          <w:sz w:val="22"/>
          <w:szCs w:val="22"/>
        </w:rPr>
        <w:t xml:space="preserve">Please see Technical Appendix </w:t>
      </w:r>
      <w:r w:rsidR="008C5AD9" w:rsidRPr="00A1701E">
        <w:rPr>
          <w:rFonts w:asciiTheme="minorHAnsi" w:hAnsiTheme="minorHAnsi" w:cstheme="minorHAnsi"/>
          <w:sz w:val="22"/>
          <w:szCs w:val="22"/>
        </w:rPr>
        <w:t xml:space="preserve">Resource Mix Study </w:t>
      </w:r>
      <w:r w:rsidRPr="00A1701E">
        <w:rPr>
          <w:rFonts w:asciiTheme="minorHAnsi" w:hAnsiTheme="minorHAnsi" w:cstheme="minorHAnsi"/>
          <w:sz w:val="22"/>
          <w:szCs w:val="22"/>
        </w:rPr>
        <w:t xml:space="preserve">(GPC and System IRP Summary Data) for additional summary information regarding </w:t>
      </w:r>
      <w:r w:rsidR="007F3350" w:rsidRPr="00A1701E">
        <w:rPr>
          <w:rFonts w:asciiTheme="minorHAnsi" w:hAnsiTheme="minorHAnsi" w:cstheme="minorHAnsi"/>
          <w:sz w:val="22"/>
          <w:szCs w:val="22"/>
        </w:rPr>
        <w:t xml:space="preserve">the Georgia Power </w:t>
      </w:r>
      <w:r w:rsidRPr="00A1701E">
        <w:rPr>
          <w:rFonts w:asciiTheme="minorHAnsi" w:hAnsiTheme="minorHAnsi" w:cstheme="minorHAnsi"/>
          <w:sz w:val="22"/>
          <w:szCs w:val="22"/>
        </w:rPr>
        <w:t>and System capacity, peak demands and energies, actual and target reserve margins, and capacity needs.</w:t>
      </w:r>
    </w:p>
    <w:p w14:paraId="6FDFA50C" w14:textId="4A3D2463" w:rsidR="00BD6A65" w:rsidRPr="00A1701E" w:rsidRDefault="00132604" w:rsidP="007A2047">
      <w:pPr>
        <w:pStyle w:val="Heading1"/>
        <w:spacing w:line="360" w:lineRule="atLeast"/>
        <w:jc w:val="left"/>
        <w:rPr>
          <w:rFonts w:asciiTheme="minorHAnsi" w:hAnsiTheme="minorHAnsi" w:cstheme="minorHAnsi"/>
          <w:sz w:val="24"/>
          <w:szCs w:val="22"/>
        </w:rPr>
      </w:pPr>
      <w:bookmarkStart w:id="12" w:name="_Toc305487213"/>
      <w:r w:rsidRPr="00A1701E">
        <w:rPr>
          <w:rFonts w:asciiTheme="minorHAnsi" w:hAnsiTheme="minorHAnsi" w:cstheme="minorHAnsi"/>
          <w:sz w:val="24"/>
          <w:szCs w:val="22"/>
        </w:rPr>
        <w:t xml:space="preserve">SCENARIO </w:t>
      </w:r>
      <w:r w:rsidR="00190844" w:rsidRPr="00A1701E">
        <w:rPr>
          <w:rFonts w:asciiTheme="minorHAnsi" w:hAnsiTheme="minorHAnsi" w:cstheme="minorHAnsi"/>
          <w:sz w:val="24"/>
          <w:szCs w:val="22"/>
        </w:rPr>
        <w:t xml:space="preserve">ANALYSIS AND </w:t>
      </w:r>
      <w:r w:rsidR="00BD6A65" w:rsidRPr="00A1701E">
        <w:rPr>
          <w:rFonts w:asciiTheme="minorHAnsi" w:hAnsiTheme="minorHAnsi" w:cstheme="minorHAnsi"/>
          <w:sz w:val="24"/>
          <w:szCs w:val="22"/>
        </w:rPr>
        <w:t>DISCUSSION OF RESULTS</w:t>
      </w:r>
      <w:bookmarkEnd w:id="12"/>
    </w:p>
    <w:p w14:paraId="33B4A3F7" w14:textId="5546CA66" w:rsidR="0026718A" w:rsidRPr="00A1701E" w:rsidRDefault="008459CF" w:rsidP="00DE6B12">
      <w:pPr>
        <w:pStyle w:val="Heading2"/>
        <w:ind w:hanging="1026"/>
        <w:rPr>
          <w:rFonts w:asciiTheme="minorHAnsi" w:hAnsiTheme="minorHAnsi" w:cstheme="minorHAnsi"/>
          <w:b w:val="0"/>
          <w:bCs/>
          <w:i/>
          <w:iCs/>
          <w:sz w:val="22"/>
          <w:szCs w:val="22"/>
        </w:rPr>
      </w:pPr>
      <w:r w:rsidRPr="00A1701E">
        <w:rPr>
          <w:rFonts w:asciiTheme="minorHAnsi" w:hAnsiTheme="minorHAnsi" w:cstheme="minorHAnsi"/>
          <w:b w:val="0"/>
          <w:bCs/>
          <w:i/>
          <w:iCs/>
          <w:sz w:val="22"/>
          <w:szCs w:val="22"/>
        </w:rPr>
        <w:t>PLANNING SCENARIO CASES</w:t>
      </w:r>
    </w:p>
    <w:p w14:paraId="1A75BD6E" w14:textId="01E062F6" w:rsidR="5AB5DAF9" w:rsidRPr="00A1701E" w:rsidRDefault="000C20F6" w:rsidP="00925DC8">
      <w:pPr>
        <w:spacing w:line="360" w:lineRule="atLeast"/>
        <w:rPr>
          <w:rFonts w:asciiTheme="minorHAnsi" w:hAnsiTheme="minorHAnsi" w:cstheme="minorHAnsi"/>
          <w:sz w:val="22"/>
          <w:szCs w:val="22"/>
        </w:rPr>
      </w:pPr>
      <w:r w:rsidRPr="00A1701E">
        <w:rPr>
          <w:rFonts w:asciiTheme="minorHAnsi" w:hAnsiTheme="minorHAnsi" w:cstheme="minorHAnsi"/>
          <w:sz w:val="22"/>
          <w:szCs w:val="22"/>
        </w:rPr>
        <w:t>Due to the uncertainty related to long term fuel cost, carbon pressure, technology cost and performance, and future electricity consumption, the Company considers multiple views of the future price of natural gas, multiple views of future pressure on the Company’s CO</w:t>
      </w:r>
      <w:r w:rsidRPr="00A1701E">
        <w:rPr>
          <w:rFonts w:asciiTheme="minorHAnsi" w:hAnsiTheme="minorHAnsi" w:cstheme="minorHAnsi"/>
          <w:sz w:val="22"/>
          <w:szCs w:val="22"/>
          <w:vertAlign w:val="subscript"/>
        </w:rPr>
        <w:t>2</w:t>
      </w:r>
      <w:r w:rsidRPr="00A1701E">
        <w:rPr>
          <w:rFonts w:asciiTheme="minorHAnsi" w:hAnsiTheme="minorHAnsi" w:cstheme="minorHAnsi"/>
          <w:sz w:val="22"/>
          <w:szCs w:val="22"/>
        </w:rPr>
        <w:t xml:space="preserve"> emissions, multiple views of future cost and performance of generating technologies, and multiple views of future electricity consumption.  For </w:t>
      </w:r>
      <w:r w:rsidR="257F0C12" w:rsidRPr="00A1701E">
        <w:rPr>
          <w:rFonts w:asciiTheme="minorHAnsi" w:hAnsiTheme="minorHAnsi" w:cstheme="minorHAnsi"/>
          <w:sz w:val="22"/>
          <w:szCs w:val="22"/>
        </w:rPr>
        <w:t>the 2023 IRP Update</w:t>
      </w:r>
      <w:r w:rsidRPr="00A1701E">
        <w:rPr>
          <w:rFonts w:asciiTheme="minorHAnsi" w:hAnsiTheme="minorHAnsi" w:cstheme="minorHAnsi"/>
          <w:sz w:val="22"/>
          <w:szCs w:val="22"/>
        </w:rPr>
        <w:t>, the Company assembled</w:t>
      </w:r>
      <w:r w:rsidR="5C387EE9" w:rsidRPr="00A1701E">
        <w:rPr>
          <w:rFonts w:asciiTheme="minorHAnsi" w:hAnsiTheme="minorHAnsi" w:cstheme="minorHAnsi"/>
          <w:sz w:val="22"/>
          <w:szCs w:val="22"/>
        </w:rPr>
        <w:t xml:space="preserve"> </w:t>
      </w:r>
      <w:r w:rsidRPr="00A1701E">
        <w:rPr>
          <w:rFonts w:asciiTheme="minorHAnsi" w:hAnsiTheme="minorHAnsi" w:cstheme="minorHAnsi"/>
          <w:sz w:val="22"/>
          <w:szCs w:val="22"/>
        </w:rPr>
        <w:t xml:space="preserve">these multiple views in those four areas into </w:t>
      </w:r>
      <w:r w:rsidR="745F12B2" w:rsidRPr="00A1701E">
        <w:rPr>
          <w:rFonts w:asciiTheme="minorHAnsi" w:hAnsiTheme="minorHAnsi" w:cstheme="minorHAnsi"/>
          <w:sz w:val="22"/>
          <w:szCs w:val="22"/>
        </w:rPr>
        <w:t>six</w:t>
      </w:r>
      <w:r w:rsidRPr="00A1701E">
        <w:rPr>
          <w:rFonts w:asciiTheme="minorHAnsi" w:hAnsiTheme="minorHAnsi" w:cstheme="minorHAnsi"/>
          <w:sz w:val="22"/>
          <w:szCs w:val="22"/>
        </w:rPr>
        <w:t xml:space="preserve"> planning scenario cases to explore the potential impacts. This resulted in </w:t>
      </w:r>
      <w:r w:rsidR="0A88E64A" w:rsidRPr="00A1701E">
        <w:rPr>
          <w:rFonts w:asciiTheme="minorHAnsi" w:hAnsiTheme="minorHAnsi" w:cstheme="minorHAnsi"/>
          <w:sz w:val="22"/>
          <w:szCs w:val="22"/>
        </w:rPr>
        <w:t>six</w:t>
      </w:r>
      <w:r w:rsidRPr="00A1701E">
        <w:rPr>
          <w:rFonts w:asciiTheme="minorHAnsi" w:hAnsiTheme="minorHAnsi" w:cstheme="minorHAnsi"/>
          <w:sz w:val="22"/>
          <w:szCs w:val="22"/>
        </w:rPr>
        <w:t xml:space="preserve"> outlooks of capacity and energy mixes</w:t>
      </w:r>
      <w:r w:rsidR="008C2093" w:rsidRPr="00A1701E">
        <w:rPr>
          <w:rFonts w:asciiTheme="minorHAnsi" w:hAnsiTheme="minorHAnsi" w:cstheme="minorHAnsi"/>
          <w:sz w:val="22"/>
          <w:szCs w:val="22"/>
        </w:rPr>
        <w:t>, as reflected in Table 3 below</w:t>
      </w:r>
      <w:r w:rsidRPr="00A1701E">
        <w:rPr>
          <w:rFonts w:asciiTheme="minorHAnsi" w:hAnsiTheme="minorHAnsi" w:cstheme="minorHAnsi"/>
          <w:sz w:val="22"/>
          <w:szCs w:val="22"/>
        </w:rPr>
        <w:t xml:space="preserve">. </w:t>
      </w:r>
      <w:r w:rsidR="742FC041" w:rsidRPr="00A1701E">
        <w:rPr>
          <w:rFonts w:asciiTheme="minorHAnsi" w:hAnsiTheme="minorHAnsi" w:cstheme="minorHAnsi"/>
          <w:sz w:val="22"/>
          <w:szCs w:val="22"/>
        </w:rPr>
        <w:t xml:space="preserve">For purposes of the 2023 IRP </w:t>
      </w:r>
      <w:r w:rsidR="0012730A" w:rsidRPr="00A1701E">
        <w:rPr>
          <w:rFonts w:asciiTheme="minorHAnsi" w:hAnsiTheme="minorHAnsi" w:cstheme="minorHAnsi"/>
          <w:sz w:val="22"/>
          <w:szCs w:val="22"/>
        </w:rPr>
        <w:t>Update</w:t>
      </w:r>
      <w:r w:rsidR="742FC041" w:rsidRPr="00A1701E">
        <w:rPr>
          <w:rFonts w:asciiTheme="minorHAnsi" w:hAnsiTheme="minorHAnsi" w:cstheme="minorHAnsi"/>
          <w:sz w:val="22"/>
          <w:szCs w:val="22"/>
        </w:rPr>
        <w:t xml:space="preserve">, only the MG0 scenario </w:t>
      </w:r>
      <w:r w:rsidR="0094415E" w:rsidRPr="00A1701E">
        <w:rPr>
          <w:rFonts w:asciiTheme="minorHAnsi" w:hAnsiTheme="minorHAnsi" w:cstheme="minorHAnsi"/>
          <w:sz w:val="22"/>
          <w:szCs w:val="22"/>
        </w:rPr>
        <w:t xml:space="preserve">with the 2023 IRP </w:t>
      </w:r>
      <w:r w:rsidR="0012730A" w:rsidRPr="00A1701E">
        <w:rPr>
          <w:rFonts w:asciiTheme="minorHAnsi" w:hAnsiTheme="minorHAnsi" w:cstheme="minorHAnsi"/>
          <w:sz w:val="22"/>
          <w:szCs w:val="22"/>
        </w:rPr>
        <w:t>Update L</w:t>
      </w:r>
      <w:r w:rsidR="0094415E" w:rsidRPr="00A1701E">
        <w:rPr>
          <w:rFonts w:asciiTheme="minorHAnsi" w:hAnsiTheme="minorHAnsi" w:cstheme="minorHAnsi"/>
          <w:sz w:val="22"/>
          <w:szCs w:val="22"/>
        </w:rPr>
        <w:t xml:space="preserve">oad </w:t>
      </w:r>
      <w:r w:rsidR="0012730A" w:rsidRPr="00A1701E">
        <w:rPr>
          <w:rFonts w:asciiTheme="minorHAnsi" w:hAnsiTheme="minorHAnsi" w:cstheme="minorHAnsi"/>
          <w:sz w:val="22"/>
          <w:szCs w:val="22"/>
        </w:rPr>
        <w:t>F</w:t>
      </w:r>
      <w:r w:rsidR="0094415E" w:rsidRPr="00A1701E">
        <w:rPr>
          <w:rFonts w:asciiTheme="minorHAnsi" w:hAnsiTheme="minorHAnsi" w:cstheme="minorHAnsi"/>
          <w:sz w:val="22"/>
          <w:szCs w:val="22"/>
        </w:rPr>
        <w:t xml:space="preserve">orecast </w:t>
      </w:r>
      <w:r w:rsidR="005133F3" w:rsidRPr="00A1701E">
        <w:rPr>
          <w:rFonts w:asciiTheme="minorHAnsi" w:hAnsiTheme="minorHAnsi" w:cstheme="minorHAnsi"/>
          <w:sz w:val="22"/>
          <w:szCs w:val="22"/>
        </w:rPr>
        <w:t>is available upon the filing date</w:t>
      </w:r>
      <w:r w:rsidR="742FC041" w:rsidRPr="00A1701E">
        <w:rPr>
          <w:rFonts w:asciiTheme="minorHAnsi" w:hAnsiTheme="minorHAnsi" w:cstheme="minorHAnsi"/>
          <w:sz w:val="22"/>
          <w:szCs w:val="22"/>
        </w:rPr>
        <w:t xml:space="preserve">. </w:t>
      </w:r>
      <w:r w:rsidR="0012730A" w:rsidRPr="00A1701E">
        <w:rPr>
          <w:rFonts w:asciiTheme="minorHAnsi" w:hAnsiTheme="minorHAnsi" w:cstheme="minorHAnsi"/>
          <w:sz w:val="22"/>
          <w:szCs w:val="22"/>
        </w:rPr>
        <w:t>Georgia Power will file</w:t>
      </w:r>
      <w:r w:rsidR="742FC041" w:rsidRPr="00A1701E">
        <w:rPr>
          <w:rFonts w:asciiTheme="minorHAnsi" w:hAnsiTheme="minorHAnsi" w:cstheme="minorHAnsi"/>
          <w:sz w:val="22"/>
          <w:szCs w:val="22"/>
        </w:rPr>
        <w:t xml:space="preserve"> </w:t>
      </w:r>
      <w:r w:rsidR="0012730A" w:rsidRPr="00A1701E">
        <w:rPr>
          <w:rFonts w:asciiTheme="minorHAnsi" w:hAnsiTheme="minorHAnsi" w:cstheme="minorHAnsi"/>
          <w:sz w:val="22"/>
          <w:szCs w:val="22"/>
        </w:rPr>
        <w:t>a</w:t>
      </w:r>
      <w:r w:rsidR="00BF3944" w:rsidRPr="00A1701E">
        <w:rPr>
          <w:rFonts w:asciiTheme="minorHAnsi" w:hAnsiTheme="minorHAnsi" w:cstheme="minorHAnsi"/>
          <w:sz w:val="22"/>
          <w:szCs w:val="22"/>
        </w:rPr>
        <w:t xml:space="preserve"> s</w:t>
      </w:r>
      <w:r w:rsidR="742FC041" w:rsidRPr="00A1701E">
        <w:rPr>
          <w:rFonts w:asciiTheme="minorHAnsi" w:hAnsiTheme="minorHAnsi" w:cstheme="minorHAnsi"/>
          <w:sz w:val="22"/>
          <w:szCs w:val="22"/>
        </w:rPr>
        <w:t xml:space="preserve">upplemental </w:t>
      </w:r>
      <w:r w:rsidR="0012730A" w:rsidRPr="00A1701E">
        <w:rPr>
          <w:rFonts w:asciiTheme="minorHAnsi" w:hAnsiTheme="minorHAnsi" w:cstheme="minorHAnsi"/>
          <w:sz w:val="22"/>
          <w:szCs w:val="22"/>
        </w:rPr>
        <w:t xml:space="preserve">filing </w:t>
      </w:r>
      <w:proofErr w:type="gramStart"/>
      <w:r w:rsidR="0012730A" w:rsidRPr="00A1701E">
        <w:rPr>
          <w:rFonts w:asciiTheme="minorHAnsi" w:hAnsiTheme="minorHAnsi" w:cstheme="minorHAnsi"/>
          <w:sz w:val="22"/>
          <w:szCs w:val="22"/>
        </w:rPr>
        <w:t>at a</w:t>
      </w:r>
      <w:r w:rsidR="742FC041" w:rsidRPr="00A1701E">
        <w:rPr>
          <w:rFonts w:asciiTheme="minorHAnsi" w:hAnsiTheme="minorHAnsi" w:cstheme="minorHAnsi"/>
          <w:sz w:val="22"/>
          <w:szCs w:val="22"/>
        </w:rPr>
        <w:t xml:space="preserve"> later </w:t>
      </w:r>
      <w:r w:rsidR="0012730A" w:rsidRPr="00A1701E">
        <w:rPr>
          <w:rFonts w:asciiTheme="minorHAnsi" w:hAnsiTheme="minorHAnsi" w:cstheme="minorHAnsi"/>
          <w:sz w:val="22"/>
          <w:szCs w:val="22"/>
        </w:rPr>
        <w:t>date</w:t>
      </w:r>
      <w:proofErr w:type="gramEnd"/>
      <w:r w:rsidR="742FC041" w:rsidRPr="00A1701E">
        <w:rPr>
          <w:rFonts w:asciiTheme="minorHAnsi" w:hAnsiTheme="minorHAnsi" w:cstheme="minorHAnsi"/>
          <w:sz w:val="22"/>
          <w:szCs w:val="22"/>
        </w:rPr>
        <w:t xml:space="preserve"> to support all six scenarios.</w:t>
      </w:r>
    </w:p>
    <w:p w14:paraId="1D08BBAD" w14:textId="77777777" w:rsidR="00925DC8" w:rsidRPr="00A1701E" w:rsidRDefault="00925DC8" w:rsidP="00925DC8">
      <w:pPr>
        <w:rPr>
          <w:rFonts w:asciiTheme="minorHAnsi" w:hAnsiTheme="minorHAnsi" w:cstheme="minorHAnsi"/>
          <w:sz w:val="22"/>
          <w:szCs w:val="22"/>
        </w:rPr>
      </w:pPr>
    </w:p>
    <w:p w14:paraId="2A907373" w14:textId="67DD40F3" w:rsidR="00925DC8" w:rsidRPr="00A1701E" w:rsidRDefault="00925DC8" w:rsidP="00925DC8">
      <w:pPr>
        <w:spacing w:line="480" w:lineRule="auto"/>
        <w:jc w:val="center"/>
        <w:rPr>
          <w:rFonts w:asciiTheme="minorHAnsi" w:hAnsiTheme="minorHAnsi" w:cstheme="minorHAnsi"/>
          <w:i/>
          <w:iCs/>
        </w:rPr>
      </w:pPr>
      <w:r w:rsidRPr="00A1701E">
        <w:rPr>
          <w:rFonts w:asciiTheme="minorHAnsi" w:hAnsiTheme="minorHAnsi" w:cstheme="minorHAnsi"/>
          <w:i/>
          <w:iCs/>
        </w:rPr>
        <w:t>Table 3: Planning Scenarios</w:t>
      </w:r>
    </w:p>
    <w:tbl>
      <w:tblPr>
        <w:tblW w:w="9631" w:type="dxa"/>
        <w:tblLayout w:type="fixed"/>
        <w:tblLook w:val="0420" w:firstRow="1" w:lastRow="0" w:firstColumn="0" w:lastColumn="0" w:noHBand="0" w:noVBand="1"/>
      </w:tblPr>
      <w:tblGrid>
        <w:gridCol w:w="1409"/>
        <w:gridCol w:w="1821"/>
        <w:gridCol w:w="1620"/>
        <w:gridCol w:w="2250"/>
        <w:gridCol w:w="1260"/>
        <w:gridCol w:w="1271"/>
      </w:tblGrid>
      <w:tr w:rsidR="00DE6B12" w:rsidRPr="00A1701E" w14:paraId="43D18D95" w14:textId="77777777" w:rsidTr="5289D8E2">
        <w:trPr>
          <w:trHeight w:val="373"/>
        </w:trPr>
        <w:tc>
          <w:tcPr>
            <w:tcW w:w="1409" w:type="dxa"/>
            <w:tcBorders>
              <w:top w:val="single" w:sz="8" w:space="0" w:color="007DB9"/>
              <w:left w:val="single" w:sz="8" w:space="0" w:color="007DB9"/>
              <w:bottom w:val="single" w:sz="8" w:space="0" w:color="007DB9"/>
              <w:right w:val="nil"/>
            </w:tcBorders>
            <w:shd w:val="clear" w:color="auto" w:fill="007DB9"/>
            <w:tcMar>
              <w:top w:w="72" w:type="dxa"/>
              <w:left w:w="144" w:type="dxa"/>
              <w:bottom w:w="72" w:type="dxa"/>
              <w:right w:w="144" w:type="dxa"/>
            </w:tcMar>
            <w:vAlign w:val="center"/>
          </w:tcPr>
          <w:p w14:paraId="36D95682" w14:textId="09A20076" w:rsidR="5AB5DAF9" w:rsidRPr="00A1701E" w:rsidRDefault="5AB5DAF9" w:rsidP="00BF3944">
            <w:pPr>
              <w:jc w:val="center"/>
              <w:rPr>
                <w:rFonts w:asciiTheme="minorHAnsi" w:eastAsia="Arial" w:hAnsiTheme="minorHAnsi" w:cstheme="minorHAnsi"/>
                <w:b/>
                <w:bCs/>
                <w:color w:val="FFFFFF" w:themeColor="background1"/>
                <w:sz w:val="22"/>
                <w:szCs w:val="22"/>
              </w:rPr>
            </w:pPr>
            <w:r w:rsidRPr="00A1701E">
              <w:rPr>
                <w:rFonts w:asciiTheme="minorHAnsi" w:eastAsia="Arial" w:hAnsiTheme="minorHAnsi" w:cstheme="minorHAnsi"/>
                <w:b/>
                <w:bCs/>
                <w:color w:val="FFFFFF" w:themeColor="background1"/>
                <w:sz w:val="22"/>
                <w:szCs w:val="22"/>
              </w:rPr>
              <w:t>Scenario</w:t>
            </w:r>
          </w:p>
        </w:tc>
        <w:tc>
          <w:tcPr>
            <w:tcW w:w="1821" w:type="dxa"/>
            <w:tcBorders>
              <w:top w:val="single" w:sz="8" w:space="0" w:color="007DB9"/>
              <w:left w:val="nil"/>
              <w:bottom w:val="single" w:sz="8" w:space="0" w:color="007DB9"/>
              <w:right w:val="nil"/>
            </w:tcBorders>
            <w:shd w:val="clear" w:color="auto" w:fill="007DB9"/>
            <w:tcMar>
              <w:top w:w="72" w:type="dxa"/>
              <w:left w:w="144" w:type="dxa"/>
              <w:bottom w:w="72" w:type="dxa"/>
              <w:right w:w="144" w:type="dxa"/>
            </w:tcMar>
            <w:vAlign w:val="center"/>
          </w:tcPr>
          <w:p w14:paraId="0CB68AE1" w14:textId="3519E3D2" w:rsidR="5AB5DAF9" w:rsidRPr="00A1701E" w:rsidRDefault="5AB5DAF9" w:rsidP="00BF3944">
            <w:pPr>
              <w:jc w:val="center"/>
              <w:rPr>
                <w:rFonts w:asciiTheme="minorHAnsi" w:eastAsia="Arial" w:hAnsiTheme="minorHAnsi" w:cstheme="minorHAnsi"/>
                <w:b/>
                <w:bCs/>
                <w:color w:val="FFFFFF" w:themeColor="background1"/>
                <w:sz w:val="22"/>
                <w:szCs w:val="22"/>
              </w:rPr>
            </w:pPr>
            <w:r w:rsidRPr="00A1701E">
              <w:rPr>
                <w:rFonts w:asciiTheme="minorHAnsi" w:eastAsia="Arial" w:hAnsiTheme="minorHAnsi" w:cstheme="minorHAnsi"/>
                <w:b/>
                <w:bCs/>
                <w:color w:val="FFFFFF" w:themeColor="background1"/>
                <w:sz w:val="22"/>
                <w:szCs w:val="22"/>
              </w:rPr>
              <w:t>GHG pressure view</w:t>
            </w:r>
          </w:p>
        </w:tc>
        <w:tc>
          <w:tcPr>
            <w:tcW w:w="1620" w:type="dxa"/>
            <w:tcBorders>
              <w:top w:val="single" w:sz="8" w:space="0" w:color="007DB9"/>
              <w:left w:val="nil"/>
              <w:bottom w:val="single" w:sz="8" w:space="0" w:color="007DB9"/>
              <w:right w:val="nil"/>
            </w:tcBorders>
            <w:shd w:val="clear" w:color="auto" w:fill="007DB9"/>
            <w:tcMar>
              <w:top w:w="72" w:type="dxa"/>
              <w:left w:w="144" w:type="dxa"/>
              <w:bottom w:w="72" w:type="dxa"/>
              <w:right w:w="144" w:type="dxa"/>
            </w:tcMar>
            <w:vAlign w:val="center"/>
          </w:tcPr>
          <w:p w14:paraId="2A7B4E9D" w14:textId="7D732500" w:rsidR="5AB5DAF9" w:rsidRPr="00A1701E" w:rsidRDefault="5AB5DAF9" w:rsidP="00BF3944">
            <w:pPr>
              <w:jc w:val="center"/>
              <w:rPr>
                <w:rFonts w:asciiTheme="minorHAnsi" w:eastAsia="Arial" w:hAnsiTheme="minorHAnsi" w:cstheme="minorHAnsi"/>
                <w:b/>
                <w:bCs/>
                <w:color w:val="FFFFFF" w:themeColor="background1"/>
                <w:sz w:val="22"/>
                <w:szCs w:val="22"/>
              </w:rPr>
            </w:pPr>
            <w:r w:rsidRPr="00A1701E">
              <w:rPr>
                <w:rFonts w:asciiTheme="minorHAnsi" w:eastAsia="Arial" w:hAnsiTheme="minorHAnsi" w:cstheme="minorHAnsi"/>
                <w:b/>
                <w:bCs/>
                <w:color w:val="FFFFFF" w:themeColor="background1"/>
                <w:sz w:val="22"/>
                <w:szCs w:val="22"/>
              </w:rPr>
              <w:t>Tech</w:t>
            </w:r>
            <w:r w:rsidR="0094415E" w:rsidRPr="00A1701E">
              <w:rPr>
                <w:rFonts w:asciiTheme="minorHAnsi" w:eastAsia="Arial" w:hAnsiTheme="minorHAnsi" w:cstheme="minorHAnsi"/>
                <w:b/>
                <w:bCs/>
                <w:color w:val="FFFFFF" w:themeColor="background1"/>
                <w:sz w:val="22"/>
                <w:szCs w:val="22"/>
              </w:rPr>
              <w:t>nology</w:t>
            </w:r>
            <w:r w:rsidRPr="00A1701E">
              <w:rPr>
                <w:rFonts w:asciiTheme="minorHAnsi" w:eastAsia="Arial" w:hAnsiTheme="minorHAnsi" w:cstheme="minorHAnsi"/>
                <w:b/>
                <w:bCs/>
                <w:color w:val="FFFFFF" w:themeColor="background1"/>
                <w:sz w:val="22"/>
                <w:szCs w:val="22"/>
              </w:rPr>
              <w:t xml:space="preserve"> view</w:t>
            </w:r>
          </w:p>
        </w:tc>
        <w:tc>
          <w:tcPr>
            <w:tcW w:w="2250" w:type="dxa"/>
            <w:tcBorders>
              <w:top w:val="single" w:sz="8" w:space="0" w:color="007DB9"/>
              <w:left w:val="nil"/>
              <w:bottom w:val="single" w:sz="8" w:space="0" w:color="007DB9"/>
              <w:right w:val="nil"/>
            </w:tcBorders>
            <w:shd w:val="clear" w:color="auto" w:fill="007DB9"/>
            <w:tcMar>
              <w:top w:w="72" w:type="dxa"/>
              <w:left w:w="144" w:type="dxa"/>
              <w:bottom w:w="72" w:type="dxa"/>
              <w:right w:w="144" w:type="dxa"/>
            </w:tcMar>
            <w:vAlign w:val="center"/>
          </w:tcPr>
          <w:p w14:paraId="6AEC4807" w14:textId="35A0D25C" w:rsidR="5AB5DAF9" w:rsidRPr="00A1701E" w:rsidRDefault="5AB5DAF9" w:rsidP="00BF3944">
            <w:pPr>
              <w:jc w:val="center"/>
              <w:rPr>
                <w:rFonts w:asciiTheme="minorHAnsi" w:eastAsia="Arial" w:hAnsiTheme="minorHAnsi" w:cstheme="minorHAnsi"/>
                <w:b/>
                <w:bCs/>
                <w:color w:val="FFFFFF" w:themeColor="background1"/>
                <w:sz w:val="22"/>
                <w:szCs w:val="22"/>
              </w:rPr>
            </w:pPr>
            <w:r w:rsidRPr="00A1701E">
              <w:rPr>
                <w:rFonts w:asciiTheme="minorHAnsi" w:eastAsia="Arial" w:hAnsiTheme="minorHAnsi" w:cstheme="minorHAnsi"/>
                <w:b/>
                <w:bCs/>
                <w:color w:val="FFFFFF" w:themeColor="background1"/>
                <w:sz w:val="22"/>
                <w:szCs w:val="22"/>
              </w:rPr>
              <w:t>Load view</w:t>
            </w:r>
          </w:p>
        </w:tc>
        <w:tc>
          <w:tcPr>
            <w:tcW w:w="1260" w:type="dxa"/>
            <w:tcBorders>
              <w:top w:val="single" w:sz="8" w:space="0" w:color="007DB9"/>
              <w:left w:val="nil"/>
              <w:bottom w:val="single" w:sz="8" w:space="0" w:color="007DB9"/>
              <w:right w:val="nil"/>
            </w:tcBorders>
            <w:shd w:val="clear" w:color="auto" w:fill="007DB9"/>
            <w:tcMar>
              <w:top w:w="72" w:type="dxa"/>
              <w:left w:w="144" w:type="dxa"/>
              <w:bottom w:w="72" w:type="dxa"/>
              <w:right w:w="144" w:type="dxa"/>
            </w:tcMar>
            <w:vAlign w:val="center"/>
          </w:tcPr>
          <w:p w14:paraId="3B9057F9" w14:textId="49FA6144" w:rsidR="5AB5DAF9" w:rsidRPr="00A1701E" w:rsidRDefault="5AB5DAF9" w:rsidP="00BF3944">
            <w:pPr>
              <w:jc w:val="center"/>
              <w:rPr>
                <w:rFonts w:asciiTheme="minorHAnsi" w:eastAsia="Arial" w:hAnsiTheme="minorHAnsi" w:cstheme="minorHAnsi"/>
                <w:b/>
                <w:bCs/>
                <w:color w:val="FFFFFF" w:themeColor="background1"/>
                <w:sz w:val="22"/>
                <w:szCs w:val="22"/>
              </w:rPr>
            </w:pPr>
            <w:r w:rsidRPr="00A1701E">
              <w:rPr>
                <w:rFonts w:asciiTheme="minorHAnsi" w:eastAsia="Arial" w:hAnsiTheme="minorHAnsi" w:cstheme="minorHAnsi"/>
                <w:b/>
                <w:bCs/>
                <w:color w:val="FFFFFF" w:themeColor="background1"/>
                <w:sz w:val="22"/>
                <w:szCs w:val="22"/>
              </w:rPr>
              <w:t>Fuel view</w:t>
            </w:r>
          </w:p>
        </w:tc>
        <w:tc>
          <w:tcPr>
            <w:tcW w:w="1271" w:type="dxa"/>
            <w:tcBorders>
              <w:top w:val="single" w:sz="8" w:space="0" w:color="007DB9"/>
              <w:left w:val="nil"/>
              <w:bottom w:val="single" w:sz="8" w:space="0" w:color="007DB9"/>
              <w:right w:val="single" w:sz="8" w:space="0" w:color="007DB9"/>
            </w:tcBorders>
            <w:shd w:val="clear" w:color="auto" w:fill="007DB9"/>
            <w:tcMar>
              <w:top w:w="72" w:type="dxa"/>
              <w:left w:w="144" w:type="dxa"/>
              <w:bottom w:w="72" w:type="dxa"/>
              <w:right w:w="144" w:type="dxa"/>
            </w:tcMar>
            <w:vAlign w:val="center"/>
          </w:tcPr>
          <w:p w14:paraId="5FD8E46B" w14:textId="1958B37F" w:rsidR="5AB5DAF9" w:rsidRPr="00A1701E" w:rsidRDefault="5AB5DAF9" w:rsidP="00BF3944">
            <w:pPr>
              <w:jc w:val="center"/>
              <w:rPr>
                <w:rFonts w:asciiTheme="minorHAnsi" w:eastAsia="Arial" w:hAnsiTheme="minorHAnsi" w:cstheme="minorHAnsi"/>
                <w:b/>
                <w:bCs/>
                <w:color w:val="FFFFFF" w:themeColor="background1"/>
                <w:sz w:val="22"/>
                <w:szCs w:val="22"/>
              </w:rPr>
            </w:pPr>
            <w:r w:rsidRPr="00A1701E">
              <w:rPr>
                <w:rFonts w:asciiTheme="minorHAnsi" w:eastAsia="Arial" w:hAnsiTheme="minorHAnsi" w:cstheme="minorHAnsi"/>
                <w:b/>
                <w:bCs/>
                <w:color w:val="FFFFFF" w:themeColor="background1"/>
                <w:sz w:val="22"/>
                <w:szCs w:val="22"/>
              </w:rPr>
              <w:t>Label</w:t>
            </w:r>
          </w:p>
        </w:tc>
      </w:tr>
      <w:tr w:rsidR="00DE6B12" w:rsidRPr="00A1701E" w14:paraId="7682C3C5" w14:textId="77777777" w:rsidTr="5289D8E2">
        <w:trPr>
          <w:trHeight w:val="457"/>
        </w:trPr>
        <w:tc>
          <w:tcPr>
            <w:tcW w:w="1409" w:type="dxa"/>
            <w:tcBorders>
              <w:top w:val="single" w:sz="8" w:space="0" w:color="007DB9"/>
              <w:left w:val="single" w:sz="8" w:space="0" w:color="007DB9"/>
              <w:bottom w:val="single" w:sz="8" w:space="0" w:color="007DB9"/>
              <w:right w:val="nil"/>
            </w:tcBorders>
            <w:shd w:val="clear" w:color="auto" w:fill="E7ECF3"/>
            <w:tcMar>
              <w:top w:w="72" w:type="dxa"/>
              <w:left w:w="144" w:type="dxa"/>
              <w:bottom w:w="72" w:type="dxa"/>
              <w:right w:w="144" w:type="dxa"/>
            </w:tcMar>
            <w:vAlign w:val="center"/>
          </w:tcPr>
          <w:p w14:paraId="58944007" w14:textId="291C7F93"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1</w:t>
            </w:r>
          </w:p>
        </w:tc>
        <w:tc>
          <w:tcPr>
            <w:tcW w:w="1821" w:type="dxa"/>
            <w:tcBorders>
              <w:top w:val="single" w:sz="8" w:space="0" w:color="007DB9"/>
              <w:left w:val="nil"/>
              <w:bottom w:val="single" w:sz="8" w:space="0" w:color="007DB9"/>
              <w:right w:val="nil"/>
            </w:tcBorders>
            <w:shd w:val="clear" w:color="auto" w:fill="E7ECF3"/>
            <w:tcMar>
              <w:top w:w="72" w:type="dxa"/>
              <w:left w:w="144" w:type="dxa"/>
              <w:bottom w:w="72" w:type="dxa"/>
              <w:right w:w="144" w:type="dxa"/>
            </w:tcMar>
            <w:vAlign w:val="center"/>
          </w:tcPr>
          <w:p w14:paraId="1DE2E8A3" w14:textId="3AC04347"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Lower</w:t>
            </w:r>
          </w:p>
        </w:tc>
        <w:tc>
          <w:tcPr>
            <w:tcW w:w="1620" w:type="dxa"/>
            <w:tcBorders>
              <w:top w:val="single" w:sz="8" w:space="0" w:color="007DB9"/>
              <w:left w:val="nil"/>
              <w:bottom w:val="single" w:sz="8" w:space="0" w:color="007DB9"/>
              <w:right w:val="nil"/>
            </w:tcBorders>
            <w:shd w:val="clear" w:color="auto" w:fill="E7ECF3"/>
            <w:tcMar>
              <w:top w:w="72" w:type="dxa"/>
              <w:left w:w="144" w:type="dxa"/>
              <w:bottom w:w="72" w:type="dxa"/>
              <w:right w:w="144" w:type="dxa"/>
            </w:tcMar>
            <w:vAlign w:val="center"/>
          </w:tcPr>
          <w:p w14:paraId="744947D2" w14:textId="08E1835D"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Tech</w:t>
            </w:r>
          </w:p>
          <w:p w14:paraId="7A50DE32" w14:textId="5E4E973F"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Portfolio</w:t>
            </w:r>
          </w:p>
        </w:tc>
        <w:tc>
          <w:tcPr>
            <w:tcW w:w="2250" w:type="dxa"/>
            <w:tcBorders>
              <w:top w:val="single" w:sz="8" w:space="0" w:color="007DB9"/>
              <w:left w:val="nil"/>
              <w:bottom w:val="single" w:sz="8" w:space="0" w:color="007DB9"/>
              <w:right w:val="nil"/>
            </w:tcBorders>
            <w:shd w:val="clear" w:color="auto" w:fill="E7ECF3"/>
            <w:tcMar>
              <w:top w:w="72" w:type="dxa"/>
              <w:left w:w="144" w:type="dxa"/>
              <w:bottom w:w="72" w:type="dxa"/>
              <w:right w:w="144" w:type="dxa"/>
            </w:tcMar>
            <w:vAlign w:val="center"/>
          </w:tcPr>
          <w:p w14:paraId="1EE1D4C8" w14:textId="4C2993EB" w:rsidR="5AB5DAF9" w:rsidRPr="00A1701E" w:rsidRDefault="008871D3"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2023 IRP Update</w:t>
            </w:r>
          </w:p>
        </w:tc>
        <w:tc>
          <w:tcPr>
            <w:tcW w:w="1260" w:type="dxa"/>
            <w:tcBorders>
              <w:top w:val="single" w:sz="8" w:space="0" w:color="007DB9"/>
              <w:left w:val="nil"/>
              <w:bottom w:val="single" w:sz="8" w:space="0" w:color="007DB9"/>
              <w:right w:val="nil"/>
            </w:tcBorders>
            <w:shd w:val="clear" w:color="auto" w:fill="E7ECF3"/>
            <w:tcMar>
              <w:top w:w="72" w:type="dxa"/>
              <w:left w:w="144" w:type="dxa"/>
              <w:bottom w:w="72" w:type="dxa"/>
              <w:right w:w="144" w:type="dxa"/>
            </w:tcMar>
            <w:vAlign w:val="center"/>
          </w:tcPr>
          <w:p w14:paraId="61D9C7D4" w14:textId="2E85B70E"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Lower</w:t>
            </w:r>
          </w:p>
        </w:tc>
        <w:tc>
          <w:tcPr>
            <w:tcW w:w="1271" w:type="dxa"/>
            <w:tcBorders>
              <w:top w:val="single" w:sz="8" w:space="0" w:color="007DB9"/>
              <w:left w:val="nil"/>
              <w:bottom w:val="single" w:sz="8" w:space="0" w:color="007DB9"/>
              <w:right w:val="single" w:sz="8" w:space="0" w:color="007DB9"/>
            </w:tcBorders>
            <w:shd w:val="clear" w:color="auto" w:fill="E7ECF3"/>
            <w:tcMar>
              <w:top w:w="72" w:type="dxa"/>
              <w:left w:w="144" w:type="dxa"/>
              <w:bottom w:w="72" w:type="dxa"/>
              <w:right w:w="144" w:type="dxa"/>
            </w:tcMar>
            <w:vAlign w:val="center"/>
          </w:tcPr>
          <w:p w14:paraId="0DB7DA19" w14:textId="1B8CDA86"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LG0</w:t>
            </w:r>
          </w:p>
        </w:tc>
      </w:tr>
      <w:tr w:rsidR="00DE6B12" w:rsidRPr="00A1701E" w14:paraId="48C03FFB" w14:textId="77777777" w:rsidTr="5289D8E2">
        <w:trPr>
          <w:trHeight w:val="457"/>
        </w:trPr>
        <w:tc>
          <w:tcPr>
            <w:tcW w:w="1409" w:type="dxa"/>
            <w:tcBorders>
              <w:top w:val="single" w:sz="8" w:space="0" w:color="007DB9"/>
              <w:left w:val="single" w:sz="8" w:space="0" w:color="007DB9"/>
              <w:bottom w:val="single" w:sz="8" w:space="0" w:color="007DB9"/>
              <w:right w:val="nil"/>
            </w:tcBorders>
            <w:shd w:val="clear" w:color="auto" w:fill="FFFFFF" w:themeFill="background1"/>
            <w:tcMar>
              <w:top w:w="72" w:type="dxa"/>
              <w:left w:w="144" w:type="dxa"/>
              <w:bottom w:w="72" w:type="dxa"/>
              <w:right w:w="144" w:type="dxa"/>
            </w:tcMar>
            <w:vAlign w:val="center"/>
          </w:tcPr>
          <w:p w14:paraId="39520C91" w14:textId="0C619A12"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2</w:t>
            </w:r>
          </w:p>
        </w:tc>
        <w:tc>
          <w:tcPr>
            <w:tcW w:w="1821" w:type="dxa"/>
            <w:tcBorders>
              <w:top w:val="single" w:sz="8" w:space="0" w:color="007DB9"/>
              <w:left w:val="nil"/>
              <w:bottom w:val="single" w:sz="8" w:space="0" w:color="007DB9"/>
              <w:right w:val="nil"/>
            </w:tcBorders>
            <w:shd w:val="clear" w:color="auto" w:fill="FFFFFF" w:themeFill="background1"/>
            <w:tcMar>
              <w:top w:w="72" w:type="dxa"/>
              <w:left w:w="144" w:type="dxa"/>
              <w:bottom w:w="72" w:type="dxa"/>
              <w:right w:w="144" w:type="dxa"/>
            </w:tcMar>
            <w:vAlign w:val="center"/>
          </w:tcPr>
          <w:p w14:paraId="798223CE" w14:textId="585AF413"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Lower</w:t>
            </w:r>
          </w:p>
        </w:tc>
        <w:tc>
          <w:tcPr>
            <w:tcW w:w="1620" w:type="dxa"/>
            <w:tcBorders>
              <w:top w:val="single" w:sz="8" w:space="0" w:color="007DB9"/>
              <w:left w:val="nil"/>
              <w:bottom w:val="single" w:sz="8" w:space="0" w:color="007DB9"/>
              <w:right w:val="nil"/>
            </w:tcBorders>
            <w:shd w:val="clear" w:color="auto" w:fill="FFFFFF" w:themeFill="background1"/>
            <w:tcMar>
              <w:top w:w="72" w:type="dxa"/>
              <w:left w:w="144" w:type="dxa"/>
              <w:bottom w:w="72" w:type="dxa"/>
              <w:right w:w="144" w:type="dxa"/>
            </w:tcMar>
            <w:vAlign w:val="center"/>
          </w:tcPr>
          <w:p w14:paraId="37FF7067" w14:textId="6DE9BF29"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Tech</w:t>
            </w:r>
          </w:p>
          <w:p w14:paraId="05FE6BD7" w14:textId="675A4EF2"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Portfolio</w:t>
            </w:r>
          </w:p>
        </w:tc>
        <w:tc>
          <w:tcPr>
            <w:tcW w:w="2250" w:type="dxa"/>
            <w:tcBorders>
              <w:top w:val="single" w:sz="8" w:space="0" w:color="007DB9"/>
              <w:left w:val="nil"/>
              <w:bottom w:val="single" w:sz="8" w:space="0" w:color="007DB9"/>
              <w:right w:val="nil"/>
            </w:tcBorders>
            <w:shd w:val="clear" w:color="auto" w:fill="FFFFFF" w:themeFill="background1"/>
            <w:tcMar>
              <w:top w:w="72" w:type="dxa"/>
              <w:left w:w="144" w:type="dxa"/>
              <w:bottom w:w="72" w:type="dxa"/>
              <w:right w:w="144" w:type="dxa"/>
            </w:tcMar>
            <w:vAlign w:val="center"/>
          </w:tcPr>
          <w:p w14:paraId="3A645B98" w14:textId="221AB179" w:rsidR="5AB5DAF9" w:rsidRPr="00A1701E" w:rsidRDefault="00F657E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2023 IRP Update</w:t>
            </w:r>
          </w:p>
        </w:tc>
        <w:tc>
          <w:tcPr>
            <w:tcW w:w="1260" w:type="dxa"/>
            <w:tcBorders>
              <w:top w:val="single" w:sz="8" w:space="0" w:color="007DB9"/>
              <w:left w:val="nil"/>
              <w:bottom w:val="single" w:sz="8" w:space="0" w:color="007DB9"/>
              <w:right w:val="nil"/>
            </w:tcBorders>
            <w:shd w:val="clear" w:color="auto" w:fill="FFFFFF" w:themeFill="background1"/>
            <w:tcMar>
              <w:top w:w="72" w:type="dxa"/>
              <w:left w:w="144" w:type="dxa"/>
              <w:bottom w:w="72" w:type="dxa"/>
              <w:right w:w="144" w:type="dxa"/>
            </w:tcMar>
            <w:vAlign w:val="center"/>
          </w:tcPr>
          <w:p w14:paraId="6B97F903" w14:textId="715E23C3"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Moderate</w:t>
            </w:r>
          </w:p>
        </w:tc>
        <w:tc>
          <w:tcPr>
            <w:tcW w:w="1271" w:type="dxa"/>
            <w:tcBorders>
              <w:top w:val="single" w:sz="8" w:space="0" w:color="007DB9"/>
              <w:left w:val="nil"/>
              <w:bottom w:val="single" w:sz="8" w:space="0" w:color="007DB9"/>
              <w:right w:val="single" w:sz="8" w:space="0" w:color="007DB9"/>
            </w:tcBorders>
            <w:shd w:val="clear" w:color="auto" w:fill="FFFFFF" w:themeFill="background1"/>
            <w:tcMar>
              <w:top w:w="72" w:type="dxa"/>
              <w:left w:w="144" w:type="dxa"/>
              <w:bottom w:w="72" w:type="dxa"/>
              <w:right w:w="144" w:type="dxa"/>
            </w:tcMar>
            <w:vAlign w:val="center"/>
          </w:tcPr>
          <w:p w14:paraId="0202CB61" w14:textId="0B243145" w:rsidR="5AB5DAF9" w:rsidRPr="00A1701E" w:rsidRDefault="5AB5DAF9" w:rsidP="5289D8E2">
            <w:pPr>
              <w:jc w:val="center"/>
              <w:rPr>
                <w:rStyle w:val="FootnoteReference"/>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MG0</w:t>
            </w:r>
          </w:p>
        </w:tc>
      </w:tr>
      <w:tr w:rsidR="00DE6B12" w:rsidRPr="00A1701E" w14:paraId="31FDA120" w14:textId="77777777" w:rsidTr="5289D8E2">
        <w:trPr>
          <w:trHeight w:val="457"/>
        </w:trPr>
        <w:tc>
          <w:tcPr>
            <w:tcW w:w="1409" w:type="dxa"/>
            <w:tcBorders>
              <w:top w:val="single" w:sz="8" w:space="0" w:color="007DB9"/>
              <w:left w:val="single" w:sz="8" w:space="0" w:color="007DB9"/>
              <w:bottom w:val="single" w:sz="8" w:space="0" w:color="007DB9"/>
              <w:right w:val="nil"/>
            </w:tcBorders>
            <w:shd w:val="clear" w:color="auto" w:fill="E7ECF3"/>
            <w:tcMar>
              <w:top w:w="72" w:type="dxa"/>
              <w:left w:w="144" w:type="dxa"/>
              <w:bottom w:w="72" w:type="dxa"/>
              <w:right w:w="144" w:type="dxa"/>
            </w:tcMar>
            <w:vAlign w:val="center"/>
          </w:tcPr>
          <w:p w14:paraId="11196C32" w14:textId="67FCEFE5"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3</w:t>
            </w:r>
          </w:p>
        </w:tc>
        <w:tc>
          <w:tcPr>
            <w:tcW w:w="1821" w:type="dxa"/>
            <w:tcBorders>
              <w:top w:val="single" w:sz="8" w:space="0" w:color="007DB9"/>
              <w:left w:val="nil"/>
              <w:bottom w:val="single" w:sz="8" w:space="0" w:color="007DB9"/>
              <w:right w:val="nil"/>
            </w:tcBorders>
            <w:shd w:val="clear" w:color="auto" w:fill="E7ECF3"/>
            <w:tcMar>
              <w:top w:w="72" w:type="dxa"/>
              <w:left w:w="144" w:type="dxa"/>
              <w:bottom w:w="72" w:type="dxa"/>
              <w:right w:w="144" w:type="dxa"/>
            </w:tcMar>
            <w:vAlign w:val="center"/>
          </w:tcPr>
          <w:p w14:paraId="3D76530E" w14:textId="027A7A58"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Lower</w:t>
            </w:r>
          </w:p>
        </w:tc>
        <w:tc>
          <w:tcPr>
            <w:tcW w:w="1620" w:type="dxa"/>
            <w:tcBorders>
              <w:top w:val="single" w:sz="8" w:space="0" w:color="007DB9"/>
              <w:left w:val="nil"/>
              <w:bottom w:val="single" w:sz="8" w:space="0" w:color="007DB9"/>
              <w:right w:val="nil"/>
            </w:tcBorders>
            <w:shd w:val="clear" w:color="auto" w:fill="E7ECF3"/>
            <w:tcMar>
              <w:top w:w="72" w:type="dxa"/>
              <w:left w:w="144" w:type="dxa"/>
              <w:bottom w:w="72" w:type="dxa"/>
              <w:right w:w="144" w:type="dxa"/>
            </w:tcMar>
            <w:vAlign w:val="center"/>
          </w:tcPr>
          <w:p w14:paraId="2285D9DA" w14:textId="74086561"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 xml:space="preserve">Tech </w:t>
            </w:r>
          </w:p>
          <w:p w14:paraId="03E2F0F1" w14:textId="4B18F747"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Portfolio</w:t>
            </w:r>
          </w:p>
        </w:tc>
        <w:tc>
          <w:tcPr>
            <w:tcW w:w="2250" w:type="dxa"/>
            <w:tcBorders>
              <w:top w:val="single" w:sz="8" w:space="0" w:color="007DB9"/>
              <w:left w:val="nil"/>
              <w:bottom w:val="single" w:sz="8" w:space="0" w:color="007DB9"/>
              <w:right w:val="nil"/>
            </w:tcBorders>
            <w:shd w:val="clear" w:color="auto" w:fill="E7ECF3"/>
            <w:tcMar>
              <w:top w:w="72" w:type="dxa"/>
              <w:left w:w="144" w:type="dxa"/>
              <w:bottom w:w="72" w:type="dxa"/>
              <w:right w:w="144" w:type="dxa"/>
            </w:tcMar>
            <w:vAlign w:val="center"/>
          </w:tcPr>
          <w:p w14:paraId="7EBD2488" w14:textId="299CF65C" w:rsidR="5AB5DAF9" w:rsidRPr="00A1701E" w:rsidRDefault="008871D3"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2023 IRP Update</w:t>
            </w:r>
            <w:r w:rsidR="5AB5DAF9" w:rsidRPr="00A1701E">
              <w:rPr>
                <w:rFonts w:asciiTheme="minorHAnsi" w:eastAsia="Arial" w:hAnsiTheme="minorHAnsi" w:cstheme="minorHAnsi"/>
                <w:color w:val="4D4D4D"/>
                <w:sz w:val="22"/>
                <w:szCs w:val="22"/>
              </w:rPr>
              <w:t xml:space="preserve"> + </w:t>
            </w:r>
          </w:p>
          <w:p w14:paraId="0CF80B1D" w14:textId="79ABD546"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HG0 delta</w:t>
            </w:r>
          </w:p>
        </w:tc>
        <w:tc>
          <w:tcPr>
            <w:tcW w:w="1260" w:type="dxa"/>
            <w:tcBorders>
              <w:top w:val="single" w:sz="8" w:space="0" w:color="007DB9"/>
              <w:left w:val="nil"/>
              <w:bottom w:val="single" w:sz="8" w:space="0" w:color="007DB9"/>
              <w:right w:val="nil"/>
            </w:tcBorders>
            <w:shd w:val="clear" w:color="auto" w:fill="E7ECF3"/>
            <w:tcMar>
              <w:top w:w="72" w:type="dxa"/>
              <w:left w:w="144" w:type="dxa"/>
              <w:bottom w:w="72" w:type="dxa"/>
              <w:right w:w="144" w:type="dxa"/>
            </w:tcMar>
            <w:vAlign w:val="center"/>
          </w:tcPr>
          <w:p w14:paraId="684578CB" w14:textId="4E94B3F0"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Higher</w:t>
            </w:r>
          </w:p>
        </w:tc>
        <w:tc>
          <w:tcPr>
            <w:tcW w:w="1271" w:type="dxa"/>
            <w:tcBorders>
              <w:top w:val="single" w:sz="8" w:space="0" w:color="007DB9"/>
              <w:left w:val="nil"/>
              <w:bottom w:val="single" w:sz="8" w:space="0" w:color="007DB9"/>
              <w:right w:val="single" w:sz="8" w:space="0" w:color="007DB9"/>
            </w:tcBorders>
            <w:shd w:val="clear" w:color="auto" w:fill="E7ECF3"/>
            <w:tcMar>
              <w:top w:w="72" w:type="dxa"/>
              <w:left w:w="144" w:type="dxa"/>
              <w:bottom w:w="72" w:type="dxa"/>
              <w:right w:w="144" w:type="dxa"/>
            </w:tcMar>
            <w:vAlign w:val="center"/>
          </w:tcPr>
          <w:p w14:paraId="77BC0BF3" w14:textId="55822C77"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HG0</w:t>
            </w:r>
          </w:p>
        </w:tc>
      </w:tr>
      <w:tr w:rsidR="00DE6B12" w:rsidRPr="00A1701E" w14:paraId="0BD582E6" w14:textId="77777777" w:rsidTr="5289D8E2">
        <w:trPr>
          <w:trHeight w:val="436"/>
        </w:trPr>
        <w:tc>
          <w:tcPr>
            <w:tcW w:w="1409" w:type="dxa"/>
            <w:tcBorders>
              <w:top w:val="single" w:sz="8" w:space="0" w:color="007DB9"/>
              <w:left w:val="single" w:sz="8" w:space="0" w:color="007DB9"/>
              <w:bottom w:val="single" w:sz="8" w:space="0" w:color="007DB9"/>
              <w:right w:val="nil"/>
            </w:tcBorders>
            <w:shd w:val="clear" w:color="auto" w:fill="FFFFFF" w:themeFill="background1"/>
            <w:tcMar>
              <w:top w:w="72" w:type="dxa"/>
              <w:left w:w="144" w:type="dxa"/>
              <w:bottom w:w="72" w:type="dxa"/>
              <w:right w:w="144" w:type="dxa"/>
            </w:tcMar>
            <w:vAlign w:val="center"/>
          </w:tcPr>
          <w:p w14:paraId="42BBF5B1" w14:textId="2913C097"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4</w:t>
            </w:r>
          </w:p>
        </w:tc>
        <w:tc>
          <w:tcPr>
            <w:tcW w:w="1821" w:type="dxa"/>
            <w:tcBorders>
              <w:top w:val="single" w:sz="8" w:space="0" w:color="007DB9"/>
              <w:left w:val="nil"/>
              <w:bottom w:val="single" w:sz="8" w:space="0" w:color="007DB9"/>
              <w:right w:val="nil"/>
            </w:tcBorders>
            <w:shd w:val="clear" w:color="auto" w:fill="FFFFFF" w:themeFill="background1"/>
            <w:tcMar>
              <w:top w:w="72" w:type="dxa"/>
              <w:left w:w="144" w:type="dxa"/>
              <w:bottom w:w="72" w:type="dxa"/>
              <w:right w:w="144" w:type="dxa"/>
            </w:tcMar>
            <w:vAlign w:val="center"/>
          </w:tcPr>
          <w:p w14:paraId="2FF71811" w14:textId="32390B8C"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Moderate ($20)</w:t>
            </w:r>
          </w:p>
        </w:tc>
        <w:tc>
          <w:tcPr>
            <w:tcW w:w="1620" w:type="dxa"/>
            <w:tcBorders>
              <w:top w:val="single" w:sz="8" w:space="0" w:color="007DB9"/>
              <w:left w:val="nil"/>
              <w:bottom w:val="single" w:sz="8" w:space="0" w:color="007DB9"/>
              <w:right w:val="nil"/>
            </w:tcBorders>
            <w:shd w:val="clear" w:color="auto" w:fill="FFFFFF" w:themeFill="background1"/>
            <w:tcMar>
              <w:top w:w="72" w:type="dxa"/>
              <w:left w:w="144" w:type="dxa"/>
              <w:bottom w:w="72" w:type="dxa"/>
              <w:right w:w="144" w:type="dxa"/>
            </w:tcMar>
            <w:vAlign w:val="center"/>
          </w:tcPr>
          <w:p w14:paraId="229B74C8" w14:textId="024B22FE"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IRA 2045</w:t>
            </w:r>
          </w:p>
        </w:tc>
        <w:tc>
          <w:tcPr>
            <w:tcW w:w="2250" w:type="dxa"/>
            <w:tcBorders>
              <w:top w:val="single" w:sz="8" w:space="0" w:color="007DB9"/>
              <w:left w:val="nil"/>
              <w:bottom w:val="single" w:sz="8" w:space="0" w:color="007DB9"/>
              <w:right w:val="nil"/>
            </w:tcBorders>
            <w:shd w:val="clear" w:color="auto" w:fill="FFFFFF" w:themeFill="background1"/>
            <w:tcMar>
              <w:top w:w="72" w:type="dxa"/>
              <w:left w:w="144" w:type="dxa"/>
              <w:bottom w:w="72" w:type="dxa"/>
              <w:right w:w="144" w:type="dxa"/>
            </w:tcMar>
            <w:vAlign w:val="center"/>
          </w:tcPr>
          <w:p w14:paraId="7CA24F4D" w14:textId="3047A776"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Alt 1</w:t>
            </w:r>
          </w:p>
        </w:tc>
        <w:tc>
          <w:tcPr>
            <w:tcW w:w="1260" w:type="dxa"/>
            <w:tcBorders>
              <w:top w:val="single" w:sz="8" w:space="0" w:color="007DB9"/>
              <w:left w:val="nil"/>
              <w:bottom w:val="single" w:sz="8" w:space="0" w:color="007DB9"/>
              <w:right w:val="nil"/>
            </w:tcBorders>
            <w:shd w:val="clear" w:color="auto" w:fill="FFFFFF" w:themeFill="background1"/>
            <w:tcMar>
              <w:top w:w="72" w:type="dxa"/>
              <w:left w:w="144" w:type="dxa"/>
              <w:bottom w:w="72" w:type="dxa"/>
              <w:right w:w="144" w:type="dxa"/>
            </w:tcMar>
            <w:vAlign w:val="center"/>
          </w:tcPr>
          <w:p w14:paraId="5BE288A9" w14:textId="160FA477"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Moderate</w:t>
            </w:r>
          </w:p>
        </w:tc>
        <w:tc>
          <w:tcPr>
            <w:tcW w:w="1271" w:type="dxa"/>
            <w:tcBorders>
              <w:top w:val="single" w:sz="8" w:space="0" w:color="007DB9"/>
              <w:left w:val="nil"/>
              <w:bottom w:val="single" w:sz="8" w:space="0" w:color="007DB9"/>
              <w:right w:val="single" w:sz="8" w:space="0" w:color="007DB9"/>
            </w:tcBorders>
            <w:shd w:val="clear" w:color="auto" w:fill="FFFFFF" w:themeFill="background1"/>
            <w:tcMar>
              <w:top w:w="72" w:type="dxa"/>
              <w:left w:w="144" w:type="dxa"/>
              <w:bottom w:w="72" w:type="dxa"/>
              <w:right w:w="144" w:type="dxa"/>
            </w:tcMar>
            <w:vAlign w:val="center"/>
          </w:tcPr>
          <w:p w14:paraId="5E67E6E3" w14:textId="4C4088C0"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MG20</w:t>
            </w:r>
          </w:p>
        </w:tc>
      </w:tr>
      <w:tr w:rsidR="00DE6B12" w:rsidRPr="00A1701E" w14:paraId="2A565721" w14:textId="77777777" w:rsidTr="5289D8E2">
        <w:trPr>
          <w:trHeight w:val="436"/>
        </w:trPr>
        <w:tc>
          <w:tcPr>
            <w:tcW w:w="1409" w:type="dxa"/>
            <w:tcBorders>
              <w:top w:val="single" w:sz="8" w:space="0" w:color="007DB9"/>
              <w:left w:val="single" w:sz="8" w:space="0" w:color="007DB9"/>
              <w:bottom w:val="single" w:sz="8" w:space="0" w:color="007DB9"/>
              <w:right w:val="nil"/>
            </w:tcBorders>
            <w:shd w:val="clear" w:color="auto" w:fill="E7ECF3"/>
            <w:tcMar>
              <w:top w:w="72" w:type="dxa"/>
              <w:left w:w="144" w:type="dxa"/>
              <w:bottom w:w="72" w:type="dxa"/>
              <w:right w:w="144" w:type="dxa"/>
            </w:tcMar>
            <w:vAlign w:val="center"/>
          </w:tcPr>
          <w:p w14:paraId="33B1F495" w14:textId="6A3BF312"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5</w:t>
            </w:r>
          </w:p>
        </w:tc>
        <w:tc>
          <w:tcPr>
            <w:tcW w:w="1821" w:type="dxa"/>
            <w:tcBorders>
              <w:top w:val="single" w:sz="8" w:space="0" w:color="007DB9"/>
              <w:left w:val="nil"/>
              <w:bottom w:val="single" w:sz="8" w:space="0" w:color="007DB9"/>
              <w:right w:val="nil"/>
            </w:tcBorders>
            <w:shd w:val="clear" w:color="auto" w:fill="E7ECF3"/>
            <w:tcMar>
              <w:top w:w="72" w:type="dxa"/>
              <w:left w:w="144" w:type="dxa"/>
              <w:bottom w:w="72" w:type="dxa"/>
              <w:right w:w="144" w:type="dxa"/>
            </w:tcMar>
            <w:vAlign w:val="center"/>
          </w:tcPr>
          <w:p w14:paraId="254E1956" w14:textId="296EAA74"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Higher ($50)</w:t>
            </w:r>
          </w:p>
        </w:tc>
        <w:tc>
          <w:tcPr>
            <w:tcW w:w="1620" w:type="dxa"/>
            <w:tcBorders>
              <w:top w:val="single" w:sz="8" w:space="0" w:color="007DB9"/>
              <w:left w:val="nil"/>
              <w:bottom w:val="single" w:sz="8" w:space="0" w:color="007DB9"/>
              <w:right w:val="nil"/>
            </w:tcBorders>
            <w:shd w:val="clear" w:color="auto" w:fill="E7ECF3"/>
            <w:tcMar>
              <w:top w:w="72" w:type="dxa"/>
              <w:left w:w="144" w:type="dxa"/>
              <w:bottom w:w="72" w:type="dxa"/>
              <w:right w:w="144" w:type="dxa"/>
            </w:tcMar>
            <w:vAlign w:val="center"/>
          </w:tcPr>
          <w:p w14:paraId="4238E747" w14:textId="2374AB65"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IRA 2035</w:t>
            </w:r>
          </w:p>
        </w:tc>
        <w:tc>
          <w:tcPr>
            <w:tcW w:w="2250" w:type="dxa"/>
            <w:tcBorders>
              <w:top w:val="single" w:sz="8" w:space="0" w:color="007DB9"/>
              <w:left w:val="nil"/>
              <w:bottom w:val="single" w:sz="8" w:space="0" w:color="007DB9"/>
              <w:right w:val="nil"/>
            </w:tcBorders>
            <w:shd w:val="clear" w:color="auto" w:fill="E7ECF3"/>
            <w:tcMar>
              <w:top w:w="72" w:type="dxa"/>
              <w:left w:w="144" w:type="dxa"/>
              <w:bottom w:w="72" w:type="dxa"/>
              <w:right w:w="144" w:type="dxa"/>
            </w:tcMar>
            <w:vAlign w:val="center"/>
          </w:tcPr>
          <w:p w14:paraId="110C21C2" w14:textId="470D83AB"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Alt 2</w:t>
            </w:r>
          </w:p>
        </w:tc>
        <w:tc>
          <w:tcPr>
            <w:tcW w:w="1260" w:type="dxa"/>
            <w:tcBorders>
              <w:top w:val="single" w:sz="8" w:space="0" w:color="007DB9"/>
              <w:left w:val="nil"/>
              <w:bottom w:val="single" w:sz="8" w:space="0" w:color="007DB9"/>
              <w:right w:val="nil"/>
            </w:tcBorders>
            <w:shd w:val="clear" w:color="auto" w:fill="E7ECF3"/>
            <w:tcMar>
              <w:top w:w="72" w:type="dxa"/>
              <w:left w:w="144" w:type="dxa"/>
              <w:bottom w:w="72" w:type="dxa"/>
              <w:right w:w="144" w:type="dxa"/>
            </w:tcMar>
            <w:vAlign w:val="center"/>
          </w:tcPr>
          <w:p w14:paraId="46579455" w14:textId="70A15004"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Moderate</w:t>
            </w:r>
          </w:p>
        </w:tc>
        <w:tc>
          <w:tcPr>
            <w:tcW w:w="1271" w:type="dxa"/>
            <w:tcBorders>
              <w:top w:val="single" w:sz="8" w:space="0" w:color="007DB9"/>
              <w:left w:val="nil"/>
              <w:bottom w:val="single" w:sz="8" w:space="0" w:color="007DB9"/>
              <w:right w:val="single" w:sz="8" w:space="0" w:color="007DB9"/>
            </w:tcBorders>
            <w:shd w:val="clear" w:color="auto" w:fill="E7ECF3"/>
            <w:tcMar>
              <w:top w:w="72" w:type="dxa"/>
              <w:left w:w="144" w:type="dxa"/>
              <w:bottom w:w="72" w:type="dxa"/>
              <w:right w:w="144" w:type="dxa"/>
            </w:tcMar>
            <w:vAlign w:val="center"/>
          </w:tcPr>
          <w:p w14:paraId="4A30C68A" w14:textId="7DB6001B"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MG50</w:t>
            </w:r>
          </w:p>
        </w:tc>
      </w:tr>
      <w:tr w:rsidR="00DE6B12" w:rsidRPr="00A1701E" w14:paraId="301EE523" w14:textId="77777777" w:rsidTr="5289D8E2">
        <w:trPr>
          <w:trHeight w:val="436"/>
        </w:trPr>
        <w:tc>
          <w:tcPr>
            <w:tcW w:w="1409" w:type="dxa"/>
            <w:tcBorders>
              <w:top w:val="single" w:sz="8" w:space="0" w:color="007DB9"/>
              <w:left w:val="single" w:sz="8" w:space="0" w:color="007DB9"/>
              <w:bottom w:val="single" w:sz="8" w:space="0" w:color="007DB9"/>
              <w:right w:val="nil"/>
            </w:tcBorders>
            <w:shd w:val="clear" w:color="auto" w:fill="FFFFFF" w:themeFill="background1"/>
            <w:tcMar>
              <w:top w:w="72" w:type="dxa"/>
              <w:left w:w="144" w:type="dxa"/>
              <w:bottom w:w="72" w:type="dxa"/>
              <w:right w:w="144" w:type="dxa"/>
            </w:tcMar>
            <w:vAlign w:val="center"/>
          </w:tcPr>
          <w:p w14:paraId="1CE9BC1B" w14:textId="70A52FED"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6</w:t>
            </w:r>
          </w:p>
        </w:tc>
        <w:tc>
          <w:tcPr>
            <w:tcW w:w="1821" w:type="dxa"/>
            <w:tcBorders>
              <w:top w:val="single" w:sz="8" w:space="0" w:color="007DB9"/>
              <w:left w:val="nil"/>
              <w:bottom w:val="single" w:sz="8" w:space="0" w:color="007DB9"/>
              <w:right w:val="nil"/>
            </w:tcBorders>
            <w:shd w:val="clear" w:color="auto" w:fill="FFFFFF" w:themeFill="background1"/>
            <w:tcMar>
              <w:top w:w="72" w:type="dxa"/>
              <w:left w:w="144" w:type="dxa"/>
              <w:bottom w:w="72" w:type="dxa"/>
              <w:right w:w="144" w:type="dxa"/>
            </w:tcMar>
            <w:vAlign w:val="center"/>
          </w:tcPr>
          <w:p w14:paraId="10189D30" w14:textId="3E688B8B"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Emissions Limit</w:t>
            </w:r>
          </w:p>
        </w:tc>
        <w:tc>
          <w:tcPr>
            <w:tcW w:w="1620" w:type="dxa"/>
            <w:tcBorders>
              <w:top w:val="single" w:sz="8" w:space="0" w:color="007DB9"/>
              <w:left w:val="nil"/>
              <w:bottom w:val="single" w:sz="8" w:space="0" w:color="007DB9"/>
              <w:right w:val="nil"/>
            </w:tcBorders>
            <w:shd w:val="clear" w:color="auto" w:fill="FFFFFF" w:themeFill="background1"/>
            <w:tcMar>
              <w:top w:w="72" w:type="dxa"/>
              <w:left w:w="144" w:type="dxa"/>
              <w:bottom w:w="72" w:type="dxa"/>
              <w:right w:w="144" w:type="dxa"/>
            </w:tcMar>
            <w:vAlign w:val="center"/>
          </w:tcPr>
          <w:p w14:paraId="6F813DD5" w14:textId="0835ABFC"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IRA 2035</w:t>
            </w:r>
          </w:p>
        </w:tc>
        <w:tc>
          <w:tcPr>
            <w:tcW w:w="2250" w:type="dxa"/>
            <w:tcBorders>
              <w:top w:val="single" w:sz="8" w:space="0" w:color="007DB9"/>
              <w:left w:val="nil"/>
              <w:bottom w:val="single" w:sz="8" w:space="0" w:color="007DB9"/>
              <w:right w:val="nil"/>
            </w:tcBorders>
            <w:shd w:val="clear" w:color="auto" w:fill="FFFFFF" w:themeFill="background1"/>
            <w:tcMar>
              <w:top w:w="72" w:type="dxa"/>
              <w:left w:w="144" w:type="dxa"/>
              <w:bottom w:w="72" w:type="dxa"/>
              <w:right w:w="144" w:type="dxa"/>
            </w:tcMar>
            <w:vAlign w:val="center"/>
          </w:tcPr>
          <w:p w14:paraId="2B400A0C" w14:textId="27226ABE"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Alt 2</w:t>
            </w:r>
          </w:p>
        </w:tc>
        <w:tc>
          <w:tcPr>
            <w:tcW w:w="1260" w:type="dxa"/>
            <w:tcBorders>
              <w:top w:val="single" w:sz="8" w:space="0" w:color="007DB9"/>
              <w:left w:val="nil"/>
              <w:bottom w:val="single" w:sz="8" w:space="0" w:color="007DB9"/>
              <w:right w:val="nil"/>
            </w:tcBorders>
            <w:shd w:val="clear" w:color="auto" w:fill="FFFFFF" w:themeFill="background1"/>
            <w:tcMar>
              <w:top w:w="72" w:type="dxa"/>
              <w:left w:w="144" w:type="dxa"/>
              <w:bottom w:w="72" w:type="dxa"/>
              <w:right w:w="144" w:type="dxa"/>
            </w:tcMar>
            <w:vAlign w:val="center"/>
          </w:tcPr>
          <w:p w14:paraId="559604ED" w14:textId="4C331A5D"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Moderate</w:t>
            </w:r>
          </w:p>
        </w:tc>
        <w:tc>
          <w:tcPr>
            <w:tcW w:w="1271" w:type="dxa"/>
            <w:tcBorders>
              <w:top w:val="single" w:sz="8" w:space="0" w:color="007DB9"/>
              <w:left w:val="nil"/>
              <w:bottom w:val="single" w:sz="8" w:space="0" w:color="007DB9"/>
              <w:right w:val="single" w:sz="8" w:space="0" w:color="007DB9"/>
            </w:tcBorders>
            <w:shd w:val="clear" w:color="auto" w:fill="FFFFFF" w:themeFill="background1"/>
            <w:tcMar>
              <w:top w:w="72" w:type="dxa"/>
              <w:left w:w="144" w:type="dxa"/>
              <w:bottom w:w="72" w:type="dxa"/>
              <w:right w:w="144" w:type="dxa"/>
            </w:tcMar>
            <w:vAlign w:val="center"/>
          </w:tcPr>
          <w:p w14:paraId="0B23E0FD" w14:textId="39BBA76B" w:rsidR="5AB5DAF9" w:rsidRPr="00A1701E" w:rsidRDefault="5AB5DAF9" w:rsidP="00BF3944">
            <w:pPr>
              <w:jc w:val="center"/>
              <w:rPr>
                <w:rFonts w:asciiTheme="minorHAnsi" w:eastAsia="Arial" w:hAnsiTheme="minorHAnsi" w:cstheme="minorHAnsi"/>
                <w:color w:val="4D4D4D"/>
                <w:sz w:val="22"/>
                <w:szCs w:val="22"/>
              </w:rPr>
            </w:pPr>
            <w:r w:rsidRPr="00A1701E">
              <w:rPr>
                <w:rFonts w:asciiTheme="minorHAnsi" w:eastAsia="Arial" w:hAnsiTheme="minorHAnsi" w:cstheme="minorHAnsi"/>
                <w:color w:val="4D4D4D"/>
                <w:sz w:val="22"/>
                <w:szCs w:val="22"/>
              </w:rPr>
              <w:t>EL</w:t>
            </w:r>
          </w:p>
        </w:tc>
      </w:tr>
    </w:tbl>
    <w:p w14:paraId="46BAE5F1" w14:textId="60367F16" w:rsidR="00F657E9" w:rsidRPr="00F76E42" w:rsidRDefault="00F657E9" w:rsidP="5A3FAA88">
      <w:pPr>
        <w:spacing w:line="480" w:lineRule="auto"/>
        <w:rPr>
          <w:rFonts w:asciiTheme="minorHAnsi" w:hAnsiTheme="minorHAnsi" w:cstheme="minorHAnsi"/>
          <w:sz w:val="22"/>
          <w:szCs w:val="22"/>
        </w:rPr>
      </w:pPr>
    </w:p>
    <w:p w14:paraId="1FE3B3A1" w14:textId="3B9EF76E" w:rsidR="00BD6A65" w:rsidRPr="00F76E42" w:rsidRDefault="00522ADC" w:rsidP="008459CF">
      <w:pPr>
        <w:pStyle w:val="Heading2"/>
        <w:spacing w:line="360" w:lineRule="atLeast"/>
        <w:ind w:left="846"/>
        <w:rPr>
          <w:rFonts w:asciiTheme="minorHAnsi" w:hAnsiTheme="minorHAnsi" w:cstheme="minorHAnsi"/>
          <w:b w:val="0"/>
          <w:bCs/>
          <w:i/>
          <w:iCs/>
          <w:sz w:val="22"/>
        </w:rPr>
      </w:pPr>
      <w:bookmarkStart w:id="13" w:name="_Toc305487223"/>
      <w:r w:rsidRPr="00F76E42">
        <w:rPr>
          <w:rFonts w:asciiTheme="minorHAnsi" w:hAnsiTheme="minorHAnsi" w:cstheme="minorHAnsi"/>
          <w:b w:val="0"/>
          <w:bCs/>
          <w:i/>
          <w:iCs/>
          <w:sz w:val="22"/>
        </w:rPr>
        <w:t>RESULTS SUMMARY</w:t>
      </w:r>
      <w:bookmarkEnd w:id="13"/>
    </w:p>
    <w:p w14:paraId="251D1600" w14:textId="0F525D89" w:rsidR="00BD6A65" w:rsidRPr="00F76E42" w:rsidRDefault="002D29DC" w:rsidP="5AB5DAF9">
      <w:pPr>
        <w:spacing w:line="360" w:lineRule="atLeast"/>
        <w:ind w:right="180"/>
        <w:rPr>
          <w:rFonts w:asciiTheme="minorHAnsi" w:hAnsiTheme="minorHAnsi" w:cstheme="minorHAnsi"/>
          <w:sz w:val="22"/>
          <w:szCs w:val="22"/>
        </w:rPr>
      </w:pPr>
      <w:r w:rsidRPr="00F76E42">
        <w:rPr>
          <w:rFonts w:asciiTheme="minorHAnsi" w:hAnsiTheme="minorHAnsi" w:cstheme="minorHAnsi"/>
          <w:sz w:val="22"/>
          <w:szCs w:val="22"/>
        </w:rPr>
        <w:t xml:space="preserve">Please see Technical Appendix </w:t>
      </w:r>
      <w:r w:rsidR="00DB517B" w:rsidRPr="00F76E42">
        <w:rPr>
          <w:rFonts w:asciiTheme="minorHAnsi" w:hAnsiTheme="minorHAnsi" w:cstheme="minorHAnsi"/>
          <w:sz w:val="22"/>
          <w:szCs w:val="22"/>
        </w:rPr>
        <w:t xml:space="preserve">Resource Mix Study </w:t>
      </w:r>
      <w:r w:rsidRPr="00F76E42">
        <w:rPr>
          <w:rFonts w:asciiTheme="minorHAnsi" w:hAnsiTheme="minorHAnsi" w:cstheme="minorHAnsi"/>
          <w:sz w:val="22"/>
          <w:szCs w:val="22"/>
        </w:rPr>
        <w:t>(Capacity Expansion Plans) for a summary of results for</w:t>
      </w:r>
      <w:r w:rsidR="00BF3944" w:rsidRPr="00F76E42">
        <w:rPr>
          <w:rFonts w:asciiTheme="minorHAnsi" w:hAnsiTheme="minorHAnsi" w:cstheme="minorHAnsi"/>
          <w:sz w:val="22"/>
          <w:szCs w:val="22"/>
        </w:rPr>
        <w:t xml:space="preserve"> analyses around the MG0 scenario.</w:t>
      </w:r>
    </w:p>
    <w:sectPr w:rsidR="00BD6A65" w:rsidRPr="00F76E42" w:rsidSect="000C0597">
      <w:headerReference w:type="default" r:id="rId17"/>
      <w:footerReference w:type="even" r:id="rId18"/>
      <w:footerReference w:type="default" r:id="rId19"/>
      <w:headerReference w:type="first" r:id="rId20"/>
      <w:footerReference w:type="first" r:id="rId21"/>
      <w:type w:val="continuous"/>
      <w:pgSz w:w="12240" w:h="15840"/>
      <w:pgMar w:top="1440" w:right="1440" w:bottom="1440" w:left="144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E8170" w14:textId="77777777" w:rsidR="00AF4942" w:rsidRDefault="00AF4942">
      <w:r>
        <w:separator/>
      </w:r>
    </w:p>
    <w:p w14:paraId="1CF895F8" w14:textId="77777777" w:rsidR="00AF4942" w:rsidRDefault="00AF4942"/>
  </w:endnote>
  <w:endnote w:type="continuationSeparator" w:id="0">
    <w:p w14:paraId="57358AEE" w14:textId="77777777" w:rsidR="00AF4942" w:rsidRDefault="00AF4942">
      <w:r>
        <w:continuationSeparator/>
      </w:r>
    </w:p>
    <w:p w14:paraId="3C1FA4CD" w14:textId="77777777" w:rsidR="00AF4942" w:rsidRDefault="00AF4942"/>
  </w:endnote>
  <w:endnote w:type="continuationNotice" w:id="1">
    <w:p w14:paraId="5F67B284" w14:textId="77777777" w:rsidR="00AF4942" w:rsidRDefault="00AF4942"/>
    <w:p w14:paraId="28385F0D" w14:textId="77777777" w:rsidR="00AF4942" w:rsidRDefault="00AF49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10794" w14:textId="4C267BB0" w:rsidR="006E09F3" w:rsidRDefault="006E09F3" w:rsidP="00865A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D0060">
      <w:rPr>
        <w:rStyle w:val="PageNumber"/>
        <w:noProof/>
      </w:rPr>
      <w:t>3</w:t>
    </w:r>
    <w:r>
      <w:rPr>
        <w:rStyle w:val="PageNumber"/>
      </w:rPr>
      <w:fldChar w:fldCharType="end"/>
    </w:r>
  </w:p>
  <w:p w14:paraId="627C869D" w14:textId="77777777" w:rsidR="006E09F3" w:rsidRDefault="006E09F3">
    <w:pPr>
      <w:pStyle w:val="Footer"/>
    </w:pPr>
  </w:p>
  <w:p w14:paraId="287FF829" w14:textId="77777777" w:rsidR="00193490" w:rsidRDefault="0019349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35E77" w14:textId="17C27A82" w:rsidR="00193490" w:rsidRPr="00A2217B" w:rsidRDefault="006E09F3" w:rsidP="00A2217B">
    <w:pPr>
      <w:pStyle w:val="Footer"/>
      <w:tabs>
        <w:tab w:val="clear" w:pos="4320"/>
        <w:tab w:val="right" w:pos="8460"/>
      </w:tabs>
      <w:ind w:right="360"/>
      <w:jc w:val="center"/>
      <w:rPr>
        <w:rFonts w:ascii="Arial" w:hAnsi="Arial" w:cs="Arial"/>
      </w:rPr>
    </w:pPr>
    <w:r w:rsidRPr="000C0597">
      <w:rPr>
        <w:rFonts w:ascii="Arial" w:hAnsi="Arial" w:cs="Arial"/>
      </w:rPr>
      <w:fldChar w:fldCharType="begin"/>
    </w:r>
    <w:r w:rsidRPr="000C0597">
      <w:rPr>
        <w:rFonts w:ascii="Arial" w:hAnsi="Arial" w:cs="Arial"/>
      </w:rPr>
      <w:instrText xml:space="preserve"> PAGE   \* MERGEFORMAT </w:instrText>
    </w:r>
    <w:r w:rsidRPr="000C0597">
      <w:rPr>
        <w:rFonts w:ascii="Arial" w:hAnsi="Arial" w:cs="Arial"/>
      </w:rPr>
      <w:fldChar w:fldCharType="separate"/>
    </w:r>
    <w:r>
      <w:rPr>
        <w:rFonts w:ascii="Arial" w:hAnsi="Arial" w:cs="Arial"/>
        <w:noProof/>
      </w:rPr>
      <w:t>21</w:t>
    </w:r>
    <w:r w:rsidRPr="000C0597">
      <w:rPr>
        <w:rFonts w:ascii="Arial" w:hAnsi="Arial"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9F56D" w14:textId="77777777" w:rsidR="006E09F3" w:rsidRPr="00B7318C" w:rsidRDefault="006E09F3" w:rsidP="007553A0">
    <w:pPr>
      <w:pStyle w:val="Footer"/>
      <w:jc w:val="center"/>
      <w:rPr>
        <w:b/>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50714" w14:textId="77777777" w:rsidR="00AF4942" w:rsidRDefault="00AF4942">
      <w:r>
        <w:separator/>
      </w:r>
    </w:p>
    <w:p w14:paraId="1C4D7737" w14:textId="77777777" w:rsidR="00AF4942" w:rsidRDefault="00AF4942"/>
  </w:footnote>
  <w:footnote w:type="continuationSeparator" w:id="0">
    <w:p w14:paraId="40CE4EEF" w14:textId="77777777" w:rsidR="00AF4942" w:rsidRDefault="00AF4942">
      <w:r>
        <w:continuationSeparator/>
      </w:r>
    </w:p>
    <w:p w14:paraId="45B6FF9D" w14:textId="77777777" w:rsidR="00AF4942" w:rsidRDefault="00AF4942"/>
  </w:footnote>
  <w:footnote w:type="continuationNotice" w:id="1">
    <w:p w14:paraId="76FDC9E1" w14:textId="77777777" w:rsidR="00AF4942" w:rsidRDefault="00AF4942"/>
    <w:p w14:paraId="0136AC16" w14:textId="77777777" w:rsidR="00AF4942" w:rsidRDefault="00AF4942"/>
  </w:footnote>
  <w:footnote w:id="2">
    <w:p w14:paraId="4850218F" w14:textId="3107EADD" w:rsidR="00E464E6" w:rsidRPr="003C2649" w:rsidRDefault="00E464E6">
      <w:pPr>
        <w:pStyle w:val="FootnoteText"/>
        <w:rPr>
          <w:rFonts w:ascii="Arial" w:hAnsi="Arial" w:cs="Arial"/>
        </w:rPr>
      </w:pPr>
      <w:r w:rsidRPr="003C2649">
        <w:rPr>
          <w:rStyle w:val="FootnoteReference"/>
          <w:rFonts w:ascii="Arial" w:hAnsi="Arial" w:cs="Arial"/>
        </w:rPr>
        <w:footnoteRef/>
      </w:r>
      <w:r w:rsidRPr="003C2649">
        <w:rPr>
          <w:rFonts w:ascii="Arial" w:hAnsi="Arial" w:cs="Arial"/>
        </w:rPr>
        <w:t xml:space="preserve"> </w:t>
      </w:r>
      <w:r w:rsidRPr="003C2649">
        <w:rPr>
          <w:rStyle w:val="FootnoteChar"/>
          <w:rFonts w:ascii="Arial" w:hAnsi="Arial" w:cs="Arial"/>
          <w:color w:val="auto"/>
        </w:rPr>
        <w:t xml:space="preserve">A portion of the renewable nameplate generation capacity included in this </w:t>
      </w:r>
      <w:r w:rsidR="0097365B" w:rsidRPr="003C2649">
        <w:rPr>
          <w:rStyle w:val="FootnoteChar"/>
          <w:rFonts w:ascii="Arial" w:hAnsi="Arial" w:cs="Arial"/>
          <w:color w:val="auto"/>
        </w:rPr>
        <w:t>value</w:t>
      </w:r>
      <w:r w:rsidRPr="003C2649">
        <w:rPr>
          <w:rStyle w:val="FootnoteChar"/>
          <w:rFonts w:ascii="Arial" w:hAnsi="Arial" w:cs="Arial"/>
          <w:color w:val="auto"/>
        </w:rPr>
        <w:t xml:space="preserve"> includes capacity where the renewable generator retains the related Renewable Energy Credits</w:t>
      </w:r>
      <w:r w:rsidR="00874850">
        <w:rPr>
          <w:rStyle w:val="FootnoteChar"/>
          <w:rFonts w:ascii="Arial" w:hAnsi="Arial" w:cs="Arial"/>
          <w:color w:val="auto"/>
        </w:rPr>
        <w:t xml:space="preserve"> (“RECs”)</w:t>
      </w:r>
      <w:r w:rsidRPr="003C2649">
        <w:rPr>
          <w:rStyle w:val="FootnoteChar"/>
          <w:rFonts w:ascii="Arial" w:hAnsi="Arial" w:cs="Arial"/>
          <w:color w:val="auto"/>
        </w:rPr>
        <w:t>.</w:t>
      </w:r>
    </w:p>
  </w:footnote>
  <w:footnote w:id="3">
    <w:p w14:paraId="6646CFAA" w14:textId="77777777" w:rsidR="00684E89" w:rsidRPr="00410C77" w:rsidRDefault="00684E89" w:rsidP="00684E89">
      <w:pPr>
        <w:pStyle w:val="FootnoteText"/>
        <w:rPr>
          <w:rFonts w:ascii="Arial" w:hAnsi="Arial" w:cs="Arial"/>
          <w:sz w:val="18"/>
          <w:szCs w:val="18"/>
        </w:rPr>
      </w:pPr>
      <w:r w:rsidRPr="00410C77">
        <w:rPr>
          <w:rStyle w:val="FootnoteReference"/>
          <w:rFonts w:ascii="Arial" w:hAnsi="Arial" w:cs="Arial"/>
          <w:sz w:val="18"/>
          <w:szCs w:val="18"/>
        </w:rPr>
        <w:footnoteRef/>
      </w:r>
      <w:r w:rsidRPr="00410C77">
        <w:rPr>
          <w:rFonts w:ascii="Arial" w:hAnsi="Arial" w:cs="Arial"/>
          <w:sz w:val="18"/>
          <w:szCs w:val="18"/>
        </w:rPr>
        <w:t xml:space="preserve"> Recurring fixed costs includes Fixed O&amp;M, Maintenance Capital, and Natural Gas Firm Transportation.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74ACD" w14:textId="3067620E" w:rsidR="00193490" w:rsidRPr="00D05DE2" w:rsidRDefault="00D05DE2" w:rsidP="00D05DE2">
    <w:pPr>
      <w:jc w:val="right"/>
      <w:rPr>
        <w:rFonts w:asciiTheme="minorHAnsi" w:hAnsiTheme="minorHAnsi" w:cstheme="minorHAnsi"/>
        <w:b/>
        <w:bCs/>
        <w:sz w:val="22"/>
        <w:szCs w:val="22"/>
      </w:rPr>
    </w:pPr>
    <w:r w:rsidRPr="00D05DE2">
      <w:rPr>
        <w:rFonts w:asciiTheme="minorHAnsi" w:hAnsiTheme="minorHAnsi" w:cstheme="minorHAnsi"/>
        <w:b/>
        <w:bCs/>
        <w:sz w:val="22"/>
        <w:szCs w:val="22"/>
      </w:rPr>
      <w:t>PUBLIC DISCLOSURE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45861" w14:textId="49E7620F" w:rsidR="006E09F3" w:rsidRPr="00D05DE2" w:rsidRDefault="00D05DE2" w:rsidP="00261B37">
    <w:pPr>
      <w:pStyle w:val="Header"/>
      <w:jc w:val="right"/>
      <w:rPr>
        <w:rFonts w:asciiTheme="minorHAnsi" w:hAnsiTheme="minorHAnsi" w:cstheme="minorHAnsi"/>
        <w:b/>
        <w:sz w:val="22"/>
      </w:rPr>
    </w:pPr>
    <w:r w:rsidRPr="00D05DE2">
      <w:rPr>
        <w:rFonts w:asciiTheme="minorHAnsi" w:hAnsiTheme="minorHAnsi" w:cstheme="minorHAnsi"/>
        <w:b/>
        <w:sz w:val="22"/>
      </w:rPr>
      <w:t>PUBLIC DISCLOSURE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35393D"/>
    <w:multiLevelType w:val="hybridMultilevel"/>
    <w:tmpl w:val="0F6E62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A87083"/>
    <w:multiLevelType w:val="hybridMultilevel"/>
    <w:tmpl w:val="25BCDF42"/>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3" w15:restartNumberingAfterBreak="0">
    <w:nsid w:val="136F3582"/>
    <w:multiLevelType w:val="hybridMultilevel"/>
    <w:tmpl w:val="FCFA9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6A27DD"/>
    <w:multiLevelType w:val="hybridMultilevel"/>
    <w:tmpl w:val="F53ED9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DD70A25"/>
    <w:multiLevelType w:val="multilevel"/>
    <w:tmpl w:val="DEE0B7B6"/>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140451F"/>
    <w:multiLevelType w:val="hybridMultilevel"/>
    <w:tmpl w:val="162AA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DE51A8"/>
    <w:multiLevelType w:val="hybridMultilevel"/>
    <w:tmpl w:val="DC705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C909A3"/>
    <w:multiLevelType w:val="multilevel"/>
    <w:tmpl w:val="BA82AD2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3E34CB7"/>
    <w:multiLevelType w:val="multilevel"/>
    <w:tmpl w:val="7A1CEDA8"/>
    <w:lvl w:ilvl="0">
      <w:start w:val="1"/>
      <w:numFmt w:val="decimal"/>
      <w:lvlText w:val="%1."/>
      <w:lvlJc w:val="left"/>
      <w:pPr>
        <w:tabs>
          <w:tab w:val="num" w:pos="734"/>
        </w:tabs>
        <w:ind w:left="734" w:hanging="360"/>
      </w:pPr>
      <w:rPr>
        <w:rFonts w:hint="default"/>
        <w:b/>
        <w:i w:val="0"/>
        <w:sz w:val="20"/>
        <w:vertAlign w:val="baseline"/>
      </w:rPr>
    </w:lvl>
    <w:lvl w:ilvl="1">
      <w:start w:val="1"/>
      <w:numFmt w:val="decimal"/>
      <w:lvlText w:val="Table %1.%2:"/>
      <w:lvlJc w:val="left"/>
      <w:pPr>
        <w:tabs>
          <w:tab w:val="num" w:pos="1836"/>
        </w:tabs>
        <w:ind w:left="1836" w:hanging="576"/>
      </w:pPr>
      <w:rPr>
        <w:rFonts w:hint="default"/>
        <w:sz w:val="18"/>
        <w:vertAlign w:val="baseline"/>
      </w:rPr>
    </w:lvl>
    <w:lvl w:ilvl="2">
      <w:start w:val="1"/>
      <w:numFmt w:val="decimal"/>
      <w:lvlRestart w:val="1"/>
      <w:lvlText w:val="Table %1.%2.%3"/>
      <w:lvlJc w:val="left"/>
      <w:pPr>
        <w:tabs>
          <w:tab w:val="num" w:pos="375"/>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37BE4447"/>
    <w:multiLevelType w:val="hybridMultilevel"/>
    <w:tmpl w:val="7C30CD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4950"/>
        </w:tabs>
        <w:ind w:left="4950" w:hanging="360"/>
      </w:pPr>
      <w:rPr>
        <w:rFonts w:ascii="Courier New" w:hAnsi="Courier New" w:cs="Courier New" w:hint="default"/>
      </w:rPr>
    </w:lvl>
    <w:lvl w:ilvl="2" w:tplc="04090005" w:tentative="1">
      <w:start w:val="1"/>
      <w:numFmt w:val="bullet"/>
      <w:lvlText w:val=""/>
      <w:lvlJc w:val="left"/>
      <w:pPr>
        <w:tabs>
          <w:tab w:val="num" w:pos="5670"/>
        </w:tabs>
        <w:ind w:left="5670" w:hanging="360"/>
      </w:pPr>
      <w:rPr>
        <w:rFonts w:ascii="Wingdings" w:hAnsi="Wingdings" w:hint="default"/>
      </w:rPr>
    </w:lvl>
    <w:lvl w:ilvl="3" w:tplc="04090001" w:tentative="1">
      <w:start w:val="1"/>
      <w:numFmt w:val="bullet"/>
      <w:lvlText w:val=""/>
      <w:lvlJc w:val="left"/>
      <w:pPr>
        <w:tabs>
          <w:tab w:val="num" w:pos="6390"/>
        </w:tabs>
        <w:ind w:left="6390" w:hanging="360"/>
      </w:pPr>
      <w:rPr>
        <w:rFonts w:ascii="Symbol" w:hAnsi="Symbol" w:hint="default"/>
      </w:rPr>
    </w:lvl>
    <w:lvl w:ilvl="4" w:tplc="04090003" w:tentative="1">
      <w:start w:val="1"/>
      <w:numFmt w:val="bullet"/>
      <w:lvlText w:val="o"/>
      <w:lvlJc w:val="left"/>
      <w:pPr>
        <w:tabs>
          <w:tab w:val="num" w:pos="7110"/>
        </w:tabs>
        <w:ind w:left="7110" w:hanging="360"/>
      </w:pPr>
      <w:rPr>
        <w:rFonts w:ascii="Courier New" w:hAnsi="Courier New" w:cs="Courier New" w:hint="default"/>
      </w:rPr>
    </w:lvl>
    <w:lvl w:ilvl="5" w:tplc="04090005" w:tentative="1">
      <w:start w:val="1"/>
      <w:numFmt w:val="bullet"/>
      <w:lvlText w:val=""/>
      <w:lvlJc w:val="left"/>
      <w:pPr>
        <w:tabs>
          <w:tab w:val="num" w:pos="7830"/>
        </w:tabs>
        <w:ind w:left="7830" w:hanging="360"/>
      </w:pPr>
      <w:rPr>
        <w:rFonts w:ascii="Wingdings" w:hAnsi="Wingdings" w:hint="default"/>
      </w:rPr>
    </w:lvl>
    <w:lvl w:ilvl="6" w:tplc="04090001" w:tentative="1">
      <w:start w:val="1"/>
      <w:numFmt w:val="bullet"/>
      <w:lvlText w:val=""/>
      <w:lvlJc w:val="left"/>
      <w:pPr>
        <w:tabs>
          <w:tab w:val="num" w:pos="8550"/>
        </w:tabs>
        <w:ind w:left="8550" w:hanging="360"/>
      </w:pPr>
      <w:rPr>
        <w:rFonts w:ascii="Symbol" w:hAnsi="Symbol" w:hint="default"/>
      </w:rPr>
    </w:lvl>
    <w:lvl w:ilvl="7" w:tplc="04090003" w:tentative="1">
      <w:start w:val="1"/>
      <w:numFmt w:val="bullet"/>
      <w:lvlText w:val="o"/>
      <w:lvlJc w:val="left"/>
      <w:pPr>
        <w:tabs>
          <w:tab w:val="num" w:pos="9270"/>
        </w:tabs>
        <w:ind w:left="9270" w:hanging="360"/>
      </w:pPr>
      <w:rPr>
        <w:rFonts w:ascii="Courier New" w:hAnsi="Courier New" w:cs="Courier New" w:hint="default"/>
      </w:rPr>
    </w:lvl>
    <w:lvl w:ilvl="8" w:tplc="04090005" w:tentative="1">
      <w:start w:val="1"/>
      <w:numFmt w:val="bullet"/>
      <w:lvlText w:val=""/>
      <w:lvlJc w:val="left"/>
      <w:pPr>
        <w:tabs>
          <w:tab w:val="num" w:pos="9990"/>
        </w:tabs>
        <w:ind w:left="9990" w:hanging="360"/>
      </w:pPr>
      <w:rPr>
        <w:rFonts w:ascii="Wingdings" w:hAnsi="Wingdings" w:hint="default"/>
      </w:rPr>
    </w:lvl>
  </w:abstractNum>
  <w:abstractNum w:abstractNumId="11" w15:restartNumberingAfterBreak="0">
    <w:nsid w:val="37C96354"/>
    <w:multiLevelType w:val="multilevel"/>
    <w:tmpl w:val="B3A6899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D48433A"/>
    <w:multiLevelType w:val="multilevel"/>
    <w:tmpl w:val="168C5670"/>
    <w:lvl w:ilvl="0">
      <w:start w:val="1"/>
      <w:numFmt w:val="decimal"/>
      <w:suff w:val="space"/>
      <w:lvlText w:val="Table %1:"/>
      <w:lvlJc w:val="center"/>
      <w:pPr>
        <w:ind w:left="58" w:hanging="58"/>
      </w:pPr>
      <w:rPr>
        <w:rFonts w:ascii="Arial" w:hAnsi="Arial" w:cs="Arial" w:hint="default"/>
        <w:b/>
        <w:i w:val="0"/>
        <w:sz w:val="22"/>
        <w:szCs w:val="22"/>
        <w:vertAlign w:val="baseline"/>
      </w:rPr>
    </w:lvl>
    <w:lvl w:ilvl="1">
      <w:start w:val="1"/>
      <w:numFmt w:val="decimal"/>
      <w:lvlText w:val="Table %1.%2:"/>
      <w:lvlJc w:val="left"/>
      <w:pPr>
        <w:tabs>
          <w:tab w:val="num" w:pos="1836"/>
        </w:tabs>
        <w:ind w:left="1836" w:hanging="576"/>
      </w:pPr>
      <w:rPr>
        <w:rFonts w:hint="default"/>
        <w:sz w:val="18"/>
        <w:vertAlign w:val="baseline"/>
      </w:rPr>
    </w:lvl>
    <w:lvl w:ilvl="2">
      <w:start w:val="1"/>
      <w:numFmt w:val="decimal"/>
      <w:lvlRestart w:val="1"/>
      <w:pStyle w:val="TableHead"/>
      <w:lvlText w:val="Table %1.%2.%3"/>
      <w:lvlJc w:val="left"/>
      <w:pPr>
        <w:tabs>
          <w:tab w:val="num" w:pos="375"/>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4FA24EFA"/>
    <w:multiLevelType w:val="multilevel"/>
    <w:tmpl w:val="0582A17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50F34429"/>
    <w:multiLevelType w:val="hybridMultilevel"/>
    <w:tmpl w:val="318074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A83CAB"/>
    <w:multiLevelType w:val="hybridMultilevel"/>
    <w:tmpl w:val="71EE0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2E18E4"/>
    <w:multiLevelType w:val="hybridMultilevel"/>
    <w:tmpl w:val="1C625B8C"/>
    <w:lvl w:ilvl="0" w:tplc="FFFFFFFF">
      <w:start w:val="1"/>
      <w:numFmt w:val="bullet"/>
      <w:lvlText w:val=""/>
      <w:legacy w:legacy="1" w:legacySpace="0" w:legacyIndent="360"/>
      <w:lvlJc w:val="left"/>
      <w:pPr>
        <w:ind w:left="423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1A464F"/>
    <w:multiLevelType w:val="hybridMultilevel"/>
    <w:tmpl w:val="2354C2F8"/>
    <w:lvl w:ilvl="0" w:tplc="8F067306">
      <w:start w:val="1"/>
      <w:numFmt w:val="bullet"/>
      <w:lvlText w:val=""/>
      <w:lvlJc w:val="left"/>
      <w:pPr>
        <w:tabs>
          <w:tab w:val="num" w:pos="0"/>
        </w:tabs>
        <w:ind w:left="4230" w:hanging="4230"/>
      </w:pPr>
      <w:rPr>
        <w:rFonts w:ascii="Symbol" w:hAnsi="Symbol" w:hint="default"/>
        <w:sz w:val="20"/>
        <w:szCs w:val="20"/>
      </w:rPr>
    </w:lvl>
    <w:lvl w:ilvl="1" w:tplc="04090003" w:tentative="1">
      <w:start w:val="1"/>
      <w:numFmt w:val="bullet"/>
      <w:lvlText w:val="o"/>
      <w:lvlJc w:val="left"/>
      <w:pPr>
        <w:tabs>
          <w:tab w:val="num" w:pos="5310"/>
        </w:tabs>
        <w:ind w:left="5310" w:hanging="360"/>
      </w:pPr>
      <w:rPr>
        <w:rFonts w:ascii="Courier New" w:hAnsi="Courier New" w:cs="Courier New" w:hint="default"/>
      </w:rPr>
    </w:lvl>
    <w:lvl w:ilvl="2" w:tplc="04090005" w:tentative="1">
      <w:start w:val="1"/>
      <w:numFmt w:val="bullet"/>
      <w:lvlText w:val=""/>
      <w:lvlJc w:val="left"/>
      <w:pPr>
        <w:tabs>
          <w:tab w:val="num" w:pos="6030"/>
        </w:tabs>
        <w:ind w:left="6030" w:hanging="360"/>
      </w:pPr>
      <w:rPr>
        <w:rFonts w:ascii="Wingdings" w:hAnsi="Wingdings" w:hint="default"/>
      </w:rPr>
    </w:lvl>
    <w:lvl w:ilvl="3" w:tplc="04090001" w:tentative="1">
      <w:start w:val="1"/>
      <w:numFmt w:val="bullet"/>
      <w:lvlText w:val=""/>
      <w:lvlJc w:val="left"/>
      <w:pPr>
        <w:tabs>
          <w:tab w:val="num" w:pos="6750"/>
        </w:tabs>
        <w:ind w:left="6750" w:hanging="360"/>
      </w:pPr>
      <w:rPr>
        <w:rFonts w:ascii="Symbol" w:hAnsi="Symbol" w:hint="default"/>
      </w:rPr>
    </w:lvl>
    <w:lvl w:ilvl="4" w:tplc="04090003" w:tentative="1">
      <w:start w:val="1"/>
      <w:numFmt w:val="bullet"/>
      <w:lvlText w:val="o"/>
      <w:lvlJc w:val="left"/>
      <w:pPr>
        <w:tabs>
          <w:tab w:val="num" w:pos="7470"/>
        </w:tabs>
        <w:ind w:left="7470" w:hanging="360"/>
      </w:pPr>
      <w:rPr>
        <w:rFonts w:ascii="Courier New" w:hAnsi="Courier New" w:cs="Courier New" w:hint="default"/>
      </w:rPr>
    </w:lvl>
    <w:lvl w:ilvl="5" w:tplc="04090005" w:tentative="1">
      <w:start w:val="1"/>
      <w:numFmt w:val="bullet"/>
      <w:lvlText w:val=""/>
      <w:lvlJc w:val="left"/>
      <w:pPr>
        <w:tabs>
          <w:tab w:val="num" w:pos="8190"/>
        </w:tabs>
        <w:ind w:left="8190" w:hanging="360"/>
      </w:pPr>
      <w:rPr>
        <w:rFonts w:ascii="Wingdings" w:hAnsi="Wingdings" w:hint="default"/>
      </w:rPr>
    </w:lvl>
    <w:lvl w:ilvl="6" w:tplc="04090001" w:tentative="1">
      <w:start w:val="1"/>
      <w:numFmt w:val="bullet"/>
      <w:lvlText w:val=""/>
      <w:lvlJc w:val="left"/>
      <w:pPr>
        <w:tabs>
          <w:tab w:val="num" w:pos="8910"/>
        </w:tabs>
        <w:ind w:left="8910" w:hanging="360"/>
      </w:pPr>
      <w:rPr>
        <w:rFonts w:ascii="Symbol" w:hAnsi="Symbol" w:hint="default"/>
      </w:rPr>
    </w:lvl>
    <w:lvl w:ilvl="7" w:tplc="04090003" w:tentative="1">
      <w:start w:val="1"/>
      <w:numFmt w:val="bullet"/>
      <w:lvlText w:val="o"/>
      <w:lvlJc w:val="left"/>
      <w:pPr>
        <w:tabs>
          <w:tab w:val="num" w:pos="9630"/>
        </w:tabs>
        <w:ind w:left="9630" w:hanging="360"/>
      </w:pPr>
      <w:rPr>
        <w:rFonts w:ascii="Courier New" w:hAnsi="Courier New" w:cs="Courier New" w:hint="default"/>
      </w:rPr>
    </w:lvl>
    <w:lvl w:ilvl="8" w:tplc="04090005" w:tentative="1">
      <w:start w:val="1"/>
      <w:numFmt w:val="bullet"/>
      <w:lvlText w:val=""/>
      <w:lvlJc w:val="left"/>
      <w:pPr>
        <w:tabs>
          <w:tab w:val="num" w:pos="10350"/>
        </w:tabs>
        <w:ind w:left="10350" w:hanging="360"/>
      </w:pPr>
      <w:rPr>
        <w:rFonts w:ascii="Wingdings" w:hAnsi="Wingdings" w:hint="default"/>
      </w:rPr>
    </w:lvl>
  </w:abstractNum>
  <w:abstractNum w:abstractNumId="18" w15:restartNumberingAfterBreak="0">
    <w:nsid w:val="5F7254F0"/>
    <w:multiLevelType w:val="hybridMultilevel"/>
    <w:tmpl w:val="804410EE"/>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19" w15:restartNumberingAfterBreak="0">
    <w:nsid w:val="5FC83E68"/>
    <w:multiLevelType w:val="multilevel"/>
    <w:tmpl w:val="DD4C341E"/>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61596ED3"/>
    <w:multiLevelType w:val="hybridMultilevel"/>
    <w:tmpl w:val="D0922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E866BB"/>
    <w:multiLevelType w:val="multilevel"/>
    <w:tmpl w:val="FBC68ED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1026"/>
        </w:tabs>
        <w:ind w:left="1026" w:hanging="84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38338F3"/>
    <w:multiLevelType w:val="hybridMultilevel"/>
    <w:tmpl w:val="F1AE5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6E18D6"/>
    <w:multiLevelType w:val="hybridMultilevel"/>
    <w:tmpl w:val="00A40E7C"/>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num w:numId="1" w16cid:durableId="1163162652">
    <w:abstractNumId w:val="0"/>
    <w:lvlOverride w:ilvl="0">
      <w:lvl w:ilvl="0">
        <w:start w:val="1"/>
        <w:numFmt w:val="bullet"/>
        <w:lvlText w:val=""/>
        <w:legacy w:legacy="1" w:legacySpace="0" w:legacyIndent="360"/>
        <w:lvlJc w:val="left"/>
        <w:pPr>
          <w:ind w:left="450" w:hanging="360"/>
        </w:pPr>
        <w:rPr>
          <w:rFonts w:ascii="Symbol" w:hAnsi="Symbol" w:hint="default"/>
        </w:rPr>
      </w:lvl>
    </w:lvlOverride>
  </w:num>
  <w:num w:numId="2" w16cid:durableId="1180391205">
    <w:abstractNumId w:val="21"/>
  </w:num>
  <w:num w:numId="3" w16cid:durableId="629475564">
    <w:abstractNumId w:val="12"/>
  </w:num>
  <w:num w:numId="4" w16cid:durableId="1555502449">
    <w:abstractNumId w:val="1"/>
  </w:num>
  <w:num w:numId="5" w16cid:durableId="900873088">
    <w:abstractNumId w:val="9"/>
  </w:num>
  <w:num w:numId="6" w16cid:durableId="1052460421">
    <w:abstractNumId w:val="16"/>
  </w:num>
  <w:num w:numId="7" w16cid:durableId="1293946798">
    <w:abstractNumId w:val="17"/>
  </w:num>
  <w:num w:numId="8" w16cid:durableId="99493783">
    <w:abstractNumId w:val="10"/>
  </w:num>
  <w:num w:numId="9" w16cid:durableId="53282680">
    <w:abstractNumId w:val="0"/>
    <w:lvlOverride w:ilvl="0">
      <w:lvl w:ilvl="0">
        <w:start w:val="1"/>
        <w:numFmt w:val="bullet"/>
        <w:lvlText w:val=""/>
        <w:legacy w:legacy="1" w:legacySpace="0" w:legacyIndent="360"/>
        <w:lvlJc w:val="left"/>
        <w:pPr>
          <w:ind w:left="4230" w:hanging="360"/>
        </w:pPr>
        <w:rPr>
          <w:rFonts w:ascii="Symbol" w:hAnsi="Symbol" w:hint="default"/>
        </w:rPr>
      </w:lvl>
    </w:lvlOverride>
  </w:num>
  <w:num w:numId="10" w16cid:durableId="2093577623">
    <w:abstractNumId w:val="4"/>
  </w:num>
  <w:num w:numId="11" w16cid:durableId="126289578">
    <w:abstractNumId w:val="2"/>
  </w:num>
  <w:num w:numId="12" w16cid:durableId="1682078955">
    <w:abstractNumId w:val="18"/>
  </w:num>
  <w:num w:numId="13" w16cid:durableId="957569948">
    <w:abstractNumId w:val="23"/>
  </w:num>
  <w:num w:numId="14" w16cid:durableId="1355303360">
    <w:abstractNumId w:val="7"/>
  </w:num>
  <w:num w:numId="15" w16cid:durableId="360472863">
    <w:abstractNumId w:val="14"/>
  </w:num>
  <w:num w:numId="16" w16cid:durableId="1689212705">
    <w:abstractNumId w:val="20"/>
  </w:num>
  <w:num w:numId="17" w16cid:durableId="380059737">
    <w:abstractNumId w:val="15"/>
  </w:num>
  <w:num w:numId="18" w16cid:durableId="531646873">
    <w:abstractNumId w:val="22"/>
  </w:num>
  <w:num w:numId="19" w16cid:durableId="1304968764">
    <w:abstractNumId w:val="21"/>
  </w:num>
  <w:num w:numId="20" w16cid:durableId="2036418125">
    <w:abstractNumId w:val="21"/>
  </w:num>
  <w:num w:numId="21" w16cid:durableId="2093046443">
    <w:abstractNumId w:val="6"/>
  </w:num>
  <w:num w:numId="22" w16cid:durableId="281883125">
    <w:abstractNumId w:val="8"/>
  </w:num>
  <w:num w:numId="23" w16cid:durableId="2071922817">
    <w:abstractNumId w:val="11"/>
  </w:num>
  <w:num w:numId="24" w16cid:durableId="1428573638">
    <w:abstractNumId w:val="5"/>
  </w:num>
  <w:num w:numId="25" w16cid:durableId="1355424542">
    <w:abstractNumId w:val="19"/>
  </w:num>
  <w:num w:numId="26" w16cid:durableId="1854297247">
    <w:abstractNumId w:val="3"/>
  </w:num>
  <w:num w:numId="27" w16cid:durableId="1411345379">
    <w:abstractNumId w:val="13"/>
  </w:num>
  <w:num w:numId="28" w16cid:durableId="730537495">
    <w:abstractNumId w:val="21"/>
  </w:num>
  <w:num w:numId="29" w16cid:durableId="506599868">
    <w:abstractNumId w:val="21"/>
  </w:num>
  <w:num w:numId="30" w16cid:durableId="1587106357">
    <w:abstractNumId w:val="21"/>
  </w:num>
  <w:num w:numId="31" w16cid:durableId="1336230656">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FractionalCharacterWidth/>
  <w:embedSystemFonts/>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A65"/>
    <w:rsid w:val="00000BA1"/>
    <w:rsid w:val="00002D83"/>
    <w:rsid w:val="000045EA"/>
    <w:rsid w:val="00006587"/>
    <w:rsid w:val="0001099E"/>
    <w:rsid w:val="00012C95"/>
    <w:rsid w:val="00012E09"/>
    <w:rsid w:val="00012FA3"/>
    <w:rsid w:val="00014C20"/>
    <w:rsid w:val="00014C9F"/>
    <w:rsid w:val="00015147"/>
    <w:rsid w:val="00016CF3"/>
    <w:rsid w:val="00016F0A"/>
    <w:rsid w:val="00017ADA"/>
    <w:rsid w:val="00020C55"/>
    <w:rsid w:val="0002140B"/>
    <w:rsid w:val="00021909"/>
    <w:rsid w:val="00022CDE"/>
    <w:rsid w:val="00022FB5"/>
    <w:rsid w:val="00027EEB"/>
    <w:rsid w:val="00030041"/>
    <w:rsid w:val="00030C81"/>
    <w:rsid w:val="0003129E"/>
    <w:rsid w:val="00031CF6"/>
    <w:rsid w:val="000322B4"/>
    <w:rsid w:val="0003252A"/>
    <w:rsid w:val="000329C2"/>
    <w:rsid w:val="0003305A"/>
    <w:rsid w:val="00033927"/>
    <w:rsid w:val="00033D7B"/>
    <w:rsid w:val="00033EBD"/>
    <w:rsid w:val="000341E4"/>
    <w:rsid w:val="00034C4B"/>
    <w:rsid w:val="000366C8"/>
    <w:rsid w:val="000373A2"/>
    <w:rsid w:val="00040364"/>
    <w:rsid w:val="00040739"/>
    <w:rsid w:val="00043BC0"/>
    <w:rsid w:val="00044777"/>
    <w:rsid w:val="00045DA0"/>
    <w:rsid w:val="00046244"/>
    <w:rsid w:val="000463D8"/>
    <w:rsid w:val="0004719E"/>
    <w:rsid w:val="000477A0"/>
    <w:rsid w:val="00050C3D"/>
    <w:rsid w:val="0005173F"/>
    <w:rsid w:val="00051A7A"/>
    <w:rsid w:val="00052006"/>
    <w:rsid w:val="000536CE"/>
    <w:rsid w:val="000537CE"/>
    <w:rsid w:val="000537DD"/>
    <w:rsid w:val="00054585"/>
    <w:rsid w:val="000551E2"/>
    <w:rsid w:val="0005664F"/>
    <w:rsid w:val="00056B49"/>
    <w:rsid w:val="00057F5E"/>
    <w:rsid w:val="00060EA2"/>
    <w:rsid w:val="00061E7D"/>
    <w:rsid w:val="00062181"/>
    <w:rsid w:val="00062BDC"/>
    <w:rsid w:val="00062EBE"/>
    <w:rsid w:val="0006385A"/>
    <w:rsid w:val="00063A38"/>
    <w:rsid w:val="0006478A"/>
    <w:rsid w:val="00065DE6"/>
    <w:rsid w:val="0006686B"/>
    <w:rsid w:val="00067302"/>
    <w:rsid w:val="00067486"/>
    <w:rsid w:val="000675A8"/>
    <w:rsid w:val="000675E7"/>
    <w:rsid w:val="00067808"/>
    <w:rsid w:val="00071BC2"/>
    <w:rsid w:val="00072A0E"/>
    <w:rsid w:val="00073247"/>
    <w:rsid w:val="00073645"/>
    <w:rsid w:val="000744E8"/>
    <w:rsid w:val="00074AF6"/>
    <w:rsid w:val="00074D0F"/>
    <w:rsid w:val="00075715"/>
    <w:rsid w:val="00075DD5"/>
    <w:rsid w:val="00080C35"/>
    <w:rsid w:val="0008153E"/>
    <w:rsid w:val="00082155"/>
    <w:rsid w:val="00082EDB"/>
    <w:rsid w:val="00083473"/>
    <w:rsid w:val="00084177"/>
    <w:rsid w:val="0008581A"/>
    <w:rsid w:val="00087586"/>
    <w:rsid w:val="0008790E"/>
    <w:rsid w:val="00090BE0"/>
    <w:rsid w:val="00090CA5"/>
    <w:rsid w:val="0009108F"/>
    <w:rsid w:val="00091D35"/>
    <w:rsid w:val="00092609"/>
    <w:rsid w:val="00092852"/>
    <w:rsid w:val="00092F79"/>
    <w:rsid w:val="000932AE"/>
    <w:rsid w:val="00093E82"/>
    <w:rsid w:val="000946C9"/>
    <w:rsid w:val="00094FCD"/>
    <w:rsid w:val="000969C4"/>
    <w:rsid w:val="00096B4B"/>
    <w:rsid w:val="000A072B"/>
    <w:rsid w:val="000A0D62"/>
    <w:rsid w:val="000A14A1"/>
    <w:rsid w:val="000A190D"/>
    <w:rsid w:val="000A1D46"/>
    <w:rsid w:val="000A1D81"/>
    <w:rsid w:val="000A230C"/>
    <w:rsid w:val="000A407B"/>
    <w:rsid w:val="000A4463"/>
    <w:rsid w:val="000A4FFB"/>
    <w:rsid w:val="000A51F1"/>
    <w:rsid w:val="000A5AB5"/>
    <w:rsid w:val="000A7DCC"/>
    <w:rsid w:val="000B1786"/>
    <w:rsid w:val="000B218B"/>
    <w:rsid w:val="000B28ED"/>
    <w:rsid w:val="000B291A"/>
    <w:rsid w:val="000B380C"/>
    <w:rsid w:val="000B3E4B"/>
    <w:rsid w:val="000B4669"/>
    <w:rsid w:val="000B7054"/>
    <w:rsid w:val="000B789B"/>
    <w:rsid w:val="000B78E3"/>
    <w:rsid w:val="000B7B96"/>
    <w:rsid w:val="000C0322"/>
    <w:rsid w:val="000C0597"/>
    <w:rsid w:val="000C0B81"/>
    <w:rsid w:val="000C0EB6"/>
    <w:rsid w:val="000C20F6"/>
    <w:rsid w:val="000C222E"/>
    <w:rsid w:val="000C25B7"/>
    <w:rsid w:val="000C3892"/>
    <w:rsid w:val="000C3F5B"/>
    <w:rsid w:val="000C409B"/>
    <w:rsid w:val="000C47AA"/>
    <w:rsid w:val="000C788E"/>
    <w:rsid w:val="000C78C6"/>
    <w:rsid w:val="000C7B03"/>
    <w:rsid w:val="000D0C7F"/>
    <w:rsid w:val="000D2180"/>
    <w:rsid w:val="000D26C8"/>
    <w:rsid w:val="000D36B0"/>
    <w:rsid w:val="000D3C9B"/>
    <w:rsid w:val="000D3F21"/>
    <w:rsid w:val="000D425C"/>
    <w:rsid w:val="000D4790"/>
    <w:rsid w:val="000D4D53"/>
    <w:rsid w:val="000D5B7C"/>
    <w:rsid w:val="000E0E9C"/>
    <w:rsid w:val="000E1754"/>
    <w:rsid w:val="000E289A"/>
    <w:rsid w:val="000E3E1E"/>
    <w:rsid w:val="000E5233"/>
    <w:rsid w:val="000F0857"/>
    <w:rsid w:val="000F0FF7"/>
    <w:rsid w:val="000F2273"/>
    <w:rsid w:val="000F2525"/>
    <w:rsid w:val="000F487A"/>
    <w:rsid w:val="000F52CB"/>
    <w:rsid w:val="000F6693"/>
    <w:rsid w:val="000F6E43"/>
    <w:rsid w:val="000F76AB"/>
    <w:rsid w:val="000F77C7"/>
    <w:rsid w:val="000F7CD7"/>
    <w:rsid w:val="00100081"/>
    <w:rsid w:val="0010121A"/>
    <w:rsid w:val="00102474"/>
    <w:rsid w:val="00102A25"/>
    <w:rsid w:val="001030E7"/>
    <w:rsid w:val="00104601"/>
    <w:rsid w:val="00105A27"/>
    <w:rsid w:val="001064F0"/>
    <w:rsid w:val="00106D86"/>
    <w:rsid w:val="00107245"/>
    <w:rsid w:val="00110114"/>
    <w:rsid w:val="00111177"/>
    <w:rsid w:val="0011168F"/>
    <w:rsid w:val="0011275D"/>
    <w:rsid w:val="00112ABB"/>
    <w:rsid w:val="00112C79"/>
    <w:rsid w:val="00113D41"/>
    <w:rsid w:val="00113F46"/>
    <w:rsid w:val="00114D5A"/>
    <w:rsid w:val="001156ED"/>
    <w:rsid w:val="00115D93"/>
    <w:rsid w:val="00115E07"/>
    <w:rsid w:val="0011630A"/>
    <w:rsid w:val="001168E2"/>
    <w:rsid w:val="001173BC"/>
    <w:rsid w:val="00117F79"/>
    <w:rsid w:val="00120362"/>
    <w:rsid w:val="00120916"/>
    <w:rsid w:val="001209B9"/>
    <w:rsid w:val="00120AF8"/>
    <w:rsid w:val="00124902"/>
    <w:rsid w:val="00124BE6"/>
    <w:rsid w:val="001252C0"/>
    <w:rsid w:val="0012544D"/>
    <w:rsid w:val="0012628F"/>
    <w:rsid w:val="0012658A"/>
    <w:rsid w:val="00126C22"/>
    <w:rsid w:val="00126DAB"/>
    <w:rsid w:val="00126E6E"/>
    <w:rsid w:val="0012730A"/>
    <w:rsid w:val="00127878"/>
    <w:rsid w:val="00130405"/>
    <w:rsid w:val="00130CA6"/>
    <w:rsid w:val="00131285"/>
    <w:rsid w:val="00132604"/>
    <w:rsid w:val="00134659"/>
    <w:rsid w:val="00134D8B"/>
    <w:rsid w:val="00136E62"/>
    <w:rsid w:val="0013746F"/>
    <w:rsid w:val="00137AF7"/>
    <w:rsid w:val="00137BED"/>
    <w:rsid w:val="0014047A"/>
    <w:rsid w:val="00140E19"/>
    <w:rsid w:val="00140F7E"/>
    <w:rsid w:val="0014141D"/>
    <w:rsid w:val="001432EE"/>
    <w:rsid w:val="00143B48"/>
    <w:rsid w:val="001443E3"/>
    <w:rsid w:val="00145A75"/>
    <w:rsid w:val="00145A8F"/>
    <w:rsid w:val="00145CC6"/>
    <w:rsid w:val="00145E47"/>
    <w:rsid w:val="0014727E"/>
    <w:rsid w:val="00147F1C"/>
    <w:rsid w:val="00150640"/>
    <w:rsid w:val="001513EC"/>
    <w:rsid w:val="00153A31"/>
    <w:rsid w:val="0015410F"/>
    <w:rsid w:val="0015567D"/>
    <w:rsid w:val="00155C81"/>
    <w:rsid w:val="0015609F"/>
    <w:rsid w:val="001560AD"/>
    <w:rsid w:val="001562F2"/>
    <w:rsid w:val="00156385"/>
    <w:rsid w:val="00156999"/>
    <w:rsid w:val="00157015"/>
    <w:rsid w:val="00160288"/>
    <w:rsid w:val="00160476"/>
    <w:rsid w:val="00162B96"/>
    <w:rsid w:val="00163AE0"/>
    <w:rsid w:val="001641B9"/>
    <w:rsid w:val="0016655A"/>
    <w:rsid w:val="00166921"/>
    <w:rsid w:val="001670C3"/>
    <w:rsid w:val="001679F0"/>
    <w:rsid w:val="0017119D"/>
    <w:rsid w:val="001715DC"/>
    <w:rsid w:val="00171791"/>
    <w:rsid w:val="00171C14"/>
    <w:rsid w:val="00171D71"/>
    <w:rsid w:val="00171E35"/>
    <w:rsid w:val="001725B6"/>
    <w:rsid w:val="00172DE8"/>
    <w:rsid w:val="00173D76"/>
    <w:rsid w:val="00177105"/>
    <w:rsid w:val="00177631"/>
    <w:rsid w:val="00177760"/>
    <w:rsid w:val="00180779"/>
    <w:rsid w:val="001813EC"/>
    <w:rsid w:val="00181783"/>
    <w:rsid w:val="00181F57"/>
    <w:rsid w:val="001826C7"/>
    <w:rsid w:val="0018395B"/>
    <w:rsid w:val="00186AD7"/>
    <w:rsid w:val="00187CF1"/>
    <w:rsid w:val="00190844"/>
    <w:rsid w:val="00191556"/>
    <w:rsid w:val="00191A5B"/>
    <w:rsid w:val="00191D8D"/>
    <w:rsid w:val="001931A8"/>
    <w:rsid w:val="001933AB"/>
    <w:rsid w:val="00193490"/>
    <w:rsid w:val="00193930"/>
    <w:rsid w:val="00193A59"/>
    <w:rsid w:val="0019476C"/>
    <w:rsid w:val="001964F9"/>
    <w:rsid w:val="00196FD2"/>
    <w:rsid w:val="00197454"/>
    <w:rsid w:val="00197B29"/>
    <w:rsid w:val="001A2DF2"/>
    <w:rsid w:val="001A3F61"/>
    <w:rsid w:val="001A4994"/>
    <w:rsid w:val="001A4D39"/>
    <w:rsid w:val="001A4D3D"/>
    <w:rsid w:val="001A521E"/>
    <w:rsid w:val="001A6DD7"/>
    <w:rsid w:val="001A73E0"/>
    <w:rsid w:val="001A79E3"/>
    <w:rsid w:val="001A7AB9"/>
    <w:rsid w:val="001B0FCF"/>
    <w:rsid w:val="001B1953"/>
    <w:rsid w:val="001B19B7"/>
    <w:rsid w:val="001B1B5C"/>
    <w:rsid w:val="001B1B61"/>
    <w:rsid w:val="001B1C7D"/>
    <w:rsid w:val="001B2B7D"/>
    <w:rsid w:val="001B3511"/>
    <w:rsid w:val="001B36D7"/>
    <w:rsid w:val="001B382F"/>
    <w:rsid w:val="001B43EC"/>
    <w:rsid w:val="001B529F"/>
    <w:rsid w:val="001B5D37"/>
    <w:rsid w:val="001B5E91"/>
    <w:rsid w:val="001B629E"/>
    <w:rsid w:val="001B6630"/>
    <w:rsid w:val="001B6775"/>
    <w:rsid w:val="001B7053"/>
    <w:rsid w:val="001C0370"/>
    <w:rsid w:val="001C09F2"/>
    <w:rsid w:val="001C1035"/>
    <w:rsid w:val="001C20BF"/>
    <w:rsid w:val="001C213E"/>
    <w:rsid w:val="001C2C7F"/>
    <w:rsid w:val="001C2E20"/>
    <w:rsid w:val="001C2FE1"/>
    <w:rsid w:val="001C5C92"/>
    <w:rsid w:val="001C5D88"/>
    <w:rsid w:val="001C640A"/>
    <w:rsid w:val="001D02F3"/>
    <w:rsid w:val="001D036F"/>
    <w:rsid w:val="001D0874"/>
    <w:rsid w:val="001D2234"/>
    <w:rsid w:val="001D3682"/>
    <w:rsid w:val="001D37AD"/>
    <w:rsid w:val="001D3AAC"/>
    <w:rsid w:val="001D4634"/>
    <w:rsid w:val="001D536D"/>
    <w:rsid w:val="001D5661"/>
    <w:rsid w:val="001D7ECF"/>
    <w:rsid w:val="001E0F37"/>
    <w:rsid w:val="001E1564"/>
    <w:rsid w:val="001E19A4"/>
    <w:rsid w:val="001E1D24"/>
    <w:rsid w:val="001E1F62"/>
    <w:rsid w:val="001E2F70"/>
    <w:rsid w:val="001E467A"/>
    <w:rsid w:val="001E46F8"/>
    <w:rsid w:val="001E4BE5"/>
    <w:rsid w:val="001E50E3"/>
    <w:rsid w:val="001E5240"/>
    <w:rsid w:val="001E6669"/>
    <w:rsid w:val="001E7DB6"/>
    <w:rsid w:val="001F0631"/>
    <w:rsid w:val="001F107F"/>
    <w:rsid w:val="001F1EDA"/>
    <w:rsid w:val="001F1FD8"/>
    <w:rsid w:val="001F205F"/>
    <w:rsid w:val="001F3B85"/>
    <w:rsid w:val="001F4011"/>
    <w:rsid w:val="001F642B"/>
    <w:rsid w:val="001F64CA"/>
    <w:rsid w:val="001F6AEF"/>
    <w:rsid w:val="001F7976"/>
    <w:rsid w:val="002002B0"/>
    <w:rsid w:val="002007BD"/>
    <w:rsid w:val="00201925"/>
    <w:rsid w:val="00201A67"/>
    <w:rsid w:val="00201D65"/>
    <w:rsid w:val="00201EEA"/>
    <w:rsid w:val="002025DA"/>
    <w:rsid w:val="002041A0"/>
    <w:rsid w:val="00204CC5"/>
    <w:rsid w:val="00204E9F"/>
    <w:rsid w:val="002051D6"/>
    <w:rsid w:val="00205A52"/>
    <w:rsid w:val="00205C92"/>
    <w:rsid w:val="002061AA"/>
    <w:rsid w:val="00206BCC"/>
    <w:rsid w:val="00206CB2"/>
    <w:rsid w:val="002103B1"/>
    <w:rsid w:val="00210987"/>
    <w:rsid w:val="002115E9"/>
    <w:rsid w:val="00211941"/>
    <w:rsid w:val="00211A3D"/>
    <w:rsid w:val="00211CDD"/>
    <w:rsid w:val="00211F3D"/>
    <w:rsid w:val="00212533"/>
    <w:rsid w:val="00212A26"/>
    <w:rsid w:val="00214070"/>
    <w:rsid w:val="002146CC"/>
    <w:rsid w:val="00215232"/>
    <w:rsid w:val="00216718"/>
    <w:rsid w:val="00217C29"/>
    <w:rsid w:val="00220C0B"/>
    <w:rsid w:val="0022297A"/>
    <w:rsid w:val="002229C1"/>
    <w:rsid w:val="0022373E"/>
    <w:rsid w:val="00223961"/>
    <w:rsid w:val="00224F4F"/>
    <w:rsid w:val="00225DF5"/>
    <w:rsid w:val="00225F61"/>
    <w:rsid w:val="00227CFF"/>
    <w:rsid w:val="00230048"/>
    <w:rsid w:val="002306DC"/>
    <w:rsid w:val="00230C0A"/>
    <w:rsid w:val="00230C93"/>
    <w:rsid w:val="00233639"/>
    <w:rsid w:val="00234D5A"/>
    <w:rsid w:val="002356B3"/>
    <w:rsid w:val="00236679"/>
    <w:rsid w:val="00236F29"/>
    <w:rsid w:val="0024115A"/>
    <w:rsid w:val="002412D7"/>
    <w:rsid w:val="00241F6C"/>
    <w:rsid w:val="00242E7D"/>
    <w:rsid w:val="002432EA"/>
    <w:rsid w:val="002433D4"/>
    <w:rsid w:val="00243513"/>
    <w:rsid w:val="00243DCD"/>
    <w:rsid w:val="0024414A"/>
    <w:rsid w:val="002448EC"/>
    <w:rsid w:val="002464F3"/>
    <w:rsid w:val="00246B71"/>
    <w:rsid w:val="00246F6F"/>
    <w:rsid w:val="0024700E"/>
    <w:rsid w:val="002502C2"/>
    <w:rsid w:val="00251414"/>
    <w:rsid w:val="00252C32"/>
    <w:rsid w:val="002539BA"/>
    <w:rsid w:val="00254006"/>
    <w:rsid w:val="0025413D"/>
    <w:rsid w:val="00255B89"/>
    <w:rsid w:val="002571D6"/>
    <w:rsid w:val="0025773C"/>
    <w:rsid w:val="002579D0"/>
    <w:rsid w:val="00257A30"/>
    <w:rsid w:val="00261B37"/>
    <w:rsid w:val="00264738"/>
    <w:rsid w:val="00264925"/>
    <w:rsid w:val="002659D3"/>
    <w:rsid w:val="00266DC5"/>
    <w:rsid w:val="0026718A"/>
    <w:rsid w:val="00267684"/>
    <w:rsid w:val="002702C2"/>
    <w:rsid w:val="00270C50"/>
    <w:rsid w:val="00271926"/>
    <w:rsid w:val="002727FA"/>
    <w:rsid w:val="00272835"/>
    <w:rsid w:val="00274BDA"/>
    <w:rsid w:val="00274F01"/>
    <w:rsid w:val="0027526D"/>
    <w:rsid w:val="00276C62"/>
    <w:rsid w:val="0027713C"/>
    <w:rsid w:val="0027759B"/>
    <w:rsid w:val="00280680"/>
    <w:rsid w:val="00281456"/>
    <w:rsid w:val="00281A68"/>
    <w:rsid w:val="00282EB2"/>
    <w:rsid w:val="00282FAE"/>
    <w:rsid w:val="002837E2"/>
    <w:rsid w:val="00283B24"/>
    <w:rsid w:val="0028430F"/>
    <w:rsid w:val="002848A0"/>
    <w:rsid w:val="002849C5"/>
    <w:rsid w:val="00284EBA"/>
    <w:rsid w:val="00287234"/>
    <w:rsid w:val="00287C86"/>
    <w:rsid w:val="00287FAB"/>
    <w:rsid w:val="002911DB"/>
    <w:rsid w:val="00291D36"/>
    <w:rsid w:val="002936EE"/>
    <w:rsid w:val="00293B32"/>
    <w:rsid w:val="00293B48"/>
    <w:rsid w:val="00294320"/>
    <w:rsid w:val="00296C94"/>
    <w:rsid w:val="002A00B7"/>
    <w:rsid w:val="002A0E86"/>
    <w:rsid w:val="002A1600"/>
    <w:rsid w:val="002A2937"/>
    <w:rsid w:val="002A2B0A"/>
    <w:rsid w:val="002A455A"/>
    <w:rsid w:val="002A7906"/>
    <w:rsid w:val="002B00CE"/>
    <w:rsid w:val="002B0DDF"/>
    <w:rsid w:val="002B138A"/>
    <w:rsid w:val="002B1904"/>
    <w:rsid w:val="002B1B1C"/>
    <w:rsid w:val="002B23AB"/>
    <w:rsid w:val="002B2718"/>
    <w:rsid w:val="002B2B46"/>
    <w:rsid w:val="002B6303"/>
    <w:rsid w:val="002B79A4"/>
    <w:rsid w:val="002B7B38"/>
    <w:rsid w:val="002B7F59"/>
    <w:rsid w:val="002C1566"/>
    <w:rsid w:val="002C159A"/>
    <w:rsid w:val="002C294F"/>
    <w:rsid w:val="002C3EB2"/>
    <w:rsid w:val="002C4917"/>
    <w:rsid w:val="002C61C9"/>
    <w:rsid w:val="002C7914"/>
    <w:rsid w:val="002D007F"/>
    <w:rsid w:val="002D1DA0"/>
    <w:rsid w:val="002D29DC"/>
    <w:rsid w:val="002D2E44"/>
    <w:rsid w:val="002D343C"/>
    <w:rsid w:val="002D3743"/>
    <w:rsid w:val="002D3D0D"/>
    <w:rsid w:val="002D3DA2"/>
    <w:rsid w:val="002D4109"/>
    <w:rsid w:val="002D4664"/>
    <w:rsid w:val="002D4678"/>
    <w:rsid w:val="002D4D91"/>
    <w:rsid w:val="002D4F1A"/>
    <w:rsid w:val="002D5FF7"/>
    <w:rsid w:val="002D6E18"/>
    <w:rsid w:val="002D7ADB"/>
    <w:rsid w:val="002E37A4"/>
    <w:rsid w:val="002E4364"/>
    <w:rsid w:val="002E4907"/>
    <w:rsid w:val="002E5B57"/>
    <w:rsid w:val="002F02D4"/>
    <w:rsid w:val="002F0E00"/>
    <w:rsid w:val="002F136B"/>
    <w:rsid w:val="002F1471"/>
    <w:rsid w:val="002F15A7"/>
    <w:rsid w:val="002F1FFA"/>
    <w:rsid w:val="002F2D2D"/>
    <w:rsid w:val="002F3347"/>
    <w:rsid w:val="002F37DF"/>
    <w:rsid w:val="002F5ED6"/>
    <w:rsid w:val="002F7AEE"/>
    <w:rsid w:val="00300332"/>
    <w:rsid w:val="00300B49"/>
    <w:rsid w:val="00300D41"/>
    <w:rsid w:val="00300F53"/>
    <w:rsid w:val="003011B3"/>
    <w:rsid w:val="00305869"/>
    <w:rsid w:val="00307F2D"/>
    <w:rsid w:val="00310124"/>
    <w:rsid w:val="00310575"/>
    <w:rsid w:val="00311F5D"/>
    <w:rsid w:val="00312B45"/>
    <w:rsid w:val="003145D0"/>
    <w:rsid w:val="00314662"/>
    <w:rsid w:val="003152E1"/>
    <w:rsid w:val="00315CA0"/>
    <w:rsid w:val="003178BA"/>
    <w:rsid w:val="00320135"/>
    <w:rsid w:val="00321500"/>
    <w:rsid w:val="003217B7"/>
    <w:rsid w:val="00321BB9"/>
    <w:rsid w:val="003220AE"/>
    <w:rsid w:val="0032230C"/>
    <w:rsid w:val="00323441"/>
    <w:rsid w:val="00325B22"/>
    <w:rsid w:val="00326758"/>
    <w:rsid w:val="00326E73"/>
    <w:rsid w:val="00330562"/>
    <w:rsid w:val="003310E1"/>
    <w:rsid w:val="00334251"/>
    <w:rsid w:val="00335AE5"/>
    <w:rsid w:val="0033665F"/>
    <w:rsid w:val="00336CB1"/>
    <w:rsid w:val="00336F1D"/>
    <w:rsid w:val="0033779F"/>
    <w:rsid w:val="003402C8"/>
    <w:rsid w:val="003402E2"/>
    <w:rsid w:val="00341AED"/>
    <w:rsid w:val="00342612"/>
    <w:rsid w:val="00343346"/>
    <w:rsid w:val="00343477"/>
    <w:rsid w:val="00344561"/>
    <w:rsid w:val="0034521D"/>
    <w:rsid w:val="0034524E"/>
    <w:rsid w:val="00345B3C"/>
    <w:rsid w:val="00346869"/>
    <w:rsid w:val="00347010"/>
    <w:rsid w:val="00347158"/>
    <w:rsid w:val="0034723E"/>
    <w:rsid w:val="0035057F"/>
    <w:rsid w:val="0035108E"/>
    <w:rsid w:val="00352AE2"/>
    <w:rsid w:val="00355E3E"/>
    <w:rsid w:val="00356F26"/>
    <w:rsid w:val="00357250"/>
    <w:rsid w:val="00357D84"/>
    <w:rsid w:val="00357E0A"/>
    <w:rsid w:val="00360105"/>
    <w:rsid w:val="00360117"/>
    <w:rsid w:val="00360D1C"/>
    <w:rsid w:val="00361370"/>
    <w:rsid w:val="00361589"/>
    <w:rsid w:val="00361748"/>
    <w:rsid w:val="00361A50"/>
    <w:rsid w:val="00361DE5"/>
    <w:rsid w:val="00361F47"/>
    <w:rsid w:val="00362B36"/>
    <w:rsid w:val="00363B48"/>
    <w:rsid w:val="00363E26"/>
    <w:rsid w:val="0036561D"/>
    <w:rsid w:val="00365C95"/>
    <w:rsid w:val="00366ACE"/>
    <w:rsid w:val="003676FA"/>
    <w:rsid w:val="00370C7B"/>
    <w:rsid w:val="003710AB"/>
    <w:rsid w:val="003720A2"/>
    <w:rsid w:val="00373EB2"/>
    <w:rsid w:val="00374800"/>
    <w:rsid w:val="00375012"/>
    <w:rsid w:val="00375293"/>
    <w:rsid w:val="00375F1A"/>
    <w:rsid w:val="00377D04"/>
    <w:rsid w:val="0038093A"/>
    <w:rsid w:val="00381F54"/>
    <w:rsid w:val="003824B6"/>
    <w:rsid w:val="003834B1"/>
    <w:rsid w:val="00384CFE"/>
    <w:rsid w:val="00384FF9"/>
    <w:rsid w:val="00385184"/>
    <w:rsid w:val="003869BE"/>
    <w:rsid w:val="00386B50"/>
    <w:rsid w:val="00386E71"/>
    <w:rsid w:val="00386E9A"/>
    <w:rsid w:val="003878D6"/>
    <w:rsid w:val="00387D8B"/>
    <w:rsid w:val="00392123"/>
    <w:rsid w:val="0039235B"/>
    <w:rsid w:val="003925BA"/>
    <w:rsid w:val="00392787"/>
    <w:rsid w:val="00392C59"/>
    <w:rsid w:val="003933FF"/>
    <w:rsid w:val="00393F30"/>
    <w:rsid w:val="003946AD"/>
    <w:rsid w:val="00394829"/>
    <w:rsid w:val="00394B9F"/>
    <w:rsid w:val="0039542F"/>
    <w:rsid w:val="00397B03"/>
    <w:rsid w:val="00397DA6"/>
    <w:rsid w:val="003A0295"/>
    <w:rsid w:val="003A02AF"/>
    <w:rsid w:val="003A1672"/>
    <w:rsid w:val="003A2087"/>
    <w:rsid w:val="003A2839"/>
    <w:rsid w:val="003A4C96"/>
    <w:rsid w:val="003A5770"/>
    <w:rsid w:val="003A5B99"/>
    <w:rsid w:val="003A68D7"/>
    <w:rsid w:val="003A68DC"/>
    <w:rsid w:val="003B0305"/>
    <w:rsid w:val="003B1B21"/>
    <w:rsid w:val="003B362F"/>
    <w:rsid w:val="003B4C09"/>
    <w:rsid w:val="003B5027"/>
    <w:rsid w:val="003B6312"/>
    <w:rsid w:val="003B66DB"/>
    <w:rsid w:val="003B6868"/>
    <w:rsid w:val="003B6DAB"/>
    <w:rsid w:val="003C0416"/>
    <w:rsid w:val="003C2649"/>
    <w:rsid w:val="003C2748"/>
    <w:rsid w:val="003C300D"/>
    <w:rsid w:val="003C35E2"/>
    <w:rsid w:val="003C3839"/>
    <w:rsid w:val="003C4EAA"/>
    <w:rsid w:val="003C6117"/>
    <w:rsid w:val="003C634A"/>
    <w:rsid w:val="003C7983"/>
    <w:rsid w:val="003D08C7"/>
    <w:rsid w:val="003D276E"/>
    <w:rsid w:val="003D4173"/>
    <w:rsid w:val="003D47A6"/>
    <w:rsid w:val="003D60BD"/>
    <w:rsid w:val="003D755F"/>
    <w:rsid w:val="003D7E6A"/>
    <w:rsid w:val="003E17DB"/>
    <w:rsid w:val="003E1A53"/>
    <w:rsid w:val="003E288C"/>
    <w:rsid w:val="003E2EE9"/>
    <w:rsid w:val="003E3B38"/>
    <w:rsid w:val="003E4DF5"/>
    <w:rsid w:val="003E56D1"/>
    <w:rsid w:val="003E59CF"/>
    <w:rsid w:val="003E5DBE"/>
    <w:rsid w:val="003E6AB7"/>
    <w:rsid w:val="003E7A0B"/>
    <w:rsid w:val="003E7B28"/>
    <w:rsid w:val="003F0E4A"/>
    <w:rsid w:val="003F1520"/>
    <w:rsid w:val="003F1B4D"/>
    <w:rsid w:val="003F1BB1"/>
    <w:rsid w:val="003F20DB"/>
    <w:rsid w:val="003F22DD"/>
    <w:rsid w:val="003F2B78"/>
    <w:rsid w:val="003F3DF0"/>
    <w:rsid w:val="003F4410"/>
    <w:rsid w:val="003F4AE2"/>
    <w:rsid w:val="003F600D"/>
    <w:rsid w:val="00400492"/>
    <w:rsid w:val="00400928"/>
    <w:rsid w:val="004021DA"/>
    <w:rsid w:val="004022CF"/>
    <w:rsid w:val="00402704"/>
    <w:rsid w:val="00402761"/>
    <w:rsid w:val="00402F92"/>
    <w:rsid w:val="00403EED"/>
    <w:rsid w:val="00403F3E"/>
    <w:rsid w:val="00404750"/>
    <w:rsid w:val="00405026"/>
    <w:rsid w:val="00406D23"/>
    <w:rsid w:val="0041046F"/>
    <w:rsid w:val="004104FB"/>
    <w:rsid w:val="00410C77"/>
    <w:rsid w:val="004115D8"/>
    <w:rsid w:val="00411A3C"/>
    <w:rsid w:val="004122A0"/>
    <w:rsid w:val="00412320"/>
    <w:rsid w:val="004145C4"/>
    <w:rsid w:val="00414607"/>
    <w:rsid w:val="00417AAE"/>
    <w:rsid w:val="00417C14"/>
    <w:rsid w:val="00417D6E"/>
    <w:rsid w:val="00421AAA"/>
    <w:rsid w:val="004238A6"/>
    <w:rsid w:val="004238B8"/>
    <w:rsid w:val="00424E34"/>
    <w:rsid w:val="004253CD"/>
    <w:rsid w:val="00425E3A"/>
    <w:rsid w:val="0042669B"/>
    <w:rsid w:val="00434B13"/>
    <w:rsid w:val="00434E55"/>
    <w:rsid w:val="00435F0F"/>
    <w:rsid w:val="0043622A"/>
    <w:rsid w:val="0043667A"/>
    <w:rsid w:val="00437168"/>
    <w:rsid w:val="0044018D"/>
    <w:rsid w:val="00440F35"/>
    <w:rsid w:val="00442067"/>
    <w:rsid w:val="004424AD"/>
    <w:rsid w:val="004431C6"/>
    <w:rsid w:val="00443F16"/>
    <w:rsid w:val="00444227"/>
    <w:rsid w:val="00444E6F"/>
    <w:rsid w:val="0044659B"/>
    <w:rsid w:val="004466D6"/>
    <w:rsid w:val="00446C03"/>
    <w:rsid w:val="004506B7"/>
    <w:rsid w:val="004514BE"/>
    <w:rsid w:val="004521B8"/>
    <w:rsid w:val="00452334"/>
    <w:rsid w:val="00452828"/>
    <w:rsid w:val="00453D55"/>
    <w:rsid w:val="00454B52"/>
    <w:rsid w:val="00455A51"/>
    <w:rsid w:val="004609AE"/>
    <w:rsid w:val="0046215A"/>
    <w:rsid w:val="00462D7A"/>
    <w:rsid w:val="00462F8A"/>
    <w:rsid w:val="0046368B"/>
    <w:rsid w:val="004638C8"/>
    <w:rsid w:val="00463968"/>
    <w:rsid w:val="00465B6F"/>
    <w:rsid w:val="00466EF0"/>
    <w:rsid w:val="00467C2D"/>
    <w:rsid w:val="00471863"/>
    <w:rsid w:val="00473F07"/>
    <w:rsid w:val="00474010"/>
    <w:rsid w:val="00474931"/>
    <w:rsid w:val="00474F80"/>
    <w:rsid w:val="00474FE6"/>
    <w:rsid w:val="004754C7"/>
    <w:rsid w:val="0047631C"/>
    <w:rsid w:val="004771FE"/>
    <w:rsid w:val="0048044A"/>
    <w:rsid w:val="0048046E"/>
    <w:rsid w:val="004807CD"/>
    <w:rsid w:val="004820EC"/>
    <w:rsid w:val="0048286D"/>
    <w:rsid w:val="00482E9F"/>
    <w:rsid w:val="00482F80"/>
    <w:rsid w:val="004839F3"/>
    <w:rsid w:val="00483C8E"/>
    <w:rsid w:val="00484C39"/>
    <w:rsid w:val="004878AB"/>
    <w:rsid w:val="004879EC"/>
    <w:rsid w:val="00491E6E"/>
    <w:rsid w:val="00491F45"/>
    <w:rsid w:val="00492DB0"/>
    <w:rsid w:val="00493114"/>
    <w:rsid w:val="004955E8"/>
    <w:rsid w:val="00496669"/>
    <w:rsid w:val="00497678"/>
    <w:rsid w:val="004A1CDB"/>
    <w:rsid w:val="004A3DC2"/>
    <w:rsid w:val="004A436B"/>
    <w:rsid w:val="004A4DA2"/>
    <w:rsid w:val="004A5CE3"/>
    <w:rsid w:val="004B09CB"/>
    <w:rsid w:val="004B0A00"/>
    <w:rsid w:val="004B0AC5"/>
    <w:rsid w:val="004B0CCC"/>
    <w:rsid w:val="004B0E94"/>
    <w:rsid w:val="004B309D"/>
    <w:rsid w:val="004B3788"/>
    <w:rsid w:val="004B58BB"/>
    <w:rsid w:val="004C08B4"/>
    <w:rsid w:val="004C382C"/>
    <w:rsid w:val="004C44E2"/>
    <w:rsid w:val="004C4FA9"/>
    <w:rsid w:val="004C520F"/>
    <w:rsid w:val="004C5DED"/>
    <w:rsid w:val="004C6124"/>
    <w:rsid w:val="004C6774"/>
    <w:rsid w:val="004D0992"/>
    <w:rsid w:val="004D19FF"/>
    <w:rsid w:val="004D2174"/>
    <w:rsid w:val="004D22E2"/>
    <w:rsid w:val="004D4085"/>
    <w:rsid w:val="004D461D"/>
    <w:rsid w:val="004D47BA"/>
    <w:rsid w:val="004D5471"/>
    <w:rsid w:val="004D69A4"/>
    <w:rsid w:val="004D6F98"/>
    <w:rsid w:val="004D7143"/>
    <w:rsid w:val="004D730F"/>
    <w:rsid w:val="004D73BD"/>
    <w:rsid w:val="004D7FB1"/>
    <w:rsid w:val="004E0C39"/>
    <w:rsid w:val="004E1C69"/>
    <w:rsid w:val="004E2036"/>
    <w:rsid w:val="004E2ED0"/>
    <w:rsid w:val="004E4286"/>
    <w:rsid w:val="004E44B2"/>
    <w:rsid w:val="004E494B"/>
    <w:rsid w:val="004E52C3"/>
    <w:rsid w:val="004E6215"/>
    <w:rsid w:val="004E764D"/>
    <w:rsid w:val="004E77D1"/>
    <w:rsid w:val="004F010E"/>
    <w:rsid w:val="004F023D"/>
    <w:rsid w:val="004F07DE"/>
    <w:rsid w:val="004F0C47"/>
    <w:rsid w:val="004F1044"/>
    <w:rsid w:val="004F106B"/>
    <w:rsid w:val="004F14A2"/>
    <w:rsid w:val="004F23DA"/>
    <w:rsid w:val="004F2CBE"/>
    <w:rsid w:val="004F3CF2"/>
    <w:rsid w:val="004F44F8"/>
    <w:rsid w:val="004F6787"/>
    <w:rsid w:val="004F67E0"/>
    <w:rsid w:val="004F6CBC"/>
    <w:rsid w:val="0050027A"/>
    <w:rsid w:val="005002F9"/>
    <w:rsid w:val="00500860"/>
    <w:rsid w:val="00501DBF"/>
    <w:rsid w:val="00502674"/>
    <w:rsid w:val="00502BC2"/>
    <w:rsid w:val="00504599"/>
    <w:rsid w:val="00504DB1"/>
    <w:rsid w:val="0050545C"/>
    <w:rsid w:val="00505582"/>
    <w:rsid w:val="0050600B"/>
    <w:rsid w:val="005066C3"/>
    <w:rsid w:val="00507984"/>
    <w:rsid w:val="00510FDE"/>
    <w:rsid w:val="005114AD"/>
    <w:rsid w:val="005124FB"/>
    <w:rsid w:val="005128E9"/>
    <w:rsid w:val="005133F3"/>
    <w:rsid w:val="0051493A"/>
    <w:rsid w:val="00515546"/>
    <w:rsid w:val="00516D10"/>
    <w:rsid w:val="00520748"/>
    <w:rsid w:val="00520CE7"/>
    <w:rsid w:val="00520F70"/>
    <w:rsid w:val="005216D4"/>
    <w:rsid w:val="00521C25"/>
    <w:rsid w:val="0052275B"/>
    <w:rsid w:val="00522ADC"/>
    <w:rsid w:val="00523D4F"/>
    <w:rsid w:val="0052582A"/>
    <w:rsid w:val="00526492"/>
    <w:rsid w:val="00526E73"/>
    <w:rsid w:val="00527020"/>
    <w:rsid w:val="00527572"/>
    <w:rsid w:val="0053008C"/>
    <w:rsid w:val="00530586"/>
    <w:rsid w:val="00530C7B"/>
    <w:rsid w:val="00531352"/>
    <w:rsid w:val="00531C91"/>
    <w:rsid w:val="00531E16"/>
    <w:rsid w:val="00532A4D"/>
    <w:rsid w:val="00532D28"/>
    <w:rsid w:val="00532E68"/>
    <w:rsid w:val="005340C4"/>
    <w:rsid w:val="00534A1B"/>
    <w:rsid w:val="00534D2C"/>
    <w:rsid w:val="005353E3"/>
    <w:rsid w:val="005359E2"/>
    <w:rsid w:val="00535A9E"/>
    <w:rsid w:val="00536A43"/>
    <w:rsid w:val="0053788C"/>
    <w:rsid w:val="00537C0D"/>
    <w:rsid w:val="00537D66"/>
    <w:rsid w:val="00537FF2"/>
    <w:rsid w:val="00540391"/>
    <w:rsid w:val="00540541"/>
    <w:rsid w:val="0054054A"/>
    <w:rsid w:val="00540E54"/>
    <w:rsid w:val="00540E9B"/>
    <w:rsid w:val="00542673"/>
    <w:rsid w:val="00542E16"/>
    <w:rsid w:val="00543787"/>
    <w:rsid w:val="00544181"/>
    <w:rsid w:val="00544302"/>
    <w:rsid w:val="00544EAF"/>
    <w:rsid w:val="00544FA3"/>
    <w:rsid w:val="00545CCF"/>
    <w:rsid w:val="00547FA5"/>
    <w:rsid w:val="005510A4"/>
    <w:rsid w:val="00551BDD"/>
    <w:rsid w:val="005529F5"/>
    <w:rsid w:val="00552A72"/>
    <w:rsid w:val="00552FA8"/>
    <w:rsid w:val="005540C9"/>
    <w:rsid w:val="00554105"/>
    <w:rsid w:val="00554660"/>
    <w:rsid w:val="005550C5"/>
    <w:rsid w:val="00556B07"/>
    <w:rsid w:val="00556C41"/>
    <w:rsid w:val="00561E13"/>
    <w:rsid w:val="00563F1E"/>
    <w:rsid w:val="0056559B"/>
    <w:rsid w:val="00566635"/>
    <w:rsid w:val="00566CEB"/>
    <w:rsid w:val="00567400"/>
    <w:rsid w:val="0057101C"/>
    <w:rsid w:val="005720F7"/>
    <w:rsid w:val="00573C2F"/>
    <w:rsid w:val="005744C1"/>
    <w:rsid w:val="005749A8"/>
    <w:rsid w:val="00577243"/>
    <w:rsid w:val="00577651"/>
    <w:rsid w:val="0057788B"/>
    <w:rsid w:val="00577897"/>
    <w:rsid w:val="0057799C"/>
    <w:rsid w:val="00581B87"/>
    <w:rsid w:val="00583374"/>
    <w:rsid w:val="0058478A"/>
    <w:rsid w:val="005851EE"/>
    <w:rsid w:val="00585D37"/>
    <w:rsid w:val="00585F4D"/>
    <w:rsid w:val="005904B8"/>
    <w:rsid w:val="00590741"/>
    <w:rsid w:val="00593614"/>
    <w:rsid w:val="00594422"/>
    <w:rsid w:val="005955E5"/>
    <w:rsid w:val="00595E32"/>
    <w:rsid w:val="005964E9"/>
    <w:rsid w:val="005973F3"/>
    <w:rsid w:val="005976DE"/>
    <w:rsid w:val="00597C73"/>
    <w:rsid w:val="00597D52"/>
    <w:rsid w:val="00597FE4"/>
    <w:rsid w:val="005A01DA"/>
    <w:rsid w:val="005A2B8F"/>
    <w:rsid w:val="005A476B"/>
    <w:rsid w:val="005A4B6D"/>
    <w:rsid w:val="005A5C2A"/>
    <w:rsid w:val="005A6F11"/>
    <w:rsid w:val="005A73D1"/>
    <w:rsid w:val="005A78DE"/>
    <w:rsid w:val="005A7FBB"/>
    <w:rsid w:val="005B0579"/>
    <w:rsid w:val="005B07CF"/>
    <w:rsid w:val="005B10BB"/>
    <w:rsid w:val="005B15F4"/>
    <w:rsid w:val="005B38CA"/>
    <w:rsid w:val="005B564A"/>
    <w:rsid w:val="005B6824"/>
    <w:rsid w:val="005B72A0"/>
    <w:rsid w:val="005B76F9"/>
    <w:rsid w:val="005B7923"/>
    <w:rsid w:val="005B7933"/>
    <w:rsid w:val="005C0747"/>
    <w:rsid w:val="005C3976"/>
    <w:rsid w:val="005C3DD6"/>
    <w:rsid w:val="005C427C"/>
    <w:rsid w:val="005C4E2E"/>
    <w:rsid w:val="005C5C7F"/>
    <w:rsid w:val="005C715C"/>
    <w:rsid w:val="005C7817"/>
    <w:rsid w:val="005D202F"/>
    <w:rsid w:val="005D2FB1"/>
    <w:rsid w:val="005D4550"/>
    <w:rsid w:val="005D48B3"/>
    <w:rsid w:val="005D4B90"/>
    <w:rsid w:val="005E129E"/>
    <w:rsid w:val="005E1313"/>
    <w:rsid w:val="005E1594"/>
    <w:rsid w:val="005E2186"/>
    <w:rsid w:val="005E26F7"/>
    <w:rsid w:val="005E2B46"/>
    <w:rsid w:val="005E3096"/>
    <w:rsid w:val="005E30DE"/>
    <w:rsid w:val="005E5586"/>
    <w:rsid w:val="005E6DBB"/>
    <w:rsid w:val="005F0394"/>
    <w:rsid w:val="005F03B6"/>
    <w:rsid w:val="005F065D"/>
    <w:rsid w:val="005F0D03"/>
    <w:rsid w:val="005F2BF5"/>
    <w:rsid w:val="005F4238"/>
    <w:rsid w:val="005F6830"/>
    <w:rsid w:val="005F7174"/>
    <w:rsid w:val="0060111B"/>
    <w:rsid w:val="006027A5"/>
    <w:rsid w:val="006029CD"/>
    <w:rsid w:val="00602A1F"/>
    <w:rsid w:val="00602F41"/>
    <w:rsid w:val="00604B4B"/>
    <w:rsid w:val="00605131"/>
    <w:rsid w:val="00605256"/>
    <w:rsid w:val="006053DA"/>
    <w:rsid w:val="006060C5"/>
    <w:rsid w:val="0060621A"/>
    <w:rsid w:val="0060790C"/>
    <w:rsid w:val="00612239"/>
    <w:rsid w:val="006122A3"/>
    <w:rsid w:val="006129CD"/>
    <w:rsid w:val="0061314B"/>
    <w:rsid w:val="00613773"/>
    <w:rsid w:val="00615207"/>
    <w:rsid w:val="0061534E"/>
    <w:rsid w:val="00615BDF"/>
    <w:rsid w:val="006167A0"/>
    <w:rsid w:val="00616C08"/>
    <w:rsid w:val="006202F3"/>
    <w:rsid w:val="00623A77"/>
    <w:rsid w:val="00624999"/>
    <w:rsid w:val="00624DAE"/>
    <w:rsid w:val="006253A1"/>
    <w:rsid w:val="006255D3"/>
    <w:rsid w:val="006256A6"/>
    <w:rsid w:val="00626C7D"/>
    <w:rsid w:val="006274C6"/>
    <w:rsid w:val="006274E9"/>
    <w:rsid w:val="00627885"/>
    <w:rsid w:val="0063030F"/>
    <w:rsid w:val="00630858"/>
    <w:rsid w:val="006312CA"/>
    <w:rsid w:val="0063244B"/>
    <w:rsid w:val="00633CDF"/>
    <w:rsid w:val="00634620"/>
    <w:rsid w:val="00634809"/>
    <w:rsid w:val="00635981"/>
    <w:rsid w:val="006368DB"/>
    <w:rsid w:val="00636BD8"/>
    <w:rsid w:val="00640D93"/>
    <w:rsid w:val="006418A6"/>
    <w:rsid w:val="00641FD3"/>
    <w:rsid w:val="006432B0"/>
    <w:rsid w:val="00643593"/>
    <w:rsid w:val="00644118"/>
    <w:rsid w:val="00644458"/>
    <w:rsid w:val="0064581F"/>
    <w:rsid w:val="00645E78"/>
    <w:rsid w:val="00647090"/>
    <w:rsid w:val="006506AE"/>
    <w:rsid w:val="00650705"/>
    <w:rsid w:val="0065157D"/>
    <w:rsid w:val="00652EEE"/>
    <w:rsid w:val="006533F6"/>
    <w:rsid w:val="00653B38"/>
    <w:rsid w:val="00653BDE"/>
    <w:rsid w:val="0065461E"/>
    <w:rsid w:val="00654F2B"/>
    <w:rsid w:val="00655203"/>
    <w:rsid w:val="00655A87"/>
    <w:rsid w:val="00656512"/>
    <w:rsid w:val="00657548"/>
    <w:rsid w:val="0066067E"/>
    <w:rsid w:val="00660890"/>
    <w:rsid w:val="00660B38"/>
    <w:rsid w:val="006628A7"/>
    <w:rsid w:val="0066362E"/>
    <w:rsid w:val="0066372A"/>
    <w:rsid w:val="006649CB"/>
    <w:rsid w:val="00664EDF"/>
    <w:rsid w:val="00665065"/>
    <w:rsid w:val="00667285"/>
    <w:rsid w:val="00675EF0"/>
    <w:rsid w:val="006762CA"/>
    <w:rsid w:val="00677057"/>
    <w:rsid w:val="00677700"/>
    <w:rsid w:val="00677BB0"/>
    <w:rsid w:val="00682E4A"/>
    <w:rsid w:val="00682F26"/>
    <w:rsid w:val="006835D8"/>
    <w:rsid w:val="00684E89"/>
    <w:rsid w:val="00685D71"/>
    <w:rsid w:val="00685EC3"/>
    <w:rsid w:val="0068782A"/>
    <w:rsid w:val="0069107B"/>
    <w:rsid w:val="006917D4"/>
    <w:rsid w:val="00692166"/>
    <w:rsid w:val="00693F9A"/>
    <w:rsid w:val="006946E6"/>
    <w:rsid w:val="006957A2"/>
    <w:rsid w:val="0069612F"/>
    <w:rsid w:val="0069773D"/>
    <w:rsid w:val="006A0574"/>
    <w:rsid w:val="006A1740"/>
    <w:rsid w:val="006A1E3D"/>
    <w:rsid w:val="006A210D"/>
    <w:rsid w:val="006A2996"/>
    <w:rsid w:val="006A2CD1"/>
    <w:rsid w:val="006A362A"/>
    <w:rsid w:val="006A3EAB"/>
    <w:rsid w:val="006A57C1"/>
    <w:rsid w:val="006A593F"/>
    <w:rsid w:val="006A62B1"/>
    <w:rsid w:val="006A7660"/>
    <w:rsid w:val="006B0A22"/>
    <w:rsid w:val="006B122B"/>
    <w:rsid w:val="006B192E"/>
    <w:rsid w:val="006B1C98"/>
    <w:rsid w:val="006B281F"/>
    <w:rsid w:val="006B3D5C"/>
    <w:rsid w:val="006B5113"/>
    <w:rsid w:val="006B6828"/>
    <w:rsid w:val="006B6A61"/>
    <w:rsid w:val="006B7498"/>
    <w:rsid w:val="006C18A4"/>
    <w:rsid w:val="006C1D70"/>
    <w:rsid w:val="006C2C52"/>
    <w:rsid w:val="006C4381"/>
    <w:rsid w:val="006C45A9"/>
    <w:rsid w:val="006C4DAC"/>
    <w:rsid w:val="006C5E13"/>
    <w:rsid w:val="006C6636"/>
    <w:rsid w:val="006C6673"/>
    <w:rsid w:val="006C6A3D"/>
    <w:rsid w:val="006C6FC0"/>
    <w:rsid w:val="006C71F7"/>
    <w:rsid w:val="006D047F"/>
    <w:rsid w:val="006D04C7"/>
    <w:rsid w:val="006D07E2"/>
    <w:rsid w:val="006D12C8"/>
    <w:rsid w:val="006D2477"/>
    <w:rsid w:val="006D2B00"/>
    <w:rsid w:val="006D3BDE"/>
    <w:rsid w:val="006D3D74"/>
    <w:rsid w:val="006D4050"/>
    <w:rsid w:val="006D4BF3"/>
    <w:rsid w:val="006D5281"/>
    <w:rsid w:val="006D554A"/>
    <w:rsid w:val="006D6614"/>
    <w:rsid w:val="006D6648"/>
    <w:rsid w:val="006D78D2"/>
    <w:rsid w:val="006E00BD"/>
    <w:rsid w:val="006E0506"/>
    <w:rsid w:val="006E09F3"/>
    <w:rsid w:val="006E1370"/>
    <w:rsid w:val="006E1E1F"/>
    <w:rsid w:val="006E3689"/>
    <w:rsid w:val="006E4DD1"/>
    <w:rsid w:val="006E51AA"/>
    <w:rsid w:val="006E58A5"/>
    <w:rsid w:val="006E6156"/>
    <w:rsid w:val="006E6A6F"/>
    <w:rsid w:val="006E6E31"/>
    <w:rsid w:val="006E75FD"/>
    <w:rsid w:val="006F15A9"/>
    <w:rsid w:val="006F15AC"/>
    <w:rsid w:val="006F17C7"/>
    <w:rsid w:val="006F2B1F"/>
    <w:rsid w:val="006F3760"/>
    <w:rsid w:val="006F49A7"/>
    <w:rsid w:val="006F6768"/>
    <w:rsid w:val="006F6D06"/>
    <w:rsid w:val="006F72A4"/>
    <w:rsid w:val="006F7336"/>
    <w:rsid w:val="006F7C73"/>
    <w:rsid w:val="007007CB"/>
    <w:rsid w:val="0070110D"/>
    <w:rsid w:val="00703A94"/>
    <w:rsid w:val="00703FE5"/>
    <w:rsid w:val="0070493F"/>
    <w:rsid w:val="007057BB"/>
    <w:rsid w:val="00705944"/>
    <w:rsid w:val="007076C1"/>
    <w:rsid w:val="00707DB5"/>
    <w:rsid w:val="00710059"/>
    <w:rsid w:val="00710CE3"/>
    <w:rsid w:val="00711578"/>
    <w:rsid w:val="00712ACC"/>
    <w:rsid w:val="00712E83"/>
    <w:rsid w:val="00713186"/>
    <w:rsid w:val="00714F8D"/>
    <w:rsid w:val="00715312"/>
    <w:rsid w:val="007154B3"/>
    <w:rsid w:val="00716D47"/>
    <w:rsid w:val="00720EF5"/>
    <w:rsid w:val="00721DBF"/>
    <w:rsid w:val="00722BF6"/>
    <w:rsid w:val="0072399C"/>
    <w:rsid w:val="007243AD"/>
    <w:rsid w:val="007247B8"/>
    <w:rsid w:val="00724D47"/>
    <w:rsid w:val="007257CA"/>
    <w:rsid w:val="00725B63"/>
    <w:rsid w:val="007260E9"/>
    <w:rsid w:val="0073029A"/>
    <w:rsid w:val="007308BD"/>
    <w:rsid w:val="00730970"/>
    <w:rsid w:val="0073187D"/>
    <w:rsid w:val="00732064"/>
    <w:rsid w:val="007326F3"/>
    <w:rsid w:val="00733475"/>
    <w:rsid w:val="00734F00"/>
    <w:rsid w:val="00735B51"/>
    <w:rsid w:val="0073630C"/>
    <w:rsid w:val="0073788C"/>
    <w:rsid w:val="007379B2"/>
    <w:rsid w:val="00737C5B"/>
    <w:rsid w:val="007407E0"/>
    <w:rsid w:val="00740CF2"/>
    <w:rsid w:val="0074173C"/>
    <w:rsid w:val="00745DE6"/>
    <w:rsid w:val="0074634D"/>
    <w:rsid w:val="0074686C"/>
    <w:rsid w:val="00746960"/>
    <w:rsid w:val="00747E14"/>
    <w:rsid w:val="00747E67"/>
    <w:rsid w:val="00750A81"/>
    <w:rsid w:val="00750EA6"/>
    <w:rsid w:val="00751793"/>
    <w:rsid w:val="00751972"/>
    <w:rsid w:val="007523DE"/>
    <w:rsid w:val="00753523"/>
    <w:rsid w:val="0075372C"/>
    <w:rsid w:val="00753D36"/>
    <w:rsid w:val="00754EF0"/>
    <w:rsid w:val="007553A0"/>
    <w:rsid w:val="007554B9"/>
    <w:rsid w:val="00755A78"/>
    <w:rsid w:val="00755C3D"/>
    <w:rsid w:val="00756F3B"/>
    <w:rsid w:val="007614F3"/>
    <w:rsid w:val="007615EC"/>
    <w:rsid w:val="00762BDD"/>
    <w:rsid w:val="007633AE"/>
    <w:rsid w:val="007645DB"/>
    <w:rsid w:val="00765011"/>
    <w:rsid w:val="00765BEC"/>
    <w:rsid w:val="00765FF4"/>
    <w:rsid w:val="00766339"/>
    <w:rsid w:val="00767B92"/>
    <w:rsid w:val="00767EFD"/>
    <w:rsid w:val="00770E6C"/>
    <w:rsid w:val="0077163F"/>
    <w:rsid w:val="0077230E"/>
    <w:rsid w:val="007725D2"/>
    <w:rsid w:val="00773E20"/>
    <w:rsid w:val="0077470E"/>
    <w:rsid w:val="007747C0"/>
    <w:rsid w:val="00777331"/>
    <w:rsid w:val="0077743B"/>
    <w:rsid w:val="00777A37"/>
    <w:rsid w:val="00777D82"/>
    <w:rsid w:val="00781C11"/>
    <w:rsid w:val="00782221"/>
    <w:rsid w:val="007824BC"/>
    <w:rsid w:val="007828C7"/>
    <w:rsid w:val="007839E4"/>
    <w:rsid w:val="00785816"/>
    <w:rsid w:val="00785BC9"/>
    <w:rsid w:val="00785F5A"/>
    <w:rsid w:val="007867D3"/>
    <w:rsid w:val="007900CD"/>
    <w:rsid w:val="0079035C"/>
    <w:rsid w:val="007905C6"/>
    <w:rsid w:val="00790EFA"/>
    <w:rsid w:val="00791368"/>
    <w:rsid w:val="00791FFA"/>
    <w:rsid w:val="0079201E"/>
    <w:rsid w:val="00793490"/>
    <w:rsid w:val="007939AA"/>
    <w:rsid w:val="00793BDA"/>
    <w:rsid w:val="00793F8A"/>
    <w:rsid w:val="00794CD8"/>
    <w:rsid w:val="00795661"/>
    <w:rsid w:val="0079658B"/>
    <w:rsid w:val="0079681F"/>
    <w:rsid w:val="0079682F"/>
    <w:rsid w:val="007A03D0"/>
    <w:rsid w:val="007A1602"/>
    <w:rsid w:val="007A2047"/>
    <w:rsid w:val="007A2CD0"/>
    <w:rsid w:val="007A2D58"/>
    <w:rsid w:val="007A4D2F"/>
    <w:rsid w:val="007A59E4"/>
    <w:rsid w:val="007A66CD"/>
    <w:rsid w:val="007A70F0"/>
    <w:rsid w:val="007A79CE"/>
    <w:rsid w:val="007A7DCA"/>
    <w:rsid w:val="007B01B1"/>
    <w:rsid w:val="007B0D0E"/>
    <w:rsid w:val="007B13D3"/>
    <w:rsid w:val="007B434E"/>
    <w:rsid w:val="007B4567"/>
    <w:rsid w:val="007B4857"/>
    <w:rsid w:val="007B4B25"/>
    <w:rsid w:val="007B5135"/>
    <w:rsid w:val="007B5388"/>
    <w:rsid w:val="007B5691"/>
    <w:rsid w:val="007B56C9"/>
    <w:rsid w:val="007B671D"/>
    <w:rsid w:val="007B76DB"/>
    <w:rsid w:val="007C1078"/>
    <w:rsid w:val="007C2098"/>
    <w:rsid w:val="007C2A71"/>
    <w:rsid w:val="007C377A"/>
    <w:rsid w:val="007C3ADD"/>
    <w:rsid w:val="007C654B"/>
    <w:rsid w:val="007C77CC"/>
    <w:rsid w:val="007C7AD3"/>
    <w:rsid w:val="007C7E1F"/>
    <w:rsid w:val="007D1B14"/>
    <w:rsid w:val="007D2279"/>
    <w:rsid w:val="007D3314"/>
    <w:rsid w:val="007D42E0"/>
    <w:rsid w:val="007D53B9"/>
    <w:rsid w:val="007D56D4"/>
    <w:rsid w:val="007D570D"/>
    <w:rsid w:val="007D577E"/>
    <w:rsid w:val="007D6B3F"/>
    <w:rsid w:val="007D701D"/>
    <w:rsid w:val="007D7759"/>
    <w:rsid w:val="007D7B5D"/>
    <w:rsid w:val="007E0F7C"/>
    <w:rsid w:val="007E1228"/>
    <w:rsid w:val="007E12EE"/>
    <w:rsid w:val="007E18DE"/>
    <w:rsid w:val="007E196C"/>
    <w:rsid w:val="007E2818"/>
    <w:rsid w:val="007E3BE7"/>
    <w:rsid w:val="007E4AF4"/>
    <w:rsid w:val="007E4D3C"/>
    <w:rsid w:val="007E54C9"/>
    <w:rsid w:val="007E57B2"/>
    <w:rsid w:val="007E6268"/>
    <w:rsid w:val="007F0011"/>
    <w:rsid w:val="007F043F"/>
    <w:rsid w:val="007F0553"/>
    <w:rsid w:val="007F065E"/>
    <w:rsid w:val="007F176F"/>
    <w:rsid w:val="007F26DC"/>
    <w:rsid w:val="007F273C"/>
    <w:rsid w:val="007F2D4C"/>
    <w:rsid w:val="007F3296"/>
    <w:rsid w:val="007F3350"/>
    <w:rsid w:val="007F3E24"/>
    <w:rsid w:val="007F5287"/>
    <w:rsid w:val="007F567C"/>
    <w:rsid w:val="007F5FEE"/>
    <w:rsid w:val="007F72C0"/>
    <w:rsid w:val="007F7CA7"/>
    <w:rsid w:val="0080112B"/>
    <w:rsid w:val="008030DE"/>
    <w:rsid w:val="00803412"/>
    <w:rsid w:val="0080523B"/>
    <w:rsid w:val="0080695D"/>
    <w:rsid w:val="00806FF8"/>
    <w:rsid w:val="00807462"/>
    <w:rsid w:val="00807D3E"/>
    <w:rsid w:val="00810290"/>
    <w:rsid w:val="00810DD9"/>
    <w:rsid w:val="00811585"/>
    <w:rsid w:val="008126FF"/>
    <w:rsid w:val="00812A11"/>
    <w:rsid w:val="00813374"/>
    <w:rsid w:val="0081658E"/>
    <w:rsid w:val="00817092"/>
    <w:rsid w:val="0081786E"/>
    <w:rsid w:val="008205E7"/>
    <w:rsid w:val="008212FB"/>
    <w:rsid w:val="00821A8E"/>
    <w:rsid w:val="00822769"/>
    <w:rsid w:val="008240C4"/>
    <w:rsid w:val="008244ED"/>
    <w:rsid w:val="00824A02"/>
    <w:rsid w:val="008259BD"/>
    <w:rsid w:val="00826A59"/>
    <w:rsid w:val="0082752E"/>
    <w:rsid w:val="00827551"/>
    <w:rsid w:val="00827F64"/>
    <w:rsid w:val="0083116B"/>
    <w:rsid w:val="00832A2C"/>
    <w:rsid w:val="00833485"/>
    <w:rsid w:val="00834145"/>
    <w:rsid w:val="00835243"/>
    <w:rsid w:val="00836087"/>
    <w:rsid w:val="008362F7"/>
    <w:rsid w:val="008365C9"/>
    <w:rsid w:val="00837206"/>
    <w:rsid w:val="00837F9B"/>
    <w:rsid w:val="008405DC"/>
    <w:rsid w:val="00840BA5"/>
    <w:rsid w:val="008410AC"/>
    <w:rsid w:val="00842D08"/>
    <w:rsid w:val="008434F0"/>
    <w:rsid w:val="00843F2C"/>
    <w:rsid w:val="008459CF"/>
    <w:rsid w:val="00846A2D"/>
    <w:rsid w:val="00846D71"/>
    <w:rsid w:val="0084778E"/>
    <w:rsid w:val="008479C7"/>
    <w:rsid w:val="00850718"/>
    <w:rsid w:val="00852193"/>
    <w:rsid w:val="00853845"/>
    <w:rsid w:val="00853A16"/>
    <w:rsid w:val="00855830"/>
    <w:rsid w:val="008567C6"/>
    <w:rsid w:val="00856EE8"/>
    <w:rsid w:val="00860BBB"/>
    <w:rsid w:val="00861A98"/>
    <w:rsid w:val="00862B07"/>
    <w:rsid w:val="008638A1"/>
    <w:rsid w:val="00864AD7"/>
    <w:rsid w:val="00865A0D"/>
    <w:rsid w:val="00865EB4"/>
    <w:rsid w:val="0086771A"/>
    <w:rsid w:val="00872FA2"/>
    <w:rsid w:val="00873274"/>
    <w:rsid w:val="00874850"/>
    <w:rsid w:val="00874D27"/>
    <w:rsid w:val="008757D3"/>
    <w:rsid w:val="00876D00"/>
    <w:rsid w:val="0088115B"/>
    <w:rsid w:val="00881645"/>
    <w:rsid w:val="008827EC"/>
    <w:rsid w:val="00883749"/>
    <w:rsid w:val="00883DB9"/>
    <w:rsid w:val="00884C37"/>
    <w:rsid w:val="00884D6F"/>
    <w:rsid w:val="008871D3"/>
    <w:rsid w:val="00887BF0"/>
    <w:rsid w:val="008909E4"/>
    <w:rsid w:val="00890AC4"/>
    <w:rsid w:val="00891673"/>
    <w:rsid w:val="00892962"/>
    <w:rsid w:val="0089405C"/>
    <w:rsid w:val="008948E0"/>
    <w:rsid w:val="00895B95"/>
    <w:rsid w:val="008966B0"/>
    <w:rsid w:val="008977BE"/>
    <w:rsid w:val="00897AEA"/>
    <w:rsid w:val="008A147F"/>
    <w:rsid w:val="008A22E8"/>
    <w:rsid w:val="008A281B"/>
    <w:rsid w:val="008A2F26"/>
    <w:rsid w:val="008A3A7A"/>
    <w:rsid w:val="008A4900"/>
    <w:rsid w:val="008A5689"/>
    <w:rsid w:val="008A5B61"/>
    <w:rsid w:val="008A63F6"/>
    <w:rsid w:val="008A685E"/>
    <w:rsid w:val="008A7279"/>
    <w:rsid w:val="008B0805"/>
    <w:rsid w:val="008B0CE6"/>
    <w:rsid w:val="008B0D82"/>
    <w:rsid w:val="008B0EA5"/>
    <w:rsid w:val="008B1A0E"/>
    <w:rsid w:val="008B40C1"/>
    <w:rsid w:val="008B598C"/>
    <w:rsid w:val="008B6AA4"/>
    <w:rsid w:val="008C01EE"/>
    <w:rsid w:val="008C040A"/>
    <w:rsid w:val="008C0734"/>
    <w:rsid w:val="008C0BDC"/>
    <w:rsid w:val="008C159B"/>
    <w:rsid w:val="008C18CE"/>
    <w:rsid w:val="008C1AAC"/>
    <w:rsid w:val="008C2093"/>
    <w:rsid w:val="008C2891"/>
    <w:rsid w:val="008C2FBC"/>
    <w:rsid w:val="008C3F64"/>
    <w:rsid w:val="008C5A21"/>
    <w:rsid w:val="008C5AD9"/>
    <w:rsid w:val="008C5DFB"/>
    <w:rsid w:val="008C6181"/>
    <w:rsid w:val="008C69E7"/>
    <w:rsid w:val="008C6EEB"/>
    <w:rsid w:val="008C70E6"/>
    <w:rsid w:val="008C7F4A"/>
    <w:rsid w:val="008D071E"/>
    <w:rsid w:val="008D0D6E"/>
    <w:rsid w:val="008D1C5F"/>
    <w:rsid w:val="008D26B4"/>
    <w:rsid w:val="008D2941"/>
    <w:rsid w:val="008D2B6A"/>
    <w:rsid w:val="008D31B6"/>
    <w:rsid w:val="008D32CB"/>
    <w:rsid w:val="008D37EF"/>
    <w:rsid w:val="008D51FB"/>
    <w:rsid w:val="008D6E5D"/>
    <w:rsid w:val="008D7DBC"/>
    <w:rsid w:val="008E0F80"/>
    <w:rsid w:val="008E191F"/>
    <w:rsid w:val="008E1C9A"/>
    <w:rsid w:val="008E290A"/>
    <w:rsid w:val="008E3423"/>
    <w:rsid w:val="008E3E93"/>
    <w:rsid w:val="008E4C06"/>
    <w:rsid w:val="008E516E"/>
    <w:rsid w:val="008E7613"/>
    <w:rsid w:val="008F0355"/>
    <w:rsid w:val="008F0A53"/>
    <w:rsid w:val="008F13D7"/>
    <w:rsid w:val="008F196D"/>
    <w:rsid w:val="008F4A63"/>
    <w:rsid w:val="008F564C"/>
    <w:rsid w:val="008F590A"/>
    <w:rsid w:val="008F6F78"/>
    <w:rsid w:val="008F7D46"/>
    <w:rsid w:val="00900E07"/>
    <w:rsid w:val="00901207"/>
    <w:rsid w:val="0090149E"/>
    <w:rsid w:val="00902250"/>
    <w:rsid w:val="009024EB"/>
    <w:rsid w:val="00902534"/>
    <w:rsid w:val="00902D43"/>
    <w:rsid w:val="00902F1A"/>
    <w:rsid w:val="0090327B"/>
    <w:rsid w:val="00903389"/>
    <w:rsid w:val="0090424E"/>
    <w:rsid w:val="0090475F"/>
    <w:rsid w:val="00906574"/>
    <w:rsid w:val="00906946"/>
    <w:rsid w:val="00907BF7"/>
    <w:rsid w:val="00910D87"/>
    <w:rsid w:val="00912A8B"/>
    <w:rsid w:val="00914303"/>
    <w:rsid w:val="009160F8"/>
    <w:rsid w:val="009171A7"/>
    <w:rsid w:val="00917411"/>
    <w:rsid w:val="00917992"/>
    <w:rsid w:val="00917AF5"/>
    <w:rsid w:val="00917F41"/>
    <w:rsid w:val="009201F7"/>
    <w:rsid w:val="00920758"/>
    <w:rsid w:val="00921001"/>
    <w:rsid w:val="00921365"/>
    <w:rsid w:val="009225D3"/>
    <w:rsid w:val="00922B02"/>
    <w:rsid w:val="0092327C"/>
    <w:rsid w:val="009238A8"/>
    <w:rsid w:val="00923C0B"/>
    <w:rsid w:val="00925DC8"/>
    <w:rsid w:val="009267AB"/>
    <w:rsid w:val="00926C33"/>
    <w:rsid w:val="00930A9E"/>
    <w:rsid w:val="00930B25"/>
    <w:rsid w:val="00930CBA"/>
    <w:rsid w:val="00930DCF"/>
    <w:rsid w:val="00931306"/>
    <w:rsid w:val="00931CB0"/>
    <w:rsid w:val="009326BC"/>
    <w:rsid w:val="009327F7"/>
    <w:rsid w:val="00932D88"/>
    <w:rsid w:val="00933140"/>
    <w:rsid w:val="009339A0"/>
    <w:rsid w:val="00933BC3"/>
    <w:rsid w:val="00933E39"/>
    <w:rsid w:val="0093481D"/>
    <w:rsid w:val="00935486"/>
    <w:rsid w:val="00936621"/>
    <w:rsid w:val="00936C0B"/>
    <w:rsid w:val="009400C9"/>
    <w:rsid w:val="0094073C"/>
    <w:rsid w:val="00942B7B"/>
    <w:rsid w:val="009435CA"/>
    <w:rsid w:val="00943D3F"/>
    <w:rsid w:val="00943E51"/>
    <w:rsid w:val="0094415E"/>
    <w:rsid w:val="009449CF"/>
    <w:rsid w:val="00945235"/>
    <w:rsid w:val="00946531"/>
    <w:rsid w:val="009476D0"/>
    <w:rsid w:val="00950859"/>
    <w:rsid w:val="00951E3B"/>
    <w:rsid w:val="00952297"/>
    <w:rsid w:val="00952A0E"/>
    <w:rsid w:val="00952CF3"/>
    <w:rsid w:val="00953947"/>
    <w:rsid w:val="009547D8"/>
    <w:rsid w:val="00956791"/>
    <w:rsid w:val="00957101"/>
    <w:rsid w:val="00957226"/>
    <w:rsid w:val="00957246"/>
    <w:rsid w:val="009573D3"/>
    <w:rsid w:val="00960593"/>
    <w:rsid w:val="0096185F"/>
    <w:rsid w:val="00962275"/>
    <w:rsid w:val="009625BB"/>
    <w:rsid w:val="00963477"/>
    <w:rsid w:val="00964C7E"/>
    <w:rsid w:val="009657F9"/>
    <w:rsid w:val="00966357"/>
    <w:rsid w:val="0096662F"/>
    <w:rsid w:val="00967D92"/>
    <w:rsid w:val="009717DE"/>
    <w:rsid w:val="00971B50"/>
    <w:rsid w:val="0097365B"/>
    <w:rsid w:val="009737BF"/>
    <w:rsid w:val="00973E98"/>
    <w:rsid w:val="009749AC"/>
    <w:rsid w:val="00974CC3"/>
    <w:rsid w:val="00975FD2"/>
    <w:rsid w:val="00976550"/>
    <w:rsid w:val="009818A2"/>
    <w:rsid w:val="0098297E"/>
    <w:rsid w:val="009833BD"/>
    <w:rsid w:val="009834E6"/>
    <w:rsid w:val="009836D9"/>
    <w:rsid w:val="00986054"/>
    <w:rsid w:val="00986BFD"/>
    <w:rsid w:val="00986C25"/>
    <w:rsid w:val="00986F03"/>
    <w:rsid w:val="009878CA"/>
    <w:rsid w:val="00990174"/>
    <w:rsid w:val="0099276D"/>
    <w:rsid w:val="00994454"/>
    <w:rsid w:val="00995A1D"/>
    <w:rsid w:val="0099676D"/>
    <w:rsid w:val="00997469"/>
    <w:rsid w:val="009A20DB"/>
    <w:rsid w:val="009A2694"/>
    <w:rsid w:val="009A2981"/>
    <w:rsid w:val="009A33EF"/>
    <w:rsid w:val="009A3C32"/>
    <w:rsid w:val="009A428E"/>
    <w:rsid w:val="009A46E2"/>
    <w:rsid w:val="009A57D9"/>
    <w:rsid w:val="009A5D65"/>
    <w:rsid w:val="009A643D"/>
    <w:rsid w:val="009A7846"/>
    <w:rsid w:val="009A797D"/>
    <w:rsid w:val="009B090C"/>
    <w:rsid w:val="009B16BF"/>
    <w:rsid w:val="009B23D9"/>
    <w:rsid w:val="009B441C"/>
    <w:rsid w:val="009B5508"/>
    <w:rsid w:val="009B739F"/>
    <w:rsid w:val="009B79F2"/>
    <w:rsid w:val="009C4DA2"/>
    <w:rsid w:val="009C5729"/>
    <w:rsid w:val="009C6285"/>
    <w:rsid w:val="009C6B01"/>
    <w:rsid w:val="009C6B4E"/>
    <w:rsid w:val="009C6F5E"/>
    <w:rsid w:val="009C71CC"/>
    <w:rsid w:val="009C75E4"/>
    <w:rsid w:val="009D0676"/>
    <w:rsid w:val="009D0E2A"/>
    <w:rsid w:val="009D3015"/>
    <w:rsid w:val="009D3F4B"/>
    <w:rsid w:val="009D41D6"/>
    <w:rsid w:val="009D6848"/>
    <w:rsid w:val="009D6FEA"/>
    <w:rsid w:val="009D7FF1"/>
    <w:rsid w:val="009E0D76"/>
    <w:rsid w:val="009E1CC7"/>
    <w:rsid w:val="009E1D35"/>
    <w:rsid w:val="009E2CF1"/>
    <w:rsid w:val="009E4429"/>
    <w:rsid w:val="009E4ACE"/>
    <w:rsid w:val="009E4E77"/>
    <w:rsid w:val="009E59FB"/>
    <w:rsid w:val="009E5DEA"/>
    <w:rsid w:val="009E6110"/>
    <w:rsid w:val="009E62E3"/>
    <w:rsid w:val="009E68E9"/>
    <w:rsid w:val="009E7DBC"/>
    <w:rsid w:val="009F2F24"/>
    <w:rsid w:val="009F3691"/>
    <w:rsid w:val="009F4DC2"/>
    <w:rsid w:val="009F6091"/>
    <w:rsid w:val="009F6484"/>
    <w:rsid w:val="009F681C"/>
    <w:rsid w:val="009F7C2F"/>
    <w:rsid w:val="009F7EF5"/>
    <w:rsid w:val="00A005CF"/>
    <w:rsid w:val="00A005D4"/>
    <w:rsid w:val="00A00B76"/>
    <w:rsid w:val="00A00C6A"/>
    <w:rsid w:val="00A01339"/>
    <w:rsid w:val="00A02283"/>
    <w:rsid w:val="00A0297C"/>
    <w:rsid w:val="00A043DB"/>
    <w:rsid w:val="00A04A13"/>
    <w:rsid w:val="00A04C33"/>
    <w:rsid w:val="00A04D15"/>
    <w:rsid w:val="00A06B9A"/>
    <w:rsid w:val="00A0794C"/>
    <w:rsid w:val="00A07EA2"/>
    <w:rsid w:val="00A10F52"/>
    <w:rsid w:val="00A1110A"/>
    <w:rsid w:val="00A11175"/>
    <w:rsid w:val="00A11353"/>
    <w:rsid w:val="00A116FD"/>
    <w:rsid w:val="00A1180D"/>
    <w:rsid w:val="00A1356A"/>
    <w:rsid w:val="00A13848"/>
    <w:rsid w:val="00A13ED0"/>
    <w:rsid w:val="00A15692"/>
    <w:rsid w:val="00A159A8"/>
    <w:rsid w:val="00A15ADD"/>
    <w:rsid w:val="00A15F9F"/>
    <w:rsid w:val="00A1701E"/>
    <w:rsid w:val="00A17E98"/>
    <w:rsid w:val="00A20CDB"/>
    <w:rsid w:val="00A213F2"/>
    <w:rsid w:val="00A22159"/>
    <w:rsid w:val="00A2217B"/>
    <w:rsid w:val="00A22BBD"/>
    <w:rsid w:val="00A23818"/>
    <w:rsid w:val="00A24038"/>
    <w:rsid w:val="00A241FD"/>
    <w:rsid w:val="00A256ED"/>
    <w:rsid w:val="00A263BF"/>
    <w:rsid w:val="00A2657D"/>
    <w:rsid w:val="00A26B83"/>
    <w:rsid w:val="00A26DD7"/>
    <w:rsid w:val="00A30487"/>
    <w:rsid w:val="00A3201B"/>
    <w:rsid w:val="00A32157"/>
    <w:rsid w:val="00A329B1"/>
    <w:rsid w:val="00A348B9"/>
    <w:rsid w:val="00A34902"/>
    <w:rsid w:val="00A34AE8"/>
    <w:rsid w:val="00A34B66"/>
    <w:rsid w:val="00A353F8"/>
    <w:rsid w:val="00A3624C"/>
    <w:rsid w:val="00A367F4"/>
    <w:rsid w:val="00A368B5"/>
    <w:rsid w:val="00A36C22"/>
    <w:rsid w:val="00A37A5C"/>
    <w:rsid w:val="00A37AE7"/>
    <w:rsid w:val="00A40725"/>
    <w:rsid w:val="00A40B8E"/>
    <w:rsid w:val="00A40BF2"/>
    <w:rsid w:val="00A41EFF"/>
    <w:rsid w:val="00A4253A"/>
    <w:rsid w:val="00A4319C"/>
    <w:rsid w:val="00A433BA"/>
    <w:rsid w:val="00A4369D"/>
    <w:rsid w:val="00A43A51"/>
    <w:rsid w:val="00A43B12"/>
    <w:rsid w:val="00A4441C"/>
    <w:rsid w:val="00A45C77"/>
    <w:rsid w:val="00A4609C"/>
    <w:rsid w:val="00A5450B"/>
    <w:rsid w:val="00A560B9"/>
    <w:rsid w:val="00A566DC"/>
    <w:rsid w:val="00A56C4B"/>
    <w:rsid w:val="00A57289"/>
    <w:rsid w:val="00A57AC8"/>
    <w:rsid w:val="00A60D13"/>
    <w:rsid w:val="00A610FB"/>
    <w:rsid w:val="00A614E9"/>
    <w:rsid w:val="00A61D88"/>
    <w:rsid w:val="00A62026"/>
    <w:rsid w:val="00A62670"/>
    <w:rsid w:val="00A63713"/>
    <w:rsid w:val="00A64558"/>
    <w:rsid w:val="00A64D48"/>
    <w:rsid w:val="00A64DE0"/>
    <w:rsid w:val="00A66C2A"/>
    <w:rsid w:val="00A670BF"/>
    <w:rsid w:val="00A67C4B"/>
    <w:rsid w:val="00A701FB"/>
    <w:rsid w:val="00A713E8"/>
    <w:rsid w:val="00A71CA7"/>
    <w:rsid w:val="00A71F14"/>
    <w:rsid w:val="00A73E2C"/>
    <w:rsid w:val="00A75982"/>
    <w:rsid w:val="00A77A93"/>
    <w:rsid w:val="00A801B9"/>
    <w:rsid w:val="00A803A9"/>
    <w:rsid w:val="00A81944"/>
    <w:rsid w:val="00A82E94"/>
    <w:rsid w:val="00A83DFB"/>
    <w:rsid w:val="00A84454"/>
    <w:rsid w:val="00A859DD"/>
    <w:rsid w:val="00A868F4"/>
    <w:rsid w:val="00A90B59"/>
    <w:rsid w:val="00A91BB6"/>
    <w:rsid w:val="00A92E72"/>
    <w:rsid w:val="00A92EF4"/>
    <w:rsid w:val="00A931B0"/>
    <w:rsid w:val="00A933EB"/>
    <w:rsid w:val="00A93BBC"/>
    <w:rsid w:val="00A94583"/>
    <w:rsid w:val="00A949B0"/>
    <w:rsid w:val="00A956B1"/>
    <w:rsid w:val="00A95F1D"/>
    <w:rsid w:val="00A96612"/>
    <w:rsid w:val="00A97A8D"/>
    <w:rsid w:val="00A97CC0"/>
    <w:rsid w:val="00AA07BE"/>
    <w:rsid w:val="00AA1EDC"/>
    <w:rsid w:val="00AA36EC"/>
    <w:rsid w:val="00AA39AB"/>
    <w:rsid w:val="00AA3A9D"/>
    <w:rsid w:val="00AA430F"/>
    <w:rsid w:val="00AA6F79"/>
    <w:rsid w:val="00AA7CF1"/>
    <w:rsid w:val="00AB0605"/>
    <w:rsid w:val="00AB0888"/>
    <w:rsid w:val="00AB1358"/>
    <w:rsid w:val="00AB1717"/>
    <w:rsid w:val="00AB31A3"/>
    <w:rsid w:val="00AB36A9"/>
    <w:rsid w:val="00AB4A29"/>
    <w:rsid w:val="00AB5416"/>
    <w:rsid w:val="00AB62DE"/>
    <w:rsid w:val="00AB6A41"/>
    <w:rsid w:val="00AB797A"/>
    <w:rsid w:val="00AC0236"/>
    <w:rsid w:val="00AC213D"/>
    <w:rsid w:val="00AC2EE8"/>
    <w:rsid w:val="00AC309C"/>
    <w:rsid w:val="00AC3654"/>
    <w:rsid w:val="00AC58B8"/>
    <w:rsid w:val="00AC5B5F"/>
    <w:rsid w:val="00AC5DE3"/>
    <w:rsid w:val="00AC604A"/>
    <w:rsid w:val="00AC6371"/>
    <w:rsid w:val="00AD0302"/>
    <w:rsid w:val="00AD05E4"/>
    <w:rsid w:val="00AD134F"/>
    <w:rsid w:val="00AD256F"/>
    <w:rsid w:val="00AD63B9"/>
    <w:rsid w:val="00AD76ED"/>
    <w:rsid w:val="00AD7BBB"/>
    <w:rsid w:val="00AE05F3"/>
    <w:rsid w:val="00AE0F95"/>
    <w:rsid w:val="00AE2487"/>
    <w:rsid w:val="00AE2BAD"/>
    <w:rsid w:val="00AE2CE8"/>
    <w:rsid w:val="00AE2F1E"/>
    <w:rsid w:val="00AE3512"/>
    <w:rsid w:val="00AE5B6F"/>
    <w:rsid w:val="00AE7AC0"/>
    <w:rsid w:val="00AF0057"/>
    <w:rsid w:val="00AF12BE"/>
    <w:rsid w:val="00AF1668"/>
    <w:rsid w:val="00AF2986"/>
    <w:rsid w:val="00AF2F7C"/>
    <w:rsid w:val="00AF4942"/>
    <w:rsid w:val="00AF4A4A"/>
    <w:rsid w:val="00AF4C9A"/>
    <w:rsid w:val="00AF5781"/>
    <w:rsid w:val="00AF5E95"/>
    <w:rsid w:val="00AF60CF"/>
    <w:rsid w:val="00AF6E15"/>
    <w:rsid w:val="00AF768D"/>
    <w:rsid w:val="00AF7D08"/>
    <w:rsid w:val="00B00F26"/>
    <w:rsid w:val="00B01CBA"/>
    <w:rsid w:val="00B03ABC"/>
    <w:rsid w:val="00B0580A"/>
    <w:rsid w:val="00B068DE"/>
    <w:rsid w:val="00B07314"/>
    <w:rsid w:val="00B0786B"/>
    <w:rsid w:val="00B10551"/>
    <w:rsid w:val="00B107C0"/>
    <w:rsid w:val="00B1224A"/>
    <w:rsid w:val="00B123C8"/>
    <w:rsid w:val="00B12718"/>
    <w:rsid w:val="00B14D90"/>
    <w:rsid w:val="00B1529D"/>
    <w:rsid w:val="00B15466"/>
    <w:rsid w:val="00B154F6"/>
    <w:rsid w:val="00B158B6"/>
    <w:rsid w:val="00B1656D"/>
    <w:rsid w:val="00B16D0A"/>
    <w:rsid w:val="00B17168"/>
    <w:rsid w:val="00B20337"/>
    <w:rsid w:val="00B2117B"/>
    <w:rsid w:val="00B21C4C"/>
    <w:rsid w:val="00B240F6"/>
    <w:rsid w:val="00B25006"/>
    <w:rsid w:val="00B25567"/>
    <w:rsid w:val="00B303A5"/>
    <w:rsid w:val="00B31365"/>
    <w:rsid w:val="00B31EED"/>
    <w:rsid w:val="00B3389E"/>
    <w:rsid w:val="00B3482E"/>
    <w:rsid w:val="00B34972"/>
    <w:rsid w:val="00B36BC2"/>
    <w:rsid w:val="00B36F1B"/>
    <w:rsid w:val="00B37956"/>
    <w:rsid w:val="00B40DF2"/>
    <w:rsid w:val="00B41156"/>
    <w:rsid w:val="00B426A5"/>
    <w:rsid w:val="00B448FD"/>
    <w:rsid w:val="00B45EAD"/>
    <w:rsid w:val="00B47B98"/>
    <w:rsid w:val="00B52320"/>
    <w:rsid w:val="00B5263F"/>
    <w:rsid w:val="00B52C3F"/>
    <w:rsid w:val="00B52D94"/>
    <w:rsid w:val="00B53417"/>
    <w:rsid w:val="00B5358D"/>
    <w:rsid w:val="00B53888"/>
    <w:rsid w:val="00B54303"/>
    <w:rsid w:val="00B55054"/>
    <w:rsid w:val="00B56171"/>
    <w:rsid w:val="00B56886"/>
    <w:rsid w:val="00B60357"/>
    <w:rsid w:val="00B60CCC"/>
    <w:rsid w:val="00B60FD6"/>
    <w:rsid w:val="00B61596"/>
    <w:rsid w:val="00B618F7"/>
    <w:rsid w:val="00B62A34"/>
    <w:rsid w:val="00B63889"/>
    <w:rsid w:val="00B64074"/>
    <w:rsid w:val="00B6424E"/>
    <w:rsid w:val="00B652F9"/>
    <w:rsid w:val="00B66F71"/>
    <w:rsid w:val="00B671B8"/>
    <w:rsid w:val="00B678FB"/>
    <w:rsid w:val="00B7071E"/>
    <w:rsid w:val="00B7113D"/>
    <w:rsid w:val="00B7188B"/>
    <w:rsid w:val="00B71C11"/>
    <w:rsid w:val="00B7318C"/>
    <w:rsid w:val="00B74EAF"/>
    <w:rsid w:val="00B75AB9"/>
    <w:rsid w:val="00B76580"/>
    <w:rsid w:val="00B76CE2"/>
    <w:rsid w:val="00B8001D"/>
    <w:rsid w:val="00B80C82"/>
    <w:rsid w:val="00B812A2"/>
    <w:rsid w:val="00B813B0"/>
    <w:rsid w:val="00B8143B"/>
    <w:rsid w:val="00B81DB0"/>
    <w:rsid w:val="00B854CB"/>
    <w:rsid w:val="00B85AAA"/>
    <w:rsid w:val="00B9047C"/>
    <w:rsid w:val="00B904FE"/>
    <w:rsid w:val="00B92B10"/>
    <w:rsid w:val="00B937EC"/>
    <w:rsid w:val="00B941F3"/>
    <w:rsid w:val="00B944F5"/>
    <w:rsid w:val="00B9464A"/>
    <w:rsid w:val="00B964F5"/>
    <w:rsid w:val="00B96A20"/>
    <w:rsid w:val="00BA0BCB"/>
    <w:rsid w:val="00BA194A"/>
    <w:rsid w:val="00BA1AF1"/>
    <w:rsid w:val="00BA20F8"/>
    <w:rsid w:val="00BA29E3"/>
    <w:rsid w:val="00BA2E07"/>
    <w:rsid w:val="00BA31B0"/>
    <w:rsid w:val="00BA31CE"/>
    <w:rsid w:val="00BA4E5D"/>
    <w:rsid w:val="00BA59CE"/>
    <w:rsid w:val="00BA6776"/>
    <w:rsid w:val="00BB12B3"/>
    <w:rsid w:val="00BB1300"/>
    <w:rsid w:val="00BB21A7"/>
    <w:rsid w:val="00BB2D2B"/>
    <w:rsid w:val="00BB5D88"/>
    <w:rsid w:val="00BB60BC"/>
    <w:rsid w:val="00BB63A7"/>
    <w:rsid w:val="00BB6B38"/>
    <w:rsid w:val="00BB780C"/>
    <w:rsid w:val="00BB7E72"/>
    <w:rsid w:val="00BC095C"/>
    <w:rsid w:val="00BC1873"/>
    <w:rsid w:val="00BC1DF1"/>
    <w:rsid w:val="00BC2BF1"/>
    <w:rsid w:val="00BC3950"/>
    <w:rsid w:val="00BC506A"/>
    <w:rsid w:val="00BC51E0"/>
    <w:rsid w:val="00BC5607"/>
    <w:rsid w:val="00BC5931"/>
    <w:rsid w:val="00BC67B6"/>
    <w:rsid w:val="00BC6D28"/>
    <w:rsid w:val="00BC6D4F"/>
    <w:rsid w:val="00BD22D2"/>
    <w:rsid w:val="00BD30B8"/>
    <w:rsid w:val="00BD3474"/>
    <w:rsid w:val="00BD394A"/>
    <w:rsid w:val="00BD4C16"/>
    <w:rsid w:val="00BD5221"/>
    <w:rsid w:val="00BD52C2"/>
    <w:rsid w:val="00BD5499"/>
    <w:rsid w:val="00BD6A65"/>
    <w:rsid w:val="00BD72D1"/>
    <w:rsid w:val="00BD7A05"/>
    <w:rsid w:val="00BD7FDA"/>
    <w:rsid w:val="00BE1387"/>
    <w:rsid w:val="00BE17EA"/>
    <w:rsid w:val="00BE19CF"/>
    <w:rsid w:val="00BE1DF0"/>
    <w:rsid w:val="00BE2560"/>
    <w:rsid w:val="00BE27F1"/>
    <w:rsid w:val="00BE2B7B"/>
    <w:rsid w:val="00BE2CC2"/>
    <w:rsid w:val="00BE412B"/>
    <w:rsid w:val="00BE490E"/>
    <w:rsid w:val="00BE4A70"/>
    <w:rsid w:val="00BE588C"/>
    <w:rsid w:val="00BE6475"/>
    <w:rsid w:val="00BE6B96"/>
    <w:rsid w:val="00BE765D"/>
    <w:rsid w:val="00BE7BBC"/>
    <w:rsid w:val="00BF05AF"/>
    <w:rsid w:val="00BF127E"/>
    <w:rsid w:val="00BF1549"/>
    <w:rsid w:val="00BF1C5F"/>
    <w:rsid w:val="00BF3944"/>
    <w:rsid w:val="00BF42BE"/>
    <w:rsid w:val="00BF4F67"/>
    <w:rsid w:val="00BF5040"/>
    <w:rsid w:val="00BF5305"/>
    <w:rsid w:val="00BF6D17"/>
    <w:rsid w:val="00BF6EFF"/>
    <w:rsid w:val="00BF6F29"/>
    <w:rsid w:val="00BF766D"/>
    <w:rsid w:val="00BF7C85"/>
    <w:rsid w:val="00C00153"/>
    <w:rsid w:val="00C011CF"/>
    <w:rsid w:val="00C016E2"/>
    <w:rsid w:val="00C01D69"/>
    <w:rsid w:val="00C03FB2"/>
    <w:rsid w:val="00C04C04"/>
    <w:rsid w:val="00C053F3"/>
    <w:rsid w:val="00C06077"/>
    <w:rsid w:val="00C071A4"/>
    <w:rsid w:val="00C07F94"/>
    <w:rsid w:val="00C1054F"/>
    <w:rsid w:val="00C10555"/>
    <w:rsid w:val="00C108BD"/>
    <w:rsid w:val="00C10F14"/>
    <w:rsid w:val="00C1214C"/>
    <w:rsid w:val="00C12CE1"/>
    <w:rsid w:val="00C14B75"/>
    <w:rsid w:val="00C1622F"/>
    <w:rsid w:val="00C201A8"/>
    <w:rsid w:val="00C20D47"/>
    <w:rsid w:val="00C218BC"/>
    <w:rsid w:val="00C21AB0"/>
    <w:rsid w:val="00C22610"/>
    <w:rsid w:val="00C2396A"/>
    <w:rsid w:val="00C2510D"/>
    <w:rsid w:val="00C25CF7"/>
    <w:rsid w:val="00C26054"/>
    <w:rsid w:val="00C2673B"/>
    <w:rsid w:val="00C26BC9"/>
    <w:rsid w:val="00C26CF7"/>
    <w:rsid w:val="00C30336"/>
    <w:rsid w:val="00C327AA"/>
    <w:rsid w:val="00C32864"/>
    <w:rsid w:val="00C3310E"/>
    <w:rsid w:val="00C334AD"/>
    <w:rsid w:val="00C33DFB"/>
    <w:rsid w:val="00C34281"/>
    <w:rsid w:val="00C35425"/>
    <w:rsid w:val="00C35A9F"/>
    <w:rsid w:val="00C36934"/>
    <w:rsid w:val="00C369E6"/>
    <w:rsid w:val="00C37280"/>
    <w:rsid w:val="00C376AB"/>
    <w:rsid w:val="00C37A3F"/>
    <w:rsid w:val="00C42060"/>
    <w:rsid w:val="00C4325A"/>
    <w:rsid w:val="00C43FAD"/>
    <w:rsid w:val="00C44919"/>
    <w:rsid w:val="00C4524D"/>
    <w:rsid w:val="00C45960"/>
    <w:rsid w:val="00C45C91"/>
    <w:rsid w:val="00C46FF8"/>
    <w:rsid w:val="00C507D0"/>
    <w:rsid w:val="00C50A43"/>
    <w:rsid w:val="00C50E13"/>
    <w:rsid w:val="00C5243C"/>
    <w:rsid w:val="00C52463"/>
    <w:rsid w:val="00C54306"/>
    <w:rsid w:val="00C55C85"/>
    <w:rsid w:val="00C56857"/>
    <w:rsid w:val="00C57ADA"/>
    <w:rsid w:val="00C6174A"/>
    <w:rsid w:val="00C61842"/>
    <w:rsid w:val="00C61C5B"/>
    <w:rsid w:val="00C653B4"/>
    <w:rsid w:val="00C6540A"/>
    <w:rsid w:val="00C65CAC"/>
    <w:rsid w:val="00C669DB"/>
    <w:rsid w:val="00C679EA"/>
    <w:rsid w:val="00C67E5E"/>
    <w:rsid w:val="00C67FA8"/>
    <w:rsid w:val="00C700F5"/>
    <w:rsid w:val="00C70CC8"/>
    <w:rsid w:val="00C70F57"/>
    <w:rsid w:val="00C72465"/>
    <w:rsid w:val="00C7248A"/>
    <w:rsid w:val="00C73720"/>
    <w:rsid w:val="00C73F82"/>
    <w:rsid w:val="00C742E6"/>
    <w:rsid w:val="00C74AC4"/>
    <w:rsid w:val="00C750B8"/>
    <w:rsid w:val="00C75F01"/>
    <w:rsid w:val="00C77E07"/>
    <w:rsid w:val="00C80200"/>
    <w:rsid w:val="00C8120B"/>
    <w:rsid w:val="00C8128B"/>
    <w:rsid w:val="00C8370E"/>
    <w:rsid w:val="00C84002"/>
    <w:rsid w:val="00C843A8"/>
    <w:rsid w:val="00C848DF"/>
    <w:rsid w:val="00C8541C"/>
    <w:rsid w:val="00C8616B"/>
    <w:rsid w:val="00C86A8E"/>
    <w:rsid w:val="00C87805"/>
    <w:rsid w:val="00C87EFE"/>
    <w:rsid w:val="00C90760"/>
    <w:rsid w:val="00C92D84"/>
    <w:rsid w:val="00C92EFB"/>
    <w:rsid w:val="00C92F06"/>
    <w:rsid w:val="00C93240"/>
    <w:rsid w:val="00C94022"/>
    <w:rsid w:val="00C9447F"/>
    <w:rsid w:val="00C94B39"/>
    <w:rsid w:val="00C94EFB"/>
    <w:rsid w:val="00C951AE"/>
    <w:rsid w:val="00C95411"/>
    <w:rsid w:val="00C961EC"/>
    <w:rsid w:val="00C97D94"/>
    <w:rsid w:val="00CA11A1"/>
    <w:rsid w:val="00CA1DED"/>
    <w:rsid w:val="00CA285F"/>
    <w:rsid w:val="00CA2BF6"/>
    <w:rsid w:val="00CA47C5"/>
    <w:rsid w:val="00CA66AB"/>
    <w:rsid w:val="00CA68CC"/>
    <w:rsid w:val="00CA6D01"/>
    <w:rsid w:val="00CB1AF1"/>
    <w:rsid w:val="00CB22F8"/>
    <w:rsid w:val="00CB26A3"/>
    <w:rsid w:val="00CB3122"/>
    <w:rsid w:val="00CB4FD8"/>
    <w:rsid w:val="00CB6A74"/>
    <w:rsid w:val="00CB7BEE"/>
    <w:rsid w:val="00CC0602"/>
    <w:rsid w:val="00CC0C00"/>
    <w:rsid w:val="00CC123E"/>
    <w:rsid w:val="00CC129C"/>
    <w:rsid w:val="00CC1687"/>
    <w:rsid w:val="00CC33CE"/>
    <w:rsid w:val="00CC491E"/>
    <w:rsid w:val="00CC4D5B"/>
    <w:rsid w:val="00CC6614"/>
    <w:rsid w:val="00CC678F"/>
    <w:rsid w:val="00CC67B2"/>
    <w:rsid w:val="00CC691F"/>
    <w:rsid w:val="00CC6998"/>
    <w:rsid w:val="00CD012B"/>
    <w:rsid w:val="00CD17D6"/>
    <w:rsid w:val="00CD2482"/>
    <w:rsid w:val="00CD2BB0"/>
    <w:rsid w:val="00CD2D0E"/>
    <w:rsid w:val="00CD318B"/>
    <w:rsid w:val="00CD3DA0"/>
    <w:rsid w:val="00CD45F9"/>
    <w:rsid w:val="00CD55A0"/>
    <w:rsid w:val="00CD5AA6"/>
    <w:rsid w:val="00CD5E1E"/>
    <w:rsid w:val="00CD614B"/>
    <w:rsid w:val="00CD65C7"/>
    <w:rsid w:val="00CD682E"/>
    <w:rsid w:val="00CD69ED"/>
    <w:rsid w:val="00CD72CB"/>
    <w:rsid w:val="00CE144D"/>
    <w:rsid w:val="00CE15A5"/>
    <w:rsid w:val="00CE1C69"/>
    <w:rsid w:val="00CE1D86"/>
    <w:rsid w:val="00CE2239"/>
    <w:rsid w:val="00CE3278"/>
    <w:rsid w:val="00CE3AED"/>
    <w:rsid w:val="00CE45EB"/>
    <w:rsid w:val="00CE5E6F"/>
    <w:rsid w:val="00CE6256"/>
    <w:rsid w:val="00CF1CB0"/>
    <w:rsid w:val="00CF48AE"/>
    <w:rsid w:val="00CF4CBA"/>
    <w:rsid w:val="00CF639D"/>
    <w:rsid w:val="00CF6B4F"/>
    <w:rsid w:val="00CF7FB3"/>
    <w:rsid w:val="00D0268D"/>
    <w:rsid w:val="00D03F16"/>
    <w:rsid w:val="00D047E1"/>
    <w:rsid w:val="00D04C3F"/>
    <w:rsid w:val="00D05DE2"/>
    <w:rsid w:val="00D06139"/>
    <w:rsid w:val="00D13C24"/>
    <w:rsid w:val="00D149F4"/>
    <w:rsid w:val="00D14EC6"/>
    <w:rsid w:val="00D157CE"/>
    <w:rsid w:val="00D173D3"/>
    <w:rsid w:val="00D17741"/>
    <w:rsid w:val="00D1795C"/>
    <w:rsid w:val="00D17A03"/>
    <w:rsid w:val="00D17C03"/>
    <w:rsid w:val="00D217EA"/>
    <w:rsid w:val="00D21B6D"/>
    <w:rsid w:val="00D21C8C"/>
    <w:rsid w:val="00D22478"/>
    <w:rsid w:val="00D2295A"/>
    <w:rsid w:val="00D22BC9"/>
    <w:rsid w:val="00D2485C"/>
    <w:rsid w:val="00D26084"/>
    <w:rsid w:val="00D27461"/>
    <w:rsid w:val="00D3251A"/>
    <w:rsid w:val="00D32FA3"/>
    <w:rsid w:val="00D33EF3"/>
    <w:rsid w:val="00D35D07"/>
    <w:rsid w:val="00D37D5F"/>
    <w:rsid w:val="00D40831"/>
    <w:rsid w:val="00D40CD8"/>
    <w:rsid w:val="00D41394"/>
    <w:rsid w:val="00D43251"/>
    <w:rsid w:val="00D4386D"/>
    <w:rsid w:val="00D440EE"/>
    <w:rsid w:val="00D44ABE"/>
    <w:rsid w:val="00D45861"/>
    <w:rsid w:val="00D47935"/>
    <w:rsid w:val="00D47EDA"/>
    <w:rsid w:val="00D5024F"/>
    <w:rsid w:val="00D51641"/>
    <w:rsid w:val="00D52D63"/>
    <w:rsid w:val="00D53BE5"/>
    <w:rsid w:val="00D5512D"/>
    <w:rsid w:val="00D56116"/>
    <w:rsid w:val="00D5650B"/>
    <w:rsid w:val="00D57194"/>
    <w:rsid w:val="00D57428"/>
    <w:rsid w:val="00D5797D"/>
    <w:rsid w:val="00D57C13"/>
    <w:rsid w:val="00D57EB3"/>
    <w:rsid w:val="00D62106"/>
    <w:rsid w:val="00D6235B"/>
    <w:rsid w:val="00D635FD"/>
    <w:rsid w:val="00D644A9"/>
    <w:rsid w:val="00D648A4"/>
    <w:rsid w:val="00D70500"/>
    <w:rsid w:val="00D70816"/>
    <w:rsid w:val="00D70C57"/>
    <w:rsid w:val="00D734C2"/>
    <w:rsid w:val="00D75034"/>
    <w:rsid w:val="00D75E09"/>
    <w:rsid w:val="00D767D3"/>
    <w:rsid w:val="00D76BBA"/>
    <w:rsid w:val="00D813D4"/>
    <w:rsid w:val="00D81577"/>
    <w:rsid w:val="00D85C7D"/>
    <w:rsid w:val="00D86686"/>
    <w:rsid w:val="00D87A63"/>
    <w:rsid w:val="00D87B15"/>
    <w:rsid w:val="00D87DAA"/>
    <w:rsid w:val="00D87F8C"/>
    <w:rsid w:val="00D904D4"/>
    <w:rsid w:val="00D9240C"/>
    <w:rsid w:val="00D93023"/>
    <w:rsid w:val="00D95449"/>
    <w:rsid w:val="00D95608"/>
    <w:rsid w:val="00D95824"/>
    <w:rsid w:val="00D96E08"/>
    <w:rsid w:val="00D9740D"/>
    <w:rsid w:val="00D97A25"/>
    <w:rsid w:val="00DA1B3D"/>
    <w:rsid w:val="00DA1BC8"/>
    <w:rsid w:val="00DA1C9A"/>
    <w:rsid w:val="00DA20F9"/>
    <w:rsid w:val="00DA2264"/>
    <w:rsid w:val="00DA3021"/>
    <w:rsid w:val="00DA355F"/>
    <w:rsid w:val="00DA532C"/>
    <w:rsid w:val="00DA5B87"/>
    <w:rsid w:val="00DA68FE"/>
    <w:rsid w:val="00DA6CC9"/>
    <w:rsid w:val="00DB0B90"/>
    <w:rsid w:val="00DB0EA8"/>
    <w:rsid w:val="00DB0F45"/>
    <w:rsid w:val="00DB13FD"/>
    <w:rsid w:val="00DB1FBB"/>
    <w:rsid w:val="00DB28F5"/>
    <w:rsid w:val="00DB39F4"/>
    <w:rsid w:val="00DB442E"/>
    <w:rsid w:val="00DB481E"/>
    <w:rsid w:val="00DB4F48"/>
    <w:rsid w:val="00DB517B"/>
    <w:rsid w:val="00DB5B57"/>
    <w:rsid w:val="00DB60CC"/>
    <w:rsid w:val="00DB6AC9"/>
    <w:rsid w:val="00DB6D6D"/>
    <w:rsid w:val="00DB6E30"/>
    <w:rsid w:val="00DC0104"/>
    <w:rsid w:val="00DC310B"/>
    <w:rsid w:val="00DC416A"/>
    <w:rsid w:val="00DC5749"/>
    <w:rsid w:val="00DC5AED"/>
    <w:rsid w:val="00DC668B"/>
    <w:rsid w:val="00DC6CE5"/>
    <w:rsid w:val="00DC6D86"/>
    <w:rsid w:val="00DC71A6"/>
    <w:rsid w:val="00DC72A1"/>
    <w:rsid w:val="00DD0C91"/>
    <w:rsid w:val="00DD0DC9"/>
    <w:rsid w:val="00DD0DE9"/>
    <w:rsid w:val="00DD1178"/>
    <w:rsid w:val="00DD318D"/>
    <w:rsid w:val="00DD3AE6"/>
    <w:rsid w:val="00DD509F"/>
    <w:rsid w:val="00DD57FB"/>
    <w:rsid w:val="00DD6E54"/>
    <w:rsid w:val="00DD79DC"/>
    <w:rsid w:val="00DE061D"/>
    <w:rsid w:val="00DE0E4F"/>
    <w:rsid w:val="00DE16B5"/>
    <w:rsid w:val="00DE20D6"/>
    <w:rsid w:val="00DE2E1A"/>
    <w:rsid w:val="00DE33C6"/>
    <w:rsid w:val="00DE359F"/>
    <w:rsid w:val="00DE4AE8"/>
    <w:rsid w:val="00DE52C4"/>
    <w:rsid w:val="00DE647E"/>
    <w:rsid w:val="00DE68AF"/>
    <w:rsid w:val="00DE6B12"/>
    <w:rsid w:val="00DF0932"/>
    <w:rsid w:val="00DF1835"/>
    <w:rsid w:val="00DF3FD9"/>
    <w:rsid w:val="00DF41E7"/>
    <w:rsid w:val="00DF5707"/>
    <w:rsid w:val="00DF571E"/>
    <w:rsid w:val="00E001BC"/>
    <w:rsid w:val="00E00F4B"/>
    <w:rsid w:val="00E01AC9"/>
    <w:rsid w:val="00E01C65"/>
    <w:rsid w:val="00E037E2"/>
    <w:rsid w:val="00E0498E"/>
    <w:rsid w:val="00E06A2B"/>
    <w:rsid w:val="00E07766"/>
    <w:rsid w:val="00E0777F"/>
    <w:rsid w:val="00E07AB1"/>
    <w:rsid w:val="00E07B78"/>
    <w:rsid w:val="00E101C3"/>
    <w:rsid w:val="00E101F0"/>
    <w:rsid w:val="00E10A79"/>
    <w:rsid w:val="00E11485"/>
    <w:rsid w:val="00E11599"/>
    <w:rsid w:val="00E118A0"/>
    <w:rsid w:val="00E148F2"/>
    <w:rsid w:val="00E16150"/>
    <w:rsid w:val="00E1773B"/>
    <w:rsid w:val="00E209AD"/>
    <w:rsid w:val="00E22F43"/>
    <w:rsid w:val="00E24482"/>
    <w:rsid w:val="00E24A8E"/>
    <w:rsid w:val="00E25592"/>
    <w:rsid w:val="00E25A73"/>
    <w:rsid w:val="00E269D0"/>
    <w:rsid w:val="00E313E1"/>
    <w:rsid w:val="00E338A8"/>
    <w:rsid w:val="00E34BB1"/>
    <w:rsid w:val="00E36293"/>
    <w:rsid w:val="00E366DB"/>
    <w:rsid w:val="00E366FD"/>
    <w:rsid w:val="00E36776"/>
    <w:rsid w:val="00E3738D"/>
    <w:rsid w:val="00E3771A"/>
    <w:rsid w:val="00E37DE4"/>
    <w:rsid w:val="00E37EBE"/>
    <w:rsid w:val="00E4027D"/>
    <w:rsid w:val="00E40F97"/>
    <w:rsid w:val="00E410EC"/>
    <w:rsid w:val="00E4124D"/>
    <w:rsid w:val="00E41F8D"/>
    <w:rsid w:val="00E43926"/>
    <w:rsid w:val="00E443FF"/>
    <w:rsid w:val="00E4441F"/>
    <w:rsid w:val="00E44525"/>
    <w:rsid w:val="00E44801"/>
    <w:rsid w:val="00E454B5"/>
    <w:rsid w:val="00E45A60"/>
    <w:rsid w:val="00E4608D"/>
    <w:rsid w:val="00E464E6"/>
    <w:rsid w:val="00E47075"/>
    <w:rsid w:val="00E47377"/>
    <w:rsid w:val="00E47A0A"/>
    <w:rsid w:val="00E47F61"/>
    <w:rsid w:val="00E503E5"/>
    <w:rsid w:val="00E50910"/>
    <w:rsid w:val="00E51328"/>
    <w:rsid w:val="00E516F4"/>
    <w:rsid w:val="00E51A86"/>
    <w:rsid w:val="00E52CAA"/>
    <w:rsid w:val="00E52EFE"/>
    <w:rsid w:val="00E53CC8"/>
    <w:rsid w:val="00E54806"/>
    <w:rsid w:val="00E54C02"/>
    <w:rsid w:val="00E55A46"/>
    <w:rsid w:val="00E55AA8"/>
    <w:rsid w:val="00E55E13"/>
    <w:rsid w:val="00E563EB"/>
    <w:rsid w:val="00E5794E"/>
    <w:rsid w:val="00E57D74"/>
    <w:rsid w:val="00E60226"/>
    <w:rsid w:val="00E6240E"/>
    <w:rsid w:val="00E62FFA"/>
    <w:rsid w:val="00E64B84"/>
    <w:rsid w:val="00E66386"/>
    <w:rsid w:val="00E67F0B"/>
    <w:rsid w:val="00E7098A"/>
    <w:rsid w:val="00E71AE2"/>
    <w:rsid w:val="00E732A5"/>
    <w:rsid w:val="00E73496"/>
    <w:rsid w:val="00E73791"/>
    <w:rsid w:val="00E741B4"/>
    <w:rsid w:val="00E74A03"/>
    <w:rsid w:val="00E76D97"/>
    <w:rsid w:val="00E77253"/>
    <w:rsid w:val="00E80209"/>
    <w:rsid w:val="00E80E12"/>
    <w:rsid w:val="00E80F81"/>
    <w:rsid w:val="00E811F9"/>
    <w:rsid w:val="00E83378"/>
    <w:rsid w:val="00E8368A"/>
    <w:rsid w:val="00E83B76"/>
    <w:rsid w:val="00E84AE0"/>
    <w:rsid w:val="00E84B8E"/>
    <w:rsid w:val="00E8537B"/>
    <w:rsid w:val="00E86A23"/>
    <w:rsid w:val="00E87440"/>
    <w:rsid w:val="00E8784D"/>
    <w:rsid w:val="00E90565"/>
    <w:rsid w:val="00E910F3"/>
    <w:rsid w:val="00E91C94"/>
    <w:rsid w:val="00E92323"/>
    <w:rsid w:val="00E94245"/>
    <w:rsid w:val="00E942CD"/>
    <w:rsid w:val="00E94F4A"/>
    <w:rsid w:val="00E96835"/>
    <w:rsid w:val="00E97A1D"/>
    <w:rsid w:val="00E97A39"/>
    <w:rsid w:val="00E97A6D"/>
    <w:rsid w:val="00EA151B"/>
    <w:rsid w:val="00EA1AA8"/>
    <w:rsid w:val="00EA2588"/>
    <w:rsid w:val="00EA26F8"/>
    <w:rsid w:val="00EA2F7F"/>
    <w:rsid w:val="00EA3D46"/>
    <w:rsid w:val="00EA4259"/>
    <w:rsid w:val="00EA42F6"/>
    <w:rsid w:val="00EA4E11"/>
    <w:rsid w:val="00EA52EC"/>
    <w:rsid w:val="00EA6400"/>
    <w:rsid w:val="00EA7C94"/>
    <w:rsid w:val="00EB0D55"/>
    <w:rsid w:val="00EB1B3A"/>
    <w:rsid w:val="00EB2D90"/>
    <w:rsid w:val="00EB3602"/>
    <w:rsid w:val="00EB442C"/>
    <w:rsid w:val="00EB5379"/>
    <w:rsid w:val="00EB5EFD"/>
    <w:rsid w:val="00EB657A"/>
    <w:rsid w:val="00EB6975"/>
    <w:rsid w:val="00EB6B46"/>
    <w:rsid w:val="00EB72A1"/>
    <w:rsid w:val="00EB7A76"/>
    <w:rsid w:val="00EB7C10"/>
    <w:rsid w:val="00EC0B33"/>
    <w:rsid w:val="00EC0F8F"/>
    <w:rsid w:val="00EC1266"/>
    <w:rsid w:val="00EC2442"/>
    <w:rsid w:val="00EC39B0"/>
    <w:rsid w:val="00EC3ACE"/>
    <w:rsid w:val="00EC4AF7"/>
    <w:rsid w:val="00EC56DB"/>
    <w:rsid w:val="00EC5C2A"/>
    <w:rsid w:val="00EC62BC"/>
    <w:rsid w:val="00EC6870"/>
    <w:rsid w:val="00EC6BC9"/>
    <w:rsid w:val="00ED025C"/>
    <w:rsid w:val="00ED20B5"/>
    <w:rsid w:val="00ED2493"/>
    <w:rsid w:val="00ED2BE1"/>
    <w:rsid w:val="00ED39A7"/>
    <w:rsid w:val="00ED3B5F"/>
    <w:rsid w:val="00ED3C58"/>
    <w:rsid w:val="00ED6830"/>
    <w:rsid w:val="00ED6C72"/>
    <w:rsid w:val="00EE04E2"/>
    <w:rsid w:val="00EE0DEC"/>
    <w:rsid w:val="00EE253C"/>
    <w:rsid w:val="00EE2763"/>
    <w:rsid w:val="00EE2CE3"/>
    <w:rsid w:val="00EE4072"/>
    <w:rsid w:val="00EE40D9"/>
    <w:rsid w:val="00EE495A"/>
    <w:rsid w:val="00EE51BB"/>
    <w:rsid w:val="00EE623B"/>
    <w:rsid w:val="00EE68F7"/>
    <w:rsid w:val="00EE6F83"/>
    <w:rsid w:val="00EE77B6"/>
    <w:rsid w:val="00EE7BFB"/>
    <w:rsid w:val="00EE7D62"/>
    <w:rsid w:val="00EF0888"/>
    <w:rsid w:val="00EF0A98"/>
    <w:rsid w:val="00EF0F59"/>
    <w:rsid w:val="00EF218A"/>
    <w:rsid w:val="00EF36B4"/>
    <w:rsid w:val="00EF3D60"/>
    <w:rsid w:val="00EF41A8"/>
    <w:rsid w:val="00EF7BD5"/>
    <w:rsid w:val="00F01E78"/>
    <w:rsid w:val="00F02754"/>
    <w:rsid w:val="00F02E03"/>
    <w:rsid w:val="00F02E23"/>
    <w:rsid w:val="00F04B98"/>
    <w:rsid w:val="00F065AE"/>
    <w:rsid w:val="00F06D0F"/>
    <w:rsid w:val="00F06ED9"/>
    <w:rsid w:val="00F07333"/>
    <w:rsid w:val="00F07AD9"/>
    <w:rsid w:val="00F10E5F"/>
    <w:rsid w:val="00F1131B"/>
    <w:rsid w:val="00F115D5"/>
    <w:rsid w:val="00F12014"/>
    <w:rsid w:val="00F12CEB"/>
    <w:rsid w:val="00F13468"/>
    <w:rsid w:val="00F1587C"/>
    <w:rsid w:val="00F1595B"/>
    <w:rsid w:val="00F161E5"/>
    <w:rsid w:val="00F175DD"/>
    <w:rsid w:val="00F2005A"/>
    <w:rsid w:val="00F2110B"/>
    <w:rsid w:val="00F21696"/>
    <w:rsid w:val="00F216C1"/>
    <w:rsid w:val="00F225CE"/>
    <w:rsid w:val="00F22E70"/>
    <w:rsid w:val="00F234A5"/>
    <w:rsid w:val="00F24812"/>
    <w:rsid w:val="00F25C07"/>
    <w:rsid w:val="00F26490"/>
    <w:rsid w:val="00F26D05"/>
    <w:rsid w:val="00F26F16"/>
    <w:rsid w:val="00F27C37"/>
    <w:rsid w:val="00F3094E"/>
    <w:rsid w:val="00F314A4"/>
    <w:rsid w:val="00F31E25"/>
    <w:rsid w:val="00F33052"/>
    <w:rsid w:val="00F3476D"/>
    <w:rsid w:val="00F34A7F"/>
    <w:rsid w:val="00F34E46"/>
    <w:rsid w:val="00F35715"/>
    <w:rsid w:val="00F361BA"/>
    <w:rsid w:val="00F406AA"/>
    <w:rsid w:val="00F406D7"/>
    <w:rsid w:val="00F41BD4"/>
    <w:rsid w:val="00F433F0"/>
    <w:rsid w:val="00F44344"/>
    <w:rsid w:val="00F447E3"/>
    <w:rsid w:val="00F44C95"/>
    <w:rsid w:val="00F44D2A"/>
    <w:rsid w:val="00F45A8F"/>
    <w:rsid w:val="00F45E68"/>
    <w:rsid w:val="00F46818"/>
    <w:rsid w:val="00F469FD"/>
    <w:rsid w:val="00F46F8C"/>
    <w:rsid w:val="00F4702E"/>
    <w:rsid w:val="00F47442"/>
    <w:rsid w:val="00F47806"/>
    <w:rsid w:val="00F50440"/>
    <w:rsid w:val="00F5064A"/>
    <w:rsid w:val="00F533F5"/>
    <w:rsid w:val="00F53688"/>
    <w:rsid w:val="00F53C8F"/>
    <w:rsid w:val="00F53ECC"/>
    <w:rsid w:val="00F5555C"/>
    <w:rsid w:val="00F55BB5"/>
    <w:rsid w:val="00F573E4"/>
    <w:rsid w:val="00F61E23"/>
    <w:rsid w:val="00F6204D"/>
    <w:rsid w:val="00F647CC"/>
    <w:rsid w:val="00F657E9"/>
    <w:rsid w:val="00F67CF9"/>
    <w:rsid w:val="00F70476"/>
    <w:rsid w:val="00F70813"/>
    <w:rsid w:val="00F7157D"/>
    <w:rsid w:val="00F71F34"/>
    <w:rsid w:val="00F7231E"/>
    <w:rsid w:val="00F72BCF"/>
    <w:rsid w:val="00F741EB"/>
    <w:rsid w:val="00F742BB"/>
    <w:rsid w:val="00F75DFA"/>
    <w:rsid w:val="00F763AC"/>
    <w:rsid w:val="00F76A67"/>
    <w:rsid w:val="00F76E42"/>
    <w:rsid w:val="00F80F6A"/>
    <w:rsid w:val="00F8312D"/>
    <w:rsid w:val="00F835C1"/>
    <w:rsid w:val="00F8540B"/>
    <w:rsid w:val="00F856DB"/>
    <w:rsid w:val="00F858B2"/>
    <w:rsid w:val="00F87ADB"/>
    <w:rsid w:val="00F90B82"/>
    <w:rsid w:val="00F90DE3"/>
    <w:rsid w:val="00F90E6C"/>
    <w:rsid w:val="00F91377"/>
    <w:rsid w:val="00F9168F"/>
    <w:rsid w:val="00F91A32"/>
    <w:rsid w:val="00F91B5A"/>
    <w:rsid w:val="00F9252F"/>
    <w:rsid w:val="00F92B61"/>
    <w:rsid w:val="00F92F5E"/>
    <w:rsid w:val="00F92FD1"/>
    <w:rsid w:val="00F94585"/>
    <w:rsid w:val="00F94EA1"/>
    <w:rsid w:val="00F969DB"/>
    <w:rsid w:val="00F96FE6"/>
    <w:rsid w:val="00FA0987"/>
    <w:rsid w:val="00FA1496"/>
    <w:rsid w:val="00FA156C"/>
    <w:rsid w:val="00FA252D"/>
    <w:rsid w:val="00FA2E32"/>
    <w:rsid w:val="00FA693F"/>
    <w:rsid w:val="00FA69DF"/>
    <w:rsid w:val="00FA6BCE"/>
    <w:rsid w:val="00FA7003"/>
    <w:rsid w:val="00FA7428"/>
    <w:rsid w:val="00FA755E"/>
    <w:rsid w:val="00FB11A5"/>
    <w:rsid w:val="00FB143A"/>
    <w:rsid w:val="00FB1F0E"/>
    <w:rsid w:val="00FB26ED"/>
    <w:rsid w:val="00FB2C7E"/>
    <w:rsid w:val="00FB41DF"/>
    <w:rsid w:val="00FB41E4"/>
    <w:rsid w:val="00FB4927"/>
    <w:rsid w:val="00FB4E3C"/>
    <w:rsid w:val="00FB5E2E"/>
    <w:rsid w:val="00FB7E71"/>
    <w:rsid w:val="00FC0080"/>
    <w:rsid w:val="00FC11C1"/>
    <w:rsid w:val="00FC17E3"/>
    <w:rsid w:val="00FC196D"/>
    <w:rsid w:val="00FC1BD3"/>
    <w:rsid w:val="00FC1DAA"/>
    <w:rsid w:val="00FC3E86"/>
    <w:rsid w:val="00FC4EAD"/>
    <w:rsid w:val="00FC53FF"/>
    <w:rsid w:val="00FC5DB1"/>
    <w:rsid w:val="00FC77DC"/>
    <w:rsid w:val="00FD0060"/>
    <w:rsid w:val="00FD05CD"/>
    <w:rsid w:val="00FD093E"/>
    <w:rsid w:val="00FD09C4"/>
    <w:rsid w:val="00FD4539"/>
    <w:rsid w:val="00FD4D77"/>
    <w:rsid w:val="00FD5AAE"/>
    <w:rsid w:val="00FD6C60"/>
    <w:rsid w:val="00FD73F3"/>
    <w:rsid w:val="00FD7EEC"/>
    <w:rsid w:val="00FE058B"/>
    <w:rsid w:val="00FE0B19"/>
    <w:rsid w:val="00FE184F"/>
    <w:rsid w:val="00FE2237"/>
    <w:rsid w:val="00FE2402"/>
    <w:rsid w:val="00FE2A72"/>
    <w:rsid w:val="00FE4D9F"/>
    <w:rsid w:val="00FE4DAE"/>
    <w:rsid w:val="00FE55F2"/>
    <w:rsid w:val="00FE710D"/>
    <w:rsid w:val="00FF0091"/>
    <w:rsid w:val="00FF1488"/>
    <w:rsid w:val="00FF1DE8"/>
    <w:rsid w:val="00FF1EB2"/>
    <w:rsid w:val="00FF1F67"/>
    <w:rsid w:val="00FF2C36"/>
    <w:rsid w:val="00FF3D93"/>
    <w:rsid w:val="00FF572F"/>
    <w:rsid w:val="00FF5786"/>
    <w:rsid w:val="00FF5CC6"/>
    <w:rsid w:val="00FF618C"/>
    <w:rsid w:val="00FF72F1"/>
    <w:rsid w:val="00FF7C44"/>
    <w:rsid w:val="011C6E59"/>
    <w:rsid w:val="0219DBBF"/>
    <w:rsid w:val="03B3873C"/>
    <w:rsid w:val="03E9A09A"/>
    <w:rsid w:val="045FFD3A"/>
    <w:rsid w:val="0486DEC4"/>
    <w:rsid w:val="04AB1258"/>
    <w:rsid w:val="05517C81"/>
    <w:rsid w:val="057C0816"/>
    <w:rsid w:val="05894F60"/>
    <w:rsid w:val="058B13E3"/>
    <w:rsid w:val="05F88F2F"/>
    <w:rsid w:val="06B6E6B0"/>
    <w:rsid w:val="07B77576"/>
    <w:rsid w:val="07BF40BC"/>
    <w:rsid w:val="08085B89"/>
    <w:rsid w:val="085B0DD6"/>
    <w:rsid w:val="08A7C7C5"/>
    <w:rsid w:val="0991549D"/>
    <w:rsid w:val="09B7A5F3"/>
    <w:rsid w:val="09E20DB7"/>
    <w:rsid w:val="0A0BC871"/>
    <w:rsid w:val="0A405A1D"/>
    <w:rsid w:val="0A5CC083"/>
    <w:rsid w:val="0A875380"/>
    <w:rsid w:val="0A88E64A"/>
    <w:rsid w:val="0AA41FFE"/>
    <w:rsid w:val="0AF8E666"/>
    <w:rsid w:val="0B6E118B"/>
    <w:rsid w:val="0B975FC6"/>
    <w:rsid w:val="0BA8C9F9"/>
    <w:rsid w:val="0BFFC69F"/>
    <w:rsid w:val="0CEC0771"/>
    <w:rsid w:val="0DD4138B"/>
    <w:rsid w:val="0E3481FB"/>
    <w:rsid w:val="0E6CAA9A"/>
    <w:rsid w:val="0E82490E"/>
    <w:rsid w:val="0EEEDDC3"/>
    <w:rsid w:val="0F0FECC1"/>
    <w:rsid w:val="0F2D14A1"/>
    <w:rsid w:val="0F3F17DF"/>
    <w:rsid w:val="0F487A18"/>
    <w:rsid w:val="0FE252DE"/>
    <w:rsid w:val="117AC0A9"/>
    <w:rsid w:val="12CDFAF9"/>
    <w:rsid w:val="12E16EED"/>
    <w:rsid w:val="133F1F85"/>
    <w:rsid w:val="13562CC2"/>
    <w:rsid w:val="13595B4F"/>
    <w:rsid w:val="13F016B1"/>
    <w:rsid w:val="149A7560"/>
    <w:rsid w:val="14A02060"/>
    <w:rsid w:val="16559550"/>
    <w:rsid w:val="17198189"/>
    <w:rsid w:val="171EF400"/>
    <w:rsid w:val="17312FD2"/>
    <w:rsid w:val="1747655C"/>
    <w:rsid w:val="18169F0B"/>
    <w:rsid w:val="183B8B60"/>
    <w:rsid w:val="18B551EA"/>
    <w:rsid w:val="196D473C"/>
    <w:rsid w:val="199398C9"/>
    <w:rsid w:val="19BD8F95"/>
    <w:rsid w:val="1A41547D"/>
    <w:rsid w:val="1AE0DC12"/>
    <w:rsid w:val="1B34BBA2"/>
    <w:rsid w:val="1B98DB65"/>
    <w:rsid w:val="1BCEBE3E"/>
    <w:rsid w:val="1BD4A7E0"/>
    <w:rsid w:val="1C2A6C4C"/>
    <w:rsid w:val="1CB44532"/>
    <w:rsid w:val="1CE706AF"/>
    <w:rsid w:val="1D4C84C6"/>
    <w:rsid w:val="1D58E6B4"/>
    <w:rsid w:val="1D68A032"/>
    <w:rsid w:val="1D99F071"/>
    <w:rsid w:val="1DBB8E24"/>
    <w:rsid w:val="1E51AAF5"/>
    <w:rsid w:val="1E69AEB3"/>
    <w:rsid w:val="1E996780"/>
    <w:rsid w:val="1EFC9938"/>
    <w:rsid w:val="1F047093"/>
    <w:rsid w:val="1F43EE07"/>
    <w:rsid w:val="1F478097"/>
    <w:rsid w:val="1F89805B"/>
    <w:rsid w:val="201EA771"/>
    <w:rsid w:val="2024D3A3"/>
    <w:rsid w:val="21A6DB8D"/>
    <w:rsid w:val="22179176"/>
    <w:rsid w:val="226A1AE9"/>
    <w:rsid w:val="233D1FD6"/>
    <w:rsid w:val="234D11D1"/>
    <w:rsid w:val="2414BA27"/>
    <w:rsid w:val="24477A75"/>
    <w:rsid w:val="250CA99B"/>
    <w:rsid w:val="257F0C12"/>
    <w:rsid w:val="25CF838A"/>
    <w:rsid w:val="2615E163"/>
    <w:rsid w:val="26A879FC"/>
    <w:rsid w:val="26E7C822"/>
    <w:rsid w:val="2719F773"/>
    <w:rsid w:val="29913EF7"/>
    <w:rsid w:val="29B5D248"/>
    <w:rsid w:val="2A0951B6"/>
    <w:rsid w:val="2A6F339B"/>
    <w:rsid w:val="2AE0AB06"/>
    <w:rsid w:val="2B9C141F"/>
    <w:rsid w:val="2BD01E96"/>
    <w:rsid w:val="2C4D3429"/>
    <w:rsid w:val="2CC0C207"/>
    <w:rsid w:val="2CCC2F9C"/>
    <w:rsid w:val="2D1341A7"/>
    <w:rsid w:val="2E62A256"/>
    <w:rsid w:val="2ECD4A65"/>
    <w:rsid w:val="2F624893"/>
    <w:rsid w:val="2FE4F487"/>
    <w:rsid w:val="30EEA533"/>
    <w:rsid w:val="30F91F8B"/>
    <w:rsid w:val="30F9E0FB"/>
    <w:rsid w:val="3114D47A"/>
    <w:rsid w:val="316D64C1"/>
    <w:rsid w:val="3246E484"/>
    <w:rsid w:val="3247A647"/>
    <w:rsid w:val="328E01EF"/>
    <w:rsid w:val="32B7BF20"/>
    <w:rsid w:val="32D9EA4B"/>
    <w:rsid w:val="32DB3C0E"/>
    <w:rsid w:val="3328852A"/>
    <w:rsid w:val="33FCED84"/>
    <w:rsid w:val="34C92109"/>
    <w:rsid w:val="35A556CC"/>
    <w:rsid w:val="35EDCBDB"/>
    <w:rsid w:val="3605CBA6"/>
    <w:rsid w:val="3613B021"/>
    <w:rsid w:val="3679A0DF"/>
    <w:rsid w:val="36B5F6F8"/>
    <w:rsid w:val="375E021D"/>
    <w:rsid w:val="378DB8DF"/>
    <w:rsid w:val="38F4953A"/>
    <w:rsid w:val="3939BEF1"/>
    <w:rsid w:val="3AD0D91E"/>
    <w:rsid w:val="3B197210"/>
    <w:rsid w:val="3B2018CF"/>
    <w:rsid w:val="3B40601A"/>
    <w:rsid w:val="3B958677"/>
    <w:rsid w:val="3BB44139"/>
    <w:rsid w:val="3BB72582"/>
    <w:rsid w:val="3BEE587E"/>
    <w:rsid w:val="3CE7FDBA"/>
    <w:rsid w:val="3D97F94B"/>
    <w:rsid w:val="3D9F924E"/>
    <w:rsid w:val="3DB79876"/>
    <w:rsid w:val="3E27937B"/>
    <w:rsid w:val="3E2E68E0"/>
    <w:rsid w:val="3E857961"/>
    <w:rsid w:val="3E8DD62B"/>
    <w:rsid w:val="3F82DCF5"/>
    <w:rsid w:val="3FAC8149"/>
    <w:rsid w:val="3FD6E78D"/>
    <w:rsid w:val="410E13E7"/>
    <w:rsid w:val="4152C5CF"/>
    <w:rsid w:val="42824EAE"/>
    <w:rsid w:val="4296FD03"/>
    <w:rsid w:val="430210CC"/>
    <w:rsid w:val="441CF5CB"/>
    <w:rsid w:val="44DDB6AE"/>
    <w:rsid w:val="4567047E"/>
    <w:rsid w:val="45CB5DFA"/>
    <w:rsid w:val="470E89FF"/>
    <w:rsid w:val="4755BFD1"/>
    <w:rsid w:val="478B2C29"/>
    <w:rsid w:val="482DE64B"/>
    <w:rsid w:val="48591F6F"/>
    <w:rsid w:val="4946B2AE"/>
    <w:rsid w:val="49FA0ECF"/>
    <w:rsid w:val="4A430CD3"/>
    <w:rsid w:val="4AC06C7D"/>
    <w:rsid w:val="4AFA936B"/>
    <w:rsid w:val="4B65870D"/>
    <w:rsid w:val="4B6647F7"/>
    <w:rsid w:val="4B8FF557"/>
    <w:rsid w:val="4DAD4B7D"/>
    <w:rsid w:val="4DB2134C"/>
    <w:rsid w:val="4E59BEED"/>
    <w:rsid w:val="4EA9DAB2"/>
    <w:rsid w:val="4F1D6399"/>
    <w:rsid w:val="50463902"/>
    <w:rsid w:val="50478A55"/>
    <w:rsid w:val="50871038"/>
    <w:rsid w:val="50A9B725"/>
    <w:rsid w:val="51B9CB73"/>
    <w:rsid w:val="5289D8E2"/>
    <w:rsid w:val="529D0BF7"/>
    <w:rsid w:val="52C88B84"/>
    <w:rsid w:val="53093C92"/>
    <w:rsid w:val="540A7078"/>
    <w:rsid w:val="5464CD2B"/>
    <w:rsid w:val="55DF55D3"/>
    <w:rsid w:val="56A625B2"/>
    <w:rsid w:val="56DA33D5"/>
    <w:rsid w:val="56DBB3A3"/>
    <w:rsid w:val="56EB4F13"/>
    <w:rsid w:val="579B1DB7"/>
    <w:rsid w:val="580789C6"/>
    <w:rsid w:val="5821A0ED"/>
    <w:rsid w:val="58ED9918"/>
    <w:rsid w:val="591A0A98"/>
    <w:rsid w:val="5971F471"/>
    <w:rsid w:val="5A2E5EE0"/>
    <w:rsid w:val="5A3CBB46"/>
    <w:rsid w:val="5A3FAA88"/>
    <w:rsid w:val="5AAB71E3"/>
    <w:rsid w:val="5AB5DAF9"/>
    <w:rsid w:val="5AD154D4"/>
    <w:rsid w:val="5AF4F7F1"/>
    <w:rsid w:val="5B38CD96"/>
    <w:rsid w:val="5B5941AF"/>
    <w:rsid w:val="5C387EE9"/>
    <w:rsid w:val="5C58D0A0"/>
    <w:rsid w:val="5C833C63"/>
    <w:rsid w:val="5C87B63C"/>
    <w:rsid w:val="5DBB00B2"/>
    <w:rsid w:val="5DEA979C"/>
    <w:rsid w:val="5E0B3E2B"/>
    <w:rsid w:val="5E1F0CC4"/>
    <w:rsid w:val="5E2BD2B9"/>
    <w:rsid w:val="5ECB5582"/>
    <w:rsid w:val="5EEB2C0D"/>
    <w:rsid w:val="5FD1D58F"/>
    <w:rsid w:val="6062FEA0"/>
    <w:rsid w:val="608C05D6"/>
    <w:rsid w:val="60A29B65"/>
    <w:rsid w:val="610533B3"/>
    <w:rsid w:val="61CA00BB"/>
    <w:rsid w:val="61FF8CC4"/>
    <w:rsid w:val="623654A0"/>
    <w:rsid w:val="62880B2C"/>
    <w:rsid w:val="62F1B589"/>
    <w:rsid w:val="6393AE14"/>
    <w:rsid w:val="639A9F62"/>
    <w:rsid w:val="6459F8B6"/>
    <w:rsid w:val="65121330"/>
    <w:rsid w:val="65457127"/>
    <w:rsid w:val="656CB491"/>
    <w:rsid w:val="656CD5DC"/>
    <w:rsid w:val="656FD4F5"/>
    <w:rsid w:val="6615BE63"/>
    <w:rsid w:val="6640F1BC"/>
    <w:rsid w:val="666DE6A8"/>
    <w:rsid w:val="66B81028"/>
    <w:rsid w:val="670931C9"/>
    <w:rsid w:val="67AEB9A0"/>
    <w:rsid w:val="687061DF"/>
    <w:rsid w:val="6896FB60"/>
    <w:rsid w:val="68A39223"/>
    <w:rsid w:val="68DAA5D2"/>
    <w:rsid w:val="68E34A45"/>
    <w:rsid w:val="69BAD507"/>
    <w:rsid w:val="69BC4ED1"/>
    <w:rsid w:val="69E763A8"/>
    <w:rsid w:val="6A0C3240"/>
    <w:rsid w:val="6A2FE5B0"/>
    <w:rsid w:val="6A8ABCD5"/>
    <w:rsid w:val="6AA349CA"/>
    <w:rsid w:val="6ADEDF50"/>
    <w:rsid w:val="6B31266E"/>
    <w:rsid w:val="6B4157CB"/>
    <w:rsid w:val="6B6522D8"/>
    <w:rsid w:val="6B7FF14D"/>
    <w:rsid w:val="6BA70B52"/>
    <w:rsid w:val="6BC21334"/>
    <w:rsid w:val="6BC699BA"/>
    <w:rsid w:val="6C2A6204"/>
    <w:rsid w:val="6D074726"/>
    <w:rsid w:val="6D283101"/>
    <w:rsid w:val="6D5DE395"/>
    <w:rsid w:val="6D72744B"/>
    <w:rsid w:val="6D98305E"/>
    <w:rsid w:val="6EEA1DE5"/>
    <w:rsid w:val="6F332D62"/>
    <w:rsid w:val="6FD117B3"/>
    <w:rsid w:val="7054F459"/>
    <w:rsid w:val="7072E0C4"/>
    <w:rsid w:val="70CC23D4"/>
    <w:rsid w:val="714599C8"/>
    <w:rsid w:val="720B71C7"/>
    <w:rsid w:val="72323087"/>
    <w:rsid w:val="7290E83E"/>
    <w:rsid w:val="734CBE89"/>
    <w:rsid w:val="7354D976"/>
    <w:rsid w:val="735B6E1E"/>
    <w:rsid w:val="73B6C9F9"/>
    <w:rsid w:val="73DE8341"/>
    <w:rsid w:val="742FC041"/>
    <w:rsid w:val="745F12B2"/>
    <w:rsid w:val="749569D1"/>
    <w:rsid w:val="74991BC1"/>
    <w:rsid w:val="75941EA4"/>
    <w:rsid w:val="75951531"/>
    <w:rsid w:val="759DFD73"/>
    <w:rsid w:val="76CAE791"/>
    <w:rsid w:val="7716B295"/>
    <w:rsid w:val="77376603"/>
    <w:rsid w:val="779B33DD"/>
    <w:rsid w:val="77B7CA4E"/>
    <w:rsid w:val="77FDC688"/>
    <w:rsid w:val="78E08A94"/>
    <w:rsid w:val="7A193D06"/>
    <w:rsid w:val="7A39556E"/>
    <w:rsid w:val="7A43E688"/>
    <w:rsid w:val="7A498F96"/>
    <w:rsid w:val="7A9645CA"/>
    <w:rsid w:val="7AEEAA26"/>
    <w:rsid w:val="7B11990B"/>
    <w:rsid w:val="7B382264"/>
    <w:rsid w:val="7B415126"/>
    <w:rsid w:val="7B741061"/>
    <w:rsid w:val="7BA49967"/>
    <w:rsid w:val="7BDF1FA0"/>
    <w:rsid w:val="7C63519E"/>
    <w:rsid w:val="7CA8FBCF"/>
    <w:rsid w:val="7DC92D59"/>
    <w:rsid w:val="7DCBE030"/>
    <w:rsid w:val="7E5EDCD1"/>
    <w:rsid w:val="7E9B9065"/>
    <w:rsid w:val="7F1A0D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oNotEmbedSmartTags/>
  <w:decimalSymbol w:val="."/>
  <w:listSeparator w:val=","/>
  <w14:docId w14:val="0D403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39F3"/>
    <w:pPr>
      <w:jc w:val="both"/>
    </w:pPr>
  </w:style>
  <w:style w:type="paragraph" w:styleId="Heading1">
    <w:name w:val="heading 1"/>
    <w:basedOn w:val="Normal"/>
    <w:next w:val="Normal"/>
    <w:qFormat/>
    <w:rsid w:val="004B0E94"/>
    <w:pPr>
      <w:pageBreakBefore/>
      <w:numPr>
        <w:numId w:val="2"/>
      </w:numPr>
      <w:spacing w:before="240" w:after="360"/>
      <w:jc w:val="center"/>
      <w:outlineLvl w:val="0"/>
    </w:pPr>
    <w:rPr>
      <w:b/>
      <w:sz w:val="30"/>
    </w:rPr>
  </w:style>
  <w:style w:type="paragraph" w:styleId="Heading2">
    <w:name w:val="heading 2"/>
    <w:basedOn w:val="Normal"/>
    <w:next w:val="Normal"/>
    <w:qFormat/>
    <w:rsid w:val="004B0E94"/>
    <w:pPr>
      <w:numPr>
        <w:ilvl w:val="1"/>
        <w:numId w:val="2"/>
      </w:numPr>
      <w:spacing w:before="240" w:after="120"/>
      <w:outlineLvl w:val="1"/>
    </w:pPr>
    <w:rPr>
      <w:b/>
      <w:sz w:val="26"/>
    </w:rPr>
  </w:style>
  <w:style w:type="paragraph" w:styleId="Heading3">
    <w:name w:val="heading 3"/>
    <w:basedOn w:val="Normal"/>
    <w:next w:val="NormalIndent"/>
    <w:qFormat/>
    <w:rsid w:val="004B0E94"/>
    <w:pPr>
      <w:numPr>
        <w:ilvl w:val="2"/>
        <w:numId w:val="2"/>
      </w:numPr>
      <w:spacing w:before="240" w:after="240"/>
      <w:outlineLvl w:val="2"/>
    </w:pPr>
    <w:rPr>
      <w:sz w:val="24"/>
      <w:u w:val="single"/>
    </w:rPr>
  </w:style>
  <w:style w:type="paragraph" w:styleId="Heading4">
    <w:name w:val="heading 4"/>
    <w:basedOn w:val="Normal"/>
    <w:next w:val="NormalIndent"/>
    <w:qFormat/>
    <w:rsid w:val="004B0E94"/>
    <w:pPr>
      <w:numPr>
        <w:ilvl w:val="3"/>
        <w:numId w:val="3"/>
      </w:numPr>
      <w:spacing w:before="240" w:after="240"/>
      <w:outlineLvl w:val="3"/>
    </w:pPr>
    <w:rPr>
      <w:caps/>
      <w:sz w:val="24"/>
    </w:rPr>
  </w:style>
  <w:style w:type="paragraph" w:styleId="Heading5">
    <w:name w:val="heading 5"/>
    <w:basedOn w:val="Normal"/>
    <w:next w:val="NormalIndent"/>
    <w:qFormat/>
    <w:rsid w:val="004B0E94"/>
    <w:pPr>
      <w:numPr>
        <w:ilvl w:val="4"/>
        <w:numId w:val="3"/>
      </w:numPr>
      <w:outlineLvl w:val="4"/>
    </w:pPr>
    <w:rPr>
      <w:b/>
    </w:rPr>
  </w:style>
  <w:style w:type="paragraph" w:styleId="Heading6">
    <w:name w:val="heading 6"/>
    <w:basedOn w:val="Normal"/>
    <w:next w:val="NormalIndent"/>
    <w:qFormat/>
    <w:rsid w:val="004B0E94"/>
    <w:pPr>
      <w:numPr>
        <w:ilvl w:val="5"/>
        <w:numId w:val="3"/>
      </w:numPr>
      <w:outlineLvl w:val="5"/>
    </w:pPr>
    <w:rPr>
      <w:u w:val="single"/>
    </w:rPr>
  </w:style>
  <w:style w:type="paragraph" w:styleId="Heading7">
    <w:name w:val="heading 7"/>
    <w:basedOn w:val="Normal"/>
    <w:next w:val="NormalIndent"/>
    <w:qFormat/>
    <w:rsid w:val="004B0E94"/>
    <w:pPr>
      <w:numPr>
        <w:ilvl w:val="6"/>
        <w:numId w:val="3"/>
      </w:numPr>
      <w:outlineLvl w:val="6"/>
    </w:pPr>
    <w:rPr>
      <w:i/>
    </w:rPr>
  </w:style>
  <w:style w:type="paragraph" w:styleId="Heading8">
    <w:name w:val="heading 8"/>
    <w:basedOn w:val="Normal"/>
    <w:next w:val="NormalIndent"/>
    <w:qFormat/>
    <w:rsid w:val="004B0E94"/>
    <w:pPr>
      <w:numPr>
        <w:ilvl w:val="7"/>
        <w:numId w:val="3"/>
      </w:numPr>
      <w:outlineLvl w:val="7"/>
    </w:pPr>
    <w:rPr>
      <w:i/>
    </w:rPr>
  </w:style>
  <w:style w:type="paragraph" w:styleId="Heading9">
    <w:name w:val="heading 9"/>
    <w:basedOn w:val="Normal"/>
    <w:next w:val="NormalIndent"/>
    <w:qFormat/>
    <w:rsid w:val="004B0E94"/>
    <w:pPr>
      <w:numPr>
        <w:ilvl w:val="8"/>
        <w:numId w:val="3"/>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4B0E94"/>
    <w:pPr>
      <w:ind w:left="720"/>
    </w:pPr>
  </w:style>
  <w:style w:type="paragraph" w:styleId="Index1">
    <w:name w:val="index 1"/>
    <w:basedOn w:val="Normal"/>
    <w:next w:val="Normal"/>
    <w:semiHidden/>
    <w:rsid w:val="004B0E94"/>
    <w:pPr>
      <w:tabs>
        <w:tab w:val="right" w:pos="8460"/>
      </w:tabs>
      <w:ind w:left="200" w:hanging="200"/>
    </w:pPr>
    <w:rPr>
      <w:sz w:val="18"/>
    </w:rPr>
  </w:style>
  <w:style w:type="character" w:styleId="LineNumber">
    <w:name w:val="line number"/>
    <w:basedOn w:val="DefaultParagraphFont"/>
    <w:rsid w:val="004B0E94"/>
  </w:style>
  <w:style w:type="paragraph" w:styleId="IndexHeading">
    <w:name w:val="index heading"/>
    <w:basedOn w:val="Normal"/>
    <w:next w:val="Index1"/>
    <w:semiHidden/>
    <w:rsid w:val="004B0E94"/>
    <w:pPr>
      <w:spacing w:before="240" w:after="120"/>
      <w:jc w:val="center"/>
    </w:pPr>
    <w:rPr>
      <w:b/>
      <w:sz w:val="26"/>
    </w:rPr>
  </w:style>
  <w:style w:type="paragraph" w:styleId="Footer">
    <w:name w:val="footer"/>
    <w:basedOn w:val="Normal"/>
    <w:rsid w:val="004B0E94"/>
    <w:pPr>
      <w:tabs>
        <w:tab w:val="center" w:pos="4320"/>
        <w:tab w:val="right" w:pos="8640"/>
      </w:tabs>
    </w:pPr>
  </w:style>
  <w:style w:type="paragraph" w:styleId="Header">
    <w:name w:val="header"/>
    <w:basedOn w:val="Normal"/>
    <w:rsid w:val="004B0E94"/>
    <w:pPr>
      <w:tabs>
        <w:tab w:val="center" w:pos="4320"/>
        <w:tab w:val="right" w:pos="8640"/>
      </w:tabs>
    </w:pPr>
  </w:style>
  <w:style w:type="character" w:styleId="FootnoteReference">
    <w:name w:val="footnote reference"/>
    <w:basedOn w:val="DefaultParagraphFont"/>
    <w:uiPriority w:val="99"/>
    <w:semiHidden/>
    <w:rsid w:val="004B0E94"/>
    <w:rPr>
      <w:position w:val="6"/>
      <w:sz w:val="16"/>
    </w:rPr>
  </w:style>
  <w:style w:type="paragraph" w:styleId="FootnoteText">
    <w:name w:val="footnote text"/>
    <w:basedOn w:val="Normal"/>
    <w:link w:val="FootnoteTextChar"/>
    <w:uiPriority w:val="99"/>
    <w:rsid w:val="004B0E94"/>
  </w:style>
  <w:style w:type="character" w:styleId="PageNumber">
    <w:name w:val="page number"/>
    <w:basedOn w:val="DefaultParagraphFont"/>
    <w:rsid w:val="004B0E94"/>
  </w:style>
  <w:style w:type="paragraph" w:customStyle="1" w:styleId="TableHead">
    <w:name w:val="TableHead"/>
    <w:basedOn w:val="Normal"/>
    <w:rsid w:val="004B0E94"/>
    <w:pPr>
      <w:numPr>
        <w:ilvl w:val="2"/>
        <w:numId w:val="3"/>
      </w:numPr>
      <w:spacing w:before="240" w:after="240"/>
      <w:jc w:val="center"/>
    </w:pPr>
    <w:rPr>
      <w:sz w:val="24"/>
    </w:rPr>
  </w:style>
  <w:style w:type="paragraph" w:customStyle="1" w:styleId="refer">
    <w:name w:val="refer"/>
    <w:basedOn w:val="Normal"/>
    <w:rsid w:val="004B0E94"/>
    <w:pPr>
      <w:tabs>
        <w:tab w:val="left" w:pos="360"/>
      </w:tabs>
      <w:spacing w:before="120" w:after="120"/>
      <w:ind w:left="360"/>
    </w:pPr>
    <w:rPr>
      <w:sz w:val="24"/>
    </w:rPr>
  </w:style>
  <w:style w:type="paragraph" w:styleId="Index2">
    <w:name w:val="index 2"/>
    <w:basedOn w:val="Normal"/>
    <w:next w:val="Normal"/>
    <w:semiHidden/>
    <w:rsid w:val="004B0E94"/>
    <w:pPr>
      <w:tabs>
        <w:tab w:val="right" w:pos="8460"/>
      </w:tabs>
      <w:ind w:left="400" w:hanging="200"/>
    </w:pPr>
    <w:rPr>
      <w:sz w:val="18"/>
    </w:rPr>
  </w:style>
  <w:style w:type="paragraph" w:styleId="Index3">
    <w:name w:val="index 3"/>
    <w:basedOn w:val="Normal"/>
    <w:next w:val="Normal"/>
    <w:semiHidden/>
    <w:rsid w:val="004B0E94"/>
    <w:pPr>
      <w:tabs>
        <w:tab w:val="right" w:pos="8460"/>
      </w:tabs>
      <w:ind w:left="600" w:hanging="200"/>
    </w:pPr>
    <w:rPr>
      <w:sz w:val="18"/>
    </w:rPr>
  </w:style>
  <w:style w:type="paragraph" w:styleId="Index4">
    <w:name w:val="index 4"/>
    <w:basedOn w:val="Normal"/>
    <w:next w:val="Normal"/>
    <w:semiHidden/>
    <w:rsid w:val="004B0E94"/>
    <w:pPr>
      <w:tabs>
        <w:tab w:val="right" w:pos="8460"/>
      </w:tabs>
      <w:ind w:left="800" w:hanging="200"/>
    </w:pPr>
    <w:rPr>
      <w:sz w:val="18"/>
    </w:rPr>
  </w:style>
  <w:style w:type="paragraph" w:styleId="Index5">
    <w:name w:val="index 5"/>
    <w:basedOn w:val="Normal"/>
    <w:next w:val="Normal"/>
    <w:semiHidden/>
    <w:rsid w:val="004B0E94"/>
    <w:pPr>
      <w:tabs>
        <w:tab w:val="right" w:pos="8460"/>
      </w:tabs>
      <w:ind w:left="1000" w:hanging="200"/>
    </w:pPr>
    <w:rPr>
      <w:sz w:val="18"/>
    </w:rPr>
  </w:style>
  <w:style w:type="paragraph" w:styleId="Index6">
    <w:name w:val="index 6"/>
    <w:basedOn w:val="Normal"/>
    <w:next w:val="Normal"/>
    <w:semiHidden/>
    <w:rsid w:val="004B0E94"/>
    <w:pPr>
      <w:tabs>
        <w:tab w:val="right" w:pos="8460"/>
      </w:tabs>
      <w:ind w:left="1200" w:hanging="200"/>
    </w:pPr>
    <w:rPr>
      <w:sz w:val="18"/>
    </w:rPr>
  </w:style>
  <w:style w:type="paragraph" w:styleId="Index7">
    <w:name w:val="index 7"/>
    <w:basedOn w:val="Normal"/>
    <w:next w:val="Normal"/>
    <w:semiHidden/>
    <w:rsid w:val="004B0E94"/>
    <w:pPr>
      <w:tabs>
        <w:tab w:val="right" w:pos="8460"/>
      </w:tabs>
      <w:ind w:left="1400" w:hanging="200"/>
    </w:pPr>
    <w:rPr>
      <w:sz w:val="18"/>
    </w:rPr>
  </w:style>
  <w:style w:type="paragraph" w:styleId="Index8">
    <w:name w:val="index 8"/>
    <w:basedOn w:val="Normal"/>
    <w:next w:val="Normal"/>
    <w:semiHidden/>
    <w:rsid w:val="004B0E94"/>
    <w:pPr>
      <w:tabs>
        <w:tab w:val="right" w:pos="8460"/>
      </w:tabs>
      <w:ind w:left="1600" w:hanging="200"/>
    </w:pPr>
    <w:rPr>
      <w:sz w:val="18"/>
    </w:rPr>
  </w:style>
  <w:style w:type="paragraph" w:styleId="Index9">
    <w:name w:val="index 9"/>
    <w:basedOn w:val="Normal"/>
    <w:next w:val="Normal"/>
    <w:semiHidden/>
    <w:rsid w:val="004B0E94"/>
    <w:pPr>
      <w:tabs>
        <w:tab w:val="right" w:pos="8460"/>
      </w:tabs>
      <w:ind w:left="1800" w:hanging="200"/>
    </w:pPr>
    <w:rPr>
      <w:sz w:val="18"/>
    </w:rPr>
  </w:style>
  <w:style w:type="paragraph" w:styleId="TOC1">
    <w:name w:val="toc 1"/>
    <w:basedOn w:val="Normal"/>
    <w:next w:val="Normal"/>
    <w:semiHidden/>
    <w:rsid w:val="004B0E94"/>
    <w:pPr>
      <w:tabs>
        <w:tab w:val="right" w:pos="8460"/>
      </w:tabs>
      <w:spacing w:before="360"/>
    </w:pPr>
    <w:rPr>
      <w:rFonts w:ascii="Arial" w:hAnsi="Arial"/>
      <w:b/>
      <w:caps/>
      <w:sz w:val="24"/>
    </w:rPr>
  </w:style>
  <w:style w:type="paragraph" w:styleId="TOC2">
    <w:name w:val="toc 2"/>
    <w:basedOn w:val="Normal"/>
    <w:next w:val="Normal"/>
    <w:semiHidden/>
    <w:rsid w:val="004B0E94"/>
    <w:pPr>
      <w:tabs>
        <w:tab w:val="right" w:pos="8460"/>
      </w:tabs>
      <w:spacing w:before="240"/>
      <w:ind w:left="200"/>
    </w:pPr>
    <w:rPr>
      <w:b/>
    </w:rPr>
  </w:style>
  <w:style w:type="paragraph" w:styleId="TOC3">
    <w:name w:val="toc 3"/>
    <w:basedOn w:val="Normal"/>
    <w:next w:val="Normal"/>
    <w:semiHidden/>
    <w:rsid w:val="004B0E94"/>
    <w:pPr>
      <w:tabs>
        <w:tab w:val="right" w:pos="8460"/>
      </w:tabs>
      <w:ind w:left="400"/>
    </w:pPr>
  </w:style>
  <w:style w:type="paragraph" w:styleId="TOC4">
    <w:name w:val="toc 4"/>
    <w:basedOn w:val="Normal"/>
    <w:next w:val="Normal"/>
    <w:semiHidden/>
    <w:rsid w:val="004B0E94"/>
    <w:pPr>
      <w:tabs>
        <w:tab w:val="right" w:pos="8460"/>
      </w:tabs>
      <w:ind w:left="600"/>
    </w:pPr>
  </w:style>
  <w:style w:type="paragraph" w:styleId="TOC5">
    <w:name w:val="toc 5"/>
    <w:basedOn w:val="Normal"/>
    <w:next w:val="Normal"/>
    <w:semiHidden/>
    <w:rsid w:val="004B0E94"/>
    <w:pPr>
      <w:tabs>
        <w:tab w:val="right" w:pos="8460"/>
      </w:tabs>
      <w:ind w:left="800"/>
    </w:pPr>
  </w:style>
  <w:style w:type="paragraph" w:styleId="TOC6">
    <w:name w:val="toc 6"/>
    <w:basedOn w:val="Normal"/>
    <w:next w:val="Normal"/>
    <w:semiHidden/>
    <w:rsid w:val="004B0E94"/>
    <w:pPr>
      <w:tabs>
        <w:tab w:val="right" w:pos="8460"/>
      </w:tabs>
      <w:ind w:left="1000"/>
    </w:pPr>
  </w:style>
  <w:style w:type="paragraph" w:styleId="TOC7">
    <w:name w:val="toc 7"/>
    <w:basedOn w:val="Normal"/>
    <w:next w:val="Normal"/>
    <w:semiHidden/>
    <w:rsid w:val="004B0E94"/>
    <w:pPr>
      <w:tabs>
        <w:tab w:val="right" w:pos="8460"/>
      </w:tabs>
      <w:ind w:left="1200"/>
    </w:pPr>
  </w:style>
  <w:style w:type="paragraph" w:styleId="TOC8">
    <w:name w:val="toc 8"/>
    <w:basedOn w:val="Normal"/>
    <w:next w:val="Normal"/>
    <w:semiHidden/>
    <w:rsid w:val="004B0E94"/>
    <w:pPr>
      <w:tabs>
        <w:tab w:val="right" w:pos="8460"/>
      </w:tabs>
      <w:ind w:left="1400"/>
    </w:pPr>
  </w:style>
  <w:style w:type="paragraph" w:styleId="TOC9">
    <w:name w:val="toc 9"/>
    <w:basedOn w:val="Normal"/>
    <w:next w:val="Normal"/>
    <w:semiHidden/>
    <w:rsid w:val="004B0E94"/>
    <w:pPr>
      <w:tabs>
        <w:tab w:val="right" w:pos="8460"/>
      </w:tabs>
      <w:ind w:left="1600"/>
    </w:pPr>
  </w:style>
  <w:style w:type="character" w:styleId="CommentReference">
    <w:name w:val="annotation reference"/>
    <w:basedOn w:val="DefaultParagraphFont"/>
    <w:uiPriority w:val="99"/>
    <w:semiHidden/>
    <w:rsid w:val="004B0E94"/>
    <w:rPr>
      <w:sz w:val="16"/>
    </w:rPr>
  </w:style>
  <w:style w:type="paragraph" w:styleId="CommentText">
    <w:name w:val="annotation text"/>
    <w:basedOn w:val="Normal"/>
    <w:link w:val="CommentTextChar"/>
    <w:uiPriority w:val="99"/>
    <w:rsid w:val="004B0E94"/>
  </w:style>
  <w:style w:type="paragraph" w:styleId="BodyText">
    <w:name w:val="Body Text"/>
    <w:basedOn w:val="Normal"/>
    <w:rsid w:val="004B0E94"/>
    <w:pPr>
      <w:jc w:val="left"/>
    </w:pPr>
    <w:rPr>
      <w:rFonts w:ascii="Arial" w:hAnsi="Arial"/>
      <w:color w:val="000000"/>
    </w:rPr>
  </w:style>
  <w:style w:type="paragraph" w:styleId="Title">
    <w:name w:val="Title"/>
    <w:basedOn w:val="Normal"/>
    <w:qFormat/>
    <w:rsid w:val="004B0E94"/>
    <w:pPr>
      <w:jc w:val="center"/>
    </w:pPr>
    <w:rPr>
      <w:sz w:val="28"/>
    </w:rPr>
  </w:style>
  <w:style w:type="character" w:styleId="Hyperlink">
    <w:name w:val="Hyperlink"/>
    <w:basedOn w:val="DefaultParagraphFont"/>
    <w:rsid w:val="004B0E94"/>
    <w:rPr>
      <w:color w:val="0000FF"/>
      <w:u w:val="single"/>
    </w:rPr>
  </w:style>
  <w:style w:type="paragraph" w:styleId="CommentSubject">
    <w:name w:val="annotation subject"/>
    <w:basedOn w:val="CommentText"/>
    <w:next w:val="CommentText"/>
    <w:semiHidden/>
    <w:rsid w:val="00DA355F"/>
    <w:rPr>
      <w:b/>
      <w:bCs/>
    </w:rPr>
  </w:style>
  <w:style w:type="paragraph" w:styleId="BalloonText">
    <w:name w:val="Balloon Text"/>
    <w:basedOn w:val="Normal"/>
    <w:semiHidden/>
    <w:rsid w:val="00DA355F"/>
    <w:rPr>
      <w:rFonts w:ascii="Tahoma" w:hAnsi="Tahoma" w:cs="Tahoma"/>
      <w:sz w:val="16"/>
      <w:szCs w:val="16"/>
    </w:rPr>
  </w:style>
  <w:style w:type="paragraph" w:styleId="Caption">
    <w:name w:val="caption"/>
    <w:basedOn w:val="Normal"/>
    <w:next w:val="Normal"/>
    <w:link w:val="CaptionChar"/>
    <w:uiPriority w:val="35"/>
    <w:qFormat/>
    <w:rsid w:val="00435F0F"/>
    <w:rPr>
      <w:b/>
      <w:bCs/>
    </w:rPr>
  </w:style>
  <w:style w:type="paragraph" w:styleId="Revision">
    <w:name w:val="Revision"/>
    <w:hidden/>
    <w:uiPriority w:val="99"/>
    <w:semiHidden/>
    <w:rsid w:val="00765BEC"/>
  </w:style>
  <w:style w:type="paragraph" w:styleId="ListParagraph">
    <w:name w:val="List Paragraph"/>
    <w:basedOn w:val="Normal"/>
    <w:link w:val="ListParagraphChar"/>
    <w:uiPriority w:val="34"/>
    <w:qFormat/>
    <w:rsid w:val="000E289A"/>
    <w:pPr>
      <w:ind w:left="720"/>
      <w:contextualSpacing/>
    </w:pPr>
  </w:style>
  <w:style w:type="table" w:styleId="TableGrid">
    <w:name w:val="Table Grid"/>
    <w:basedOn w:val="TableNormal"/>
    <w:uiPriority w:val="59"/>
    <w:rsid w:val="008D31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rsid w:val="00424E34"/>
  </w:style>
  <w:style w:type="paragraph" w:customStyle="1" w:styleId="Default">
    <w:name w:val="Default"/>
    <w:rsid w:val="002539BA"/>
    <w:pPr>
      <w:autoSpaceDE w:val="0"/>
      <w:autoSpaceDN w:val="0"/>
      <w:adjustRightInd w:val="0"/>
    </w:pPr>
    <w:rPr>
      <w:color w:val="000000"/>
      <w:sz w:val="24"/>
      <w:szCs w:val="24"/>
    </w:rPr>
  </w:style>
  <w:style w:type="character" w:customStyle="1" w:styleId="FootnoteTextChar">
    <w:name w:val="Footnote Text Char"/>
    <w:basedOn w:val="DefaultParagraphFont"/>
    <w:link w:val="FootnoteText"/>
    <w:uiPriority w:val="99"/>
    <w:rsid w:val="003E56D1"/>
  </w:style>
  <w:style w:type="table" w:styleId="GridTable4-Accent1">
    <w:name w:val="Grid Table 4 Accent 1"/>
    <w:basedOn w:val="TableNormal"/>
    <w:uiPriority w:val="49"/>
    <w:rsid w:val="003E56D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ListParagraphChar">
    <w:name w:val="List Paragraph Char"/>
    <w:link w:val="ListParagraph"/>
    <w:uiPriority w:val="34"/>
    <w:rsid w:val="009B441C"/>
  </w:style>
  <w:style w:type="paragraph" w:customStyle="1" w:styleId="Footnote">
    <w:name w:val="Footnote"/>
    <w:basedOn w:val="FootnoteText"/>
    <w:link w:val="FootnoteChar"/>
    <w:uiPriority w:val="12"/>
    <w:qFormat/>
    <w:rsid w:val="008F0A53"/>
    <w:rPr>
      <w:rFonts w:asciiTheme="minorHAnsi" w:hAnsiTheme="minorHAnsi"/>
      <w:color w:val="1F497D" w:themeColor="text2"/>
      <w:sz w:val="19"/>
    </w:rPr>
  </w:style>
  <w:style w:type="character" w:customStyle="1" w:styleId="FootnoteChar">
    <w:name w:val="Footnote Char"/>
    <w:basedOn w:val="FootnoteTextChar"/>
    <w:link w:val="Footnote"/>
    <w:uiPriority w:val="12"/>
    <w:rsid w:val="008F0A53"/>
    <w:rPr>
      <w:rFonts w:asciiTheme="minorHAnsi" w:hAnsiTheme="minorHAnsi"/>
      <w:color w:val="1F497D" w:themeColor="text2"/>
      <w:sz w:val="19"/>
    </w:rPr>
  </w:style>
  <w:style w:type="paragraph" w:customStyle="1" w:styleId="paragraph">
    <w:name w:val="paragraph"/>
    <w:basedOn w:val="Normal"/>
    <w:rsid w:val="00AF4A4A"/>
    <w:pPr>
      <w:spacing w:before="100" w:beforeAutospacing="1" w:after="100" w:afterAutospacing="1"/>
      <w:jc w:val="left"/>
    </w:pPr>
    <w:rPr>
      <w:sz w:val="24"/>
      <w:szCs w:val="24"/>
    </w:rPr>
  </w:style>
  <w:style w:type="character" w:customStyle="1" w:styleId="normaltextrun">
    <w:name w:val="normaltextrun"/>
    <w:basedOn w:val="DefaultParagraphFont"/>
    <w:rsid w:val="00AF4A4A"/>
  </w:style>
  <w:style w:type="character" w:customStyle="1" w:styleId="eop">
    <w:name w:val="eop"/>
    <w:basedOn w:val="DefaultParagraphFont"/>
    <w:rsid w:val="00AF4A4A"/>
  </w:style>
  <w:style w:type="character" w:customStyle="1" w:styleId="CaptionChar">
    <w:name w:val="Caption Char"/>
    <w:basedOn w:val="DefaultParagraphFont"/>
    <w:link w:val="Caption"/>
    <w:uiPriority w:val="35"/>
    <w:rsid w:val="00A02283"/>
    <w:rPr>
      <w:b/>
      <w:bCs/>
    </w:rPr>
  </w:style>
  <w:style w:type="character" w:styleId="Mention">
    <w:name w:val="Mention"/>
    <w:basedOn w:val="DefaultParagraphFont"/>
    <w:uiPriority w:val="99"/>
    <w:unhideWhenUsed/>
    <w:rsid w:val="006255D3"/>
    <w:rPr>
      <w:color w:val="2B579A"/>
      <w:shd w:val="clear" w:color="auto" w:fill="E6E6E6"/>
    </w:rPr>
  </w:style>
  <w:style w:type="character" w:styleId="UnresolvedMention">
    <w:name w:val="Unresolved Mention"/>
    <w:basedOn w:val="DefaultParagraphFont"/>
    <w:uiPriority w:val="99"/>
    <w:unhideWhenUsed/>
    <w:rsid w:val="00777A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9623">
      <w:bodyDiv w:val="1"/>
      <w:marLeft w:val="0"/>
      <w:marRight w:val="0"/>
      <w:marTop w:val="0"/>
      <w:marBottom w:val="0"/>
      <w:divBdr>
        <w:top w:val="none" w:sz="0" w:space="0" w:color="auto"/>
        <w:left w:val="none" w:sz="0" w:space="0" w:color="auto"/>
        <w:bottom w:val="none" w:sz="0" w:space="0" w:color="auto"/>
        <w:right w:val="none" w:sz="0" w:space="0" w:color="auto"/>
      </w:divBdr>
    </w:div>
    <w:div w:id="27530851">
      <w:bodyDiv w:val="1"/>
      <w:marLeft w:val="0"/>
      <w:marRight w:val="0"/>
      <w:marTop w:val="0"/>
      <w:marBottom w:val="0"/>
      <w:divBdr>
        <w:top w:val="none" w:sz="0" w:space="0" w:color="auto"/>
        <w:left w:val="none" w:sz="0" w:space="0" w:color="auto"/>
        <w:bottom w:val="none" w:sz="0" w:space="0" w:color="auto"/>
        <w:right w:val="none" w:sz="0" w:space="0" w:color="auto"/>
      </w:divBdr>
    </w:div>
    <w:div w:id="46077375">
      <w:bodyDiv w:val="1"/>
      <w:marLeft w:val="0"/>
      <w:marRight w:val="0"/>
      <w:marTop w:val="0"/>
      <w:marBottom w:val="0"/>
      <w:divBdr>
        <w:top w:val="none" w:sz="0" w:space="0" w:color="auto"/>
        <w:left w:val="none" w:sz="0" w:space="0" w:color="auto"/>
        <w:bottom w:val="none" w:sz="0" w:space="0" w:color="auto"/>
        <w:right w:val="none" w:sz="0" w:space="0" w:color="auto"/>
      </w:divBdr>
    </w:div>
    <w:div w:id="68777108">
      <w:bodyDiv w:val="1"/>
      <w:marLeft w:val="0"/>
      <w:marRight w:val="0"/>
      <w:marTop w:val="0"/>
      <w:marBottom w:val="0"/>
      <w:divBdr>
        <w:top w:val="none" w:sz="0" w:space="0" w:color="auto"/>
        <w:left w:val="none" w:sz="0" w:space="0" w:color="auto"/>
        <w:bottom w:val="none" w:sz="0" w:space="0" w:color="auto"/>
        <w:right w:val="none" w:sz="0" w:space="0" w:color="auto"/>
      </w:divBdr>
      <w:divsChild>
        <w:div w:id="835077949">
          <w:marLeft w:val="0"/>
          <w:marRight w:val="0"/>
          <w:marTop w:val="0"/>
          <w:marBottom w:val="0"/>
          <w:divBdr>
            <w:top w:val="none" w:sz="0" w:space="0" w:color="auto"/>
            <w:left w:val="none" w:sz="0" w:space="0" w:color="auto"/>
            <w:bottom w:val="none" w:sz="0" w:space="0" w:color="auto"/>
            <w:right w:val="none" w:sz="0" w:space="0" w:color="auto"/>
          </w:divBdr>
        </w:div>
        <w:div w:id="850218187">
          <w:marLeft w:val="0"/>
          <w:marRight w:val="0"/>
          <w:marTop w:val="0"/>
          <w:marBottom w:val="0"/>
          <w:divBdr>
            <w:top w:val="none" w:sz="0" w:space="0" w:color="auto"/>
            <w:left w:val="none" w:sz="0" w:space="0" w:color="auto"/>
            <w:bottom w:val="none" w:sz="0" w:space="0" w:color="auto"/>
            <w:right w:val="none" w:sz="0" w:space="0" w:color="auto"/>
          </w:divBdr>
          <w:divsChild>
            <w:div w:id="3389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02269">
      <w:bodyDiv w:val="1"/>
      <w:marLeft w:val="0"/>
      <w:marRight w:val="0"/>
      <w:marTop w:val="0"/>
      <w:marBottom w:val="0"/>
      <w:divBdr>
        <w:top w:val="none" w:sz="0" w:space="0" w:color="auto"/>
        <w:left w:val="none" w:sz="0" w:space="0" w:color="auto"/>
        <w:bottom w:val="none" w:sz="0" w:space="0" w:color="auto"/>
        <w:right w:val="none" w:sz="0" w:space="0" w:color="auto"/>
      </w:divBdr>
    </w:div>
    <w:div w:id="97262544">
      <w:bodyDiv w:val="1"/>
      <w:marLeft w:val="0"/>
      <w:marRight w:val="0"/>
      <w:marTop w:val="0"/>
      <w:marBottom w:val="0"/>
      <w:divBdr>
        <w:top w:val="none" w:sz="0" w:space="0" w:color="auto"/>
        <w:left w:val="none" w:sz="0" w:space="0" w:color="auto"/>
        <w:bottom w:val="none" w:sz="0" w:space="0" w:color="auto"/>
        <w:right w:val="none" w:sz="0" w:space="0" w:color="auto"/>
      </w:divBdr>
    </w:div>
    <w:div w:id="122235733">
      <w:bodyDiv w:val="1"/>
      <w:marLeft w:val="0"/>
      <w:marRight w:val="0"/>
      <w:marTop w:val="0"/>
      <w:marBottom w:val="0"/>
      <w:divBdr>
        <w:top w:val="none" w:sz="0" w:space="0" w:color="auto"/>
        <w:left w:val="none" w:sz="0" w:space="0" w:color="auto"/>
        <w:bottom w:val="none" w:sz="0" w:space="0" w:color="auto"/>
        <w:right w:val="none" w:sz="0" w:space="0" w:color="auto"/>
      </w:divBdr>
    </w:div>
    <w:div w:id="124354474">
      <w:bodyDiv w:val="1"/>
      <w:marLeft w:val="0"/>
      <w:marRight w:val="0"/>
      <w:marTop w:val="0"/>
      <w:marBottom w:val="0"/>
      <w:divBdr>
        <w:top w:val="none" w:sz="0" w:space="0" w:color="auto"/>
        <w:left w:val="none" w:sz="0" w:space="0" w:color="auto"/>
        <w:bottom w:val="none" w:sz="0" w:space="0" w:color="auto"/>
        <w:right w:val="none" w:sz="0" w:space="0" w:color="auto"/>
      </w:divBdr>
    </w:div>
    <w:div w:id="137116648">
      <w:bodyDiv w:val="1"/>
      <w:marLeft w:val="0"/>
      <w:marRight w:val="0"/>
      <w:marTop w:val="0"/>
      <w:marBottom w:val="0"/>
      <w:divBdr>
        <w:top w:val="none" w:sz="0" w:space="0" w:color="auto"/>
        <w:left w:val="none" w:sz="0" w:space="0" w:color="auto"/>
        <w:bottom w:val="none" w:sz="0" w:space="0" w:color="auto"/>
        <w:right w:val="none" w:sz="0" w:space="0" w:color="auto"/>
      </w:divBdr>
    </w:div>
    <w:div w:id="153374280">
      <w:bodyDiv w:val="1"/>
      <w:marLeft w:val="0"/>
      <w:marRight w:val="0"/>
      <w:marTop w:val="0"/>
      <w:marBottom w:val="0"/>
      <w:divBdr>
        <w:top w:val="none" w:sz="0" w:space="0" w:color="auto"/>
        <w:left w:val="none" w:sz="0" w:space="0" w:color="auto"/>
        <w:bottom w:val="none" w:sz="0" w:space="0" w:color="auto"/>
        <w:right w:val="none" w:sz="0" w:space="0" w:color="auto"/>
      </w:divBdr>
    </w:div>
    <w:div w:id="157891604">
      <w:bodyDiv w:val="1"/>
      <w:marLeft w:val="0"/>
      <w:marRight w:val="0"/>
      <w:marTop w:val="0"/>
      <w:marBottom w:val="0"/>
      <w:divBdr>
        <w:top w:val="none" w:sz="0" w:space="0" w:color="auto"/>
        <w:left w:val="none" w:sz="0" w:space="0" w:color="auto"/>
        <w:bottom w:val="none" w:sz="0" w:space="0" w:color="auto"/>
        <w:right w:val="none" w:sz="0" w:space="0" w:color="auto"/>
      </w:divBdr>
    </w:div>
    <w:div w:id="181090192">
      <w:bodyDiv w:val="1"/>
      <w:marLeft w:val="0"/>
      <w:marRight w:val="0"/>
      <w:marTop w:val="0"/>
      <w:marBottom w:val="0"/>
      <w:divBdr>
        <w:top w:val="none" w:sz="0" w:space="0" w:color="auto"/>
        <w:left w:val="none" w:sz="0" w:space="0" w:color="auto"/>
        <w:bottom w:val="none" w:sz="0" w:space="0" w:color="auto"/>
        <w:right w:val="none" w:sz="0" w:space="0" w:color="auto"/>
      </w:divBdr>
    </w:div>
    <w:div w:id="251663372">
      <w:bodyDiv w:val="1"/>
      <w:marLeft w:val="0"/>
      <w:marRight w:val="0"/>
      <w:marTop w:val="0"/>
      <w:marBottom w:val="0"/>
      <w:divBdr>
        <w:top w:val="none" w:sz="0" w:space="0" w:color="auto"/>
        <w:left w:val="none" w:sz="0" w:space="0" w:color="auto"/>
        <w:bottom w:val="none" w:sz="0" w:space="0" w:color="auto"/>
        <w:right w:val="none" w:sz="0" w:space="0" w:color="auto"/>
      </w:divBdr>
    </w:div>
    <w:div w:id="254483755">
      <w:bodyDiv w:val="1"/>
      <w:marLeft w:val="0"/>
      <w:marRight w:val="0"/>
      <w:marTop w:val="0"/>
      <w:marBottom w:val="0"/>
      <w:divBdr>
        <w:top w:val="none" w:sz="0" w:space="0" w:color="auto"/>
        <w:left w:val="none" w:sz="0" w:space="0" w:color="auto"/>
        <w:bottom w:val="none" w:sz="0" w:space="0" w:color="auto"/>
        <w:right w:val="none" w:sz="0" w:space="0" w:color="auto"/>
      </w:divBdr>
    </w:div>
    <w:div w:id="280496134">
      <w:bodyDiv w:val="1"/>
      <w:marLeft w:val="0"/>
      <w:marRight w:val="0"/>
      <w:marTop w:val="0"/>
      <w:marBottom w:val="0"/>
      <w:divBdr>
        <w:top w:val="none" w:sz="0" w:space="0" w:color="auto"/>
        <w:left w:val="none" w:sz="0" w:space="0" w:color="auto"/>
        <w:bottom w:val="none" w:sz="0" w:space="0" w:color="auto"/>
        <w:right w:val="none" w:sz="0" w:space="0" w:color="auto"/>
      </w:divBdr>
    </w:div>
    <w:div w:id="318271419">
      <w:bodyDiv w:val="1"/>
      <w:marLeft w:val="0"/>
      <w:marRight w:val="0"/>
      <w:marTop w:val="0"/>
      <w:marBottom w:val="0"/>
      <w:divBdr>
        <w:top w:val="none" w:sz="0" w:space="0" w:color="auto"/>
        <w:left w:val="none" w:sz="0" w:space="0" w:color="auto"/>
        <w:bottom w:val="none" w:sz="0" w:space="0" w:color="auto"/>
        <w:right w:val="none" w:sz="0" w:space="0" w:color="auto"/>
      </w:divBdr>
    </w:div>
    <w:div w:id="321392695">
      <w:bodyDiv w:val="1"/>
      <w:marLeft w:val="0"/>
      <w:marRight w:val="0"/>
      <w:marTop w:val="0"/>
      <w:marBottom w:val="0"/>
      <w:divBdr>
        <w:top w:val="none" w:sz="0" w:space="0" w:color="auto"/>
        <w:left w:val="none" w:sz="0" w:space="0" w:color="auto"/>
        <w:bottom w:val="none" w:sz="0" w:space="0" w:color="auto"/>
        <w:right w:val="none" w:sz="0" w:space="0" w:color="auto"/>
      </w:divBdr>
    </w:div>
    <w:div w:id="328214921">
      <w:bodyDiv w:val="1"/>
      <w:marLeft w:val="0"/>
      <w:marRight w:val="0"/>
      <w:marTop w:val="0"/>
      <w:marBottom w:val="0"/>
      <w:divBdr>
        <w:top w:val="none" w:sz="0" w:space="0" w:color="auto"/>
        <w:left w:val="none" w:sz="0" w:space="0" w:color="auto"/>
        <w:bottom w:val="none" w:sz="0" w:space="0" w:color="auto"/>
        <w:right w:val="none" w:sz="0" w:space="0" w:color="auto"/>
      </w:divBdr>
    </w:div>
    <w:div w:id="329405650">
      <w:bodyDiv w:val="1"/>
      <w:marLeft w:val="0"/>
      <w:marRight w:val="0"/>
      <w:marTop w:val="0"/>
      <w:marBottom w:val="0"/>
      <w:divBdr>
        <w:top w:val="none" w:sz="0" w:space="0" w:color="auto"/>
        <w:left w:val="none" w:sz="0" w:space="0" w:color="auto"/>
        <w:bottom w:val="none" w:sz="0" w:space="0" w:color="auto"/>
        <w:right w:val="none" w:sz="0" w:space="0" w:color="auto"/>
      </w:divBdr>
    </w:div>
    <w:div w:id="334919390">
      <w:bodyDiv w:val="1"/>
      <w:marLeft w:val="0"/>
      <w:marRight w:val="0"/>
      <w:marTop w:val="0"/>
      <w:marBottom w:val="0"/>
      <w:divBdr>
        <w:top w:val="none" w:sz="0" w:space="0" w:color="auto"/>
        <w:left w:val="none" w:sz="0" w:space="0" w:color="auto"/>
        <w:bottom w:val="none" w:sz="0" w:space="0" w:color="auto"/>
        <w:right w:val="none" w:sz="0" w:space="0" w:color="auto"/>
      </w:divBdr>
    </w:div>
    <w:div w:id="359477937">
      <w:bodyDiv w:val="1"/>
      <w:marLeft w:val="0"/>
      <w:marRight w:val="0"/>
      <w:marTop w:val="0"/>
      <w:marBottom w:val="0"/>
      <w:divBdr>
        <w:top w:val="none" w:sz="0" w:space="0" w:color="auto"/>
        <w:left w:val="none" w:sz="0" w:space="0" w:color="auto"/>
        <w:bottom w:val="none" w:sz="0" w:space="0" w:color="auto"/>
        <w:right w:val="none" w:sz="0" w:space="0" w:color="auto"/>
      </w:divBdr>
    </w:div>
    <w:div w:id="367605592">
      <w:bodyDiv w:val="1"/>
      <w:marLeft w:val="0"/>
      <w:marRight w:val="0"/>
      <w:marTop w:val="0"/>
      <w:marBottom w:val="0"/>
      <w:divBdr>
        <w:top w:val="none" w:sz="0" w:space="0" w:color="auto"/>
        <w:left w:val="none" w:sz="0" w:space="0" w:color="auto"/>
        <w:bottom w:val="none" w:sz="0" w:space="0" w:color="auto"/>
        <w:right w:val="none" w:sz="0" w:space="0" w:color="auto"/>
      </w:divBdr>
    </w:div>
    <w:div w:id="398481092">
      <w:bodyDiv w:val="1"/>
      <w:marLeft w:val="0"/>
      <w:marRight w:val="0"/>
      <w:marTop w:val="0"/>
      <w:marBottom w:val="0"/>
      <w:divBdr>
        <w:top w:val="none" w:sz="0" w:space="0" w:color="auto"/>
        <w:left w:val="none" w:sz="0" w:space="0" w:color="auto"/>
        <w:bottom w:val="none" w:sz="0" w:space="0" w:color="auto"/>
        <w:right w:val="none" w:sz="0" w:space="0" w:color="auto"/>
      </w:divBdr>
    </w:div>
    <w:div w:id="427123562">
      <w:bodyDiv w:val="1"/>
      <w:marLeft w:val="0"/>
      <w:marRight w:val="0"/>
      <w:marTop w:val="0"/>
      <w:marBottom w:val="0"/>
      <w:divBdr>
        <w:top w:val="none" w:sz="0" w:space="0" w:color="auto"/>
        <w:left w:val="none" w:sz="0" w:space="0" w:color="auto"/>
        <w:bottom w:val="none" w:sz="0" w:space="0" w:color="auto"/>
        <w:right w:val="none" w:sz="0" w:space="0" w:color="auto"/>
      </w:divBdr>
    </w:div>
    <w:div w:id="429859620">
      <w:bodyDiv w:val="1"/>
      <w:marLeft w:val="0"/>
      <w:marRight w:val="0"/>
      <w:marTop w:val="0"/>
      <w:marBottom w:val="0"/>
      <w:divBdr>
        <w:top w:val="none" w:sz="0" w:space="0" w:color="auto"/>
        <w:left w:val="none" w:sz="0" w:space="0" w:color="auto"/>
        <w:bottom w:val="none" w:sz="0" w:space="0" w:color="auto"/>
        <w:right w:val="none" w:sz="0" w:space="0" w:color="auto"/>
      </w:divBdr>
    </w:div>
    <w:div w:id="430467543">
      <w:bodyDiv w:val="1"/>
      <w:marLeft w:val="0"/>
      <w:marRight w:val="0"/>
      <w:marTop w:val="0"/>
      <w:marBottom w:val="0"/>
      <w:divBdr>
        <w:top w:val="none" w:sz="0" w:space="0" w:color="auto"/>
        <w:left w:val="none" w:sz="0" w:space="0" w:color="auto"/>
        <w:bottom w:val="none" w:sz="0" w:space="0" w:color="auto"/>
        <w:right w:val="none" w:sz="0" w:space="0" w:color="auto"/>
      </w:divBdr>
    </w:div>
    <w:div w:id="460000099">
      <w:bodyDiv w:val="1"/>
      <w:marLeft w:val="0"/>
      <w:marRight w:val="0"/>
      <w:marTop w:val="0"/>
      <w:marBottom w:val="0"/>
      <w:divBdr>
        <w:top w:val="none" w:sz="0" w:space="0" w:color="auto"/>
        <w:left w:val="none" w:sz="0" w:space="0" w:color="auto"/>
        <w:bottom w:val="none" w:sz="0" w:space="0" w:color="auto"/>
        <w:right w:val="none" w:sz="0" w:space="0" w:color="auto"/>
      </w:divBdr>
    </w:div>
    <w:div w:id="464158501">
      <w:bodyDiv w:val="1"/>
      <w:marLeft w:val="0"/>
      <w:marRight w:val="0"/>
      <w:marTop w:val="0"/>
      <w:marBottom w:val="0"/>
      <w:divBdr>
        <w:top w:val="none" w:sz="0" w:space="0" w:color="auto"/>
        <w:left w:val="none" w:sz="0" w:space="0" w:color="auto"/>
        <w:bottom w:val="none" w:sz="0" w:space="0" w:color="auto"/>
        <w:right w:val="none" w:sz="0" w:space="0" w:color="auto"/>
      </w:divBdr>
      <w:divsChild>
        <w:div w:id="40449587">
          <w:marLeft w:val="0"/>
          <w:marRight w:val="0"/>
          <w:marTop w:val="0"/>
          <w:marBottom w:val="0"/>
          <w:divBdr>
            <w:top w:val="none" w:sz="0" w:space="0" w:color="auto"/>
            <w:left w:val="none" w:sz="0" w:space="0" w:color="auto"/>
            <w:bottom w:val="none" w:sz="0" w:space="0" w:color="auto"/>
            <w:right w:val="none" w:sz="0" w:space="0" w:color="auto"/>
          </w:divBdr>
        </w:div>
        <w:div w:id="984629619">
          <w:marLeft w:val="0"/>
          <w:marRight w:val="0"/>
          <w:marTop w:val="0"/>
          <w:marBottom w:val="0"/>
          <w:divBdr>
            <w:top w:val="none" w:sz="0" w:space="0" w:color="auto"/>
            <w:left w:val="none" w:sz="0" w:space="0" w:color="auto"/>
            <w:bottom w:val="none" w:sz="0" w:space="0" w:color="auto"/>
            <w:right w:val="none" w:sz="0" w:space="0" w:color="auto"/>
          </w:divBdr>
        </w:div>
        <w:div w:id="1149444921">
          <w:marLeft w:val="0"/>
          <w:marRight w:val="0"/>
          <w:marTop w:val="0"/>
          <w:marBottom w:val="0"/>
          <w:divBdr>
            <w:top w:val="none" w:sz="0" w:space="0" w:color="auto"/>
            <w:left w:val="none" w:sz="0" w:space="0" w:color="auto"/>
            <w:bottom w:val="none" w:sz="0" w:space="0" w:color="auto"/>
            <w:right w:val="none" w:sz="0" w:space="0" w:color="auto"/>
          </w:divBdr>
        </w:div>
        <w:div w:id="1177622794">
          <w:marLeft w:val="0"/>
          <w:marRight w:val="0"/>
          <w:marTop w:val="0"/>
          <w:marBottom w:val="0"/>
          <w:divBdr>
            <w:top w:val="none" w:sz="0" w:space="0" w:color="auto"/>
            <w:left w:val="none" w:sz="0" w:space="0" w:color="auto"/>
            <w:bottom w:val="none" w:sz="0" w:space="0" w:color="auto"/>
            <w:right w:val="none" w:sz="0" w:space="0" w:color="auto"/>
          </w:divBdr>
        </w:div>
        <w:div w:id="1868712609">
          <w:marLeft w:val="0"/>
          <w:marRight w:val="0"/>
          <w:marTop w:val="0"/>
          <w:marBottom w:val="0"/>
          <w:divBdr>
            <w:top w:val="none" w:sz="0" w:space="0" w:color="auto"/>
            <w:left w:val="none" w:sz="0" w:space="0" w:color="auto"/>
            <w:bottom w:val="none" w:sz="0" w:space="0" w:color="auto"/>
            <w:right w:val="none" w:sz="0" w:space="0" w:color="auto"/>
          </w:divBdr>
        </w:div>
      </w:divsChild>
    </w:div>
    <w:div w:id="470364489">
      <w:bodyDiv w:val="1"/>
      <w:marLeft w:val="0"/>
      <w:marRight w:val="0"/>
      <w:marTop w:val="0"/>
      <w:marBottom w:val="0"/>
      <w:divBdr>
        <w:top w:val="none" w:sz="0" w:space="0" w:color="auto"/>
        <w:left w:val="none" w:sz="0" w:space="0" w:color="auto"/>
        <w:bottom w:val="none" w:sz="0" w:space="0" w:color="auto"/>
        <w:right w:val="none" w:sz="0" w:space="0" w:color="auto"/>
      </w:divBdr>
    </w:div>
    <w:div w:id="477185429">
      <w:bodyDiv w:val="1"/>
      <w:marLeft w:val="0"/>
      <w:marRight w:val="0"/>
      <w:marTop w:val="0"/>
      <w:marBottom w:val="0"/>
      <w:divBdr>
        <w:top w:val="none" w:sz="0" w:space="0" w:color="auto"/>
        <w:left w:val="none" w:sz="0" w:space="0" w:color="auto"/>
        <w:bottom w:val="none" w:sz="0" w:space="0" w:color="auto"/>
        <w:right w:val="none" w:sz="0" w:space="0" w:color="auto"/>
      </w:divBdr>
    </w:div>
    <w:div w:id="497580846">
      <w:bodyDiv w:val="1"/>
      <w:marLeft w:val="0"/>
      <w:marRight w:val="0"/>
      <w:marTop w:val="0"/>
      <w:marBottom w:val="0"/>
      <w:divBdr>
        <w:top w:val="none" w:sz="0" w:space="0" w:color="auto"/>
        <w:left w:val="none" w:sz="0" w:space="0" w:color="auto"/>
        <w:bottom w:val="none" w:sz="0" w:space="0" w:color="auto"/>
        <w:right w:val="none" w:sz="0" w:space="0" w:color="auto"/>
      </w:divBdr>
    </w:div>
    <w:div w:id="577207921">
      <w:bodyDiv w:val="1"/>
      <w:marLeft w:val="0"/>
      <w:marRight w:val="0"/>
      <w:marTop w:val="0"/>
      <w:marBottom w:val="0"/>
      <w:divBdr>
        <w:top w:val="none" w:sz="0" w:space="0" w:color="auto"/>
        <w:left w:val="none" w:sz="0" w:space="0" w:color="auto"/>
        <w:bottom w:val="none" w:sz="0" w:space="0" w:color="auto"/>
        <w:right w:val="none" w:sz="0" w:space="0" w:color="auto"/>
      </w:divBdr>
    </w:div>
    <w:div w:id="624628380">
      <w:bodyDiv w:val="1"/>
      <w:marLeft w:val="0"/>
      <w:marRight w:val="0"/>
      <w:marTop w:val="0"/>
      <w:marBottom w:val="0"/>
      <w:divBdr>
        <w:top w:val="none" w:sz="0" w:space="0" w:color="auto"/>
        <w:left w:val="none" w:sz="0" w:space="0" w:color="auto"/>
        <w:bottom w:val="none" w:sz="0" w:space="0" w:color="auto"/>
        <w:right w:val="none" w:sz="0" w:space="0" w:color="auto"/>
      </w:divBdr>
    </w:div>
    <w:div w:id="655037031">
      <w:bodyDiv w:val="1"/>
      <w:marLeft w:val="0"/>
      <w:marRight w:val="0"/>
      <w:marTop w:val="0"/>
      <w:marBottom w:val="0"/>
      <w:divBdr>
        <w:top w:val="none" w:sz="0" w:space="0" w:color="auto"/>
        <w:left w:val="none" w:sz="0" w:space="0" w:color="auto"/>
        <w:bottom w:val="none" w:sz="0" w:space="0" w:color="auto"/>
        <w:right w:val="none" w:sz="0" w:space="0" w:color="auto"/>
      </w:divBdr>
    </w:div>
    <w:div w:id="664359834">
      <w:bodyDiv w:val="1"/>
      <w:marLeft w:val="0"/>
      <w:marRight w:val="0"/>
      <w:marTop w:val="0"/>
      <w:marBottom w:val="0"/>
      <w:divBdr>
        <w:top w:val="none" w:sz="0" w:space="0" w:color="auto"/>
        <w:left w:val="none" w:sz="0" w:space="0" w:color="auto"/>
        <w:bottom w:val="none" w:sz="0" w:space="0" w:color="auto"/>
        <w:right w:val="none" w:sz="0" w:space="0" w:color="auto"/>
      </w:divBdr>
    </w:div>
    <w:div w:id="680398464">
      <w:bodyDiv w:val="1"/>
      <w:marLeft w:val="0"/>
      <w:marRight w:val="0"/>
      <w:marTop w:val="0"/>
      <w:marBottom w:val="0"/>
      <w:divBdr>
        <w:top w:val="none" w:sz="0" w:space="0" w:color="auto"/>
        <w:left w:val="none" w:sz="0" w:space="0" w:color="auto"/>
        <w:bottom w:val="none" w:sz="0" w:space="0" w:color="auto"/>
        <w:right w:val="none" w:sz="0" w:space="0" w:color="auto"/>
      </w:divBdr>
    </w:div>
    <w:div w:id="762996379">
      <w:bodyDiv w:val="1"/>
      <w:marLeft w:val="0"/>
      <w:marRight w:val="0"/>
      <w:marTop w:val="0"/>
      <w:marBottom w:val="0"/>
      <w:divBdr>
        <w:top w:val="none" w:sz="0" w:space="0" w:color="auto"/>
        <w:left w:val="none" w:sz="0" w:space="0" w:color="auto"/>
        <w:bottom w:val="none" w:sz="0" w:space="0" w:color="auto"/>
        <w:right w:val="none" w:sz="0" w:space="0" w:color="auto"/>
      </w:divBdr>
    </w:div>
    <w:div w:id="817576539">
      <w:bodyDiv w:val="1"/>
      <w:marLeft w:val="0"/>
      <w:marRight w:val="0"/>
      <w:marTop w:val="0"/>
      <w:marBottom w:val="0"/>
      <w:divBdr>
        <w:top w:val="none" w:sz="0" w:space="0" w:color="auto"/>
        <w:left w:val="none" w:sz="0" w:space="0" w:color="auto"/>
        <w:bottom w:val="none" w:sz="0" w:space="0" w:color="auto"/>
        <w:right w:val="none" w:sz="0" w:space="0" w:color="auto"/>
      </w:divBdr>
    </w:div>
    <w:div w:id="858470071">
      <w:bodyDiv w:val="1"/>
      <w:marLeft w:val="0"/>
      <w:marRight w:val="0"/>
      <w:marTop w:val="0"/>
      <w:marBottom w:val="0"/>
      <w:divBdr>
        <w:top w:val="none" w:sz="0" w:space="0" w:color="auto"/>
        <w:left w:val="none" w:sz="0" w:space="0" w:color="auto"/>
        <w:bottom w:val="none" w:sz="0" w:space="0" w:color="auto"/>
        <w:right w:val="none" w:sz="0" w:space="0" w:color="auto"/>
      </w:divBdr>
    </w:div>
    <w:div w:id="923539175">
      <w:bodyDiv w:val="1"/>
      <w:marLeft w:val="0"/>
      <w:marRight w:val="0"/>
      <w:marTop w:val="0"/>
      <w:marBottom w:val="0"/>
      <w:divBdr>
        <w:top w:val="none" w:sz="0" w:space="0" w:color="auto"/>
        <w:left w:val="none" w:sz="0" w:space="0" w:color="auto"/>
        <w:bottom w:val="none" w:sz="0" w:space="0" w:color="auto"/>
        <w:right w:val="none" w:sz="0" w:space="0" w:color="auto"/>
      </w:divBdr>
    </w:div>
    <w:div w:id="974411045">
      <w:bodyDiv w:val="1"/>
      <w:marLeft w:val="0"/>
      <w:marRight w:val="0"/>
      <w:marTop w:val="0"/>
      <w:marBottom w:val="0"/>
      <w:divBdr>
        <w:top w:val="none" w:sz="0" w:space="0" w:color="auto"/>
        <w:left w:val="none" w:sz="0" w:space="0" w:color="auto"/>
        <w:bottom w:val="none" w:sz="0" w:space="0" w:color="auto"/>
        <w:right w:val="none" w:sz="0" w:space="0" w:color="auto"/>
      </w:divBdr>
      <w:divsChild>
        <w:div w:id="417870259">
          <w:marLeft w:val="0"/>
          <w:marRight w:val="0"/>
          <w:marTop w:val="0"/>
          <w:marBottom w:val="0"/>
          <w:divBdr>
            <w:top w:val="none" w:sz="0" w:space="0" w:color="auto"/>
            <w:left w:val="none" w:sz="0" w:space="0" w:color="auto"/>
            <w:bottom w:val="none" w:sz="0" w:space="0" w:color="auto"/>
            <w:right w:val="none" w:sz="0" w:space="0" w:color="auto"/>
          </w:divBdr>
          <w:divsChild>
            <w:div w:id="1740979345">
              <w:marLeft w:val="0"/>
              <w:marRight w:val="0"/>
              <w:marTop w:val="30"/>
              <w:marBottom w:val="30"/>
              <w:divBdr>
                <w:top w:val="none" w:sz="0" w:space="0" w:color="auto"/>
                <w:left w:val="none" w:sz="0" w:space="0" w:color="auto"/>
                <w:bottom w:val="none" w:sz="0" w:space="0" w:color="auto"/>
                <w:right w:val="none" w:sz="0" w:space="0" w:color="auto"/>
              </w:divBdr>
              <w:divsChild>
                <w:div w:id="129634263">
                  <w:marLeft w:val="0"/>
                  <w:marRight w:val="0"/>
                  <w:marTop w:val="0"/>
                  <w:marBottom w:val="0"/>
                  <w:divBdr>
                    <w:top w:val="none" w:sz="0" w:space="0" w:color="auto"/>
                    <w:left w:val="none" w:sz="0" w:space="0" w:color="auto"/>
                    <w:bottom w:val="none" w:sz="0" w:space="0" w:color="auto"/>
                    <w:right w:val="none" w:sz="0" w:space="0" w:color="auto"/>
                  </w:divBdr>
                  <w:divsChild>
                    <w:div w:id="1860700114">
                      <w:marLeft w:val="0"/>
                      <w:marRight w:val="0"/>
                      <w:marTop w:val="0"/>
                      <w:marBottom w:val="0"/>
                      <w:divBdr>
                        <w:top w:val="none" w:sz="0" w:space="0" w:color="auto"/>
                        <w:left w:val="none" w:sz="0" w:space="0" w:color="auto"/>
                        <w:bottom w:val="none" w:sz="0" w:space="0" w:color="auto"/>
                        <w:right w:val="none" w:sz="0" w:space="0" w:color="auto"/>
                      </w:divBdr>
                    </w:div>
                  </w:divsChild>
                </w:div>
                <w:div w:id="197592790">
                  <w:marLeft w:val="0"/>
                  <w:marRight w:val="0"/>
                  <w:marTop w:val="0"/>
                  <w:marBottom w:val="0"/>
                  <w:divBdr>
                    <w:top w:val="none" w:sz="0" w:space="0" w:color="auto"/>
                    <w:left w:val="none" w:sz="0" w:space="0" w:color="auto"/>
                    <w:bottom w:val="none" w:sz="0" w:space="0" w:color="auto"/>
                    <w:right w:val="none" w:sz="0" w:space="0" w:color="auto"/>
                  </w:divBdr>
                  <w:divsChild>
                    <w:div w:id="461265159">
                      <w:marLeft w:val="0"/>
                      <w:marRight w:val="0"/>
                      <w:marTop w:val="0"/>
                      <w:marBottom w:val="0"/>
                      <w:divBdr>
                        <w:top w:val="none" w:sz="0" w:space="0" w:color="auto"/>
                        <w:left w:val="none" w:sz="0" w:space="0" w:color="auto"/>
                        <w:bottom w:val="none" w:sz="0" w:space="0" w:color="auto"/>
                        <w:right w:val="none" w:sz="0" w:space="0" w:color="auto"/>
                      </w:divBdr>
                    </w:div>
                  </w:divsChild>
                </w:div>
                <w:div w:id="382871295">
                  <w:marLeft w:val="0"/>
                  <w:marRight w:val="0"/>
                  <w:marTop w:val="0"/>
                  <w:marBottom w:val="0"/>
                  <w:divBdr>
                    <w:top w:val="none" w:sz="0" w:space="0" w:color="auto"/>
                    <w:left w:val="none" w:sz="0" w:space="0" w:color="auto"/>
                    <w:bottom w:val="none" w:sz="0" w:space="0" w:color="auto"/>
                    <w:right w:val="none" w:sz="0" w:space="0" w:color="auto"/>
                  </w:divBdr>
                  <w:divsChild>
                    <w:div w:id="1265188916">
                      <w:marLeft w:val="0"/>
                      <w:marRight w:val="0"/>
                      <w:marTop w:val="0"/>
                      <w:marBottom w:val="0"/>
                      <w:divBdr>
                        <w:top w:val="none" w:sz="0" w:space="0" w:color="auto"/>
                        <w:left w:val="none" w:sz="0" w:space="0" w:color="auto"/>
                        <w:bottom w:val="none" w:sz="0" w:space="0" w:color="auto"/>
                        <w:right w:val="none" w:sz="0" w:space="0" w:color="auto"/>
                      </w:divBdr>
                    </w:div>
                  </w:divsChild>
                </w:div>
                <w:div w:id="513571239">
                  <w:marLeft w:val="0"/>
                  <w:marRight w:val="0"/>
                  <w:marTop w:val="0"/>
                  <w:marBottom w:val="0"/>
                  <w:divBdr>
                    <w:top w:val="none" w:sz="0" w:space="0" w:color="auto"/>
                    <w:left w:val="none" w:sz="0" w:space="0" w:color="auto"/>
                    <w:bottom w:val="none" w:sz="0" w:space="0" w:color="auto"/>
                    <w:right w:val="none" w:sz="0" w:space="0" w:color="auto"/>
                  </w:divBdr>
                  <w:divsChild>
                    <w:div w:id="785004612">
                      <w:marLeft w:val="0"/>
                      <w:marRight w:val="0"/>
                      <w:marTop w:val="0"/>
                      <w:marBottom w:val="0"/>
                      <w:divBdr>
                        <w:top w:val="none" w:sz="0" w:space="0" w:color="auto"/>
                        <w:left w:val="none" w:sz="0" w:space="0" w:color="auto"/>
                        <w:bottom w:val="none" w:sz="0" w:space="0" w:color="auto"/>
                        <w:right w:val="none" w:sz="0" w:space="0" w:color="auto"/>
                      </w:divBdr>
                    </w:div>
                  </w:divsChild>
                </w:div>
                <w:div w:id="661546319">
                  <w:marLeft w:val="0"/>
                  <w:marRight w:val="0"/>
                  <w:marTop w:val="0"/>
                  <w:marBottom w:val="0"/>
                  <w:divBdr>
                    <w:top w:val="none" w:sz="0" w:space="0" w:color="auto"/>
                    <w:left w:val="none" w:sz="0" w:space="0" w:color="auto"/>
                    <w:bottom w:val="none" w:sz="0" w:space="0" w:color="auto"/>
                    <w:right w:val="none" w:sz="0" w:space="0" w:color="auto"/>
                  </w:divBdr>
                  <w:divsChild>
                    <w:div w:id="606305667">
                      <w:marLeft w:val="0"/>
                      <w:marRight w:val="0"/>
                      <w:marTop w:val="0"/>
                      <w:marBottom w:val="0"/>
                      <w:divBdr>
                        <w:top w:val="none" w:sz="0" w:space="0" w:color="auto"/>
                        <w:left w:val="none" w:sz="0" w:space="0" w:color="auto"/>
                        <w:bottom w:val="none" w:sz="0" w:space="0" w:color="auto"/>
                        <w:right w:val="none" w:sz="0" w:space="0" w:color="auto"/>
                      </w:divBdr>
                    </w:div>
                  </w:divsChild>
                </w:div>
                <w:div w:id="684285114">
                  <w:marLeft w:val="0"/>
                  <w:marRight w:val="0"/>
                  <w:marTop w:val="0"/>
                  <w:marBottom w:val="0"/>
                  <w:divBdr>
                    <w:top w:val="none" w:sz="0" w:space="0" w:color="auto"/>
                    <w:left w:val="none" w:sz="0" w:space="0" w:color="auto"/>
                    <w:bottom w:val="none" w:sz="0" w:space="0" w:color="auto"/>
                    <w:right w:val="none" w:sz="0" w:space="0" w:color="auto"/>
                  </w:divBdr>
                  <w:divsChild>
                    <w:div w:id="917134820">
                      <w:marLeft w:val="0"/>
                      <w:marRight w:val="0"/>
                      <w:marTop w:val="0"/>
                      <w:marBottom w:val="0"/>
                      <w:divBdr>
                        <w:top w:val="none" w:sz="0" w:space="0" w:color="auto"/>
                        <w:left w:val="none" w:sz="0" w:space="0" w:color="auto"/>
                        <w:bottom w:val="none" w:sz="0" w:space="0" w:color="auto"/>
                        <w:right w:val="none" w:sz="0" w:space="0" w:color="auto"/>
                      </w:divBdr>
                    </w:div>
                  </w:divsChild>
                </w:div>
                <w:div w:id="836843291">
                  <w:marLeft w:val="0"/>
                  <w:marRight w:val="0"/>
                  <w:marTop w:val="0"/>
                  <w:marBottom w:val="0"/>
                  <w:divBdr>
                    <w:top w:val="none" w:sz="0" w:space="0" w:color="auto"/>
                    <w:left w:val="none" w:sz="0" w:space="0" w:color="auto"/>
                    <w:bottom w:val="none" w:sz="0" w:space="0" w:color="auto"/>
                    <w:right w:val="none" w:sz="0" w:space="0" w:color="auto"/>
                  </w:divBdr>
                  <w:divsChild>
                    <w:div w:id="1675641522">
                      <w:marLeft w:val="0"/>
                      <w:marRight w:val="0"/>
                      <w:marTop w:val="0"/>
                      <w:marBottom w:val="0"/>
                      <w:divBdr>
                        <w:top w:val="none" w:sz="0" w:space="0" w:color="auto"/>
                        <w:left w:val="none" w:sz="0" w:space="0" w:color="auto"/>
                        <w:bottom w:val="none" w:sz="0" w:space="0" w:color="auto"/>
                        <w:right w:val="none" w:sz="0" w:space="0" w:color="auto"/>
                      </w:divBdr>
                    </w:div>
                  </w:divsChild>
                </w:div>
                <w:div w:id="911618570">
                  <w:marLeft w:val="0"/>
                  <w:marRight w:val="0"/>
                  <w:marTop w:val="0"/>
                  <w:marBottom w:val="0"/>
                  <w:divBdr>
                    <w:top w:val="none" w:sz="0" w:space="0" w:color="auto"/>
                    <w:left w:val="none" w:sz="0" w:space="0" w:color="auto"/>
                    <w:bottom w:val="none" w:sz="0" w:space="0" w:color="auto"/>
                    <w:right w:val="none" w:sz="0" w:space="0" w:color="auto"/>
                  </w:divBdr>
                  <w:divsChild>
                    <w:div w:id="406457343">
                      <w:marLeft w:val="0"/>
                      <w:marRight w:val="0"/>
                      <w:marTop w:val="0"/>
                      <w:marBottom w:val="0"/>
                      <w:divBdr>
                        <w:top w:val="none" w:sz="0" w:space="0" w:color="auto"/>
                        <w:left w:val="none" w:sz="0" w:space="0" w:color="auto"/>
                        <w:bottom w:val="none" w:sz="0" w:space="0" w:color="auto"/>
                        <w:right w:val="none" w:sz="0" w:space="0" w:color="auto"/>
                      </w:divBdr>
                    </w:div>
                  </w:divsChild>
                </w:div>
                <w:div w:id="1069424841">
                  <w:marLeft w:val="0"/>
                  <w:marRight w:val="0"/>
                  <w:marTop w:val="0"/>
                  <w:marBottom w:val="0"/>
                  <w:divBdr>
                    <w:top w:val="none" w:sz="0" w:space="0" w:color="auto"/>
                    <w:left w:val="none" w:sz="0" w:space="0" w:color="auto"/>
                    <w:bottom w:val="none" w:sz="0" w:space="0" w:color="auto"/>
                    <w:right w:val="none" w:sz="0" w:space="0" w:color="auto"/>
                  </w:divBdr>
                  <w:divsChild>
                    <w:div w:id="1901404137">
                      <w:marLeft w:val="0"/>
                      <w:marRight w:val="0"/>
                      <w:marTop w:val="0"/>
                      <w:marBottom w:val="0"/>
                      <w:divBdr>
                        <w:top w:val="none" w:sz="0" w:space="0" w:color="auto"/>
                        <w:left w:val="none" w:sz="0" w:space="0" w:color="auto"/>
                        <w:bottom w:val="none" w:sz="0" w:space="0" w:color="auto"/>
                        <w:right w:val="none" w:sz="0" w:space="0" w:color="auto"/>
                      </w:divBdr>
                    </w:div>
                  </w:divsChild>
                </w:div>
                <w:div w:id="1270551711">
                  <w:marLeft w:val="0"/>
                  <w:marRight w:val="0"/>
                  <w:marTop w:val="0"/>
                  <w:marBottom w:val="0"/>
                  <w:divBdr>
                    <w:top w:val="none" w:sz="0" w:space="0" w:color="auto"/>
                    <w:left w:val="none" w:sz="0" w:space="0" w:color="auto"/>
                    <w:bottom w:val="none" w:sz="0" w:space="0" w:color="auto"/>
                    <w:right w:val="none" w:sz="0" w:space="0" w:color="auto"/>
                  </w:divBdr>
                  <w:divsChild>
                    <w:div w:id="1025904049">
                      <w:marLeft w:val="0"/>
                      <w:marRight w:val="0"/>
                      <w:marTop w:val="0"/>
                      <w:marBottom w:val="0"/>
                      <w:divBdr>
                        <w:top w:val="none" w:sz="0" w:space="0" w:color="auto"/>
                        <w:left w:val="none" w:sz="0" w:space="0" w:color="auto"/>
                        <w:bottom w:val="none" w:sz="0" w:space="0" w:color="auto"/>
                        <w:right w:val="none" w:sz="0" w:space="0" w:color="auto"/>
                      </w:divBdr>
                    </w:div>
                  </w:divsChild>
                </w:div>
                <w:div w:id="1673869830">
                  <w:marLeft w:val="0"/>
                  <w:marRight w:val="0"/>
                  <w:marTop w:val="0"/>
                  <w:marBottom w:val="0"/>
                  <w:divBdr>
                    <w:top w:val="none" w:sz="0" w:space="0" w:color="auto"/>
                    <w:left w:val="none" w:sz="0" w:space="0" w:color="auto"/>
                    <w:bottom w:val="none" w:sz="0" w:space="0" w:color="auto"/>
                    <w:right w:val="none" w:sz="0" w:space="0" w:color="auto"/>
                  </w:divBdr>
                  <w:divsChild>
                    <w:div w:id="1138378980">
                      <w:marLeft w:val="0"/>
                      <w:marRight w:val="0"/>
                      <w:marTop w:val="0"/>
                      <w:marBottom w:val="0"/>
                      <w:divBdr>
                        <w:top w:val="none" w:sz="0" w:space="0" w:color="auto"/>
                        <w:left w:val="none" w:sz="0" w:space="0" w:color="auto"/>
                        <w:bottom w:val="none" w:sz="0" w:space="0" w:color="auto"/>
                        <w:right w:val="none" w:sz="0" w:space="0" w:color="auto"/>
                      </w:divBdr>
                    </w:div>
                  </w:divsChild>
                </w:div>
                <w:div w:id="1713726036">
                  <w:marLeft w:val="0"/>
                  <w:marRight w:val="0"/>
                  <w:marTop w:val="0"/>
                  <w:marBottom w:val="0"/>
                  <w:divBdr>
                    <w:top w:val="none" w:sz="0" w:space="0" w:color="auto"/>
                    <w:left w:val="none" w:sz="0" w:space="0" w:color="auto"/>
                    <w:bottom w:val="none" w:sz="0" w:space="0" w:color="auto"/>
                    <w:right w:val="none" w:sz="0" w:space="0" w:color="auto"/>
                  </w:divBdr>
                  <w:divsChild>
                    <w:div w:id="1329291480">
                      <w:marLeft w:val="0"/>
                      <w:marRight w:val="0"/>
                      <w:marTop w:val="0"/>
                      <w:marBottom w:val="0"/>
                      <w:divBdr>
                        <w:top w:val="none" w:sz="0" w:space="0" w:color="auto"/>
                        <w:left w:val="none" w:sz="0" w:space="0" w:color="auto"/>
                        <w:bottom w:val="none" w:sz="0" w:space="0" w:color="auto"/>
                        <w:right w:val="none" w:sz="0" w:space="0" w:color="auto"/>
                      </w:divBdr>
                    </w:div>
                  </w:divsChild>
                </w:div>
                <w:div w:id="1967278100">
                  <w:marLeft w:val="0"/>
                  <w:marRight w:val="0"/>
                  <w:marTop w:val="0"/>
                  <w:marBottom w:val="0"/>
                  <w:divBdr>
                    <w:top w:val="none" w:sz="0" w:space="0" w:color="auto"/>
                    <w:left w:val="none" w:sz="0" w:space="0" w:color="auto"/>
                    <w:bottom w:val="none" w:sz="0" w:space="0" w:color="auto"/>
                    <w:right w:val="none" w:sz="0" w:space="0" w:color="auto"/>
                  </w:divBdr>
                  <w:divsChild>
                    <w:div w:id="2035422829">
                      <w:marLeft w:val="0"/>
                      <w:marRight w:val="0"/>
                      <w:marTop w:val="0"/>
                      <w:marBottom w:val="0"/>
                      <w:divBdr>
                        <w:top w:val="none" w:sz="0" w:space="0" w:color="auto"/>
                        <w:left w:val="none" w:sz="0" w:space="0" w:color="auto"/>
                        <w:bottom w:val="none" w:sz="0" w:space="0" w:color="auto"/>
                        <w:right w:val="none" w:sz="0" w:space="0" w:color="auto"/>
                      </w:divBdr>
                    </w:div>
                  </w:divsChild>
                </w:div>
                <w:div w:id="2040473349">
                  <w:marLeft w:val="0"/>
                  <w:marRight w:val="0"/>
                  <w:marTop w:val="0"/>
                  <w:marBottom w:val="0"/>
                  <w:divBdr>
                    <w:top w:val="none" w:sz="0" w:space="0" w:color="auto"/>
                    <w:left w:val="none" w:sz="0" w:space="0" w:color="auto"/>
                    <w:bottom w:val="none" w:sz="0" w:space="0" w:color="auto"/>
                    <w:right w:val="none" w:sz="0" w:space="0" w:color="auto"/>
                  </w:divBdr>
                  <w:divsChild>
                    <w:div w:id="652758141">
                      <w:marLeft w:val="0"/>
                      <w:marRight w:val="0"/>
                      <w:marTop w:val="0"/>
                      <w:marBottom w:val="0"/>
                      <w:divBdr>
                        <w:top w:val="none" w:sz="0" w:space="0" w:color="auto"/>
                        <w:left w:val="none" w:sz="0" w:space="0" w:color="auto"/>
                        <w:bottom w:val="none" w:sz="0" w:space="0" w:color="auto"/>
                        <w:right w:val="none" w:sz="0" w:space="0" w:color="auto"/>
                      </w:divBdr>
                    </w:div>
                  </w:divsChild>
                </w:div>
                <w:div w:id="2134521009">
                  <w:marLeft w:val="0"/>
                  <w:marRight w:val="0"/>
                  <w:marTop w:val="0"/>
                  <w:marBottom w:val="0"/>
                  <w:divBdr>
                    <w:top w:val="none" w:sz="0" w:space="0" w:color="auto"/>
                    <w:left w:val="none" w:sz="0" w:space="0" w:color="auto"/>
                    <w:bottom w:val="none" w:sz="0" w:space="0" w:color="auto"/>
                    <w:right w:val="none" w:sz="0" w:space="0" w:color="auto"/>
                  </w:divBdr>
                  <w:divsChild>
                    <w:div w:id="95852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976882">
          <w:marLeft w:val="0"/>
          <w:marRight w:val="0"/>
          <w:marTop w:val="0"/>
          <w:marBottom w:val="0"/>
          <w:divBdr>
            <w:top w:val="none" w:sz="0" w:space="0" w:color="auto"/>
            <w:left w:val="none" w:sz="0" w:space="0" w:color="auto"/>
            <w:bottom w:val="none" w:sz="0" w:space="0" w:color="auto"/>
            <w:right w:val="none" w:sz="0" w:space="0" w:color="auto"/>
          </w:divBdr>
          <w:divsChild>
            <w:div w:id="320619027">
              <w:marLeft w:val="0"/>
              <w:marRight w:val="0"/>
              <w:marTop w:val="0"/>
              <w:marBottom w:val="0"/>
              <w:divBdr>
                <w:top w:val="none" w:sz="0" w:space="0" w:color="auto"/>
                <w:left w:val="none" w:sz="0" w:space="0" w:color="auto"/>
                <w:bottom w:val="none" w:sz="0" w:space="0" w:color="auto"/>
                <w:right w:val="none" w:sz="0" w:space="0" w:color="auto"/>
              </w:divBdr>
            </w:div>
            <w:div w:id="164962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614638">
      <w:bodyDiv w:val="1"/>
      <w:marLeft w:val="0"/>
      <w:marRight w:val="0"/>
      <w:marTop w:val="0"/>
      <w:marBottom w:val="0"/>
      <w:divBdr>
        <w:top w:val="none" w:sz="0" w:space="0" w:color="auto"/>
        <w:left w:val="none" w:sz="0" w:space="0" w:color="auto"/>
        <w:bottom w:val="none" w:sz="0" w:space="0" w:color="auto"/>
        <w:right w:val="none" w:sz="0" w:space="0" w:color="auto"/>
      </w:divBdr>
    </w:div>
    <w:div w:id="994534290">
      <w:bodyDiv w:val="1"/>
      <w:marLeft w:val="0"/>
      <w:marRight w:val="0"/>
      <w:marTop w:val="0"/>
      <w:marBottom w:val="0"/>
      <w:divBdr>
        <w:top w:val="none" w:sz="0" w:space="0" w:color="auto"/>
        <w:left w:val="none" w:sz="0" w:space="0" w:color="auto"/>
        <w:bottom w:val="none" w:sz="0" w:space="0" w:color="auto"/>
        <w:right w:val="none" w:sz="0" w:space="0" w:color="auto"/>
      </w:divBdr>
    </w:div>
    <w:div w:id="1004086747">
      <w:bodyDiv w:val="1"/>
      <w:marLeft w:val="0"/>
      <w:marRight w:val="0"/>
      <w:marTop w:val="0"/>
      <w:marBottom w:val="0"/>
      <w:divBdr>
        <w:top w:val="none" w:sz="0" w:space="0" w:color="auto"/>
        <w:left w:val="none" w:sz="0" w:space="0" w:color="auto"/>
        <w:bottom w:val="none" w:sz="0" w:space="0" w:color="auto"/>
        <w:right w:val="none" w:sz="0" w:space="0" w:color="auto"/>
      </w:divBdr>
    </w:div>
    <w:div w:id="1050035896">
      <w:bodyDiv w:val="1"/>
      <w:marLeft w:val="0"/>
      <w:marRight w:val="0"/>
      <w:marTop w:val="0"/>
      <w:marBottom w:val="0"/>
      <w:divBdr>
        <w:top w:val="none" w:sz="0" w:space="0" w:color="auto"/>
        <w:left w:val="none" w:sz="0" w:space="0" w:color="auto"/>
        <w:bottom w:val="none" w:sz="0" w:space="0" w:color="auto"/>
        <w:right w:val="none" w:sz="0" w:space="0" w:color="auto"/>
      </w:divBdr>
    </w:div>
    <w:div w:id="1124815242">
      <w:bodyDiv w:val="1"/>
      <w:marLeft w:val="0"/>
      <w:marRight w:val="0"/>
      <w:marTop w:val="0"/>
      <w:marBottom w:val="0"/>
      <w:divBdr>
        <w:top w:val="none" w:sz="0" w:space="0" w:color="auto"/>
        <w:left w:val="none" w:sz="0" w:space="0" w:color="auto"/>
        <w:bottom w:val="none" w:sz="0" w:space="0" w:color="auto"/>
        <w:right w:val="none" w:sz="0" w:space="0" w:color="auto"/>
      </w:divBdr>
    </w:div>
    <w:div w:id="1131896179">
      <w:bodyDiv w:val="1"/>
      <w:marLeft w:val="0"/>
      <w:marRight w:val="0"/>
      <w:marTop w:val="0"/>
      <w:marBottom w:val="0"/>
      <w:divBdr>
        <w:top w:val="none" w:sz="0" w:space="0" w:color="auto"/>
        <w:left w:val="none" w:sz="0" w:space="0" w:color="auto"/>
        <w:bottom w:val="none" w:sz="0" w:space="0" w:color="auto"/>
        <w:right w:val="none" w:sz="0" w:space="0" w:color="auto"/>
      </w:divBdr>
    </w:div>
    <w:div w:id="1148128936">
      <w:bodyDiv w:val="1"/>
      <w:marLeft w:val="0"/>
      <w:marRight w:val="0"/>
      <w:marTop w:val="0"/>
      <w:marBottom w:val="0"/>
      <w:divBdr>
        <w:top w:val="none" w:sz="0" w:space="0" w:color="auto"/>
        <w:left w:val="none" w:sz="0" w:space="0" w:color="auto"/>
        <w:bottom w:val="none" w:sz="0" w:space="0" w:color="auto"/>
        <w:right w:val="none" w:sz="0" w:space="0" w:color="auto"/>
      </w:divBdr>
    </w:div>
    <w:div w:id="1184129845">
      <w:bodyDiv w:val="1"/>
      <w:marLeft w:val="0"/>
      <w:marRight w:val="0"/>
      <w:marTop w:val="0"/>
      <w:marBottom w:val="0"/>
      <w:divBdr>
        <w:top w:val="none" w:sz="0" w:space="0" w:color="auto"/>
        <w:left w:val="none" w:sz="0" w:space="0" w:color="auto"/>
        <w:bottom w:val="none" w:sz="0" w:space="0" w:color="auto"/>
        <w:right w:val="none" w:sz="0" w:space="0" w:color="auto"/>
      </w:divBdr>
    </w:div>
    <w:div w:id="1243611810">
      <w:bodyDiv w:val="1"/>
      <w:marLeft w:val="0"/>
      <w:marRight w:val="0"/>
      <w:marTop w:val="0"/>
      <w:marBottom w:val="0"/>
      <w:divBdr>
        <w:top w:val="none" w:sz="0" w:space="0" w:color="auto"/>
        <w:left w:val="none" w:sz="0" w:space="0" w:color="auto"/>
        <w:bottom w:val="none" w:sz="0" w:space="0" w:color="auto"/>
        <w:right w:val="none" w:sz="0" w:space="0" w:color="auto"/>
      </w:divBdr>
    </w:div>
    <w:div w:id="1259169371">
      <w:bodyDiv w:val="1"/>
      <w:marLeft w:val="0"/>
      <w:marRight w:val="0"/>
      <w:marTop w:val="0"/>
      <w:marBottom w:val="0"/>
      <w:divBdr>
        <w:top w:val="none" w:sz="0" w:space="0" w:color="auto"/>
        <w:left w:val="none" w:sz="0" w:space="0" w:color="auto"/>
        <w:bottom w:val="none" w:sz="0" w:space="0" w:color="auto"/>
        <w:right w:val="none" w:sz="0" w:space="0" w:color="auto"/>
      </w:divBdr>
    </w:div>
    <w:div w:id="1330257667">
      <w:bodyDiv w:val="1"/>
      <w:marLeft w:val="0"/>
      <w:marRight w:val="0"/>
      <w:marTop w:val="0"/>
      <w:marBottom w:val="0"/>
      <w:divBdr>
        <w:top w:val="none" w:sz="0" w:space="0" w:color="auto"/>
        <w:left w:val="none" w:sz="0" w:space="0" w:color="auto"/>
        <w:bottom w:val="none" w:sz="0" w:space="0" w:color="auto"/>
        <w:right w:val="none" w:sz="0" w:space="0" w:color="auto"/>
      </w:divBdr>
    </w:div>
    <w:div w:id="1337464154">
      <w:bodyDiv w:val="1"/>
      <w:marLeft w:val="0"/>
      <w:marRight w:val="0"/>
      <w:marTop w:val="0"/>
      <w:marBottom w:val="0"/>
      <w:divBdr>
        <w:top w:val="none" w:sz="0" w:space="0" w:color="auto"/>
        <w:left w:val="none" w:sz="0" w:space="0" w:color="auto"/>
        <w:bottom w:val="none" w:sz="0" w:space="0" w:color="auto"/>
        <w:right w:val="none" w:sz="0" w:space="0" w:color="auto"/>
      </w:divBdr>
    </w:div>
    <w:div w:id="1345129598">
      <w:bodyDiv w:val="1"/>
      <w:marLeft w:val="0"/>
      <w:marRight w:val="0"/>
      <w:marTop w:val="0"/>
      <w:marBottom w:val="0"/>
      <w:divBdr>
        <w:top w:val="none" w:sz="0" w:space="0" w:color="auto"/>
        <w:left w:val="none" w:sz="0" w:space="0" w:color="auto"/>
        <w:bottom w:val="none" w:sz="0" w:space="0" w:color="auto"/>
        <w:right w:val="none" w:sz="0" w:space="0" w:color="auto"/>
      </w:divBdr>
    </w:div>
    <w:div w:id="1361013304">
      <w:bodyDiv w:val="1"/>
      <w:marLeft w:val="0"/>
      <w:marRight w:val="0"/>
      <w:marTop w:val="0"/>
      <w:marBottom w:val="0"/>
      <w:divBdr>
        <w:top w:val="none" w:sz="0" w:space="0" w:color="auto"/>
        <w:left w:val="none" w:sz="0" w:space="0" w:color="auto"/>
        <w:bottom w:val="none" w:sz="0" w:space="0" w:color="auto"/>
        <w:right w:val="none" w:sz="0" w:space="0" w:color="auto"/>
      </w:divBdr>
    </w:div>
    <w:div w:id="1362320667">
      <w:bodyDiv w:val="1"/>
      <w:marLeft w:val="0"/>
      <w:marRight w:val="0"/>
      <w:marTop w:val="0"/>
      <w:marBottom w:val="0"/>
      <w:divBdr>
        <w:top w:val="none" w:sz="0" w:space="0" w:color="auto"/>
        <w:left w:val="none" w:sz="0" w:space="0" w:color="auto"/>
        <w:bottom w:val="none" w:sz="0" w:space="0" w:color="auto"/>
        <w:right w:val="none" w:sz="0" w:space="0" w:color="auto"/>
      </w:divBdr>
    </w:div>
    <w:div w:id="1393843925">
      <w:bodyDiv w:val="1"/>
      <w:marLeft w:val="0"/>
      <w:marRight w:val="0"/>
      <w:marTop w:val="0"/>
      <w:marBottom w:val="0"/>
      <w:divBdr>
        <w:top w:val="none" w:sz="0" w:space="0" w:color="auto"/>
        <w:left w:val="none" w:sz="0" w:space="0" w:color="auto"/>
        <w:bottom w:val="none" w:sz="0" w:space="0" w:color="auto"/>
        <w:right w:val="none" w:sz="0" w:space="0" w:color="auto"/>
      </w:divBdr>
    </w:div>
    <w:div w:id="1416979858">
      <w:bodyDiv w:val="1"/>
      <w:marLeft w:val="0"/>
      <w:marRight w:val="0"/>
      <w:marTop w:val="0"/>
      <w:marBottom w:val="0"/>
      <w:divBdr>
        <w:top w:val="none" w:sz="0" w:space="0" w:color="auto"/>
        <w:left w:val="none" w:sz="0" w:space="0" w:color="auto"/>
        <w:bottom w:val="none" w:sz="0" w:space="0" w:color="auto"/>
        <w:right w:val="none" w:sz="0" w:space="0" w:color="auto"/>
      </w:divBdr>
    </w:div>
    <w:div w:id="1420054141">
      <w:bodyDiv w:val="1"/>
      <w:marLeft w:val="0"/>
      <w:marRight w:val="0"/>
      <w:marTop w:val="0"/>
      <w:marBottom w:val="0"/>
      <w:divBdr>
        <w:top w:val="none" w:sz="0" w:space="0" w:color="auto"/>
        <w:left w:val="none" w:sz="0" w:space="0" w:color="auto"/>
        <w:bottom w:val="none" w:sz="0" w:space="0" w:color="auto"/>
        <w:right w:val="none" w:sz="0" w:space="0" w:color="auto"/>
      </w:divBdr>
    </w:div>
    <w:div w:id="1421218498">
      <w:bodyDiv w:val="1"/>
      <w:marLeft w:val="0"/>
      <w:marRight w:val="0"/>
      <w:marTop w:val="0"/>
      <w:marBottom w:val="0"/>
      <w:divBdr>
        <w:top w:val="none" w:sz="0" w:space="0" w:color="auto"/>
        <w:left w:val="none" w:sz="0" w:space="0" w:color="auto"/>
        <w:bottom w:val="none" w:sz="0" w:space="0" w:color="auto"/>
        <w:right w:val="none" w:sz="0" w:space="0" w:color="auto"/>
      </w:divBdr>
    </w:div>
    <w:div w:id="1482424648">
      <w:bodyDiv w:val="1"/>
      <w:marLeft w:val="0"/>
      <w:marRight w:val="0"/>
      <w:marTop w:val="0"/>
      <w:marBottom w:val="0"/>
      <w:divBdr>
        <w:top w:val="none" w:sz="0" w:space="0" w:color="auto"/>
        <w:left w:val="none" w:sz="0" w:space="0" w:color="auto"/>
        <w:bottom w:val="none" w:sz="0" w:space="0" w:color="auto"/>
        <w:right w:val="none" w:sz="0" w:space="0" w:color="auto"/>
      </w:divBdr>
    </w:div>
    <w:div w:id="1532455561">
      <w:bodyDiv w:val="1"/>
      <w:marLeft w:val="0"/>
      <w:marRight w:val="0"/>
      <w:marTop w:val="0"/>
      <w:marBottom w:val="0"/>
      <w:divBdr>
        <w:top w:val="none" w:sz="0" w:space="0" w:color="auto"/>
        <w:left w:val="none" w:sz="0" w:space="0" w:color="auto"/>
        <w:bottom w:val="none" w:sz="0" w:space="0" w:color="auto"/>
        <w:right w:val="none" w:sz="0" w:space="0" w:color="auto"/>
      </w:divBdr>
    </w:div>
    <w:div w:id="1546913690">
      <w:bodyDiv w:val="1"/>
      <w:marLeft w:val="0"/>
      <w:marRight w:val="0"/>
      <w:marTop w:val="0"/>
      <w:marBottom w:val="0"/>
      <w:divBdr>
        <w:top w:val="none" w:sz="0" w:space="0" w:color="auto"/>
        <w:left w:val="none" w:sz="0" w:space="0" w:color="auto"/>
        <w:bottom w:val="none" w:sz="0" w:space="0" w:color="auto"/>
        <w:right w:val="none" w:sz="0" w:space="0" w:color="auto"/>
      </w:divBdr>
    </w:div>
    <w:div w:id="1550531324">
      <w:bodyDiv w:val="1"/>
      <w:marLeft w:val="0"/>
      <w:marRight w:val="0"/>
      <w:marTop w:val="0"/>
      <w:marBottom w:val="0"/>
      <w:divBdr>
        <w:top w:val="none" w:sz="0" w:space="0" w:color="auto"/>
        <w:left w:val="none" w:sz="0" w:space="0" w:color="auto"/>
        <w:bottom w:val="none" w:sz="0" w:space="0" w:color="auto"/>
        <w:right w:val="none" w:sz="0" w:space="0" w:color="auto"/>
      </w:divBdr>
    </w:div>
    <w:div w:id="1596816757">
      <w:bodyDiv w:val="1"/>
      <w:marLeft w:val="0"/>
      <w:marRight w:val="0"/>
      <w:marTop w:val="0"/>
      <w:marBottom w:val="0"/>
      <w:divBdr>
        <w:top w:val="none" w:sz="0" w:space="0" w:color="auto"/>
        <w:left w:val="none" w:sz="0" w:space="0" w:color="auto"/>
        <w:bottom w:val="none" w:sz="0" w:space="0" w:color="auto"/>
        <w:right w:val="none" w:sz="0" w:space="0" w:color="auto"/>
      </w:divBdr>
    </w:div>
    <w:div w:id="1643581944">
      <w:bodyDiv w:val="1"/>
      <w:marLeft w:val="0"/>
      <w:marRight w:val="0"/>
      <w:marTop w:val="0"/>
      <w:marBottom w:val="0"/>
      <w:divBdr>
        <w:top w:val="none" w:sz="0" w:space="0" w:color="auto"/>
        <w:left w:val="none" w:sz="0" w:space="0" w:color="auto"/>
        <w:bottom w:val="none" w:sz="0" w:space="0" w:color="auto"/>
        <w:right w:val="none" w:sz="0" w:space="0" w:color="auto"/>
      </w:divBdr>
    </w:div>
    <w:div w:id="1727875685">
      <w:bodyDiv w:val="1"/>
      <w:marLeft w:val="0"/>
      <w:marRight w:val="0"/>
      <w:marTop w:val="0"/>
      <w:marBottom w:val="0"/>
      <w:divBdr>
        <w:top w:val="none" w:sz="0" w:space="0" w:color="auto"/>
        <w:left w:val="none" w:sz="0" w:space="0" w:color="auto"/>
        <w:bottom w:val="none" w:sz="0" w:space="0" w:color="auto"/>
        <w:right w:val="none" w:sz="0" w:space="0" w:color="auto"/>
      </w:divBdr>
    </w:div>
    <w:div w:id="1755782020">
      <w:bodyDiv w:val="1"/>
      <w:marLeft w:val="0"/>
      <w:marRight w:val="0"/>
      <w:marTop w:val="0"/>
      <w:marBottom w:val="0"/>
      <w:divBdr>
        <w:top w:val="none" w:sz="0" w:space="0" w:color="auto"/>
        <w:left w:val="none" w:sz="0" w:space="0" w:color="auto"/>
        <w:bottom w:val="none" w:sz="0" w:space="0" w:color="auto"/>
        <w:right w:val="none" w:sz="0" w:space="0" w:color="auto"/>
      </w:divBdr>
    </w:div>
    <w:div w:id="1778987606">
      <w:bodyDiv w:val="1"/>
      <w:marLeft w:val="0"/>
      <w:marRight w:val="0"/>
      <w:marTop w:val="0"/>
      <w:marBottom w:val="0"/>
      <w:divBdr>
        <w:top w:val="none" w:sz="0" w:space="0" w:color="auto"/>
        <w:left w:val="none" w:sz="0" w:space="0" w:color="auto"/>
        <w:bottom w:val="none" w:sz="0" w:space="0" w:color="auto"/>
        <w:right w:val="none" w:sz="0" w:space="0" w:color="auto"/>
      </w:divBdr>
    </w:div>
    <w:div w:id="1780291799">
      <w:bodyDiv w:val="1"/>
      <w:marLeft w:val="0"/>
      <w:marRight w:val="0"/>
      <w:marTop w:val="0"/>
      <w:marBottom w:val="0"/>
      <w:divBdr>
        <w:top w:val="none" w:sz="0" w:space="0" w:color="auto"/>
        <w:left w:val="none" w:sz="0" w:space="0" w:color="auto"/>
        <w:bottom w:val="none" w:sz="0" w:space="0" w:color="auto"/>
        <w:right w:val="none" w:sz="0" w:space="0" w:color="auto"/>
      </w:divBdr>
    </w:div>
    <w:div w:id="1793405007">
      <w:bodyDiv w:val="1"/>
      <w:marLeft w:val="0"/>
      <w:marRight w:val="0"/>
      <w:marTop w:val="0"/>
      <w:marBottom w:val="0"/>
      <w:divBdr>
        <w:top w:val="none" w:sz="0" w:space="0" w:color="auto"/>
        <w:left w:val="none" w:sz="0" w:space="0" w:color="auto"/>
        <w:bottom w:val="none" w:sz="0" w:space="0" w:color="auto"/>
        <w:right w:val="none" w:sz="0" w:space="0" w:color="auto"/>
      </w:divBdr>
    </w:div>
    <w:div w:id="1799637876">
      <w:bodyDiv w:val="1"/>
      <w:marLeft w:val="0"/>
      <w:marRight w:val="0"/>
      <w:marTop w:val="0"/>
      <w:marBottom w:val="0"/>
      <w:divBdr>
        <w:top w:val="none" w:sz="0" w:space="0" w:color="auto"/>
        <w:left w:val="none" w:sz="0" w:space="0" w:color="auto"/>
        <w:bottom w:val="none" w:sz="0" w:space="0" w:color="auto"/>
        <w:right w:val="none" w:sz="0" w:space="0" w:color="auto"/>
      </w:divBdr>
    </w:div>
    <w:div w:id="1894655707">
      <w:bodyDiv w:val="1"/>
      <w:marLeft w:val="0"/>
      <w:marRight w:val="0"/>
      <w:marTop w:val="0"/>
      <w:marBottom w:val="0"/>
      <w:divBdr>
        <w:top w:val="none" w:sz="0" w:space="0" w:color="auto"/>
        <w:left w:val="none" w:sz="0" w:space="0" w:color="auto"/>
        <w:bottom w:val="none" w:sz="0" w:space="0" w:color="auto"/>
        <w:right w:val="none" w:sz="0" w:space="0" w:color="auto"/>
      </w:divBdr>
    </w:div>
    <w:div w:id="1921793086">
      <w:bodyDiv w:val="1"/>
      <w:marLeft w:val="0"/>
      <w:marRight w:val="0"/>
      <w:marTop w:val="0"/>
      <w:marBottom w:val="0"/>
      <w:divBdr>
        <w:top w:val="none" w:sz="0" w:space="0" w:color="auto"/>
        <w:left w:val="none" w:sz="0" w:space="0" w:color="auto"/>
        <w:bottom w:val="none" w:sz="0" w:space="0" w:color="auto"/>
        <w:right w:val="none" w:sz="0" w:space="0" w:color="auto"/>
      </w:divBdr>
    </w:div>
    <w:div w:id="1967543193">
      <w:bodyDiv w:val="1"/>
      <w:marLeft w:val="0"/>
      <w:marRight w:val="0"/>
      <w:marTop w:val="0"/>
      <w:marBottom w:val="0"/>
      <w:divBdr>
        <w:top w:val="none" w:sz="0" w:space="0" w:color="auto"/>
        <w:left w:val="none" w:sz="0" w:space="0" w:color="auto"/>
        <w:bottom w:val="none" w:sz="0" w:space="0" w:color="auto"/>
        <w:right w:val="none" w:sz="0" w:space="0" w:color="auto"/>
      </w:divBdr>
    </w:div>
    <w:div w:id="2004772443">
      <w:bodyDiv w:val="1"/>
      <w:marLeft w:val="0"/>
      <w:marRight w:val="0"/>
      <w:marTop w:val="0"/>
      <w:marBottom w:val="0"/>
      <w:divBdr>
        <w:top w:val="none" w:sz="0" w:space="0" w:color="auto"/>
        <w:left w:val="none" w:sz="0" w:space="0" w:color="auto"/>
        <w:bottom w:val="none" w:sz="0" w:space="0" w:color="auto"/>
        <w:right w:val="none" w:sz="0" w:space="0" w:color="auto"/>
      </w:divBdr>
    </w:div>
    <w:div w:id="2058434445">
      <w:bodyDiv w:val="1"/>
      <w:marLeft w:val="0"/>
      <w:marRight w:val="0"/>
      <w:marTop w:val="0"/>
      <w:marBottom w:val="0"/>
      <w:divBdr>
        <w:top w:val="none" w:sz="0" w:space="0" w:color="auto"/>
        <w:left w:val="none" w:sz="0" w:space="0" w:color="auto"/>
        <w:bottom w:val="none" w:sz="0" w:space="0" w:color="auto"/>
        <w:right w:val="none" w:sz="0" w:space="0" w:color="auto"/>
      </w:divBdr>
    </w:div>
    <w:div w:id="2085174483">
      <w:bodyDiv w:val="1"/>
      <w:marLeft w:val="0"/>
      <w:marRight w:val="0"/>
      <w:marTop w:val="0"/>
      <w:marBottom w:val="0"/>
      <w:divBdr>
        <w:top w:val="none" w:sz="0" w:space="0" w:color="auto"/>
        <w:left w:val="none" w:sz="0" w:space="0" w:color="auto"/>
        <w:bottom w:val="none" w:sz="0" w:space="0" w:color="auto"/>
        <w:right w:val="none" w:sz="0" w:space="0" w:color="auto"/>
      </w:divBdr>
    </w:div>
    <w:div w:id="212010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3392</Words>
  <Characters>19217</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2023-10-26T15:53:00Z</dcterms:created>
  <dcterms:modified xsi:type="dcterms:W3CDTF">2023-10-26T15:54:00Z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