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9465" w14:textId="263A2A3D" w:rsidR="003A2A4F" w:rsidRDefault="003A2A4F" w:rsidP="00EB3E1B">
      <w:pPr>
        <w:pStyle w:val="Title"/>
        <w:spacing w:before="0" w:after="0" w:line="360" w:lineRule="auto"/>
        <w:contextualSpacing/>
        <w:rPr>
          <w:rFonts w:ascii="Times New Roman Bold" w:hAnsi="Times New Roman Bold"/>
          <w:kern w:val="0"/>
          <w:u w:val="none"/>
        </w:rPr>
      </w:pPr>
      <w:r w:rsidRPr="6EB5439C">
        <w:rPr>
          <w:rFonts w:ascii="Times New Roman Bold" w:hAnsi="Times New Roman Bold"/>
          <w:kern w:val="0"/>
          <w:u w:val="none"/>
        </w:rPr>
        <w:t>DIRECT TESTIMONY OF</w:t>
      </w:r>
      <w:r w:rsidR="00ED792C">
        <w:rPr>
          <w:rFonts w:ascii="Times New Roman Bold" w:hAnsi="Times New Roman Bold"/>
          <w:kern w:val="0"/>
          <w:szCs w:val="24"/>
          <w:u w:val="none"/>
        </w:rPr>
        <w:br/>
      </w:r>
      <w:r w:rsidR="00D20F42" w:rsidRPr="6EB5439C">
        <w:rPr>
          <w:rFonts w:ascii="Times New Roman Bold" w:hAnsi="Times New Roman Bold"/>
          <w:kern w:val="0"/>
          <w:u w:val="none"/>
        </w:rPr>
        <w:t xml:space="preserve">AARON P. ABRAMOVITZ, JEREMIAH </w:t>
      </w:r>
      <w:r w:rsidR="00EB3E1B" w:rsidRPr="6EB5439C">
        <w:rPr>
          <w:rFonts w:ascii="Times New Roman Bold" w:hAnsi="Times New Roman Bold"/>
          <w:kern w:val="0"/>
          <w:u w:val="none"/>
        </w:rPr>
        <w:t xml:space="preserve">C. </w:t>
      </w:r>
      <w:r w:rsidR="00D20F42" w:rsidRPr="6EB5439C">
        <w:rPr>
          <w:rFonts w:ascii="Times New Roman Bold" w:hAnsi="Times New Roman Bold"/>
          <w:kern w:val="0"/>
          <w:u w:val="none"/>
        </w:rPr>
        <w:t xml:space="preserve">HASWELL, AND </w:t>
      </w:r>
      <w:r w:rsidR="001C4054" w:rsidRPr="6EB5439C">
        <w:rPr>
          <w:rFonts w:ascii="Times New Roman Bold" w:hAnsi="Times New Roman Bold"/>
          <w:kern w:val="0"/>
          <w:u w:val="none"/>
        </w:rPr>
        <w:t>John B. Williams</w:t>
      </w:r>
    </w:p>
    <w:p w14:paraId="2B2F1C97" w14:textId="47F02D15" w:rsidR="000C79FD" w:rsidRPr="00D20F42" w:rsidRDefault="003A2A4F" w:rsidP="00EB3E1B">
      <w:pPr>
        <w:pStyle w:val="Title"/>
        <w:spacing w:before="0" w:after="0" w:line="360" w:lineRule="auto"/>
        <w:contextualSpacing/>
        <w:rPr>
          <w:rFonts w:ascii="Times New Roman Bold" w:hAnsi="Times New Roman Bold"/>
          <w:kern w:val="0"/>
          <w:szCs w:val="24"/>
          <w:u w:val="none"/>
        </w:rPr>
      </w:pPr>
      <w:r w:rsidRPr="00D20F42">
        <w:rPr>
          <w:rFonts w:ascii="Times New Roman Bold" w:hAnsi="Times New Roman Bold"/>
          <w:kern w:val="0"/>
          <w:szCs w:val="24"/>
          <w:u w:val="none"/>
        </w:rPr>
        <w:t>IN SUPPORT OF GEORGIA POWER COMPANY</w:t>
      </w:r>
      <w:r w:rsidR="001B126C">
        <w:rPr>
          <w:rFonts w:ascii="Times New Roman Bold" w:hAnsi="Times New Roman Bold"/>
          <w:kern w:val="0"/>
          <w:szCs w:val="24"/>
          <w:u w:val="none"/>
        </w:rPr>
        <w:t>’</w:t>
      </w:r>
      <w:r w:rsidRPr="00D20F42">
        <w:rPr>
          <w:rFonts w:ascii="Times New Roman Bold" w:hAnsi="Times New Roman Bold"/>
          <w:kern w:val="0"/>
          <w:szCs w:val="24"/>
          <w:u w:val="none"/>
        </w:rPr>
        <w:t>S</w:t>
      </w:r>
    </w:p>
    <w:p w14:paraId="1CFA7ED0" w14:textId="00D22272" w:rsidR="00D20F42" w:rsidRDefault="00D20F42" w:rsidP="00EB3E1B">
      <w:pPr>
        <w:pStyle w:val="Title"/>
        <w:spacing w:after="240" w:line="360" w:lineRule="auto"/>
        <w:contextualSpacing/>
        <w:rPr>
          <w:u w:val="none"/>
        </w:rPr>
      </w:pPr>
      <w:r w:rsidRPr="00D20F42">
        <w:rPr>
          <w:rFonts w:ascii="Times New Roman Bold" w:hAnsi="Times New Roman Bold"/>
          <w:kern w:val="0"/>
          <w:szCs w:val="24"/>
          <w:u w:val="none"/>
        </w:rPr>
        <w:t>APPLICATION TO ADJUST RATES</w:t>
      </w:r>
      <w:r>
        <w:rPr>
          <w:rFonts w:ascii="Times New Roman Bold" w:hAnsi="Times New Roman Bold"/>
          <w:kern w:val="0"/>
          <w:szCs w:val="24"/>
          <w:u w:val="none"/>
        </w:rPr>
        <w:t xml:space="preserve"> </w:t>
      </w:r>
      <w:r w:rsidRPr="00D20F42">
        <w:rPr>
          <w:rFonts w:ascii="Times New Roman Bold" w:hAnsi="Times New Roman Bold"/>
          <w:kern w:val="0"/>
          <w:szCs w:val="24"/>
          <w:u w:val="none"/>
        </w:rPr>
        <w:t xml:space="preserve">TO INCLUDE REASONABLE AND PRUDENT </w:t>
      </w:r>
      <w:r w:rsidR="00F90CAD">
        <w:rPr>
          <w:rFonts w:ascii="Times New Roman Bold" w:hAnsi="Times New Roman Bold"/>
          <w:kern w:val="0"/>
          <w:szCs w:val="24"/>
          <w:u w:val="none"/>
        </w:rPr>
        <w:t xml:space="preserve">PLANT </w:t>
      </w:r>
      <w:r w:rsidRPr="00D20F42">
        <w:rPr>
          <w:rFonts w:ascii="Times New Roman Bold" w:hAnsi="Times New Roman Bold"/>
          <w:kern w:val="0"/>
          <w:szCs w:val="24"/>
          <w:u w:val="none"/>
        </w:rPr>
        <w:t>VOGTLE UNITS 3 AND 4 COSTS</w:t>
      </w:r>
    </w:p>
    <w:p w14:paraId="3C044FB6" w14:textId="77777777" w:rsidR="00703A01" w:rsidRDefault="00703A01" w:rsidP="00EB3E1B">
      <w:pPr>
        <w:pStyle w:val="Title"/>
        <w:spacing w:after="240" w:line="360" w:lineRule="auto"/>
        <w:contextualSpacing/>
        <w:rPr>
          <w:rFonts w:ascii="Times New Roman Bold" w:hAnsi="Times New Roman Bold"/>
          <w:kern w:val="0"/>
          <w:szCs w:val="24"/>
          <w:u w:val="none"/>
        </w:rPr>
      </w:pPr>
    </w:p>
    <w:p w14:paraId="643AAC9C" w14:textId="08183B87" w:rsidR="003A2A4F" w:rsidRPr="00E47B42" w:rsidRDefault="003A2A4F" w:rsidP="00EB3E1B">
      <w:pPr>
        <w:pStyle w:val="Title"/>
        <w:spacing w:after="240" w:line="360" w:lineRule="auto"/>
        <w:contextualSpacing/>
        <w:rPr>
          <w:rFonts w:ascii="Times New Roman Bold" w:hAnsi="Times New Roman Bold"/>
          <w:kern w:val="0"/>
          <w:szCs w:val="24"/>
          <w:u w:val="none"/>
        </w:rPr>
      </w:pPr>
      <w:r>
        <w:rPr>
          <w:rFonts w:ascii="Times New Roman Bold" w:hAnsi="Times New Roman Bold"/>
          <w:kern w:val="0"/>
          <w:szCs w:val="24"/>
          <w:u w:val="none"/>
        </w:rPr>
        <w:t xml:space="preserve">DOCKET NO. </w:t>
      </w:r>
      <w:r w:rsidR="00F90CAD">
        <w:rPr>
          <w:rFonts w:ascii="Times New Roman Bold" w:hAnsi="Times New Roman Bold"/>
          <w:kern w:val="0"/>
          <w:szCs w:val="24"/>
          <w:u w:val="none"/>
        </w:rPr>
        <w:t>29849</w:t>
      </w:r>
    </w:p>
    <w:p w14:paraId="7D462C6C" w14:textId="401C4B3C" w:rsidR="001D174D" w:rsidRPr="0002380A" w:rsidRDefault="001D174D" w:rsidP="00DF0A0E">
      <w:pPr>
        <w:pStyle w:val="OutlineL1"/>
        <w:tabs>
          <w:tab w:val="clear" w:pos="2610"/>
          <w:tab w:val="num" w:pos="720"/>
        </w:tabs>
        <w:spacing w:before="240" w:after="240" w:line="360" w:lineRule="auto"/>
        <w:ind w:left="0"/>
        <w:jc w:val="both"/>
      </w:pPr>
      <w:r>
        <w:t>INTRODUCTION</w:t>
      </w:r>
    </w:p>
    <w:p w14:paraId="327EE865" w14:textId="6A833FA1" w:rsidR="003A2A4F" w:rsidRPr="005507B8" w:rsidRDefault="003A2A4F" w:rsidP="00081C83">
      <w:pPr>
        <w:pStyle w:val="PSCQuestion"/>
        <w:keepNext w:val="0"/>
        <w:keepLines w:val="0"/>
        <w:spacing w:before="240"/>
      </w:pPr>
      <w:r>
        <w:t>Q.</w:t>
      </w:r>
      <w:r>
        <w:tab/>
      </w:r>
      <w:r w:rsidRPr="005507B8">
        <w:t>PLEASE STATE YOUR NAME</w:t>
      </w:r>
      <w:r w:rsidR="004F1F25" w:rsidRPr="005507B8">
        <w:t>s</w:t>
      </w:r>
      <w:r w:rsidRPr="005507B8">
        <w:t>, TITLE</w:t>
      </w:r>
      <w:r w:rsidR="004F1F25" w:rsidRPr="005507B8">
        <w:t>s</w:t>
      </w:r>
      <w:r w:rsidRPr="005507B8">
        <w:t>, AND BUSINESS ADDRESS</w:t>
      </w:r>
      <w:r w:rsidR="004F1F25" w:rsidRPr="005507B8">
        <w:t>es</w:t>
      </w:r>
      <w:r w:rsidRPr="005507B8">
        <w:t>.</w:t>
      </w:r>
    </w:p>
    <w:p w14:paraId="69A9C667" w14:textId="19970E7B" w:rsidR="00D20F42" w:rsidRDefault="00D5743F" w:rsidP="00B37D95">
      <w:pPr>
        <w:pStyle w:val="PSCAnswer"/>
      </w:pPr>
      <w:r w:rsidRPr="00081C83">
        <w:t>A.</w:t>
      </w:r>
      <w:r w:rsidR="003A2A4F" w:rsidRPr="005507B8">
        <w:tab/>
      </w:r>
      <w:r w:rsidR="00D20F42">
        <w:t xml:space="preserve">My name is </w:t>
      </w:r>
      <w:r w:rsidR="00D20F42" w:rsidRPr="00883945">
        <w:t xml:space="preserve">Aaron P. </w:t>
      </w:r>
      <w:bookmarkStart w:id="0" w:name="_Hlk80891632"/>
      <w:r w:rsidR="00D20F42" w:rsidRPr="00883945">
        <w:t>Abramovitz</w:t>
      </w:r>
      <w:bookmarkEnd w:id="0"/>
      <w:r w:rsidR="00D20F42" w:rsidRPr="00883945">
        <w:t>. I am the Executive Vice President, Chief Financial Officer, and Treasurer for Georgia Power</w:t>
      </w:r>
      <w:r w:rsidR="00D20F42">
        <w:t xml:space="preserve"> Company (“Georgia Power” or the “Company”)</w:t>
      </w:r>
      <w:r w:rsidR="00D20F42" w:rsidRPr="00883945">
        <w:t>. My business address is 241 Ralph McGill Boulevard N.E., Atlanta, Georgia 30308.</w:t>
      </w:r>
    </w:p>
    <w:p w14:paraId="7FEE3AA5" w14:textId="05879291" w:rsidR="00D20F42" w:rsidRDefault="00E47924" w:rsidP="00B37D95">
      <w:pPr>
        <w:pStyle w:val="PSCAnswer"/>
      </w:pPr>
      <w:r>
        <w:tab/>
      </w:r>
      <w:r w:rsidR="00D20F42" w:rsidRPr="006800B2">
        <w:t>My name is Jeremiah C. Haswell. I am the Project Oversight Director at Georgia Power. My business address is 241 Ralph McGill Boulevard, N.E., Atlanta, Georgia 30308.</w:t>
      </w:r>
      <w:r w:rsidR="00D20F42">
        <w:t xml:space="preserve"> </w:t>
      </w:r>
    </w:p>
    <w:p w14:paraId="0F255F1F" w14:textId="381ACECC" w:rsidR="005128DC" w:rsidRDefault="00E47924" w:rsidP="00B37D95">
      <w:pPr>
        <w:pStyle w:val="PSCAnswer"/>
      </w:pPr>
      <w:r>
        <w:tab/>
      </w:r>
      <w:r w:rsidR="004F1F25" w:rsidRPr="0016137E">
        <w:t xml:space="preserve">My name is </w:t>
      </w:r>
      <w:r w:rsidR="004F1F25" w:rsidRPr="00503CA5">
        <w:t xml:space="preserve">John B. Williams. I am the </w:t>
      </w:r>
      <w:r w:rsidR="00C5072B" w:rsidRPr="00503CA5">
        <w:t xml:space="preserve">Southern Nuclear Operating Company </w:t>
      </w:r>
      <w:r w:rsidR="00F90CAD">
        <w:t>(“Southern Nuclear”)</w:t>
      </w:r>
      <w:r w:rsidR="00C5072B" w:rsidRPr="00503CA5">
        <w:t xml:space="preserve"> </w:t>
      </w:r>
      <w:r w:rsidR="004F1F25" w:rsidRPr="00BD5D7A">
        <w:t>Vice President of Business Operations</w:t>
      </w:r>
      <w:r w:rsidR="004F1F25" w:rsidRPr="0016137E">
        <w:t xml:space="preserve"> for Plant Vogtle Units 3 and 4 (the “Project”). My business address is 7825 River Road, Waynesboro, Georgia 30830.</w:t>
      </w:r>
    </w:p>
    <w:p w14:paraId="44FB40CF" w14:textId="39A5E105" w:rsidR="00703A01" w:rsidRPr="00703A01" w:rsidRDefault="00893E0E" w:rsidP="00081C83">
      <w:pPr>
        <w:spacing w:before="240" w:after="240" w:line="360" w:lineRule="auto"/>
        <w:ind w:left="720" w:hanging="720"/>
        <w:jc w:val="both"/>
        <w:rPr>
          <w:b/>
          <w:bCs/>
        </w:rPr>
      </w:pPr>
      <w:r w:rsidRPr="00703A01">
        <w:rPr>
          <w:b/>
          <w:bCs/>
        </w:rPr>
        <w:t xml:space="preserve">Q. </w:t>
      </w:r>
      <w:r w:rsidRPr="00703A01">
        <w:rPr>
          <w:b/>
          <w:bCs/>
        </w:rPr>
        <w:tab/>
      </w:r>
      <w:r w:rsidR="00703A01" w:rsidRPr="00703A01">
        <w:rPr>
          <w:rFonts w:ascii="Times New Roman Bold" w:hAnsi="Times New Roman Bold"/>
          <w:b/>
          <w:bCs/>
          <w:caps/>
        </w:rPr>
        <w:t>Mr. Abramovitz, please summarize your education and professional experience.</w:t>
      </w:r>
    </w:p>
    <w:p w14:paraId="75F23151" w14:textId="4680CF5D" w:rsidR="00703A01" w:rsidRPr="00697AEE" w:rsidRDefault="00703A01" w:rsidP="00081C83">
      <w:pPr>
        <w:spacing w:before="240" w:after="240" w:line="360" w:lineRule="auto"/>
        <w:ind w:left="720" w:hanging="720"/>
        <w:jc w:val="both"/>
      </w:pPr>
      <w:r w:rsidRPr="00081C83">
        <w:t>A.</w:t>
      </w:r>
      <w:r>
        <w:tab/>
        <w:t xml:space="preserve">I graduated from the University of Georgia with a Bachelor of Business Administration in Finance and Management Information Systems. I joined Southern Company as a contractor in the Financial Strategy and Decision Support organization. This was followed by a series of Financial </w:t>
      </w:r>
      <w:r w:rsidR="00E9752F">
        <w:t>Analyst</w:t>
      </w:r>
      <w:r>
        <w:t xml:space="preserve"> roles in various disciplines that included Financial Planning, Financial Analysis, and Regulatory Support. From there I transitioned to Georgia Power to serve as the Coordinator for Forestry and Right of Way services. In 2008, I was assigned to the </w:t>
      </w:r>
      <w:r>
        <w:lastRenderedPageBreak/>
        <w:t>Kemper Project in Mississippi, where I served in financial leadership roles of increasing responsibility, eventually serving as the Project</w:t>
      </w:r>
      <w:r w:rsidR="001B126C">
        <w:t>’</w:t>
      </w:r>
      <w:r>
        <w:t>s Finance Director, where I was responsible for governance, reporting, regulatory support, and communications to Executives and the Board of Directors. In 2015, I returned to Atlanta to serve as the Director of Investor Relations for Southern Company, where I was responsible for Southern Company</w:t>
      </w:r>
      <w:r w:rsidR="001B126C">
        <w:t>’</w:t>
      </w:r>
      <w:r>
        <w:t xml:space="preserve">s communications and relationships with the investment community. In 2018, I was named the Southern Nuclear Vogtle </w:t>
      </w:r>
      <w:r w:rsidR="00897C7A">
        <w:t>Units</w:t>
      </w:r>
      <w:r>
        <w:t xml:space="preserve"> 3 and 4 Vice President of Business Operations. In this role, I had responsibility for Southern Nuclear</w:t>
      </w:r>
      <w:r w:rsidR="001B126C">
        <w:t>’</w:t>
      </w:r>
      <w:r>
        <w:t>s Project Controls, Risk Management, Budgeting and Reporting, and Commercial Analysis &amp; Controls. I moved to my current role as Executive Vice President, Chief Financial Officer, and Treasurer for Georgia Power in September 2021. I now oversee all accounting and finance functions for the Company including financial reporting, regulatory accounting, financial planning, analysis, and enterprise risk management.</w:t>
      </w:r>
    </w:p>
    <w:p w14:paraId="675AF4BF" w14:textId="77777777" w:rsidR="00703A01" w:rsidRPr="0047757F" w:rsidRDefault="00703A01" w:rsidP="00081C83">
      <w:pPr>
        <w:pStyle w:val="NormalWeb"/>
        <w:spacing w:before="240" w:beforeAutospacing="0" w:after="240" w:afterAutospacing="0" w:line="360" w:lineRule="auto"/>
        <w:ind w:left="720" w:hanging="720"/>
        <w:jc w:val="both"/>
        <w:rPr>
          <w:b/>
        </w:rPr>
      </w:pPr>
      <w:r w:rsidRPr="0047757F">
        <w:rPr>
          <w:b/>
        </w:rPr>
        <w:t>Q.</w:t>
      </w:r>
      <w:r w:rsidRPr="0047757F">
        <w:rPr>
          <w:b/>
        </w:rPr>
        <w:tab/>
      </w:r>
      <w:r w:rsidRPr="008F344C">
        <w:rPr>
          <w:rFonts w:ascii="Times New Roman Bold" w:hAnsi="Times New Roman Bold"/>
          <w:b/>
          <w:caps/>
        </w:rPr>
        <w:t>Mr. Abramovitz, have you previously testified before the Georgia Public Service Commission (“Commission”)?</w:t>
      </w:r>
    </w:p>
    <w:p w14:paraId="276C3B33" w14:textId="755F6674" w:rsidR="00703A01" w:rsidRDefault="00703A01" w:rsidP="00081C83">
      <w:pPr>
        <w:pStyle w:val="NormalWeb"/>
        <w:spacing w:before="240" w:beforeAutospacing="0" w:after="240" w:afterAutospacing="0" w:line="360" w:lineRule="auto"/>
        <w:ind w:left="720" w:hanging="720"/>
        <w:jc w:val="both"/>
      </w:pPr>
      <w:r w:rsidRPr="00697AEE">
        <w:t>A.</w:t>
      </w:r>
      <w:r w:rsidRPr="00697AEE">
        <w:tab/>
        <w:t xml:space="preserve">Yes. I testified in the Vogtle Construction Monitoring </w:t>
      </w:r>
      <w:r w:rsidR="0086501A">
        <w:t xml:space="preserve">(“VCM”) </w:t>
      </w:r>
      <w:r w:rsidRPr="00697AEE">
        <w:t xml:space="preserve">proceeding, Docket No. 29849, regarding the Nineteenth, Twentieth/Twenty-first, Twenty-second, Twenty-third, and Twenty-fourth Semi-annual </w:t>
      </w:r>
      <w:r w:rsidR="007B4294">
        <w:t xml:space="preserve">VCM </w:t>
      </w:r>
      <w:r w:rsidRPr="00697AEE">
        <w:t>Reports</w:t>
      </w:r>
      <w:r w:rsidR="0086501A">
        <w:t xml:space="preserve">; </w:t>
      </w:r>
      <w:r w:rsidRPr="00697AEE">
        <w:t>the Plant Vogtle Unit 3 and Common Rate Adjustment proceeding in Docket No. 43838</w:t>
      </w:r>
      <w:r>
        <w:t xml:space="preserve"> (“Unit 3 Rate Adjustment”)</w:t>
      </w:r>
      <w:r w:rsidR="0086501A">
        <w:t>; and</w:t>
      </w:r>
      <w:r>
        <w:t xml:space="preserve"> the Company</w:t>
      </w:r>
      <w:r w:rsidR="001B126C">
        <w:t>’</w:t>
      </w:r>
      <w:r>
        <w:t>s 2022 base rate case proceeding</w:t>
      </w:r>
      <w:r w:rsidR="0086501A">
        <w:t xml:space="preserve"> in</w:t>
      </w:r>
      <w:r>
        <w:t xml:space="preserve"> Docket No. 44280</w:t>
      </w:r>
      <w:r w:rsidR="007B4294">
        <w:t xml:space="preserve"> (“2022 Rate Case”)</w:t>
      </w:r>
      <w:r>
        <w:t>.</w:t>
      </w:r>
    </w:p>
    <w:p w14:paraId="2165F992" w14:textId="48FD760A" w:rsidR="00893E0E" w:rsidRPr="00E031FD" w:rsidRDefault="00703A01" w:rsidP="00081C83">
      <w:pPr>
        <w:pStyle w:val="PSCQuestion"/>
        <w:keepNext w:val="0"/>
        <w:keepLines w:val="0"/>
        <w:spacing w:before="240"/>
      </w:pPr>
      <w:r>
        <w:t xml:space="preserve">Q. </w:t>
      </w:r>
      <w:r>
        <w:tab/>
      </w:r>
      <w:r w:rsidR="00893E0E" w:rsidRPr="00E031FD">
        <w:t>Mr. Haswell, please summarize your education and professional experience.</w:t>
      </w:r>
    </w:p>
    <w:p w14:paraId="602428E8" w14:textId="245CA636" w:rsidR="00893E0E" w:rsidRDefault="00893E0E" w:rsidP="00B37D95">
      <w:pPr>
        <w:pStyle w:val="PSCAnswer"/>
      </w:pPr>
      <w:r w:rsidRPr="00081C83">
        <w:rPr>
          <w:rFonts w:eastAsia="Times New Roman"/>
          <w:caps/>
        </w:rPr>
        <w:t>A.</w:t>
      </w:r>
      <w:r w:rsidRPr="00E031FD">
        <w:tab/>
      </w:r>
      <w:r w:rsidRPr="006800B2">
        <w:t xml:space="preserve">I graduated from the University of Alabama at Birmingham with a Bachelor of Science degree in Mechanical Engineering and a Master of Science degree in Civil Engineering (Construction Management focus). I completed a Master of Business Administration at Augusta University and am a licensed Professional Engineer. I joined Southern Company </w:t>
      </w:r>
      <w:r w:rsidRPr="006800B2">
        <w:lastRenderedPageBreak/>
        <w:t>as an Engineer in Southern Company Services Research and Technology Management focusing on new technology deployment in the existing operating fleet. I held multiple Team Leader roles in the areas of Maintenance, Engineering, and Compliance at Alabama Power Company</w:t>
      </w:r>
      <w:r w:rsidR="001B126C">
        <w:t>’</w:t>
      </w:r>
      <w:r w:rsidRPr="006800B2">
        <w:t xml:space="preserve">s Plant Gorgas. In 2012, I moved to Plant Vogtle Units 3 and 4 in the Construction Compliance organization and later </w:t>
      </w:r>
      <w:r>
        <w:t xml:space="preserve">to </w:t>
      </w:r>
      <w:r w:rsidRPr="006800B2">
        <w:t>the role of Construction Compliance Supervisor for the Turbine Island and Balance of Plant. I am currently the Project Oversight Director with responsibility for regulatory filings for the Project, compliance with Georgia Power</w:t>
      </w:r>
      <w:r w:rsidR="001B126C">
        <w:t>’</w:t>
      </w:r>
      <w:r w:rsidRPr="006800B2">
        <w:t>s loan guarantee with the D</w:t>
      </w:r>
      <w:r w:rsidR="007B4294">
        <w:t>epartment of Energy (“DOE”)</w:t>
      </w:r>
      <w:r w:rsidRPr="006800B2">
        <w:t>, Project oversight, risk management, and lead interface with the</w:t>
      </w:r>
      <w:r>
        <w:t xml:space="preserve"> </w:t>
      </w:r>
      <w:r w:rsidRPr="006800B2">
        <w:t xml:space="preserve">Commission </w:t>
      </w:r>
      <w:r w:rsidR="007B4294">
        <w:t xml:space="preserve">Public Interest Advocacy </w:t>
      </w:r>
      <w:r w:rsidRPr="006800B2">
        <w:t>Staff</w:t>
      </w:r>
      <w:r w:rsidR="007B4294">
        <w:t xml:space="preserve"> (“</w:t>
      </w:r>
      <w:r w:rsidR="006C5EEE">
        <w:t xml:space="preserve">PIA </w:t>
      </w:r>
      <w:r w:rsidR="007B4294">
        <w:t>Staff”)</w:t>
      </w:r>
      <w:r w:rsidRPr="006800B2">
        <w:t>, Construction Monitor, and the other Project Owners (Oglethorpe Power Corporation, the Municipal Electric Authority of Georgia, and Dalton Utilities, through the Board of Water, Light and Sinking Fund Commissioners of the City of Dalton) (collectively, the “</w:t>
      </w:r>
      <w:r w:rsidR="007B4294">
        <w:t>Co-</w:t>
      </w:r>
      <w:r w:rsidRPr="006800B2">
        <w:t>Owners”).</w:t>
      </w:r>
    </w:p>
    <w:p w14:paraId="6642486F" w14:textId="77777777" w:rsidR="00893E0E" w:rsidRPr="00E031FD" w:rsidRDefault="00893E0E" w:rsidP="00081C83">
      <w:pPr>
        <w:pStyle w:val="PSCQuestion"/>
        <w:keepNext w:val="0"/>
        <w:keepLines w:val="0"/>
        <w:spacing w:before="240"/>
      </w:pPr>
      <w:r w:rsidRPr="00E031FD">
        <w:t>Q.</w:t>
      </w:r>
      <w:r w:rsidRPr="00E031FD">
        <w:tab/>
        <w:t>Mr. Haswell, have you previously testified before the commission?</w:t>
      </w:r>
    </w:p>
    <w:p w14:paraId="69F5513E" w14:textId="2A1BD025" w:rsidR="00893E0E" w:rsidRDefault="00893E0E" w:rsidP="00B37D95">
      <w:pPr>
        <w:pStyle w:val="PSCAnswer"/>
      </w:pPr>
      <w:r w:rsidRPr="00081C83">
        <w:rPr>
          <w:rFonts w:eastAsia="Times New Roman"/>
        </w:rPr>
        <w:t>A.</w:t>
      </w:r>
      <w:r w:rsidRPr="00E031FD">
        <w:tab/>
      </w:r>
      <w:r w:rsidRPr="006800B2">
        <w:t xml:space="preserve">Yes. I testified in </w:t>
      </w:r>
      <w:r w:rsidR="004C2B68">
        <w:t>Docket No. 29849</w:t>
      </w:r>
      <w:r w:rsidRPr="006800B2">
        <w:t xml:space="preserve"> regarding the Thirteenth, Fourteenth, Fifteenth, Seventeenth, Eighteenth, Nineteenth, Twentieth/Twenty-first, Twenty-second</w:t>
      </w:r>
      <w:r>
        <w:t>, Twenty-third, Twenty-fourth, Twenty-fifth, Twenty-sixth, Twenty-seventh, and Twenty-eighth</w:t>
      </w:r>
      <w:r w:rsidRPr="006800B2">
        <w:t xml:space="preserve"> Semi-annual </w:t>
      </w:r>
      <w:r>
        <w:t xml:space="preserve">VCM </w:t>
      </w:r>
      <w:r w:rsidRPr="006800B2">
        <w:t>Reports.</w:t>
      </w:r>
    </w:p>
    <w:p w14:paraId="760EB11A" w14:textId="61DB249A" w:rsidR="004F1F25" w:rsidRDefault="004F1F25" w:rsidP="00081C83">
      <w:pPr>
        <w:pStyle w:val="PSCQuestion"/>
        <w:keepNext w:val="0"/>
        <w:keepLines w:val="0"/>
        <w:spacing w:before="240"/>
      </w:pPr>
      <w:r>
        <w:t>Q.</w:t>
      </w:r>
      <w:r>
        <w:tab/>
        <w:t>Mr. Williams, please summarize your education and professional experience.</w:t>
      </w:r>
    </w:p>
    <w:p w14:paraId="7FE32672" w14:textId="78D68A9D" w:rsidR="004F1F25" w:rsidRPr="0016137E" w:rsidRDefault="004F1F25" w:rsidP="00081C83">
      <w:pPr>
        <w:pStyle w:val="PSCQuestion"/>
        <w:keepNext w:val="0"/>
        <w:keepLines w:val="0"/>
        <w:spacing w:before="240"/>
        <w:rPr>
          <w:rFonts w:ascii="Times New Roman" w:hAnsi="Times New Roman"/>
          <w:b w:val="0"/>
          <w:caps w:val="0"/>
        </w:rPr>
      </w:pPr>
      <w:r w:rsidRPr="00081C83">
        <w:rPr>
          <w:rFonts w:ascii="Times New Roman" w:eastAsia="Times New Roman" w:hAnsi="Times New Roman"/>
          <w:b w:val="0"/>
          <w:bCs/>
          <w:caps w:val="0"/>
        </w:rPr>
        <w:t>A.</w:t>
      </w:r>
      <w:r>
        <w:tab/>
      </w:r>
      <w:r w:rsidR="00695C50" w:rsidRPr="0016137E">
        <w:rPr>
          <w:rFonts w:ascii="Times New Roman" w:hAnsi="Times New Roman"/>
          <w:b w:val="0"/>
          <w:caps w:val="0"/>
        </w:rPr>
        <w:t>I graduated from the Georgia Institute of Technology with a bachelor</w:t>
      </w:r>
      <w:r w:rsidR="001B126C">
        <w:rPr>
          <w:rFonts w:ascii="Times New Roman" w:hAnsi="Times New Roman"/>
          <w:b w:val="0"/>
          <w:caps w:val="0"/>
        </w:rPr>
        <w:t>’</w:t>
      </w:r>
      <w:r w:rsidR="00695C50" w:rsidRPr="0016137E">
        <w:rPr>
          <w:rFonts w:ascii="Times New Roman" w:hAnsi="Times New Roman"/>
          <w:b w:val="0"/>
          <w:caps w:val="0"/>
        </w:rPr>
        <w:t>s degree in nuclear and radiological engineering.</w:t>
      </w:r>
      <w:r w:rsidR="005518D2" w:rsidRPr="0016137E">
        <w:rPr>
          <w:rFonts w:ascii="Times New Roman" w:hAnsi="Times New Roman"/>
          <w:b w:val="0"/>
          <w:caps w:val="0"/>
        </w:rPr>
        <w:t xml:space="preserve"> </w:t>
      </w:r>
      <w:r w:rsidR="00695C50" w:rsidRPr="0016137E">
        <w:rPr>
          <w:rFonts w:ascii="Times New Roman" w:hAnsi="Times New Roman"/>
          <w:b w:val="0"/>
          <w:caps w:val="0"/>
        </w:rPr>
        <w:t xml:space="preserve">I am currently the Vice President of Business Operations for Southern Nuclear Plant Vogtle </w:t>
      </w:r>
      <w:r w:rsidR="00897C7A">
        <w:rPr>
          <w:rFonts w:ascii="Times New Roman" w:hAnsi="Times New Roman"/>
          <w:b w:val="0"/>
          <w:caps w:val="0"/>
        </w:rPr>
        <w:t xml:space="preserve">Units </w:t>
      </w:r>
      <w:r w:rsidR="00695C50" w:rsidRPr="0016137E">
        <w:rPr>
          <w:rFonts w:ascii="Times New Roman" w:hAnsi="Times New Roman"/>
          <w:b w:val="0"/>
          <w:caps w:val="0"/>
        </w:rPr>
        <w:t>3</w:t>
      </w:r>
      <w:r w:rsidR="00467331">
        <w:rPr>
          <w:rFonts w:ascii="Times New Roman" w:hAnsi="Times New Roman"/>
          <w:b w:val="0"/>
          <w:caps w:val="0"/>
        </w:rPr>
        <w:t xml:space="preserve"> and</w:t>
      </w:r>
      <w:r w:rsidR="00CE1120">
        <w:rPr>
          <w:rFonts w:ascii="Times New Roman" w:hAnsi="Times New Roman"/>
          <w:b w:val="0"/>
          <w:caps w:val="0"/>
        </w:rPr>
        <w:t xml:space="preserve"> </w:t>
      </w:r>
      <w:r w:rsidR="00695C50" w:rsidRPr="0016137E">
        <w:rPr>
          <w:rFonts w:ascii="Times New Roman" w:hAnsi="Times New Roman"/>
          <w:b w:val="0"/>
          <w:caps w:val="0"/>
        </w:rPr>
        <w:t xml:space="preserve">4. I joined Southern Nuclear in 2005 and have more than 20 years of engineering and nuclear fuel experience and have served in several leadership positions throughout the Southern Nuclear organization, including Plant Hatch </w:t>
      </w:r>
      <w:r w:rsidR="00695C50" w:rsidRPr="0016137E">
        <w:rPr>
          <w:rFonts w:ascii="Times New Roman" w:hAnsi="Times New Roman"/>
          <w:b w:val="0"/>
          <w:caps w:val="0"/>
        </w:rPr>
        <w:lastRenderedPageBreak/>
        <w:t>Engineering Director, Nuclear Fuels and Analysis Director</w:t>
      </w:r>
      <w:r w:rsidR="008D2326" w:rsidRPr="0016137E">
        <w:rPr>
          <w:rFonts w:ascii="Times New Roman" w:hAnsi="Times New Roman"/>
          <w:b w:val="0"/>
          <w:caps w:val="0"/>
        </w:rPr>
        <w:t>,</w:t>
      </w:r>
      <w:r w:rsidR="00695C50" w:rsidRPr="0016137E">
        <w:rPr>
          <w:rFonts w:ascii="Times New Roman" w:hAnsi="Times New Roman"/>
          <w:b w:val="0"/>
          <w:caps w:val="0"/>
        </w:rPr>
        <w:t xml:space="preserve"> and Interim Engineering Vice President.</w:t>
      </w:r>
      <w:r w:rsidR="005518D2" w:rsidRPr="0016137E">
        <w:rPr>
          <w:rFonts w:ascii="Times New Roman" w:hAnsi="Times New Roman"/>
          <w:b w:val="0"/>
          <w:caps w:val="0"/>
        </w:rPr>
        <w:t xml:space="preserve"> </w:t>
      </w:r>
    </w:p>
    <w:p w14:paraId="786785E6" w14:textId="468CDC90" w:rsidR="00695C50" w:rsidRPr="0016137E" w:rsidRDefault="00695C50" w:rsidP="5A9046DD">
      <w:pPr>
        <w:pStyle w:val="PSCQuestion"/>
        <w:keepNext w:val="0"/>
        <w:keepLines w:val="0"/>
        <w:spacing w:before="240"/>
        <w:ind w:firstLine="0"/>
      </w:pPr>
      <w:r w:rsidRPr="0016137E">
        <w:rPr>
          <w:rFonts w:ascii="Times New Roman" w:hAnsi="Times New Roman"/>
          <w:b w:val="0"/>
          <w:caps w:val="0"/>
        </w:rPr>
        <w:t>I have represented Southern Nuclear on the D</w:t>
      </w:r>
      <w:r w:rsidR="007B4294">
        <w:rPr>
          <w:rFonts w:ascii="Times New Roman" w:hAnsi="Times New Roman"/>
          <w:b w:val="0"/>
          <w:caps w:val="0"/>
        </w:rPr>
        <w:t>OE</w:t>
      </w:r>
      <w:r w:rsidRPr="0016137E">
        <w:rPr>
          <w:rFonts w:ascii="Times New Roman" w:hAnsi="Times New Roman"/>
          <w:b w:val="0"/>
          <w:caps w:val="0"/>
        </w:rPr>
        <w:t xml:space="preserve"> Industry Advisor</w:t>
      </w:r>
      <w:r w:rsidR="00EA0D61" w:rsidRPr="0016137E">
        <w:rPr>
          <w:rFonts w:ascii="Times New Roman" w:hAnsi="Times New Roman"/>
          <w:b w:val="0"/>
          <w:caps w:val="0"/>
        </w:rPr>
        <w:t>y</w:t>
      </w:r>
      <w:r w:rsidRPr="0016137E">
        <w:rPr>
          <w:rFonts w:ascii="Times New Roman" w:hAnsi="Times New Roman"/>
          <w:b w:val="0"/>
          <w:caps w:val="0"/>
        </w:rPr>
        <w:t xml:space="preserve"> Boards for the Advance</w:t>
      </w:r>
      <w:r w:rsidR="000A0382">
        <w:rPr>
          <w:rFonts w:ascii="Times New Roman" w:hAnsi="Times New Roman"/>
          <w:b w:val="0"/>
          <w:caps w:val="0"/>
        </w:rPr>
        <w:t>d</w:t>
      </w:r>
      <w:r w:rsidRPr="0016137E">
        <w:rPr>
          <w:rFonts w:ascii="Times New Roman" w:hAnsi="Times New Roman"/>
          <w:b w:val="0"/>
          <w:caps w:val="0"/>
        </w:rPr>
        <w:t xml:space="preserve"> Fuels Campaign and the Nuclear Energy Advance</w:t>
      </w:r>
      <w:r w:rsidR="00713683">
        <w:rPr>
          <w:rFonts w:ascii="Times New Roman" w:hAnsi="Times New Roman"/>
          <w:b w:val="0"/>
          <w:caps w:val="0"/>
        </w:rPr>
        <w:t>d</w:t>
      </w:r>
      <w:r w:rsidRPr="0016137E">
        <w:rPr>
          <w:rFonts w:ascii="Times New Roman" w:hAnsi="Times New Roman"/>
          <w:b w:val="0"/>
          <w:caps w:val="0"/>
        </w:rPr>
        <w:t xml:space="preserve"> Modeling and Simulation program.</w:t>
      </w:r>
      <w:r w:rsidR="005518D2" w:rsidRPr="0016137E">
        <w:rPr>
          <w:rFonts w:ascii="Times New Roman" w:hAnsi="Times New Roman"/>
          <w:b w:val="0"/>
          <w:caps w:val="0"/>
        </w:rPr>
        <w:t xml:space="preserve"> </w:t>
      </w:r>
      <w:r w:rsidRPr="0016137E">
        <w:rPr>
          <w:rFonts w:ascii="Times New Roman" w:hAnsi="Times New Roman"/>
          <w:b w:val="0"/>
          <w:caps w:val="0"/>
        </w:rPr>
        <w:t xml:space="preserve">I have also served as the utility lead for the </w:t>
      </w:r>
      <w:r w:rsidR="00443733">
        <w:rPr>
          <w:rFonts w:ascii="Times New Roman" w:hAnsi="Times New Roman"/>
          <w:b w:val="0"/>
          <w:caps w:val="0"/>
        </w:rPr>
        <w:t>Nuclear Energy Institute</w:t>
      </w:r>
      <w:r w:rsidR="001B126C">
        <w:rPr>
          <w:rFonts w:ascii="Times New Roman" w:hAnsi="Times New Roman"/>
          <w:b w:val="0"/>
          <w:caps w:val="0"/>
        </w:rPr>
        <w:t>’</w:t>
      </w:r>
      <w:r w:rsidR="00443733">
        <w:rPr>
          <w:rFonts w:ascii="Times New Roman" w:hAnsi="Times New Roman"/>
          <w:b w:val="0"/>
          <w:caps w:val="0"/>
        </w:rPr>
        <w:t xml:space="preserve">s </w:t>
      </w:r>
      <w:r w:rsidR="00DA07F3">
        <w:rPr>
          <w:rFonts w:ascii="Times New Roman" w:hAnsi="Times New Roman"/>
          <w:b w:val="0"/>
          <w:caps w:val="0"/>
        </w:rPr>
        <w:t>(“</w:t>
      </w:r>
      <w:r w:rsidR="00467331">
        <w:rPr>
          <w:rFonts w:ascii="Times New Roman" w:hAnsi="Times New Roman"/>
          <w:b w:val="0"/>
          <w:caps w:val="0"/>
        </w:rPr>
        <w:t>NEI</w:t>
      </w:r>
      <w:r w:rsidR="00DA07F3">
        <w:rPr>
          <w:rFonts w:ascii="Times New Roman" w:hAnsi="Times New Roman"/>
          <w:b w:val="0"/>
          <w:caps w:val="0"/>
        </w:rPr>
        <w:t>”)</w:t>
      </w:r>
      <w:r w:rsidRPr="0016137E">
        <w:rPr>
          <w:rFonts w:ascii="Times New Roman" w:hAnsi="Times New Roman"/>
          <w:b w:val="0"/>
          <w:caps w:val="0"/>
        </w:rPr>
        <w:t xml:space="preserve"> Accident Tolerant Fuel Working Group</w:t>
      </w:r>
      <w:r w:rsidR="001B126C">
        <w:rPr>
          <w:rFonts w:ascii="Times New Roman" w:hAnsi="Times New Roman"/>
          <w:b w:val="0"/>
          <w:caps w:val="0"/>
        </w:rPr>
        <w:t>’</w:t>
      </w:r>
      <w:r w:rsidRPr="0016137E">
        <w:rPr>
          <w:rFonts w:ascii="Times New Roman" w:hAnsi="Times New Roman"/>
          <w:b w:val="0"/>
          <w:caps w:val="0"/>
        </w:rPr>
        <w:t xml:space="preserve">s Licensing and Safety Benefits Task Force, leading the team that introduced the first Accident Tolerant Fuel into a commercial reactor at Plant Hatch in </w:t>
      </w:r>
      <w:r w:rsidR="00EA0D61" w:rsidRPr="0016137E">
        <w:rPr>
          <w:rFonts w:ascii="Times New Roman" w:hAnsi="Times New Roman"/>
          <w:b w:val="0"/>
          <w:caps w:val="0"/>
        </w:rPr>
        <w:t xml:space="preserve">2018 </w:t>
      </w:r>
      <w:r w:rsidRPr="0016137E">
        <w:rPr>
          <w:rFonts w:ascii="Times New Roman" w:hAnsi="Times New Roman"/>
          <w:b w:val="0"/>
          <w:caps w:val="0"/>
        </w:rPr>
        <w:t>and Plant Vogtle in 2019.</w:t>
      </w:r>
      <w:r w:rsidR="005518D2" w:rsidRPr="0016137E">
        <w:rPr>
          <w:rFonts w:ascii="Times New Roman" w:hAnsi="Times New Roman"/>
          <w:b w:val="0"/>
          <w:caps w:val="0"/>
        </w:rPr>
        <w:t xml:space="preserve"> </w:t>
      </w:r>
    </w:p>
    <w:p w14:paraId="721A9656" w14:textId="3E189714" w:rsidR="004F1F25" w:rsidRDefault="00124FC2" w:rsidP="00081C83">
      <w:pPr>
        <w:pStyle w:val="PSCQuestion"/>
        <w:spacing w:before="240"/>
        <w:rPr>
          <w:lang w:eastAsia="zh-CN"/>
        </w:rPr>
      </w:pPr>
      <w:r>
        <w:t>Q.</w:t>
      </w:r>
      <w:r>
        <w:tab/>
      </w:r>
      <w:r w:rsidR="004F1F25">
        <w:t>Mr. Williams, have you previously testified before the commission?</w:t>
      </w:r>
    </w:p>
    <w:p w14:paraId="247687B1" w14:textId="0808045F" w:rsidR="005128DC" w:rsidRPr="00CD5BF6" w:rsidRDefault="004F1F25" w:rsidP="00B37D95">
      <w:pPr>
        <w:pStyle w:val="PSCAnswer"/>
      </w:pPr>
      <w:r w:rsidRPr="00081C83">
        <w:rPr>
          <w:rFonts w:eastAsia="Times New Roman"/>
        </w:rPr>
        <w:t>A.</w:t>
      </w:r>
      <w:r>
        <w:tab/>
      </w:r>
      <w:r w:rsidR="005507B8" w:rsidRPr="00CD5BF6">
        <w:t xml:space="preserve">Yes. I testified in </w:t>
      </w:r>
      <w:r w:rsidR="004C2B68">
        <w:t>Docket No. 29849</w:t>
      </w:r>
      <w:r w:rsidR="005507B8" w:rsidRPr="00CD5BF6">
        <w:t xml:space="preserve"> regarding the Twenty-</w:t>
      </w:r>
      <w:r w:rsidR="005507B8">
        <w:t>sixth</w:t>
      </w:r>
      <w:r w:rsidR="00893E0E">
        <w:t xml:space="preserve">, </w:t>
      </w:r>
      <w:r w:rsidR="005128DC">
        <w:t>Twenty-seventh</w:t>
      </w:r>
      <w:r w:rsidR="00893E0E">
        <w:t>, and Twenty-eighth</w:t>
      </w:r>
      <w:r w:rsidR="005507B8" w:rsidRPr="00CD5BF6">
        <w:t xml:space="preserve"> Semi-annual </w:t>
      </w:r>
      <w:r w:rsidR="007B4294">
        <w:t xml:space="preserve">VCM </w:t>
      </w:r>
      <w:r w:rsidR="005507B8" w:rsidRPr="00CD5BF6">
        <w:t>Report</w:t>
      </w:r>
      <w:r w:rsidR="00575A9C">
        <w:t>s</w:t>
      </w:r>
      <w:r w:rsidR="005507B8" w:rsidRPr="00CD5BF6">
        <w:t>.</w:t>
      </w:r>
    </w:p>
    <w:p w14:paraId="32DD961C" w14:textId="62070EFE" w:rsidR="00124FC2" w:rsidRDefault="004F1F25" w:rsidP="00081C83">
      <w:pPr>
        <w:pStyle w:val="PSCQuestion"/>
        <w:keepNext w:val="0"/>
        <w:keepLines w:val="0"/>
        <w:spacing w:before="240"/>
      </w:pPr>
      <w:r>
        <w:t>Q.</w:t>
      </w:r>
      <w:r>
        <w:tab/>
      </w:r>
      <w:r w:rsidR="00124FC2" w:rsidRPr="00124FC2">
        <w:t>What is the purpose of your testimony?</w:t>
      </w:r>
    </w:p>
    <w:p w14:paraId="127DCDD2" w14:textId="7F27CB10" w:rsidR="005128DC" w:rsidRPr="006800B2" w:rsidRDefault="00D5743F" w:rsidP="00B37D95">
      <w:pPr>
        <w:pStyle w:val="PSCAnswer"/>
      </w:pPr>
      <w:r w:rsidRPr="00081C83">
        <w:rPr>
          <w:rFonts w:eastAsia="Times New Roman"/>
        </w:rPr>
        <w:t>A.</w:t>
      </w:r>
      <w:r w:rsidR="00124FC2">
        <w:tab/>
      </w:r>
      <w:r w:rsidR="005128DC" w:rsidRPr="006800B2">
        <w:t xml:space="preserve">The purpose of our testimony is to support the </w:t>
      </w:r>
      <w:r w:rsidR="00703A01">
        <w:t>Company</w:t>
      </w:r>
      <w:r w:rsidR="001B126C">
        <w:t>’</w:t>
      </w:r>
      <w:r w:rsidR="00703A01">
        <w:t xml:space="preserve">s </w:t>
      </w:r>
      <w:r w:rsidR="0007711C">
        <w:t>A</w:t>
      </w:r>
      <w:r w:rsidR="00703A01">
        <w:t xml:space="preserve">pplication to </w:t>
      </w:r>
      <w:r w:rsidR="0007711C">
        <w:t>Adjust Rates to Include</w:t>
      </w:r>
      <w:r w:rsidR="00703A01">
        <w:t xml:space="preserve"> </w:t>
      </w:r>
      <w:r w:rsidR="0007711C">
        <w:t>R</w:t>
      </w:r>
      <w:r w:rsidR="00703A01">
        <w:t xml:space="preserve">easonable and </w:t>
      </w:r>
      <w:r w:rsidR="0007711C">
        <w:t>P</w:t>
      </w:r>
      <w:r w:rsidR="00703A01">
        <w:t xml:space="preserve">rudent Vogtle Units 3 and 4 </w:t>
      </w:r>
      <w:r w:rsidR="0007711C">
        <w:t>C</w:t>
      </w:r>
      <w:r w:rsidR="00703A01">
        <w:t>osts</w:t>
      </w:r>
      <w:r w:rsidR="0007711C">
        <w:t xml:space="preserve"> (“Application”) submitted in this docket</w:t>
      </w:r>
      <w:r w:rsidR="00FC1CD5">
        <w:t xml:space="preserve"> </w:t>
      </w:r>
      <w:r w:rsidR="001D602F">
        <w:t>on August 30</w:t>
      </w:r>
      <w:r w:rsidR="00752307">
        <w:t>, 2023</w:t>
      </w:r>
      <w:r w:rsidR="005C50C6">
        <w:t xml:space="preserve">, </w:t>
      </w:r>
      <w:r w:rsidR="00FC1CD5">
        <w:t xml:space="preserve">as well as the Stipulation </w:t>
      </w:r>
      <w:r w:rsidR="00752307">
        <w:t>reached on August 29, 2023</w:t>
      </w:r>
      <w:r w:rsidR="005128DC">
        <w:t>.</w:t>
      </w:r>
      <w:r w:rsidR="0007711C">
        <w:t xml:space="preserve"> The Application and this testimony are filed to implement the Commission</w:t>
      </w:r>
      <w:r w:rsidR="001B126C">
        <w:t>’</w:t>
      </w:r>
      <w:r w:rsidR="0007711C">
        <w:t>s January 11, 2018</w:t>
      </w:r>
      <w:r w:rsidR="00D55544">
        <w:t>,</w:t>
      </w:r>
      <w:r w:rsidR="0007711C">
        <w:t xml:space="preserve"> Order on the Seventeenth Semi-Annual VCM Report in Docket No. 29849 (“VCM 17 Order”), which provided that </w:t>
      </w:r>
      <w:r w:rsidR="0007711C" w:rsidRPr="006C3EF3">
        <w:t xml:space="preserve">once fuel load </w:t>
      </w:r>
      <w:r w:rsidR="007A3551">
        <w:t>for</w:t>
      </w:r>
      <w:r w:rsidR="007A3551" w:rsidRPr="006C3EF3">
        <w:t xml:space="preserve"> </w:t>
      </w:r>
      <w:r w:rsidR="0007711C" w:rsidRPr="006C3EF3">
        <w:t>Unit</w:t>
      </w:r>
      <w:r w:rsidR="0007711C">
        <w:t> </w:t>
      </w:r>
      <w:r w:rsidR="0007711C" w:rsidRPr="006C3EF3">
        <w:t xml:space="preserve">4 is reached, the Company may make a filing with the Commission to determine the adjustment to retail base rates necessary to include the remaining amounts </w:t>
      </w:r>
      <w:r w:rsidR="00837E9C">
        <w:t>for</w:t>
      </w:r>
      <w:r w:rsidR="00837E9C" w:rsidRPr="006C3EF3">
        <w:t xml:space="preserve"> </w:t>
      </w:r>
      <w:r w:rsidR="0007711C" w:rsidRPr="006C3EF3">
        <w:t>Unit</w:t>
      </w:r>
      <w:r w:rsidR="0007711C">
        <w:t>s</w:t>
      </w:r>
      <w:r w:rsidR="0007711C" w:rsidRPr="006C3EF3">
        <w:t xml:space="preserve"> 3 and 4 into retail </w:t>
      </w:r>
      <w:r w:rsidR="0055701C">
        <w:t>rate base</w:t>
      </w:r>
      <w:r w:rsidR="0007711C" w:rsidRPr="006C3EF3">
        <w:t>. During review</w:t>
      </w:r>
      <w:r w:rsidR="59A0D8A8">
        <w:t xml:space="preserve"> of this </w:t>
      </w:r>
      <w:r w:rsidR="00C131AC">
        <w:t>Application</w:t>
      </w:r>
      <w:r w:rsidR="0007711C" w:rsidRPr="006C3EF3">
        <w:t xml:space="preserve">, the Commission will determine the remaining issues pertaining to </w:t>
      </w:r>
      <w:r w:rsidR="00180F99">
        <w:t xml:space="preserve">the </w:t>
      </w:r>
      <w:r w:rsidR="0007711C" w:rsidRPr="006C3EF3">
        <w:t>prudence of costs</w:t>
      </w:r>
      <w:r w:rsidR="00DF4613">
        <w:t xml:space="preserve"> incurred </w:t>
      </w:r>
      <w:r w:rsidR="00E94C0B">
        <w:t>on Vogtle</w:t>
      </w:r>
      <w:r w:rsidR="0007711C" w:rsidRPr="006C3EF3">
        <w:t xml:space="preserve"> Unit</w:t>
      </w:r>
      <w:r w:rsidR="0007711C">
        <w:t>s</w:t>
      </w:r>
      <w:r w:rsidR="0007711C" w:rsidRPr="006C3EF3">
        <w:t xml:space="preserve"> 3 and 4.</w:t>
      </w:r>
      <w:r w:rsidR="0007711C" w:rsidRPr="00E17BAD">
        <w:t xml:space="preserve"> </w:t>
      </w:r>
      <w:r w:rsidR="008F7EBD">
        <w:t>Our</w:t>
      </w:r>
      <w:r w:rsidR="0007711C">
        <w:t xml:space="preserve"> testimony</w:t>
      </w:r>
      <w:r w:rsidR="0007711C" w:rsidRPr="006C3EF3">
        <w:t xml:space="preserve"> is consistent with the Commission</w:t>
      </w:r>
      <w:r w:rsidR="001B126C">
        <w:t>’</w:t>
      </w:r>
      <w:r w:rsidR="0007711C" w:rsidRPr="006C3EF3">
        <w:t>s intent and directives as stated in the VCM 17 Order</w:t>
      </w:r>
      <w:r w:rsidR="0007711C">
        <w:t>,</w:t>
      </w:r>
      <w:r w:rsidR="0007711C" w:rsidRPr="006C3EF3">
        <w:t xml:space="preserve"> the Commission</w:t>
      </w:r>
      <w:r w:rsidR="001B126C">
        <w:t>’</w:t>
      </w:r>
      <w:r w:rsidR="0007711C" w:rsidRPr="006C3EF3">
        <w:t>s January 3, 2017</w:t>
      </w:r>
      <w:r w:rsidR="0007711C">
        <w:t>,</w:t>
      </w:r>
      <w:r w:rsidR="0007711C" w:rsidRPr="006C3EF3">
        <w:t xml:space="preserve"> Supplemental Information Review (“SIR”) Order Adopting Stipulation in Docket No. 29849 (“SIR</w:t>
      </w:r>
      <w:r w:rsidR="0007711C">
        <w:t xml:space="preserve"> Final</w:t>
      </w:r>
      <w:r w:rsidR="0007711C" w:rsidRPr="006C3EF3">
        <w:t xml:space="preserve"> Order</w:t>
      </w:r>
      <w:r w:rsidR="0007711C">
        <w:t>”), and the Commission</w:t>
      </w:r>
      <w:r w:rsidR="001B126C">
        <w:t>’</w:t>
      </w:r>
      <w:r w:rsidR="0007711C">
        <w:t>s November 15, 2021, Order Adopting Stipulation in Docket No. 43838 regarding Georgia Power</w:t>
      </w:r>
      <w:r w:rsidR="001B126C">
        <w:t>’</w:t>
      </w:r>
      <w:r w:rsidR="0007711C">
        <w:t>s Application to Adjust Rates to Include Certain Plant Vogtle Unit 3 and Common Costs (“Unit 3 Rate Adjustment Order”).</w:t>
      </w:r>
    </w:p>
    <w:p w14:paraId="0F136420" w14:textId="41254435" w:rsidR="00D65EDB" w:rsidRDefault="00D65EDB" w:rsidP="00081C83">
      <w:pPr>
        <w:spacing w:before="240" w:after="240" w:line="360" w:lineRule="auto"/>
        <w:ind w:left="720" w:hanging="720"/>
        <w:jc w:val="both"/>
        <w:rPr>
          <w:b/>
        </w:rPr>
      </w:pPr>
      <w:r>
        <w:rPr>
          <w:b/>
        </w:rPr>
        <w:t>Q.</w:t>
      </w:r>
      <w:r>
        <w:rPr>
          <w:b/>
        </w:rPr>
        <w:tab/>
        <w:t xml:space="preserve">DESCRIBE THE STIPULATION </w:t>
      </w:r>
      <w:r w:rsidR="00997E20">
        <w:rPr>
          <w:b/>
        </w:rPr>
        <w:t xml:space="preserve">BETWEEN </w:t>
      </w:r>
      <w:r w:rsidR="001F56B9">
        <w:rPr>
          <w:b/>
        </w:rPr>
        <w:t xml:space="preserve">PIA </w:t>
      </w:r>
      <w:r w:rsidR="00997E20">
        <w:rPr>
          <w:b/>
        </w:rPr>
        <w:t>STAFF</w:t>
      </w:r>
      <w:r w:rsidR="0008421D">
        <w:rPr>
          <w:b/>
        </w:rPr>
        <w:t>,</w:t>
      </w:r>
      <w:r w:rsidR="00997E20">
        <w:rPr>
          <w:b/>
        </w:rPr>
        <w:t xml:space="preserve"> THE COMPANY</w:t>
      </w:r>
      <w:r w:rsidR="0008421D">
        <w:rPr>
          <w:b/>
        </w:rPr>
        <w:t>, AND INTERVENORS</w:t>
      </w:r>
      <w:r w:rsidR="00997E20">
        <w:rPr>
          <w:b/>
        </w:rPr>
        <w:t xml:space="preserve"> IN THIS CASE</w:t>
      </w:r>
      <w:r w:rsidR="0008421D">
        <w:rPr>
          <w:b/>
        </w:rPr>
        <w:t>.</w:t>
      </w:r>
    </w:p>
    <w:p w14:paraId="1431D449" w14:textId="64D2EFAA" w:rsidR="00865663" w:rsidRDefault="00997E20" w:rsidP="00865663">
      <w:pPr>
        <w:pStyle w:val="SSBodyText"/>
        <w:spacing w:after="240" w:line="360" w:lineRule="auto"/>
        <w:ind w:left="720" w:hanging="720"/>
        <w:jc w:val="both"/>
      </w:pPr>
      <w:r w:rsidRPr="00E27729">
        <w:rPr>
          <w:bCs/>
        </w:rPr>
        <w:t>A.</w:t>
      </w:r>
      <w:r w:rsidRPr="00E27729">
        <w:rPr>
          <w:bCs/>
        </w:rPr>
        <w:tab/>
      </w:r>
      <w:r w:rsidR="00167C22">
        <w:t xml:space="preserve">On August </w:t>
      </w:r>
      <w:r w:rsidR="008927CE" w:rsidRPr="00752307">
        <w:t>29</w:t>
      </w:r>
      <w:r w:rsidR="00167C22" w:rsidRPr="00752307">
        <w:t>, 2023, Georgia Power</w:t>
      </w:r>
      <w:r w:rsidR="008927CE" w:rsidRPr="00752307">
        <w:t>,</w:t>
      </w:r>
      <w:r w:rsidR="00167C22" w:rsidRPr="00752307">
        <w:t xml:space="preserve"> </w:t>
      </w:r>
      <w:r w:rsidR="001F56B9">
        <w:t>PIA</w:t>
      </w:r>
      <w:r w:rsidR="00167C22" w:rsidRPr="00752307">
        <w:t xml:space="preserve"> Staff</w:t>
      </w:r>
      <w:r w:rsidR="008927CE" w:rsidRPr="00752307">
        <w:t xml:space="preserve">, </w:t>
      </w:r>
      <w:r w:rsidR="00851CE3">
        <w:t>the</w:t>
      </w:r>
      <w:r w:rsidR="008927CE" w:rsidRPr="00752307">
        <w:t xml:space="preserve"> Georgia Association</w:t>
      </w:r>
      <w:r w:rsidR="008927CE">
        <w:t xml:space="preserve"> of Manufacturers, Georgia Interfaith Power &amp; Light, Georgia Watch, and Partnership for Southern Equity</w:t>
      </w:r>
      <w:r w:rsidR="00752307">
        <w:t xml:space="preserve"> (the “Stipulating Parties”)</w:t>
      </w:r>
      <w:r w:rsidR="00167C22">
        <w:t xml:space="preserve"> signed a </w:t>
      </w:r>
      <w:r w:rsidR="00F8454A">
        <w:t xml:space="preserve">stipulated agreement </w:t>
      </w:r>
      <w:r w:rsidR="00167C22">
        <w:t>resolving all remaining issues for determination by the Commission regarding the reasonableness, prudence, and cost recovery for the remaining costs associated with the Project</w:t>
      </w:r>
      <w:r w:rsidR="0087337C">
        <w:t xml:space="preserve"> (“Stipulation”)</w:t>
      </w:r>
      <w:r w:rsidR="00167C22">
        <w:t xml:space="preserve">. </w:t>
      </w:r>
      <w:r w:rsidR="007E1EE6">
        <w:t xml:space="preserve">The </w:t>
      </w:r>
      <w:r w:rsidR="00A84476">
        <w:t>S</w:t>
      </w:r>
      <w:r w:rsidR="007E1EE6">
        <w:t xml:space="preserve">tipulating </w:t>
      </w:r>
      <w:r w:rsidR="00A84476">
        <w:t>P</w:t>
      </w:r>
      <w:r w:rsidR="007E1EE6">
        <w:t xml:space="preserve">arties </w:t>
      </w:r>
      <w:r w:rsidR="00377312">
        <w:t xml:space="preserve">agreed </w:t>
      </w:r>
      <w:r w:rsidR="00167C22">
        <w:t xml:space="preserve">that $7.562 billion is a reasonable and prudent </w:t>
      </w:r>
      <w:r w:rsidR="00167C22" w:rsidRPr="00255878">
        <w:rPr>
          <w:i/>
          <w:iCs/>
        </w:rPr>
        <w:t>total</w:t>
      </w:r>
      <w:r w:rsidR="00167C22">
        <w:t xml:space="preserve"> construction and capital cost for the Project to be included in rate base. The agreed-to reduction from Georgia Power</w:t>
      </w:r>
      <w:r w:rsidR="001B126C">
        <w:t>’</w:t>
      </w:r>
      <w:r w:rsidR="00167C22">
        <w:t xml:space="preserve">s total construction and capital cost takes into consideration the length of time to construct the Project, replacement energy costs incurred during the extended construction time, and other issues such as the amount of rework required, scheduling of activities, testing, and productivity. </w:t>
      </w:r>
      <w:r w:rsidR="00865663">
        <w:t xml:space="preserve">The Stipulation addresses </w:t>
      </w:r>
      <w:r w:rsidR="000B5E2B">
        <w:t>the cost recovery of financing costs</w:t>
      </w:r>
      <w:r w:rsidR="00E254E7">
        <w:t xml:space="preserve">, projected operation and maintenance (“O&amp;M”) expenses, depreciation expense, nuclear decommissioning accrual, and property taxes, net of projected </w:t>
      </w:r>
      <w:r w:rsidR="004A2F27">
        <w:t>production tax credits (“</w:t>
      </w:r>
      <w:r w:rsidR="00E254E7">
        <w:t>PTCs</w:t>
      </w:r>
      <w:r w:rsidR="004A2F27">
        <w:t>”)</w:t>
      </w:r>
      <w:r w:rsidR="00E254E7">
        <w:t>, as well as nuclear fuel plant and materials and supplies inventory.</w:t>
      </w:r>
      <w:r w:rsidR="0087337C">
        <w:t xml:space="preserve"> The Stipulation </w:t>
      </w:r>
      <w:r w:rsidR="00DC3696">
        <w:t>also</w:t>
      </w:r>
      <w:r w:rsidR="0087337C">
        <w:t xml:space="preserve"> addresses the cessation of the </w:t>
      </w:r>
      <w:r w:rsidR="00B14600">
        <w:t>Nuclear Construction Cost Recovery</w:t>
      </w:r>
      <w:r w:rsidR="0087337C">
        <w:t xml:space="preserve"> </w:t>
      </w:r>
      <w:r w:rsidR="00B14600">
        <w:t>(“</w:t>
      </w:r>
      <w:r w:rsidR="0087337C">
        <w:t>NCCR</w:t>
      </w:r>
      <w:r w:rsidR="00B14600">
        <w:t>”)</w:t>
      </w:r>
      <w:r w:rsidR="0087337C">
        <w:t xml:space="preserve"> tariff</w:t>
      </w:r>
      <w:r w:rsidR="00DC3696">
        <w:t xml:space="preserve"> and </w:t>
      </w:r>
      <w:r w:rsidR="00FD4335">
        <w:t xml:space="preserve">what happens if the </w:t>
      </w:r>
      <w:r w:rsidR="00A27241">
        <w:t xml:space="preserve">Units </w:t>
      </w:r>
      <w:r w:rsidR="00FD4335">
        <w:t xml:space="preserve">do not </w:t>
      </w:r>
      <w:r w:rsidR="0047030D">
        <w:t xml:space="preserve">initially </w:t>
      </w:r>
      <w:r w:rsidR="00FD4335">
        <w:t>operate as intended, among other things.</w:t>
      </w:r>
    </w:p>
    <w:p w14:paraId="2A0634A1" w14:textId="0DF992A0" w:rsidR="00167C22" w:rsidRDefault="00E27729" w:rsidP="00E27729">
      <w:pPr>
        <w:pStyle w:val="SSBodyText"/>
        <w:spacing w:line="360" w:lineRule="auto"/>
        <w:ind w:left="720" w:firstLine="0"/>
        <w:jc w:val="both"/>
      </w:pPr>
      <w:r>
        <w:t>The Company supports the S</w:t>
      </w:r>
      <w:r w:rsidR="00167C22">
        <w:t xml:space="preserve">tipulation </w:t>
      </w:r>
      <w:r>
        <w:t>as</w:t>
      </w:r>
      <w:r w:rsidR="00167C22">
        <w:t xml:space="preserve"> a </w:t>
      </w:r>
      <w:r w:rsidR="00631322" w:rsidRPr="0099499A">
        <w:t xml:space="preserve">fair and </w:t>
      </w:r>
      <w:r w:rsidR="00167C22">
        <w:t xml:space="preserve">reasonable resolution of the outstanding issues regarding cost recovery for Vogtle Units 3 and 4. As with any settlement, no single party received everything it sought as a proposed resolution. The </w:t>
      </w:r>
      <w:r>
        <w:t>S</w:t>
      </w:r>
      <w:r w:rsidR="00167C22">
        <w:t xml:space="preserve">tipulation considers many of the issues raised by </w:t>
      </w:r>
      <w:r w:rsidR="002D2235">
        <w:t xml:space="preserve">PIA </w:t>
      </w:r>
      <w:r w:rsidR="00167C22">
        <w:t xml:space="preserve">Staff and Intervenors in the VCM proceedings throughout the life of the Project. </w:t>
      </w:r>
      <w:r w:rsidR="0011367B">
        <w:t xml:space="preserve">The </w:t>
      </w:r>
      <w:r w:rsidR="00A84476">
        <w:t>S</w:t>
      </w:r>
      <w:r w:rsidR="00B1431A">
        <w:t xml:space="preserve">tipulating </w:t>
      </w:r>
      <w:r w:rsidR="00A84476">
        <w:t>P</w:t>
      </w:r>
      <w:r w:rsidR="0011367B">
        <w:t xml:space="preserve">arties </w:t>
      </w:r>
      <w:r w:rsidR="00167C22">
        <w:t xml:space="preserve">worked hard to look beyond single issues to reach an agreement. The resulting </w:t>
      </w:r>
      <w:r>
        <w:t>S</w:t>
      </w:r>
      <w:r w:rsidR="00167C22">
        <w:t>tipulation strikes a</w:t>
      </w:r>
      <w:r w:rsidR="001E19DA">
        <w:t>n</w:t>
      </w:r>
      <w:r w:rsidR="00167C22">
        <w:t xml:space="preserve"> </w:t>
      </w:r>
      <w:r w:rsidR="001E19DA">
        <w:t xml:space="preserve">appropriate </w:t>
      </w:r>
      <w:r w:rsidR="00167C22">
        <w:t xml:space="preserve">balance among complex, technical issues and provides for the recovery of reasonable and prudent costs for the Project. </w:t>
      </w:r>
    </w:p>
    <w:p w14:paraId="1649F610" w14:textId="532079B1" w:rsidR="00AB552D" w:rsidRPr="00411411" w:rsidRDefault="00AB552D" w:rsidP="00081C83">
      <w:pPr>
        <w:spacing w:before="240" w:after="240" w:line="360" w:lineRule="auto"/>
        <w:ind w:left="720" w:hanging="720"/>
        <w:jc w:val="both"/>
        <w:rPr>
          <w:b/>
        </w:rPr>
      </w:pPr>
      <w:r w:rsidRPr="00411411">
        <w:rPr>
          <w:b/>
        </w:rPr>
        <w:t>Q.</w:t>
      </w:r>
      <w:r w:rsidRPr="00411411">
        <w:rPr>
          <w:b/>
        </w:rPr>
        <w:tab/>
      </w:r>
      <w:r w:rsidRPr="00411411">
        <w:rPr>
          <w:rFonts w:ascii="Times New Roman Bold" w:hAnsi="Times New Roman Bold"/>
          <w:b/>
          <w:caps/>
        </w:rPr>
        <w:t>Please summarize the Company</w:t>
      </w:r>
      <w:r w:rsidR="001B126C">
        <w:rPr>
          <w:rFonts w:ascii="Times New Roman Bold" w:hAnsi="Times New Roman Bold"/>
          <w:b/>
          <w:caps/>
        </w:rPr>
        <w:t>’</w:t>
      </w:r>
      <w:r w:rsidRPr="00411411">
        <w:rPr>
          <w:rFonts w:ascii="Times New Roman Bold" w:hAnsi="Times New Roman Bold"/>
          <w:b/>
          <w:caps/>
        </w:rPr>
        <w:t>s request in this case.</w:t>
      </w:r>
      <w:r w:rsidRPr="00411411">
        <w:rPr>
          <w:b/>
        </w:rPr>
        <w:t xml:space="preserve"> </w:t>
      </w:r>
    </w:p>
    <w:p w14:paraId="6FCC19A4" w14:textId="4642724E" w:rsidR="008764FC" w:rsidRDefault="008764FC" w:rsidP="00081C83">
      <w:pPr>
        <w:keepNext/>
        <w:numPr>
          <w:ilvl w:val="2"/>
          <w:numId w:val="0"/>
        </w:numPr>
        <w:spacing w:before="240" w:after="240" w:line="360" w:lineRule="auto"/>
        <w:ind w:left="720" w:hanging="720"/>
        <w:jc w:val="both"/>
        <w:outlineLvl w:val="2"/>
        <w:rPr>
          <w:rFonts w:eastAsia="MS Mincho"/>
          <w:szCs w:val="20"/>
          <w:lang w:eastAsia="en-US"/>
        </w:rPr>
      </w:pPr>
      <w:r>
        <w:rPr>
          <w:rFonts w:eastAsia="MS Mincho"/>
          <w:szCs w:val="20"/>
          <w:lang w:eastAsia="en-US"/>
        </w:rPr>
        <w:t>A.</w:t>
      </w:r>
      <w:r>
        <w:rPr>
          <w:rFonts w:eastAsia="MS Mincho"/>
          <w:szCs w:val="20"/>
          <w:lang w:eastAsia="en-US"/>
        </w:rPr>
        <w:tab/>
        <w:t xml:space="preserve">In compliance with the VCM 17 Order, the SIR </w:t>
      </w:r>
      <w:r w:rsidR="00A707AB">
        <w:rPr>
          <w:rFonts w:eastAsia="MS Mincho"/>
          <w:szCs w:val="20"/>
          <w:lang w:eastAsia="en-US"/>
        </w:rPr>
        <w:t xml:space="preserve">Final </w:t>
      </w:r>
      <w:r>
        <w:rPr>
          <w:rFonts w:eastAsia="MS Mincho"/>
          <w:szCs w:val="20"/>
          <w:lang w:eastAsia="en-US"/>
        </w:rPr>
        <w:t>Order</w:t>
      </w:r>
      <w:r>
        <w:t>, and the Unit 3 Rate Adjustment Order, t</w:t>
      </w:r>
      <w:r>
        <w:rPr>
          <w:rFonts w:eastAsia="MS Mincho"/>
          <w:szCs w:val="20"/>
          <w:lang w:eastAsia="en-US"/>
        </w:rPr>
        <w:t>he Company seeks Commission approval of the following requests:</w:t>
      </w:r>
    </w:p>
    <w:p w14:paraId="7FE9E5FB" w14:textId="5215C804" w:rsidR="00D3057A" w:rsidRDefault="00D3057A" w:rsidP="00081C83">
      <w:pPr>
        <w:pStyle w:val="ListParagraph"/>
        <w:numPr>
          <w:ilvl w:val="0"/>
          <w:numId w:val="6"/>
        </w:numPr>
        <w:spacing w:before="240" w:after="240" w:line="360" w:lineRule="auto"/>
        <w:jc w:val="both"/>
        <w:outlineLvl w:val="2"/>
        <w:rPr>
          <w:rFonts w:eastAsia="MS Mincho"/>
        </w:rPr>
      </w:pPr>
      <w:r>
        <w:rPr>
          <w:rFonts w:eastAsia="MS Mincho"/>
        </w:rPr>
        <w:t>Find the Stipulation to be reasonable and in the best interest of customers</w:t>
      </w:r>
      <w:r w:rsidR="003518BD">
        <w:rPr>
          <w:rFonts w:eastAsia="MS Mincho"/>
        </w:rPr>
        <w:t xml:space="preserve">; </w:t>
      </w:r>
    </w:p>
    <w:p w14:paraId="7BA059B8" w14:textId="35894733" w:rsidR="004E7EC2" w:rsidRDefault="004E7EC2" w:rsidP="00081C83">
      <w:pPr>
        <w:pStyle w:val="ListParagraph"/>
        <w:numPr>
          <w:ilvl w:val="0"/>
          <w:numId w:val="6"/>
        </w:numPr>
        <w:spacing w:before="240" w:after="240" w:line="360" w:lineRule="auto"/>
        <w:jc w:val="both"/>
        <w:outlineLvl w:val="2"/>
        <w:rPr>
          <w:rFonts w:eastAsia="MS Mincho"/>
        </w:rPr>
      </w:pPr>
      <w:r w:rsidRPr="51FB384C">
        <w:rPr>
          <w:rFonts w:eastAsia="MS Mincho"/>
        </w:rPr>
        <w:t xml:space="preserve">Find </w:t>
      </w:r>
      <w:r>
        <w:t>a total construction and capital cost for Vogtle Units 3 and 4 of $</w:t>
      </w:r>
      <w:r w:rsidR="00FE6698">
        <w:t>7.562</w:t>
      </w:r>
      <w:r>
        <w:t xml:space="preserve"> billion</w:t>
      </w:r>
      <w:r w:rsidRPr="51FB384C">
        <w:rPr>
          <w:rFonts w:eastAsia="MS Mincho"/>
        </w:rPr>
        <w:t xml:space="preserve"> to be reasonable and prudent</w:t>
      </w:r>
      <w:r w:rsidR="00D27107" w:rsidRPr="51FB384C">
        <w:rPr>
          <w:rFonts w:eastAsia="MS Mincho"/>
        </w:rPr>
        <w:t xml:space="preserve"> and approve</w:t>
      </w:r>
      <w:r w:rsidR="00771662" w:rsidRPr="51FB384C">
        <w:rPr>
          <w:rFonts w:eastAsia="MS Mincho"/>
        </w:rPr>
        <w:t xml:space="preserve"> the </w:t>
      </w:r>
      <w:r w:rsidR="00D71638">
        <w:rPr>
          <w:rFonts w:eastAsia="MS Mincho"/>
        </w:rPr>
        <w:t xml:space="preserve">additional </w:t>
      </w:r>
      <w:r w:rsidR="00771662" w:rsidRPr="51FB384C">
        <w:rPr>
          <w:rFonts w:eastAsia="MS Mincho"/>
        </w:rPr>
        <w:t xml:space="preserve">transfer of </w:t>
      </w:r>
      <w:r w:rsidR="00D332B8">
        <w:rPr>
          <w:rFonts w:eastAsia="MS Mincho"/>
        </w:rPr>
        <w:t>$5.</w:t>
      </w:r>
      <w:r w:rsidR="00B13A46">
        <w:rPr>
          <w:rFonts w:eastAsia="MS Mincho"/>
        </w:rPr>
        <w:t>462 billion</w:t>
      </w:r>
      <w:r w:rsidR="00771662" w:rsidRPr="51FB384C">
        <w:rPr>
          <w:rFonts w:eastAsia="MS Mincho"/>
        </w:rPr>
        <w:t xml:space="preserve"> </w:t>
      </w:r>
      <w:r w:rsidR="00305C98">
        <w:rPr>
          <w:rFonts w:eastAsia="MS Mincho"/>
        </w:rPr>
        <w:t>($</w:t>
      </w:r>
      <w:r w:rsidR="007C1077">
        <w:rPr>
          <w:rFonts w:eastAsia="MS Mincho"/>
        </w:rPr>
        <w:t xml:space="preserve">7.562 billion less $2.1 billion </w:t>
      </w:r>
      <w:r w:rsidR="00403A45">
        <w:rPr>
          <w:rFonts w:eastAsia="MS Mincho"/>
        </w:rPr>
        <w:t xml:space="preserve">already reflected in base rates) </w:t>
      </w:r>
      <w:r w:rsidR="00771662" w:rsidRPr="51FB384C">
        <w:rPr>
          <w:rFonts w:eastAsia="MS Mincho"/>
        </w:rPr>
        <w:t>into the Company</w:t>
      </w:r>
      <w:r w:rsidR="001B126C">
        <w:rPr>
          <w:rFonts w:eastAsia="MS Mincho"/>
        </w:rPr>
        <w:t>’</w:t>
      </w:r>
      <w:r w:rsidR="00771662" w:rsidRPr="51FB384C">
        <w:rPr>
          <w:rFonts w:eastAsia="MS Mincho"/>
        </w:rPr>
        <w:t>s rate base upon Vogtle Unit 4 achieving Commercial Operation</w:t>
      </w:r>
      <w:r w:rsidR="00A707AB" w:rsidRPr="51FB384C">
        <w:rPr>
          <w:rFonts w:eastAsia="MS Mincho"/>
        </w:rPr>
        <w:t>;</w:t>
      </w:r>
      <w:r w:rsidRPr="51FB384C">
        <w:rPr>
          <w:rFonts w:eastAsia="MS Mincho"/>
        </w:rPr>
        <w:t xml:space="preserve"> </w:t>
      </w:r>
    </w:p>
    <w:p w14:paraId="2B5A853D" w14:textId="15601D74" w:rsidR="00D15F9C" w:rsidRDefault="00D15F9C" w:rsidP="00D15F9C">
      <w:pPr>
        <w:pStyle w:val="ListParagraph"/>
        <w:numPr>
          <w:ilvl w:val="0"/>
          <w:numId w:val="6"/>
        </w:numPr>
        <w:spacing w:before="240" w:after="240" w:line="360" w:lineRule="auto"/>
        <w:jc w:val="both"/>
        <w:outlineLvl w:val="2"/>
        <w:rPr>
          <w:rFonts w:eastAsia="MS Mincho"/>
          <w:szCs w:val="20"/>
        </w:rPr>
      </w:pPr>
      <w:r>
        <w:rPr>
          <w:rFonts w:eastAsia="MS Mincho"/>
          <w:szCs w:val="20"/>
        </w:rPr>
        <w:t xml:space="preserve">Approve the recovery in rate base of </w:t>
      </w:r>
      <w:r>
        <w:t xml:space="preserve">the associated </w:t>
      </w:r>
      <w:r w:rsidR="00BA5F96">
        <w:t>Allowance for Funds Used During Construction (“</w:t>
      </w:r>
      <w:r>
        <w:t>AFUDC</w:t>
      </w:r>
      <w:r w:rsidR="00BA5F96">
        <w:t>”)</w:t>
      </w:r>
      <w:r>
        <w:t xml:space="preserve"> financing costs on the </w:t>
      </w:r>
      <w:r w:rsidR="009511E6">
        <w:t xml:space="preserve">construction and </w:t>
      </w:r>
      <w:r>
        <w:t xml:space="preserve">capital cost above the $4.418 billion certified cost up to the requested </w:t>
      </w:r>
      <w:r w:rsidRPr="004A3D2E">
        <w:t>$</w:t>
      </w:r>
      <w:r w:rsidR="00540B65" w:rsidRPr="004A3D2E">
        <w:t>7.562</w:t>
      </w:r>
      <w:r>
        <w:t xml:space="preserve"> billion, which is estimated to be </w:t>
      </w:r>
      <w:r w:rsidR="00DE2DAC">
        <w:t>approximately</w:t>
      </w:r>
      <w:r>
        <w:t xml:space="preserve"> $</w:t>
      </w:r>
      <w:r w:rsidR="00540B65">
        <w:t>437</w:t>
      </w:r>
      <w:r>
        <w:t xml:space="preserve"> million</w:t>
      </w:r>
      <w:r w:rsidR="00A707AB">
        <w:t>;</w:t>
      </w:r>
    </w:p>
    <w:p w14:paraId="6E1C191F" w14:textId="5E9B3F73" w:rsidR="008764FC" w:rsidRPr="004E7EC2" w:rsidRDefault="000E55F4" w:rsidP="00081C83">
      <w:pPr>
        <w:pStyle w:val="ListParagraph"/>
        <w:numPr>
          <w:ilvl w:val="0"/>
          <w:numId w:val="6"/>
        </w:numPr>
        <w:spacing w:before="240" w:after="240" w:line="360" w:lineRule="auto"/>
        <w:jc w:val="both"/>
        <w:outlineLvl w:val="2"/>
        <w:rPr>
          <w:rFonts w:eastAsia="MS Mincho"/>
        </w:rPr>
      </w:pPr>
      <w:r>
        <w:rPr>
          <w:rFonts w:eastAsia="MS Mincho"/>
        </w:rPr>
        <w:t>Approve the</w:t>
      </w:r>
      <w:r w:rsidR="008764FC" w:rsidRPr="51FB384C">
        <w:rPr>
          <w:rFonts w:eastAsia="MS Mincho"/>
        </w:rPr>
        <w:t xml:space="preserve"> recover</w:t>
      </w:r>
      <w:r>
        <w:rPr>
          <w:rFonts w:eastAsia="MS Mincho"/>
        </w:rPr>
        <w:t>y</w:t>
      </w:r>
      <w:r w:rsidR="00044852">
        <w:rPr>
          <w:rFonts w:eastAsia="MS Mincho"/>
        </w:rPr>
        <w:t xml:space="preserve"> in retail base rates</w:t>
      </w:r>
      <w:r>
        <w:rPr>
          <w:rFonts w:eastAsia="MS Mincho"/>
        </w:rPr>
        <w:t xml:space="preserve"> of</w:t>
      </w:r>
      <w:r w:rsidR="008764FC" w:rsidRPr="51FB384C">
        <w:rPr>
          <w:rFonts w:eastAsia="MS Mincho"/>
        </w:rPr>
        <w:t xml:space="preserve"> depreciation expense</w:t>
      </w:r>
      <w:r w:rsidR="004749C7">
        <w:rPr>
          <w:rFonts w:eastAsia="MS Mincho"/>
        </w:rPr>
        <w:t>,</w:t>
      </w:r>
      <w:r w:rsidR="008C49C3">
        <w:rPr>
          <w:rFonts w:eastAsia="MS Mincho"/>
        </w:rPr>
        <w:t xml:space="preserve"> projected</w:t>
      </w:r>
      <w:r w:rsidR="008764FC" w:rsidRPr="51FB384C">
        <w:rPr>
          <w:rFonts w:eastAsia="MS Mincho"/>
        </w:rPr>
        <w:t xml:space="preserve"> O&amp;M expenses</w:t>
      </w:r>
      <w:r w:rsidR="008C49C3">
        <w:rPr>
          <w:rFonts w:eastAsia="MS Mincho"/>
        </w:rPr>
        <w:t>,</w:t>
      </w:r>
      <w:r w:rsidR="008764FC" w:rsidRPr="51FB384C">
        <w:rPr>
          <w:rFonts w:eastAsia="MS Mincho"/>
        </w:rPr>
        <w:t xml:space="preserve"> nuclear decommissioning </w:t>
      </w:r>
      <w:r w:rsidR="004A3D2E">
        <w:rPr>
          <w:rFonts w:eastAsia="MS Mincho"/>
        </w:rPr>
        <w:t>accrual</w:t>
      </w:r>
      <w:r w:rsidR="008C49C3">
        <w:rPr>
          <w:rFonts w:eastAsia="MS Mincho"/>
        </w:rPr>
        <w:t>, and property taxes</w:t>
      </w:r>
      <w:r w:rsidR="00B115E8">
        <w:rPr>
          <w:rFonts w:eastAsia="MS Mincho"/>
        </w:rPr>
        <w:t xml:space="preserve">, net of the </w:t>
      </w:r>
      <w:r>
        <w:rPr>
          <w:rFonts w:eastAsia="MS Mincho"/>
        </w:rPr>
        <w:t>projected production tax credits,</w:t>
      </w:r>
      <w:r w:rsidR="00B115E8">
        <w:rPr>
          <w:rFonts w:eastAsia="MS Mincho"/>
        </w:rPr>
        <w:t xml:space="preserve"> as reflected in the Company</w:t>
      </w:r>
      <w:r w:rsidR="001B126C">
        <w:rPr>
          <w:rFonts w:eastAsia="MS Mincho"/>
        </w:rPr>
        <w:t>’</w:t>
      </w:r>
      <w:r w:rsidR="00B115E8">
        <w:rPr>
          <w:rFonts w:eastAsia="MS Mincho"/>
        </w:rPr>
        <w:t>s Minimum Filing Requirements (“MFRs”)</w:t>
      </w:r>
      <w:r w:rsidR="00957553">
        <w:rPr>
          <w:rFonts w:eastAsia="MS Mincho"/>
        </w:rPr>
        <w:t>;</w:t>
      </w:r>
      <w:r w:rsidR="008C49C3">
        <w:rPr>
          <w:rFonts w:eastAsia="MS Mincho"/>
        </w:rPr>
        <w:t xml:space="preserve"> </w:t>
      </w:r>
    </w:p>
    <w:p w14:paraId="3A535735" w14:textId="41931AEC" w:rsidR="000E55F4" w:rsidRDefault="000E55F4" w:rsidP="00081C83">
      <w:pPr>
        <w:pStyle w:val="ListParagraph"/>
        <w:numPr>
          <w:ilvl w:val="0"/>
          <w:numId w:val="6"/>
        </w:numPr>
        <w:spacing w:before="240" w:after="240" w:line="360" w:lineRule="auto"/>
        <w:jc w:val="both"/>
        <w:outlineLvl w:val="2"/>
        <w:rPr>
          <w:rFonts w:eastAsia="MS Mincho"/>
        </w:rPr>
      </w:pPr>
      <w:r>
        <w:rPr>
          <w:rFonts w:eastAsia="MS Mincho"/>
        </w:rPr>
        <w:t>Approve the recovery of projected nuclear fuel plant and materials and supplies inventory</w:t>
      </w:r>
      <w:r w:rsidR="00044852">
        <w:rPr>
          <w:rFonts w:eastAsia="MS Mincho"/>
        </w:rPr>
        <w:t xml:space="preserve"> in rate base</w:t>
      </w:r>
      <w:r w:rsidR="00D16F05">
        <w:rPr>
          <w:rFonts w:eastAsia="MS Mincho"/>
        </w:rPr>
        <w:t xml:space="preserve"> as reflected in the MFRs, as well as the deferred interest on nuclear </w:t>
      </w:r>
      <w:r w:rsidR="004A3D2E">
        <w:rPr>
          <w:rFonts w:eastAsia="MS Mincho"/>
        </w:rPr>
        <w:t>fuel</w:t>
      </w:r>
      <w:r w:rsidR="00957553">
        <w:rPr>
          <w:rFonts w:eastAsia="MS Mincho"/>
        </w:rPr>
        <w:t>;</w:t>
      </w:r>
    </w:p>
    <w:p w14:paraId="3AE87DF0" w14:textId="62C1A7E8" w:rsidR="0016420B" w:rsidRDefault="0016420B" w:rsidP="00081C83">
      <w:pPr>
        <w:pStyle w:val="ListParagraph"/>
        <w:numPr>
          <w:ilvl w:val="0"/>
          <w:numId w:val="6"/>
        </w:numPr>
        <w:spacing w:before="240" w:after="240" w:line="360" w:lineRule="auto"/>
        <w:jc w:val="both"/>
        <w:outlineLvl w:val="2"/>
        <w:rPr>
          <w:rFonts w:eastAsia="MS Mincho"/>
        </w:rPr>
      </w:pPr>
      <w:r w:rsidRPr="51FB384C">
        <w:rPr>
          <w:rFonts w:eastAsia="MS Mincho"/>
        </w:rPr>
        <w:t xml:space="preserve">Approve the recovery in retail base rates of any deferred depreciation </w:t>
      </w:r>
      <w:r w:rsidR="00A47A8F" w:rsidRPr="51FB384C">
        <w:rPr>
          <w:rFonts w:eastAsia="MS Mincho"/>
        </w:rPr>
        <w:t xml:space="preserve">and deferred </w:t>
      </w:r>
      <w:r w:rsidR="004938D3" w:rsidRPr="51FB384C">
        <w:rPr>
          <w:rFonts w:eastAsia="MS Mincho"/>
        </w:rPr>
        <w:t xml:space="preserve">financing </w:t>
      </w:r>
      <w:r w:rsidRPr="51FB384C">
        <w:rPr>
          <w:rFonts w:eastAsia="MS Mincho"/>
        </w:rPr>
        <w:t xml:space="preserve">related to Unit 3 and Common facilities </w:t>
      </w:r>
      <w:r w:rsidR="0E246E5F" w:rsidRPr="51FB384C">
        <w:rPr>
          <w:rFonts w:eastAsia="MS Mincho"/>
        </w:rPr>
        <w:t>accumulated</w:t>
      </w:r>
      <w:r w:rsidRPr="51FB384C">
        <w:rPr>
          <w:rFonts w:eastAsia="MS Mincho"/>
        </w:rPr>
        <w:t xml:space="preserve"> since Unit 3 was placed in service;</w:t>
      </w:r>
    </w:p>
    <w:p w14:paraId="004115C6" w14:textId="4B22BD65" w:rsidR="00A10896" w:rsidRPr="00AB5D0A" w:rsidRDefault="00A10896" w:rsidP="00A10896">
      <w:pPr>
        <w:pStyle w:val="ListParagraph"/>
        <w:numPr>
          <w:ilvl w:val="0"/>
          <w:numId w:val="6"/>
        </w:numPr>
        <w:spacing w:before="240" w:after="240" w:line="360" w:lineRule="auto"/>
        <w:jc w:val="both"/>
        <w:outlineLvl w:val="2"/>
        <w:rPr>
          <w:rFonts w:eastAsia="MS Mincho"/>
        </w:rPr>
      </w:pPr>
      <w:r w:rsidRPr="51FB384C">
        <w:rPr>
          <w:rFonts w:eastAsia="MS Mincho"/>
        </w:rPr>
        <w:t xml:space="preserve">Approve the transfer to rate base of the regulatory assets related to the deferred depreciation and deferred financing of Unit 3 and Common facilities accrued since Unit 3 was placed in service and the deficient accumulated deferred income taxes (“ADITs”) </w:t>
      </w:r>
      <w:r w:rsidR="00FD2542">
        <w:rPr>
          <w:rFonts w:eastAsia="MS Mincho"/>
        </w:rPr>
        <w:t>associated with Vogtle Units 3 and 4</w:t>
      </w:r>
      <w:r w:rsidRPr="51FB384C">
        <w:rPr>
          <w:rFonts w:eastAsia="MS Mincho"/>
        </w:rPr>
        <w:t xml:space="preserve"> resulting from the Tax Cuts and Jobs Act</w:t>
      </w:r>
      <w:r w:rsidR="007953F9">
        <w:rPr>
          <w:rFonts w:eastAsia="MS Mincho"/>
        </w:rPr>
        <w:t xml:space="preserve"> (“TCJA”)</w:t>
      </w:r>
      <w:r w:rsidRPr="51FB384C">
        <w:rPr>
          <w:rFonts w:eastAsia="MS Mincho"/>
        </w:rPr>
        <w:t>;</w:t>
      </w:r>
    </w:p>
    <w:p w14:paraId="38F4EAF7" w14:textId="42540891" w:rsidR="00AB5D0A" w:rsidRPr="00AB5D0A" w:rsidRDefault="008764FC" w:rsidP="00081C83">
      <w:pPr>
        <w:pStyle w:val="ListParagraph"/>
        <w:numPr>
          <w:ilvl w:val="0"/>
          <w:numId w:val="6"/>
        </w:numPr>
        <w:spacing w:before="240" w:after="240" w:line="360" w:lineRule="auto"/>
        <w:jc w:val="both"/>
        <w:outlineLvl w:val="2"/>
        <w:rPr>
          <w:rFonts w:eastAsia="MS Mincho"/>
          <w:szCs w:val="20"/>
        </w:rPr>
      </w:pPr>
      <w:r w:rsidRPr="00AB5D0A">
        <w:rPr>
          <w:rFonts w:eastAsia="MS Mincho"/>
          <w:szCs w:val="20"/>
        </w:rPr>
        <w:t>Consistent with O.C.G.A. § 46-2-25</w:t>
      </w:r>
      <w:r w:rsidR="00B94754">
        <w:rPr>
          <w:rFonts w:eastAsia="MS Mincho"/>
          <w:szCs w:val="20"/>
        </w:rPr>
        <w:t>(c)</w:t>
      </w:r>
      <w:r w:rsidRPr="00AB5D0A">
        <w:rPr>
          <w:rFonts w:eastAsia="MS Mincho"/>
          <w:szCs w:val="20"/>
        </w:rPr>
        <w:t xml:space="preserve">, </w:t>
      </w:r>
      <w:r w:rsidR="00AB5D0A" w:rsidRPr="00AB5D0A">
        <w:rPr>
          <w:rFonts w:eastAsia="MS Mincho"/>
          <w:szCs w:val="20"/>
        </w:rPr>
        <w:t xml:space="preserve">approve the </w:t>
      </w:r>
      <w:r w:rsidRPr="00AB5D0A">
        <w:rPr>
          <w:rFonts w:eastAsia="MS Mincho"/>
          <w:szCs w:val="20"/>
        </w:rPr>
        <w:t>continue</w:t>
      </w:r>
      <w:r w:rsidR="00AB5D0A" w:rsidRPr="00AB5D0A">
        <w:rPr>
          <w:rFonts w:eastAsia="MS Mincho"/>
          <w:szCs w:val="20"/>
        </w:rPr>
        <w:t>d</w:t>
      </w:r>
      <w:r w:rsidRPr="00AB5D0A">
        <w:rPr>
          <w:rFonts w:eastAsia="MS Mincho"/>
          <w:szCs w:val="20"/>
        </w:rPr>
        <w:t xml:space="preserve"> collect</w:t>
      </w:r>
      <w:r w:rsidR="00AB5D0A" w:rsidRPr="00AB5D0A">
        <w:rPr>
          <w:rFonts w:eastAsia="MS Mincho"/>
          <w:szCs w:val="20"/>
        </w:rPr>
        <w:t>ion of</w:t>
      </w:r>
      <w:r w:rsidRPr="00AB5D0A">
        <w:rPr>
          <w:rFonts w:eastAsia="MS Mincho"/>
          <w:szCs w:val="20"/>
        </w:rPr>
        <w:t xml:space="preserve"> financing costs through the </w:t>
      </w:r>
      <w:r w:rsidR="00A707AB">
        <w:rPr>
          <w:rFonts w:eastAsia="MS Mincho"/>
          <w:szCs w:val="20"/>
        </w:rPr>
        <w:t>NCCR</w:t>
      </w:r>
      <w:r w:rsidRPr="00AB5D0A">
        <w:rPr>
          <w:rFonts w:eastAsia="MS Mincho"/>
          <w:szCs w:val="20"/>
        </w:rPr>
        <w:t xml:space="preserve"> tariff </w:t>
      </w:r>
      <w:r w:rsidR="00AB5D0A" w:rsidRPr="00AB5D0A">
        <w:rPr>
          <w:rFonts w:eastAsia="MS Mincho"/>
          <w:szCs w:val="20"/>
        </w:rPr>
        <w:t>until the effective date of the Unit 3 and 4 rate adjustment, at which point such financing costs would be collected through the Company</w:t>
      </w:r>
      <w:r w:rsidR="001B126C">
        <w:rPr>
          <w:rFonts w:eastAsia="MS Mincho"/>
          <w:szCs w:val="20"/>
        </w:rPr>
        <w:t>’</w:t>
      </w:r>
      <w:r w:rsidR="00AB5D0A" w:rsidRPr="00AB5D0A">
        <w:rPr>
          <w:rFonts w:eastAsia="MS Mincho"/>
          <w:szCs w:val="20"/>
        </w:rPr>
        <w:t>s general revenue requirements in retail base rates</w:t>
      </w:r>
      <w:r w:rsidRPr="00AB5D0A">
        <w:rPr>
          <w:rFonts w:eastAsia="MS Mincho"/>
          <w:szCs w:val="20"/>
        </w:rPr>
        <w:t xml:space="preserve">; </w:t>
      </w:r>
    </w:p>
    <w:p w14:paraId="47200DFF" w14:textId="429E2424" w:rsidR="00771662" w:rsidRPr="004E7EC2" w:rsidRDefault="00771662" w:rsidP="00771662">
      <w:pPr>
        <w:pStyle w:val="ListParagraph"/>
        <w:numPr>
          <w:ilvl w:val="0"/>
          <w:numId w:val="6"/>
        </w:numPr>
        <w:spacing w:before="240" w:after="240" w:line="360" w:lineRule="auto"/>
        <w:jc w:val="both"/>
        <w:outlineLvl w:val="2"/>
        <w:rPr>
          <w:rFonts w:eastAsia="MS Mincho"/>
          <w:szCs w:val="20"/>
        </w:rPr>
      </w:pPr>
      <w:r w:rsidRPr="004E7EC2">
        <w:rPr>
          <w:rFonts w:eastAsia="MS Mincho"/>
          <w:szCs w:val="20"/>
        </w:rPr>
        <w:t xml:space="preserve">Adjust </w:t>
      </w:r>
      <w:r w:rsidR="00A10896">
        <w:rPr>
          <w:rFonts w:eastAsia="MS Mincho"/>
          <w:szCs w:val="20"/>
        </w:rPr>
        <w:t xml:space="preserve">retail </w:t>
      </w:r>
      <w:r w:rsidRPr="004E7EC2">
        <w:rPr>
          <w:rFonts w:eastAsia="MS Mincho"/>
          <w:szCs w:val="20"/>
        </w:rPr>
        <w:t xml:space="preserve">base rates </w:t>
      </w:r>
      <w:r>
        <w:rPr>
          <w:rFonts w:eastAsia="MS Mincho"/>
          <w:szCs w:val="20"/>
        </w:rPr>
        <w:t xml:space="preserve">by </w:t>
      </w:r>
      <w:r w:rsidRPr="004E7EC2">
        <w:rPr>
          <w:rFonts w:eastAsia="MS Mincho"/>
          <w:szCs w:val="20"/>
        </w:rPr>
        <w:t>$</w:t>
      </w:r>
      <w:r w:rsidR="00376A08">
        <w:rPr>
          <w:rFonts w:eastAsia="MS Mincho"/>
          <w:szCs w:val="20"/>
        </w:rPr>
        <w:t>729</w:t>
      </w:r>
      <w:r w:rsidRPr="004E7EC2">
        <w:rPr>
          <w:rFonts w:eastAsia="MS Mincho"/>
          <w:szCs w:val="20"/>
        </w:rPr>
        <w:t xml:space="preserve"> million on an annual basis effective the first month following Vogtle Unit 4 </w:t>
      </w:r>
      <w:r w:rsidR="00E96508">
        <w:rPr>
          <w:rFonts w:eastAsia="MS Mincho"/>
          <w:szCs w:val="20"/>
        </w:rPr>
        <w:t>achieving</w:t>
      </w:r>
      <w:r w:rsidR="00E96508" w:rsidRPr="004E7EC2">
        <w:rPr>
          <w:rFonts w:eastAsia="MS Mincho"/>
          <w:szCs w:val="20"/>
        </w:rPr>
        <w:t xml:space="preserve"> </w:t>
      </w:r>
      <w:r w:rsidRPr="004E7EC2">
        <w:rPr>
          <w:rFonts w:eastAsia="MS Mincho"/>
          <w:szCs w:val="20"/>
        </w:rPr>
        <w:t>Commercial Operation;</w:t>
      </w:r>
      <w:r w:rsidR="00D55544">
        <w:rPr>
          <w:rFonts w:eastAsia="MS Mincho"/>
          <w:szCs w:val="20"/>
        </w:rPr>
        <w:t xml:space="preserve"> and</w:t>
      </w:r>
    </w:p>
    <w:p w14:paraId="63FB2D7B" w14:textId="5B3542F2" w:rsidR="008764FC" w:rsidRPr="00AB5D0A" w:rsidRDefault="00AB5D0A" w:rsidP="00081C83">
      <w:pPr>
        <w:pStyle w:val="ListParagraph"/>
        <w:numPr>
          <w:ilvl w:val="0"/>
          <w:numId w:val="6"/>
        </w:numPr>
        <w:spacing w:before="240" w:after="240" w:line="360" w:lineRule="auto"/>
        <w:jc w:val="both"/>
        <w:outlineLvl w:val="2"/>
        <w:rPr>
          <w:rFonts w:eastAsia="MS Mincho"/>
          <w:szCs w:val="20"/>
        </w:rPr>
      </w:pPr>
      <w:r w:rsidRPr="00AB5D0A">
        <w:rPr>
          <w:rFonts w:eastAsia="MS Mincho"/>
          <w:szCs w:val="20"/>
        </w:rPr>
        <w:t xml:space="preserve">Following the final order in this Docket, approve the tariffs designed to collect the </w:t>
      </w:r>
      <w:r w:rsidR="00167CBF">
        <w:rPr>
          <w:rFonts w:eastAsia="MS Mincho"/>
          <w:szCs w:val="20"/>
        </w:rPr>
        <w:t xml:space="preserve">retail </w:t>
      </w:r>
      <w:r w:rsidRPr="00AB5D0A">
        <w:rPr>
          <w:rFonts w:eastAsia="MS Mincho"/>
          <w:szCs w:val="20"/>
        </w:rPr>
        <w:t>base rate adjustment.</w:t>
      </w:r>
    </w:p>
    <w:p w14:paraId="14659C17" w14:textId="77777777" w:rsidR="00AB552D" w:rsidRPr="00745BC9" w:rsidRDefault="00AB552D" w:rsidP="00081C83">
      <w:pPr>
        <w:keepNext/>
        <w:spacing w:before="240" w:after="240" w:line="360" w:lineRule="auto"/>
        <w:jc w:val="both"/>
        <w:outlineLvl w:val="2"/>
        <w:rPr>
          <w:b/>
        </w:rPr>
      </w:pPr>
      <w:r w:rsidRPr="00745BC9">
        <w:rPr>
          <w:b/>
        </w:rPr>
        <w:t>Q.</w:t>
      </w:r>
      <w:r>
        <w:tab/>
      </w:r>
      <w:r w:rsidRPr="00076FB7">
        <w:rPr>
          <w:rFonts w:ascii="Times New Roman Bold" w:hAnsi="Times New Roman Bold"/>
          <w:b/>
          <w:caps/>
        </w:rPr>
        <w:t>How is your testimony organized?</w:t>
      </w:r>
    </w:p>
    <w:p w14:paraId="3ADDDE3C" w14:textId="1EE157DD" w:rsidR="0007711C" w:rsidRDefault="00AB552D" w:rsidP="00081C83">
      <w:pPr>
        <w:tabs>
          <w:tab w:val="left" w:pos="2520"/>
        </w:tabs>
        <w:spacing w:before="240" w:after="240" w:line="360" w:lineRule="auto"/>
        <w:ind w:left="720" w:hanging="720"/>
        <w:jc w:val="both"/>
      </w:pPr>
      <w:r w:rsidRPr="00C6280C">
        <w:t>A.</w:t>
      </w:r>
      <w:r w:rsidR="00CE3A22" w:rsidRPr="00C6280C">
        <w:t xml:space="preserve"> </w:t>
      </w:r>
      <w:r w:rsidR="00CE3A22" w:rsidRPr="00C6280C">
        <w:tab/>
      </w:r>
      <w:r w:rsidR="0007711C" w:rsidRPr="00C6280C">
        <w:t xml:space="preserve">The remainder of our testimony is organized </w:t>
      </w:r>
      <w:r w:rsidR="00780FC3" w:rsidRPr="00C6280C">
        <w:t>as follows</w:t>
      </w:r>
      <w:r w:rsidR="0007711C" w:rsidRPr="00C6280C">
        <w:t>:</w:t>
      </w:r>
    </w:p>
    <w:p w14:paraId="291CC447" w14:textId="05AD0950" w:rsidR="00AE7280" w:rsidRDefault="0007711C" w:rsidP="00081C83">
      <w:pPr>
        <w:pStyle w:val="OutlineL1"/>
        <w:numPr>
          <w:ilvl w:val="0"/>
          <w:numId w:val="5"/>
        </w:numPr>
        <w:spacing w:before="240" w:after="240" w:line="360" w:lineRule="auto"/>
        <w:jc w:val="both"/>
        <w:rPr>
          <w:b w:val="0"/>
          <w:u w:val="none"/>
        </w:rPr>
      </w:pPr>
      <w:r w:rsidRPr="009E56E7">
        <w:rPr>
          <w:b w:val="0"/>
          <w:u w:val="none"/>
        </w:rPr>
        <w:t xml:space="preserve">Section II </w:t>
      </w:r>
      <w:r w:rsidR="00AE7280">
        <w:rPr>
          <w:b w:val="0"/>
          <w:u w:val="none"/>
        </w:rPr>
        <w:t>outlines the overview of the Company</w:t>
      </w:r>
      <w:r w:rsidR="001B126C">
        <w:rPr>
          <w:b w:val="0"/>
          <w:u w:val="none"/>
        </w:rPr>
        <w:t>’</w:t>
      </w:r>
      <w:r w:rsidR="00AE7280">
        <w:rPr>
          <w:b w:val="0"/>
          <w:u w:val="none"/>
        </w:rPr>
        <w:t>s request for cost recovery</w:t>
      </w:r>
      <w:r w:rsidR="005C3B56">
        <w:rPr>
          <w:b w:val="0"/>
          <w:u w:val="none"/>
        </w:rPr>
        <w:t>.</w:t>
      </w:r>
    </w:p>
    <w:p w14:paraId="4283066B" w14:textId="4F831B31" w:rsidR="00CA2BFB" w:rsidRDefault="00CA2BFB" w:rsidP="00CA2BFB">
      <w:pPr>
        <w:pStyle w:val="ListParagraph"/>
        <w:numPr>
          <w:ilvl w:val="0"/>
          <w:numId w:val="5"/>
        </w:numPr>
        <w:tabs>
          <w:tab w:val="left" w:pos="2520"/>
        </w:tabs>
        <w:spacing w:before="240" w:after="240" w:line="360" w:lineRule="auto"/>
        <w:jc w:val="both"/>
      </w:pPr>
      <w:r w:rsidRPr="004553EB">
        <w:t>S</w:t>
      </w:r>
      <w:r w:rsidRPr="00205E3F">
        <w:t>ection I</w:t>
      </w:r>
      <w:r>
        <w:t xml:space="preserve">II discusses the prudence and reasonableness of the </w:t>
      </w:r>
      <w:r w:rsidR="005E1229">
        <w:t xml:space="preserve">total </w:t>
      </w:r>
      <w:r>
        <w:t xml:space="preserve">construction and capital cost </w:t>
      </w:r>
      <w:r w:rsidR="005E1229">
        <w:t>for the Project</w:t>
      </w:r>
      <w:r w:rsidR="00F16282">
        <w:t xml:space="preserve"> based on the follow</w:t>
      </w:r>
      <w:r w:rsidR="000347C2">
        <w:t>ing:</w:t>
      </w:r>
    </w:p>
    <w:p w14:paraId="5DEA34B0" w14:textId="1847152A" w:rsidR="00794D48" w:rsidRDefault="000347C2" w:rsidP="00794D48">
      <w:pPr>
        <w:pStyle w:val="ListParagraph"/>
        <w:numPr>
          <w:ilvl w:val="1"/>
          <w:numId w:val="5"/>
        </w:numPr>
        <w:tabs>
          <w:tab w:val="left" w:pos="2520"/>
        </w:tabs>
        <w:spacing w:before="240" w:after="240" w:line="360" w:lineRule="auto"/>
        <w:jc w:val="both"/>
      </w:pPr>
      <w:r>
        <w:t>Total construction and capital cost projected to be incurred (</w:t>
      </w:r>
      <w:r w:rsidR="00605620">
        <w:t>$10.</w:t>
      </w:r>
      <w:r>
        <w:t>188</w:t>
      </w:r>
      <w:r w:rsidR="00C054E3">
        <w:t xml:space="preserve"> billion</w:t>
      </w:r>
      <w:r>
        <w:t>)</w:t>
      </w:r>
    </w:p>
    <w:p w14:paraId="6245FBD3" w14:textId="10565984" w:rsidR="00605620" w:rsidRDefault="007C0825" w:rsidP="00794D48">
      <w:pPr>
        <w:pStyle w:val="ListParagraph"/>
        <w:numPr>
          <w:ilvl w:val="1"/>
          <w:numId w:val="5"/>
        </w:numPr>
        <w:tabs>
          <w:tab w:val="left" w:pos="2520"/>
        </w:tabs>
        <w:spacing w:before="240" w:after="240" w:line="360" w:lineRule="auto"/>
        <w:jc w:val="both"/>
      </w:pPr>
      <w:r>
        <w:t>Total</w:t>
      </w:r>
      <w:r w:rsidR="00130A91">
        <w:t xml:space="preserve"> reasonable</w:t>
      </w:r>
      <w:r>
        <w:t xml:space="preserve"> construction and capital cost </w:t>
      </w:r>
      <w:r w:rsidR="00130A91">
        <w:t>recoverable</w:t>
      </w:r>
      <w:r>
        <w:t xml:space="preserve"> from customers (</w:t>
      </w:r>
      <w:r w:rsidR="00605620">
        <w:t>$8.8</w:t>
      </w:r>
      <w:r>
        <w:t>26</w:t>
      </w:r>
      <w:r w:rsidR="00C054E3">
        <w:t xml:space="preserve"> billion</w:t>
      </w:r>
      <w:r w:rsidR="00C6280C">
        <w:t>)</w:t>
      </w:r>
    </w:p>
    <w:p w14:paraId="0684CD06" w14:textId="668C5746" w:rsidR="00605620" w:rsidRDefault="00C6280C" w:rsidP="00C6280C">
      <w:pPr>
        <w:pStyle w:val="ListParagraph"/>
        <w:numPr>
          <w:ilvl w:val="1"/>
          <w:numId w:val="5"/>
        </w:numPr>
        <w:tabs>
          <w:tab w:val="left" w:pos="2520"/>
        </w:tabs>
        <w:spacing w:before="240" w:after="240" w:line="360" w:lineRule="auto"/>
        <w:jc w:val="both"/>
      </w:pPr>
      <w:r>
        <w:t xml:space="preserve">Total construction and capital cost </w:t>
      </w:r>
      <w:r w:rsidR="00130A91">
        <w:t>stipulated to be recovered</w:t>
      </w:r>
      <w:r>
        <w:t xml:space="preserve"> (</w:t>
      </w:r>
      <w:r w:rsidR="00605620">
        <w:t>$7.5</w:t>
      </w:r>
      <w:r>
        <w:t>62</w:t>
      </w:r>
      <w:r w:rsidR="00C054E3">
        <w:t xml:space="preserve"> billion</w:t>
      </w:r>
      <w:r>
        <w:t>)</w:t>
      </w:r>
    </w:p>
    <w:p w14:paraId="1BB7A2D1" w14:textId="7565FC2B" w:rsidR="009D6725" w:rsidRDefault="009D6725" w:rsidP="009D6725">
      <w:pPr>
        <w:pStyle w:val="ListParagraph"/>
        <w:numPr>
          <w:ilvl w:val="0"/>
          <w:numId w:val="5"/>
        </w:numPr>
        <w:tabs>
          <w:tab w:val="left" w:pos="2520"/>
        </w:tabs>
        <w:spacing w:before="240" w:after="240" w:line="360" w:lineRule="auto"/>
        <w:jc w:val="both"/>
      </w:pPr>
      <w:r>
        <w:rPr>
          <w:bCs/>
        </w:rPr>
        <w:t xml:space="preserve">Section </w:t>
      </w:r>
      <w:r w:rsidR="005E2FEA">
        <w:rPr>
          <w:bCs/>
        </w:rPr>
        <w:t>I</w:t>
      </w:r>
      <w:r>
        <w:rPr>
          <w:bCs/>
        </w:rPr>
        <w:t>V discusses the financing costs the Company seeks to add to rate base and the treatment of the NCCR tariff.</w:t>
      </w:r>
    </w:p>
    <w:p w14:paraId="7AF32797" w14:textId="44991F08" w:rsidR="009D6725" w:rsidRDefault="009D6725" w:rsidP="009D6725">
      <w:pPr>
        <w:pStyle w:val="ListParagraph"/>
        <w:numPr>
          <w:ilvl w:val="0"/>
          <w:numId w:val="5"/>
        </w:numPr>
        <w:tabs>
          <w:tab w:val="left" w:pos="2520"/>
        </w:tabs>
        <w:spacing w:before="240" w:after="240" w:line="360" w:lineRule="auto"/>
        <w:jc w:val="both"/>
      </w:pPr>
      <w:r w:rsidRPr="00205E3F">
        <w:t>Section V</w:t>
      </w:r>
      <w:r>
        <w:t xml:space="preserve"> discusses the operating expenses the Company seeks to include in rate base. </w:t>
      </w:r>
    </w:p>
    <w:p w14:paraId="09025E24" w14:textId="4148481A" w:rsidR="00420E5E" w:rsidRPr="00420E5E" w:rsidRDefault="003E3E01" w:rsidP="00081C83">
      <w:pPr>
        <w:pStyle w:val="ListParagraph"/>
        <w:numPr>
          <w:ilvl w:val="0"/>
          <w:numId w:val="5"/>
        </w:numPr>
        <w:tabs>
          <w:tab w:val="left" w:pos="2520"/>
        </w:tabs>
        <w:spacing w:before="240" w:after="240" w:line="360" w:lineRule="auto"/>
        <w:jc w:val="both"/>
      </w:pPr>
      <w:r>
        <w:rPr>
          <w:bCs/>
        </w:rPr>
        <w:t>Section V</w:t>
      </w:r>
      <w:r w:rsidR="009D6725">
        <w:rPr>
          <w:bCs/>
        </w:rPr>
        <w:t>I</w:t>
      </w:r>
      <w:r w:rsidR="00420E5E">
        <w:rPr>
          <w:bCs/>
        </w:rPr>
        <w:t xml:space="preserve"> discusses replacement fuel costs.</w:t>
      </w:r>
      <w:r>
        <w:rPr>
          <w:bCs/>
        </w:rPr>
        <w:t xml:space="preserve"> </w:t>
      </w:r>
    </w:p>
    <w:p w14:paraId="1BDB4ABD" w14:textId="0D02F141" w:rsidR="00AB5D0A" w:rsidRDefault="00AB5D0A" w:rsidP="00AB5D0A">
      <w:pPr>
        <w:pStyle w:val="ListParagraph"/>
        <w:numPr>
          <w:ilvl w:val="0"/>
          <w:numId w:val="5"/>
        </w:numPr>
        <w:tabs>
          <w:tab w:val="left" w:pos="2520"/>
        </w:tabs>
        <w:spacing w:before="240" w:after="240" w:line="360" w:lineRule="auto"/>
        <w:jc w:val="both"/>
      </w:pPr>
      <w:r w:rsidRPr="00205E3F">
        <w:t>Section VI</w:t>
      </w:r>
      <w:r>
        <w:t>I</w:t>
      </w:r>
      <w:r w:rsidR="00770CA9">
        <w:t xml:space="preserve"> discusses the appropriate retail </w:t>
      </w:r>
      <w:r w:rsidR="00AD1789">
        <w:t>base rate</w:t>
      </w:r>
      <w:r w:rsidR="00424F26">
        <w:t xml:space="preserve"> </w:t>
      </w:r>
      <w:r w:rsidR="00770CA9">
        <w:t xml:space="preserve">adjustments to recover the Vogtle Units 3 and 4 costs. </w:t>
      </w:r>
    </w:p>
    <w:p w14:paraId="02AC7123" w14:textId="1FBD72FF" w:rsidR="00AB5D0A" w:rsidRDefault="00AB5D0A" w:rsidP="00AB5D0A">
      <w:pPr>
        <w:pStyle w:val="ListParagraph"/>
        <w:numPr>
          <w:ilvl w:val="0"/>
          <w:numId w:val="5"/>
        </w:numPr>
        <w:tabs>
          <w:tab w:val="left" w:pos="2520"/>
        </w:tabs>
        <w:spacing w:before="240" w:after="240" w:line="360" w:lineRule="auto"/>
        <w:jc w:val="both"/>
      </w:pPr>
      <w:r w:rsidRPr="00205E3F">
        <w:t xml:space="preserve">Section </w:t>
      </w:r>
      <w:r w:rsidR="005E2FEA">
        <w:t xml:space="preserve">VIII </w:t>
      </w:r>
      <w:r w:rsidR="00FD04CD">
        <w:t xml:space="preserve">discusses Commercial Operation. </w:t>
      </w:r>
    </w:p>
    <w:p w14:paraId="69CA33E6" w14:textId="2A559D12" w:rsidR="009D6725" w:rsidRDefault="009D6725" w:rsidP="00AB5D0A">
      <w:pPr>
        <w:pStyle w:val="ListParagraph"/>
        <w:numPr>
          <w:ilvl w:val="0"/>
          <w:numId w:val="5"/>
        </w:numPr>
        <w:tabs>
          <w:tab w:val="left" w:pos="2520"/>
        </w:tabs>
        <w:spacing w:before="240" w:after="240" w:line="360" w:lineRule="auto"/>
        <w:jc w:val="both"/>
      </w:pPr>
      <w:r>
        <w:t xml:space="preserve">Section </w:t>
      </w:r>
      <w:r w:rsidR="005E2FEA">
        <w:t>I</w:t>
      </w:r>
      <w:r>
        <w:t xml:space="preserve">X discusses additional </w:t>
      </w:r>
      <w:r w:rsidR="0086475B">
        <w:t>provisions agreed to by the Stipulating Parties.</w:t>
      </w:r>
    </w:p>
    <w:p w14:paraId="67D454DB" w14:textId="2974AB26" w:rsidR="00893152" w:rsidRDefault="00732BA5" w:rsidP="00CC6C28">
      <w:pPr>
        <w:pStyle w:val="OutlineL1"/>
        <w:tabs>
          <w:tab w:val="clear" w:pos="2610"/>
          <w:tab w:val="num" w:pos="720"/>
        </w:tabs>
        <w:spacing w:before="240" w:after="240" w:line="360" w:lineRule="auto"/>
        <w:ind w:left="0"/>
        <w:jc w:val="both"/>
      </w:pPr>
      <w:bookmarkStart w:id="1" w:name="_Hlk134611147"/>
      <w:r>
        <w:t>OVERVIEW</w:t>
      </w:r>
    </w:p>
    <w:p w14:paraId="4F94AD60" w14:textId="31C02AA2" w:rsidR="001B4AFD" w:rsidRPr="008528F2" w:rsidRDefault="001B4AFD" w:rsidP="001B4AFD">
      <w:pPr>
        <w:keepNext/>
        <w:spacing w:before="240" w:after="240" w:line="360" w:lineRule="auto"/>
        <w:ind w:left="720" w:hanging="720"/>
        <w:jc w:val="both"/>
        <w:rPr>
          <w:rFonts w:eastAsia="Times New Roman"/>
          <w:b/>
          <w:bCs/>
          <w:color w:val="212121"/>
        </w:rPr>
      </w:pPr>
      <w:r w:rsidRPr="008528F2">
        <w:rPr>
          <w:rFonts w:eastAsia="Times New Roman"/>
          <w:b/>
          <w:bCs/>
          <w:color w:val="212121"/>
        </w:rPr>
        <w:t>Q.</w:t>
      </w:r>
      <w:r>
        <w:tab/>
      </w:r>
      <w:r w:rsidRPr="008528F2">
        <w:rPr>
          <w:rFonts w:eastAsia="Times New Roman"/>
          <w:b/>
          <w:bCs/>
          <w:color w:val="212121"/>
        </w:rPr>
        <w:t>WHAT HAS BEEN THE COMPANY</w:t>
      </w:r>
      <w:r w:rsidR="001B126C">
        <w:rPr>
          <w:rFonts w:eastAsia="Times New Roman"/>
          <w:b/>
          <w:bCs/>
          <w:color w:val="212121"/>
        </w:rPr>
        <w:t>’</w:t>
      </w:r>
      <w:r w:rsidRPr="008528F2">
        <w:rPr>
          <w:rFonts w:eastAsia="Times New Roman"/>
          <w:b/>
          <w:bCs/>
          <w:color w:val="212121"/>
        </w:rPr>
        <w:t>S NUMBER ONE PRIORITY WITH THE PROJECT?</w:t>
      </w:r>
    </w:p>
    <w:p w14:paraId="15CC2B4C" w14:textId="35AC3315" w:rsidR="001B4AFD" w:rsidRDefault="001B4AFD" w:rsidP="001B4AFD">
      <w:pPr>
        <w:spacing w:after="360" w:line="360" w:lineRule="auto"/>
        <w:ind w:left="720" w:hanging="720"/>
        <w:jc w:val="both"/>
        <w:rPr>
          <w:rFonts w:eastAsia="Times New Roman"/>
        </w:rPr>
      </w:pPr>
      <w:r>
        <w:t>A.</w:t>
      </w:r>
      <w:r>
        <w:tab/>
      </w:r>
      <w:r w:rsidRPr="0828326D">
        <w:rPr>
          <w:rFonts w:eastAsia="Times New Roman"/>
          <w:color w:val="000000" w:themeColor="text1"/>
        </w:rPr>
        <w:t>Since the Project</w:t>
      </w:r>
      <w:r w:rsidR="001B126C">
        <w:rPr>
          <w:rFonts w:eastAsia="Times New Roman"/>
          <w:color w:val="000000" w:themeColor="text1"/>
        </w:rPr>
        <w:t>’</w:t>
      </w:r>
      <w:r w:rsidRPr="0828326D">
        <w:rPr>
          <w:rFonts w:eastAsia="Times New Roman"/>
          <w:color w:val="000000" w:themeColor="text1"/>
        </w:rPr>
        <w:t xml:space="preserve">s inception, </w:t>
      </w:r>
      <w:r w:rsidRPr="008528F2">
        <w:rPr>
          <w:rFonts w:eastAsia="Times New Roman"/>
          <w:color w:val="000000" w:themeColor="text1"/>
        </w:rPr>
        <w:t>safety</w:t>
      </w:r>
      <w:r w:rsidRPr="0828326D">
        <w:rPr>
          <w:rFonts w:eastAsia="Times New Roman"/>
          <w:color w:val="000000" w:themeColor="text1"/>
        </w:rPr>
        <w:t xml:space="preserve"> has been the number one priority in the design and construction of Vogtle Units 3 and 4. Throughout construction, the Project maintained an OSHA Recordable Incidence Rate below the heavy construction industry average. </w:t>
      </w:r>
      <w:r>
        <w:rPr>
          <w:rFonts w:eastAsia="Times New Roman"/>
          <w:color w:val="000000" w:themeColor="text1"/>
        </w:rPr>
        <w:t>Also, t</w:t>
      </w:r>
      <w:r w:rsidRPr="0828326D">
        <w:rPr>
          <w:rFonts w:eastAsia="Times New Roman"/>
          <w:color w:val="000000" w:themeColor="text1"/>
        </w:rPr>
        <w:t xml:space="preserve">hroughout construction of the Project, the Company </w:t>
      </w:r>
      <w:r w:rsidRPr="04F48C41">
        <w:rPr>
          <w:rFonts w:eastAsia="Times New Roman"/>
          <w:color w:val="000000" w:themeColor="text1"/>
        </w:rPr>
        <w:t>has been inspected under</w:t>
      </w:r>
      <w:r w:rsidRPr="0828326D">
        <w:rPr>
          <w:rFonts w:eastAsia="Times New Roman"/>
          <w:color w:val="000000" w:themeColor="text1"/>
        </w:rPr>
        <w:t xml:space="preserve"> the Nuclear Regulatory Commission</w:t>
      </w:r>
      <w:r w:rsidR="001B126C">
        <w:rPr>
          <w:rFonts w:eastAsia="Times New Roman"/>
          <w:color w:val="000000" w:themeColor="text1"/>
        </w:rPr>
        <w:t>’</w:t>
      </w:r>
      <w:r w:rsidRPr="0828326D">
        <w:rPr>
          <w:rFonts w:eastAsia="Times New Roman"/>
          <w:color w:val="000000" w:themeColor="text1"/>
        </w:rPr>
        <w:t>s (“NRC”) Construction Reactor Oversight Process</w:t>
      </w:r>
      <w:r>
        <w:rPr>
          <w:rFonts w:eastAsia="Times New Roman"/>
          <w:color w:val="000000" w:themeColor="text1"/>
        </w:rPr>
        <w:t xml:space="preserve"> </w:t>
      </w:r>
      <w:r w:rsidRPr="0828326D">
        <w:rPr>
          <w:rFonts w:eastAsia="Times New Roman"/>
          <w:color w:val="000000" w:themeColor="text1"/>
        </w:rPr>
        <w:t>–</w:t>
      </w:r>
      <w:r>
        <w:rPr>
          <w:rFonts w:eastAsia="Times New Roman"/>
          <w:color w:val="000000" w:themeColor="text1"/>
        </w:rPr>
        <w:t xml:space="preserve"> </w:t>
      </w:r>
      <w:r w:rsidRPr="0828326D">
        <w:rPr>
          <w:rFonts w:eastAsia="Times New Roman"/>
          <w:color w:val="000000" w:themeColor="text1"/>
        </w:rPr>
        <w:t>an in-depth oversight and review process that enables the NRC to confirm the reactors are built according to NRC design and allows the NRC to objectively evaluate Southern Nuclear</w:t>
      </w:r>
      <w:r w:rsidR="001B126C">
        <w:rPr>
          <w:rFonts w:eastAsia="Times New Roman"/>
          <w:color w:val="000000" w:themeColor="text1"/>
        </w:rPr>
        <w:t>’</w:t>
      </w:r>
      <w:r w:rsidRPr="0828326D">
        <w:rPr>
          <w:rFonts w:eastAsia="Times New Roman"/>
          <w:color w:val="000000" w:themeColor="text1"/>
        </w:rPr>
        <w:t xml:space="preserve">s effectiveness in assuring construction quality while communicating performance assessment results to the public. As discussed in the </w:t>
      </w:r>
      <w:r>
        <w:rPr>
          <w:rFonts w:eastAsia="Times New Roman"/>
          <w:color w:val="000000" w:themeColor="text1"/>
        </w:rPr>
        <w:t>Application</w:t>
      </w:r>
      <w:r w:rsidRPr="0828326D">
        <w:rPr>
          <w:rFonts w:eastAsia="Times New Roman"/>
          <w:color w:val="000000" w:themeColor="text1"/>
        </w:rPr>
        <w:t xml:space="preserve"> and numerous VCM proceedings, the Company ensured that the priorities of safety, quality, and compliance </w:t>
      </w:r>
      <w:r w:rsidRPr="04F48C41">
        <w:rPr>
          <w:rFonts w:eastAsia="Times New Roman"/>
          <w:color w:val="000000" w:themeColor="text1"/>
        </w:rPr>
        <w:t xml:space="preserve">were </w:t>
      </w:r>
      <w:r w:rsidRPr="0828326D">
        <w:rPr>
          <w:rFonts w:eastAsia="Times New Roman"/>
          <w:color w:val="000000" w:themeColor="text1"/>
        </w:rPr>
        <w:t xml:space="preserve">never outweighed </w:t>
      </w:r>
      <w:r w:rsidRPr="04F48C41">
        <w:rPr>
          <w:rFonts w:eastAsia="Times New Roman"/>
          <w:color w:val="000000" w:themeColor="text1"/>
        </w:rPr>
        <w:t xml:space="preserve">by </w:t>
      </w:r>
      <w:r w:rsidRPr="0828326D">
        <w:rPr>
          <w:rFonts w:eastAsia="Times New Roman"/>
          <w:color w:val="000000" w:themeColor="text1"/>
        </w:rPr>
        <w:t>factors such as cost or schedule. As the Units transition to operation, safety and quality will remain the top priority, consistent with Southern Nuclear and Georgia Power</w:t>
      </w:r>
      <w:r w:rsidR="001B126C">
        <w:rPr>
          <w:rFonts w:eastAsia="Times New Roman"/>
          <w:color w:val="000000" w:themeColor="text1"/>
        </w:rPr>
        <w:t>’</w:t>
      </w:r>
      <w:r w:rsidRPr="0828326D">
        <w:rPr>
          <w:rFonts w:eastAsia="Times New Roman"/>
          <w:color w:val="000000" w:themeColor="text1"/>
        </w:rPr>
        <w:t>s industry-leading operational standards.</w:t>
      </w:r>
    </w:p>
    <w:p w14:paraId="6F6804DC" w14:textId="72B1614D" w:rsidR="00423B22" w:rsidRPr="00423B22" w:rsidRDefault="00423B22" w:rsidP="004F51C2">
      <w:pPr>
        <w:spacing w:before="240" w:after="240" w:line="360" w:lineRule="auto"/>
        <w:ind w:left="720" w:hanging="720"/>
        <w:jc w:val="both"/>
        <w:rPr>
          <w:b/>
          <w:bCs/>
        </w:rPr>
      </w:pPr>
      <w:r w:rsidRPr="00423B22">
        <w:rPr>
          <w:b/>
          <w:bCs/>
        </w:rPr>
        <w:t>Q.</w:t>
      </w:r>
      <w:r w:rsidRPr="00423B22">
        <w:rPr>
          <w:b/>
          <w:bCs/>
        </w:rPr>
        <w:tab/>
      </w:r>
      <w:r w:rsidR="001658EF">
        <w:rPr>
          <w:b/>
          <w:bCs/>
        </w:rPr>
        <w:t xml:space="preserve">PLEASE DESCRIBE </w:t>
      </w:r>
      <w:r w:rsidR="00346D93">
        <w:rPr>
          <w:b/>
          <w:bCs/>
        </w:rPr>
        <w:t xml:space="preserve">THE </w:t>
      </w:r>
      <w:r>
        <w:rPr>
          <w:b/>
          <w:bCs/>
        </w:rPr>
        <w:t>VOGTLE UNIT</w:t>
      </w:r>
      <w:r w:rsidR="008F1771">
        <w:rPr>
          <w:b/>
          <w:bCs/>
        </w:rPr>
        <w:t>S</w:t>
      </w:r>
      <w:r>
        <w:rPr>
          <w:b/>
          <w:bCs/>
        </w:rPr>
        <w:t xml:space="preserve"> 3 AND 4 </w:t>
      </w:r>
      <w:r w:rsidRPr="00423B22">
        <w:rPr>
          <w:b/>
          <w:bCs/>
        </w:rPr>
        <w:t xml:space="preserve">COSTS </w:t>
      </w:r>
      <w:r>
        <w:rPr>
          <w:b/>
          <w:bCs/>
        </w:rPr>
        <w:t xml:space="preserve">THE COMPANY </w:t>
      </w:r>
      <w:r w:rsidR="001658EF">
        <w:rPr>
          <w:b/>
          <w:bCs/>
        </w:rPr>
        <w:t xml:space="preserve">IS </w:t>
      </w:r>
      <w:r w:rsidR="000E1049">
        <w:rPr>
          <w:b/>
          <w:bCs/>
        </w:rPr>
        <w:t>SEEKING TO RECOVER</w:t>
      </w:r>
      <w:r w:rsidR="001658EF">
        <w:rPr>
          <w:b/>
          <w:bCs/>
        </w:rPr>
        <w:t>.</w:t>
      </w:r>
    </w:p>
    <w:p w14:paraId="61FE0D23" w14:textId="1ED8C2A2" w:rsidR="00D87B49" w:rsidRDefault="00423B22" w:rsidP="00423B22">
      <w:pPr>
        <w:spacing w:before="240" w:after="240" w:line="360" w:lineRule="auto"/>
        <w:ind w:left="720" w:hanging="720"/>
        <w:jc w:val="both"/>
      </w:pPr>
      <w:r>
        <w:t>A.</w:t>
      </w:r>
      <w:r>
        <w:tab/>
      </w:r>
      <w:r w:rsidR="00E4076E">
        <w:t xml:space="preserve">Georgia Power requests recovery </w:t>
      </w:r>
      <w:r w:rsidR="008535B0">
        <w:t>of</w:t>
      </w:r>
      <w:r w:rsidR="00E4076E">
        <w:t xml:space="preserve"> the reasonable and prudent construction and capital cost, financing costs, and operating costs associated with the completion of Vogtle Units 3 and 4 and </w:t>
      </w:r>
      <w:r w:rsidR="007D284B">
        <w:t xml:space="preserve">Common </w:t>
      </w:r>
      <w:r w:rsidR="00E4076E">
        <w:t xml:space="preserve">facilities. </w:t>
      </w:r>
      <w:r w:rsidR="006156C9">
        <w:t xml:space="preserve">While all the costs incurred to complete Vogtle Units 3 and 4 </w:t>
      </w:r>
      <w:r w:rsidR="006156C9" w:rsidRPr="00D87B49">
        <w:t xml:space="preserve">were prudent </w:t>
      </w:r>
      <w:r w:rsidR="00550E0E">
        <w:t>and reasonable</w:t>
      </w:r>
      <w:r w:rsidR="006156C9" w:rsidRPr="00D87B49">
        <w:t xml:space="preserve">, the Company </w:t>
      </w:r>
      <w:r w:rsidR="009E30C3">
        <w:t xml:space="preserve">decided to </w:t>
      </w:r>
      <w:r w:rsidR="00226AD9">
        <w:t xml:space="preserve">forego </w:t>
      </w:r>
      <w:r w:rsidR="00E803D5">
        <w:t xml:space="preserve">recovery of some costs </w:t>
      </w:r>
      <w:r w:rsidR="006156C9" w:rsidRPr="00D87B49">
        <w:t>from customers.</w:t>
      </w:r>
      <w:r w:rsidR="00683CD8" w:rsidRPr="00D87B49">
        <w:t xml:space="preserve"> </w:t>
      </w:r>
      <w:r w:rsidR="00C253FA" w:rsidRPr="00D87B49">
        <w:t xml:space="preserve">As shown in </w:t>
      </w:r>
      <w:r w:rsidR="00344EA6">
        <w:t>Georgia Power</w:t>
      </w:r>
      <w:r w:rsidR="001B126C">
        <w:t>’</w:t>
      </w:r>
      <w:r w:rsidR="00344EA6">
        <w:t>s</w:t>
      </w:r>
      <w:r w:rsidR="00C253FA" w:rsidRPr="00D87B49">
        <w:t xml:space="preserve"> </w:t>
      </w:r>
      <w:r w:rsidR="00C131AC">
        <w:t>Application</w:t>
      </w:r>
      <w:r w:rsidR="00C253FA" w:rsidRPr="00D87B49">
        <w:t xml:space="preserve">, the Company supports </w:t>
      </w:r>
      <w:r w:rsidR="005305F5" w:rsidRPr="00D87B49">
        <w:t xml:space="preserve">that $8.826 billion in total construction and capital cost is reasonable to recover from customers. However, </w:t>
      </w:r>
      <w:r w:rsidR="009A16F6">
        <w:t>as stated in the</w:t>
      </w:r>
      <w:r w:rsidR="00BA076E" w:rsidRPr="00D87B49">
        <w:t xml:space="preserve"> Stipulation, </w:t>
      </w:r>
      <w:r w:rsidR="00880B3C" w:rsidRPr="00D87B49">
        <w:t>the Company</w:t>
      </w:r>
      <w:r w:rsidR="003E744A">
        <w:t>,</w:t>
      </w:r>
      <w:r w:rsidR="00880B3C" w:rsidRPr="00D87B49">
        <w:t xml:space="preserve"> </w:t>
      </w:r>
      <w:r w:rsidR="002D2235">
        <w:t xml:space="preserve">PIA </w:t>
      </w:r>
      <w:r w:rsidR="00880B3C" w:rsidRPr="00D87B49">
        <w:t>Staff</w:t>
      </w:r>
      <w:r w:rsidR="0008421D">
        <w:t>,</w:t>
      </w:r>
      <w:r w:rsidR="00880B3C" w:rsidRPr="00D87B49">
        <w:t xml:space="preserve"> </w:t>
      </w:r>
      <w:r w:rsidR="003E744A">
        <w:t xml:space="preserve">and </w:t>
      </w:r>
      <w:r w:rsidR="00615687">
        <w:t xml:space="preserve">the </w:t>
      </w:r>
      <w:r w:rsidR="003E744A">
        <w:t>other Stipulating Parties</w:t>
      </w:r>
      <w:r w:rsidR="00880B3C" w:rsidRPr="00D87B49">
        <w:t xml:space="preserve"> have agreed that the Company </w:t>
      </w:r>
      <w:r w:rsidR="00FB1331">
        <w:t xml:space="preserve">is requesting to </w:t>
      </w:r>
      <w:r w:rsidR="00880B3C" w:rsidRPr="00D87B49">
        <w:t xml:space="preserve">recover </w:t>
      </w:r>
      <w:r w:rsidR="00D859C7" w:rsidRPr="00D87B49">
        <w:t xml:space="preserve">$7.562 billion in total construction and capital cost, along with the accompanying AFUDC </w:t>
      </w:r>
      <w:r w:rsidR="0086725C" w:rsidRPr="00D87B49">
        <w:t>financing costs</w:t>
      </w:r>
      <w:r w:rsidR="00D87B49" w:rsidRPr="00D87B49">
        <w:t xml:space="preserve"> and</w:t>
      </w:r>
      <w:r w:rsidR="0086725C" w:rsidRPr="00D87B49">
        <w:t xml:space="preserve"> operating costs,</w:t>
      </w:r>
      <w:r w:rsidR="00D87B49" w:rsidRPr="00D87B49">
        <w:t xml:space="preserve"> among other things</w:t>
      </w:r>
      <w:r w:rsidR="0086725C" w:rsidRPr="00D87B49">
        <w:t xml:space="preserve">. </w:t>
      </w:r>
      <w:r w:rsidR="00683CD8" w:rsidRPr="00D87B49">
        <w:t>Georgia Power</w:t>
      </w:r>
      <w:r w:rsidR="00683CD8">
        <w:t xml:space="preserve"> is seeking recovery </w:t>
      </w:r>
      <w:r w:rsidR="00E32ECE">
        <w:t xml:space="preserve">of </w:t>
      </w:r>
      <w:r w:rsidR="007A7A2C">
        <w:t xml:space="preserve">$2.626 billion </w:t>
      </w:r>
      <w:r w:rsidR="00683CD8">
        <w:t>less than the Company</w:t>
      </w:r>
      <w:r w:rsidR="001B126C">
        <w:t>’</w:t>
      </w:r>
      <w:r w:rsidR="00683CD8">
        <w:t xml:space="preserve">s projected total </w:t>
      </w:r>
      <w:r w:rsidR="00C3738D">
        <w:t xml:space="preserve">construction and capital cost for the </w:t>
      </w:r>
      <w:r w:rsidR="008529E8">
        <w:t>Project</w:t>
      </w:r>
      <w:r w:rsidR="00683CD8">
        <w:t xml:space="preserve">. </w:t>
      </w:r>
    </w:p>
    <w:p w14:paraId="4143E3B2" w14:textId="5A403355" w:rsidR="008A257B" w:rsidRDefault="008A257B" w:rsidP="00D87B49">
      <w:pPr>
        <w:spacing w:before="240" w:after="240" w:line="360" w:lineRule="auto"/>
        <w:ind w:left="720"/>
        <w:jc w:val="both"/>
      </w:pPr>
      <w:r>
        <w:t xml:space="preserve">Figure 1 below </w:t>
      </w:r>
      <w:r w:rsidR="001E4E59">
        <w:t>is a</w:t>
      </w:r>
      <w:r w:rsidR="001E4E59" w:rsidRPr="001E4E59">
        <w:t xml:space="preserve"> graphical representation of the Project costs and </w:t>
      </w:r>
      <w:r w:rsidR="00C8701C">
        <w:t xml:space="preserve">the </w:t>
      </w:r>
      <w:r w:rsidR="001E4E59" w:rsidRPr="001E4E59">
        <w:t>portions of those costs already found to be reasonable or prudent</w:t>
      </w:r>
      <w:r w:rsidR="00074A61">
        <w:t xml:space="preserve">, </w:t>
      </w:r>
      <w:r w:rsidR="00E71D97">
        <w:t xml:space="preserve">what </w:t>
      </w:r>
      <w:r w:rsidR="009C3544">
        <w:t xml:space="preserve">amount </w:t>
      </w:r>
      <w:r w:rsidR="00E71D97">
        <w:t xml:space="preserve">the Company </w:t>
      </w:r>
      <w:r w:rsidR="00BF0865">
        <w:t>elected</w:t>
      </w:r>
      <w:r w:rsidR="00E71D97">
        <w:t xml:space="preserve"> to </w:t>
      </w:r>
      <w:r w:rsidR="00074A61">
        <w:t xml:space="preserve">forego </w:t>
      </w:r>
      <w:r w:rsidR="00E71D97">
        <w:t>recover</w:t>
      </w:r>
      <w:r w:rsidR="00064280">
        <w:t>y</w:t>
      </w:r>
      <w:r w:rsidR="00E71D97">
        <w:t xml:space="preserve"> </w:t>
      </w:r>
      <w:r w:rsidR="00074A61">
        <w:t>of</w:t>
      </w:r>
      <w:r w:rsidR="00E71D97">
        <w:t xml:space="preserve"> from customers, and what </w:t>
      </w:r>
      <w:r w:rsidR="00D87B49">
        <w:t>amount was agreed to in the Stipul</w:t>
      </w:r>
      <w:r w:rsidR="0030518D">
        <w:t>a</w:t>
      </w:r>
      <w:r w:rsidR="00D87B49">
        <w:t>tion to be recovered from customers</w:t>
      </w:r>
      <w:r w:rsidR="00E3214C">
        <w:t xml:space="preserve">. </w:t>
      </w:r>
    </w:p>
    <w:p w14:paraId="4F86013D" w14:textId="460A22AC" w:rsidR="00E3214C" w:rsidRPr="00E3214C" w:rsidRDefault="00E3214C" w:rsidP="00B77178">
      <w:pPr>
        <w:keepNext/>
        <w:spacing w:before="240" w:after="240" w:line="360" w:lineRule="auto"/>
        <w:ind w:left="720"/>
        <w:jc w:val="center"/>
        <w:rPr>
          <w:b/>
          <w:bCs/>
        </w:rPr>
      </w:pPr>
      <w:r w:rsidRPr="00E3214C">
        <w:rPr>
          <w:b/>
          <w:bCs/>
        </w:rPr>
        <w:t>Figure 1:</w:t>
      </w:r>
      <w:r w:rsidR="005E2C65">
        <w:rPr>
          <w:b/>
          <w:bCs/>
        </w:rPr>
        <w:t xml:space="preserve"> Total Project Construction and Capital Cost</w:t>
      </w:r>
    </w:p>
    <w:p w14:paraId="0B5AC3B9" w14:textId="2C26EF5B" w:rsidR="00E3214C" w:rsidRDefault="00BF0865" w:rsidP="00B77178">
      <w:pPr>
        <w:keepNext/>
        <w:spacing w:before="240" w:after="240" w:line="360" w:lineRule="auto"/>
        <w:ind w:left="720"/>
        <w:jc w:val="both"/>
      </w:pPr>
      <w:r w:rsidRPr="00AF3337">
        <w:rPr>
          <w:noProof/>
        </w:rPr>
        <w:drawing>
          <wp:inline distT="0" distB="0" distL="0" distR="0" wp14:anchorId="36C65E20" wp14:editId="1BBDF9E9">
            <wp:extent cx="5611091" cy="3496741"/>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9561" cy="3508251"/>
                    </a:xfrm>
                    <a:prstGeom prst="rect">
                      <a:avLst/>
                    </a:prstGeom>
                  </pic:spPr>
                </pic:pic>
              </a:graphicData>
            </a:graphic>
          </wp:inline>
        </w:drawing>
      </w:r>
    </w:p>
    <w:p w14:paraId="7262B8AF" w14:textId="40F778B1" w:rsidR="002E69DF" w:rsidRPr="00E37C18" w:rsidRDefault="002E69DF" w:rsidP="00B77178">
      <w:pPr>
        <w:spacing w:before="240" w:after="240" w:line="360" w:lineRule="auto"/>
        <w:ind w:left="720"/>
        <w:jc w:val="both"/>
        <w:rPr>
          <w:bCs/>
        </w:rPr>
      </w:pPr>
      <w:r>
        <w:t>Table 1 below takes into account the amounts agreed to in the Stipulation and summarizes the Company</w:t>
      </w:r>
      <w:r w:rsidR="001B126C">
        <w:t>’</w:t>
      </w:r>
      <w:r>
        <w:t>s request of total construction and capital, financing, and operating costs for Vogtle Units 3 and 4</w:t>
      </w:r>
      <w:r w:rsidR="00A14C85">
        <w:t xml:space="preserve">. Table 1 </w:t>
      </w:r>
      <w:r>
        <w:t xml:space="preserve">represents the </w:t>
      </w:r>
      <w:r w:rsidRPr="00064E87">
        <w:rPr>
          <w:i/>
          <w:iCs/>
        </w:rPr>
        <w:t>total</w:t>
      </w:r>
      <w:r>
        <w:t xml:space="preserve"> Project costs for which Georgia Power seeks a Commission finding of reasonableness and prudence. As approved in the Unit 3 Rate Adjustment Order, $2.1 billion of the $7</w:t>
      </w:r>
      <w:r w:rsidR="00D8796E">
        <w:t>.</w:t>
      </w:r>
      <w:r>
        <w:t>562 billion is already being recovered in current rates for</w:t>
      </w:r>
      <w:r w:rsidR="00AD383C">
        <w:t xml:space="preserve"> </w:t>
      </w:r>
      <w:r>
        <w:t xml:space="preserve">Unit 3 and </w:t>
      </w:r>
      <w:r w:rsidR="008C37CD">
        <w:t>C</w:t>
      </w:r>
      <w:r>
        <w:t xml:space="preserve">ommon construction and capital cost along with Unit 3 operating costs. </w:t>
      </w:r>
      <w:r w:rsidR="00352AFE">
        <w:t>For this proceeding, t</w:t>
      </w:r>
      <w:r>
        <w:t xml:space="preserve">he base rate increase requested only reflects the </w:t>
      </w:r>
      <w:r w:rsidRPr="00064E87">
        <w:rPr>
          <w:i/>
          <w:iCs/>
        </w:rPr>
        <w:t>incremental</w:t>
      </w:r>
      <w:r>
        <w:t xml:space="preserve"> costs not reflected in current rates.</w:t>
      </w:r>
    </w:p>
    <w:p w14:paraId="0E69353E" w14:textId="5B62FEEF" w:rsidR="00D16C35" w:rsidRDefault="00A433E5" w:rsidP="00D063BC">
      <w:pPr>
        <w:keepNext/>
        <w:spacing w:before="240" w:after="240" w:line="360" w:lineRule="auto"/>
        <w:ind w:left="720" w:hanging="720"/>
        <w:jc w:val="center"/>
        <w:rPr>
          <w:b/>
          <w:sz w:val="20"/>
          <w:szCs w:val="20"/>
        </w:rPr>
      </w:pPr>
      <w:r w:rsidRPr="00930EDB">
        <w:rPr>
          <w:b/>
        </w:rPr>
        <w:t>Table 1: Summary of Request</w:t>
      </w:r>
      <w:r w:rsidR="00E17455">
        <w:rPr>
          <w:rStyle w:val="FootnoteReference"/>
          <w:b/>
        </w:rPr>
        <w:footnoteReference w:id="2"/>
      </w:r>
    </w:p>
    <w:tbl>
      <w:tblPr>
        <w:tblStyle w:val="TableGrid"/>
        <w:tblW w:w="0" w:type="auto"/>
        <w:tblInd w:w="1380" w:type="dxa"/>
        <w:tblLook w:val="04A0" w:firstRow="1" w:lastRow="0" w:firstColumn="1" w:lastColumn="0" w:noHBand="0" w:noVBand="1"/>
      </w:tblPr>
      <w:tblGrid>
        <w:gridCol w:w="4465"/>
        <w:gridCol w:w="2520"/>
      </w:tblGrid>
      <w:tr w:rsidR="00D16C35" w:rsidRPr="00F566D8" w14:paraId="747A7AFC" w14:textId="77777777" w:rsidTr="00CD41D6">
        <w:tc>
          <w:tcPr>
            <w:tcW w:w="4465" w:type="dxa"/>
          </w:tcPr>
          <w:p w14:paraId="752C5267" w14:textId="77777777" w:rsidR="00D16C35" w:rsidRPr="00F566D8" w:rsidRDefault="00D16C35" w:rsidP="00D063BC">
            <w:pPr>
              <w:keepNext/>
              <w:keepLines/>
              <w:jc w:val="both"/>
              <w:rPr>
                <w:b/>
                <w:bCs/>
                <w:sz w:val="24"/>
              </w:rPr>
            </w:pPr>
            <w:r>
              <w:rPr>
                <w:b/>
                <w:bCs/>
                <w:sz w:val="24"/>
              </w:rPr>
              <w:t xml:space="preserve">Capital </w:t>
            </w:r>
            <w:r w:rsidRPr="00F566D8">
              <w:rPr>
                <w:b/>
                <w:bCs/>
                <w:sz w:val="24"/>
              </w:rPr>
              <w:t>Cost Requested for Recovery</w:t>
            </w:r>
          </w:p>
        </w:tc>
        <w:tc>
          <w:tcPr>
            <w:tcW w:w="2520" w:type="dxa"/>
          </w:tcPr>
          <w:p w14:paraId="4062332D" w14:textId="77777777" w:rsidR="00D16C35" w:rsidRPr="00F566D8" w:rsidRDefault="00D16C35" w:rsidP="00D063BC">
            <w:pPr>
              <w:keepNext/>
              <w:keepLines/>
              <w:jc w:val="right"/>
              <w:rPr>
                <w:b/>
                <w:bCs/>
                <w:sz w:val="24"/>
              </w:rPr>
            </w:pPr>
            <w:r w:rsidRPr="00F566D8">
              <w:rPr>
                <w:b/>
                <w:bCs/>
                <w:sz w:val="24"/>
              </w:rPr>
              <w:t>Amount (millions)</w:t>
            </w:r>
          </w:p>
          <w:p w14:paraId="125225A2" w14:textId="2106C0F1" w:rsidR="00D16C35" w:rsidRPr="00F566D8" w:rsidRDefault="00D16C35" w:rsidP="00D063BC">
            <w:pPr>
              <w:keepNext/>
              <w:keepLines/>
              <w:jc w:val="right"/>
              <w:rPr>
                <w:b/>
                <w:bCs/>
                <w:sz w:val="24"/>
              </w:rPr>
            </w:pPr>
            <w:r w:rsidRPr="16E05A11">
              <w:rPr>
                <w:b/>
                <w:bCs/>
                <w:sz w:val="24"/>
              </w:rPr>
              <w:t>13-Month Average</w:t>
            </w:r>
          </w:p>
        </w:tc>
      </w:tr>
      <w:tr w:rsidR="00D16C35" w:rsidRPr="00F566D8" w14:paraId="57F74E7D" w14:textId="77777777" w:rsidTr="00CD41D6">
        <w:tc>
          <w:tcPr>
            <w:tcW w:w="4465" w:type="dxa"/>
          </w:tcPr>
          <w:p w14:paraId="19CD0C29" w14:textId="26AC90A1" w:rsidR="00D16C35" w:rsidRPr="00F566D8" w:rsidRDefault="00D16C35" w:rsidP="00CD41D6">
            <w:pPr>
              <w:keepNext/>
              <w:keepLines/>
              <w:jc w:val="both"/>
              <w:rPr>
                <w:sz w:val="24"/>
              </w:rPr>
            </w:pPr>
            <w:r w:rsidRPr="00F566D8">
              <w:rPr>
                <w:sz w:val="24"/>
              </w:rPr>
              <w:t xml:space="preserve">Construction </w:t>
            </w:r>
            <w:r>
              <w:rPr>
                <w:sz w:val="24"/>
              </w:rPr>
              <w:t xml:space="preserve">and </w:t>
            </w:r>
            <w:r w:rsidRPr="00F566D8">
              <w:rPr>
                <w:sz w:val="24"/>
              </w:rPr>
              <w:t>Capital Cost</w:t>
            </w:r>
          </w:p>
        </w:tc>
        <w:tc>
          <w:tcPr>
            <w:tcW w:w="2520" w:type="dxa"/>
          </w:tcPr>
          <w:p w14:paraId="6A58490C" w14:textId="63EB38B6" w:rsidR="00D16C35" w:rsidRPr="00F566D8" w:rsidRDefault="00D16C35" w:rsidP="00CD41D6">
            <w:pPr>
              <w:keepNext/>
              <w:keepLines/>
              <w:jc w:val="right"/>
              <w:rPr>
                <w:sz w:val="24"/>
              </w:rPr>
            </w:pPr>
            <w:r w:rsidRPr="735F1D50">
              <w:rPr>
                <w:sz w:val="24"/>
              </w:rPr>
              <w:t>$</w:t>
            </w:r>
            <w:r w:rsidR="006D1B5B">
              <w:rPr>
                <w:sz w:val="24"/>
              </w:rPr>
              <w:t>7,562</w:t>
            </w:r>
          </w:p>
        </w:tc>
      </w:tr>
      <w:tr w:rsidR="00D16C35" w:rsidRPr="00F566D8" w14:paraId="38317B1A" w14:textId="77777777" w:rsidTr="00CD41D6">
        <w:tc>
          <w:tcPr>
            <w:tcW w:w="4465" w:type="dxa"/>
          </w:tcPr>
          <w:p w14:paraId="458AF849" w14:textId="77777777" w:rsidR="00D16C35" w:rsidRPr="00E405AC" w:rsidRDefault="00D16C35" w:rsidP="00CD41D6">
            <w:pPr>
              <w:keepNext/>
              <w:keepLines/>
              <w:jc w:val="both"/>
              <w:rPr>
                <w:sz w:val="24"/>
              </w:rPr>
            </w:pPr>
            <w:r w:rsidRPr="00E405AC">
              <w:rPr>
                <w:sz w:val="24"/>
              </w:rPr>
              <w:t>AFUDC Financing Costs</w:t>
            </w:r>
          </w:p>
        </w:tc>
        <w:tc>
          <w:tcPr>
            <w:tcW w:w="2520" w:type="dxa"/>
            <w:shd w:val="clear" w:color="auto" w:fill="auto"/>
          </w:tcPr>
          <w:p w14:paraId="7F63F16A" w14:textId="570CB082" w:rsidR="00D16C35" w:rsidRPr="00E405AC" w:rsidRDefault="00EE061F" w:rsidP="00CD41D6">
            <w:pPr>
              <w:keepNext/>
              <w:keepLines/>
              <w:jc w:val="right"/>
              <w:rPr>
                <w:sz w:val="24"/>
              </w:rPr>
            </w:pPr>
            <w:r>
              <w:rPr>
                <w:sz w:val="24"/>
              </w:rPr>
              <w:t>437</w:t>
            </w:r>
          </w:p>
        </w:tc>
      </w:tr>
      <w:tr w:rsidR="00D16C35" w:rsidRPr="00F566D8" w14:paraId="0D02A2DF" w14:textId="77777777" w:rsidTr="00CD41D6">
        <w:tc>
          <w:tcPr>
            <w:tcW w:w="4465" w:type="dxa"/>
          </w:tcPr>
          <w:p w14:paraId="5D4C5734" w14:textId="77777777" w:rsidR="00D16C35" w:rsidRPr="00FA0D9D" w:rsidRDefault="00D16C35" w:rsidP="00CD41D6">
            <w:pPr>
              <w:keepNext/>
              <w:keepLines/>
              <w:jc w:val="both"/>
              <w:rPr>
                <w:sz w:val="24"/>
              </w:rPr>
            </w:pPr>
            <w:r w:rsidRPr="00FA0D9D">
              <w:rPr>
                <w:sz w:val="24"/>
              </w:rPr>
              <w:t>(less) Capital Accumulated Reserve</w:t>
            </w:r>
          </w:p>
        </w:tc>
        <w:tc>
          <w:tcPr>
            <w:tcW w:w="2520" w:type="dxa"/>
            <w:shd w:val="clear" w:color="auto" w:fill="auto"/>
          </w:tcPr>
          <w:p w14:paraId="54BA6006" w14:textId="16BBA43A" w:rsidR="00D16C35" w:rsidRPr="00FA0D9D" w:rsidRDefault="00D16C35" w:rsidP="00CD41D6">
            <w:pPr>
              <w:keepNext/>
              <w:keepLines/>
              <w:spacing w:line="259" w:lineRule="auto"/>
              <w:jc w:val="right"/>
              <w:rPr>
                <w:sz w:val="24"/>
              </w:rPr>
            </w:pPr>
            <w:r>
              <w:rPr>
                <w:sz w:val="24"/>
              </w:rPr>
              <w:t xml:space="preserve"> </w:t>
            </w:r>
            <w:r w:rsidRPr="0F487625">
              <w:rPr>
                <w:sz w:val="24"/>
              </w:rPr>
              <w:t>(</w:t>
            </w:r>
            <w:r w:rsidRPr="6AD70169">
              <w:rPr>
                <w:sz w:val="24"/>
              </w:rPr>
              <w:t>1</w:t>
            </w:r>
            <w:r w:rsidR="00EE061F">
              <w:rPr>
                <w:sz w:val="24"/>
              </w:rPr>
              <w:t>31</w:t>
            </w:r>
            <w:r w:rsidRPr="0F487625">
              <w:rPr>
                <w:sz w:val="24"/>
              </w:rPr>
              <w:t>)</w:t>
            </w:r>
          </w:p>
        </w:tc>
      </w:tr>
      <w:tr w:rsidR="00D16C35" w:rsidRPr="00F566D8" w14:paraId="41B12B67" w14:textId="77777777" w:rsidTr="00CD41D6">
        <w:tc>
          <w:tcPr>
            <w:tcW w:w="4465" w:type="dxa"/>
          </w:tcPr>
          <w:p w14:paraId="392EEC93" w14:textId="77777777" w:rsidR="00D16C35" w:rsidRPr="00FA0D9D" w:rsidRDefault="00D16C35" w:rsidP="00CD41D6">
            <w:pPr>
              <w:keepNext/>
              <w:keepLines/>
              <w:jc w:val="both"/>
              <w:rPr>
                <w:sz w:val="24"/>
              </w:rPr>
            </w:pPr>
            <w:r w:rsidRPr="00FA0D9D">
              <w:rPr>
                <w:sz w:val="24"/>
              </w:rPr>
              <w:t xml:space="preserve">Nuclear Fuel (net of </w:t>
            </w:r>
            <w:r>
              <w:rPr>
                <w:sz w:val="24"/>
              </w:rPr>
              <w:t>Accumulated R</w:t>
            </w:r>
            <w:r w:rsidRPr="00FA0D9D">
              <w:rPr>
                <w:sz w:val="24"/>
              </w:rPr>
              <w:t>eserve)</w:t>
            </w:r>
          </w:p>
        </w:tc>
        <w:tc>
          <w:tcPr>
            <w:tcW w:w="2520" w:type="dxa"/>
            <w:shd w:val="clear" w:color="auto" w:fill="auto"/>
          </w:tcPr>
          <w:p w14:paraId="583699A5" w14:textId="77777777" w:rsidR="00D16C35" w:rsidRPr="00FA0D9D" w:rsidRDefault="00D16C35" w:rsidP="00CD41D6">
            <w:pPr>
              <w:keepNext/>
              <w:keepLines/>
              <w:jc w:val="right"/>
              <w:rPr>
                <w:sz w:val="24"/>
              </w:rPr>
            </w:pPr>
            <w:r w:rsidRPr="00211F4F">
              <w:rPr>
                <w:sz w:val="24"/>
              </w:rPr>
              <w:t>232</w:t>
            </w:r>
          </w:p>
        </w:tc>
      </w:tr>
      <w:tr w:rsidR="00D16C35" w:rsidRPr="00F566D8" w14:paraId="76C63E9A" w14:textId="77777777" w:rsidTr="00CD41D6">
        <w:tc>
          <w:tcPr>
            <w:tcW w:w="4465" w:type="dxa"/>
          </w:tcPr>
          <w:p w14:paraId="44DAEDCD" w14:textId="77777777" w:rsidR="00D16C35" w:rsidRPr="00FA0D9D" w:rsidRDefault="00D16C35" w:rsidP="00CD41D6">
            <w:pPr>
              <w:keepNext/>
              <w:keepLines/>
              <w:jc w:val="both"/>
              <w:rPr>
                <w:sz w:val="24"/>
              </w:rPr>
            </w:pPr>
            <w:r w:rsidRPr="00FA0D9D">
              <w:rPr>
                <w:sz w:val="24"/>
              </w:rPr>
              <w:t>Regulatory Assets</w:t>
            </w:r>
          </w:p>
        </w:tc>
        <w:tc>
          <w:tcPr>
            <w:tcW w:w="2520" w:type="dxa"/>
            <w:shd w:val="clear" w:color="auto" w:fill="auto"/>
          </w:tcPr>
          <w:p w14:paraId="1DE1B415" w14:textId="77777777" w:rsidR="00D16C35" w:rsidRPr="00FA0D9D" w:rsidRDefault="00D16C35" w:rsidP="00CD41D6">
            <w:pPr>
              <w:keepNext/>
              <w:keepLines/>
              <w:jc w:val="right"/>
              <w:rPr>
                <w:sz w:val="24"/>
              </w:rPr>
            </w:pPr>
            <w:r w:rsidRPr="735F1D50">
              <w:rPr>
                <w:sz w:val="24"/>
              </w:rPr>
              <w:t>215</w:t>
            </w:r>
          </w:p>
        </w:tc>
      </w:tr>
      <w:tr w:rsidR="00D16C35" w:rsidRPr="00F566D8" w14:paraId="6B0688EC" w14:textId="77777777" w:rsidTr="00CD41D6">
        <w:tc>
          <w:tcPr>
            <w:tcW w:w="4465" w:type="dxa"/>
          </w:tcPr>
          <w:p w14:paraId="2E5C83E5" w14:textId="77777777" w:rsidR="00D16C35" w:rsidRPr="00FA0D9D" w:rsidRDefault="00D16C35" w:rsidP="00CD41D6">
            <w:pPr>
              <w:keepNext/>
              <w:keepLines/>
              <w:jc w:val="both"/>
              <w:rPr>
                <w:sz w:val="24"/>
              </w:rPr>
            </w:pPr>
            <w:r w:rsidRPr="00FA0D9D">
              <w:rPr>
                <w:sz w:val="24"/>
              </w:rPr>
              <w:t>Spare Parts Inventory</w:t>
            </w:r>
          </w:p>
        </w:tc>
        <w:tc>
          <w:tcPr>
            <w:tcW w:w="2520" w:type="dxa"/>
            <w:shd w:val="clear" w:color="auto" w:fill="auto"/>
          </w:tcPr>
          <w:p w14:paraId="2E3CBC0A" w14:textId="77777777" w:rsidR="00D16C35" w:rsidRPr="00FA0D9D" w:rsidRDefault="00D16C35" w:rsidP="00CD41D6">
            <w:pPr>
              <w:keepNext/>
              <w:keepLines/>
              <w:jc w:val="right"/>
              <w:rPr>
                <w:sz w:val="24"/>
              </w:rPr>
            </w:pPr>
            <w:r w:rsidRPr="00211F4F">
              <w:rPr>
                <w:sz w:val="24"/>
              </w:rPr>
              <w:t>54</w:t>
            </w:r>
          </w:p>
        </w:tc>
      </w:tr>
      <w:tr w:rsidR="00D16C35" w:rsidRPr="00F566D8" w14:paraId="44BF81A8" w14:textId="77777777" w:rsidTr="00CD41D6">
        <w:tc>
          <w:tcPr>
            <w:tcW w:w="4465" w:type="dxa"/>
          </w:tcPr>
          <w:p w14:paraId="74BFB5E6" w14:textId="77777777" w:rsidR="00D16C35" w:rsidRPr="00FA0D9D" w:rsidRDefault="00D16C35" w:rsidP="00CD41D6">
            <w:pPr>
              <w:keepNext/>
              <w:keepLines/>
              <w:jc w:val="both"/>
              <w:rPr>
                <w:sz w:val="24"/>
              </w:rPr>
            </w:pPr>
            <w:r w:rsidRPr="00FA0D9D">
              <w:rPr>
                <w:sz w:val="24"/>
              </w:rPr>
              <w:t>Accumulated Deferred Income Taxes</w:t>
            </w:r>
          </w:p>
        </w:tc>
        <w:tc>
          <w:tcPr>
            <w:tcW w:w="2520" w:type="dxa"/>
            <w:shd w:val="clear" w:color="auto" w:fill="auto"/>
          </w:tcPr>
          <w:p w14:paraId="79B2359B" w14:textId="6921DBF0" w:rsidR="00D16C35" w:rsidRPr="00FA0D9D" w:rsidRDefault="00D16C35" w:rsidP="00CD41D6">
            <w:pPr>
              <w:keepNext/>
              <w:keepLines/>
              <w:jc w:val="right"/>
              <w:rPr>
                <w:sz w:val="24"/>
              </w:rPr>
            </w:pPr>
            <w:r w:rsidRPr="735F1D50">
              <w:rPr>
                <w:sz w:val="24"/>
              </w:rPr>
              <w:t>2</w:t>
            </w:r>
            <w:r w:rsidR="00C826E4">
              <w:rPr>
                <w:sz w:val="24"/>
              </w:rPr>
              <w:t>12</w:t>
            </w:r>
          </w:p>
        </w:tc>
      </w:tr>
      <w:tr w:rsidR="00D16C35" w:rsidRPr="00D87B49" w14:paraId="341A17AE" w14:textId="77777777" w:rsidTr="00CD41D6">
        <w:tc>
          <w:tcPr>
            <w:tcW w:w="4465" w:type="dxa"/>
          </w:tcPr>
          <w:p w14:paraId="01DDD7BC" w14:textId="77777777" w:rsidR="00D16C35" w:rsidRPr="00FA0D9D" w:rsidRDefault="00D16C35" w:rsidP="00CD41D6">
            <w:pPr>
              <w:keepNext/>
              <w:keepLines/>
              <w:jc w:val="both"/>
              <w:rPr>
                <w:b/>
                <w:bCs/>
                <w:sz w:val="24"/>
              </w:rPr>
            </w:pPr>
            <w:r w:rsidRPr="00FA0D9D">
              <w:rPr>
                <w:b/>
                <w:bCs/>
                <w:sz w:val="24"/>
              </w:rPr>
              <w:t>Total</w:t>
            </w:r>
          </w:p>
        </w:tc>
        <w:tc>
          <w:tcPr>
            <w:tcW w:w="2520" w:type="dxa"/>
            <w:shd w:val="clear" w:color="auto" w:fill="auto"/>
          </w:tcPr>
          <w:p w14:paraId="36AA08A3" w14:textId="418C3DD8" w:rsidR="00D16C35" w:rsidRPr="00D87B49" w:rsidRDefault="00D16C35" w:rsidP="00CD41D6">
            <w:pPr>
              <w:keepNext/>
              <w:keepLines/>
              <w:jc w:val="right"/>
              <w:rPr>
                <w:b/>
                <w:sz w:val="24"/>
                <w:szCs w:val="32"/>
              </w:rPr>
            </w:pPr>
            <w:r w:rsidRPr="00D87B49">
              <w:rPr>
                <w:b/>
                <w:sz w:val="24"/>
                <w:szCs w:val="32"/>
              </w:rPr>
              <w:t>$</w:t>
            </w:r>
            <w:r w:rsidR="00C826E4" w:rsidRPr="00D87B49">
              <w:rPr>
                <w:b/>
                <w:sz w:val="24"/>
                <w:szCs w:val="32"/>
              </w:rPr>
              <w:t>8,580</w:t>
            </w:r>
          </w:p>
        </w:tc>
      </w:tr>
    </w:tbl>
    <w:p w14:paraId="3B261876" w14:textId="77777777" w:rsidR="00CB70A2" w:rsidRPr="0099499A" w:rsidRDefault="00CB70A2" w:rsidP="00CB70A2">
      <w:pPr>
        <w:spacing w:line="360" w:lineRule="auto"/>
        <w:ind w:left="720" w:firstLine="720"/>
        <w:jc w:val="both"/>
        <w:rPr>
          <w:sz w:val="20"/>
          <w:szCs w:val="20"/>
        </w:rPr>
      </w:pPr>
      <w:r w:rsidRPr="0099499A">
        <w:rPr>
          <w:sz w:val="20"/>
          <w:szCs w:val="20"/>
        </w:rPr>
        <w:t>Note – Details may not add to total due to rounding.</w:t>
      </w:r>
    </w:p>
    <w:p w14:paraId="5DBF86D4" w14:textId="2C2ED794" w:rsidR="002634BF" w:rsidRPr="00F963D8" w:rsidRDefault="002634BF" w:rsidP="00F963D8">
      <w:pPr>
        <w:spacing w:line="360" w:lineRule="auto"/>
        <w:ind w:left="720" w:firstLine="720"/>
        <w:jc w:val="both"/>
        <w:rPr>
          <w:sz w:val="20"/>
          <w:szCs w:val="20"/>
        </w:rPr>
      </w:pPr>
    </w:p>
    <w:tbl>
      <w:tblPr>
        <w:tblStyle w:val="TableGrid"/>
        <w:tblW w:w="0" w:type="auto"/>
        <w:tblInd w:w="1345" w:type="dxa"/>
        <w:tblLook w:val="04A0" w:firstRow="1" w:lastRow="0" w:firstColumn="1" w:lastColumn="0" w:noHBand="0" w:noVBand="1"/>
      </w:tblPr>
      <w:tblGrid>
        <w:gridCol w:w="4500"/>
        <w:gridCol w:w="2520"/>
      </w:tblGrid>
      <w:tr w:rsidR="0033247A" w:rsidRPr="00F566D8" w14:paraId="7BB07663" w14:textId="77777777" w:rsidTr="00CD41D6">
        <w:tc>
          <w:tcPr>
            <w:tcW w:w="4500" w:type="dxa"/>
          </w:tcPr>
          <w:p w14:paraId="5781BB06" w14:textId="5E202A02" w:rsidR="0033247A" w:rsidRPr="00F566D8" w:rsidRDefault="0033247A" w:rsidP="00CD41D6">
            <w:pPr>
              <w:keepNext/>
              <w:keepLines/>
              <w:jc w:val="both"/>
              <w:rPr>
                <w:b/>
                <w:bCs/>
                <w:sz w:val="24"/>
              </w:rPr>
            </w:pPr>
            <w:r>
              <w:rPr>
                <w:b/>
                <w:bCs/>
                <w:sz w:val="24"/>
              </w:rPr>
              <w:t>Operating Expense</w:t>
            </w:r>
            <w:r w:rsidRPr="00F566D8">
              <w:rPr>
                <w:b/>
                <w:bCs/>
                <w:sz w:val="24"/>
              </w:rPr>
              <w:t xml:space="preserve"> Requested for Recovery</w:t>
            </w:r>
          </w:p>
        </w:tc>
        <w:tc>
          <w:tcPr>
            <w:tcW w:w="2520" w:type="dxa"/>
          </w:tcPr>
          <w:p w14:paraId="26F0B730" w14:textId="77777777" w:rsidR="0033247A" w:rsidRPr="00F566D8" w:rsidRDefault="0033247A" w:rsidP="00CD41D6">
            <w:pPr>
              <w:keepNext/>
              <w:keepLines/>
              <w:jc w:val="right"/>
              <w:rPr>
                <w:b/>
                <w:bCs/>
                <w:sz w:val="24"/>
              </w:rPr>
            </w:pPr>
            <w:r w:rsidRPr="00F566D8">
              <w:rPr>
                <w:b/>
                <w:bCs/>
                <w:sz w:val="24"/>
              </w:rPr>
              <w:t>Amount (millions)</w:t>
            </w:r>
          </w:p>
        </w:tc>
      </w:tr>
      <w:tr w:rsidR="0033247A" w:rsidRPr="00F566D8" w14:paraId="6EDFA7BD" w14:textId="77777777" w:rsidTr="00CD41D6">
        <w:tc>
          <w:tcPr>
            <w:tcW w:w="4500" w:type="dxa"/>
          </w:tcPr>
          <w:p w14:paraId="3BBABEE2" w14:textId="77777777" w:rsidR="0033247A" w:rsidRPr="00F566D8" w:rsidRDefault="0033247A" w:rsidP="00CD41D6">
            <w:pPr>
              <w:keepNext/>
              <w:keepLines/>
              <w:jc w:val="both"/>
              <w:rPr>
                <w:sz w:val="24"/>
              </w:rPr>
            </w:pPr>
            <w:r w:rsidRPr="00211F4F">
              <w:rPr>
                <w:sz w:val="24"/>
              </w:rPr>
              <w:t>O&amp;M Expense</w:t>
            </w:r>
          </w:p>
        </w:tc>
        <w:tc>
          <w:tcPr>
            <w:tcW w:w="2520" w:type="dxa"/>
            <w:shd w:val="clear" w:color="auto" w:fill="auto"/>
          </w:tcPr>
          <w:p w14:paraId="0639B4F4" w14:textId="77777777" w:rsidR="0033247A" w:rsidRPr="00F566D8" w:rsidRDefault="0033247A" w:rsidP="00CD41D6">
            <w:pPr>
              <w:keepNext/>
              <w:keepLines/>
              <w:jc w:val="right"/>
              <w:rPr>
                <w:sz w:val="24"/>
              </w:rPr>
            </w:pPr>
            <w:r w:rsidRPr="00211F4F">
              <w:rPr>
                <w:sz w:val="24"/>
              </w:rPr>
              <w:t>$1</w:t>
            </w:r>
            <w:r>
              <w:rPr>
                <w:sz w:val="24"/>
              </w:rPr>
              <w:t>55</w:t>
            </w:r>
          </w:p>
        </w:tc>
      </w:tr>
      <w:tr w:rsidR="0033247A" w:rsidRPr="00F566D8" w14:paraId="2422430C" w14:textId="77777777" w:rsidTr="00CD41D6">
        <w:tc>
          <w:tcPr>
            <w:tcW w:w="4500" w:type="dxa"/>
          </w:tcPr>
          <w:p w14:paraId="1532F938" w14:textId="77777777" w:rsidR="0033247A" w:rsidRPr="00E405AC" w:rsidRDefault="0033247A" w:rsidP="00CD41D6">
            <w:pPr>
              <w:keepNext/>
              <w:keepLines/>
              <w:jc w:val="both"/>
              <w:rPr>
                <w:sz w:val="24"/>
              </w:rPr>
            </w:pPr>
            <w:r w:rsidRPr="00211F4F">
              <w:rPr>
                <w:sz w:val="24"/>
              </w:rPr>
              <w:t>Depreciation Expense</w:t>
            </w:r>
          </w:p>
        </w:tc>
        <w:tc>
          <w:tcPr>
            <w:tcW w:w="2520" w:type="dxa"/>
            <w:shd w:val="clear" w:color="auto" w:fill="auto"/>
          </w:tcPr>
          <w:p w14:paraId="5F8FA10C" w14:textId="08F49327" w:rsidR="0033247A" w:rsidRPr="00E405AC" w:rsidRDefault="0033247A" w:rsidP="00CD41D6">
            <w:pPr>
              <w:keepNext/>
              <w:keepLines/>
              <w:jc w:val="right"/>
              <w:rPr>
                <w:sz w:val="24"/>
              </w:rPr>
            </w:pPr>
            <w:r w:rsidRPr="13A86B59">
              <w:rPr>
                <w:sz w:val="24"/>
              </w:rPr>
              <w:t>1</w:t>
            </w:r>
            <w:r w:rsidR="45E25B00" w:rsidRPr="13A86B59">
              <w:rPr>
                <w:sz w:val="24"/>
              </w:rPr>
              <w:t>34</w:t>
            </w:r>
          </w:p>
        </w:tc>
      </w:tr>
      <w:tr w:rsidR="0033247A" w:rsidRPr="00F566D8" w14:paraId="1711E9C6" w14:textId="77777777" w:rsidTr="00CD41D6">
        <w:tc>
          <w:tcPr>
            <w:tcW w:w="4500" w:type="dxa"/>
          </w:tcPr>
          <w:p w14:paraId="5172D63C" w14:textId="77777777" w:rsidR="0033247A" w:rsidRPr="00E405AC" w:rsidRDefault="0033247A" w:rsidP="00CD41D6">
            <w:pPr>
              <w:keepNext/>
              <w:keepLines/>
              <w:jc w:val="both"/>
              <w:rPr>
                <w:sz w:val="24"/>
              </w:rPr>
            </w:pPr>
            <w:r>
              <w:rPr>
                <w:sz w:val="24"/>
              </w:rPr>
              <w:t>Property Taxes</w:t>
            </w:r>
          </w:p>
        </w:tc>
        <w:tc>
          <w:tcPr>
            <w:tcW w:w="2520" w:type="dxa"/>
            <w:shd w:val="clear" w:color="auto" w:fill="auto"/>
          </w:tcPr>
          <w:p w14:paraId="3D91A273" w14:textId="69681EEB" w:rsidR="0033247A" w:rsidRPr="00E405AC" w:rsidRDefault="0033247A" w:rsidP="00CD41D6">
            <w:pPr>
              <w:keepNext/>
              <w:keepLines/>
              <w:jc w:val="right"/>
              <w:rPr>
                <w:sz w:val="24"/>
              </w:rPr>
            </w:pPr>
            <w:r w:rsidRPr="00211F4F">
              <w:rPr>
                <w:sz w:val="24"/>
              </w:rPr>
              <w:t>5</w:t>
            </w:r>
            <w:r w:rsidR="00BC1EA6">
              <w:rPr>
                <w:sz w:val="24"/>
              </w:rPr>
              <w:t>8</w:t>
            </w:r>
          </w:p>
        </w:tc>
      </w:tr>
      <w:tr w:rsidR="0033247A" w:rsidRPr="00F566D8" w14:paraId="32B3E9DF" w14:textId="77777777" w:rsidTr="00CD41D6">
        <w:tc>
          <w:tcPr>
            <w:tcW w:w="4500" w:type="dxa"/>
          </w:tcPr>
          <w:p w14:paraId="25421C29" w14:textId="77777777" w:rsidR="0033247A" w:rsidRPr="00FA0D9D" w:rsidRDefault="0033247A" w:rsidP="00CD41D6">
            <w:pPr>
              <w:keepNext/>
              <w:keepLines/>
              <w:jc w:val="both"/>
              <w:rPr>
                <w:sz w:val="24"/>
              </w:rPr>
            </w:pPr>
            <w:r>
              <w:rPr>
                <w:sz w:val="24"/>
              </w:rPr>
              <w:t>Nuclear Decommissioning</w:t>
            </w:r>
          </w:p>
        </w:tc>
        <w:tc>
          <w:tcPr>
            <w:tcW w:w="2520" w:type="dxa"/>
            <w:shd w:val="clear" w:color="auto" w:fill="auto"/>
          </w:tcPr>
          <w:p w14:paraId="743F1274" w14:textId="77777777" w:rsidR="0033247A" w:rsidRPr="00FA0D9D" w:rsidRDefault="0033247A" w:rsidP="00CD41D6">
            <w:pPr>
              <w:keepNext/>
              <w:keepLines/>
              <w:jc w:val="right"/>
              <w:rPr>
                <w:sz w:val="24"/>
              </w:rPr>
            </w:pPr>
            <w:r w:rsidRPr="00211F4F">
              <w:rPr>
                <w:sz w:val="24"/>
              </w:rPr>
              <w:t>15</w:t>
            </w:r>
          </w:p>
        </w:tc>
      </w:tr>
      <w:tr w:rsidR="0033247A" w:rsidRPr="00F566D8" w14:paraId="40941669" w14:textId="77777777" w:rsidTr="00CD41D6">
        <w:tc>
          <w:tcPr>
            <w:tcW w:w="4500" w:type="dxa"/>
          </w:tcPr>
          <w:p w14:paraId="3B1FE20F" w14:textId="77777777" w:rsidR="0033247A" w:rsidRPr="00211F4F" w:rsidRDefault="0033247A" w:rsidP="00CD41D6">
            <w:pPr>
              <w:keepNext/>
              <w:keepLines/>
              <w:jc w:val="both"/>
              <w:rPr>
                <w:sz w:val="24"/>
              </w:rPr>
            </w:pPr>
            <w:r w:rsidRPr="00211F4F">
              <w:rPr>
                <w:sz w:val="24"/>
              </w:rPr>
              <w:t>Regulatory Assets Amortization</w:t>
            </w:r>
          </w:p>
        </w:tc>
        <w:tc>
          <w:tcPr>
            <w:tcW w:w="2520" w:type="dxa"/>
            <w:shd w:val="clear" w:color="auto" w:fill="auto"/>
          </w:tcPr>
          <w:p w14:paraId="51302F51" w14:textId="77777777" w:rsidR="0033247A" w:rsidRPr="00211F4F" w:rsidRDefault="0033247A" w:rsidP="00CD41D6">
            <w:pPr>
              <w:keepNext/>
              <w:keepLines/>
              <w:jc w:val="right"/>
              <w:rPr>
                <w:sz w:val="24"/>
              </w:rPr>
            </w:pPr>
            <w:r>
              <w:rPr>
                <w:sz w:val="24"/>
              </w:rPr>
              <w:t>23</w:t>
            </w:r>
          </w:p>
        </w:tc>
      </w:tr>
      <w:tr w:rsidR="0033247A" w:rsidRPr="00F566D8" w14:paraId="6C445D8D" w14:textId="77777777" w:rsidTr="00CD41D6">
        <w:tc>
          <w:tcPr>
            <w:tcW w:w="4500" w:type="dxa"/>
          </w:tcPr>
          <w:p w14:paraId="0C2C87C6" w14:textId="0A17314D" w:rsidR="0033247A" w:rsidRPr="00211F4F" w:rsidRDefault="0033247A" w:rsidP="00CD41D6">
            <w:pPr>
              <w:keepNext/>
              <w:keepLines/>
              <w:jc w:val="both"/>
              <w:rPr>
                <w:sz w:val="24"/>
              </w:rPr>
            </w:pPr>
            <w:r>
              <w:rPr>
                <w:sz w:val="24"/>
              </w:rPr>
              <w:t xml:space="preserve">(less) </w:t>
            </w:r>
            <w:r w:rsidRPr="00211F4F">
              <w:rPr>
                <w:sz w:val="24"/>
              </w:rPr>
              <w:t>Production Tax Credits</w:t>
            </w:r>
          </w:p>
        </w:tc>
        <w:tc>
          <w:tcPr>
            <w:tcW w:w="2520" w:type="dxa"/>
            <w:shd w:val="clear" w:color="auto" w:fill="auto"/>
          </w:tcPr>
          <w:p w14:paraId="2361714D" w14:textId="6AB45690" w:rsidR="0033247A" w:rsidRPr="00211F4F" w:rsidRDefault="0033247A" w:rsidP="00CD41D6">
            <w:pPr>
              <w:keepNext/>
              <w:keepLines/>
              <w:jc w:val="right"/>
              <w:rPr>
                <w:sz w:val="24"/>
              </w:rPr>
            </w:pPr>
            <w:r>
              <w:rPr>
                <w:sz w:val="24"/>
              </w:rPr>
              <w:t xml:space="preserve"> </w:t>
            </w:r>
            <w:r w:rsidRPr="00211F4F">
              <w:rPr>
                <w:sz w:val="24"/>
              </w:rPr>
              <w:t>(</w:t>
            </w:r>
            <w:r w:rsidRPr="13A86B59">
              <w:rPr>
                <w:sz w:val="24"/>
              </w:rPr>
              <w:t>1</w:t>
            </w:r>
            <w:r w:rsidR="0148373A" w:rsidRPr="13A86B59">
              <w:rPr>
                <w:sz w:val="24"/>
              </w:rPr>
              <w:t>37</w:t>
            </w:r>
            <w:r w:rsidRPr="00211F4F">
              <w:rPr>
                <w:sz w:val="24"/>
              </w:rPr>
              <w:t>)</w:t>
            </w:r>
          </w:p>
        </w:tc>
      </w:tr>
    </w:tbl>
    <w:p w14:paraId="56664C91" w14:textId="69399EAD" w:rsidR="0033247A" w:rsidRPr="00144BE3" w:rsidRDefault="0033247A" w:rsidP="00F963D8">
      <w:pPr>
        <w:spacing w:line="360" w:lineRule="auto"/>
        <w:jc w:val="both"/>
        <w:rPr>
          <w:sz w:val="20"/>
          <w:szCs w:val="20"/>
        </w:rPr>
      </w:pPr>
    </w:p>
    <w:p w14:paraId="642532DF" w14:textId="56D81DD7" w:rsidR="00683CD8" w:rsidRDefault="00683CD8" w:rsidP="00683CD8">
      <w:pPr>
        <w:spacing w:before="240" w:after="240" w:line="360" w:lineRule="auto"/>
        <w:ind w:left="720" w:hanging="720"/>
        <w:jc w:val="both"/>
        <w:rPr>
          <w:b/>
          <w:bCs/>
        </w:rPr>
      </w:pPr>
      <w:r>
        <w:rPr>
          <w:b/>
          <w:bCs/>
        </w:rPr>
        <w:t>Q.</w:t>
      </w:r>
      <w:r w:rsidRPr="004F51C2">
        <w:rPr>
          <w:b/>
          <w:bCs/>
        </w:rPr>
        <w:tab/>
      </w:r>
      <w:r>
        <w:rPr>
          <w:b/>
          <w:bCs/>
        </w:rPr>
        <w:t xml:space="preserve">WHY IS IT APPROPRIATE FOR CUSTOMERS TO PAY FOR </w:t>
      </w:r>
      <w:r w:rsidR="00371988">
        <w:rPr>
          <w:b/>
          <w:bCs/>
        </w:rPr>
        <w:t xml:space="preserve">THE COSTS ASSOCIATED WITH </w:t>
      </w:r>
      <w:r w:rsidR="00830066">
        <w:rPr>
          <w:b/>
          <w:bCs/>
        </w:rPr>
        <w:t>VOGTLE UNITS 3 AND 4</w:t>
      </w:r>
      <w:r>
        <w:rPr>
          <w:b/>
          <w:bCs/>
        </w:rPr>
        <w:t>?</w:t>
      </w:r>
    </w:p>
    <w:p w14:paraId="674E5348" w14:textId="29E83606" w:rsidR="00683CD8" w:rsidRDefault="00683CD8" w:rsidP="00683CD8">
      <w:pPr>
        <w:pStyle w:val="OutlineL1"/>
        <w:numPr>
          <w:ilvl w:val="0"/>
          <w:numId w:val="0"/>
        </w:numPr>
        <w:spacing w:before="240" w:after="240" w:line="360" w:lineRule="auto"/>
        <w:ind w:left="720" w:hanging="720"/>
        <w:jc w:val="both"/>
        <w:rPr>
          <w:b w:val="0"/>
          <w:bCs/>
          <w:u w:val="none"/>
        </w:rPr>
      </w:pPr>
      <w:r w:rsidRPr="00683CD8">
        <w:rPr>
          <w:b w:val="0"/>
          <w:bCs/>
          <w:u w:val="none"/>
        </w:rPr>
        <w:t>A.</w:t>
      </w:r>
      <w:r w:rsidRPr="00DA7232">
        <w:rPr>
          <w:u w:val="none"/>
        </w:rPr>
        <w:tab/>
      </w:r>
      <w:r w:rsidR="00D16F76">
        <w:rPr>
          <w:b w:val="0"/>
          <w:bCs/>
          <w:u w:val="none"/>
        </w:rPr>
        <w:t xml:space="preserve">Upon Commercial Operation, Unit 4 will be placed into service </w:t>
      </w:r>
      <w:r w:rsidR="00FC3AB6">
        <w:rPr>
          <w:b w:val="0"/>
          <w:u w:val="none"/>
        </w:rPr>
        <w:t xml:space="preserve">and join Unit 3 </w:t>
      </w:r>
      <w:r w:rsidR="002A2F36">
        <w:rPr>
          <w:b w:val="0"/>
          <w:u w:val="none"/>
        </w:rPr>
        <w:t xml:space="preserve">in operations </w:t>
      </w:r>
      <w:r w:rsidR="00C30C0B">
        <w:rPr>
          <w:b w:val="0"/>
          <w:bCs/>
          <w:u w:val="none"/>
        </w:rPr>
        <w:t>for the benefit of</w:t>
      </w:r>
      <w:r w:rsidR="00D16F76">
        <w:rPr>
          <w:b w:val="0"/>
          <w:bCs/>
          <w:u w:val="none"/>
        </w:rPr>
        <w:t xml:space="preserve"> Georgia Power</w:t>
      </w:r>
      <w:r w:rsidR="001B126C">
        <w:rPr>
          <w:b w:val="0"/>
          <w:bCs/>
          <w:u w:val="none"/>
        </w:rPr>
        <w:t>’</w:t>
      </w:r>
      <w:r w:rsidR="00D16F76">
        <w:rPr>
          <w:b w:val="0"/>
          <w:bCs/>
          <w:u w:val="none"/>
        </w:rPr>
        <w:t>s retail customer</w:t>
      </w:r>
      <w:r w:rsidR="002C2FE2">
        <w:rPr>
          <w:b w:val="0"/>
          <w:bCs/>
          <w:u w:val="none"/>
        </w:rPr>
        <w:t>s</w:t>
      </w:r>
      <w:r w:rsidR="00D16F76">
        <w:rPr>
          <w:b w:val="0"/>
          <w:bCs/>
          <w:u w:val="none"/>
        </w:rPr>
        <w:t>.</w:t>
      </w:r>
      <w:r w:rsidR="002C2FE2">
        <w:rPr>
          <w:b w:val="0"/>
          <w:bCs/>
          <w:u w:val="none"/>
        </w:rPr>
        <w:t xml:space="preserve"> </w:t>
      </w:r>
      <w:r w:rsidR="000B06A5">
        <w:rPr>
          <w:b w:val="0"/>
          <w:bCs/>
          <w:u w:val="none"/>
        </w:rPr>
        <w:t>With Unit</w:t>
      </w:r>
      <w:r w:rsidR="00CA52C6">
        <w:rPr>
          <w:b w:val="0"/>
          <w:bCs/>
          <w:u w:val="none"/>
        </w:rPr>
        <w:t>s</w:t>
      </w:r>
      <w:r w:rsidR="000B06A5">
        <w:rPr>
          <w:b w:val="0"/>
          <w:bCs/>
          <w:u w:val="none"/>
        </w:rPr>
        <w:t xml:space="preserve"> 3 </w:t>
      </w:r>
      <w:r w:rsidR="00CD79B8">
        <w:rPr>
          <w:b w:val="0"/>
          <w:bCs/>
          <w:u w:val="none"/>
        </w:rPr>
        <w:t>and 4 in commercial service as used and useful</w:t>
      </w:r>
      <w:r w:rsidR="00E824BA">
        <w:rPr>
          <w:b w:val="0"/>
          <w:bCs/>
          <w:u w:val="none"/>
        </w:rPr>
        <w:t>,</w:t>
      </w:r>
      <w:r w:rsidR="001A4250">
        <w:rPr>
          <w:b w:val="0"/>
          <w:bCs/>
          <w:u w:val="none"/>
        </w:rPr>
        <w:t xml:space="preserve"> </w:t>
      </w:r>
      <w:r w:rsidR="00A17553">
        <w:rPr>
          <w:b w:val="0"/>
          <w:bCs/>
          <w:u w:val="none"/>
        </w:rPr>
        <w:t xml:space="preserve">the cost to construct, finance, and operate Units 3 and 4 are </w:t>
      </w:r>
      <w:r w:rsidR="00E824BA">
        <w:rPr>
          <w:b w:val="0"/>
          <w:bCs/>
          <w:u w:val="none"/>
        </w:rPr>
        <w:t xml:space="preserve">reasonable and prudent </w:t>
      </w:r>
      <w:r w:rsidR="00A17553">
        <w:rPr>
          <w:b w:val="0"/>
          <w:bCs/>
          <w:u w:val="none"/>
        </w:rPr>
        <w:t xml:space="preserve">costs incurred by the Company to serve customers </w:t>
      </w:r>
      <w:r w:rsidR="002F072B">
        <w:rPr>
          <w:b w:val="0"/>
          <w:bCs/>
          <w:u w:val="none"/>
        </w:rPr>
        <w:t xml:space="preserve">and </w:t>
      </w:r>
      <w:r w:rsidR="008E7BEE">
        <w:rPr>
          <w:b w:val="0"/>
          <w:bCs/>
          <w:u w:val="none"/>
        </w:rPr>
        <w:t>are</w:t>
      </w:r>
      <w:r w:rsidR="00A17553">
        <w:rPr>
          <w:b w:val="0"/>
          <w:bCs/>
          <w:u w:val="none"/>
        </w:rPr>
        <w:t xml:space="preserve"> appropriate</w:t>
      </w:r>
      <w:r w:rsidR="002F072B">
        <w:rPr>
          <w:b w:val="0"/>
          <w:bCs/>
          <w:u w:val="none"/>
        </w:rPr>
        <w:t xml:space="preserve"> costs</w:t>
      </w:r>
      <w:r w:rsidR="00140841">
        <w:rPr>
          <w:b w:val="0"/>
          <w:bCs/>
          <w:u w:val="none"/>
        </w:rPr>
        <w:t xml:space="preserve"> </w:t>
      </w:r>
      <w:r w:rsidR="008E7BEE">
        <w:rPr>
          <w:b w:val="0"/>
          <w:bCs/>
          <w:u w:val="none"/>
        </w:rPr>
        <w:t xml:space="preserve">to be </w:t>
      </w:r>
      <w:r w:rsidR="002F072B">
        <w:rPr>
          <w:b w:val="0"/>
          <w:bCs/>
          <w:u w:val="none"/>
        </w:rPr>
        <w:t xml:space="preserve">recovered from </w:t>
      </w:r>
      <w:r w:rsidR="00140841">
        <w:rPr>
          <w:b w:val="0"/>
          <w:bCs/>
          <w:u w:val="none"/>
        </w:rPr>
        <w:t>customers.</w:t>
      </w:r>
      <w:r w:rsidR="00D16F76">
        <w:rPr>
          <w:b w:val="0"/>
          <w:bCs/>
          <w:u w:val="none"/>
        </w:rPr>
        <w:t xml:space="preserve"> </w:t>
      </w:r>
    </w:p>
    <w:p w14:paraId="5E081F5E" w14:textId="3953E865" w:rsidR="00830066" w:rsidRDefault="00830066" w:rsidP="004F51C2">
      <w:pPr>
        <w:spacing w:before="240" w:after="240" w:line="360" w:lineRule="auto"/>
        <w:ind w:left="720" w:hanging="720"/>
        <w:jc w:val="both"/>
        <w:rPr>
          <w:b/>
          <w:bCs/>
        </w:rPr>
      </w:pPr>
      <w:r>
        <w:rPr>
          <w:b/>
          <w:bCs/>
        </w:rPr>
        <w:t>Q.</w:t>
      </w:r>
      <w:r>
        <w:rPr>
          <w:b/>
          <w:bCs/>
        </w:rPr>
        <w:tab/>
      </w:r>
      <w:r w:rsidR="00F14D0A">
        <w:rPr>
          <w:b/>
          <w:bCs/>
        </w:rPr>
        <w:t xml:space="preserve">HOW WILL </w:t>
      </w:r>
      <w:r>
        <w:rPr>
          <w:b/>
          <w:bCs/>
        </w:rPr>
        <w:t>GEORGIA POWER</w:t>
      </w:r>
      <w:r w:rsidR="001B126C">
        <w:rPr>
          <w:b/>
          <w:bCs/>
        </w:rPr>
        <w:t>’</w:t>
      </w:r>
      <w:r>
        <w:rPr>
          <w:b/>
          <w:bCs/>
        </w:rPr>
        <w:t xml:space="preserve">S CUSTOMERS </w:t>
      </w:r>
      <w:r w:rsidR="00F14D0A">
        <w:rPr>
          <w:b/>
          <w:bCs/>
        </w:rPr>
        <w:t xml:space="preserve">BENEFIT </w:t>
      </w:r>
      <w:r>
        <w:rPr>
          <w:b/>
          <w:bCs/>
        </w:rPr>
        <w:t>FROM UNITS 3 AND</w:t>
      </w:r>
      <w:r w:rsidR="00280E8C">
        <w:rPr>
          <w:b/>
          <w:bCs/>
        </w:rPr>
        <w:t> </w:t>
      </w:r>
      <w:r>
        <w:rPr>
          <w:b/>
          <w:bCs/>
        </w:rPr>
        <w:t>4 GOING INTO SERVICE?</w:t>
      </w:r>
    </w:p>
    <w:p w14:paraId="78A853A7" w14:textId="7197862E" w:rsidR="00830066" w:rsidRDefault="00830066" w:rsidP="004F51C2">
      <w:pPr>
        <w:spacing w:after="240" w:line="360" w:lineRule="auto"/>
        <w:ind w:left="720" w:hanging="720"/>
        <w:jc w:val="both"/>
        <w:rPr>
          <w:rFonts w:eastAsia="Times New Roman"/>
          <w:color w:val="212121"/>
        </w:rPr>
      </w:pPr>
      <w:r>
        <w:t>A.</w:t>
      </w:r>
      <w:r>
        <w:tab/>
      </w:r>
      <w:r w:rsidR="00E40DB8" w:rsidRPr="0099499A">
        <w:t>At Georgia Power, customers are at the center of everything we do, and we are unwavering in our commitment to meet the energy needs of our 2.7 million customers and the communities we are privileged to serve</w:t>
      </w:r>
      <w:r w:rsidR="00E40DB8">
        <w:t xml:space="preserve">. </w:t>
      </w:r>
      <w:r w:rsidRPr="6C369641">
        <w:rPr>
          <w:rFonts w:eastAsia="Times New Roman"/>
        </w:rPr>
        <w:t xml:space="preserve">Vogtle Units 3 and 4 will add two </w:t>
      </w:r>
      <w:r w:rsidRPr="6C369641">
        <w:rPr>
          <w:rFonts w:eastAsia="Times New Roman"/>
          <w:color w:val="212121"/>
        </w:rPr>
        <w:t>reliable, carbon</w:t>
      </w:r>
      <w:r w:rsidR="00DC40D7">
        <w:rPr>
          <w:rFonts w:eastAsia="Times New Roman"/>
          <w:color w:val="212121"/>
        </w:rPr>
        <w:t>-</w:t>
      </w:r>
      <w:r w:rsidRPr="6C369641">
        <w:rPr>
          <w:rFonts w:eastAsia="Times New Roman"/>
          <w:color w:val="212121"/>
        </w:rPr>
        <w:t>free, baseload units to the Georgia Power generation fleet and will serve Georgia Power customers for the next 60 to 80 years.</w:t>
      </w:r>
      <w:r w:rsidR="008405F9">
        <w:rPr>
          <w:rFonts w:eastAsia="Times New Roman"/>
          <w:color w:val="212121"/>
        </w:rPr>
        <w:t xml:space="preserve"> </w:t>
      </w:r>
      <w:r w:rsidR="65A95796" w:rsidRPr="5A65321B">
        <w:rPr>
          <w:rFonts w:eastAsia="Times New Roman"/>
        </w:rPr>
        <w:t>Notwithstanding the high upfront capital costs, nuclear energy remains one of the lowest</w:t>
      </w:r>
      <w:r w:rsidR="008D76BB">
        <w:rPr>
          <w:rFonts w:eastAsia="Times New Roman"/>
        </w:rPr>
        <w:t>-</w:t>
      </w:r>
      <w:r w:rsidR="65A95796" w:rsidRPr="5A65321B">
        <w:rPr>
          <w:rFonts w:eastAsia="Times New Roman"/>
        </w:rPr>
        <w:t>cost and most reliable energy sources for our state and our customers.</w:t>
      </w:r>
      <w:r w:rsidRPr="5A65321B">
        <w:rPr>
          <w:rFonts w:eastAsia="Times New Roman"/>
          <w:color w:val="212121"/>
        </w:rPr>
        <w:t xml:space="preserve"> </w:t>
      </w:r>
      <w:r w:rsidRPr="6C369641">
        <w:rPr>
          <w:rFonts w:eastAsia="Times New Roman"/>
          <w:color w:val="212121"/>
        </w:rPr>
        <w:t>Vogtle Units 3 and 4 will provide necessary baseload energy for our customers along with fuel diversity to help protect customers from unpredictable fluctuations in fuel prices. Once completed, Vogtle Units 1 through 4 are expected to produce more carbon</w:t>
      </w:r>
      <w:r w:rsidR="00DD3021">
        <w:rPr>
          <w:rFonts w:eastAsia="Times New Roman"/>
          <w:color w:val="212121"/>
        </w:rPr>
        <w:t>-</w:t>
      </w:r>
      <w:r w:rsidRPr="6C369641">
        <w:rPr>
          <w:rFonts w:eastAsia="Times New Roman"/>
          <w:color w:val="212121"/>
        </w:rPr>
        <w:t>free electricity each year than any other energy facility currently operating in the United States.</w:t>
      </w:r>
    </w:p>
    <w:p w14:paraId="6C9E2D32" w14:textId="6FD76018" w:rsidR="00830066" w:rsidRDefault="00830066" w:rsidP="004F51C2">
      <w:pPr>
        <w:spacing w:before="240" w:after="240" w:line="360" w:lineRule="auto"/>
        <w:ind w:left="720" w:hanging="720"/>
        <w:jc w:val="both"/>
        <w:rPr>
          <w:rFonts w:eastAsia="Times New Roman"/>
          <w:b/>
          <w:bCs/>
          <w:color w:val="212121"/>
        </w:rPr>
      </w:pPr>
      <w:r w:rsidRPr="008528F2">
        <w:rPr>
          <w:rFonts w:eastAsia="Times New Roman"/>
          <w:b/>
          <w:bCs/>
          <w:color w:val="212121"/>
        </w:rPr>
        <w:t>Q.</w:t>
      </w:r>
      <w:r>
        <w:tab/>
      </w:r>
      <w:r w:rsidRPr="008528F2">
        <w:rPr>
          <w:rFonts w:eastAsia="Times New Roman"/>
          <w:b/>
          <w:bCs/>
          <w:color w:val="212121"/>
        </w:rPr>
        <w:t>WHAT ARE THE BENEFITS TO THE STATE OF GEORGIA FROM UNITS 3 AND 4 GOING INTO SERVICE?</w:t>
      </w:r>
    </w:p>
    <w:p w14:paraId="4A5CE8DB" w14:textId="4629EB5F" w:rsidR="002B79CF" w:rsidRDefault="00830066" w:rsidP="00397A94">
      <w:pPr>
        <w:spacing w:after="240" w:line="360" w:lineRule="auto"/>
        <w:ind w:left="720" w:hanging="720"/>
        <w:jc w:val="both"/>
        <w:rPr>
          <w:rFonts w:eastAsia="Times New Roman"/>
          <w:color w:val="212121"/>
        </w:rPr>
      </w:pPr>
      <w:r w:rsidRPr="008528F2">
        <w:rPr>
          <w:rFonts w:eastAsia="Times New Roman"/>
          <w:color w:val="212121"/>
        </w:rPr>
        <w:t>A.</w:t>
      </w:r>
      <w:r>
        <w:tab/>
      </w:r>
      <w:r w:rsidR="005D7841" w:rsidRPr="005D7841">
        <w:t>As Georgia</w:t>
      </w:r>
      <w:r w:rsidR="001B126C">
        <w:t>’</w:t>
      </w:r>
      <w:r w:rsidR="005D7841" w:rsidRPr="005D7841">
        <w:t>s economy and population continue to grow and thrive, Vogtle Units 3 and 4 will be critical to Georgia Power</w:t>
      </w:r>
      <w:r w:rsidR="001B126C">
        <w:t>’</w:t>
      </w:r>
      <w:r w:rsidR="005D7841" w:rsidRPr="005D7841">
        <w:t>s ability to continue meeting the evolving energy needs of customers</w:t>
      </w:r>
      <w:r w:rsidR="00B16608">
        <w:t xml:space="preserve"> and this state</w:t>
      </w:r>
      <w:r w:rsidR="005D7841">
        <w:t xml:space="preserve">. </w:t>
      </w:r>
      <w:r w:rsidRPr="008528F2">
        <w:rPr>
          <w:rFonts w:eastAsia="Times New Roman"/>
          <w:color w:val="212121"/>
        </w:rPr>
        <w:t>Georgia is one of the fastest growing states in the country, driven in large part by Georgia</w:t>
      </w:r>
      <w:r w:rsidR="001B126C">
        <w:rPr>
          <w:rFonts w:eastAsia="Times New Roman"/>
          <w:color w:val="212121"/>
        </w:rPr>
        <w:t>’</w:t>
      </w:r>
      <w:r w:rsidRPr="008528F2">
        <w:rPr>
          <w:rFonts w:eastAsia="Times New Roman"/>
          <w:color w:val="212121"/>
        </w:rPr>
        <w:t xml:space="preserve">s position as </w:t>
      </w:r>
      <w:r w:rsidR="001F36D5">
        <w:rPr>
          <w:rFonts w:eastAsia="Times New Roman"/>
          <w:color w:val="212121"/>
        </w:rPr>
        <w:t xml:space="preserve">one of </w:t>
      </w:r>
      <w:r w:rsidRPr="008528F2">
        <w:rPr>
          <w:rFonts w:eastAsia="Times New Roman"/>
          <w:color w:val="212121"/>
        </w:rPr>
        <w:t>the best state</w:t>
      </w:r>
      <w:r w:rsidR="00637B98">
        <w:rPr>
          <w:rFonts w:eastAsia="Times New Roman"/>
          <w:color w:val="212121"/>
        </w:rPr>
        <w:t>s</w:t>
      </w:r>
      <w:r w:rsidRPr="008528F2">
        <w:rPr>
          <w:rFonts w:eastAsia="Times New Roman"/>
          <w:color w:val="212121"/>
        </w:rPr>
        <w:t xml:space="preserve"> in the </w:t>
      </w:r>
      <w:r w:rsidR="001F36D5">
        <w:rPr>
          <w:rFonts w:eastAsia="Times New Roman"/>
          <w:color w:val="212121"/>
        </w:rPr>
        <w:t xml:space="preserve">nation </w:t>
      </w:r>
      <w:r w:rsidRPr="008528F2">
        <w:rPr>
          <w:rFonts w:eastAsia="Times New Roman"/>
          <w:color w:val="212121"/>
        </w:rPr>
        <w:t xml:space="preserve">in which to do business. The addition of these </w:t>
      </w:r>
      <w:r w:rsidR="00A27241">
        <w:rPr>
          <w:rFonts w:eastAsia="Times New Roman"/>
          <w:color w:val="212121"/>
        </w:rPr>
        <w:t>U</w:t>
      </w:r>
      <w:r w:rsidR="00A27241" w:rsidRPr="008528F2">
        <w:rPr>
          <w:rFonts w:eastAsia="Times New Roman"/>
          <w:color w:val="212121"/>
        </w:rPr>
        <w:t>nits</w:t>
      </w:r>
      <w:r w:rsidRPr="008528F2">
        <w:rPr>
          <w:rFonts w:eastAsia="Times New Roman"/>
          <w:color w:val="212121"/>
        </w:rPr>
        <w:t xml:space="preserve"> will provide businesses and industries </w:t>
      </w:r>
      <w:r w:rsidR="001F36D5">
        <w:rPr>
          <w:rFonts w:eastAsia="Times New Roman"/>
          <w:color w:val="212121"/>
        </w:rPr>
        <w:t xml:space="preserve">with </w:t>
      </w:r>
      <w:r w:rsidRPr="008528F2">
        <w:rPr>
          <w:rFonts w:eastAsia="Times New Roman"/>
          <w:color w:val="212121"/>
        </w:rPr>
        <w:t>the confidence to stay</w:t>
      </w:r>
      <w:r w:rsidR="00C96788">
        <w:rPr>
          <w:rFonts w:eastAsia="Times New Roman"/>
          <w:color w:val="212121"/>
        </w:rPr>
        <w:t>, expand</w:t>
      </w:r>
      <w:r w:rsidR="000613B5">
        <w:rPr>
          <w:rFonts w:eastAsia="Times New Roman"/>
          <w:color w:val="212121"/>
        </w:rPr>
        <w:t>,</w:t>
      </w:r>
      <w:r w:rsidRPr="008528F2">
        <w:rPr>
          <w:rFonts w:eastAsia="Times New Roman"/>
          <w:color w:val="212121"/>
        </w:rPr>
        <w:t xml:space="preserve"> or locate in our state</w:t>
      </w:r>
      <w:r w:rsidR="00F140E1">
        <w:rPr>
          <w:rFonts w:eastAsia="Times New Roman"/>
          <w:color w:val="212121"/>
        </w:rPr>
        <w:t>,</w:t>
      </w:r>
      <w:r w:rsidRPr="008528F2">
        <w:rPr>
          <w:rFonts w:eastAsia="Times New Roman"/>
          <w:color w:val="212121"/>
        </w:rPr>
        <w:t xml:space="preserve"> </w:t>
      </w:r>
      <w:r w:rsidR="00E75137">
        <w:rPr>
          <w:rFonts w:eastAsia="Times New Roman"/>
          <w:color w:val="212121"/>
        </w:rPr>
        <w:t>which</w:t>
      </w:r>
      <w:r w:rsidRPr="008528F2">
        <w:rPr>
          <w:rFonts w:eastAsia="Times New Roman"/>
          <w:color w:val="212121"/>
        </w:rPr>
        <w:t xml:space="preserve"> will help ensure Georgia</w:t>
      </w:r>
      <w:r w:rsidR="001B126C">
        <w:rPr>
          <w:rFonts w:eastAsia="Times New Roman"/>
          <w:color w:val="212121"/>
        </w:rPr>
        <w:t>’</w:t>
      </w:r>
      <w:r w:rsidRPr="008528F2">
        <w:rPr>
          <w:rFonts w:eastAsia="Times New Roman"/>
          <w:color w:val="212121"/>
        </w:rPr>
        <w:t>s economy continues to grow.</w:t>
      </w:r>
      <w:r>
        <w:rPr>
          <w:rFonts w:eastAsia="Times New Roman"/>
          <w:color w:val="212121"/>
        </w:rPr>
        <w:t xml:space="preserve"> </w:t>
      </w:r>
    </w:p>
    <w:p w14:paraId="70D1025B" w14:textId="784AFECE" w:rsidR="00007B7E" w:rsidRDefault="007A3717" w:rsidP="00840016">
      <w:pPr>
        <w:spacing w:after="240" w:line="360" w:lineRule="auto"/>
        <w:ind w:left="720"/>
        <w:jc w:val="both"/>
        <w:rPr>
          <w:rFonts w:eastAsia="Times New Roman"/>
          <w:color w:val="212121"/>
        </w:rPr>
      </w:pPr>
      <w:r>
        <w:rPr>
          <w:rFonts w:eastAsia="Times New Roman"/>
          <w:color w:val="212121"/>
        </w:rPr>
        <w:t xml:space="preserve">Georgia Power engaged </w:t>
      </w:r>
      <w:r w:rsidR="00577B2E">
        <w:rPr>
          <w:rFonts w:eastAsia="Times New Roman"/>
          <w:color w:val="212121"/>
        </w:rPr>
        <w:t>NEI to analyze the economic impact of</w:t>
      </w:r>
      <w:r w:rsidR="009357E5">
        <w:rPr>
          <w:rFonts w:eastAsia="Times New Roman"/>
          <w:color w:val="212121"/>
        </w:rPr>
        <w:t xml:space="preserve"> the Project</w:t>
      </w:r>
      <w:r w:rsidR="002B79CF">
        <w:rPr>
          <w:rFonts w:eastAsia="Times New Roman"/>
          <w:color w:val="212121"/>
        </w:rPr>
        <w:t xml:space="preserve"> and to help illustrate the numerous benefits of the Project to the </w:t>
      </w:r>
      <w:r w:rsidR="00AB2CA7">
        <w:rPr>
          <w:rFonts w:eastAsia="Times New Roman"/>
          <w:color w:val="212121"/>
        </w:rPr>
        <w:t>state</w:t>
      </w:r>
      <w:r w:rsidR="00577B2E">
        <w:rPr>
          <w:rFonts w:eastAsia="Times New Roman"/>
          <w:color w:val="212121"/>
        </w:rPr>
        <w:t>.</w:t>
      </w:r>
      <w:r w:rsidR="00007B7E" w:rsidRPr="00007B7E">
        <w:rPr>
          <w:rFonts w:eastAsia="Times New Roman"/>
          <w:color w:val="212121"/>
        </w:rPr>
        <w:t xml:space="preserve"> </w:t>
      </w:r>
      <w:r w:rsidR="008A7FD4">
        <w:rPr>
          <w:rFonts w:eastAsia="Times New Roman"/>
          <w:color w:val="212121"/>
        </w:rPr>
        <w:t xml:space="preserve">A copy of the NEI Study is provided as Exhibit 1 to this testimony. </w:t>
      </w:r>
      <w:r w:rsidR="004024F2">
        <w:rPr>
          <w:rFonts w:eastAsia="Times New Roman"/>
          <w:color w:val="212121"/>
        </w:rPr>
        <w:t xml:space="preserve">The NEI </w:t>
      </w:r>
      <w:r w:rsidR="008A7FD4">
        <w:rPr>
          <w:rFonts w:eastAsia="Times New Roman"/>
          <w:color w:val="212121"/>
        </w:rPr>
        <w:t>S</w:t>
      </w:r>
      <w:r w:rsidR="004024F2">
        <w:rPr>
          <w:rFonts w:eastAsia="Times New Roman"/>
          <w:color w:val="212121"/>
        </w:rPr>
        <w:t xml:space="preserve">tudy estimates that </w:t>
      </w:r>
      <w:r w:rsidR="00E34236">
        <w:rPr>
          <w:rFonts w:eastAsia="Times New Roman"/>
          <w:color w:val="212121"/>
        </w:rPr>
        <w:t>from 2009 through March 2023</w:t>
      </w:r>
      <w:r w:rsidR="00DA6E52">
        <w:rPr>
          <w:rFonts w:eastAsia="Times New Roman"/>
          <w:color w:val="212121"/>
        </w:rPr>
        <w:t>,</w:t>
      </w:r>
      <w:r w:rsidR="00E34236">
        <w:rPr>
          <w:rFonts w:eastAsia="Times New Roman"/>
          <w:color w:val="212121"/>
        </w:rPr>
        <w:t xml:space="preserve"> </w:t>
      </w:r>
      <w:r w:rsidR="009357E5">
        <w:rPr>
          <w:rFonts w:eastAsia="Times New Roman"/>
          <w:color w:val="212121"/>
        </w:rPr>
        <w:t>construction of Vogtle Units</w:t>
      </w:r>
      <w:r w:rsidR="008A7FD4">
        <w:rPr>
          <w:rFonts w:eastAsia="Times New Roman"/>
          <w:color w:val="212121"/>
        </w:rPr>
        <w:t> </w:t>
      </w:r>
      <w:r w:rsidR="009357E5">
        <w:rPr>
          <w:rFonts w:eastAsia="Times New Roman"/>
          <w:color w:val="212121"/>
        </w:rPr>
        <w:t>3 and 4</w:t>
      </w:r>
      <w:r w:rsidR="00412C33">
        <w:rPr>
          <w:rFonts w:eastAsia="Times New Roman"/>
          <w:color w:val="212121"/>
        </w:rPr>
        <w:t xml:space="preserve"> supported </w:t>
      </w:r>
      <w:r w:rsidR="00485A50">
        <w:rPr>
          <w:rFonts w:eastAsia="Times New Roman"/>
          <w:color w:val="212121"/>
        </w:rPr>
        <w:t xml:space="preserve">an average of </w:t>
      </w:r>
      <w:r w:rsidR="005B197B">
        <w:rPr>
          <w:rFonts w:eastAsia="Times New Roman"/>
          <w:color w:val="212121"/>
        </w:rPr>
        <w:t xml:space="preserve">nearly </w:t>
      </w:r>
      <w:r w:rsidR="004D6261">
        <w:rPr>
          <w:rFonts w:eastAsia="Times New Roman"/>
          <w:color w:val="212121"/>
        </w:rPr>
        <w:t xml:space="preserve">16,800 </w:t>
      </w:r>
      <w:r w:rsidR="005B197B">
        <w:rPr>
          <w:rFonts w:eastAsia="Times New Roman"/>
          <w:color w:val="212121"/>
        </w:rPr>
        <w:t xml:space="preserve">direct and secondary </w:t>
      </w:r>
      <w:r w:rsidR="004D6261">
        <w:rPr>
          <w:rFonts w:eastAsia="Times New Roman"/>
          <w:color w:val="212121"/>
        </w:rPr>
        <w:t xml:space="preserve">jobs </w:t>
      </w:r>
      <w:r w:rsidR="00485A50">
        <w:rPr>
          <w:rFonts w:eastAsia="Times New Roman"/>
          <w:color w:val="212121"/>
        </w:rPr>
        <w:t xml:space="preserve">in Georgia </w:t>
      </w:r>
      <w:r w:rsidR="00661F55">
        <w:rPr>
          <w:rFonts w:eastAsia="Times New Roman"/>
          <w:color w:val="212121"/>
        </w:rPr>
        <w:t>alone</w:t>
      </w:r>
      <w:r w:rsidR="006A7E1B">
        <w:rPr>
          <w:rFonts w:eastAsia="Times New Roman"/>
          <w:color w:val="212121"/>
        </w:rPr>
        <w:t xml:space="preserve"> </w:t>
      </w:r>
      <w:r w:rsidR="00C766C4">
        <w:rPr>
          <w:rFonts w:eastAsia="Times New Roman"/>
          <w:color w:val="212121"/>
        </w:rPr>
        <w:t>and</w:t>
      </w:r>
      <w:r w:rsidR="00C1557F">
        <w:rPr>
          <w:rFonts w:eastAsia="Times New Roman"/>
          <w:color w:val="212121"/>
        </w:rPr>
        <w:t xml:space="preserve"> </w:t>
      </w:r>
      <w:r w:rsidR="00A07CFD">
        <w:rPr>
          <w:rFonts w:eastAsia="Times New Roman"/>
          <w:color w:val="212121"/>
        </w:rPr>
        <w:t xml:space="preserve">created </w:t>
      </w:r>
      <w:r w:rsidR="00C1557F">
        <w:rPr>
          <w:rFonts w:eastAsia="Times New Roman"/>
          <w:color w:val="212121"/>
        </w:rPr>
        <w:t xml:space="preserve">significant economic </w:t>
      </w:r>
      <w:r w:rsidR="009E3695">
        <w:rPr>
          <w:rFonts w:eastAsia="Times New Roman"/>
          <w:color w:val="212121"/>
        </w:rPr>
        <w:t>benefit</w:t>
      </w:r>
      <w:r w:rsidR="00A07CFD">
        <w:rPr>
          <w:rFonts w:eastAsia="Times New Roman"/>
          <w:color w:val="212121"/>
        </w:rPr>
        <w:t>s</w:t>
      </w:r>
      <w:r w:rsidR="009E3695">
        <w:rPr>
          <w:rFonts w:eastAsia="Times New Roman"/>
          <w:color w:val="212121"/>
        </w:rPr>
        <w:t xml:space="preserve"> for </w:t>
      </w:r>
      <w:r w:rsidR="0063682A">
        <w:rPr>
          <w:rFonts w:eastAsia="Times New Roman"/>
          <w:color w:val="212121"/>
        </w:rPr>
        <w:t>the state</w:t>
      </w:r>
      <w:r w:rsidR="009E3695">
        <w:rPr>
          <w:rFonts w:eastAsia="Times New Roman"/>
          <w:color w:val="212121"/>
        </w:rPr>
        <w:t>:</w:t>
      </w:r>
      <w:r w:rsidR="00C766C4">
        <w:rPr>
          <w:rFonts w:eastAsia="Times New Roman"/>
          <w:color w:val="212121"/>
        </w:rPr>
        <w:t xml:space="preserve"> $46.9 billion in </w:t>
      </w:r>
      <w:r w:rsidR="00A00A47">
        <w:rPr>
          <w:rFonts w:eastAsia="Times New Roman"/>
          <w:color w:val="212121"/>
        </w:rPr>
        <w:t>economic</w:t>
      </w:r>
      <w:r w:rsidR="00017FF0">
        <w:rPr>
          <w:rFonts w:eastAsia="Times New Roman"/>
          <w:color w:val="212121"/>
        </w:rPr>
        <w:t xml:space="preserve"> </w:t>
      </w:r>
      <w:r w:rsidR="006468C0">
        <w:rPr>
          <w:rFonts w:eastAsia="Times New Roman"/>
          <w:color w:val="212121"/>
        </w:rPr>
        <w:t xml:space="preserve">benefit </w:t>
      </w:r>
      <w:r w:rsidR="00057A25">
        <w:rPr>
          <w:rFonts w:eastAsia="Times New Roman"/>
          <w:color w:val="212121"/>
        </w:rPr>
        <w:t>from construction</w:t>
      </w:r>
      <w:r w:rsidR="00F304DB">
        <w:rPr>
          <w:rFonts w:eastAsia="Times New Roman"/>
          <w:color w:val="212121"/>
        </w:rPr>
        <w:t>; $27.2 billion</w:t>
      </w:r>
      <w:r w:rsidR="0041148E">
        <w:rPr>
          <w:rFonts w:eastAsia="Times New Roman"/>
          <w:color w:val="212121"/>
        </w:rPr>
        <w:t xml:space="preserve"> </w:t>
      </w:r>
      <w:r w:rsidR="00E379F0">
        <w:rPr>
          <w:rFonts w:eastAsia="Times New Roman"/>
          <w:color w:val="212121"/>
        </w:rPr>
        <w:t>increase</w:t>
      </w:r>
      <w:r w:rsidR="008C0ED1">
        <w:rPr>
          <w:rFonts w:eastAsia="Times New Roman"/>
          <w:color w:val="212121"/>
        </w:rPr>
        <w:t xml:space="preserve"> in gross state product; and $31 billion in disposable </w:t>
      </w:r>
      <w:r w:rsidR="002B46B2">
        <w:rPr>
          <w:rFonts w:eastAsia="Times New Roman"/>
          <w:color w:val="212121"/>
        </w:rPr>
        <w:t>personal income</w:t>
      </w:r>
      <w:r w:rsidR="00C766C4">
        <w:rPr>
          <w:rFonts w:eastAsia="Times New Roman"/>
          <w:color w:val="212121"/>
        </w:rPr>
        <w:t xml:space="preserve">. </w:t>
      </w:r>
      <w:r w:rsidR="005A45E5">
        <w:rPr>
          <w:rFonts w:eastAsia="Times New Roman"/>
          <w:color w:val="212121"/>
        </w:rPr>
        <w:t xml:space="preserve">The Project </w:t>
      </w:r>
      <w:r w:rsidR="00566FEF">
        <w:rPr>
          <w:rFonts w:eastAsia="Times New Roman"/>
          <w:color w:val="212121"/>
        </w:rPr>
        <w:t>produced</w:t>
      </w:r>
      <w:r w:rsidR="00B23112">
        <w:rPr>
          <w:rFonts w:eastAsia="Times New Roman"/>
          <w:color w:val="212121"/>
        </w:rPr>
        <w:t xml:space="preserve"> benefits outside the s</w:t>
      </w:r>
      <w:r w:rsidR="00424DCB">
        <w:rPr>
          <w:rFonts w:eastAsia="Times New Roman"/>
          <w:color w:val="212121"/>
        </w:rPr>
        <w:t>tate of Georgia</w:t>
      </w:r>
      <w:r w:rsidR="00502B19">
        <w:rPr>
          <w:rFonts w:eastAsia="Times New Roman"/>
          <w:color w:val="212121"/>
        </w:rPr>
        <w:t xml:space="preserve"> as well</w:t>
      </w:r>
      <w:r w:rsidR="006B287A">
        <w:rPr>
          <w:rFonts w:eastAsia="Times New Roman"/>
          <w:color w:val="212121"/>
        </w:rPr>
        <w:t xml:space="preserve">, supporting an average of </w:t>
      </w:r>
      <w:r w:rsidR="00FE5E0A">
        <w:rPr>
          <w:rFonts w:eastAsia="Times New Roman"/>
          <w:color w:val="212121"/>
        </w:rPr>
        <w:t xml:space="preserve">more than </w:t>
      </w:r>
      <w:r w:rsidR="006B287A">
        <w:rPr>
          <w:rFonts w:eastAsia="Times New Roman"/>
          <w:color w:val="212121"/>
        </w:rPr>
        <w:t>4,300</w:t>
      </w:r>
      <w:r w:rsidR="00FE5E0A">
        <w:rPr>
          <w:rFonts w:eastAsia="Times New Roman"/>
          <w:color w:val="212121"/>
        </w:rPr>
        <w:t xml:space="preserve"> jobs annually </w:t>
      </w:r>
      <w:r w:rsidR="006757B6">
        <w:rPr>
          <w:rFonts w:eastAsia="Times New Roman"/>
          <w:color w:val="212121"/>
        </w:rPr>
        <w:t xml:space="preserve">during </w:t>
      </w:r>
      <w:r w:rsidR="001D4896">
        <w:rPr>
          <w:rFonts w:eastAsia="Times New Roman"/>
          <w:color w:val="212121"/>
        </w:rPr>
        <w:t xml:space="preserve">the same time period, and </w:t>
      </w:r>
      <w:r w:rsidR="008A0FC8">
        <w:rPr>
          <w:rFonts w:eastAsia="Times New Roman"/>
          <w:color w:val="212121"/>
        </w:rPr>
        <w:t>$17</w:t>
      </w:r>
      <w:r w:rsidR="00D82C46">
        <w:rPr>
          <w:rFonts w:eastAsia="Times New Roman"/>
          <w:color w:val="212121"/>
        </w:rPr>
        <w:t xml:space="preserve">.9 billion in economic </w:t>
      </w:r>
      <w:r w:rsidR="006468C0">
        <w:rPr>
          <w:rFonts w:eastAsia="Times New Roman"/>
          <w:color w:val="212121"/>
        </w:rPr>
        <w:t xml:space="preserve">benefit </w:t>
      </w:r>
      <w:r w:rsidR="00D82C46">
        <w:rPr>
          <w:rFonts w:eastAsia="Times New Roman"/>
          <w:color w:val="212121"/>
        </w:rPr>
        <w:t xml:space="preserve">from construction for the </w:t>
      </w:r>
      <w:r w:rsidR="002B31ED">
        <w:rPr>
          <w:rFonts w:eastAsia="Times New Roman"/>
          <w:color w:val="212121"/>
        </w:rPr>
        <w:t>rest of the country</w:t>
      </w:r>
      <w:r w:rsidR="007E3C4D">
        <w:rPr>
          <w:rFonts w:eastAsia="Times New Roman"/>
          <w:color w:val="212121"/>
        </w:rPr>
        <w:t xml:space="preserve">. </w:t>
      </w:r>
      <w:r w:rsidR="00AA73EC">
        <w:rPr>
          <w:rFonts w:eastAsia="Times New Roman"/>
          <w:color w:val="212121"/>
        </w:rPr>
        <w:t>Once both</w:t>
      </w:r>
      <w:r w:rsidR="00AA73EC" w:rsidDel="00A27241">
        <w:rPr>
          <w:rFonts w:eastAsia="Times New Roman"/>
          <w:color w:val="212121"/>
        </w:rPr>
        <w:t xml:space="preserve"> </w:t>
      </w:r>
      <w:r w:rsidR="00A27241">
        <w:rPr>
          <w:rFonts w:eastAsia="Times New Roman"/>
          <w:color w:val="212121"/>
        </w:rPr>
        <w:t>Units</w:t>
      </w:r>
      <w:r w:rsidR="00AA73EC">
        <w:rPr>
          <w:rFonts w:eastAsia="Times New Roman"/>
          <w:color w:val="212121"/>
        </w:rPr>
        <w:t xml:space="preserve"> ar</w:t>
      </w:r>
      <w:r w:rsidR="00503406">
        <w:rPr>
          <w:rFonts w:eastAsia="Times New Roman"/>
          <w:color w:val="212121"/>
        </w:rPr>
        <w:t xml:space="preserve">e operational, </w:t>
      </w:r>
      <w:r w:rsidR="002D0168">
        <w:rPr>
          <w:rFonts w:eastAsia="Times New Roman"/>
          <w:color w:val="212121"/>
        </w:rPr>
        <w:t>the Project will provide more than 800 permanent jobs to the local community and provide an</w:t>
      </w:r>
      <w:r w:rsidR="00F45C19">
        <w:rPr>
          <w:rFonts w:eastAsia="Times New Roman"/>
          <w:color w:val="212121"/>
        </w:rPr>
        <w:t xml:space="preserve"> average annual </w:t>
      </w:r>
      <w:r w:rsidR="0014062D">
        <w:rPr>
          <w:rFonts w:eastAsia="Times New Roman"/>
          <w:color w:val="212121"/>
        </w:rPr>
        <w:t xml:space="preserve">economic benefit of </w:t>
      </w:r>
      <w:r w:rsidR="00A85758">
        <w:rPr>
          <w:rFonts w:eastAsia="Times New Roman"/>
          <w:color w:val="212121"/>
        </w:rPr>
        <w:t>$2.5 billion</w:t>
      </w:r>
      <w:r w:rsidR="007F7BE0">
        <w:rPr>
          <w:rFonts w:eastAsia="Times New Roman"/>
          <w:color w:val="212121"/>
        </w:rPr>
        <w:t>.</w:t>
      </w:r>
    </w:p>
    <w:p w14:paraId="2C5CCEDC" w14:textId="11F7B898" w:rsidR="0062414D" w:rsidRPr="008528F2" w:rsidRDefault="00AC4BAE" w:rsidP="00007B7E">
      <w:pPr>
        <w:spacing w:after="360" w:line="360" w:lineRule="auto"/>
        <w:ind w:left="720"/>
        <w:jc w:val="both"/>
        <w:rPr>
          <w:rFonts w:eastAsia="Times New Roman"/>
          <w:b/>
          <w:bCs/>
          <w:color w:val="212121"/>
        </w:rPr>
      </w:pPr>
      <w:r>
        <w:rPr>
          <w:rFonts w:eastAsia="Times New Roman"/>
          <w:color w:val="212121"/>
        </w:rPr>
        <w:t xml:space="preserve">In support of a growing Georgia, </w:t>
      </w:r>
      <w:r w:rsidR="00007B7E">
        <w:rPr>
          <w:rFonts w:eastAsia="Times New Roman"/>
          <w:color w:val="212121"/>
        </w:rPr>
        <w:t xml:space="preserve">the new Vogtle </w:t>
      </w:r>
      <w:r w:rsidR="00A27241">
        <w:rPr>
          <w:rFonts w:eastAsia="Times New Roman"/>
          <w:color w:val="212121"/>
        </w:rPr>
        <w:t xml:space="preserve">Units </w:t>
      </w:r>
      <w:r w:rsidR="00007B7E">
        <w:rPr>
          <w:rFonts w:eastAsia="Times New Roman"/>
          <w:color w:val="212121"/>
        </w:rPr>
        <w:t xml:space="preserve">play a vital role </w:t>
      </w:r>
      <w:r w:rsidR="0013543E">
        <w:rPr>
          <w:rFonts w:eastAsia="Times New Roman"/>
          <w:color w:val="212121"/>
        </w:rPr>
        <w:t>in meeting</w:t>
      </w:r>
      <w:r w:rsidR="00007B7E">
        <w:rPr>
          <w:rFonts w:eastAsia="Times New Roman"/>
          <w:color w:val="212121"/>
        </w:rPr>
        <w:t xml:space="preserve"> customers</w:t>
      </w:r>
      <w:r w:rsidR="001B126C">
        <w:rPr>
          <w:rFonts w:eastAsia="Times New Roman"/>
          <w:color w:val="212121"/>
        </w:rPr>
        <w:t>’</w:t>
      </w:r>
      <w:r w:rsidR="0013543E">
        <w:rPr>
          <w:rFonts w:eastAsia="Times New Roman"/>
          <w:color w:val="212121"/>
        </w:rPr>
        <w:t xml:space="preserve"> </w:t>
      </w:r>
      <w:r w:rsidR="000C1F88">
        <w:rPr>
          <w:rFonts w:eastAsia="Times New Roman"/>
          <w:color w:val="212121"/>
        </w:rPr>
        <w:t xml:space="preserve">evolving </w:t>
      </w:r>
      <w:r w:rsidR="00007B7E">
        <w:rPr>
          <w:rFonts w:eastAsia="Times New Roman"/>
          <w:color w:val="212121"/>
        </w:rPr>
        <w:t>expect</w:t>
      </w:r>
      <w:r w:rsidR="0013543E">
        <w:rPr>
          <w:rFonts w:eastAsia="Times New Roman"/>
          <w:color w:val="212121"/>
        </w:rPr>
        <w:t>ation that</w:t>
      </w:r>
      <w:r w:rsidR="00007B7E">
        <w:rPr>
          <w:rFonts w:eastAsia="Times New Roman"/>
          <w:color w:val="212121"/>
        </w:rPr>
        <w:t xml:space="preserve"> </w:t>
      </w:r>
      <w:r w:rsidR="00056916">
        <w:rPr>
          <w:rFonts w:eastAsia="Times New Roman"/>
          <w:color w:val="212121"/>
        </w:rPr>
        <w:t xml:space="preserve">a larger portion of </w:t>
      </w:r>
      <w:r w:rsidR="00007B7E">
        <w:rPr>
          <w:rFonts w:eastAsia="Times New Roman"/>
          <w:color w:val="212121"/>
        </w:rPr>
        <w:t>their energy needs be served by carbon-free, emission-free energy.</w:t>
      </w:r>
      <w:r w:rsidR="00E91D6E">
        <w:rPr>
          <w:rFonts w:eastAsia="Times New Roman"/>
          <w:color w:val="212121"/>
        </w:rPr>
        <w:t xml:space="preserve"> </w:t>
      </w:r>
      <w:r w:rsidR="00E91D6E">
        <w:t xml:space="preserve">Nuclear </w:t>
      </w:r>
      <w:r w:rsidR="00D675BB">
        <w:t>units like Vogtle 3 and 4</w:t>
      </w:r>
      <w:r w:rsidR="00E91D6E">
        <w:t xml:space="preserve"> generate large amounts of electricity without emitting greenhouse gase</w:t>
      </w:r>
      <w:r w:rsidR="007A60DE">
        <w:t xml:space="preserve">s and are </w:t>
      </w:r>
      <w:r w:rsidR="00E91D6E">
        <w:t xml:space="preserve">an essential source of safe, reliable electricity that meets both environmental needs and </w:t>
      </w:r>
      <w:r w:rsidR="009B0BBE">
        <w:t xml:space="preserve">the </w:t>
      </w:r>
      <w:r w:rsidR="00E91D6E">
        <w:t xml:space="preserve">demand for electricity. </w:t>
      </w:r>
      <w:r w:rsidR="0006676F">
        <w:t xml:space="preserve">Vogtle Units 3 and 4 are expected to generate </w:t>
      </w:r>
      <w:r w:rsidR="00EA6129">
        <w:t xml:space="preserve">over </w:t>
      </w:r>
      <w:r w:rsidR="0006676F">
        <w:t xml:space="preserve">281 million megawatt-hours and avoid more than 103 million metric tons of carbon dioxide by 2057. </w:t>
      </w:r>
      <w:r w:rsidR="008E5ABB">
        <w:t xml:space="preserve">The Project has </w:t>
      </w:r>
      <w:r w:rsidR="00E835A8">
        <w:t xml:space="preserve">and will </w:t>
      </w:r>
      <w:r w:rsidR="008E5ABB">
        <w:t xml:space="preserve">provide </w:t>
      </w:r>
      <w:r w:rsidR="00ED6AB9">
        <w:t xml:space="preserve">significant </w:t>
      </w:r>
      <w:r w:rsidR="008E5ABB">
        <w:t xml:space="preserve">economic benefits </w:t>
      </w:r>
      <w:r w:rsidR="00EB7495">
        <w:t>for the state</w:t>
      </w:r>
      <w:r w:rsidR="000256EB">
        <w:t xml:space="preserve"> and will provide </w:t>
      </w:r>
      <w:r w:rsidR="0012612A">
        <w:t>substantial carbon</w:t>
      </w:r>
      <w:r w:rsidR="004232B5">
        <w:t>-</w:t>
      </w:r>
      <w:r w:rsidR="0012612A">
        <w:t>free energy with low fuel costs throughout the life of the Units.</w:t>
      </w:r>
    </w:p>
    <w:p w14:paraId="7C483408" w14:textId="481176BB" w:rsidR="00DE16B9" w:rsidRPr="00E4076E" w:rsidRDefault="00EB3685" w:rsidP="0028799B">
      <w:pPr>
        <w:pStyle w:val="OutlineL1"/>
        <w:keepNext/>
        <w:tabs>
          <w:tab w:val="clear" w:pos="2610"/>
          <w:tab w:val="num" w:pos="720"/>
        </w:tabs>
        <w:spacing w:before="240" w:after="240"/>
        <w:ind w:left="720" w:hanging="720"/>
        <w:jc w:val="both"/>
      </w:pPr>
      <w:r>
        <w:t xml:space="preserve">PRUDENCE AND REASONABLENESS OF </w:t>
      </w:r>
      <w:r w:rsidR="00DD294A">
        <w:t xml:space="preserve">PROJECT </w:t>
      </w:r>
      <w:r w:rsidR="00423B22" w:rsidRPr="00E4076E">
        <w:t xml:space="preserve">CONSTRUCTION </w:t>
      </w:r>
      <w:r w:rsidR="00423B22">
        <w:t>AND CAPITAL</w:t>
      </w:r>
      <w:r w:rsidR="00423B22" w:rsidRPr="00E4076E">
        <w:t xml:space="preserve"> COST</w:t>
      </w:r>
      <w:r w:rsidR="00423B22">
        <w:t xml:space="preserve"> </w:t>
      </w:r>
    </w:p>
    <w:p w14:paraId="23337525" w14:textId="07323562" w:rsidR="00D35CFB" w:rsidRDefault="00D35CFB" w:rsidP="00A07099">
      <w:pPr>
        <w:pStyle w:val="OutlineL2"/>
        <w:keepNext/>
        <w:spacing w:after="240" w:line="360" w:lineRule="auto"/>
        <w:ind w:left="1440" w:hanging="720"/>
      </w:pPr>
      <w:r w:rsidRPr="00E9701D">
        <w:t>Standard for</w:t>
      </w:r>
      <w:r w:rsidR="0085013F">
        <w:t xml:space="preserve"> Cost</w:t>
      </w:r>
      <w:r w:rsidRPr="00E9701D">
        <w:t xml:space="preserve"> Recovery</w:t>
      </w:r>
    </w:p>
    <w:p w14:paraId="2D45D2ED" w14:textId="77777777" w:rsidR="0085013F" w:rsidRDefault="0085013F" w:rsidP="0028799B">
      <w:pPr>
        <w:pStyle w:val="BodyText"/>
        <w:keepNext/>
        <w:widowControl/>
        <w:spacing w:line="360" w:lineRule="auto"/>
        <w:ind w:left="720" w:hanging="720"/>
        <w:jc w:val="both"/>
        <w:rPr>
          <w:b/>
          <w:bCs/>
          <w:lang w:eastAsia="en-US"/>
        </w:rPr>
      </w:pPr>
      <w:r w:rsidRPr="004C1D23">
        <w:rPr>
          <w:b/>
          <w:bCs/>
          <w:lang w:eastAsia="en-US"/>
        </w:rPr>
        <w:t>Q.</w:t>
      </w:r>
      <w:r w:rsidRPr="004C1D23">
        <w:rPr>
          <w:b/>
          <w:bCs/>
          <w:lang w:eastAsia="en-US"/>
        </w:rPr>
        <w:tab/>
        <w:t>WHAT COSTS CAN BE INCLUDED FOR RECOVERY FROM CUSTOMERS IN BASE RATES?</w:t>
      </w:r>
    </w:p>
    <w:p w14:paraId="6AB99008" w14:textId="042E2A08" w:rsidR="0085013F" w:rsidRPr="002549AD" w:rsidRDefault="0085013F" w:rsidP="0085013F">
      <w:pPr>
        <w:pStyle w:val="BodyText"/>
        <w:spacing w:line="360" w:lineRule="auto"/>
        <w:ind w:left="720" w:hanging="720"/>
        <w:jc w:val="both"/>
        <w:rPr>
          <w:lang w:eastAsia="en-US"/>
        </w:rPr>
      </w:pPr>
      <w:r>
        <w:rPr>
          <w:lang w:eastAsia="en-US"/>
        </w:rPr>
        <w:t>A.</w:t>
      </w:r>
      <w:r>
        <w:tab/>
      </w:r>
      <w:r w:rsidR="004066A2">
        <w:rPr>
          <w:lang w:eastAsia="en-US"/>
        </w:rPr>
        <w:t>The</w:t>
      </w:r>
      <w:r>
        <w:rPr>
          <w:lang w:eastAsia="en-US"/>
        </w:rPr>
        <w:t xml:space="preserve"> Company may recover costs incurred in the construction of the Project in base rates if they are found to be both </w:t>
      </w:r>
      <w:r>
        <w:rPr>
          <w:i/>
          <w:iCs/>
          <w:lang w:eastAsia="en-US"/>
        </w:rPr>
        <w:t xml:space="preserve">prudent </w:t>
      </w:r>
      <w:r>
        <w:rPr>
          <w:lang w:eastAsia="en-US"/>
        </w:rPr>
        <w:t xml:space="preserve">and </w:t>
      </w:r>
      <w:r>
        <w:rPr>
          <w:i/>
          <w:iCs/>
          <w:lang w:eastAsia="en-US"/>
        </w:rPr>
        <w:t>reasonable</w:t>
      </w:r>
      <w:r>
        <w:rPr>
          <w:lang w:eastAsia="en-US"/>
        </w:rPr>
        <w:t xml:space="preserve">. We are here to testify regarding the decisions and actions that make these costs appropriate for recovery. </w:t>
      </w:r>
    </w:p>
    <w:p w14:paraId="44E7A531" w14:textId="77777777" w:rsidR="0085013F" w:rsidRDefault="0085013F" w:rsidP="0085013F">
      <w:pPr>
        <w:keepNext/>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Pr>
          <w:b/>
          <w:bCs/>
        </w:rPr>
        <w:t>Q.</w:t>
      </w:r>
      <w:r>
        <w:rPr>
          <w:b/>
          <w:bCs/>
        </w:rPr>
        <w:tab/>
        <w:t>WHAT IS THE STANDARD FOR PRUDENCY, AS YOU UNDERSTAND IT?</w:t>
      </w:r>
    </w:p>
    <w:p w14:paraId="05B912C2" w14:textId="0AE6534B" w:rsidR="0085013F" w:rsidRDefault="0085013F" w:rsidP="0085013F">
      <w:pPr>
        <w:keepNext/>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pPr>
      <w:r>
        <w:t>A.</w:t>
      </w:r>
      <w:r>
        <w:tab/>
        <w:t>We understand that the</w:t>
      </w:r>
      <w:r w:rsidRPr="006C3EF3">
        <w:t xml:space="preserve"> prudency standard</w:t>
      </w:r>
      <w:r>
        <w:t xml:space="preserve"> in Georgia</w:t>
      </w:r>
      <w:r w:rsidRPr="006C3EF3">
        <w:t xml:space="preserve"> evaluates whether decisions and actions were reasonable under the circumstances, given </w:t>
      </w:r>
      <w:r>
        <w:t>the facts and circumstances that were</w:t>
      </w:r>
      <w:r w:rsidRPr="006C3EF3">
        <w:t xml:space="preserve"> known or should have been known at the time the decision was made</w:t>
      </w:r>
      <w:r>
        <w:t xml:space="preserve">, without the benefit of hindsight. </w:t>
      </w:r>
      <w:r w:rsidRPr="00A532C0">
        <w:t xml:space="preserve">Essentially, </w:t>
      </w:r>
      <w:r>
        <w:t xml:space="preserve">this standard </w:t>
      </w:r>
      <w:r w:rsidRPr="00A532C0">
        <w:t xml:space="preserve">asks the Commission to put itself in the shoes of the </w:t>
      </w:r>
      <w:r>
        <w:t>Vogtle</w:t>
      </w:r>
      <w:r w:rsidRPr="00A532C0">
        <w:t xml:space="preserve"> </w:t>
      </w:r>
      <w:r>
        <w:t>P</w:t>
      </w:r>
      <w:r w:rsidRPr="00A532C0">
        <w:t>roject managers at the time critical decisions were being made, and ask itself “what would a reasonable manager have done</w:t>
      </w:r>
      <w:r>
        <w:t>,</w:t>
      </w:r>
      <w:r w:rsidRPr="00A532C0">
        <w:t xml:space="preserve"> and was what the Vogtle Project managers did within an acceptable zone of reasonableness?</w:t>
      </w:r>
      <w:r>
        <w:t xml:space="preserve">” In addition to what has been conveyed to this Commission through the VCM process and through the </w:t>
      </w:r>
      <w:r w:rsidR="00C131AC">
        <w:t>Application</w:t>
      </w:r>
      <w:r>
        <w:t xml:space="preserve">, we are here to testify as to the prudence of the decisions and actions on the Project for which costs were incurred </w:t>
      </w:r>
      <w:r w:rsidR="003E3DC9">
        <w:t>and are sought for recovery</w:t>
      </w:r>
      <w:r>
        <w:t xml:space="preserve">. </w:t>
      </w:r>
    </w:p>
    <w:p w14:paraId="28115AAB" w14:textId="77777777" w:rsidR="0085013F" w:rsidRPr="002549AD" w:rsidRDefault="0085013F" w:rsidP="0085013F">
      <w:pPr>
        <w:keepNext/>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rPr>
      </w:pPr>
      <w:r w:rsidRPr="002549AD">
        <w:rPr>
          <w:b/>
        </w:rPr>
        <w:t xml:space="preserve">Q. </w:t>
      </w:r>
      <w:r>
        <w:tab/>
      </w:r>
      <w:r w:rsidRPr="002549AD">
        <w:rPr>
          <w:b/>
        </w:rPr>
        <w:t>WHAT STANDARD OF CARE IS APPLIED WHEN EVALUATING PRUDENCY?</w:t>
      </w:r>
    </w:p>
    <w:p w14:paraId="3CD022D2" w14:textId="21C6919A" w:rsidR="0085013F" w:rsidRDefault="0085013F" w:rsidP="0028799B">
      <w:pPr>
        <w:widowControl w:val="0"/>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pPr>
      <w:r w:rsidRPr="003F55E5">
        <w:rPr>
          <w:bCs/>
        </w:rPr>
        <w:t>A.</w:t>
      </w:r>
      <w:r>
        <w:tab/>
        <w:t xml:space="preserve">When evaluating prudency, the “reasonable manager” standard of care is applied. Under this standard, decisions are assessed based on what a reasonable manager would have done under the same or similar circumstances. Given this standard, a reasonable manager is one who is qualified by education, training, and experience to make the decision or take the action, using </w:t>
      </w:r>
      <w:r w:rsidR="005355A5">
        <w:t xml:space="preserve">the </w:t>
      </w:r>
      <w:r>
        <w:t xml:space="preserve">information available and applying logical reasoning processes. </w:t>
      </w:r>
    </w:p>
    <w:p w14:paraId="17D49DD2" w14:textId="6B208446" w:rsidR="0085013F" w:rsidRDefault="0085013F" w:rsidP="0028799B">
      <w:pPr>
        <w:widowControl w:val="0"/>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pPr>
      <w:r>
        <w:tab/>
        <w:t xml:space="preserve">Witnesses Miller and Skaggs have submitted testimony as to the reasonable manager standard based on their </w:t>
      </w:r>
      <w:r w:rsidR="00D13CC3">
        <w:t xml:space="preserve">industry </w:t>
      </w:r>
      <w:r>
        <w:t>experience</w:t>
      </w:r>
      <w:r w:rsidR="00E561B5">
        <w:t>,</w:t>
      </w:r>
      <w:r>
        <w:t xml:space="preserve"> </w:t>
      </w:r>
      <w:r w:rsidR="00D13CC3">
        <w:t>including their time</w:t>
      </w:r>
      <w:r>
        <w:t xml:space="preserve"> </w:t>
      </w:r>
      <w:r w:rsidR="00E561B5">
        <w:t xml:space="preserve">as executives </w:t>
      </w:r>
      <w:r>
        <w:t>at Duke Energy and T</w:t>
      </w:r>
      <w:r w:rsidR="00BB35C9">
        <w:t xml:space="preserve">ennessee </w:t>
      </w:r>
      <w:r>
        <w:t>V</w:t>
      </w:r>
      <w:r w:rsidR="00BB35C9">
        <w:t xml:space="preserve">alley </w:t>
      </w:r>
      <w:r>
        <w:t>A</w:t>
      </w:r>
      <w:r w:rsidR="00BB35C9">
        <w:t>uthority (“</w:t>
      </w:r>
      <w:r>
        <w:t>TVA</w:t>
      </w:r>
      <w:r w:rsidR="00BB35C9">
        <w:t>”)</w:t>
      </w:r>
      <w:r>
        <w:t>, respectively.</w:t>
      </w:r>
    </w:p>
    <w:p w14:paraId="1840D3FA" w14:textId="77777777" w:rsidR="00A94C6D" w:rsidRDefault="00A94C6D" w:rsidP="00A94C6D">
      <w:pPr>
        <w:keepNext/>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543136">
        <w:rPr>
          <w:b/>
          <w:bCs/>
        </w:rPr>
        <w:t>Q.</w:t>
      </w:r>
      <w:r w:rsidRPr="00543136">
        <w:rPr>
          <w:b/>
          <w:bCs/>
        </w:rPr>
        <w:tab/>
        <w:t>WHAT IS THE STANDARD FOR REASONABLENESS?</w:t>
      </w:r>
    </w:p>
    <w:p w14:paraId="0A10EB60" w14:textId="18FEFFD6" w:rsidR="00A94C6D" w:rsidRDefault="00A94C6D" w:rsidP="00A94C6D">
      <w:pPr>
        <w:keepNext/>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pPr>
      <w:r>
        <w:t>A.</w:t>
      </w:r>
      <w:r>
        <w:tab/>
        <w:t xml:space="preserve">As we understand it, reasonableness goes to the cost associated with prudent decisions and comes into play when a utility seeks to add costs over the certified amount to rate base. The Company </w:t>
      </w:r>
      <w:r w:rsidR="002A10F2">
        <w:t>must not only</w:t>
      </w:r>
      <w:r>
        <w:t xml:space="preserve"> establish that the costs above the certified amount are the product of prudent decision-making, </w:t>
      </w:r>
      <w:r w:rsidR="002A10F2">
        <w:t xml:space="preserve">but </w:t>
      </w:r>
      <w:r>
        <w:t xml:space="preserve">also demonstrate that the amounts of those costs are reasonable. In other words, while the decision to incur a certain cost may have been prudent, the amount of that cost may be excessive or unreasonable and therefore not </w:t>
      </w:r>
      <w:r w:rsidR="00D13CC3">
        <w:t>appropriately</w:t>
      </w:r>
      <w:r>
        <w:t xml:space="preserve"> chargeable to customers. </w:t>
      </w:r>
    </w:p>
    <w:p w14:paraId="46227547" w14:textId="77777777" w:rsidR="00A94C6D" w:rsidRPr="00962F2D" w:rsidRDefault="00A94C6D" w:rsidP="00C934F0">
      <w:pPr>
        <w:keepNext/>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962F2D">
        <w:rPr>
          <w:b/>
          <w:bCs/>
        </w:rPr>
        <w:t xml:space="preserve">Q. </w:t>
      </w:r>
      <w:r>
        <w:tab/>
      </w:r>
      <w:r w:rsidRPr="00962F2D">
        <w:rPr>
          <w:b/>
          <w:bCs/>
        </w:rPr>
        <w:t xml:space="preserve">WHAT STANDARD OF CARE IS APPLIED WHEN EVALUATING </w:t>
      </w:r>
      <w:r>
        <w:rPr>
          <w:b/>
          <w:bCs/>
        </w:rPr>
        <w:t>REASONABLENESS</w:t>
      </w:r>
      <w:r w:rsidRPr="00962F2D">
        <w:rPr>
          <w:b/>
          <w:bCs/>
        </w:rPr>
        <w:t>?</w:t>
      </w:r>
    </w:p>
    <w:p w14:paraId="32F9EF7F" w14:textId="377BD070" w:rsidR="00A94C6D" w:rsidRPr="00543136" w:rsidRDefault="00A94C6D" w:rsidP="00A94C6D">
      <w:pPr>
        <w:keepNext/>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jc w:val="both"/>
      </w:pPr>
      <w:r>
        <w:t xml:space="preserve">Reasonableness, like prudency, is also satisfied by the reasonable manager standard of care. As discussed above, the testimony of witnesses Miller and Skaggs will discuss the reasonable manager standard as it applies to prudency and reasonableness based on their </w:t>
      </w:r>
      <w:r w:rsidR="00F05BA2">
        <w:t xml:space="preserve">extensive </w:t>
      </w:r>
      <w:r w:rsidR="00D13CC3">
        <w:t xml:space="preserve">industry </w:t>
      </w:r>
      <w:r>
        <w:t xml:space="preserve">experience. </w:t>
      </w:r>
    </w:p>
    <w:p w14:paraId="01E11F5B" w14:textId="786F6FEF" w:rsidR="00D35CFB" w:rsidRPr="00986612" w:rsidRDefault="00D35CFB" w:rsidP="00E9701D">
      <w:pPr>
        <w:pStyle w:val="OutlineL2"/>
        <w:ind w:left="1440" w:hanging="720"/>
      </w:pPr>
      <w:r w:rsidRPr="00986612">
        <w:t>Total Construction and Capital Cost Projected to be Incurred</w:t>
      </w:r>
    </w:p>
    <w:p w14:paraId="19CB6E39" w14:textId="2598B012" w:rsidR="0085013F" w:rsidRDefault="0085013F" w:rsidP="0085013F">
      <w:pPr>
        <w:spacing w:before="240" w:after="240" w:line="360" w:lineRule="auto"/>
        <w:ind w:left="720" w:hanging="720"/>
        <w:jc w:val="both"/>
        <w:rPr>
          <w:b/>
          <w:bCs/>
        </w:rPr>
      </w:pPr>
      <w:r>
        <w:rPr>
          <w:b/>
          <w:bCs/>
        </w:rPr>
        <w:t>Q.</w:t>
      </w:r>
      <w:r>
        <w:tab/>
      </w:r>
      <w:r>
        <w:rPr>
          <w:b/>
          <w:bCs/>
        </w:rPr>
        <w:t>WHAT IS GEORGIA POWER</w:t>
      </w:r>
      <w:r w:rsidR="001B126C">
        <w:rPr>
          <w:b/>
          <w:bCs/>
        </w:rPr>
        <w:t>’</w:t>
      </w:r>
      <w:r>
        <w:rPr>
          <w:b/>
          <w:bCs/>
        </w:rPr>
        <w:t>S SHARE OF THE TOTAL PROJECT COST?</w:t>
      </w:r>
    </w:p>
    <w:p w14:paraId="2C504E7C" w14:textId="258DA6E6" w:rsidR="0085013F" w:rsidRDefault="0085013F" w:rsidP="0085013F">
      <w:pPr>
        <w:spacing w:before="240" w:after="240" w:line="360" w:lineRule="auto"/>
        <w:ind w:left="720" w:hanging="720"/>
        <w:jc w:val="both"/>
        <w:rPr>
          <w:rFonts w:eastAsia="Times New Roman"/>
          <w:color w:val="000000" w:themeColor="text1"/>
        </w:rPr>
      </w:pPr>
      <w:r w:rsidRPr="00683CD8">
        <w:t>A.</w:t>
      </w:r>
      <w:r>
        <w:tab/>
      </w:r>
      <w:r w:rsidRPr="008866E8">
        <w:rPr>
          <w:rFonts w:eastAsia="Times New Roman"/>
          <w:color w:val="000000" w:themeColor="text1"/>
        </w:rPr>
        <w:t>As of the Company</w:t>
      </w:r>
      <w:r w:rsidR="001B126C">
        <w:rPr>
          <w:rFonts w:eastAsia="Times New Roman"/>
          <w:color w:val="000000" w:themeColor="text1"/>
        </w:rPr>
        <w:t>’</w:t>
      </w:r>
      <w:r w:rsidRPr="008866E8">
        <w:rPr>
          <w:rFonts w:eastAsia="Times New Roman"/>
          <w:color w:val="000000" w:themeColor="text1"/>
        </w:rPr>
        <w:t>s</w:t>
      </w:r>
      <w:r>
        <w:rPr>
          <w:rFonts w:eastAsia="Times New Roman"/>
          <w:color w:val="000000" w:themeColor="text1"/>
        </w:rPr>
        <w:t xml:space="preserve"> VCM 2</w:t>
      </w:r>
      <w:r w:rsidRPr="5018C8A2">
        <w:rPr>
          <w:rFonts w:eastAsia="Times New Roman"/>
          <w:color w:val="000000" w:themeColor="text1"/>
        </w:rPr>
        <w:t>9</w:t>
      </w:r>
      <w:r>
        <w:rPr>
          <w:rFonts w:eastAsia="Times New Roman"/>
          <w:color w:val="000000" w:themeColor="text1"/>
        </w:rPr>
        <w:t xml:space="preserve"> filing</w:t>
      </w:r>
      <w:r w:rsidRPr="72225120">
        <w:rPr>
          <w:rFonts w:eastAsia="Times New Roman"/>
        </w:rPr>
        <w:t>, Georgia Power</w:t>
      </w:r>
      <w:r w:rsidR="001B126C">
        <w:rPr>
          <w:rFonts w:eastAsia="Times New Roman"/>
        </w:rPr>
        <w:t>’</w:t>
      </w:r>
      <w:r w:rsidRPr="72225120">
        <w:rPr>
          <w:rFonts w:eastAsia="Times New Roman"/>
        </w:rPr>
        <w:t xml:space="preserve">s </w:t>
      </w:r>
      <w:r w:rsidR="00E17FB2">
        <w:rPr>
          <w:rFonts w:eastAsia="Times New Roman"/>
        </w:rPr>
        <w:t xml:space="preserve">projected </w:t>
      </w:r>
      <w:r w:rsidRPr="72225120">
        <w:rPr>
          <w:rFonts w:eastAsia="Times New Roman"/>
        </w:rPr>
        <w:t xml:space="preserve">total Project construction and capital cost is expected to </w:t>
      </w:r>
      <w:r w:rsidRPr="00986612">
        <w:rPr>
          <w:rFonts w:eastAsia="Times New Roman"/>
        </w:rPr>
        <w:t>be $10.188 billion</w:t>
      </w:r>
      <w:r w:rsidRPr="72225120">
        <w:rPr>
          <w:rFonts w:eastAsia="Times New Roman"/>
        </w:rPr>
        <w:t xml:space="preserve">, </w:t>
      </w:r>
      <w:r w:rsidR="001B1E77">
        <w:rPr>
          <w:rFonts w:eastAsia="Times New Roman"/>
        </w:rPr>
        <w:t xml:space="preserve">which includes </w:t>
      </w:r>
      <w:r w:rsidRPr="72225120">
        <w:rPr>
          <w:rFonts w:eastAsia="Times New Roman"/>
        </w:rPr>
        <w:t xml:space="preserve">$33 million for PIA </w:t>
      </w:r>
      <w:r w:rsidRPr="005172C9">
        <w:rPr>
          <w:rFonts w:eastAsia="Times New Roman"/>
        </w:rPr>
        <w:t>Staff</w:t>
      </w:r>
      <w:r w:rsidR="001B126C">
        <w:rPr>
          <w:rFonts w:eastAsia="Times New Roman"/>
        </w:rPr>
        <w:t>’</w:t>
      </w:r>
      <w:r w:rsidRPr="005172C9">
        <w:rPr>
          <w:rFonts w:eastAsia="Times New Roman"/>
        </w:rPr>
        <w:t>s</w:t>
      </w:r>
      <w:r w:rsidRPr="72225120">
        <w:rPr>
          <w:rFonts w:eastAsia="Times New Roman"/>
        </w:rPr>
        <w:t xml:space="preserve"> construction monitoring fees and after accounting for the Toshiba Parent </w:t>
      </w:r>
      <w:r w:rsidRPr="0828326D">
        <w:rPr>
          <w:rFonts w:eastAsia="Times New Roman"/>
        </w:rPr>
        <w:t>Guaranty</w:t>
      </w:r>
      <w:r w:rsidRPr="72225120">
        <w:rPr>
          <w:rFonts w:eastAsia="Times New Roman"/>
        </w:rPr>
        <w:t xml:space="preserve"> funds, net of customer refunds, </w:t>
      </w:r>
      <w:r w:rsidRPr="0828326D">
        <w:rPr>
          <w:rFonts w:eastAsia="Times New Roman"/>
        </w:rPr>
        <w:t xml:space="preserve">which are </w:t>
      </w:r>
      <w:r w:rsidRPr="72225120">
        <w:rPr>
          <w:rFonts w:eastAsia="Times New Roman"/>
        </w:rPr>
        <w:t>applied to reduce the capital cost.</w:t>
      </w:r>
      <w:r w:rsidRPr="72225120">
        <w:rPr>
          <w:rFonts w:eastAsia="Times New Roman"/>
          <w:color w:val="000000" w:themeColor="text1"/>
        </w:rPr>
        <w:t xml:space="preserve"> </w:t>
      </w:r>
      <w:r w:rsidR="00986612">
        <w:rPr>
          <w:rFonts w:eastAsia="Times New Roman"/>
          <w:color w:val="000000" w:themeColor="text1"/>
        </w:rPr>
        <w:t>As</w:t>
      </w:r>
      <w:r w:rsidR="00E17FB2">
        <w:rPr>
          <w:rFonts w:eastAsia="Times New Roman"/>
          <w:color w:val="000000" w:themeColor="text1"/>
        </w:rPr>
        <w:t xml:space="preserve"> of June 30, 2023, Georgia Power</w:t>
      </w:r>
      <w:r w:rsidR="001B126C">
        <w:rPr>
          <w:rFonts w:eastAsia="Times New Roman"/>
          <w:color w:val="000000" w:themeColor="text1"/>
        </w:rPr>
        <w:t>’</w:t>
      </w:r>
      <w:r w:rsidR="00E17FB2">
        <w:rPr>
          <w:rFonts w:eastAsia="Times New Roman"/>
          <w:color w:val="000000" w:themeColor="text1"/>
        </w:rPr>
        <w:t>s total Project construction and capital cost was $</w:t>
      </w:r>
      <w:r w:rsidR="00AD4867">
        <w:rPr>
          <w:rFonts w:eastAsia="Times New Roman"/>
          <w:color w:val="000000" w:themeColor="text1"/>
        </w:rPr>
        <w:t xml:space="preserve">9.823 billion, including $25 million expended for </w:t>
      </w:r>
      <w:r w:rsidR="00627E00">
        <w:rPr>
          <w:rFonts w:eastAsia="Times New Roman"/>
          <w:color w:val="000000" w:themeColor="text1"/>
        </w:rPr>
        <w:t xml:space="preserve">PIA </w:t>
      </w:r>
      <w:r w:rsidR="00AD4867">
        <w:rPr>
          <w:rFonts w:eastAsia="Times New Roman"/>
          <w:color w:val="000000" w:themeColor="text1"/>
        </w:rPr>
        <w:t>Staff</w:t>
      </w:r>
      <w:r w:rsidR="001B126C">
        <w:rPr>
          <w:rFonts w:eastAsia="Times New Roman"/>
          <w:color w:val="000000" w:themeColor="text1"/>
        </w:rPr>
        <w:t>’</w:t>
      </w:r>
      <w:r w:rsidR="00AD4867">
        <w:rPr>
          <w:rFonts w:eastAsia="Times New Roman"/>
          <w:color w:val="000000" w:themeColor="text1"/>
        </w:rPr>
        <w:t xml:space="preserve">s construction monitoring fees and after </w:t>
      </w:r>
      <w:r w:rsidR="00B83D11" w:rsidRPr="0099499A">
        <w:t>accounting for the Toshiba Parent Guaranty funds.</w:t>
      </w:r>
    </w:p>
    <w:p w14:paraId="58DE182A" w14:textId="3D677852" w:rsidR="005E053B" w:rsidRDefault="00791092" w:rsidP="007A33C8">
      <w:pPr>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Pr>
          <w:b/>
          <w:bCs/>
        </w:rPr>
        <w:t>Q.</w:t>
      </w:r>
      <w:r>
        <w:rPr>
          <w:b/>
          <w:bCs/>
        </w:rPr>
        <w:tab/>
      </w:r>
      <w:r w:rsidR="00FD32CA">
        <w:rPr>
          <w:b/>
          <w:bCs/>
        </w:rPr>
        <w:t>DOES THE PROJECTED TOTAL CONSTRUCTION AND CAPITAL COST OR</w:t>
      </w:r>
      <w:r w:rsidR="00E34C00">
        <w:rPr>
          <w:b/>
          <w:bCs/>
        </w:rPr>
        <w:t xml:space="preserve"> ACTUAL CONSTRUCTION AND CAPITAL COST INCURRED TO DATE INCLUDE </w:t>
      </w:r>
      <w:r w:rsidR="00C212DD">
        <w:rPr>
          <w:b/>
          <w:bCs/>
        </w:rPr>
        <w:t>COSTS ASSOCIATED WITH</w:t>
      </w:r>
      <w:r w:rsidR="008450F8">
        <w:rPr>
          <w:b/>
          <w:bCs/>
        </w:rPr>
        <w:t xml:space="preserve"> THE COST-SHARING AND TENDER PROVISIONS WITH THE CO-OWNERS?</w:t>
      </w:r>
    </w:p>
    <w:p w14:paraId="5AE20AD1" w14:textId="16B68DB0" w:rsidR="00FD32CA" w:rsidRDefault="00FD32CA" w:rsidP="007A33C8">
      <w:pPr>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E45B10">
        <w:t>A.</w:t>
      </w:r>
      <w:r w:rsidRPr="00E45B10">
        <w:tab/>
      </w:r>
      <w:r w:rsidR="004D6667">
        <w:t xml:space="preserve">No. </w:t>
      </w:r>
      <w:r w:rsidRPr="005172C9">
        <w:rPr>
          <w:color w:val="000000" w:themeColor="text1"/>
        </w:rPr>
        <w:t xml:space="preserve">The $10.188 billion projection excludes approximately $407 million of costs associated with the cost-sharing and tender provisions of the joint ownership agreement for which Georgia Power will not seek recovery from retail customers. </w:t>
      </w:r>
      <w:r w:rsidR="00F324B3" w:rsidRPr="005172C9">
        <w:rPr>
          <w:color w:val="000000" w:themeColor="text1"/>
        </w:rPr>
        <w:t xml:space="preserve">Of this estimated $407 million, </w:t>
      </w:r>
      <w:r w:rsidRPr="005172C9">
        <w:rPr>
          <w:color w:val="000000" w:themeColor="text1"/>
        </w:rPr>
        <w:t>$121 million was incurred as of June 30, 2023, related to Georgia Power</w:t>
      </w:r>
      <w:r w:rsidR="001B126C">
        <w:rPr>
          <w:color w:val="000000" w:themeColor="text1"/>
        </w:rPr>
        <w:t>’</w:t>
      </w:r>
      <w:r w:rsidRPr="005172C9">
        <w:rPr>
          <w:color w:val="000000" w:themeColor="text1"/>
        </w:rPr>
        <w:t>s cost-sharing with O</w:t>
      </w:r>
      <w:r w:rsidR="00F324B3" w:rsidRPr="005172C9">
        <w:rPr>
          <w:color w:val="000000" w:themeColor="text1"/>
        </w:rPr>
        <w:t xml:space="preserve">glethorpe Power </w:t>
      </w:r>
      <w:r w:rsidRPr="005172C9">
        <w:rPr>
          <w:color w:val="000000" w:themeColor="text1"/>
        </w:rPr>
        <w:t>C</w:t>
      </w:r>
      <w:r w:rsidR="00F324B3" w:rsidRPr="005172C9">
        <w:rPr>
          <w:color w:val="000000" w:themeColor="text1"/>
        </w:rPr>
        <w:t>orporation</w:t>
      </w:r>
      <w:r w:rsidRPr="005172C9">
        <w:rPr>
          <w:color w:val="000000" w:themeColor="text1"/>
        </w:rPr>
        <w:t xml:space="preserve"> and Dalton</w:t>
      </w:r>
      <w:r w:rsidR="00586170" w:rsidRPr="005172C9">
        <w:rPr>
          <w:color w:val="000000" w:themeColor="text1"/>
        </w:rPr>
        <w:t xml:space="preserve"> Utilities</w:t>
      </w:r>
      <w:r w:rsidRPr="005172C9">
        <w:rPr>
          <w:color w:val="000000" w:themeColor="text1"/>
        </w:rPr>
        <w:t xml:space="preserve"> and</w:t>
      </w:r>
      <w:r w:rsidR="00C46808" w:rsidRPr="005172C9">
        <w:rPr>
          <w:color w:val="000000" w:themeColor="text1"/>
        </w:rPr>
        <w:t xml:space="preserve"> the</w:t>
      </w:r>
      <w:r w:rsidRPr="005172C9">
        <w:rPr>
          <w:color w:val="000000" w:themeColor="text1"/>
        </w:rPr>
        <w:t xml:space="preserve"> September 29, 2022</w:t>
      </w:r>
      <w:r w:rsidR="00E45B10" w:rsidRPr="005172C9">
        <w:rPr>
          <w:color w:val="000000" w:themeColor="text1"/>
        </w:rPr>
        <w:t>,</w:t>
      </w:r>
      <w:r w:rsidRPr="005172C9">
        <w:rPr>
          <w:color w:val="000000" w:themeColor="text1"/>
        </w:rPr>
        <w:t xml:space="preserve"> settlement agreement with </w:t>
      </w:r>
      <w:r w:rsidR="009108A8" w:rsidRPr="005172C9">
        <w:rPr>
          <w:color w:val="000000" w:themeColor="text1"/>
        </w:rPr>
        <w:t>Municipal Electric Authority of Georgia (“</w:t>
      </w:r>
      <w:r w:rsidRPr="005172C9">
        <w:rPr>
          <w:color w:val="000000" w:themeColor="text1"/>
        </w:rPr>
        <w:t>MEAG</w:t>
      </w:r>
      <w:r w:rsidR="009108A8" w:rsidRPr="005172C9">
        <w:rPr>
          <w:color w:val="000000" w:themeColor="text1"/>
        </w:rPr>
        <w:t>”)</w:t>
      </w:r>
      <w:r w:rsidRPr="005172C9">
        <w:rPr>
          <w:color w:val="000000" w:themeColor="text1"/>
        </w:rPr>
        <w:t xml:space="preserve"> Power.</w:t>
      </w:r>
    </w:p>
    <w:p w14:paraId="52E30038" w14:textId="071A75BF" w:rsidR="007A33C8" w:rsidRPr="003A0DD0" w:rsidRDefault="007A33C8" w:rsidP="007A33C8">
      <w:pPr>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3A0DD0">
        <w:rPr>
          <w:b/>
          <w:bCs/>
        </w:rPr>
        <w:t>Q.</w:t>
      </w:r>
      <w:r>
        <w:tab/>
      </w:r>
      <w:r w:rsidR="00BC7796">
        <w:rPr>
          <w:b/>
          <w:bCs/>
        </w:rPr>
        <w:t>IS</w:t>
      </w:r>
      <w:r w:rsidRPr="003A0DD0">
        <w:rPr>
          <w:b/>
          <w:bCs/>
        </w:rPr>
        <w:t xml:space="preserve"> THE CONSTRUCTION AND CAPITAL COST </w:t>
      </w:r>
      <w:r>
        <w:rPr>
          <w:b/>
          <w:bCs/>
        </w:rPr>
        <w:t>INCURRED</w:t>
      </w:r>
      <w:r w:rsidRPr="003A0DD0">
        <w:rPr>
          <w:b/>
          <w:bCs/>
        </w:rPr>
        <w:t xml:space="preserve"> BY THE COMPANY PRUDENT</w:t>
      </w:r>
      <w:r w:rsidR="00252D3F">
        <w:rPr>
          <w:b/>
          <w:bCs/>
        </w:rPr>
        <w:t xml:space="preserve"> AND REASONABLE</w:t>
      </w:r>
      <w:r w:rsidRPr="003A0DD0">
        <w:rPr>
          <w:b/>
          <w:bCs/>
        </w:rPr>
        <w:t>?</w:t>
      </w:r>
    </w:p>
    <w:p w14:paraId="698C3DBB" w14:textId="2915D29E" w:rsidR="007A33C8" w:rsidRDefault="007A33C8" w:rsidP="007A33C8">
      <w:pPr>
        <w:spacing w:before="240" w:after="240" w:line="360" w:lineRule="auto"/>
        <w:ind w:left="720" w:hanging="720"/>
        <w:jc w:val="both"/>
      </w:pPr>
      <w:r>
        <w:t>A.</w:t>
      </w:r>
      <w:r>
        <w:tab/>
      </w:r>
      <w:r w:rsidRPr="006F06AD">
        <w:t>Yes. All</w:t>
      </w:r>
      <w:r>
        <w:t xml:space="preserve"> construction and capital cost incurred to date on Units 3 and 4 </w:t>
      </w:r>
      <w:r w:rsidR="003C3541">
        <w:t xml:space="preserve">were prudently </w:t>
      </w:r>
      <w:r w:rsidR="009C42A3">
        <w:t xml:space="preserve">and reasonably </w:t>
      </w:r>
      <w:r w:rsidR="003C3541">
        <w:t>incurred.</w:t>
      </w:r>
      <w:r>
        <w:t xml:space="preserve"> All costs incurred on the Project to date were necessary to complete construction and bring Units 3 and 4 online and in service for Georgia Power</w:t>
      </w:r>
      <w:r w:rsidR="001B126C">
        <w:t>’</w:t>
      </w:r>
      <w:r>
        <w:t xml:space="preserve">s customers. </w:t>
      </w:r>
    </w:p>
    <w:p w14:paraId="1750D4CB" w14:textId="303F61B0" w:rsidR="007A33C8" w:rsidRDefault="00D35CFB" w:rsidP="00704DF6">
      <w:pPr>
        <w:pStyle w:val="OutlineL2"/>
        <w:keepNext/>
        <w:ind w:left="1440" w:hanging="720"/>
      </w:pPr>
      <w:r w:rsidRPr="0085013F">
        <w:t>Total Reasonable Construction and Capital Cost Recoverable from Customers</w:t>
      </w:r>
    </w:p>
    <w:p w14:paraId="04888013" w14:textId="1EC2D72C" w:rsidR="007A33C8" w:rsidRPr="00423B22" w:rsidRDefault="007A33C8" w:rsidP="00704DF6">
      <w:pPr>
        <w:keepNext/>
        <w:spacing w:before="240" w:after="240" w:line="360" w:lineRule="auto"/>
        <w:ind w:left="720" w:hanging="720"/>
        <w:jc w:val="both"/>
        <w:rPr>
          <w:b/>
          <w:bCs/>
        </w:rPr>
      </w:pPr>
      <w:r w:rsidRPr="00423B22">
        <w:rPr>
          <w:b/>
          <w:bCs/>
        </w:rPr>
        <w:t>Q.</w:t>
      </w:r>
      <w:r>
        <w:tab/>
      </w:r>
      <w:r w:rsidR="00B5241D" w:rsidRPr="001B126C">
        <w:rPr>
          <w:b/>
          <w:bCs/>
        </w:rPr>
        <w:t xml:space="preserve">IS THE COMPANY REQUESTING RECOVERY OF ALL ITS </w:t>
      </w:r>
      <w:r w:rsidR="00C8556A" w:rsidRPr="001B126C">
        <w:rPr>
          <w:b/>
          <w:bCs/>
        </w:rPr>
        <w:t>PRUDENT AND REASONAB</w:t>
      </w:r>
      <w:r w:rsidR="00D95358" w:rsidRPr="001B126C">
        <w:rPr>
          <w:b/>
          <w:bCs/>
        </w:rPr>
        <w:t>LE</w:t>
      </w:r>
      <w:r w:rsidR="00C8556A" w:rsidRPr="001B126C">
        <w:rPr>
          <w:b/>
          <w:bCs/>
        </w:rPr>
        <w:t xml:space="preserve"> </w:t>
      </w:r>
      <w:r w:rsidR="00D95358" w:rsidRPr="00F06635">
        <w:rPr>
          <w:b/>
          <w:bCs/>
        </w:rPr>
        <w:t>PROJECTED TOTAL CONSTRUCTION AND CAPITAL COSTS</w:t>
      </w:r>
      <w:r w:rsidR="00C8556A" w:rsidRPr="001B126C">
        <w:rPr>
          <w:b/>
          <w:bCs/>
        </w:rPr>
        <w:t xml:space="preserve"> </w:t>
      </w:r>
      <w:r w:rsidR="00342CA9">
        <w:rPr>
          <w:b/>
          <w:bCs/>
        </w:rPr>
        <w:t>FROM CUSTOMERS</w:t>
      </w:r>
      <w:r w:rsidRPr="00423B22">
        <w:rPr>
          <w:b/>
          <w:bCs/>
        </w:rPr>
        <w:t>?</w:t>
      </w:r>
    </w:p>
    <w:p w14:paraId="03A61ED0" w14:textId="47082EEC" w:rsidR="007A33C8" w:rsidRDefault="007A33C8" w:rsidP="007A33C8">
      <w:pPr>
        <w:spacing w:before="240" w:after="240" w:line="360" w:lineRule="auto"/>
        <w:ind w:left="720" w:hanging="720"/>
        <w:jc w:val="both"/>
        <w:rPr>
          <w:rFonts w:eastAsia="Times New Roman"/>
          <w:color w:val="000000" w:themeColor="text1"/>
        </w:rPr>
      </w:pPr>
      <w:r>
        <w:t>A.</w:t>
      </w:r>
      <w:r>
        <w:tab/>
      </w:r>
      <w:r w:rsidR="00F06635">
        <w:t xml:space="preserve">No. </w:t>
      </w:r>
      <w:r w:rsidRPr="06CD4820">
        <w:rPr>
          <w:rFonts w:eastAsia="Times New Roman"/>
          <w:color w:val="000000" w:themeColor="text1"/>
        </w:rPr>
        <w:t xml:space="preserve">Of </w:t>
      </w:r>
      <w:r w:rsidRPr="00752307">
        <w:rPr>
          <w:rFonts w:eastAsia="Times New Roman"/>
        </w:rPr>
        <w:t xml:space="preserve">the $10.188 billion in total construction and capital cost that the Company expects to incur, </w:t>
      </w:r>
      <w:r w:rsidR="00C41D95" w:rsidRPr="00752307">
        <w:t xml:space="preserve">the Company has put forth the necessary support in its prudence </w:t>
      </w:r>
      <w:r w:rsidR="00C2385A">
        <w:t xml:space="preserve">request </w:t>
      </w:r>
      <w:r w:rsidR="00C41D95" w:rsidRPr="00752307">
        <w:t>to justify the reasonableness, prudence, and recovery of $8.826 billion in total construction and capital cost.</w:t>
      </w:r>
      <w:r w:rsidRPr="00752307">
        <w:rPr>
          <w:rFonts w:eastAsia="Times New Roman"/>
          <w:color w:val="000000" w:themeColor="text1"/>
        </w:rPr>
        <w:t xml:space="preserve"> </w:t>
      </w:r>
      <w:r w:rsidRPr="003F4E80">
        <w:rPr>
          <w:rFonts w:eastAsia="Times New Roman"/>
        </w:rPr>
        <w:t xml:space="preserve">As described in the </w:t>
      </w:r>
      <w:r w:rsidR="00E45B10" w:rsidRPr="003F4E80">
        <w:rPr>
          <w:rFonts w:eastAsia="Times New Roman"/>
        </w:rPr>
        <w:t>Application</w:t>
      </w:r>
      <w:r w:rsidRPr="003F4E80">
        <w:rPr>
          <w:rFonts w:eastAsia="Times New Roman"/>
        </w:rPr>
        <w:t xml:space="preserve">, the Company elected to </w:t>
      </w:r>
      <w:r w:rsidR="00BE441F">
        <w:rPr>
          <w:rFonts w:eastAsia="Times New Roman"/>
        </w:rPr>
        <w:t xml:space="preserve">forego </w:t>
      </w:r>
      <w:r w:rsidRPr="003F4E80">
        <w:rPr>
          <w:rFonts w:eastAsia="Times New Roman"/>
        </w:rPr>
        <w:t>recovery of $</w:t>
      </w:r>
      <w:r w:rsidR="002C0F75" w:rsidRPr="003F4E80">
        <w:rPr>
          <w:rFonts w:eastAsia="Times New Roman"/>
          <w:color w:val="000000" w:themeColor="text1"/>
        </w:rPr>
        <w:t>1.362</w:t>
      </w:r>
      <w:r w:rsidRPr="003F4E80">
        <w:rPr>
          <w:rFonts w:eastAsia="Times New Roman"/>
          <w:color w:val="000000" w:themeColor="text1"/>
        </w:rPr>
        <w:t xml:space="preserve"> billion in </w:t>
      </w:r>
      <w:r w:rsidR="00C61F3B">
        <w:rPr>
          <w:rFonts w:eastAsia="Times New Roman"/>
          <w:color w:val="000000" w:themeColor="text1"/>
        </w:rPr>
        <w:t xml:space="preserve">reasonable and </w:t>
      </w:r>
      <w:r w:rsidRPr="003F4E80">
        <w:rPr>
          <w:rFonts w:eastAsia="Times New Roman"/>
          <w:color w:val="000000" w:themeColor="text1"/>
        </w:rPr>
        <w:t>prudent construction and capital cost incurred to bring Vogtle Units</w:t>
      </w:r>
      <w:r w:rsidR="002C0F75" w:rsidRPr="003F4E80">
        <w:rPr>
          <w:rFonts w:eastAsia="Times New Roman"/>
          <w:color w:val="000000" w:themeColor="text1"/>
        </w:rPr>
        <w:t> </w:t>
      </w:r>
      <w:r w:rsidRPr="003F4E80">
        <w:rPr>
          <w:rFonts w:eastAsia="Times New Roman"/>
          <w:color w:val="000000" w:themeColor="text1"/>
        </w:rPr>
        <w:t>3 and 4 through construction, testing, startup and into operations to serve our 2.7 million customers.</w:t>
      </w:r>
      <w:r>
        <w:rPr>
          <w:rFonts w:eastAsia="Times New Roman"/>
          <w:color w:val="000000" w:themeColor="text1"/>
        </w:rPr>
        <w:t xml:space="preserve"> This amount includes the $694 million in increased projected total Project costs the Company stated</w:t>
      </w:r>
      <w:r w:rsidR="002C0F75">
        <w:rPr>
          <w:rFonts w:eastAsia="Times New Roman"/>
          <w:color w:val="000000" w:themeColor="text1"/>
        </w:rPr>
        <w:t xml:space="preserve"> in VCM 19</w:t>
      </w:r>
      <w:r>
        <w:rPr>
          <w:rFonts w:eastAsia="Times New Roman"/>
          <w:color w:val="000000" w:themeColor="text1"/>
        </w:rPr>
        <w:t xml:space="preserve"> that it would not seek to recover from customers following the</w:t>
      </w:r>
      <w:r w:rsidR="002C0F75">
        <w:rPr>
          <w:rFonts w:eastAsia="Times New Roman"/>
          <w:color w:val="000000" w:themeColor="text1"/>
        </w:rPr>
        <w:t xml:space="preserve"> cost</w:t>
      </w:r>
      <w:r>
        <w:rPr>
          <w:rFonts w:eastAsia="Times New Roman"/>
          <w:color w:val="000000" w:themeColor="text1"/>
        </w:rPr>
        <w:t xml:space="preserve"> reforecast conducted in 2018</w:t>
      </w:r>
      <w:r w:rsidRPr="06CD4820">
        <w:rPr>
          <w:rFonts w:eastAsia="Times New Roman"/>
          <w:color w:val="000000" w:themeColor="text1"/>
        </w:rPr>
        <w:t xml:space="preserve">. </w:t>
      </w:r>
      <w:r w:rsidR="00FB6B7D">
        <w:rPr>
          <w:rFonts w:eastAsia="Times New Roman"/>
          <w:color w:val="000000" w:themeColor="text1"/>
        </w:rPr>
        <w:t>Importantly,</w:t>
      </w:r>
      <w:r w:rsidR="00A65CA7">
        <w:rPr>
          <w:rFonts w:eastAsia="Times New Roman"/>
          <w:color w:val="000000" w:themeColor="text1"/>
        </w:rPr>
        <w:t xml:space="preserve"> </w:t>
      </w:r>
      <w:r w:rsidR="00BB0CF1">
        <w:rPr>
          <w:rFonts w:eastAsia="Times New Roman"/>
          <w:color w:val="000000" w:themeColor="text1"/>
        </w:rPr>
        <w:t>as we will discuss later in our testimony</w:t>
      </w:r>
      <w:r w:rsidR="00390FA6">
        <w:rPr>
          <w:rFonts w:eastAsia="Times New Roman"/>
          <w:color w:val="000000" w:themeColor="text1"/>
        </w:rPr>
        <w:t xml:space="preserve">, in </w:t>
      </w:r>
      <w:r w:rsidR="00390FA6" w:rsidRPr="00A25777">
        <w:rPr>
          <w:rFonts w:eastAsia="Times New Roman"/>
          <w:color w:val="000000" w:themeColor="text1"/>
          <w:u w:val="single"/>
        </w:rPr>
        <w:t>total</w:t>
      </w:r>
      <w:r w:rsidR="00390FA6">
        <w:rPr>
          <w:rFonts w:eastAsia="Times New Roman"/>
          <w:color w:val="000000" w:themeColor="text1"/>
        </w:rPr>
        <w:t xml:space="preserve"> and as a part of the Stipulation</w:t>
      </w:r>
      <w:r w:rsidR="00A8543D">
        <w:rPr>
          <w:rFonts w:eastAsia="Times New Roman"/>
          <w:color w:val="000000" w:themeColor="text1"/>
        </w:rPr>
        <w:t xml:space="preserve"> with the PIA Staff and other </w:t>
      </w:r>
      <w:r w:rsidR="003D30F3">
        <w:rPr>
          <w:rFonts w:eastAsia="Times New Roman"/>
          <w:color w:val="000000" w:themeColor="text1"/>
        </w:rPr>
        <w:t>Stipulating Parties</w:t>
      </w:r>
      <w:r w:rsidR="00A8543D">
        <w:rPr>
          <w:rFonts w:eastAsia="Times New Roman"/>
          <w:color w:val="000000" w:themeColor="text1"/>
        </w:rPr>
        <w:t>, Georgia Power</w:t>
      </w:r>
      <w:r w:rsidR="00B4667D">
        <w:rPr>
          <w:rFonts w:eastAsia="Times New Roman"/>
          <w:color w:val="000000" w:themeColor="text1"/>
        </w:rPr>
        <w:t xml:space="preserve"> </w:t>
      </w:r>
      <w:r w:rsidR="00980DA3">
        <w:rPr>
          <w:rFonts w:eastAsia="Times New Roman"/>
          <w:color w:val="000000" w:themeColor="text1"/>
        </w:rPr>
        <w:t xml:space="preserve">has </w:t>
      </w:r>
      <w:r w:rsidR="00B4667D">
        <w:rPr>
          <w:rFonts w:eastAsia="Times New Roman"/>
          <w:color w:val="000000" w:themeColor="text1"/>
        </w:rPr>
        <w:t xml:space="preserve">agreed </w:t>
      </w:r>
      <w:r w:rsidR="00B4667D" w:rsidRPr="00B4667D">
        <w:rPr>
          <w:rFonts w:eastAsia="Times New Roman"/>
          <w:color w:val="000000" w:themeColor="text1"/>
        </w:rPr>
        <w:t xml:space="preserve">to </w:t>
      </w:r>
      <w:r w:rsidR="00D42831">
        <w:rPr>
          <w:rFonts w:eastAsia="Times New Roman"/>
          <w:color w:val="000000" w:themeColor="text1"/>
        </w:rPr>
        <w:t xml:space="preserve">not </w:t>
      </w:r>
      <w:r w:rsidR="00417C8C">
        <w:rPr>
          <w:rFonts w:eastAsia="Times New Roman"/>
          <w:color w:val="000000" w:themeColor="text1"/>
        </w:rPr>
        <w:t xml:space="preserve">request </w:t>
      </w:r>
      <w:r w:rsidR="00B4667D">
        <w:rPr>
          <w:rFonts w:eastAsia="Times New Roman"/>
          <w:color w:val="000000" w:themeColor="text1"/>
        </w:rPr>
        <w:t>r</w:t>
      </w:r>
      <w:r w:rsidR="00B4667D" w:rsidRPr="00B4667D">
        <w:rPr>
          <w:rFonts w:eastAsia="Times New Roman"/>
          <w:color w:val="000000" w:themeColor="text1"/>
        </w:rPr>
        <w:t xml:space="preserve">ecovery of $2.626 </w:t>
      </w:r>
      <w:r w:rsidR="00B4667D">
        <w:rPr>
          <w:rFonts w:eastAsia="Times New Roman"/>
          <w:color w:val="000000" w:themeColor="text1"/>
        </w:rPr>
        <w:t>b</w:t>
      </w:r>
      <w:r w:rsidR="00B4667D" w:rsidRPr="00B4667D">
        <w:rPr>
          <w:rFonts w:eastAsia="Times New Roman"/>
          <w:color w:val="000000" w:themeColor="text1"/>
        </w:rPr>
        <w:t xml:space="preserve">illion in </w:t>
      </w:r>
      <w:r w:rsidR="00417C8C" w:rsidRPr="00752307">
        <w:t>construction and capital cost</w:t>
      </w:r>
      <w:r w:rsidR="00417C8C" w:rsidRPr="00B4667D">
        <w:rPr>
          <w:rFonts w:eastAsia="Times New Roman"/>
          <w:color w:val="000000" w:themeColor="text1"/>
        </w:rPr>
        <w:t xml:space="preserve"> </w:t>
      </w:r>
      <w:r w:rsidR="00B4667D" w:rsidRPr="00B4667D">
        <w:rPr>
          <w:rFonts w:eastAsia="Times New Roman"/>
          <w:color w:val="000000" w:themeColor="text1"/>
        </w:rPr>
        <w:t xml:space="preserve">from </w:t>
      </w:r>
      <w:r w:rsidR="00B4667D">
        <w:rPr>
          <w:rFonts w:eastAsia="Times New Roman"/>
          <w:color w:val="000000" w:themeColor="text1"/>
        </w:rPr>
        <w:t>c</w:t>
      </w:r>
      <w:r w:rsidR="00B4667D" w:rsidRPr="00B4667D">
        <w:rPr>
          <w:rFonts w:eastAsia="Times New Roman"/>
          <w:color w:val="000000" w:themeColor="text1"/>
        </w:rPr>
        <w:t>ustomers</w:t>
      </w:r>
      <w:r w:rsidR="00A8543D">
        <w:rPr>
          <w:rFonts w:eastAsia="Times New Roman"/>
          <w:color w:val="000000" w:themeColor="text1"/>
        </w:rPr>
        <w:t>.</w:t>
      </w:r>
      <w:r w:rsidR="00A3122C">
        <w:rPr>
          <w:rFonts w:eastAsia="Times New Roman"/>
          <w:color w:val="000000" w:themeColor="text1"/>
        </w:rPr>
        <w:t xml:space="preserve"> </w:t>
      </w:r>
    </w:p>
    <w:p w14:paraId="64776F7D" w14:textId="06D06824" w:rsidR="00A571A5" w:rsidRDefault="00A571A5" w:rsidP="00A571A5">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hanging="720"/>
        <w:jc w:val="both"/>
        <w:rPr>
          <w:b/>
          <w:bCs/>
        </w:rPr>
      </w:pPr>
      <w:r>
        <w:rPr>
          <w:b/>
          <w:bCs/>
        </w:rPr>
        <w:t>Q.</w:t>
      </w:r>
      <w:r>
        <w:rPr>
          <w:b/>
          <w:bCs/>
        </w:rPr>
        <w:tab/>
        <w:t>IS THE COMPANY</w:t>
      </w:r>
      <w:r w:rsidR="001B126C">
        <w:rPr>
          <w:b/>
          <w:bCs/>
        </w:rPr>
        <w:t>’</w:t>
      </w:r>
      <w:r>
        <w:rPr>
          <w:b/>
          <w:bCs/>
        </w:rPr>
        <w:t>S DECISION NOT TO REQUEST RECOVERY OF CERTAIN COSTS AN ADMISSION OF IMPRUDENCE?</w:t>
      </w:r>
    </w:p>
    <w:p w14:paraId="54FCF270" w14:textId="2C749F5C" w:rsidR="00A571A5" w:rsidRDefault="00A571A5" w:rsidP="00A571A5">
      <w:pPr>
        <w:spacing w:before="240" w:after="240" w:line="360" w:lineRule="auto"/>
        <w:ind w:left="720" w:hanging="720"/>
        <w:jc w:val="both"/>
      </w:pPr>
      <w:r>
        <w:t>A.</w:t>
      </w:r>
      <w:r>
        <w:tab/>
      </w:r>
      <w:r w:rsidR="008D3C79">
        <w:t>Abso</w:t>
      </w:r>
      <w:r w:rsidR="004543A8">
        <w:t>lutely n</w:t>
      </w:r>
      <w:r>
        <w:t>o</w:t>
      </w:r>
      <w:r w:rsidR="004543A8">
        <w:t>t</w:t>
      </w:r>
      <w:r>
        <w:t xml:space="preserve">. The decision </w:t>
      </w:r>
      <w:r w:rsidR="006718C7">
        <w:t xml:space="preserve">to forego recovery of </w:t>
      </w:r>
      <w:r w:rsidR="003714FE">
        <w:t xml:space="preserve">certain costs </w:t>
      </w:r>
      <w:r>
        <w:t>is not an admission of imprudence</w:t>
      </w:r>
      <w:r w:rsidR="006F4A6B">
        <w:t xml:space="preserve"> or a declaration that such costs </w:t>
      </w:r>
      <w:r w:rsidR="00D45401">
        <w:t>were unreasonable</w:t>
      </w:r>
      <w:r>
        <w:t xml:space="preserve">. </w:t>
      </w:r>
      <w:r w:rsidR="00282C2D">
        <w:t>While all</w:t>
      </w:r>
      <w:r>
        <w:t xml:space="preserve"> the construction and capital cost </w:t>
      </w:r>
      <w:r w:rsidR="00320F86">
        <w:t xml:space="preserve">incurred </w:t>
      </w:r>
      <w:r>
        <w:t xml:space="preserve">for Units 3 and 4 were </w:t>
      </w:r>
      <w:r w:rsidR="00D87C6A">
        <w:t>both</w:t>
      </w:r>
      <w:r>
        <w:t xml:space="preserve"> prudent </w:t>
      </w:r>
      <w:r w:rsidR="00684452">
        <w:t>and reasonab</w:t>
      </w:r>
      <w:r w:rsidR="00320F86">
        <w:t>le,</w:t>
      </w:r>
      <w:r w:rsidR="008405F9">
        <w:t xml:space="preserve"> </w:t>
      </w:r>
      <w:r w:rsidR="003A55B5">
        <w:t xml:space="preserve">as described further below, </w:t>
      </w:r>
      <w:r>
        <w:t xml:space="preserve">Georgia Power </w:t>
      </w:r>
      <w:r w:rsidR="00E2625D">
        <w:t xml:space="preserve">decided to forego </w:t>
      </w:r>
      <w:r w:rsidR="00CF557D">
        <w:t xml:space="preserve">seeking </w:t>
      </w:r>
      <w:r w:rsidR="009C7837">
        <w:t xml:space="preserve">recovery </w:t>
      </w:r>
      <w:r w:rsidR="00667406">
        <w:t>of costs</w:t>
      </w:r>
      <w:r w:rsidR="000969BE">
        <w:t xml:space="preserve"> above $8.826 billion</w:t>
      </w:r>
      <w:r w:rsidR="00CE31D4">
        <w:t xml:space="preserve"> for the benefit of customers</w:t>
      </w:r>
      <w:r>
        <w:t xml:space="preserve">. </w:t>
      </w:r>
    </w:p>
    <w:p w14:paraId="0DA27E48" w14:textId="4589290C" w:rsidR="00175983" w:rsidRPr="00175983" w:rsidRDefault="00175983" w:rsidP="00EA15AC">
      <w:pPr>
        <w:keepNext/>
        <w:spacing w:before="240" w:after="240" w:line="360" w:lineRule="auto"/>
        <w:ind w:left="720" w:hanging="720"/>
        <w:jc w:val="both"/>
        <w:rPr>
          <w:i/>
          <w:iCs/>
        </w:rPr>
      </w:pPr>
      <w:r>
        <w:rPr>
          <w:i/>
          <w:iCs/>
        </w:rPr>
        <w:t>Included Costs</w:t>
      </w:r>
    </w:p>
    <w:p w14:paraId="02742CB1" w14:textId="362C8402" w:rsidR="009B6835" w:rsidRPr="005077CB" w:rsidRDefault="00E53CCE" w:rsidP="00EA15AC">
      <w:pPr>
        <w:keepNext/>
        <w:spacing w:before="240" w:after="240" w:line="360" w:lineRule="auto"/>
        <w:ind w:left="720" w:hanging="720"/>
        <w:jc w:val="both"/>
        <w:rPr>
          <w:b/>
          <w:bCs/>
        </w:rPr>
      </w:pPr>
      <w:r w:rsidRPr="005077CB">
        <w:rPr>
          <w:b/>
          <w:bCs/>
        </w:rPr>
        <w:t>Q.</w:t>
      </w:r>
      <w:r w:rsidRPr="005077CB">
        <w:rPr>
          <w:b/>
          <w:bCs/>
        </w:rPr>
        <w:tab/>
        <w:t xml:space="preserve">WHAT COSTS ARE INCLUDED IN THE $8.826 </w:t>
      </w:r>
      <w:r w:rsidR="008B5DCE">
        <w:rPr>
          <w:b/>
          <w:bCs/>
        </w:rPr>
        <w:t xml:space="preserve">BILLION </w:t>
      </w:r>
      <w:r w:rsidRPr="005077CB">
        <w:rPr>
          <w:b/>
          <w:bCs/>
        </w:rPr>
        <w:t xml:space="preserve">THE COMPANY ESTIMATES IS REASONABLE </w:t>
      </w:r>
      <w:r w:rsidR="005D3F1C">
        <w:rPr>
          <w:b/>
          <w:bCs/>
        </w:rPr>
        <w:t xml:space="preserve">AND PRUDENT </w:t>
      </w:r>
      <w:r w:rsidRPr="005077CB">
        <w:rPr>
          <w:b/>
          <w:bCs/>
        </w:rPr>
        <w:t>TO RECOVER FROM CUSTOMERS?</w:t>
      </w:r>
    </w:p>
    <w:p w14:paraId="625805D5" w14:textId="2558C98D" w:rsidR="005077CB" w:rsidRPr="0099499A" w:rsidRDefault="00E53CCE" w:rsidP="00EA15AC">
      <w:pPr>
        <w:spacing w:before="240" w:after="240" w:line="360" w:lineRule="auto"/>
        <w:ind w:left="720" w:hanging="720"/>
        <w:jc w:val="both"/>
      </w:pPr>
      <w:r>
        <w:t>A.</w:t>
      </w:r>
      <w:r>
        <w:tab/>
      </w:r>
      <w:r w:rsidR="005077CB" w:rsidRPr="0099499A">
        <w:t>Georgia Power</w:t>
      </w:r>
      <w:r w:rsidR="001B126C">
        <w:t>’</w:t>
      </w:r>
      <w:r w:rsidR="00FF5878">
        <w:t>s Application and</w:t>
      </w:r>
      <w:r w:rsidR="005362C8">
        <w:t xml:space="preserve"> the VCM record</w:t>
      </w:r>
      <w:r w:rsidR="005077CB" w:rsidRPr="0099499A">
        <w:t xml:space="preserve"> support the reasonableness and prudence of $8.826 billion of total Project construction and capital cost for Vogtle Units 3 and 4.</w:t>
      </w:r>
      <w:r w:rsidR="006D42B7">
        <w:t xml:space="preserve"> For the avoidance of doubt, the Company is not requesting Commission approval </w:t>
      </w:r>
      <w:r w:rsidR="0049360F">
        <w:t>to recover $8.826 billion</w:t>
      </w:r>
      <w:r w:rsidR="00A407C6">
        <w:t xml:space="preserve"> – the Company is requesting recovery of the $7.562 billion agreed to in the Stipulation. The Company presents </w:t>
      </w:r>
      <w:r w:rsidR="00C97AC9">
        <w:t xml:space="preserve">the </w:t>
      </w:r>
      <w:r w:rsidR="00070A9E">
        <w:t>breakout of reasonable and prudent construction and capital cost included up to $8.826 billion as additional support for the costs that are being requested for recovery.</w:t>
      </w:r>
      <w:r w:rsidR="005077CB" w:rsidRPr="0099499A">
        <w:t xml:space="preserve"> The construction and capital cost included within the $8.826 billion are identified in Table </w:t>
      </w:r>
      <w:r w:rsidR="00566C1B">
        <w:t>2</w:t>
      </w:r>
      <w:r w:rsidR="005077CB" w:rsidRPr="0099499A">
        <w:t xml:space="preserve"> and described below</w:t>
      </w:r>
      <w:r w:rsidR="00A53A89">
        <w:t xml:space="preserve"> were all reasonable and </w:t>
      </w:r>
      <w:r w:rsidR="00A53A89" w:rsidRPr="0099499A">
        <w:t>prudent cost</w:t>
      </w:r>
      <w:r w:rsidR="00FC543D">
        <w:t>s</w:t>
      </w:r>
      <w:r w:rsidR="00A53A89" w:rsidRPr="0099499A">
        <w:t xml:space="preserve"> necessary to complete the Project</w:t>
      </w:r>
      <w:r w:rsidR="006C38AB">
        <w:t>.</w:t>
      </w:r>
    </w:p>
    <w:p w14:paraId="65E4B0E4" w14:textId="540BEC3E" w:rsidR="005077CB" w:rsidRPr="0099499A" w:rsidRDefault="005077CB" w:rsidP="001D7364">
      <w:pPr>
        <w:keepNext/>
        <w:spacing w:before="240" w:after="240"/>
        <w:ind w:left="720"/>
        <w:jc w:val="center"/>
        <w:rPr>
          <w:b/>
          <w:bCs/>
        </w:rPr>
      </w:pPr>
      <w:r w:rsidRPr="0099499A">
        <w:rPr>
          <w:b/>
          <w:bCs/>
        </w:rPr>
        <w:t xml:space="preserve">Table </w:t>
      </w:r>
      <w:r w:rsidR="00566C1B">
        <w:rPr>
          <w:b/>
          <w:bCs/>
        </w:rPr>
        <w:t>2</w:t>
      </w:r>
      <w:r w:rsidRPr="0099499A">
        <w:rPr>
          <w:b/>
          <w:bCs/>
        </w:rPr>
        <w:t>: Reasonable and Prudently Incurred Costs Included in the $8.826 Billion</w:t>
      </w:r>
    </w:p>
    <w:tbl>
      <w:tblPr>
        <w:tblStyle w:val="TableGrid"/>
        <w:tblW w:w="8640" w:type="dxa"/>
        <w:tblInd w:w="715" w:type="dxa"/>
        <w:tblLook w:val="04A0" w:firstRow="1" w:lastRow="0" w:firstColumn="1" w:lastColumn="0" w:noHBand="0" w:noVBand="1"/>
      </w:tblPr>
      <w:tblGrid>
        <w:gridCol w:w="6390"/>
        <w:gridCol w:w="2250"/>
      </w:tblGrid>
      <w:tr w:rsidR="005077CB" w:rsidRPr="0099499A" w14:paraId="6F4772E0" w14:textId="77777777" w:rsidTr="005077CB">
        <w:tc>
          <w:tcPr>
            <w:tcW w:w="6390" w:type="dxa"/>
            <w:vAlign w:val="center"/>
          </w:tcPr>
          <w:p w14:paraId="116305FB" w14:textId="77777777" w:rsidR="005077CB" w:rsidRPr="0099499A" w:rsidRDefault="005077CB" w:rsidP="001D7364">
            <w:pPr>
              <w:keepNext/>
              <w:rPr>
                <w:b/>
                <w:bCs/>
                <w:sz w:val="24"/>
              </w:rPr>
            </w:pPr>
            <w:r w:rsidRPr="0099499A">
              <w:rPr>
                <w:b/>
                <w:bCs/>
                <w:sz w:val="24"/>
              </w:rPr>
              <w:t>Cost</w:t>
            </w:r>
          </w:p>
        </w:tc>
        <w:tc>
          <w:tcPr>
            <w:tcW w:w="2250" w:type="dxa"/>
            <w:vAlign w:val="center"/>
          </w:tcPr>
          <w:p w14:paraId="1EE917EC" w14:textId="77777777" w:rsidR="005077CB" w:rsidRPr="0099499A" w:rsidRDefault="005077CB" w:rsidP="001D7364">
            <w:pPr>
              <w:keepNext/>
              <w:jc w:val="right"/>
              <w:rPr>
                <w:b/>
                <w:bCs/>
                <w:sz w:val="24"/>
              </w:rPr>
            </w:pPr>
            <w:r w:rsidRPr="0099499A">
              <w:rPr>
                <w:b/>
                <w:bCs/>
                <w:sz w:val="24"/>
              </w:rPr>
              <w:t>Amount (millions)</w:t>
            </w:r>
            <w:r w:rsidRPr="0099499A">
              <w:rPr>
                <w:rStyle w:val="FootnoteReference"/>
                <w:b/>
                <w:bCs/>
                <w:sz w:val="24"/>
              </w:rPr>
              <w:footnoteReference w:id="3"/>
            </w:r>
          </w:p>
        </w:tc>
      </w:tr>
      <w:tr w:rsidR="005077CB" w:rsidRPr="0099499A" w14:paraId="2D294A93" w14:textId="77777777" w:rsidTr="005077CB">
        <w:tc>
          <w:tcPr>
            <w:tcW w:w="6390" w:type="dxa"/>
            <w:vAlign w:val="center"/>
          </w:tcPr>
          <w:p w14:paraId="230EF9C8" w14:textId="77777777" w:rsidR="005077CB" w:rsidRPr="0099499A" w:rsidRDefault="005077CB" w:rsidP="001D7364">
            <w:pPr>
              <w:keepNext/>
              <w:rPr>
                <w:sz w:val="24"/>
              </w:rPr>
            </w:pPr>
            <w:r w:rsidRPr="0099499A">
              <w:rPr>
                <w:sz w:val="24"/>
              </w:rPr>
              <w:t>VCM 17 Previously Deemed Reasonable Amount</w:t>
            </w:r>
          </w:p>
        </w:tc>
        <w:tc>
          <w:tcPr>
            <w:tcW w:w="2250" w:type="dxa"/>
            <w:vAlign w:val="center"/>
          </w:tcPr>
          <w:p w14:paraId="1091319F" w14:textId="77777777" w:rsidR="005077CB" w:rsidRPr="0099499A" w:rsidRDefault="005077CB" w:rsidP="001D7364">
            <w:pPr>
              <w:keepNext/>
              <w:jc w:val="right"/>
              <w:rPr>
                <w:sz w:val="24"/>
              </w:rPr>
            </w:pPr>
            <w:r w:rsidRPr="0099499A">
              <w:rPr>
                <w:sz w:val="24"/>
              </w:rPr>
              <w:t xml:space="preserve">$7,293 </w:t>
            </w:r>
          </w:p>
        </w:tc>
      </w:tr>
      <w:tr w:rsidR="005077CB" w:rsidRPr="0099499A" w14:paraId="229E1EA3" w14:textId="77777777" w:rsidTr="005077CB">
        <w:tc>
          <w:tcPr>
            <w:tcW w:w="6390" w:type="dxa"/>
            <w:vAlign w:val="center"/>
          </w:tcPr>
          <w:p w14:paraId="241EAA84" w14:textId="77777777" w:rsidR="005077CB" w:rsidRPr="0099499A" w:rsidRDefault="005077CB" w:rsidP="001D7364">
            <w:pPr>
              <w:keepNext/>
              <w:rPr>
                <w:sz w:val="24"/>
              </w:rPr>
            </w:pPr>
            <w:r w:rsidRPr="0099499A">
              <w:rPr>
                <w:sz w:val="24"/>
              </w:rPr>
              <w:t>COVID-19 Costs (Schedule and Mitigation)</w:t>
            </w:r>
          </w:p>
        </w:tc>
        <w:tc>
          <w:tcPr>
            <w:tcW w:w="2250" w:type="dxa"/>
            <w:vAlign w:val="center"/>
          </w:tcPr>
          <w:p w14:paraId="47805DDF" w14:textId="77777777" w:rsidR="005077CB" w:rsidRPr="0099499A" w:rsidRDefault="005077CB" w:rsidP="001D7364">
            <w:pPr>
              <w:keepNext/>
              <w:jc w:val="right"/>
              <w:rPr>
                <w:sz w:val="24"/>
              </w:rPr>
            </w:pPr>
            <w:r w:rsidRPr="0099499A">
              <w:rPr>
                <w:sz w:val="24"/>
              </w:rPr>
              <w:t>$200</w:t>
            </w:r>
          </w:p>
        </w:tc>
      </w:tr>
      <w:tr w:rsidR="005077CB" w:rsidRPr="0099499A" w14:paraId="0389FE48" w14:textId="77777777" w:rsidTr="005077CB">
        <w:tc>
          <w:tcPr>
            <w:tcW w:w="6390" w:type="dxa"/>
            <w:vAlign w:val="center"/>
          </w:tcPr>
          <w:p w14:paraId="270A18E6" w14:textId="77777777" w:rsidR="005077CB" w:rsidRPr="0099499A" w:rsidRDefault="005077CB" w:rsidP="001D7364">
            <w:pPr>
              <w:keepNext/>
              <w:rPr>
                <w:sz w:val="24"/>
              </w:rPr>
            </w:pPr>
            <w:r w:rsidRPr="0099499A">
              <w:rPr>
                <w:sz w:val="24"/>
              </w:rPr>
              <w:t>Change in Scope</w:t>
            </w:r>
          </w:p>
        </w:tc>
        <w:tc>
          <w:tcPr>
            <w:tcW w:w="2250" w:type="dxa"/>
            <w:vAlign w:val="center"/>
          </w:tcPr>
          <w:p w14:paraId="496A068C" w14:textId="77777777" w:rsidR="005077CB" w:rsidRPr="0099499A" w:rsidRDefault="005077CB" w:rsidP="001D7364">
            <w:pPr>
              <w:keepNext/>
              <w:jc w:val="right"/>
              <w:rPr>
                <w:sz w:val="24"/>
              </w:rPr>
            </w:pPr>
            <w:r w:rsidRPr="0099499A">
              <w:rPr>
                <w:sz w:val="24"/>
              </w:rPr>
              <w:t>$142</w:t>
            </w:r>
          </w:p>
        </w:tc>
      </w:tr>
      <w:tr w:rsidR="005077CB" w:rsidRPr="0099499A" w14:paraId="14EDA523" w14:textId="77777777" w:rsidTr="005077CB">
        <w:tc>
          <w:tcPr>
            <w:tcW w:w="6390" w:type="dxa"/>
            <w:vAlign w:val="center"/>
          </w:tcPr>
          <w:p w14:paraId="5FECC654" w14:textId="77777777" w:rsidR="005077CB" w:rsidRPr="0099499A" w:rsidRDefault="005077CB" w:rsidP="001D7364">
            <w:pPr>
              <w:keepNext/>
              <w:rPr>
                <w:sz w:val="24"/>
              </w:rPr>
            </w:pPr>
            <w:r w:rsidRPr="0099499A">
              <w:rPr>
                <w:sz w:val="24"/>
              </w:rPr>
              <w:t>Procurement of Materials and Equipment</w:t>
            </w:r>
          </w:p>
        </w:tc>
        <w:tc>
          <w:tcPr>
            <w:tcW w:w="2250" w:type="dxa"/>
            <w:vAlign w:val="center"/>
          </w:tcPr>
          <w:p w14:paraId="19816ADF" w14:textId="77777777" w:rsidR="005077CB" w:rsidRPr="0099499A" w:rsidRDefault="005077CB" w:rsidP="001D7364">
            <w:pPr>
              <w:keepNext/>
              <w:jc w:val="right"/>
              <w:rPr>
                <w:sz w:val="24"/>
              </w:rPr>
            </w:pPr>
            <w:r w:rsidRPr="0099499A">
              <w:rPr>
                <w:sz w:val="24"/>
              </w:rPr>
              <w:t>$105</w:t>
            </w:r>
          </w:p>
        </w:tc>
      </w:tr>
      <w:tr w:rsidR="005077CB" w:rsidRPr="0099499A" w14:paraId="53B572B0" w14:textId="77777777" w:rsidTr="005077CB">
        <w:tc>
          <w:tcPr>
            <w:tcW w:w="6390" w:type="dxa"/>
            <w:vAlign w:val="center"/>
          </w:tcPr>
          <w:p w14:paraId="7BE4E50F" w14:textId="77777777" w:rsidR="005077CB" w:rsidRPr="0099499A" w:rsidRDefault="005077CB" w:rsidP="001D7364">
            <w:pPr>
              <w:keepNext/>
              <w:rPr>
                <w:sz w:val="24"/>
              </w:rPr>
            </w:pPr>
            <w:r w:rsidRPr="0099499A">
              <w:rPr>
                <w:sz w:val="24"/>
              </w:rPr>
              <w:t>Additional Engineering Resources (headcount and duration)</w:t>
            </w:r>
          </w:p>
        </w:tc>
        <w:tc>
          <w:tcPr>
            <w:tcW w:w="2250" w:type="dxa"/>
            <w:vAlign w:val="center"/>
          </w:tcPr>
          <w:p w14:paraId="17347D3E" w14:textId="77777777" w:rsidR="005077CB" w:rsidRPr="0099499A" w:rsidRDefault="005077CB" w:rsidP="001D7364">
            <w:pPr>
              <w:keepNext/>
              <w:jc w:val="right"/>
              <w:rPr>
                <w:sz w:val="24"/>
              </w:rPr>
            </w:pPr>
            <w:r w:rsidRPr="0099499A">
              <w:rPr>
                <w:sz w:val="24"/>
              </w:rPr>
              <w:t>$48</w:t>
            </w:r>
          </w:p>
        </w:tc>
      </w:tr>
      <w:tr w:rsidR="005077CB" w:rsidRPr="0099499A" w14:paraId="18B11E4F" w14:textId="77777777" w:rsidTr="005077CB">
        <w:tc>
          <w:tcPr>
            <w:tcW w:w="6390" w:type="dxa"/>
            <w:vAlign w:val="center"/>
          </w:tcPr>
          <w:p w14:paraId="72FDA87F" w14:textId="77777777" w:rsidR="005077CB" w:rsidRPr="0099499A" w:rsidRDefault="005077CB" w:rsidP="001D7364">
            <w:pPr>
              <w:keepNext/>
              <w:rPr>
                <w:sz w:val="24"/>
              </w:rPr>
            </w:pPr>
            <w:r w:rsidRPr="0099499A">
              <w:rPr>
                <w:sz w:val="24"/>
              </w:rPr>
              <w:t>Direct Construction Productivity/Performance</w:t>
            </w:r>
          </w:p>
        </w:tc>
        <w:tc>
          <w:tcPr>
            <w:tcW w:w="2250" w:type="dxa"/>
            <w:vAlign w:val="center"/>
          </w:tcPr>
          <w:p w14:paraId="0835F2D2" w14:textId="77777777" w:rsidR="005077CB" w:rsidRPr="0099499A" w:rsidRDefault="005077CB" w:rsidP="001D7364">
            <w:pPr>
              <w:keepNext/>
              <w:jc w:val="right"/>
              <w:rPr>
                <w:sz w:val="24"/>
              </w:rPr>
            </w:pPr>
            <w:r w:rsidRPr="0099499A">
              <w:rPr>
                <w:sz w:val="24"/>
              </w:rPr>
              <w:t>$413</w:t>
            </w:r>
          </w:p>
        </w:tc>
      </w:tr>
      <w:tr w:rsidR="005077CB" w:rsidRPr="0099499A" w14:paraId="432B7F8B" w14:textId="77777777" w:rsidTr="005077CB">
        <w:tc>
          <w:tcPr>
            <w:tcW w:w="6390" w:type="dxa"/>
            <w:vAlign w:val="center"/>
          </w:tcPr>
          <w:p w14:paraId="5DE48321" w14:textId="77777777" w:rsidR="005077CB" w:rsidRPr="0099499A" w:rsidRDefault="005077CB" w:rsidP="001D7364">
            <w:pPr>
              <w:keepNext/>
              <w:rPr>
                <w:sz w:val="24"/>
              </w:rPr>
            </w:pPr>
            <w:r w:rsidRPr="0099499A">
              <w:rPr>
                <w:sz w:val="24"/>
              </w:rPr>
              <w:t>Schedule Changes (non-COVID) Driven</w:t>
            </w:r>
            <w:r w:rsidRPr="0099499A" w:rsidDel="009A55D5">
              <w:rPr>
                <w:sz w:val="24"/>
              </w:rPr>
              <w:t xml:space="preserve"> </w:t>
            </w:r>
            <w:r w:rsidRPr="0099499A">
              <w:rPr>
                <w:sz w:val="24"/>
              </w:rPr>
              <w:t xml:space="preserve">by Scope Increases </w:t>
            </w:r>
          </w:p>
        </w:tc>
        <w:tc>
          <w:tcPr>
            <w:tcW w:w="2250" w:type="dxa"/>
            <w:vAlign w:val="center"/>
          </w:tcPr>
          <w:p w14:paraId="22877F4D" w14:textId="77777777" w:rsidR="005077CB" w:rsidRPr="0099499A" w:rsidRDefault="005077CB" w:rsidP="001D7364">
            <w:pPr>
              <w:keepNext/>
              <w:jc w:val="right"/>
              <w:rPr>
                <w:sz w:val="24"/>
              </w:rPr>
            </w:pPr>
            <w:r w:rsidRPr="0099499A">
              <w:rPr>
                <w:sz w:val="24"/>
              </w:rPr>
              <w:t>$517</w:t>
            </w:r>
          </w:p>
        </w:tc>
      </w:tr>
      <w:tr w:rsidR="005077CB" w:rsidRPr="0099499A" w14:paraId="44DEF9FF" w14:textId="77777777" w:rsidTr="005077CB">
        <w:tc>
          <w:tcPr>
            <w:tcW w:w="6390" w:type="dxa"/>
            <w:vAlign w:val="center"/>
          </w:tcPr>
          <w:p w14:paraId="76C8D7C7" w14:textId="77777777" w:rsidR="005077CB" w:rsidRPr="0099499A" w:rsidRDefault="005077CB" w:rsidP="001D7364">
            <w:pPr>
              <w:keepNext/>
              <w:rPr>
                <w:sz w:val="24"/>
              </w:rPr>
            </w:pPr>
            <w:r w:rsidRPr="0099499A">
              <w:rPr>
                <w:sz w:val="24"/>
              </w:rPr>
              <w:t>Miscellaneous (Taxes, Regulatory Support Costs, and IT)</w:t>
            </w:r>
          </w:p>
        </w:tc>
        <w:tc>
          <w:tcPr>
            <w:tcW w:w="2250" w:type="dxa"/>
            <w:vAlign w:val="center"/>
          </w:tcPr>
          <w:p w14:paraId="120AD6CC" w14:textId="77777777" w:rsidR="005077CB" w:rsidRPr="0099499A" w:rsidRDefault="005077CB" w:rsidP="001D7364">
            <w:pPr>
              <w:keepNext/>
              <w:jc w:val="right"/>
              <w:rPr>
                <w:sz w:val="24"/>
              </w:rPr>
            </w:pPr>
            <w:r w:rsidRPr="0099499A">
              <w:rPr>
                <w:sz w:val="24"/>
              </w:rPr>
              <w:t>$75</w:t>
            </w:r>
          </w:p>
        </w:tc>
      </w:tr>
      <w:tr w:rsidR="005077CB" w:rsidRPr="0099499A" w14:paraId="3FCF6393" w14:textId="77777777" w:rsidTr="005077CB">
        <w:trPr>
          <w:trHeight w:val="300"/>
        </w:trPr>
        <w:tc>
          <w:tcPr>
            <w:tcW w:w="6390" w:type="dxa"/>
            <w:vAlign w:val="center"/>
          </w:tcPr>
          <w:p w14:paraId="392973B8" w14:textId="77777777" w:rsidR="005077CB" w:rsidRPr="0099499A" w:rsidRDefault="005077CB" w:rsidP="001D7364">
            <w:pPr>
              <w:keepNext/>
              <w:rPr>
                <w:sz w:val="24"/>
              </w:rPr>
            </w:pPr>
            <w:r w:rsidRPr="0099499A">
              <w:rPr>
                <w:sz w:val="24"/>
              </w:rPr>
              <w:t>Construction Monitor</w:t>
            </w:r>
          </w:p>
        </w:tc>
        <w:tc>
          <w:tcPr>
            <w:tcW w:w="2250" w:type="dxa"/>
            <w:vAlign w:val="center"/>
          </w:tcPr>
          <w:p w14:paraId="064929A5" w14:textId="77777777" w:rsidR="005077CB" w:rsidRPr="0099499A" w:rsidRDefault="005077CB" w:rsidP="001D7364">
            <w:pPr>
              <w:keepNext/>
              <w:jc w:val="right"/>
              <w:rPr>
                <w:sz w:val="24"/>
              </w:rPr>
            </w:pPr>
            <w:r w:rsidRPr="0099499A">
              <w:rPr>
                <w:sz w:val="24"/>
              </w:rPr>
              <w:t>$33</w:t>
            </w:r>
          </w:p>
        </w:tc>
      </w:tr>
      <w:tr w:rsidR="005077CB" w:rsidRPr="0099499A" w14:paraId="73122E1F" w14:textId="77777777" w:rsidTr="005077CB">
        <w:trPr>
          <w:trHeight w:val="300"/>
        </w:trPr>
        <w:tc>
          <w:tcPr>
            <w:tcW w:w="6390" w:type="dxa"/>
            <w:vAlign w:val="center"/>
          </w:tcPr>
          <w:p w14:paraId="122BE6EE" w14:textId="77777777" w:rsidR="005077CB" w:rsidRPr="0099499A" w:rsidRDefault="005077CB" w:rsidP="001D7364">
            <w:pPr>
              <w:keepNext/>
              <w:rPr>
                <w:b/>
                <w:bCs/>
                <w:sz w:val="24"/>
              </w:rPr>
            </w:pPr>
            <w:r w:rsidRPr="0099499A">
              <w:rPr>
                <w:b/>
                <w:bCs/>
                <w:sz w:val="24"/>
              </w:rPr>
              <w:t>Total</w:t>
            </w:r>
          </w:p>
        </w:tc>
        <w:tc>
          <w:tcPr>
            <w:tcW w:w="2250" w:type="dxa"/>
            <w:vAlign w:val="center"/>
          </w:tcPr>
          <w:p w14:paraId="3946FAD9" w14:textId="77777777" w:rsidR="005077CB" w:rsidRPr="0099499A" w:rsidRDefault="005077CB" w:rsidP="001D7364">
            <w:pPr>
              <w:keepNext/>
              <w:jc w:val="right"/>
              <w:rPr>
                <w:b/>
                <w:bCs/>
                <w:sz w:val="24"/>
              </w:rPr>
            </w:pPr>
            <w:r w:rsidRPr="0099499A">
              <w:rPr>
                <w:b/>
                <w:bCs/>
                <w:sz w:val="24"/>
              </w:rPr>
              <w:t>$8,826</w:t>
            </w:r>
          </w:p>
        </w:tc>
      </w:tr>
    </w:tbl>
    <w:p w14:paraId="25BE8462" w14:textId="3FD587F0" w:rsidR="00E53CCE" w:rsidRPr="00F334CB" w:rsidRDefault="005077CB" w:rsidP="0093337F">
      <w:pPr>
        <w:keepNext/>
        <w:spacing w:before="360" w:after="240" w:line="360" w:lineRule="auto"/>
        <w:ind w:left="720" w:hanging="720"/>
        <w:jc w:val="both"/>
        <w:rPr>
          <w:b/>
          <w:bCs/>
        </w:rPr>
      </w:pPr>
      <w:r w:rsidRPr="00F334CB">
        <w:rPr>
          <w:b/>
          <w:bCs/>
        </w:rPr>
        <w:t>Q</w:t>
      </w:r>
      <w:r w:rsidR="00175983" w:rsidRPr="00F334CB">
        <w:rPr>
          <w:b/>
          <w:bCs/>
        </w:rPr>
        <w:t>.</w:t>
      </w:r>
      <w:r w:rsidR="00175983" w:rsidRPr="00F334CB">
        <w:rPr>
          <w:b/>
          <w:bCs/>
        </w:rPr>
        <w:tab/>
      </w:r>
      <w:r w:rsidR="00670BAF">
        <w:rPr>
          <w:b/>
          <w:bCs/>
        </w:rPr>
        <w:t>PLEASE DESCRIBE THE COMPANY</w:t>
      </w:r>
      <w:r w:rsidR="001B126C">
        <w:rPr>
          <w:b/>
          <w:bCs/>
        </w:rPr>
        <w:t>’</w:t>
      </w:r>
      <w:r w:rsidR="00670BAF">
        <w:rPr>
          <w:b/>
          <w:bCs/>
        </w:rPr>
        <w:t>S DECISION TO START WITH $</w:t>
      </w:r>
      <w:r w:rsidR="00A852A9">
        <w:rPr>
          <w:b/>
          <w:bCs/>
        </w:rPr>
        <w:t>7.293 BILLION IN ITS DETERMINATION OF REASONABLE AND PRUDENTLY INCURRED COSTS.</w:t>
      </w:r>
    </w:p>
    <w:p w14:paraId="3003CBB2" w14:textId="4A385D68" w:rsidR="00175983" w:rsidRDefault="00175983" w:rsidP="00EA15AC">
      <w:pPr>
        <w:keepNext/>
        <w:spacing w:before="240" w:after="240" w:line="360" w:lineRule="auto"/>
        <w:ind w:left="720" w:hanging="720"/>
        <w:jc w:val="both"/>
      </w:pPr>
      <w:r>
        <w:t>A.</w:t>
      </w:r>
      <w:r>
        <w:tab/>
      </w:r>
      <w:r w:rsidR="00701B67" w:rsidRPr="0099499A">
        <w:t xml:space="preserve">In VCM 17, the Commission approved the revised construction and capital cost forecast of $7.3 billion and found that any costs spent up to the revised cost forecast were deemed reasonable. </w:t>
      </w:r>
      <w:r w:rsidR="00F6059B" w:rsidRPr="0099499A">
        <w:t xml:space="preserve">Through the VCM process, the Commission has verified and approved all expenditures up to the revised, approved construction and capital cost of $7.3 billion and has reviewed, but not verified and approved, all expenditures above that amount. </w:t>
      </w:r>
      <w:r w:rsidR="00A61573">
        <w:t xml:space="preserve">Considering the </w:t>
      </w:r>
      <w:r w:rsidR="00512B27">
        <w:t>robust</w:t>
      </w:r>
      <w:r w:rsidR="00A20636">
        <w:t xml:space="preserve"> process and record created</w:t>
      </w:r>
      <w:r w:rsidR="0051164F">
        <w:t xml:space="preserve"> through the VCM process, </w:t>
      </w:r>
      <w:r w:rsidR="002015E3">
        <w:t>it made sense to build the Company</w:t>
      </w:r>
      <w:r w:rsidR="001B126C">
        <w:t>’</w:t>
      </w:r>
      <w:r w:rsidR="002015E3">
        <w:t xml:space="preserve">s reasonable request </w:t>
      </w:r>
      <w:r w:rsidR="0056678F">
        <w:t xml:space="preserve">by starting </w:t>
      </w:r>
      <w:r w:rsidR="000A18AA">
        <w:t xml:space="preserve">with the </w:t>
      </w:r>
      <w:r w:rsidR="0089408C">
        <w:t>$7.</w:t>
      </w:r>
      <w:r w:rsidR="00140A8C">
        <w:t>293</w:t>
      </w:r>
      <w:r w:rsidR="0089408C">
        <w:t xml:space="preserve"> billion </w:t>
      </w:r>
      <w:r w:rsidR="000A18AA">
        <w:t xml:space="preserve">the Commission has already deemed reasonable. </w:t>
      </w:r>
    </w:p>
    <w:p w14:paraId="380074AC" w14:textId="137CA52E" w:rsidR="00175983" w:rsidRDefault="00175983" w:rsidP="0089408C">
      <w:pPr>
        <w:keepNext/>
        <w:spacing w:before="240" w:after="240" w:line="360" w:lineRule="auto"/>
        <w:ind w:left="720" w:hanging="720"/>
        <w:jc w:val="both"/>
        <w:rPr>
          <w:b/>
          <w:bCs/>
        </w:rPr>
      </w:pPr>
      <w:r w:rsidRPr="00F334CB">
        <w:rPr>
          <w:b/>
          <w:bCs/>
        </w:rPr>
        <w:t>Q.</w:t>
      </w:r>
      <w:r w:rsidRPr="00F334CB">
        <w:rPr>
          <w:b/>
          <w:bCs/>
        </w:rPr>
        <w:tab/>
      </w:r>
      <w:r w:rsidR="00FD0445">
        <w:rPr>
          <w:b/>
          <w:bCs/>
        </w:rPr>
        <w:t>WHAT COSTS ARE CAPTURED IN</w:t>
      </w:r>
      <w:r w:rsidR="008C4FCC">
        <w:rPr>
          <w:b/>
          <w:bCs/>
        </w:rPr>
        <w:t xml:space="preserve"> THE </w:t>
      </w:r>
      <w:r w:rsidR="008B6F16">
        <w:rPr>
          <w:b/>
          <w:bCs/>
        </w:rPr>
        <w:t>COVID-19</w:t>
      </w:r>
      <w:r w:rsidR="004B2ACF">
        <w:rPr>
          <w:b/>
          <w:bCs/>
        </w:rPr>
        <w:t xml:space="preserve"> </w:t>
      </w:r>
      <w:r w:rsidR="008C4FCC">
        <w:rPr>
          <w:b/>
          <w:bCs/>
        </w:rPr>
        <w:t>SCHEDULE AND MITIGATION COSTS?</w:t>
      </w:r>
    </w:p>
    <w:p w14:paraId="6C7E322A" w14:textId="2B9D5BFE" w:rsidR="002F34CD" w:rsidRDefault="00175983" w:rsidP="00EA15AC">
      <w:pPr>
        <w:spacing w:before="240" w:after="240" w:line="360" w:lineRule="auto"/>
        <w:ind w:left="720" w:hanging="720"/>
        <w:jc w:val="both"/>
      </w:pPr>
      <w:r>
        <w:t>A.</w:t>
      </w:r>
      <w:r>
        <w:tab/>
      </w:r>
      <w:r w:rsidR="006559AE" w:rsidRPr="0099499A">
        <w:t xml:space="preserve">The impacts from the COVID-19 pandemic were the result of circumstances outside </w:t>
      </w:r>
      <w:r w:rsidR="00810C13">
        <w:t>of</w:t>
      </w:r>
      <w:r w:rsidR="006559AE" w:rsidRPr="0099499A">
        <w:t xml:space="preserve"> the </w:t>
      </w:r>
      <w:r w:rsidR="00D804D7">
        <w:t xml:space="preserve">Company and </w:t>
      </w:r>
      <w:r w:rsidR="006559AE" w:rsidRPr="0099499A">
        <w:t>the Project Team</w:t>
      </w:r>
      <w:r w:rsidR="001B126C">
        <w:t>’</w:t>
      </w:r>
      <w:r w:rsidR="006559AE" w:rsidRPr="0099499A">
        <w:t xml:space="preserve">s direct control. </w:t>
      </w:r>
      <w:r w:rsidR="002F7A01">
        <w:t>The</w:t>
      </w:r>
      <w:r w:rsidR="006559AE" w:rsidRPr="0099499A">
        <w:t xml:space="preserve"> </w:t>
      </w:r>
      <w:r w:rsidR="00A34EEE" w:rsidRPr="0099499A">
        <w:t>Company</w:t>
      </w:r>
      <w:r w:rsidR="006559AE" w:rsidRPr="0099499A">
        <w:t xml:space="preserve"> acted prudently in its management of the COVID-19 pandemic and was able to keep the Project moving forward while keeping the safety of the workforce at the forefront of all decisions.</w:t>
      </w:r>
      <w:r w:rsidR="006559AE">
        <w:t xml:space="preserve"> </w:t>
      </w:r>
      <w:r w:rsidR="00A85CD8">
        <w:t>The Company incurred</w:t>
      </w:r>
      <w:r w:rsidR="009E3060">
        <w:t xml:space="preserve"> approximately $40 million in</w:t>
      </w:r>
      <w:r w:rsidR="00A85CD8">
        <w:t xml:space="preserve"> direct costs related to mitigation measures </w:t>
      </w:r>
      <w:r w:rsidR="002F34CD">
        <w:t xml:space="preserve">implemented to keep the workforce safe and healthy </w:t>
      </w:r>
      <w:r w:rsidR="003737B4">
        <w:t>(e.g.</w:t>
      </w:r>
      <w:r w:rsidR="00AB02DA">
        <w:t>,</w:t>
      </w:r>
      <w:r w:rsidR="003737B4">
        <w:t xml:space="preserve"> onsite medical village, vaccines, testing, masking, hand sanitizer and cleaning stations)</w:t>
      </w:r>
      <w:r w:rsidR="009E3060">
        <w:t>. The Company also inc</w:t>
      </w:r>
      <w:r w:rsidR="009C5732">
        <w:t xml:space="preserve">urred approximately $160 million in schedule impacts </w:t>
      </w:r>
      <w:r w:rsidR="009C5732" w:rsidRPr="0099499A">
        <w:t>due to productivity challenges from higher-than-normal absenteeism for craft and non-manual personnel, social distancing requirements, and disruption to planned and ongoing work (direct construction, subcontracts, testing) due to mandatory isolation restrictions.</w:t>
      </w:r>
      <w:r w:rsidR="009C5732" w:rsidRPr="009C5732">
        <w:t xml:space="preserve"> </w:t>
      </w:r>
      <w:r w:rsidR="009C5732" w:rsidRPr="0099499A">
        <w:t xml:space="preserve">Finally, </w:t>
      </w:r>
      <w:r w:rsidR="00E03F12">
        <w:t>the Project</w:t>
      </w:r>
      <w:r w:rsidR="001B126C">
        <w:t>’</w:t>
      </w:r>
      <w:r w:rsidR="00E03F12">
        <w:t>s estimated COVID</w:t>
      </w:r>
      <w:r w:rsidR="009C5732" w:rsidRPr="0099499A">
        <w:t xml:space="preserve"> costs </w:t>
      </w:r>
      <w:r w:rsidR="00E03F12">
        <w:t xml:space="preserve">also </w:t>
      </w:r>
      <w:r w:rsidR="009C5732" w:rsidRPr="0099499A">
        <w:t>incorporate the impacts from the Project</w:t>
      </w:r>
      <w:r w:rsidR="001B126C">
        <w:t>’</w:t>
      </w:r>
      <w:r w:rsidR="009C5732" w:rsidRPr="0099499A">
        <w:t>s reduction in force measures taken at the onset of the pandemic to create greater physical separation and less workspace congestion on site.</w:t>
      </w:r>
    </w:p>
    <w:p w14:paraId="5D7798DD" w14:textId="59011912" w:rsidR="00175983" w:rsidRPr="00F334CB" w:rsidRDefault="00175983" w:rsidP="00175983">
      <w:pPr>
        <w:spacing w:before="240" w:after="240" w:line="360" w:lineRule="auto"/>
        <w:ind w:left="720" w:hanging="720"/>
        <w:jc w:val="both"/>
        <w:rPr>
          <w:b/>
          <w:bCs/>
        </w:rPr>
      </w:pPr>
      <w:r w:rsidRPr="00F334CB">
        <w:rPr>
          <w:b/>
          <w:bCs/>
        </w:rPr>
        <w:t>Q.</w:t>
      </w:r>
      <w:r w:rsidRPr="00F334CB">
        <w:rPr>
          <w:b/>
          <w:bCs/>
        </w:rPr>
        <w:tab/>
      </w:r>
      <w:r w:rsidR="00557B8B">
        <w:rPr>
          <w:b/>
          <w:bCs/>
        </w:rPr>
        <w:t>WHAT COSTS ARE REQUESTED RELATED TO CHANGE IN SCOPE?</w:t>
      </w:r>
    </w:p>
    <w:p w14:paraId="50304AA6" w14:textId="1832298F" w:rsidR="00175983" w:rsidRDefault="00175983" w:rsidP="0016231F">
      <w:pPr>
        <w:spacing w:before="240" w:after="240" w:line="360" w:lineRule="auto"/>
        <w:ind w:left="720" w:hanging="720"/>
        <w:jc w:val="both"/>
      </w:pPr>
      <w:r>
        <w:t>A.</w:t>
      </w:r>
      <w:r>
        <w:tab/>
      </w:r>
      <w:r w:rsidR="007C0A15">
        <w:t xml:space="preserve">Following the </w:t>
      </w:r>
      <w:r w:rsidR="00EC354A">
        <w:t xml:space="preserve">Westinghouse Electric Company (“WEC”) </w:t>
      </w:r>
      <w:r w:rsidR="007C0A15">
        <w:t>Bankruptcy and Southern Nuclear</w:t>
      </w:r>
      <w:r w:rsidR="001B126C">
        <w:t>’</w:t>
      </w:r>
      <w:r w:rsidR="007C0A15">
        <w:t xml:space="preserve">s </w:t>
      </w:r>
      <w:r w:rsidR="00063AE8">
        <w:t xml:space="preserve">transition to site leadership, it became clear that prior estimates </w:t>
      </w:r>
      <w:r w:rsidR="0013346F">
        <w:t>for certain scopes of work were inadequately estimated</w:t>
      </w:r>
      <w:r w:rsidR="0016231F">
        <w:t xml:space="preserve">. </w:t>
      </w:r>
      <w:r w:rsidR="00F26214">
        <w:t xml:space="preserve">In response, </w:t>
      </w:r>
      <w:r w:rsidR="007C0A15" w:rsidRPr="0099499A">
        <w:t xml:space="preserve">Southern Nuclear routinely led walkdowns of the entire site to evaluate progress, status, and work to be completed, </w:t>
      </w:r>
      <w:r w:rsidR="00F26214">
        <w:t xml:space="preserve">and used this information to reforecast the </w:t>
      </w:r>
      <w:r w:rsidR="007C0A15" w:rsidRPr="0099499A">
        <w:t>work scopes for Bechtel and other subcontractors to account for the differences</w:t>
      </w:r>
      <w:r w:rsidR="00F26214">
        <w:t xml:space="preserve"> observed</w:t>
      </w:r>
      <w:r w:rsidR="007C0A15" w:rsidRPr="0099499A">
        <w:t xml:space="preserve">. </w:t>
      </w:r>
      <w:r w:rsidR="00322BB6">
        <w:t>For example, the Company identified i</w:t>
      </w:r>
      <w:r w:rsidR="007C0A15" w:rsidRPr="0099499A">
        <w:t>ncreases in civil construction, subcontractor</w:t>
      </w:r>
      <w:r w:rsidR="00D21D25">
        <w:t>,</w:t>
      </w:r>
      <w:r w:rsidR="007C0A15" w:rsidRPr="0099499A">
        <w:t xml:space="preserve"> and unscheduled electrical commodity installation scope during the VCM 20/21 report</w:t>
      </w:r>
      <w:r w:rsidR="00322BB6">
        <w:t>ing period</w:t>
      </w:r>
      <w:r w:rsidR="00855DE7">
        <w:t xml:space="preserve"> and again following </w:t>
      </w:r>
      <w:r w:rsidR="007C0A15" w:rsidRPr="0099499A">
        <w:t>a quantity verification effort during the May 2019 schedule re-baseline.</w:t>
      </w:r>
      <w:r w:rsidR="00855DE7">
        <w:t xml:space="preserve"> Southern Nuclear also adjusted scope estimates for</w:t>
      </w:r>
      <w:r w:rsidR="007C0A15" w:rsidRPr="0099499A">
        <w:t xml:space="preserve"> coatings and fireproofing</w:t>
      </w:r>
      <w:r w:rsidR="00855DE7">
        <w:t>,</w:t>
      </w:r>
      <w:r w:rsidR="007C0A15" w:rsidRPr="0099499A">
        <w:t xml:space="preserve"> concrete and rebar commodity increases for building completion</w:t>
      </w:r>
      <w:r w:rsidR="00855DE7">
        <w:t>,</w:t>
      </w:r>
      <w:r w:rsidR="007C0A15" w:rsidRPr="0099499A">
        <w:t xml:space="preserve"> instrumentation in the plant</w:t>
      </w:r>
      <w:r w:rsidR="00855DE7">
        <w:t>,</w:t>
      </w:r>
      <w:r w:rsidR="007C0A15" w:rsidRPr="0099499A">
        <w:t xml:space="preserve"> and various commodity fabrication. The addition of quantities (scope) and</w:t>
      </w:r>
      <w:r w:rsidR="00B11447">
        <w:t xml:space="preserve"> </w:t>
      </w:r>
      <w:r w:rsidR="000B7BA8">
        <w:t>corresponding</w:t>
      </w:r>
      <w:r w:rsidR="007C0A15" w:rsidRPr="0099499A">
        <w:t xml:space="preserve"> </w:t>
      </w:r>
      <w:r w:rsidR="000B7BA8">
        <w:t>man</w:t>
      </w:r>
      <w:r w:rsidR="007C0A15" w:rsidRPr="0099499A">
        <w:t xml:space="preserve">hours to complete the required scope for the Project is a </w:t>
      </w:r>
      <w:r w:rsidR="000B7BA8">
        <w:t xml:space="preserve">reasonable and </w:t>
      </w:r>
      <w:r w:rsidR="007C0A15" w:rsidRPr="0099499A">
        <w:t>prudent cost necessary to complete the Project.</w:t>
      </w:r>
    </w:p>
    <w:p w14:paraId="206C181B" w14:textId="56424401" w:rsidR="00175983" w:rsidRPr="00F334CB" w:rsidRDefault="00175983" w:rsidP="00175983">
      <w:pPr>
        <w:spacing w:before="240" w:after="240" w:line="360" w:lineRule="auto"/>
        <w:ind w:left="720" w:hanging="720"/>
        <w:jc w:val="both"/>
        <w:rPr>
          <w:b/>
          <w:bCs/>
        </w:rPr>
      </w:pPr>
      <w:r w:rsidRPr="00F334CB">
        <w:rPr>
          <w:b/>
          <w:bCs/>
        </w:rPr>
        <w:t>Q.</w:t>
      </w:r>
      <w:r w:rsidRPr="00F334CB">
        <w:rPr>
          <w:b/>
          <w:bCs/>
        </w:rPr>
        <w:tab/>
      </w:r>
      <w:r w:rsidR="00F874A9">
        <w:rPr>
          <w:b/>
          <w:bCs/>
        </w:rPr>
        <w:t xml:space="preserve">WHY IS IT APPROPRIATE FOR THE COMPANY TO RECOVER COSTS RELATED TO PROCUREMENT </w:t>
      </w:r>
      <w:r w:rsidR="00D60692">
        <w:rPr>
          <w:b/>
          <w:bCs/>
        </w:rPr>
        <w:t xml:space="preserve">OF MATERIALS </w:t>
      </w:r>
      <w:r w:rsidR="00F874A9">
        <w:rPr>
          <w:b/>
          <w:bCs/>
        </w:rPr>
        <w:t xml:space="preserve">AND </w:t>
      </w:r>
      <w:r w:rsidR="00D60692">
        <w:rPr>
          <w:b/>
          <w:bCs/>
        </w:rPr>
        <w:t xml:space="preserve">EQUIPMENT ABOVE </w:t>
      </w:r>
      <w:r w:rsidR="00DC5746">
        <w:rPr>
          <w:b/>
          <w:bCs/>
        </w:rPr>
        <w:t xml:space="preserve">WHAT WAS </w:t>
      </w:r>
      <w:r w:rsidR="00D60692">
        <w:rPr>
          <w:b/>
          <w:bCs/>
        </w:rPr>
        <w:t>PREVIOUSLY DEEMED REASONABLE?</w:t>
      </w:r>
    </w:p>
    <w:p w14:paraId="6DE57DB0" w14:textId="1267DC98" w:rsidR="00175983" w:rsidRDefault="00175983" w:rsidP="00175983">
      <w:pPr>
        <w:spacing w:before="240" w:after="240" w:line="360" w:lineRule="auto"/>
        <w:ind w:left="720" w:hanging="720"/>
        <w:jc w:val="both"/>
      </w:pPr>
      <w:r>
        <w:t>A.</w:t>
      </w:r>
      <w:r>
        <w:tab/>
      </w:r>
      <w:r w:rsidR="00D568E8">
        <w:t>P</w:t>
      </w:r>
      <w:r w:rsidR="009540ED" w:rsidRPr="0099499A">
        <w:t xml:space="preserve">rocurement needs </w:t>
      </w:r>
      <w:r w:rsidR="00C72521">
        <w:t xml:space="preserve">varied </w:t>
      </w:r>
      <w:r w:rsidR="00AD3B29">
        <w:t xml:space="preserve">greatly over the course of the Project. </w:t>
      </w:r>
      <w:r w:rsidR="00B31D9F">
        <w:t xml:space="preserve">As </w:t>
      </w:r>
      <w:r w:rsidR="003110E0">
        <w:t>the</w:t>
      </w:r>
      <w:r w:rsidR="00B31D9F">
        <w:t xml:space="preserve"> Project progressed, design specifications and field routing estimates changed</w:t>
      </w:r>
      <w:r w:rsidR="00EC313E">
        <w:t>, which resulted in revised procurement needs</w:t>
      </w:r>
      <w:r w:rsidR="009C3B95">
        <w:t xml:space="preserve"> and cost estimates for additional</w:t>
      </w:r>
      <w:r w:rsidR="00EC313E">
        <w:t xml:space="preserve"> materials and equipment.</w:t>
      </w:r>
      <w:r w:rsidR="009C3B95">
        <w:t xml:space="preserve"> </w:t>
      </w:r>
      <w:r w:rsidR="009540ED" w:rsidRPr="0099499A">
        <w:t xml:space="preserve">The </w:t>
      </w:r>
      <w:r w:rsidR="009C3B95">
        <w:t xml:space="preserve">estimated $105 million in </w:t>
      </w:r>
      <w:r w:rsidR="009540ED" w:rsidRPr="0099499A">
        <w:t xml:space="preserve">additional procurement costs </w:t>
      </w:r>
      <w:r w:rsidR="009C3B95" w:rsidRPr="0099499A">
        <w:t xml:space="preserve">were required to complete the Project </w:t>
      </w:r>
      <w:r w:rsidR="009C3B95">
        <w:t xml:space="preserve">and </w:t>
      </w:r>
      <w:r w:rsidR="009540ED" w:rsidRPr="0099499A">
        <w:t xml:space="preserve">are prudent and reasonable costs </w:t>
      </w:r>
      <w:r w:rsidR="009C3B95">
        <w:t>to recover from customers</w:t>
      </w:r>
      <w:r w:rsidR="009540ED" w:rsidRPr="0099499A">
        <w:t>.</w:t>
      </w:r>
    </w:p>
    <w:p w14:paraId="27952D40" w14:textId="2AE007E0" w:rsidR="00175983" w:rsidRPr="00F334CB" w:rsidRDefault="00175983" w:rsidP="00175983">
      <w:pPr>
        <w:spacing w:before="240" w:after="240" w:line="360" w:lineRule="auto"/>
        <w:ind w:left="720" w:hanging="720"/>
        <w:jc w:val="both"/>
        <w:rPr>
          <w:b/>
          <w:bCs/>
        </w:rPr>
      </w:pPr>
      <w:r w:rsidRPr="00F334CB">
        <w:rPr>
          <w:b/>
          <w:bCs/>
        </w:rPr>
        <w:t>Q.</w:t>
      </w:r>
      <w:r w:rsidRPr="00F334CB">
        <w:rPr>
          <w:b/>
          <w:bCs/>
        </w:rPr>
        <w:tab/>
      </w:r>
      <w:r w:rsidR="001B7C2C">
        <w:rPr>
          <w:b/>
          <w:bCs/>
        </w:rPr>
        <w:t xml:space="preserve">WHAT </w:t>
      </w:r>
      <w:r w:rsidR="00D451EE">
        <w:rPr>
          <w:b/>
          <w:bCs/>
        </w:rPr>
        <w:t>COSTS ARE</w:t>
      </w:r>
      <w:r w:rsidR="001B7C2C">
        <w:rPr>
          <w:b/>
          <w:bCs/>
        </w:rPr>
        <w:t xml:space="preserve"> INCLUDED IN THE ADDITIONAL ENGINEERING RESOURCES CATEGORY</w:t>
      </w:r>
      <w:r w:rsidR="00D04921">
        <w:rPr>
          <w:b/>
          <w:bCs/>
        </w:rPr>
        <w:t>?</w:t>
      </w:r>
    </w:p>
    <w:p w14:paraId="20F5C479" w14:textId="6CD7B1E9" w:rsidR="00175983" w:rsidRDefault="00175983" w:rsidP="00175983">
      <w:pPr>
        <w:spacing w:before="240" w:after="240" w:line="360" w:lineRule="auto"/>
        <w:ind w:left="720" w:hanging="720"/>
        <w:jc w:val="both"/>
      </w:pPr>
      <w:r>
        <w:t>A.</w:t>
      </w:r>
      <w:r>
        <w:tab/>
      </w:r>
      <w:r w:rsidR="00D04921">
        <w:t>Additional e</w:t>
      </w:r>
      <w:r w:rsidR="001B7C2C" w:rsidRPr="0099499A">
        <w:t>ngineering resources beyond those forecasted in VCM 17 were required to support documentation</w:t>
      </w:r>
      <w:r w:rsidR="00D04921">
        <w:t xml:space="preserve"> closeout for the</w:t>
      </w:r>
      <w:r w:rsidR="001B7C2C" w:rsidRPr="0099499A">
        <w:t xml:space="preserve"> Inspection, Test, Analysis, and Acceptance Criteria (“ITAAC”), Engineering Service Requests, and Non-Conformances among other requirements. </w:t>
      </w:r>
      <w:r w:rsidR="002124CB">
        <w:t>The Project</w:t>
      </w:r>
      <w:r w:rsidR="001B126C">
        <w:t>’</w:t>
      </w:r>
      <w:r w:rsidR="002124CB">
        <w:t>s engineering e</w:t>
      </w:r>
      <w:r w:rsidR="001B7C2C" w:rsidRPr="0099499A">
        <w:t>stimates were adjusted, as needed, throughout the construction, testing, and startup process as more resources were required to ensure both Units would operate as designed, as well as to ensure successful completion of construction, documentation closure, and necessary testing. These costs are reasonable and prudent as they were necessary to ensure the plant was built in accordance with design and licensing basis requirements and would operate safely for the benefit of customers.</w:t>
      </w:r>
    </w:p>
    <w:p w14:paraId="50A86C0B" w14:textId="1E932FEE" w:rsidR="00175983" w:rsidRPr="00F334CB" w:rsidRDefault="00175983" w:rsidP="00707CD9">
      <w:pPr>
        <w:keepNext/>
        <w:spacing w:before="240" w:after="240" w:line="360" w:lineRule="auto"/>
        <w:ind w:left="720" w:hanging="720"/>
        <w:jc w:val="both"/>
        <w:rPr>
          <w:b/>
          <w:bCs/>
        </w:rPr>
      </w:pPr>
      <w:r w:rsidRPr="00F334CB">
        <w:rPr>
          <w:b/>
          <w:bCs/>
        </w:rPr>
        <w:t>Q.</w:t>
      </w:r>
      <w:r w:rsidRPr="00F334CB">
        <w:rPr>
          <w:b/>
          <w:bCs/>
        </w:rPr>
        <w:tab/>
      </w:r>
      <w:r w:rsidR="00D451EE">
        <w:rPr>
          <w:b/>
          <w:bCs/>
        </w:rPr>
        <w:t xml:space="preserve">PLEASE DESCRIBE </w:t>
      </w:r>
      <w:r w:rsidR="00D451EE" w:rsidRPr="007628DE">
        <w:rPr>
          <w:b/>
          <w:bCs/>
        </w:rPr>
        <w:t>THE DIRECT CONSTRUCTION PRODUCTIVITY/ PERFORMANCE COST CATEGORY.</w:t>
      </w:r>
      <w:r w:rsidR="00B11447">
        <w:rPr>
          <w:b/>
          <w:bCs/>
        </w:rPr>
        <w:t xml:space="preserve"> </w:t>
      </w:r>
    </w:p>
    <w:p w14:paraId="6845CFD7" w14:textId="774B25CE" w:rsidR="00175983" w:rsidRDefault="00175983" w:rsidP="00EA15AC">
      <w:pPr>
        <w:spacing w:before="240" w:after="240" w:line="360" w:lineRule="auto"/>
        <w:ind w:left="720" w:hanging="720"/>
        <w:jc w:val="both"/>
      </w:pPr>
      <w:r>
        <w:t>A.</w:t>
      </w:r>
      <w:r>
        <w:tab/>
      </w:r>
      <w:r w:rsidR="00D70CD2" w:rsidRPr="0099499A">
        <w:rPr>
          <w:rFonts w:eastAsia="Times New Roman"/>
        </w:rPr>
        <w:t xml:space="preserve">The Direct Construction Cost Performance Index (“CPI”) </w:t>
      </w:r>
      <w:r w:rsidR="00AF7FDB">
        <w:rPr>
          <w:rFonts w:eastAsia="Times New Roman"/>
        </w:rPr>
        <w:t xml:space="preserve">is relevant to </w:t>
      </w:r>
      <w:r w:rsidR="00622974">
        <w:rPr>
          <w:rFonts w:eastAsia="Times New Roman"/>
        </w:rPr>
        <w:t>Bechtel Direct Construction scope</w:t>
      </w:r>
      <w:r w:rsidR="00D70CD2" w:rsidRPr="0099499A">
        <w:rPr>
          <w:rFonts w:eastAsia="Times New Roman"/>
        </w:rPr>
        <w:t xml:space="preserve"> of </w:t>
      </w:r>
      <w:r w:rsidR="00622974">
        <w:rPr>
          <w:rFonts w:eastAsia="Times New Roman"/>
        </w:rPr>
        <w:t xml:space="preserve">work and </w:t>
      </w:r>
      <w:r w:rsidR="00D70CD2" w:rsidRPr="0099499A">
        <w:rPr>
          <w:rFonts w:eastAsia="Times New Roman"/>
        </w:rPr>
        <w:t>measures the ratio of hours spent on an activity relative to hours earned.</w:t>
      </w:r>
      <w:r w:rsidR="00BB75CE">
        <w:rPr>
          <w:rFonts w:eastAsia="Times New Roman"/>
        </w:rPr>
        <w:t xml:space="preserve"> CPI is a </w:t>
      </w:r>
      <w:r w:rsidR="00327F89">
        <w:rPr>
          <w:rFonts w:eastAsia="Times New Roman"/>
        </w:rPr>
        <w:t>measure of cost efficiency whereby a CPI above 1.0 indicates that the Project is spending more hours than planned to complete a task and a CPI below 1.0 indicate</w:t>
      </w:r>
      <w:r w:rsidR="001E024A">
        <w:rPr>
          <w:rFonts w:eastAsia="Times New Roman"/>
        </w:rPr>
        <w:t>s</w:t>
      </w:r>
      <w:r w:rsidR="00327F89">
        <w:rPr>
          <w:rFonts w:eastAsia="Times New Roman"/>
        </w:rPr>
        <w:t xml:space="preserve"> that the Project is spending fewer hours than planned to complete a </w:t>
      </w:r>
      <w:r w:rsidR="005752EC">
        <w:rPr>
          <w:rFonts w:eastAsia="Times New Roman"/>
        </w:rPr>
        <w:t>task.</w:t>
      </w:r>
      <w:r w:rsidR="00D70CD2" w:rsidRPr="0099499A">
        <w:rPr>
          <w:rFonts w:eastAsia="Times New Roman"/>
        </w:rPr>
        <w:t xml:space="preserve"> The cumulative Bechtel Direct Construction CPI for the Project at the end of direct construction was approximately 1.66. </w:t>
      </w:r>
      <w:r w:rsidR="00C51F28">
        <w:rPr>
          <w:rFonts w:eastAsia="Times New Roman"/>
        </w:rPr>
        <w:t>T</w:t>
      </w:r>
      <w:r w:rsidR="00184526">
        <w:rPr>
          <w:rFonts w:eastAsia="Times New Roman"/>
        </w:rPr>
        <w:t xml:space="preserve">he Project undertook several mitigation actions </w:t>
      </w:r>
      <w:r w:rsidR="00ED3331">
        <w:rPr>
          <w:rFonts w:eastAsia="Times New Roman"/>
        </w:rPr>
        <w:t>such as changing craft staffing levels, minimizing non-productive work</w:t>
      </w:r>
      <w:r w:rsidR="00C51F28">
        <w:rPr>
          <w:rFonts w:eastAsia="Times New Roman"/>
        </w:rPr>
        <w:t xml:space="preserve">, and improving first time quality in an effort to </w:t>
      </w:r>
      <w:r w:rsidR="00604F2B">
        <w:rPr>
          <w:rFonts w:eastAsia="Times New Roman"/>
        </w:rPr>
        <w:t>mitigate</w:t>
      </w:r>
      <w:r w:rsidR="00C51F28">
        <w:rPr>
          <w:rFonts w:eastAsia="Times New Roman"/>
        </w:rPr>
        <w:t xml:space="preserve"> productivity</w:t>
      </w:r>
      <w:r w:rsidR="00604F2B">
        <w:rPr>
          <w:rFonts w:eastAsia="Times New Roman"/>
        </w:rPr>
        <w:t xml:space="preserve"> challenges</w:t>
      </w:r>
      <w:r w:rsidR="00C51F28">
        <w:rPr>
          <w:rFonts w:eastAsia="Times New Roman"/>
        </w:rPr>
        <w:t xml:space="preserve"> with the goal of achieving a CPI of closer to 1.0</w:t>
      </w:r>
      <w:r w:rsidR="00604F2B">
        <w:rPr>
          <w:rFonts w:eastAsia="Times New Roman"/>
        </w:rPr>
        <w:t xml:space="preserve">. </w:t>
      </w:r>
      <w:r w:rsidR="00D70CD2" w:rsidRPr="0099499A">
        <w:rPr>
          <w:rFonts w:eastAsia="Times New Roman"/>
        </w:rPr>
        <w:t xml:space="preserve">Southern Nuclear </w:t>
      </w:r>
      <w:r w:rsidR="00604F2B">
        <w:rPr>
          <w:rFonts w:eastAsia="Times New Roman"/>
        </w:rPr>
        <w:t xml:space="preserve">also </w:t>
      </w:r>
      <w:r w:rsidR="00D70CD2" w:rsidRPr="0099499A">
        <w:rPr>
          <w:rFonts w:eastAsia="Times New Roman"/>
        </w:rPr>
        <w:t xml:space="preserve">conducted multiple craft productivity assessments and held </w:t>
      </w:r>
      <w:r w:rsidR="00667FCA">
        <w:rPr>
          <w:rFonts w:eastAsia="Times New Roman"/>
        </w:rPr>
        <w:t>s</w:t>
      </w:r>
      <w:r w:rsidR="00667FCA" w:rsidRPr="0099499A">
        <w:rPr>
          <w:rFonts w:eastAsia="Times New Roman"/>
        </w:rPr>
        <w:t>ite</w:t>
      </w:r>
      <w:r w:rsidR="00D70CD2" w:rsidRPr="0099499A">
        <w:rPr>
          <w:rFonts w:eastAsia="Times New Roman"/>
        </w:rPr>
        <w:t xml:space="preserve">-wide staff stand downs related to productivity, production, and quality improvements. While performance was not consistent with the VCM 17 or 19 estimates, given the </w:t>
      </w:r>
      <w:r w:rsidR="00604F2B">
        <w:rPr>
          <w:rFonts w:eastAsia="Times New Roman"/>
        </w:rPr>
        <w:t>first of a kind</w:t>
      </w:r>
      <w:r w:rsidR="00D70CD2" w:rsidRPr="0099499A">
        <w:rPr>
          <w:rFonts w:eastAsia="Times New Roman"/>
        </w:rPr>
        <w:t xml:space="preserve"> nuclear construction for this Project and the evolution of the craft labor workforce, </w:t>
      </w:r>
      <w:r w:rsidR="00604F2B">
        <w:rPr>
          <w:rFonts w:eastAsia="Times New Roman"/>
        </w:rPr>
        <w:t xml:space="preserve">the </w:t>
      </w:r>
      <w:r w:rsidR="006D0546">
        <w:rPr>
          <w:rFonts w:eastAsia="Times New Roman"/>
        </w:rPr>
        <w:t xml:space="preserve">incremental </w:t>
      </w:r>
      <w:r w:rsidR="00604F2B">
        <w:rPr>
          <w:rFonts w:eastAsia="Times New Roman"/>
        </w:rPr>
        <w:t>costs incurred for direct construction productivity and performance</w:t>
      </w:r>
      <w:r w:rsidR="00D70CD2" w:rsidRPr="0099499A">
        <w:rPr>
          <w:rFonts w:eastAsia="Times New Roman"/>
        </w:rPr>
        <w:t xml:space="preserve"> is reasonable and prudent.</w:t>
      </w:r>
    </w:p>
    <w:p w14:paraId="59AA5C40" w14:textId="472FCB33" w:rsidR="00F334CB" w:rsidRPr="00F334CB" w:rsidRDefault="00F334CB" w:rsidP="00AF08FA">
      <w:pPr>
        <w:keepNext/>
        <w:spacing w:before="240" w:after="240" w:line="360" w:lineRule="auto"/>
        <w:ind w:left="720" w:hanging="720"/>
        <w:jc w:val="both"/>
        <w:rPr>
          <w:b/>
          <w:bCs/>
        </w:rPr>
      </w:pPr>
      <w:r w:rsidRPr="00F334CB">
        <w:rPr>
          <w:b/>
          <w:bCs/>
        </w:rPr>
        <w:t>Q.</w:t>
      </w:r>
      <w:r w:rsidRPr="00F334CB">
        <w:rPr>
          <w:b/>
          <w:bCs/>
        </w:rPr>
        <w:tab/>
      </w:r>
      <w:r w:rsidR="00171797">
        <w:rPr>
          <w:b/>
          <w:bCs/>
        </w:rPr>
        <w:t xml:space="preserve">PLEASE DESCRIBE THE NON-COVID SCOPE DRIVEN SCHEDULE CHANGE COSTS. </w:t>
      </w:r>
    </w:p>
    <w:p w14:paraId="77A1E2DB" w14:textId="451947CF" w:rsidR="00F334CB" w:rsidRDefault="00F334CB" w:rsidP="00EA15AC">
      <w:pPr>
        <w:keepNext/>
        <w:spacing w:before="240" w:after="240" w:line="360" w:lineRule="auto"/>
        <w:ind w:left="720" w:hanging="720"/>
        <w:jc w:val="both"/>
      </w:pPr>
      <w:r>
        <w:t>A.</w:t>
      </w:r>
      <w:r>
        <w:tab/>
      </w:r>
      <w:r w:rsidR="00F40E26">
        <w:t>As previously discussed, additional scope</w:t>
      </w:r>
      <w:r w:rsidR="009D188B">
        <w:t xml:space="preserve"> for civil construction and unscheduled electrical comm</w:t>
      </w:r>
      <w:r w:rsidR="00170AA2">
        <w:t>odity installation</w:t>
      </w:r>
      <w:r w:rsidR="00F40E26">
        <w:t xml:space="preserve"> was added to the Project after Southern Nuclear took over site leadership. </w:t>
      </w:r>
      <w:r w:rsidR="008C37B1" w:rsidRPr="0099499A">
        <w:t>As the schedule was extended</w:t>
      </w:r>
      <w:r w:rsidR="0019780A">
        <w:t xml:space="preserve"> to account for these increases in scope</w:t>
      </w:r>
      <w:r w:rsidR="008C37B1" w:rsidRPr="0099499A">
        <w:t>, the Project Team faced increases in cost that were dependent on the time added to the schedule as well as external factors in the economy that increased labor rates</w:t>
      </w:r>
      <w:r w:rsidR="001B0D45">
        <w:t>,</w:t>
      </w:r>
      <w:r w:rsidR="008C37B1" w:rsidRPr="0099499A">
        <w:t xml:space="preserve"> such as competition and availability of skilled resources. </w:t>
      </w:r>
      <w:r w:rsidR="00022B67">
        <w:t xml:space="preserve">Simply put, when </w:t>
      </w:r>
      <w:r w:rsidR="00054237">
        <w:t xml:space="preserve">more work needs to be done than originally planned, </w:t>
      </w:r>
      <w:r w:rsidR="00022B67">
        <w:t xml:space="preserve">it takes </w:t>
      </w:r>
      <w:r w:rsidR="00054237">
        <w:t xml:space="preserve">more time </w:t>
      </w:r>
      <w:r w:rsidR="00030B1A">
        <w:t>to complete the work</w:t>
      </w:r>
      <w:r w:rsidR="00054237">
        <w:t xml:space="preserve"> and</w:t>
      </w:r>
      <w:r w:rsidR="002F403C">
        <w:t>,</w:t>
      </w:r>
      <w:r w:rsidR="00054237">
        <w:t xml:space="preserve"> in turn, </w:t>
      </w:r>
      <w:r w:rsidR="00022B67">
        <w:t>cost</w:t>
      </w:r>
      <w:r w:rsidR="001F39CC">
        <w:t>s</w:t>
      </w:r>
      <w:r w:rsidR="00022B67">
        <w:t xml:space="preserve"> more to keep</w:t>
      </w:r>
      <w:r w:rsidR="0090587C">
        <w:t xml:space="preserve"> the right people on site to complete the work. </w:t>
      </w:r>
      <w:r w:rsidR="008842E1">
        <w:t>T</w:t>
      </w:r>
      <w:r w:rsidR="008842E1" w:rsidRPr="0099499A">
        <w:t>he increases in manhours and time to complete were necessary for completion of the scope changes</w:t>
      </w:r>
      <w:r w:rsidR="00481DBB">
        <w:t xml:space="preserve">, and </w:t>
      </w:r>
      <w:r w:rsidR="008842E1">
        <w:t>t</w:t>
      </w:r>
      <w:r w:rsidR="008C37B1" w:rsidRPr="0099499A">
        <w:t>he</w:t>
      </w:r>
      <w:r w:rsidR="0090587C">
        <w:t xml:space="preserve"> cost</w:t>
      </w:r>
      <w:r w:rsidR="00564121">
        <w:t>s</w:t>
      </w:r>
      <w:r w:rsidR="0090587C">
        <w:t xml:space="preserve"> associated with these</w:t>
      </w:r>
      <w:r w:rsidR="008842E1">
        <w:t xml:space="preserve"> scope-driven</w:t>
      </w:r>
      <w:r w:rsidR="008C37B1" w:rsidRPr="0099499A">
        <w:t xml:space="preserve"> schedule changes </w:t>
      </w:r>
      <w:r w:rsidR="008842E1">
        <w:t>a</w:t>
      </w:r>
      <w:r w:rsidR="008C37B1" w:rsidRPr="0099499A">
        <w:t>re reasonable and prudent.</w:t>
      </w:r>
    </w:p>
    <w:p w14:paraId="62079D28" w14:textId="630F2266" w:rsidR="00F334CB" w:rsidRPr="00F334CB" w:rsidRDefault="00F334CB" w:rsidP="00F334CB">
      <w:pPr>
        <w:spacing w:before="240" w:after="240" w:line="360" w:lineRule="auto"/>
        <w:ind w:left="720" w:hanging="720"/>
        <w:jc w:val="both"/>
        <w:rPr>
          <w:b/>
          <w:bCs/>
        </w:rPr>
      </w:pPr>
      <w:bookmarkStart w:id="2" w:name="_Hlk143852142"/>
      <w:r w:rsidRPr="00F334CB">
        <w:rPr>
          <w:b/>
          <w:bCs/>
        </w:rPr>
        <w:t>Q.</w:t>
      </w:r>
      <w:r w:rsidRPr="00F334CB">
        <w:rPr>
          <w:b/>
          <w:bCs/>
        </w:rPr>
        <w:tab/>
      </w:r>
      <w:r w:rsidR="008842E1">
        <w:rPr>
          <w:b/>
          <w:bCs/>
        </w:rPr>
        <w:t>WHAT COSTS FALL INTO THE MISCELLANEOUS CATEGORY?</w:t>
      </w:r>
    </w:p>
    <w:p w14:paraId="5924ECAF" w14:textId="097B097C" w:rsidR="00F334CB" w:rsidRDefault="00F334CB" w:rsidP="00F334CB">
      <w:pPr>
        <w:spacing w:before="240" w:after="240" w:line="360" w:lineRule="auto"/>
        <w:ind w:left="720" w:hanging="720"/>
        <w:jc w:val="both"/>
      </w:pPr>
      <w:r>
        <w:t>A.</w:t>
      </w:r>
      <w:r>
        <w:tab/>
      </w:r>
      <w:r w:rsidR="00791CAB">
        <w:t>This cost category includes costs for</w:t>
      </w:r>
      <w:r w:rsidR="00D90211">
        <w:t xml:space="preserve"> </w:t>
      </w:r>
      <w:r w:rsidR="003F18EF">
        <w:t xml:space="preserve">local </w:t>
      </w:r>
      <w:r w:rsidR="00D90211">
        <w:t xml:space="preserve">Ad Valorem </w:t>
      </w:r>
      <w:r w:rsidR="00B31298">
        <w:t xml:space="preserve">tax </w:t>
      </w:r>
      <w:r w:rsidR="00076196">
        <w:t>a</w:t>
      </w:r>
      <w:r w:rsidR="00D90211">
        <w:t>ssessments</w:t>
      </w:r>
      <w:r w:rsidR="00076196">
        <w:t xml:space="preserve"> as the installed cost of the Project increased, regulatory support cost increases, and I</w:t>
      </w:r>
      <w:r w:rsidR="003F18EF">
        <w:t xml:space="preserve">nformation </w:t>
      </w:r>
      <w:r w:rsidR="00076196">
        <w:t>T</w:t>
      </w:r>
      <w:r w:rsidR="003F18EF">
        <w:t>echnology (“</w:t>
      </w:r>
      <w:r w:rsidR="00076196">
        <w:t>IT</w:t>
      </w:r>
      <w:r w:rsidR="003F18EF">
        <w:t>”)</w:t>
      </w:r>
      <w:r w:rsidR="00076196">
        <w:t xml:space="preserve"> infrastructure cost increases. </w:t>
      </w:r>
      <w:r w:rsidR="00914193">
        <w:t xml:space="preserve">These </w:t>
      </w:r>
      <w:r w:rsidR="00914193" w:rsidRPr="0099499A">
        <w:t xml:space="preserve">cost increases are the time-related cost from Ad Valorem tax being capitalized and regulatory support resources being utilized for a longer period of time that are associated with the other reasonable and prudent costs previously described </w:t>
      </w:r>
      <w:r w:rsidR="000F3A65" w:rsidRPr="0099499A">
        <w:t>above</w:t>
      </w:r>
      <w:r w:rsidR="000F3A65">
        <w:t xml:space="preserve"> and</w:t>
      </w:r>
      <w:r w:rsidR="008405F9">
        <w:t xml:space="preserve"> </w:t>
      </w:r>
      <w:r w:rsidR="00914193">
        <w:t xml:space="preserve">are reasonable </w:t>
      </w:r>
      <w:r w:rsidR="00C04754">
        <w:t xml:space="preserve">and prudent </w:t>
      </w:r>
      <w:r w:rsidR="004036FC">
        <w:t>ancillary costs to complete the Project.</w:t>
      </w:r>
    </w:p>
    <w:bookmarkEnd w:id="2"/>
    <w:p w14:paraId="56480DBA" w14:textId="21A40143" w:rsidR="00F334CB" w:rsidRPr="00F334CB" w:rsidRDefault="00F334CB" w:rsidP="001D7364">
      <w:pPr>
        <w:spacing w:before="240" w:after="240" w:line="360" w:lineRule="auto"/>
        <w:ind w:left="720" w:hanging="720"/>
        <w:jc w:val="both"/>
        <w:rPr>
          <w:b/>
          <w:bCs/>
        </w:rPr>
      </w:pPr>
      <w:r w:rsidRPr="00F334CB">
        <w:rPr>
          <w:b/>
          <w:bCs/>
        </w:rPr>
        <w:t>Q.</w:t>
      </w:r>
      <w:r w:rsidRPr="00F334CB">
        <w:rPr>
          <w:b/>
          <w:bCs/>
        </w:rPr>
        <w:tab/>
      </w:r>
      <w:r w:rsidR="00A47161">
        <w:rPr>
          <w:b/>
          <w:bCs/>
        </w:rPr>
        <w:t>ARE THE CONSTRUCTION MONITORING COSTS</w:t>
      </w:r>
      <w:r w:rsidR="00337B74">
        <w:rPr>
          <w:b/>
          <w:bCs/>
        </w:rPr>
        <w:t xml:space="preserve"> REASONABLE AND PRUDENT</w:t>
      </w:r>
      <w:r w:rsidR="00A47161">
        <w:rPr>
          <w:b/>
          <w:bCs/>
        </w:rPr>
        <w:t>?</w:t>
      </w:r>
    </w:p>
    <w:p w14:paraId="25436B25" w14:textId="1797A2C7" w:rsidR="00F334CB" w:rsidRDefault="00F334CB" w:rsidP="00F334CB">
      <w:pPr>
        <w:spacing w:before="240" w:after="240" w:line="360" w:lineRule="auto"/>
        <w:ind w:left="720" w:hanging="720"/>
        <w:jc w:val="both"/>
      </w:pPr>
      <w:r>
        <w:t>A.</w:t>
      </w:r>
      <w:r w:rsidR="00A47161">
        <w:tab/>
        <w:t xml:space="preserve">Yes. </w:t>
      </w:r>
      <w:r w:rsidR="00C37D10">
        <w:t xml:space="preserve">In fact, the VCM 19 Stipulation approved by the Commission provided that the annual allowance for </w:t>
      </w:r>
      <w:r w:rsidR="00EC354A">
        <w:t>C</w:t>
      </w:r>
      <w:r w:rsidR="00FF30A1">
        <w:t>onstruction</w:t>
      </w:r>
      <w:r w:rsidR="002319A2">
        <w:t xml:space="preserve"> monitoring is reasonable and prudent and not charged against or assumed to be within the $7.3 billion previously deemed reasonable</w:t>
      </w:r>
      <w:r w:rsidR="00130A61">
        <w:t xml:space="preserve"> in VCM 17.</w:t>
      </w:r>
    </w:p>
    <w:p w14:paraId="41A54142" w14:textId="3C392CD4" w:rsidR="00FB18BD" w:rsidRPr="00FB18BD" w:rsidRDefault="00FB18BD" w:rsidP="00F334CB">
      <w:pPr>
        <w:spacing w:before="240" w:after="240" w:line="360" w:lineRule="auto"/>
        <w:ind w:left="720" w:hanging="720"/>
        <w:jc w:val="both"/>
        <w:rPr>
          <w:i/>
          <w:iCs/>
        </w:rPr>
      </w:pPr>
      <w:r>
        <w:rPr>
          <w:i/>
          <w:iCs/>
        </w:rPr>
        <w:t>Excluded Costs</w:t>
      </w:r>
    </w:p>
    <w:p w14:paraId="17F58672" w14:textId="14551B37" w:rsidR="00F334CB" w:rsidRPr="00FB18BD" w:rsidRDefault="00F334CB" w:rsidP="00F334CB">
      <w:pPr>
        <w:spacing w:before="240" w:after="240" w:line="360" w:lineRule="auto"/>
        <w:ind w:left="720" w:hanging="720"/>
        <w:jc w:val="both"/>
        <w:rPr>
          <w:b/>
          <w:bCs/>
        </w:rPr>
      </w:pPr>
      <w:r w:rsidRPr="00FB18BD">
        <w:rPr>
          <w:b/>
          <w:bCs/>
        </w:rPr>
        <w:t>Q.</w:t>
      </w:r>
      <w:r w:rsidRPr="00FB18BD">
        <w:rPr>
          <w:b/>
          <w:bCs/>
        </w:rPr>
        <w:tab/>
        <w:t>WHAT COSTS WERE EXCLUDED FROM THE COMPANY</w:t>
      </w:r>
      <w:r w:rsidR="001B126C">
        <w:rPr>
          <w:b/>
          <w:bCs/>
        </w:rPr>
        <w:t>’</w:t>
      </w:r>
      <w:r w:rsidRPr="00FB18BD">
        <w:rPr>
          <w:b/>
          <w:bCs/>
        </w:rPr>
        <w:t xml:space="preserve">S CALCULATION OF </w:t>
      </w:r>
      <w:r w:rsidR="00ED5E90" w:rsidRPr="00FB18BD">
        <w:rPr>
          <w:b/>
          <w:bCs/>
        </w:rPr>
        <w:t xml:space="preserve">THE $8.826 BILLION </w:t>
      </w:r>
      <w:r w:rsidRPr="00FB18BD">
        <w:rPr>
          <w:b/>
          <w:bCs/>
        </w:rPr>
        <w:t>CONSTRUCTION AND CAPITAL COST</w:t>
      </w:r>
      <w:r w:rsidR="00FB18BD" w:rsidRPr="00FB18BD">
        <w:rPr>
          <w:b/>
          <w:bCs/>
        </w:rPr>
        <w:t>?</w:t>
      </w:r>
    </w:p>
    <w:p w14:paraId="29CACB11" w14:textId="1DCCCF6E" w:rsidR="002618B9" w:rsidRPr="0099499A" w:rsidRDefault="00BE678E" w:rsidP="00BE678E">
      <w:pPr>
        <w:spacing w:before="240" w:after="240" w:line="360" w:lineRule="auto"/>
        <w:ind w:left="720" w:hanging="720"/>
        <w:jc w:val="both"/>
      </w:pPr>
      <w:r>
        <w:t>A.</w:t>
      </w:r>
      <w:r>
        <w:tab/>
      </w:r>
      <w:r w:rsidRPr="03B08A56">
        <w:rPr>
          <w:rFonts w:eastAsia="Times New Roman"/>
        </w:rPr>
        <w:t>The Company and Southern Nuclear conducted a review of expenditures</w:t>
      </w:r>
      <w:r w:rsidR="008348C1">
        <w:rPr>
          <w:rFonts w:eastAsia="Times New Roman"/>
        </w:rPr>
        <w:t>,</w:t>
      </w:r>
      <w:r w:rsidRPr="03B08A56">
        <w:rPr>
          <w:rFonts w:eastAsia="Times New Roman"/>
        </w:rPr>
        <w:t xml:space="preserve"> and </w:t>
      </w:r>
      <w:r w:rsidR="008348C1">
        <w:rPr>
          <w:rFonts w:eastAsia="Times New Roman"/>
        </w:rPr>
        <w:t xml:space="preserve">the Company </w:t>
      </w:r>
      <w:r w:rsidR="00E27C4B">
        <w:rPr>
          <w:rFonts w:eastAsia="Times New Roman"/>
        </w:rPr>
        <w:t xml:space="preserve">decided to forego requesting recovery from </w:t>
      </w:r>
      <w:r w:rsidRPr="03B08A56">
        <w:rPr>
          <w:rFonts w:eastAsia="Times New Roman"/>
        </w:rPr>
        <w:t xml:space="preserve">customers for certain Project costs. </w:t>
      </w:r>
      <w:r w:rsidR="002618B9" w:rsidRPr="0099499A">
        <w:t xml:space="preserve">The </w:t>
      </w:r>
      <w:r w:rsidR="0082120C" w:rsidRPr="0099499A">
        <w:t xml:space="preserve">reasonable and prudent </w:t>
      </w:r>
      <w:r w:rsidR="002618B9" w:rsidRPr="0099499A">
        <w:t xml:space="preserve">construction and capital cost incurred on the Project </w:t>
      </w:r>
      <w:r w:rsidR="0082120C">
        <w:t xml:space="preserve">that are </w:t>
      </w:r>
      <w:r w:rsidR="002618B9" w:rsidRPr="0099499A">
        <w:t xml:space="preserve">not included in the $8.826 billion identified by the Company are included in Table </w:t>
      </w:r>
      <w:r w:rsidR="00566C1B">
        <w:t>3</w:t>
      </w:r>
      <w:r w:rsidR="002618B9" w:rsidRPr="0099499A">
        <w:t xml:space="preserve"> and described below.</w:t>
      </w:r>
    </w:p>
    <w:p w14:paraId="63DD094A" w14:textId="6E0FF628" w:rsidR="002618B9" w:rsidRPr="0099499A" w:rsidRDefault="002618B9" w:rsidP="00BD4555">
      <w:pPr>
        <w:keepNext/>
        <w:spacing w:before="240" w:after="240"/>
        <w:ind w:left="720"/>
        <w:jc w:val="center"/>
        <w:rPr>
          <w:b/>
          <w:bCs/>
        </w:rPr>
      </w:pPr>
      <w:r w:rsidRPr="0099499A">
        <w:rPr>
          <w:b/>
          <w:bCs/>
        </w:rPr>
        <w:t xml:space="preserve">Table </w:t>
      </w:r>
      <w:r w:rsidR="00566C1B">
        <w:rPr>
          <w:b/>
          <w:bCs/>
        </w:rPr>
        <w:t>3</w:t>
      </w:r>
      <w:r w:rsidRPr="0099499A">
        <w:rPr>
          <w:b/>
          <w:bCs/>
        </w:rPr>
        <w:t xml:space="preserve">: Excluded Cost Categories </w:t>
      </w:r>
    </w:p>
    <w:tbl>
      <w:tblPr>
        <w:tblStyle w:val="TableGrid"/>
        <w:tblW w:w="8640" w:type="dxa"/>
        <w:tblInd w:w="715" w:type="dxa"/>
        <w:tblLook w:val="04A0" w:firstRow="1" w:lastRow="0" w:firstColumn="1" w:lastColumn="0" w:noHBand="0" w:noVBand="1"/>
      </w:tblPr>
      <w:tblGrid>
        <w:gridCol w:w="6390"/>
        <w:gridCol w:w="2250"/>
      </w:tblGrid>
      <w:tr w:rsidR="002618B9" w:rsidRPr="0099499A" w14:paraId="7C6A29A7" w14:textId="77777777" w:rsidTr="002618B9">
        <w:tc>
          <w:tcPr>
            <w:tcW w:w="6390" w:type="dxa"/>
            <w:vAlign w:val="center"/>
          </w:tcPr>
          <w:p w14:paraId="31BA4BFA" w14:textId="77777777" w:rsidR="002618B9" w:rsidRPr="0099499A" w:rsidRDefault="002618B9" w:rsidP="00BD4555">
            <w:pPr>
              <w:keepNext/>
              <w:rPr>
                <w:b/>
                <w:bCs/>
                <w:sz w:val="24"/>
              </w:rPr>
            </w:pPr>
            <w:r w:rsidRPr="0099499A">
              <w:rPr>
                <w:b/>
                <w:bCs/>
                <w:sz w:val="24"/>
              </w:rPr>
              <w:t>Cost</w:t>
            </w:r>
          </w:p>
        </w:tc>
        <w:tc>
          <w:tcPr>
            <w:tcW w:w="2250" w:type="dxa"/>
            <w:vAlign w:val="center"/>
          </w:tcPr>
          <w:p w14:paraId="53018578" w14:textId="77777777" w:rsidR="002618B9" w:rsidRPr="0099499A" w:rsidRDefault="002618B9" w:rsidP="00BD4555">
            <w:pPr>
              <w:keepNext/>
              <w:jc w:val="right"/>
              <w:rPr>
                <w:b/>
                <w:bCs/>
                <w:sz w:val="24"/>
              </w:rPr>
            </w:pPr>
            <w:r w:rsidRPr="0099499A">
              <w:rPr>
                <w:b/>
                <w:bCs/>
                <w:sz w:val="24"/>
              </w:rPr>
              <w:t>Amount (millions)</w:t>
            </w:r>
            <w:r w:rsidRPr="0099499A">
              <w:rPr>
                <w:rStyle w:val="FootnoteReference"/>
                <w:b/>
                <w:bCs/>
                <w:sz w:val="24"/>
              </w:rPr>
              <w:footnoteReference w:id="4"/>
            </w:r>
          </w:p>
        </w:tc>
      </w:tr>
      <w:tr w:rsidR="002618B9" w:rsidRPr="0099499A" w14:paraId="21980C5C" w14:textId="77777777" w:rsidTr="002618B9">
        <w:tc>
          <w:tcPr>
            <w:tcW w:w="6390" w:type="dxa"/>
            <w:vAlign w:val="center"/>
          </w:tcPr>
          <w:p w14:paraId="0FCCDC70" w14:textId="77777777" w:rsidR="002618B9" w:rsidRPr="0099499A" w:rsidRDefault="002618B9" w:rsidP="00BD4555">
            <w:pPr>
              <w:keepNext/>
              <w:rPr>
                <w:sz w:val="24"/>
              </w:rPr>
            </w:pPr>
            <w:r w:rsidRPr="0099499A">
              <w:rPr>
                <w:sz w:val="24"/>
              </w:rPr>
              <w:t>VCM 19 Reforecast</w:t>
            </w:r>
          </w:p>
        </w:tc>
        <w:tc>
          <w:tcPr>
            <w:tcW w:w="2250" w:type="dxa"/>
            <w:vAlign w:val="center"/>
          </w:tcPr>
          <w:p w14:paraId="41317666" w14:textId="77777777" w:rsidR="002618B9" w:rsidRPr="0099499A" w:rsidRDefault="002618B9" w:rsidP="00BD4555">
            <w:pPr>
              <w:keepNext/>
              <w:jc w:val="right"/>
              <w:rPr>
                <w:sz w:val="24"/>
              </w:rPr>
            </w:pPr>
            <w:r w:rsidRPr="0099499A">
              <w:rPr>
                <w:sz w:val="24"/>
              </w:rPr>
              <w:t>$694</w:t>
            </w:r>
          </w:p>
        </w:tc>
      </w:tr>
      <w:tr w:rsidR="002618B9" w:rsidRPr="0099499A" w14:paraId="30331719" w14:textId="77777777" w:rsidTr="002618B9">
        <w:tc>
          <w:tcPr>
            <w:tcW w:w="6390" w:type="dxa"/>
            <w:vAlign w:val="center"/>
          </w:tcPr>
          <w:p w14:paraId="611EEF13" w14:textId="77777777" w:rsidR="002618B9" w:rsidRPr="0099499A" w:rsidRDefault="002618B9" w:rsidP="00BD4555">
            <w:pPr>
              <w:keepNext/>
              <w:rPr>
                <w:sz w:val="24"/>
              </w:rPr>
            </w:pPr>
            <w:r w:rsidRPr="0099499A">
              <w:rPr>
                <w:sz w:val="24"/>
              </w:rPr>
              <w:t>Schedule Changes</w:t>
            </w:r>
          </w:p>
        </w:tc>
        <w:tc>
          <w:tcPr>
            <w:tcW w:w="2250" w:type="dxa"/>
            <w:vAlign w:val="center"/>
          </w:tcPr>
          <w:p w14:paraId="7AC69AF1" w14:textId="77777777" w:rsidR="002618B9" w:rsidRPr="0099499A" w:rsidRDefault="002618B9" w:rsidP="00BD4555">
            <w:pPr>
              <w:keepNext/>
              <w:jc w:val="right"/>
              <w:rPr>
                <w:sz w:val="24"/>
              </w:rPr>
            </w:pPr>
          </w:p>
        </w:tc>
      </w:tr>
      <w:tr w:rsidR="002618B9" w:rsidRPr="0099499A" w14:paraId="650B7021" w14:textId="77777777" w:rsidTr="002618B9">
        <w:tc>
          <w:tcPr>
            <w:tcW w:w="6390" w:type="dxa"/>
            <w:vAlign w:val="center"/>
          </w:tcPr>
          <w:p w14:paraId="3309E430" w14:textId="77777777" w:rsidR="002618B9" w:rsidRPr="0099499A" w:rsidRDefault="002618B9" w:rsidP="00BD4555">
            <w:pPr>
              <w:keepNext/>
              <w:tabs>
                <w:tab w:val="left" w:pos="699"/>
              </w:tabs>
              <w:ind w:left="339"/>
              <w:rPr>
                <w:sz w:val="24"/>
              </w:rPr>
            </w:pPr>
            <w:r w:rsidRPr="0099499A">
              <w:rPr>
                <w:sz w:val="24"/>
              </w:rPr>
              <w:t>Rework Driven (Electrical and Inspection Record Backlog)</w:t>
            </w:r>
          </w:p>
        </w:tc>
        <w:tc>
          <w:tcPr>
            <w:tcW w:w="2250" w:type="dxa"/>
            <w:vAlign w:val="center"/>
          </w:tcPr>
          <w:p w14:paraId="1D83D191" w14:textId="77777777" w:rsidR="002618B9" w:rsidRPr="0099499A" w:rsidRDefault="002618B9" w:rsidP="00BD4555">
            <w:pPr>
              <w:keepNext/>
              <w:jc w:val="right"/>
              <w:rPr>
                <w:sz w:val="24"/>
              </w:rPr>
            </w:pPr>
            <w:r w:rsidRPr="0099499A">
              <w:rPr>
                <w:sz w:val="24"/>
              </w:rPr>
              <w:t>$165</w:t>
            </w:r>
          </w:p>
        </w:tc>
      </w:tr>
      <w:tr w:rsidR="002618B9" w:rsidRPr="0099499A" w14:paraId="3F393424" w14:textId="77777777" w:rsidTr="002618B9">
        <w:tc>
          <w:tcPr>
            <w:tcW w:w="6390" w:type="dxa"/>
            <w:vAlign w:val="center"/>
          </w:tcPr>
          <w:p w14:paraId="02D994A2" w14:textId="77777777" w:rsidR="002618B9" w:rsidRPr="0099499A" w:rsidRDefault="002618B9" w:rsidP="00BD4555">
            <w:pPr>
              <w:keepNext/>
              <w:rPr>
                <w:sz w:val="24"/>
              </w:rPr>
            </w:pPr>
            <w:r w:rsidRPr="0099499A">
              <w:rPr>
                <w:sz w:val="24"/>
              </w:rPr>
              <w:t>Rework</w:t>
            </w:r>
          </w:p>
        </w:tc>
        <w:tc>
          <w:tcPr>
            <w:tcW w:w="2250" w:type="dxa"/>
            <w:vAlign w:val="center"/>
          </w:tcPr>
          <w:p w14:paraId="7027BAE1" w14:textId="77777777" w:rsidR="002618B9" w:rsidRPr="0099499A" w:rsidRDefault="002618B9" w:rsidP="00BD4555">
            <w:pPr>
              <w:keepNext/>
              <w:jc w:val="right"/>
              <w:rPr>
                <w:sz w:val="24"/>
              </w:rPr>
            </w:pPr>
          </w:p>
        </w:tc>
      </w:tr>
      <w:tr w:rsidR="002618B9" w:rsidRPr="0099499A" w14:paraId="7EAB309F" w14:textId="77777777" w:rsidTr="002618B9">
        <w:tc>
          <w:tcPr>
            <w:tcW w:w="6390" w:type="dxa"/>
            <w:vAlign w:val="center"/>
          </w:tcPr>
          <w:p w14:paraId="109210F0" w14:textId="77777777" w:rsidR="002618B9" w:rsidRPr="0099499A" w:rsidRDefault="002618B9" w:rsidP="00BD4555">
            <w:pPr>
              <w:keepNext/>
              <w:ind w:left="339"/>
              <w:rPr>
                <w:sz w:val="24"/>
              </w:rPr>
            </w:pPr>
            <w:r w:rsidRPr="0099499A">
              <w:rPr>
                <w:sz w:val="24"/>
              </w:rPr>
              <w:t>Electrical Quality Issues (IEEE 384)</w:t>
            </w:r>
            <w:r w:rsidRPr="0099499A">
              <w:rPr>
                <w:rStyle w:val="FootnoteReference"/>
                <w:sz w:val="24"/>
              </w:rPr>
              <w:footnoteReference w:id="5"/>
            </w:r>
          </w:p>
        </w:tc>
        <w:tc>
          <w:tcPr>
            <w:tcW w:w="2250" w:type="dxa"/>
            <w:vAlign w:val="center"/>
          </w:tcPr>
          <w:p w14:paraId="4EA08215" w14:textId="77777777" w:rsidR="002618B9" w:rsidRPr="0099499A" w:rsidRDefault="002618B9" w:rsidP="00BD4555">
            <w:pPr>
              <w:keepNext/>
              <w:jc w:val="right"/>
              <w:rPr>
                <w:sz w:val="24"/>
              </w:rPr>
            </w:pPr>
            <w:r w:rsidRPr="0099499A">
              <w:rPr>
                <w:sz w:val="24"/>
              </w:rPr>
              <w:t>$8</w:t>
            </w:r>
          </w:p>
        </w:tc>
      </w:tr>
      <w:tr w:rsidR="002618B9" w:rsidRPr="0099499A" w14:paraId="0D262305" w14:textId="77777777" w:rsidTr="002618B9">
        <w:tc>
          <w:tcPr>
            <w:tcW w:w="6390" w:type="dxa"/>
            <w:vAlign w:val="center"/>
          </w:tcPr>
          <w:p w14:paraId="08755188" w14:textId="77777777" w:rsidR="002618B9" w:rsidRPr="0099499A" w:rsidRDefault="002618B9" w:rsidP="00BD4555">
            <w:pPr>
              <w:keepNext/>
              <w:ind w:left="339"/>
              <w:rPr>
                <w:sz w:val="24"/>
              </w:rPr>
            </w:pPr>
            <w:r w:rsidRPr="0099499A">
              <w:rPr>
                <w:sz w:val="24"/>
              </w:rPr>
              <w:t>Inspection Records Backlog</w:t>
            </w:r>
          </w:p>
        </w:tc>
        <w:tc>
          <w:tcPr>
            <w:tcW w:w="2250" w:type="dxa"/>
            <w:vAlign w:val="center"/>
          </w:tcPr>
          <w:p w14:paraId="17C574FF" w14:textId="77777777" w:rsidR="002618B9" w:rsidRPr="0099499A" w:rsidRDefault="002618B9" w:rsidP="00BD4555">
            <w:pPr>
              <w:keepNext/>
              <w:jc w:val="right"/>
              <w:rPr>
                <w:sz w:val="24"/>
              </w:rPr>
            </w:pPr>
            <w:r w:rsidRPr="0099499A">
              <w:rPr>
                <w:sz w:val="24"/>
              </w:rPr>
              <w:t>$22</w:t>
            </w:r>
          </w:p>
        </w:tc>
      </w:tr>
      <w:tr w:rsidR="002618B9" w:rsidRPr="0099499A" w14:paraId="690492BC" w14:textId="77777777" w:rsidTr="002618B9">
        <w:tc>
          <w:tcPr>
            <w:tcW w:w="6390" w:type="dxa"/>
            <w:vAlign w:val="center"/>
          </w:tcPr>
          <w:p w14:paraId="0B1A3C21" w14:textId="77777777" w:rsidR="002618B9" w:rsidRPr="0099499A" w:rsidRDefault="002618B9" w:rsidP="00BD4555">
            <w:pPr>
              <w:keepNext/>
              <w:ind w:left="339"/>
              <w:rPr>
                <w:sz w:val="24"/>
              </w:rPr>
            </w:pPr>
            <w:r w:rsidRPr="0099499A">
              <w:rPr>
                <w:sz w:val="24"/>
              </w:rPr>
              <w:t>Construction work performed before Bechtel</w:t>
            </w:r>
          </w:p>
        </w:tc>
        <w:tc>
          <w:tcPr>
            <w:tcW w:w="2250" w:type="dxa"/>
            <w:vAlign w:val="center"/>
          </w:tcPr>
          <w:p w14:paraId="08817224" w14:textId="77777777" w:rsidR="002618B9" w:rsidRPr="0099499A" w:rsidRDefault="002618B9" w:rsidP="00BD4555">
            <w:pPr>
              <w:keepNext/>
              <w:jc w:val="right"/>
              <w:rPr>
                <w:sz w:val="24"/>
              </w:rPr>
            </w:pPr>
            <w:r w:rsidRPr="0099499A">
              <w:rPr>
                <w:sz w:val="24"/>
              </w:rPr>
              <w:t>$12</w:t>
            </w:r>
          </w:p>
        </w:tc>
      </w:tr>
      <w:tr w:rsidR="002618B9" w:rsidRPr="0099499A" w14:paraId="74B0643E" w14:textId="77777777" w:rsidTr="002618B9">
        <w:tc>
          <w:tcPr>
            <w:tcW w:w="6390" w:type="dxa"/>
            <w:vAlign w:val="center"/>
          </w:tcPr>
          <w:p w14:paraId="6F7E3752" w14:textId="77777777" w:rsidR="002618B9" w:rsidRPr="0099499A" w:rsidRDefault="002618B9" w:rsidP="00BD4555">
            <w:pPr>
              <w:keepNext/>
              <w:ind w:left="339"/>
              <w:rPr>
                <w:sz w:val="24"/>
              </w:rPr>
            </w:pPr>
            <w:r w:rsidRPr="0099499A">
              <w:rPr>
                <w:sz w:val="24"/>
              </w:rPr>
              <w:t>Penetration Seal Breaches and Re-seals</w:t>
            </w:r>
          </w:p>
        </w:tc>
        <w:tc>
          <w:tcPr>
            <w:tcW w:w="2250" w:type="dxa"/>
            <w:vAlign w:val="center"/>
          </w:tcPr>
          <w:p w14:paraId="581D3CC0" w14:textId="77777777" w:rsidR="002618B9" w:rsidRPr="0099499A" w:rsidRDefault="002618B9" w:rsidP="00BD4555">
            <w:pPr>
              <w:keepNext/>
              <w:jc w:val="right"/>
              <w:rPr>
                <w:sz w:val="24"/>
              </w:rPr>
            </w:pPr>
            <w:r w:rsidRPr="0099499A">
              <w:rPr>
                <w:sz w:val="24"/>
              </w:rPr>
              <w:t>$2</w:t>
            </w:r>
          </w:p>
        </w:tc>
      </w:tr>
      <w:tr w:rsidR="002618B9" w:rsidRPr="0099499A" w14:paraId="6FEB99AD" w14:textId="77777777" w:rsidTr="002618B9">
        <w:trPr>
          <w:trHeight w:val="300"/>
        </w:trPr>
        <w:tc>
          <w:tcPr>
            <w:tcW w:w="6390" w:type="dxa"/>
            <w:vAlign w:val="center"/>
          </w:tcPr>
          <w:p w14:paraId="2E029E34" w14:textId="77777777" w:rsidR="002618B9" w:rsidRPr="0099499A" w:rsidRDefault="002618B9" w:rsidP="00BD4555">
            <w:pPr>
              <w:keepNext/>
              <w:ind w:left="339"/>
              <w:rPr>
                <w:sz w:val="24"/>
              </w:rPr>
            </w:pPr>
            <w:r w:rsidRPr="0099499A">
              <w:rPr>
                <w:sz w:val="24"/>
              </w:rPr>
              <w:t>Non-Segregated Busbar Rework/Redesign</w:t>
            </w:r>
          </w:p>
        </w:tc>
        <w:tc>
          <w:tcPr>
            <w:tcW w:w="2250" w:type="dxa"/>
            <w:vAlign w:val="center"/>
          </w:tcPr>
          <w:p w14:paraId="357BF826" w14:textId="77777777" w:rsidR="002618B9" w:rsidRPr="0099499A" w:rsidRDefault="002618B9" w:rsidP="00BD4555">
            <w:pPr>
              <w:keepNext/>
              <w:jc w:val="right"/>
              <w:rPr>
                <w:sz w:val="24"/>
              </w:rPr>
            </w:pPr>
            <w:r w:rsidRPr="0099499A">
              <w:rPr>
                <w:sz w:val="24"/>
              </w:rPr>
              <w:t>$21</w:t>
            </w:r>
          </w:p>
        </w:tc>
      </w:tr>
      <w:tr w:rsidR="002618B9" w:rsidRPr="0099499A" w14:paraId="03FC8ABB" w14:textId="77777777" w:rsidTr="002618B9">
        <w:tc>
          <w:tcPr>
            <w:tcW w:w="6390" w:type="dxa"/>
            <w:vAlign w:val="center"/>
          </w:tcPr>
          <w:p w14:paraId="3C7373D0" w14:textId="77777777" w:rsidR="002618B9" w:rsidRPr="0099499A" w:rsidRDefault="002618B9" w:rsidP="00BD4555">
            <w:pPr>
              <w:keepNext/>
              <w:ind w:left="339"/>
              <w:rPr>
                <w:sz w:val="24"/>
              </w:rPr>
            </w:pPr>
            <w:r w:rsidRPr="0099499A">
              <w:rPr>
                <w:sz w:val="24"/>
              </w:rPr>
              <w:t>Valve rework</w:t>
            </w:r>
          </w:p>
        </w:tc>
        <w:tc>
          <w:tcPr>
            <w:tcW w:w="2250" w:type="dxa"/>
            <w:vAlign w:val="center"/>
          </w:tcPr>
          <w:p w14:paraId="342ED70B" w14:textId="77777777" w:rsidR="002618B9" w:rsidRPr="0099499A" w:rsidRDefault="002618B9" w:rsidP="00BD4555">
            <w:pPr>
              <w:keepNext/>
              <w:jc w:val="right"/>
              <w:rPr>
                <w:sz w:val="24"/>
              </w:rPr>
            </w:pPr>
            <w:r w:rsidRPr="0099499A">
              <w:rPr>
                <w:sz w:val="24"/>
              </w:rPr>
              <w:t>$11</w:t>
            </w:r>
          </w:p>
        </w:tc>
      </w:tr>
      <w:tr w:rsidR="002618B9" w:rsidRPr="0099499A" w14:paraId="245E1630" w14:textId="77777777" w:rsidTr="002618B9">
        <w:tc>
          <w:tcPr>
            <w:tcW w:w="6390" w:type="dxa"/>
            <w:vAlign w:val="center"/>
          </w:tcPr>
          <w:p w14:paraId="0A62D139" w14:textId="77777777" w:rsidR="002618B9" w:rsidRPr="0099499A" w:rsidRDefault="002618B9" w:rsidP="00BD4555">
            <w:pPr>
              <w:keepNext/>
              <w:ind w:left="339"/>
              <w:rPr>
                <w:sz w:val="24"/>
              </w:rPr>
            </w:pPr>
            <w:r w:rsidRPr="0099499A">
              <w:rPr>
                <w:sz w:val="24"/>
              </w:rPr>
              <w:t>Extraction steam piping rework</w:t>
            </w:r>
          </w:p>
        </w:tc>
        <w:tc>
          <w:tcPr>
            <w:tcW w:w="2250" w:type="dxa"/>
            <w:vAlign w:val="center"/>
          </w:tcPr>
          <w:p w14:paraId="0C012E68" w14:textId="77777777" w:rsidR="002618B9" w:rsidRPr="0099499A" w:rsidRDefault="002618B9" w:rsidP="00BD4555">
            <w:pPr>
              <w:keepNext/>
              <w:jc w:val="right"/>
              <w:rPr>
                <w:sz w:val="24"/>
              </w:rPr>
            </w:pPr>
            <w:r w:rsidRPr="0099499A">
              <w:rPr>
                <w:sz w:val="24"/>
              </w:rPr>
              <w:t>$4</w:t>
            </w:r>
          </w:p>
        </w:tc>
      </w:tr>
      <w:tr w:rsidR="002618B9" w:rsidRPr="0099499A" w14:paraId="680CA5EF" w14:textId="77777777" w:rsidTr="002618B9">
        <w:tc>
          <w:tcPr>
            <w:tcW w:w="6390" w:type="dxa"/>
            <w:vAlign w:val="center"/>
          </w:tcPr>
          <w:p w14:paraId="4885F113" w14:textId="77777777" w:rsidR="002618B9" w:rsidRPr="0099499A" w:rsidRDefault="002618B9" w:rsidP="00BD4555">
            <w:pPr>
              <w:keepNext/>
              <w:ind w:left="339"/>
              <w:rPr>
                <w:sz w:val="24"/>
              </w:rPr>
            </w:pPr>
            <w:r w:rsidRPr="0099499A">
              <w:rPr>
                <w:sz w:val="24"/>
              </w:rPr>
              <w:t>Other tracked rework items identified by Staff or GPC</w:t>
            </w:r>
          </w:p>
        </w:tc>
        <w:tc>
          <w:tcPr>
            <w:tcW w:w="2250" w:type="dxa"/>
            <w:vAlign w:val="center"/>
          </w:tcPr>
          <w:p w14:paraId="557E443C" w14:textId="77777777" w:rsidR="002618B9" w:rsidRPr="0099499A" w:rsidRDefault="002618B9" w:rsidP="00BD4555">
            <w:pPr>
              <w:keepNext/>
              <w:jc w:val="right"/>
              <w:rPr>
                <w:sz w:val="24"/>
              </w:rPr>
            </w:pPr>
            <w:r w:rsidRPr="0099499A">
              <w:rPr>
                <w:sz w:val="24"/>
              </w:rPr>
              <w:t>$22</w:t>
            </w:r>
          </w:p>
        </w:tc>
      </w:tr>
      <w:tr w:rsidR="002618B9" w:rsidRPr="0099499A" w14:paraId="6C7E44F4" w14:textId="77777777" w:rsidTr="002618B9">
        <w:trPr>
          <w:trHeight w:val="300"/>
        </w:trPr>
        <w:tc>
          <w:tcPr>
            <w:tcW w:w="6390" w:type="dxa"/>
            <w:vAlign w:val="center"/>
          </w:tcPr>
          <w:p w14:paraId="4846B07E" w14:textId="77777777" w:rsidR="002618B9" w:rsidRPr="0099499A" w:rsidRDefault="002618B9" w:rsidP="00BD4555">
            <w:pPr>
              <w:keepNext/>
              <w:spacing w:line="259" w:lineRule="auto"/>
              <w:rPr>
                <w:sz w:val="24"/>
              </w:rPr>
            </w:pPr>
            <w:r w:rsidRPr="0099499A">
              <w:rPr>
                <w:sz w:val="24"/>
              </w:rPr>
              <w:t>Project Performance Costs Above Best Sustained Productivity</w:t>
            </w:r>
          </w:p>
        </w:tc>
        <w:tc>
          <w:tcPr>
            <w:tcW w:w="2250" w:type="dxa"/>
            <w:vAlign w:val="center"/>
          </w:tcPr>
          <w:p w14:paraId="5AEDB67A" w14:textId="77777777" w:rsidR="002618B9" w:rsidRPr="0099499A" w:rsidRDefault="002618B9" w:rsidP="00BD4555">
            <w:pPr>
              <w:keepNext/>
              <w:jc w:val="right"/>
              <w:rPr>
                <w:sz w:val="24"/>
              </w:rPr>
            </w:pPr>
            <w:r w:rsidRPr="0099499A">
              <w:rPr>
                <w:sz w:val="24"/>
              </w:rPr>
              <w:t>$319</w:t>
            </w:r>
          </w:p>
        </w:tc>
      </w:tr>
      <w:tr w:rsidR="002618B9" w:rsidRPr="0099499A" w14:paraId="37A9511F" w14:textId="77777777" w:rsidTr="002618B9">
        <w:tc>
          <w:tcPr>
            <w:tcW w:w="6390" w:type="dxa"/>
            <w:vAlign w:val="center"/>
          </w:tcPr>
          <w:p w14:paraId="43282E4A" w14:textId="77777777" w:rsidR="002618B9" w:rsidRPr="0099499A" w:rsidRDefault="002618B9" w:rsidP="00BD4555">
            <w:pPr>
              <w:keepNext/>
              <w:spacing w:line="259" w:lineRule="auto"/>
              <w:rPr>
                <w:sz w:val="24"/>
              </w:rPr>
            </w:pPr>
            <w:r w:rsidRPr="0099499A" w:rsidDel="00724BAA">
              <w:rPr>
                <w:sz w:val="24"/>
              </w:rPr>
              <w:t>Lost and Damaged Items</w:t>
            </w:r>
          </w:p>
        </w:tc>
        <w:tc>
          <w:tcPr>
            <w:tcW w:w="2250" w:type="dxa"/>
            <w:vAlign w:val="center"/>
          </w:tcPr>
          <w:p w14:paraId="7784AB37" w14:textId="77777777" w:rsidR="002618B9" w:rsidRPr="0099499A" w:rsidRDefault="002618B9" w:rsidP="00BD4555">
            <w:pPr>
              <w:keepNext/>
              <w:jc w:val="right"/>
              <w:rPr>
                <w:sz w:val="24"/>
              </w:rPr>
            </w:pPr>
            <w:r w:rsidRPr="0099499A">
              <w:rPr>
                <w:sz w:val="24"/>
              </w:rPr>
              <w:t>$28</w:t>
            </w:r>
          </w:p>
        </w:tc>
      </w:tr>
      <w:tr w:rsidR="002618B9" w:rsidRPr="0099499A" w14:paraId="089428CF" w14:textId="77777777" w:rsidTr="002618B9">
        <w:trPr>
          <w:trHeight w:val="300"/>
        </w:trPr>
        <w:tc>
          <w:tcPr>
            <w:tcW w:w="6390" w:type="dxa"/>
            <w:vAlign w:val="center"/>
          </w:tcPr>
          <w:p w14:paraId="7599DAB7" w14:textId="2E4EBD1B" w:rsidR="002618B9" w:rsidRPr="0099499A" w:rsidRDefault="002618B9" w:rsidP="00BD4555">
            <w:pPr>
              <w:keepNext/>
              <w:rPr>
                <w:sz w:val="24"/>
              </w:rPr>
            </w:pPr>
            <w:r w:rsidRPr="0099499A">
              <w:rPr>
                <w:sz w:val="24"/>
              </w:rPr>
              <w:t xml:space="preserve">Miscellaneous </w:t>
            </w:r>
            <w:r w:rsidR="009F4C90">
              <w:rPr>
                <w:sz w:val="24"/>
              </w:rPr>
              <w:t>–</w:t>
            </w:r>
            <w:r w:rsidRPr="0099499A">
              <w:rPr>
                <w:sz w:val="24"/>
              </w:rPr>
              <w:t xml:space="preserve"> Testing Support Labor &amp; Other</w:t>
            </w:r>
          </w:p>
        </w:tc>
        <w:tc>
          <w:tcPr>
            <w:tcW w:w="2250" w:type="dxa"/>
            <w:vAlign w:val="center"/>
          </w:tcPr>
          <w:p w14:paraId="2A68911F" w14:textId="77777777" w:rsidR="002618B9" w:rsidRPr="0099499A" w:rsidRDefault="002618B9" w:rsidP="00BD4555">
            <w:pPr>
              <w:keepNext/>
              <w:jc w:val="right"/>
              <w:rPr>
                <w:sz w:val="24"/>
              </w:rPr>
            </w:pPr>
            <w:r w:rsidRPr="0099499A">
              <w:rPr>
                <w:sz w:val="24"/>
              </w:rPr>
              <w:t>$54</w:t>
            </w:r>
          </w:p>
        </w:tc>
      </w:tr>
      <w:tr w:rsidR="002618B9" w:rsidRPr="0099499A" w14:paraId="43D69F30" w14:textId="77777777" w:rsidTr="002618B9">
        <w:tc>
          <w:tcPr>
            <w:tcW w:w="6390" w:type="dxa"/>
            <w:vAlign w:val="center"/>
          </w:tcPr>
          <w:p w14:paraId="36EE38CF" w14:textId="77777777" w:rsidR="002618B9" w:rsidRPr="0099499A" w:rsidRDefault="002618B9" w:rsidP="00BD4555">
            <w:pPr>
              <w:keepNext/>
              <w:rPr>
                <w:b/>
                <w:bCs/>
                <w:sz w:val="24"/>
              </w:rPr>
            </w:pPr>
            <w:r w:rsidRPr="0099499A">
              <w:rPr>
                <w:b/>
                <w:bCs/>
                <w:sz w:val="24"/>
              </w:rPr>
              <w:t>Total</w:t>
            </w:r>
          </w:p>
        </w:tc>
        <w:tc>
          <w:tcPr>
            <w:tcW w:w="2250" w:type="dxa"/>
            <w:vAlign w:val="center"/>
          </w:tcPr>
          <w:p w14:paraId="6C062C19" w14:textId="77777777" w:rsidR="002618B9" w:rsidRPr="0099499A" w:rsidRDefault="002618B9" w:rsidP="00BD4555">
            <w:pPr>
              <w:keepNext/>
              <w:jc w:val="right"/>
              <w:rPr>
                <w:b/>
                <w:bCs/>
                <w:sz w:val="24"/>
              </w:rPr>
            </w:pPr>
            <w:r w:rsidRPr="0099499A">
              <w:rPr>
                <w:b/>
                <w:bCs/>
                <w:sz w:val="24"/>
              </w:rPr>
              <w:t>$1,</w:t>
            </w:r>
            <w:r w:rsidRPr="0099499A" w:rsidDel="00667C52">
              <w:rPr>
                <w:b/>
                <w:bCs/>
                <w:sz w:val="24"/>
              </w:rPr>
              <w:t>3</w:t>
            </w:r>
            <w:r w:rsidRPr="0099499A">
              <w:rPr>
                <w:b/>
                <w:bCs/>
                <w:sz w:val="24"/>
              </w:rPr>
              <w:t>62</w:t>
            </w:r>
          </w:p>
        </w:tc>
      </w:tr>
    </w:tbl>
    <w:p w14:paraId="01D94742" w14:textId="53373B00" w:rsidR="00BE678E" w:rsidRDefault="00BE678E" w:rsidP="00BE678E">
      <w:pPr>
        <w:spacing w:before="360" w:after="240" w:line="360" w:lineRule="auto"/>
        <w:ind w:left="720" w:hanging="720"/>
        <w:jc w:val="both"/>
        <w:rPr>
          <w:b/>
          <w:bCs/>
        </w:rPr>
      </w:pPr>
      <w:r w:rsidRPr="00423B22">
        <w:rPr>
          <w:b/>
          <w:bCs/>
        </w:rPr>
        <w:t>Q.</w:t>
      </w:r>
      <w:r w:rsidRPr="00423B22">
        <w:rPr>
          <w:b/>
          <w:bCs/>
        </w:rPr>
        <w:tab/>
      </w:r>
      <w:r>
        <w:rPr>
          <w:b/>
          <w:bCs/>
        </w:rPr>
        <w:t>PLEASE EXPLAIN THE COMPANY</w:t>
      </w:r>
      <w:r w:rsidR="001B126C">
        <w:rPr>
          <w:b/>
          <w:bCs/>
        </w:rPr>
        <w:t>’</w:t>
      </w:r>
      <w:r>
        <w:rPr>
          <w:b/>
          <w:bCs/>
        </w:rPr>
        <w:t>S DECISION NOT TO REQUEST COSTS RELATED TO THE VCM 19 REFORECAST.</w:t>
      </w:r>
    </w:p>
    <w:p w14:paraId="078F69CD" w14:textId="1F89C47B" w:rsidR="00BE678E" w:rsidRDefault="00BE678E" w:rsidP="001D7364">
      <w:pPr>
        <w:spacing w:before="240" w:after="240" w:line="360" w:lineRule="auto"/>
        <w:ind w:left="720" w:hanging="720"/>
        <w:jc w:val="both"/>
        <w:rPr>
          <w:rFonts w:eastAsia="Times New Roman"/>
        </w:rPr>
      </w:pPr>
      <w:r>
        <w:t>A.</w:t>
      </w:r>
      <w:r>
        <w:tab/>
      </w:r>
      <w:r w:rsidRPr="2E754527">
        <w:rPr>
          <w:rFonts w:eastAsia="Times New Roman"/>
        </w:rPr>
        <w:t xml:space="preserve">In the VCM 19 reforecast, </w:t>
      </w:r>
      <w:r w:rsidRPr="2E754527">
        <w:rPr>
          <w:rFonts w:eastAsia="Times New Roman"/>
          <w:color w:val="000000" w:themeColor="text1"/>
        </w:rPr>
        <w:t>Georgia Power</w:t>
      </w:r>
      <w:r w:rsidR="001B126C">
        <w:rPr>
          <w:rFonts w:eastAsia="Times New Roman"/>
        </w:rPr>
        <w:t>’</w:t>
      </w:r>
      <w:r w:rsidRPr="2E754527">
        <w:rPr>
          <w:rFonts w:eastAsia="Times New Roman"/>
        </w:rPr>
        <w:t>s projected share of the total cost increased from $</w:t>
      </w:r>
      <w:r w:rsidRPr="2E754527">
        <w:rPr>
          <w:rFonts w:eastAsia="Times New Roman"/>
          <w:color w:val="000000" w:themeColor="text1"/>
        </w:rPr>
        <w:t xml:space="preserve">7.3 billion to $8.4 billion. This increase of approximately $1.1 billion included $694 million in base capital forecast and a </w:t>
      </w:r>
      <w:r w:rsidRPr="567BCAA7">
        <w:rPr>
          <w:rFonts w:eastAsia="Times New Roman"/>
          <w:color w:val="000000" w:themeColor="text1"/>
        </w:rPr>
        <w:t>P</w:t>
      </w:r>
      <w:r w:rsidRPr="2E754527">
        <w:rPr>
          <w:rFonts w:eastAsia="Times New Roman"/>
          <w:color w:val="000000" w:themeColor="text1"/>
        </w:rPr>
        <w:t xml:space="preserve">roject contingency estimate of $366 million. </w:t>
      </w:r>
      <w:r w:rsidR="001530CB">
        <w:rPr>
          <w:rFonts w:eastAsia="Times New Roman"/>
          <w:color w:val="000000" w:themeColor="text1"/>
        </w:rPr>
        <w:t>T</w:t>
      </w:r>
      <w:r w:rsidRPr="2E754527">
        <w:rPr>
          <w:rFonts w:eastAsia="Times New Roman"/>
        </w:rPr>
        <w:t xml:space="preserve">he Company </w:t>
      </w:r>
      <w:r>
        <w:rPr>
          <w:rFonts w:eastAsia="Times New Roman"/>
        </w:rPr>
        <w:t>determined</w:t>
      </w:r>
      <w:r w:rsidRPr="2E754527">
        <w:rPr>
          <w:rFonts w:eastAsia="Times New Roman"/>
        </w:rPr>
        <w:t xml:space="preserve"> that it was in the best long-term interests of customers, investors, and other stakeholders </w:t>
      </w:r>
      <w:r w:rsidR="00095544">
        <w:rPr>
          <w:rFonts w:eastAsia="Times New Roman"/>
        </w:rPr>
        <w:t xml:space="preserve">to </w:t>
      </w:r>
      <w:r>
        <w:rPr>
          <w:rFonts w:eastAsia="Times New Roman"/>
        </w:rPr>
        <w:t>maintain</w:t>
      </w:r>
      <w:r w:rsidRPr="2E754527">
        <w:rPr>
          <w:rFonts w:eastAsia="Times New Roman"/>
        </w:rPr>
        <w:t xml:space="preserve"> Project momentum by </w:t>
      </w:r>
      <w:r w:rsidR="00095544">
        <w:rPr>
          <w:rFonts w:eastAsia="Times New Roman"/>
        </w:rPr>
        <w:t xml:space="preserve">electing </w:t>
      </w:r>
      <w:r>
        <w:rPr>
          <w:rFonts w:eastAsia="Times New Roman"/>
        </w:rPr>
        <w:t>not to seek</w:t>
      </w:r>
      <w:r w:rsidRPr="2E754527">
        <w:rPr>
          <w:rFonts w:eastAsia="Times New Roman"/>
        </w:rPr>
        <w:t xml:space="preserve"> approval of the base capital cost increase so soon after receiving Commission approval </w:t>
      </w:r>
      <w:r w:rsidR="001530CB">
        <w:rPr>
          <w:rFonts w:eastAsia="Times New Roman"/>
        </w:rPr>
        <w:t xml:space="preserve">in the VCM 17 Order </w:t>
      </w:r>
      <w:r w:rsidRPr="2E754527">
        <w:rPr>
          <w:rFonts w:eastAsia="Times New Roman"/>
        </w:rPr>
        <w:t xml:space="preserve">to continue with the Project. </w:t>
      </w:r>
      <w:r w:rsidR="001530CB">
        <w:rPr>
          <w:rFonts w:eastAsia="Times New Roman"/>
        </w:rPr>
        <w:t>Consistent with Georgia Power</w:t>
      </w:r>
      <w:r w:rsidR="001B126C">
        <w:rPr>
          <w:rFonts w:eastAsia="Times New Roman"/>
        </w:rPr>
        <w:t>’</w:t>
      </w:r>
      <w:r w:rsidR="001530CB">
        <w:rPr>
          <w:rFonts w:eastAsia="Times New Roman"/>
        </w:rPr>
        <w:t>s position since VCM 19, the Company</w:t>
      </w:r>
      <w:r w:rsidRPr="2E754527">
        <w:rPr>
          <w:rFonts w:eastAsia="Times New Roman"/>
        </w:rPr>
        <w:t xml:space="preserve"> is not requesting recovery of the $694 million in base capital cost increase</w:t>
      </w:r>
      <w:r w:rsidR="001530CB">
        <w:rPr>
          <w:rFonts w:eastAsia="Times New Roman"/>
        </w:rPr>
        <w:t xml:space="preserve"> that resulted from the VCM 19 reforecast</w:t>
      </w:r>
      <w:r w:rsidRPr="2E754527">
        <w:rPr>
          <w:rFonts w:eastAsia="Times New Roman"/>
        </w:rPr>
        <w:t>.</w:t>
      </w:r>
    </w:p>
    <w:p w14:paraId="23DA8125" w14:textId="3F14C4EF" w:rsidR="00BE678E" w:rsidRPr="00DB3B30" w:rsidRDefault="00BE678E" w:rsidP="001D7364">
      <w:pPr>
        <w:spacing w:before="240" w:after="240" w:line="360" w:lineRule="auto"/>
        <w:ind w:left="720" w:hanging="720"/>
        <w:jc w:val="both"/>
        <w:rPr>
          <w:b/>
          <w:bCs/>
        </w:rPr>
      </w:pPr>
      <w:r w:rsidRPr="00DB3B30">
        <w:rPr>
          <w:b/>
          <w:bCs/>
        </w:rPr>
        <w:t>Q.</w:t>
      </w:r>
      <w:r w:rsidRPr="00DB3B30">
        <w:rPr>
          <w:b/>
          <w:bCs/>
        </w:rPr>
        <w:tab/>
        <w:t>PLEASE EXPLAIN THE CHALLENGES WITH REWORK ON THE PROJECT.</w:t>
      </w:r>
    </w:p>
    <w:p w14:paraId="5D29980F" w14:textId="567DB2F7" w:rsidR="00BE678E" w:rsidRDefault="00BE678E" w:rsidP="001D7364">
      <w:pPr>
        <w:spacing w:before="240" w:after="240" w:line="360" w:lineRule="auto"/>
        <w:ind w:left="720" w:hanging="720"/>
        <w:jc w:val="both"/>
      </w:pPr>
      <w:r>
        <w:t>A.</w:t>
      </w:r>
      <w:r>
        <w:tab/>
      </w:r>
      <w:r w:rsidRPr="2190393E">
        <w:rPr>
          <w:rFonts w:eastAsia="Times New Roman"/>
          <w:color w:val="000000" w:themeColor="text1"/>
        </w:rPr>
        <w:t xml:space="preserve">A certain amount of rework and remediation is </w:t>
      </w:r>
      <w:r w:rsidR="003E5ACA">
        <w:rPr>
          <w:rFonts w:eastAsia="Times New Roman"/>
          <w:color w:val="000000" w:themeColor="text1"/>
        </w:rPr>
        <w:t xml:space="preserve">normal and </w:t>
      </w:r>
      <w:r w:rsidRPr="2190393E">
        <w:rPr>
          <w:rFonts w:eastAsia="Times New Roman"/>
          <w:color w:val="000000" w:themeColor="text1"/>
        </w:rPr>
        <w:t>expecte</w:t>
      </w:r>
      <w:r w:rsidRPr="2190393E">
        <w:rPr>
          <w:rFonts w:eastAsia="Times New Roman"/>
        </w:rPr>
        <w:t xml:space="preserve">d on a project the size of Vogtle Units 3 and 4. </w:t>
      </w:r>
      <w:r>
        <w:rPr>
          <w:rFonts w:eastAsia="Times New Roman"/>
        </w:rPr>
        <w:t xml:space="preserve">As discussed in detail in the </w:t>
      </w:r>
      <w:r w:rsidR="00C131AC">
        <w:rPr>
          <w:rFonts w:eastAsia="Times New Roman"/>
        </w:rPr>
        <w:t>Application</w:t>
      </w:r>
      <w:r>
        <w:rPr>
          <w:rFonts w:eastAsia="Times New Roman"/>
        </w:rPr>
        <w:t xml:space="preserve">, </w:t>
      </w:r>
      <w:r>
        <w:rPr>
          <w:rFonts w:eastAsia="Times New Roman"/>
          <w:color w:val="000000" w:themeColor="text1"/>
        </w:rPr>
        <w:t>t</w:t>
      </w:r>
      <w:r w:rsidRPr="2190393E">
        <w:rPr>
          <w:rFonts w:eastAsia="Times New Roman"/>
          <w:color w:val="000000" w:themeColor="text1"/>
        </w:rPr>
        <w:t>here were</w:t>
      </w:r>
      <w:r w:rsidRPr="2190393E">
        <w:rPr>
          <w:rFonts w:eastAsia="Times New Roman"/>
        </w:rPr>
        <w:t xml:space="preserve"> several instances in which </w:t>
      </w:r>
      <w:r w:rsidRPr="2190393E">
        <w:rPr>
          <w:rFonts w:eastAsia="Times New Roman"/>
          <w:color w:val="000000" w:themeColor="text1"/>
        </w:rPr>
        <w:t xml:space="preserve">rework </w:t>
      </w:r>
      <w:r w:rsidRPr="2190393E">
        <w:rPr>
          <w:rFonts w:eastAsia="Times New Roman"/>
        </w:rPr>
        <w:t xml:space="preserve">was greater than anticipated, even on a project of this size. Rework on the Project was driven in part by </w:t>
      </w:r>
      <w:r>
        <w:t>the</w:t>
      </w:r>
      <w:r w:rsidR="003E5ACA">
        <w:t xml:space="preserve"> workforce</w:t>
      </w:r>
      <w:r w:rsidR="001B126C">
        <w:t>’</w:t>
      </w:r>
      <w:r w:rsidR="001530CB">
        <w:t>s</w:t>
      </w:r>
      <w:r w:rsidR="003E5ACA">
        <w:t xml:space="preserve"> </w:t>
      </w:r>
      <w:r w:rsidR="001530CB">
        <w:t xml:space="preserve">limited </w:t>
      </w:r>
      <w:r w:rsidR="003E5ACA">
        <w:t xml:space="preserve">experience with </w:t>
      </w:r>
      <w:r w:rsidR="00C30E6C">
        <w:t>the nuclear design requirements for the Project and the</w:t>
      </w:r>
      <w:r>
        <w:rPr>
          <w:rFonts w:eastAsia="Times New Roman"/>
        </w:rPr>
        <w:t xml:space="preserve"> Project</w:t>
      </w:r>
      <w:r w:rsidR="001B126C">
        <w:rPr>
          <w:rFonts w:eastAsia="Times New Roman"/>
        </w:rPr>
        <w:t>’</w:t>
      </w:r>
      <w:r>
        <w:rPr>
          <w:rFonts w:eastAsia="Times New Roman"/>
        </w:rPr>
        <w:t xml:space="preserve">s </w:t>
      </w:r>
      <w:r w:rsidRPr="2190393E">
        <w:rPr>
          <w:rFonts w:eastAsia="Times New Roman"/>
        </w:rPr>
        <w:t xml:space="preserve">transition through multiple </w:t>
      </w:r>
      <w:r w:rsidR="00842CA4">
        <w:rPr>
          <w:rFonts w:eastAsia="Times New Roman"/>
        </w:rPr>
        <w:t>c</w:t>
      </w:r>
      <w:r w:rsidR="00842CA4" w:rsidRPr="2190393E">
        <w:rPr>
          <w:rFonts w:eastAsia="Times New Roman"/>
        </w:rPr>
        <w:t>ontractors</w:t>
      </w:r>
      <w:r w:rsidRPr="2190393E">
        <w:rPr>
          <w:rFonts w:eastAsia="Times New Roman"/>
        </w:rPr>
        <w:t xml:space="preserve">, </w:t>
      </w:r>
      <w:r w:rsidR="00E234B1">
        <w:rPr>
          <w:rFonts w:eastAsia="Times New Roman"/>
        </w:rPr>
        <w:t>among</w:t>
      </w:r>
      <w:r w:rsidRPr="76BEC597">
        <w:rPr>
          <w:rFonts w:eastAsia="Times New Roman"/>
        </w:rPr>
        <w:t xml:space="preserve"> other</w:t>
      </w:r>
      <w:r w:rsidRPr="2190393E">
        <w:rPr>
          <w:rFonts w:eastAsia="Times New Roman"/>
        </w:rPr>
        <w:t xml:space="preserve"> factors. In addition, the Company proceeded with construction of the </w:t>
      </w:r>
      <w:r w:rsidR="00090A47">
        <w:rPr>
          <w:rFonts w:eastAsia="Times New Roman"/>
        </w:rPr>
        <w:t>U</w:t>
      </w:r>
      <w:r w:rsidR="00090A47" w:rsidRPr="2190393E">
        <w:rPr>
          <w:rFonts w:eastAsia="Times New Roman"/>
        </w:rPr>
        <w:t xml:space="preserve">nits </w:t>
      </w:r>
      <w:r w:rsidRPr="2190393E">
        <w:rPr>
          <w:rFonts w:eastAsia="Times New Roman"/>
        </w:rPr>
        <w:t>under the NRC</w:t>
      </w:r>
      <w:r w:rsidR="001B126C">
        <w:rPr>
          <w:rFonts w:eastAsia="Times New Roman"/>
        </w:rPr>
        <w:t>’</w:t>
      </w:r>
      <w:r w:rsidRPr="2190393E">
        <w:rPr>
          <w:rFonts w:eastAsia="Times New Roman"/>
        </w:rPr>
        <w:t xml:space="preserve">s new Part </w:t>
      </w:r>
      <w:r w:rsidRPr="2190393E">
        <w:rPr>
          <w:rFonts w:eastAsia="Times New Roman"/>
          <w:color w:val="000000" w:themeColor="text1"/>
        </w:rPr>
        <w:t xml:space="preserve">52 licensing process and new modularization approach to nuclear plant construction. </w:t>
      </w:r>
      <w:r w:rsidR="00CD7E49">
        <w:rPr>
          <w:rFonts w:eastAsia="Times New Roman"/>
          <w:color w:val="000000" w:themeColor="text1"/>
        </w:rPr>
        <w:t>As</w:t>
      </w:r>
      <w:r w:rsidRPr="2190393E">
        <w:rPr>
          <w:rFonts w:eastAsia="Times New Roman"/>
        </w:rPr>
        <w:t xml:space="preserve"> the Project moved through construction on Unit 3, Southern Nuclear was</w:t>
      </w:r>
      <w:r w:rsidR="00CD7E49">
        <w:rPr>
          <w:rFonts w:eastAsia="Times New Roman"/>
        </w:rPr>
        <w:t xml:space="preserve"> nonetheless</w:t>
      </w:r>
      <w:r w:rsidRPr="2190393E">
        <w:rPr>
          <w:rFonts w:eastAsia="Times New Roman"/>
        </w:rPr>
        <w:t xml:space="preserve"> able to apply lessons learned</w:t>
      </w:r>
      <w:r w:rsidR="00CD7E49">
        <w:rPr>
          <w:rFonts w:eastAsia="Times New Roman"/>
        </w:rPr>
        <w:t xml:space="preserve"> from rework required on Unit 3</w:t>
      </w:r>
      <w:r w:rsidRPr="2190393E">
        <w:rPr>
          <w:rFonts w:eastAsia="Times New Roman"/>
        </w:rPr>
        <w:t xml:space="preserve"> to minimize </w:t>
      </w:r>
      <w:r>
        <w:rPr>
          <w:rFonts w:eastAsia="Times New Roman"/>
        </w:rPr>
        <w:t xml:space="preserve">the amount of </w:t>
      </w:r>
      <w:r w:rsidRPr="2190393E">
        <w:rPr>
          <w:rFonts w:eastAsia="Times New Roman"/>
        </w:rPr>
        <w:t>rework</w:t>
      </w:r>
      <w:r>
        <w:rPr>
          <w:rFonts w:eastAsia="Times New Roman"/>
        </w:rPr>
        <w:t xml:space="preserve"> required</w:t>
      </w:r>
      <w:r w:rsidR="00CD7E49">
        <w:rPr>
          <w:rFonts w:eastAsia="Times New Roman"/>
        </w:rPr>
        <w:t xml:space="preserve"> for Unit 4</w:t>
      </w:r>
      <w:r w:rsidRPr="2190393E">
        <w:rPr>
          <w:rFonts w:eastAsia="Times New Roman"/>
        </w:rPr>
        <w:t xml:space="preserve">. </w:t>
      </w:r>
      <w:r>
        <w:t xml:space="preserve">For example, the rework required </w:t>
      </w:r>
      <w:r w:rsidR="00AE0FEA">
        <w:t>because of</w:t>
      </w:r>
      <w:r>
        <w:t xml:space="preserve"> the spent fuel pool leak and resulting repairs, as well as the rework associated with the IEEE 384 cable separation issues, all fall into the category of rework over and beyond what was anticipated, and the Company is not seeking recovery</w:t>
      </w:r>
      <w:r w:rsidR="00630E5A">
        <w:t xml:space="preserve"> for these costs</w:t>
      </w:r>
      <w:r>
        <w:t>.</w:t>
      </w:r>
    </w:p>
    <w:p w14:paraId="1FBB58BF" w14:textId="77777777" w:rsidR="00BE678E" w:rsidRPr="00DB3B30" w:rsidRDefault="00BE678E" w:rsidP="00C45F14">
      <w:pPr>
        <w:spacing w:before="240" w:after="240" w:line="360" w:lineRule="auto"/>
        <w:ind w:left="720" w:hanging="720"/>
        <w:jc w:val="both"/>
        <w:rPr>
          <w:rFonts w:eastAsia="Times New Roman"/>
        </w:rPr>
      </w:pPr>
      <w:r w:rsidRPr="00DB3B30">
        <w:rPr>
          <w:b/>
          <w:bCs/>
        </w:rPr>
        <w:t>Q.</w:t>
      </w:r>
      <w:r>
        <w:tab/>
      </w:r>
      <w:r w:rsidRPr="3CA47E62">
        <w:rPr>
          <w:rFonts w:eastAsia="Times New Roman"/>
          <w:b/>
          <w:bCs/>
        </w:rPr>
        <w:t>WHY HAS THE COMPANY MADE THE DECISION TO NOT SEEK CERTAIN REWORK ITEMS?</w:t>
      </w:r>
    </w:p>
    <w:p w14:paraId="714858B9" w14:textId="28455393" w:rsidR="00BE678E" w:rsidRDefault="00BE678E" w:rsidP="00C45F14">
      <w:pPr>
        <w:spacing w:before="240" w:after="240" w:line="360" w:lineRule="auto"/>
        <w:ind w:left="720" w:hanging="720"/>
        <w:jc w:val="both"/>
        <w:rPr>
          <w:rFonts w:eastAsia="Times New Roman"/>
        </w:rPr>
      </w:pPr>
      <w:r>
        <w:t>A.</w:t>
      </w:r>
      <w:r>
        <w:tab/>
      </w:r>
      <w:r w:rsidRPr="5C4C67BE">
        <w:rPr>
          <w:rFonts w:eastAsia="Times New Roman"/>
          <w:color w:val="000000" w:themeColor="text1"/>
        </w:rPr>
        <w:t xml:space="preserve">As stated previously, while there is a certain amount of rework anticipated on a megaproject like Vogtle Units 3 and 4, the amount experienced on the Project was larger than </w:t>
      </w:r>
      <w:r>
        <w:rPr>
          <w:rFonts w:eastAsia="Times New Roman"/>
          <w:color w:val="000000" w:themeColor="text1"/>
        </w:rPr>
        <w:t>expected</w:t>
      </w:r>
      <w:r w:rsidRPr="5C4C67BE">
        <w:rPr>
          <w:rFonts w:eastAsia="Times New Roman"/>
          <w:color w:val="000000" w:themeColor="text1"/>
        </w:rPr>
        <w:t xml:space="preserve">. </w:t>
      </w:r>
      <w:r w:rsidRPr="5C4C67BE">
        <w:rPr>
          <w:rFonts w:eastAsia="Times New Roman"/>
        </w:rPr>
        <w:t xml:space="preserve">While the Company believes that all the costs to remediate work on the Project were </w:t>
      </w:r>
      <w:r w:rsidR="009D6633">
        <w:rPr>
          <w:rFonts w:eastAsia="Times New Roman"/>
        </w:rPr>
        <w:t xml:space="preserve">reasonable and </w:t>
      </w:r>
      <w:r w:rsidRPr="5C4C67BE">
        <w:rPr>
          <w:rFonts w:eastAsia="Times New Roman"/>
        </w:rPr>
        <w:t xml:space="preserve">prudently incurred, it </w:t>
      </w:r>
      <w:r w:rsidR="0090200A">
        <w:rPr>
          <w:rFonts w:eastAsia="Times New Roman"/>
        </w:rPr>
        <w:t xml:space="preserve">has decided </w:t>
      </w:r>
      <w:r w:rsidR="003D5BEA">
        <w:rPr>
          <w:rFonts w:eastAsia="Times New Roman"/>
        </w:rPr>
        <w:t xml:space="preserve">not </w:t>
      </w:r>
      <w:r w:rsidRPr="5C4C67BE">
        <w:rPr>
          <w:rFonts w:eastAsia="Times New Roman"/>
        </w:rPr>
        <w:t xml:space="preserve">to ask customers to bear </w:t>
      </w:r>
      <w:r>
        <w:rPr>
          <w:rFonts w:eastAsia="Times New Roman"/>
        </w:rPr>
        <w:t>such costs</w:t>
      </w:r>
      <w:r w:rsidRPr="5C4C67BE">
        <w:rPr>
          <w:rFonts w:eastAsia="Times New Roman"/>
        </w:rPr>
        <w:t>.</w:t>
      </w:r>
      <w:r w:rsidR="008405F9">
        <w:rPr>
          <w:rFonts w:eastAsia="Times New Roman"/>
        </w:rPr>
        <w:t xml:space="preserve"> </w:t>
      </w:r>
    </w:p>
    <w:p w14:paraId="7F809A07" w14:textId="764CB65F" w:rsidR="00BE678E" w:rsidRPr="00DB3B30" w:rsidRDefault="00BE678E" w:rsidP="00D02FBF">
      <w:pPr>
        <w:keepNext/>
        <w:spacing w:before="240" w:after="240" w:line="360" w:lineRule="auto"/>
        <w:ind w:left="720" w:hanging="720"/>
        <w:jc w:val="both"/>
        <w:rPr>
          <w:b/>
          <w:bCs/>
        </w:rPr>
      </w:pPr>
      <w:r w:rsidRPr="00DB3B30">
        <w:rPr>
          <w:b/>
          <w:bCs/>
        </w:rPr>
        <w:t>Q.</w:t>
      </w:r>
      <w:r w:rsidRPr="00DB3B30">
        <w:rPr>
          <w:b/>
          <w:bCs/>
        </w:rPr>
        <w:tab/>
      </w:r>
      <w:r w:rsidR="00521451">
        <w:rPr>
          <w:b/>
          <w:bCs/>
        </w:rPr>
        <w:t xml:space="preserve">PLEASE DESCRIBE </w:t>
      </w:r>
      <w:r w:rsidRPr="00DB3B30">
        <w:rPr>
          <w:b/>
          <w:bCs/>
        </w:rPr>
        <w:t xml:space="preserve">THE </w:t>
      </w:r>
      <w:r w:rsidR="0035498F">
        <w:rPr>
          <w:b/>
          <w:bCs/>
        </w:rPr>
        <w:t>REWORK</w:t>
      </w:r>
      <w:r w:rsidR="00D02FBF">
        <w:rPr>
          <w:b/>
          <w:bCs/>
        </w:rPr>
        <w:t>-</w:t>
      </w:r>
      <w:r w:rsidR="0035498F">
        <w:rPr>
          <w:b/>
          <w:bCs/>
        </w:rPr>
        <w:t xml:space="preserve">DRIVEN </w:t>
      </w:r>
      <w:r w:rsidRPr="00DB3B30">
        <w:rPr>
          <w:b/>
          <w:bCs/>
        </w:rPr>
        <w:t>SCHEDULE CHANGE</w:t>
      </w:r>
      <w:r w:rsidR="005A0983">
        <w:rPr>
          <w:b/>
          <w:bCs/>
        </w:rPr>
        <w:t xml:space="preserve"> </w:t>
      </w:r>
      <w:r>
        <w:rPr>
          <w:b/>
          <w:bCs/>
        </w:rPr>
        <w:t xml:space="preserve">COSTS </w:t>
      </w:r>
      <w:r w:rsidR="00880D7D">
        <w:rPr>
          <w:b/>
          <w:bCs/>
        </w:rPr>
        <w:t xml:space="preserve">THAT </w:t>
      </w:r>
      <w:r w:rsidRPr="00DB3B30">
        <w:rPr>
          <w:b/>
          <w:bCs/>
        </w:rPr>
        <w:t xml:space="preserve">THE COMPANY IS NOT SEEKING </w:t>
      </w:r>
      <w:r w:rsidR="003150C1">
        <w:rPr>
          <w:b/>
          <w:bCs/>
        </w:rPr>
        <w:t xml:space="preserve">TO </w:t>
      </w:r>
      <w:r w:rsidRPr="00DB3B30">
        <w:rPr>
          <w:b/>
          <w:bCs/>
        </w:rPr>
        <w:t>RECOVER</w:t>
      </w:r>
      <w:r w:rsidR="005350A6">
        <w:rPr>
          <w:b/>
          <w:bCs/>
        </w:rPr>
        <w:t>.</w:t>
      </w:r>
    </w:p>
    <w:p w14:paraId="03A2033F" w14:textId="6E000453" w:rsidR="00BE678E" w:rsidRDefault="00BE678E" w:rsidP="001D7364">
      <w:pPr>
        <w:keepNext/>
        <w:spacing w:before="240" w:after="240" w:line="360" w:lineRule="auto"/>
        <w:ind w:left="720" w:hanging="720"/>
        <w:jc w:val="both"/>
      </w:pPr>
      <w:r>
        <w:t>A.</w:t>
      </w:r>
      <w:r>
        <w:tab/>
        <w:t xml:space="preserve">In addition to </w:t>
      </w:r>
      <w:r w:rsidR="00A61E28">
        <w:t>costs directly associated with redoing work</w:t>
      </w:r>
      <w:r w:rsidR="00774FF5">
        <w:t>—</w:t>
      </w:r>
      <w:r w:rsidR="00A61E28">
        <w:t xml:space="preserve">for example, costs </w:t>
      </w:r>
      <w:r>
        <w:t>such as labor and equipment</w:t>
      </w:r>
      <w:r w:rsidR="00774FF5">
        <w:t>—</w:t>
      </w:r>
      <w:r>
        <w:t>rework also requires additional time in the schedule</w:t>
      </w:r>
      <w:r w:rsidR="00605A61">
        <w:t xml:space="preserve"> </w:t>
      </w:r>
      <w:r w:rsidR="00ED0C8F">
        <w:t xml:space="preserve">to </w:t>
      </w:r>
      <w:r w:rsidR="000133C7">
        <w:t xml:space="preserve">re-complete activities </w:t>
      </w:r>
      <w:r w:rsidR="00605A61" w:rsidRPr="000133C7">
        <w:t>prior to continuing</w:t>
      </w:r>
      <w:r w:rsidR="00F01C98" w:rsidRPr="000133C7">
        <w:t xml:space="preserve"> to later</w:t>
      </w:r>
      <w:r w:rsidR="0013356A">
        <w:t>-</w:t>
      </w:r>
      <w:r w:rsidR="00F01C98" w:rsidRPr="000133C7">
        <w:t>sequenced activities</w:t>
      </w:r>
      <w:r w:rsidR="000133C7" w:rsidRPr="000133C7">
        <w:t xml:space="preserve"> already included</w:t>
      </w:r>
      <w:r w:rsidR="00F01C98" w:rsidRPr="000133C7">
        <w:t xml:space="preserve"> in the schedule. </w:t>
      </w:r>
      <w:r w:rsidR="009B1338" w:rsidRPr="000133C7">
        <w:t>For</w:t>
      </w:r>
      <w:r w:rsidR="009B1338">
        <w:t xml:space="preserve"> example, m</w:t>
      </w:r>
      <w:r w:rsidR="00F01C98">
        <w:t xml:space="preserve">ilestones were pushed </w:t>
      </w:r>
      <w:r w:rsidR="003D4813">
        <w:t>to acco</w:t>
      </w:r>
      <w:r w:rsidR="00295064">
        <w:t>m</w:t>
      </w:r>
      <w:r w:rsidR="003D4813">
        <w:t>modate</w:t>
      </w:r>
      <w:r w:rsidR="00F01C98">
        <w:t xml:space="preserve"> completion of rework </w:t>
      </w:r>
      <w:r w:rsidR="00052AD6">
        <w:t>to acceptable standards. In addition to delaying the completion of physical work on site, rework caused</w:t>
      </w:r>
      <w:r w:rsidR="00FA1FFF">
        <w:t xml:space="preserve"> delays in closing ITAACs that were required to load fuel.</w:t>
      </w:r>
      <w:r w:rsidR="000133C7">
        <w:t xml:space="preserve"> </w:t>
      </w:r>
      <w:r w:rsidR="00E77C3A">
        <w:t>At the time,</w:t>
      </w:r>
      <w:r w:rsidR="000133C7">
        <w:t xml:space="preserve"> the critical path for the Project was driven through ITAAC completion</w:t>
      </w:r>
      <w:r w:rsidR="00C60E6F">
        <w:t xml:space="preserve">. Therefore, delays in rework for </w:t>
      </w:r>
      <w:r w:rsidR="00030499">
        <w:t>challenges such as</w:t>
      </w:r>
      <w:r w:rsidR="00C60E6F">
        <w:t xml:space="preserve"> the IEEE 384 electrical cable separation issues </w:t>
      </w:r>
      <w:r w:rsidR="00030499">
        <w:t xml:space="preserve">delayed ITAAC closure, which caused delays </w:t>
      </w:r>
      <w:r w:rsidR="007E2E65">
        <w:t>in progress to the critical path. Southern Nuclear</w:t>
      </w:r>
      <w:r w:rsidR="001B126C">
        <w:t>’</w:t>
      </w:r>
      <w:r w:rsidR="007E2E65">
        <w:t xml:space="preserve">s analysis on the delay associated with IEEE </w:t>
      </w:r>
      <w:r w:rsidR="1E18151D">
        <w:t xml:space="preserve">384 </w:t>
      </w:r>
      <w:r w:rsidR="007E2E65">
        <w:t xml:space="preserve">remediation </w:t>
      </w:r>
      <w:r w:rsidR="00DF0E86">
        <w:t xml:space="preserve">was the basis for the amounts captured by the “Rework Driven Schedule Change” costs. </w:t>
      </w:r>
    </w:p>
    <w:p w14:paraId="2E4736EF" w14:textId="0807026C" w:rsidR="00A408D2" w:rsidRDefault="00A408D2" w:rsidP="00BE678E">
      <w:pPr>
        <w:spacing w:before="240" w:after="240" w:line="360" w:lineRule="auto"/>
        <w:ind w:left="720" w:hanging="720"/>
        <w:jc w:val="both"/>
      </w:pPr>
      <w:r>
        <w:tab/>
        <w:t>To calculate the schedule</w:t>
      </w:r>
      <w:r w:rsidR="009274A3">
        <w:t>-</w:t>
      </w:r>
      <w:r>
        <w:t xml:space="preserve">driven costs related to rework, </w:t>
      </w:r>
      <w:r>
        <w:rPr>
          <w:rStyle w:val="normaltextrun"/>
          <w:color w:val="000000"/>
          <w:shd w:val="clear" w:color="auto" w:fill="FFFFFF"/>
        </w:rPr>
        <w:t xml:space="preserve">Southern Nuclear identified items needing rework and had Bechtel and other subcontractors track and report the manhours spent on these rework tasks. </w:t>
      </w:r>
      <w:r w:rsidRPr="006E36A6">
        <w:rPr>
          <w:rStyle w:val="normaltextrun"/>
          <w:shd w:val="clear" w:color="auto" w:fill="FFFFFF"/>
        </w:rPr>
        <w:t>The time to address the items requiring rework was then identified in the schedule</w:t>
      </w:r>
      <w:r w:rsidR="006A5BA3">
        <w:rPr>
          <w:rStyle w:val="normaltextrun"/>
          <w:shd w:val="clear" w:color="auto" w:fill="FFFFFF"/>
        </w:rPr>
        <w:t xml:space="preserve"> as reflected in ITAAC milestones</w:t>
      </w:r>
      <w:r w:rsidRPr="006E36A6">
        <w:rPr>
          <w:rStyle w:val="normaltextrun"/>
          <w:shd w:val="clear" w:color="auto" w:fill="FFFFFF"/>
        </w:rPr>
        <w:t>. The delay and cost associated with the identified rework was then calculated based on the time to complete the rework</w:t>
      </w:r>
      <w:r w:rsidRPr="00D1F1DB">
        <w:rPr>
          <w:rStyle w:val="normaltextrun"/>
        </w:rPr>
        <w:t xml:space="preserve"> in the schedule</w:t>
      </w:r>
      <w:r w:rsidRPr="006E36A6">
        <w:rPr>
          <w:rStyle w:val="normaltextrun"/>
          <w:shd w:val="clear" w:color="auto" w:fill="FFFFFF"/>
        </w:rPr>
        <w:t>.</w:t>
      </w:r>
    </w:p>
    <w:p w14:paraId="16F2A38A" w14:textId="21908A75" w:rsidR="00BE678E" w:rsidRPr="00DB3B30" w:rsidRDefault="00BE678E" w:rsidP="00BE678E">
      <w:pPr>
        <w:spacing w:before="240" w:after="240" w:line="360" w:lineRule="auto"/>
        <w:ind w:left="720" w:hanging="720"/>
        <w:jc w:val="both"/>
        <w:rPr>
          <w:b/>
          <w:bCs/>
        </w:rPr>
      </w:pPr>
      <w:r w:rsidRPr="00DB3B30">
        <w:rPr>
          <w:b/>
          <w:bCs/>
        </w:rPr>
        <w:t>Q.</w:t>
      </w:r>
      <w:r w:rsidRPr="00DB3B30">
        <w:rPr>
          <w:b/>
          <w:bCs/>
        </w:rPr>
        <w:tab/>
        <w:t xml:space="preserve">WHY </w:t>
      </w:r>
      <w:r w:rsidR="00E71A37">
        <w:rPr>
          <w:b/>
          <w:bCs/>
        </w:rPr>
        <w:t xml:space="preserve">IS </w:t>
      </w:r>
      <w:r w:rsidR="008A11B3">
        <w:rPr>
          <w:b/>
          <w:bCs/>
        </w:rPr>
        <w:t xml:space="preserve">THE COMPANY NOT SEEKING RECOVERY OF </w:t>
      </w:r>
      <w:r w:rsidRPr="00DB3B30">
        <w:rPr>
          <w:b/>
          <w:bCs/>
        </w:rPr>
        <w:t>THESE SCHEDULE</w:t>
      </w:r>
      <w:r w:rsidR="009274A3">
        <w:rPr>
          <w:b/>
          <w:bCs/>
        </w:rPr>
        <w:t>-</w:t>
      </w:r>
      <w:r w:rsidRPr="00DB3B30">
        <w:rPr>
          <w:b/>
          <w:bCs/>
        </w:rPr>
        <w:t>DRIVEN COSTS?</w:t>
      </w:r>
    </w:p>
    <w:p w14:paraId="7578ABCA" w14:textId="10202FA5" w:rsidR="00BE678E" w:rsidRDefault="00BE678E" w:rsidP="001D7364">
      <w:pPr>
        <w:spacing w:before="240" w:after="240" w:line="360" w:lineRule="auto"/>
        <w:ind w:left="720" w:hanging="720"/>
        <w:jc w:val="both"/>
      </w:pPr>
      <w:r w:rsidRPr="0011793E">
        <w:t>A.</w:t>
      </w:r>
      <w:r w:rsidRPr="0011793E">
        <w:tab/>
      </w:r>
      <w:r>
        <w:t xml:space="preserve">As previously discussed, the </w:t>
      </w:r>
      <w:r w:rsidR="009274A3">
        <w:t>schedule-</w:t>
      </w:r>
      <w:r>
        <w:t xml:space="preserve">driven delays </w:t>
      </w:r>
      <w:r w:rsidR="00AC6D2F">
        <w:t xml:space="preserve">resulted from </w:t>
      </w:r>
      <w:r>
        <w:t>the amount of time required to remediate</w:t>
      </w:r>
      <w:r w:rsidDel="00944DF4">
        <w:t xml:space="preserve"> </w:t>
      </w:r>
      <w:r>
        <w:t xml:space="preserve">items requiring rework. </w:t>
      </w:r>
      <w:r w:rsidR="00E71A37">
        <w:t>Although</w:t>
      </w:r>
      <w:r>
        <w:t xml:space="preserve"> addressing these items was necessary to successfully meet the technical specifications and testing</w:t>
      </w:r>
      <w:r w:rsidDel="008F4914">
        <w:t xml:space="preserve"> </w:t>
      </w:r>
      <w:r>
        <w:t xml:space="preserve">to bring the Units online, the Company </w:t>
      </w:r>
      <w:r w:rsidR="00CB6439">
        <w:t xml:space="preserve">is not </w:t>
      </w:r>
      <w:r>
        <w:t>seek</w:t>
      </w:r>
      <w:r w:rsidR="00956491">
        <w:t>ing</w:t>
      </w:r>
      <w:r>
        <w:t xml:space="preserve"> recovery of the cost</w:t>
      </w:r>
      <w:r w:rsidR="00AC6D2F">
        <w:t>s</w:t>
      </w:r>
      <w:r>
        <w:t xml:space="preserve"> </w:t>
      </w:r>
      <w:r w:rsidR="00AC6D2F">
        <w:t>associated with</w:t>
      </w:r>
      <w:r>
        <w:t xml:space="preserve"> these schedule delays</w:t>
      </w:r>
      <w:r w:rsidDel="008F4914">
        <w:t xml:space="preserve"> </w:t>
      </w:r>
      <w:r w:rsidR="00956491">
        <w:t xml:space="preserve">because of </w:t>
      </w:r>
      <w:r w:rsidR="001F551A">
        <w:t xml:space="preserve">(1) </w:t>
      </w:r>
      <w:r w:rsidDel="008F4914">
        <w:t xml:space="preserve">the </w:t>
      </w:r>
      <w:r>
        <w:t xml:space="preserve">underlying causes of the rework and </w:t>
      </w:r>
      <w:r w:rsidR="001F551A">
        <w:t xml:space="preserve">(2) </w:t>
      </w:r>
      <w:r>
        <w:t>the extensive schedule impacts it caused.</w:t>
      </w:r>
    </w:p>
    <w:p w14:paraId="3163493D" w14:textId="388C043D" w:rsidR="00BE678E" w:rsidRPr="009C0367" w:rsidRDefault="00BE678E" w:rsidP="003B52B9">
      <w:pPr>
        <w:keepNext/>
        <w:spacing w:before="240" w:after="240" w:line="360" w:lineRule="auto"/>
        <w:ind w:left="720" w:hanging="720"/>
        <w:jc w:val="both"/>
        <w:rPr>
          <w:b/>
          <w:bCs/>
        </w:rPr>
      </w:pPr>
      <w:r w:rsidRPr="009C0367">
        <w:rPr>
          <w:b/>
          <w:bCs/>
        </w:rPr>
        <w:t>Q.</w:t>
      </w:r>
      <w:r w:rsidRPr="009C0367">
        <w:rPr>
          <w:b/>
          <w:bCs/>
        </w:rPr>
        <w:tab/>
        <w:t>WHAT TYPE</w:t>
      </w:r>
      <w:r w:rsidR="00ED7C3F">
        <w:rPr>
          <w:b/>
          <w:bCs/>
        </w:rPr>
        <w:t>S</w:t>
      </w:r>
      <w:r w:rsidRPr="009C0367">
        <w:rPr>
          <w:b/>
          <w:bCs/>
        </w:rPr>
        <w:t xml:space="preserve"> OF COSTS ARE INCLUDED IN THE CATEGORY OF “CONSTRUCTION WORK PERFORMED BEFORE BECHTEL</w:t>
      </w:r>
      <w:r>
        <w:rPr>
          <w:b/>
          <w:bCs/>
        </w:rPr>
        <w:t>?”</w:t>
      </w:r>
    </w:p>
    <w:p w14:paraId="48FD6F85" w14:textId="403E2B5D" w:rsidR="00BE678E" w:rsidRDefault="00BE678E" w:rsidP="001D7364">
      <w:pPr>
        <w:keepNext/>
        <w:spacing w:before="240" w:after="240" w:line="360" w:lineRule="auto"/>
        <w:ind w:left="720" w:hanging="720"/>
        <w:jc w:val="both"/>
        <w:rPr>
          <w:rFonts w:eastAsia="Times New Roman"/>
        </w:rPr>
      </w:pPr>
      <w:r w:rsidRPr="0011793E">
        <w:t>A.</w:t>
      </w:r>
      <w:r w:rsidRPr="0011793E">
        <w:tab/>
      </w:r>
      <w:r>
        <w:rPr>
          <w:rFonts w:eastAsia="Times New Roman"/>
          <w:color w:val="000000" w:themeColor="text1"/>
        </w:rPr>
        <w:t>Four</w:t>
      </w:r>
      <w:r w:rsidRPr="14D9EE5B">
        <w:rPr>
          <w:rFonts w:eastAsia="Times New Roman"/>
          <w:color w:val="000000" w:themeColor="text1"/>
        </w:rPr>
        <w:t xml:space="preserve"> construction contractors performed work on the Project</w:t>
      </w:r>
      <w:r>
        <w:rPr>
          <w:rFonts w:eastAsia="Times New Roman"/>
          <w:color w:val="000000" w:themeColor="text1"/>
        </w:rPr>
        <w:t>, three of which preceded Bechtel</w:t>
      </w:r>
      <w:r w:rsidR="001B126C">
        <w:rPr>
          <w:rFonts w:eastAsia="Times New Roman"/>
          <w:color w:val="000000" w:themeColor="text1"/>
        </w:rPr>
        <w:t>’</w:t>
      </w:r>
      <w:r>
        <w:rPr>
          <w:rFonts w:eastAsia="Times New Roman"/>
          <w:color w:val="000000" w:themeColor="text1"/>
        </w:rPr>
        <w:t>s tenure as primary contractor</w:t>
      </w:r>
      <w:r w:rsidRPr="14D9EE5B">
        <w:rPr>
          <w:rFonts w:eastAsia="Times New Roman"/>
          <w:color w:val="000000" w:themeColor="text1"/>
        </w:rPr>
        <w:t xml:space="preserve">. </w:t>
      </w:r>
      <w:r>
        <w:rPr>
          <w:rFonts w:eastAsia="Times New Roman"/>
          <w:color w:val="000000" w:themeColor="text1"/>
        </w:rPr>
        <w:t>Once</w:t>
      </w:r>
      <w:r w:rsidRPr="14D9EE5B">
        <w:rPr>
          <w:rFonts w:eastAsia="Times New Roman"/>
        </w:rPr>
        <w:t xml:space="preserve"> onsite, </w:t>
      </w:r>
      <w:r>
        <w:rPr>
          <w:rFonts w:eastAsia="Times New Roman"/>
        </w:rPr>
        <w:t>Bechtel</w:t>
      </w:r>
      <w:r w:rsidRPr="14D9EE5B">
        <w:rPr>
          <w:rFonts w:eastAsia="Times New Roman"/>
        </w:rPr>
        <w:t xml:space="preserve"> </w:t>
      </w:r>
      <w:r>
        <w:rPr>
          <w:rFonts w:eastAsia="Times New Roman"/>
        </w:rPr>
        <w:t xml:space="preserve">was </w:t>
      </w:r>
      <w:r w:rsidRPr="14D9EE5B">
        <w:rPr>
          <w:rFonts w:eastAsia="Times New Roman"/>
        </w:rPr>
        <w:t xml:space="preserve">better able to review work completed, or assumed completed, in their initial estimates. In some cases, this review identified </w:t>
      </w:r>
      <w:r>
        <w:rPr>
          <w:rFonts w:eastAsia="Times New Roman"/>
        </w:rPr>
        <w:t>necessary</w:t>
      </w:r>
      <w:r w:rsidRPr="14D9EE5B">
        <w:rPr>
          <w:rFonts w:eastAsia="Times New Roman"/>
        </w:rPr>
        <w:t xml:space="preserve"> remediation of work previously completed by other</w:t>
      </w:r>
      <w:r>
        <w:rPr>
          <w:rFonts w:eastAsia="Times New Roman"/>
        </w:rPr>
        <w:t xml:space="preserve"> contractor</w:t>
      </w:r>
      <w:r w:rsidRPr="14D9EE5B">
        <w:rPr>
          <w:rFonts w:eastAsia="Times New Roman"/>
        </w:rPr>
        <w:t>s</w:t>
      </w:r>
      <w:r>
        <w:rPr>
          <w:rFonts w:eastAsia="Times New Roman"/>
        </w:rPr>
        <w:t xml:space="preserve">, including installation of electrical, concrete, rebar, and other commodities. </w:t>
      </w:r>
      <w:r w:rsidR="00A50AE0">
        <w:rPr>
          <w:rFonts w:eastAsia="Times New Roman"/>
        </w:rPr>
        <w:t xml:space="preserve">Deficient construction costs such as these would have been </w:t>
      </w:r>
      <w:r w:rsidR="0089474E">
        <w:rPr>
          <w:rFonts w:eastAsia="Times New Roman"/>
        </w:rPr>
        <w:t>included in the fixed price contract previously in effect under prior constructors</w:t>
      </w:r>
      <w:r w:rsidR="00990FA6">
        <w:rPr>
          <w:rFonts w:eastAsia="Times New Roman"/>
        </w:rPr>
        <w:t xml:space="preserve">. </w:t>
      </w:r>
      <w:r w:rsidR="006345CF">
        <w:rPr>
          <w:rFonts w:eastAsia="Times New Roman"/>
        </w:rPr>
        <w:t xml:space="preserve">Post </w:t>
      </w:r>
      <w:r w:rsidR="00990FA6">
        <w:rPr>
          <w:rFonts w:eastAsia="Times New Roman"/>
        </w:rPr>
        <w:t xml:space="preserve">WEC bankruptcy, </w:t>
      </w:r>
      <w:r w:rsidR="006345CF">
        <w:rPr>
          <w:rFonts w:eastAsia="Times New Roman"/>
        </w:rPr>
        <w:t xml:space="preserve">however, </w:t>
      </w:r>
      <w:r w:rsidR="00990FA6">
        <w:rPr>
          <w:rFonts w:eastAsia="Times New Roman"/>
        </w:rPr>
        <w:t>the costs to correct these issue</w:t>
      </w:r>
      <w:r w:rsidR="006345CF">
        <w:rPr>
          <w:rFonts w:eastAsia="Times New Roman"/>
        </w:rPr>
        <w:t>s</w:t>
      </w:r>
      <w:r w:rsidR="00990FA6">
        <w:rPr>
          <w:rFonts w:eastAsia="Times New Roman"/>
        </w:rPr>
        <w:t xml:space="preserve"> </w:t>
      </w:r>
      <w:r w:rsidR="00FE2D4E">
        <w:rPr>
          <w:rFonts w:eastAsia="Times New Roman"/>
        </w:rPr>
        <w:t>had to be borne by the Company.</w:t>
      </w:r>
      <w:r w:rsidR="00A50AE0">
        <w:rPr>
          <w:rFonts w:eastAsia="Times New Roman"/>
        </w:rPr>
        <w:t xml:space="preserve"> </w:t>
      </w:r>
      <w:r>
        <w:rPr>
          <w:rFonts w:eastAsia="Times New Roman"/>
        </w:rPr>
        <w:t xml:space="preserve">These </w:t>
      </w:r>
      <w:r w:rsidR="008564D3">
        <w:rPr>
          <w:rFonts w:eastAsia="Times New Roman"/>
        </w:rPr>
        <w:t xml:space="preserve">corrections </w:t>
      </w:r>
      <w:r>
        <w:rPr>
          <w:rFonts w:eastAsia="Times New Roman"/>
        </w:rPr>
        <w:t>were necessary</w:t>
      </w:r>
      <w:r w:rsidRPr="14D9EE5B">
        <w:rPr>
          <w:rFonts w:eastAsia="Times New Roman"/>
        </w:rPr>
        <w:t xml:space="preserve"> to support </w:t>
      </w:r>
      <w:r>
        <w:rPr>
          <w:rFonts w:eastAsia="Times New Roman"/>
        </w:rPr>
        <w:t xml:space="preserve">the </w:t>
      </w:r>
      <w:r w:rsidRPr="14D9EE5B">
        <w:rPr>
          <w:rFonts w:eastAsia="Times New Roman"/>
        </w:rPr>
        <w:t xml:space="preserve">testing or technical specifications </w:t>
      </w:r>
      <w:r>
        <w:rPr>
          <w:rFonts w:eastAsia="Times New Roman"/>
        </w:rPr>
        <w:t>required</w:t>
      </w:r>
      <w:r w:rsidRPr="14D9EE5B">
        <w:rPr>
          <w:rFonts w:eastAsia="Times New Roman"/>
        </w:rPr>
        <w:t xml:space="preserve"> to complete the Units as designed. </w:t>
      </w:r>
    </w:p>
    <w:p w14:paraId="7A1A070D" w14:textId="1DB34B40" w:rsidR="0028799B" w:rsidRDefault="0028799B" w:rsidP="0028799B">
      <w:pPr>
        <w:spacing w:before="240" w:after="240" w:line="360" w:lineRule="auto"/>
        <w:ind w:left="720" w:hanging="720"/>
        <w:jc w:val="both"/>
        <w:rPr>
          <w:b/>
          <w:bCs/>
        </w:rPr>
      </w:pPr>
      <w:r>
        <w:rPr>
          <w:b/>
          <w:bCs/>
        </w:rPr>
        <w:t>Q.</w:t>
      </w:r>
      <w:r>
        <w:rPr>
          <w:b/>
          <w:bCs/>
        </w:rPr>
        <w:tab/>
        <w:t xml:space="preserve">PLEASE EXPLAIN THE </w:t>
      </w:r>
      <w:r w:rsidR="00F63DF9">
        <w:rPr>
          <w:b/>
          <w:bCs/>
        </w:rPr>
        <w:t>“</w:t>
      </w:r>
      <w:r>
        <w:rPr>
          <w:b/>
          <w:bCs/>
        </w:rPr>
        <w:t>PROJECT PERFORMANCE</w:t>
      </w:r>
      <w:r w:rsidR="00F63DF9">
        <w:rPr>
          <w:b/>
          <w:bCs/>
        </w:rPr>
        <w:t xml:space="preserve"> COSTS ABOVE</w:t>
      </w:r>
      <w:r>
        <w:rPr>
          <w:b/>
          <w:bCs/>
        </w:rPr>
        <w:t xml:space="preserve"> BEST SUSTAINED PRODUCTIVITY</w:t>
      </w:r>
      <w:r w:rsidR="00F63DF9">
        <w:rPr>
          <w:b/>
          <w:bCs/>
        </w:rPr>
        <w:t>”</w:t>
      </w:r>
      <w:r>
        <w:rPr>
          <w:b/>
          <w:bCs/>
        </w:rPr>
        <w:t xml:space="preserve"> CATEGORY AND HOW IT WAS CALCULATED.</w:t>
      </w:r>
    </w:p>
    <w:p w14:paraId="504CF212" w14:textId="33A48230" w:rsidR="0028799B" w:rsidRDefault="0028799B" w:rsidP="0028799B">
      <w:pPr>
        <w:spacing w:before="240" w:after="240" w:line="360" w:lineRule="auto"/>
        <w:ind w:left="720" w:hanging="720"/>
        <w:jc w:val="both"/>
      </w:pPr>
      <w:r>
        <w:t>A.</w:t>
      </w:r>
      <w:r>
        <w:tab/>
      </w:r>
      <w:r w:rsidR="00231D39">
        <w:t>As described previously, CPI</w:t>
      </w:r>
      <w:r w:rsidR="00731B71">
        <w:t xml:space="preserve"> is </w:t>
      </w:r>
      <w:r w:rsidR="00FD604F">
        <w:t xml:space="preserve">a </w:t>
      </w:r>
      <w:r w:rsidR="00731B71">
        <w:t>cost efficiency measure calculated</w:t>
      </w:r>
      <w:r w:rsidR="00D61E44">
        <w:t xml:space="preserve"> by determining the ratio of hours spent on an activity relative to the hours earned. A CPI greater than 1.0 indicates </w:t>
      </w:r>
      <w:r w:rsidR="00E305F5">
        <w:t xml:space="preserve">that the Project spent more hours than planned to complete a task. </w:t>
      </w:r>
      <w:r w:rsidR="004D34AF">
        <w:t>After VCM 17</w:t>
      </w:r>
      <w:r w:rsidR="00535F46">
        <w:t>,</w:t>
      </w:r>
      <w:r w:rsidR="004D34AF">
        <w:t xml:space="preserve"> when Southern Nuclear took over </w:t>
      </w:r>
      <w:r w:rsidR="00BD5C0C">
        <w:t xml:space="preserve">responsibility for Project construction, </w:t>
      </w:r>
      <w:r w:rsidR="006A5BA3">
        <w:t xml:space="preserve">Southern Nuclear analyzed historical performance measures on the </w:t>
      </w:r>
      <w:r w:rsidR="00AE3508">
        <w:t>P</w:t>
      </w:r>
      <w:r w:rsidR="006A5BA3">
        <w:t xml:space="preserve">roject </w:t>
      </w:r>
      <w:r w:rsidR="001F185D">
        <w:t>after incorpo</w:t>
      </w:r>
      <w:r w:rsidR="00323CC1">
        <w:t xml:space="preserve">rating </w:t>
      </w:r>
      <w:r w:rsidR="006A5BA3">
        <w:t xml:space="preserve">common </w:t>
      </w:r>
      <w:r w:rsidR="00323CC1">
        <w:t>unit</w:t>
      </w:r>
      <w:r w:rsidR="006A5BA3">
        <w:t xml:space="preserve"> </w:t>
      </w:r>
      <w:r w:rsidR="00323CC1">
        <w:t xml:space="preserve">rates </w:t>
      </w:r>
      <w:r w:rsidR="006A5BA3">
        <w:t xml:space="preserve">in the project control tools and </w:t>
      </w:r>
      <w:r w:rsidR="00323CC1">
        <w:t xml:space="preserve">accounting </w:t>
      </w:r>
      <w:r w:rsidR="006A5BA3">
        <w:t>for expected deviations in CPI</w:t>
      </w:r>
      <w:r w:rsidR="0068738D">
        <w:t xml:space="preserve"> that were documented </w:t>
      </w:r>
      <w:r w:rsidR="0024263F">
        <w:t>in the Company</w:t>
      </w:r>
      <w:r w:rsidR="001B126C">
        <w:t>’</w:t>
      </w:r>
      <w:r w:rsidR="0024263F">
        <w:t>s VCM 17</w:t>
      </w:r>
      <w:r w:rsidR="006A5BA3">
        <w:t xml:space="preserve"> </w:t>
      </w:r>
      <w:r w:rsidR="00E242BF">
        <w:t>E</w:t>
      </w:r>
      <w:r w:rsidR="00A64336">
        <w:t xml:space="preserve">stimate to </w:t>
      </w:r>
      <w:r w:rsidR="00E242BF">
        <w:t>C</w:t>
      </w:r>
      <w:r w:rsidR="00A64336">
        <w:t>omplete</w:t>
      </w:r>
      <w:r w:rsidR="006A5BA3">
        <w:t xml:space="preserve"> and </w:t>
      </w:r>
      <w:r w:rsidR="001D138A">
        <w:t xml:space="preserve">accompanying </w:t>
      </w:r>
      <w:r w:rsidR="006A5BA3">
        <w:t xml:space="preserve">Cost and Schedule Assessment. </w:t>
      </w:r>
      <w:r w:rsidR="0024263F">
        <w:t xml:space="preserve">In addition to the expected deviations in CPI, </w:t>
      </w:r>
      <w:r w:rsidR="006A5BA3">
        <w:t xml:space="preserve">Southern Nuclear also </w:t>
      </w:r>
      <w:r w:rsidR="0024263F">
        <w:t xml:space="preserve">analyzed </w:t>
      </w:r>
      <w:r w:rsidR="006A5BA3">
        <w:t>comparative performance</w:t>
      </w:r>
      <w:r w:rsidR="0024263F">
        <w:t xml:space="preserve"> and productivity</w:t>
      </w:r>
      <w:r w:rsidR="006A5BA3">
        <w:t xml:space="preserve"> on Unit 4 </w:t>
      </w:r>
      <w:r w:rsidR="0024263F">
        <w:t>compared to</w:t>
      </w:r>
      <w:r w:rsidR="006A5BA3">
        <w:t xml:space="preserve"> Unit 3 to establish improved performance to account for improvements in execution and </w:t>
      </w:r>
      <w:r w:rsidR="002F2855">
        <w:t xml:space="preserve">lessons learned </w:t>
      </w:r>
      <w:r w:rsidR="006A5BA3">
        <w:t xml:space="preserve">from the leading Unit. </w:t>
      </w:r>
      <w:r w:rsidR="00052453">
        <w:t>The</w:t>
      </w:r>
      <w:r w:rsidR="00696ACF">
        <w:t xml:space="preserve"> Company calculated</w:t>
      </w:r>
      <w:r w:rsidR="00052453">
        <w:t xml:space="preserve"> </w:t>
      </w:r>
      <w:r w:rsidR="00C866C1">
        <w:t>the</w:t>
      </w:r>
      <w:r w:rsidR="00052453">
        <w:t xml:space="preserve"> difference between </w:t>
      </w:r>
      <w:r w:rsidR="006A5BA3">
        <w:t>the best sustained productivity</w:t>
      </w:r>
      <w:r w:rsidR="00D94380">
        <w:t xml:space="preserve"> on the Project as seen through historical performance</w:t>
      </w:r>
      <w:r w:rsidR="006A5BA3">
        <w:t xml:space="preserve"> and other experienced productivity measures </w:t>
      </w:r>
      <w:r w:rsidR="00F63DF9">
        <w:t xml:space="preserve">on </w:t>
      </w:r>
      <w:r w:rsidR="006A5BA3">
        <w:t xml:space="preserve">Vogtle </w:t>
      </w:r>
      <w:r w:rsidR="00F63DF9">
        <w:t xml:space="preserve">Units </w:t>
      </w:r>
      <w:r w:rsidR="006A5BA3">
        <w:t>3</w:t>
      </w:r>
      <w:r w:rsidR="00F63DF9">
        <w:t xml:space="preserve"> and </w:t>
      </w:r>
      <w:r w:rsidR="006A5BA3">
        <w:t>4</w:t>
      </w:r>
      <w:r w:rsidR="00C573B7">
        <w:t xml:space="preserve"> to determine the </w:t>
      </w:r>
      <w:r w:rsidR="003C6D08">
        <w:t xml:space="preserve">Project cost related to </w:t>
      </w:r>
      <w:r w:rsidR="00453F0F">
        <w:t>poor productivity</w:t>
      </w:r>
      <w:r w:rsidR="006A5BA3">
        <w:t>.</w:t>
      </w:r>
      <w:r w:rsidR="00453F0F">
        <w:t xml:space="preserve"> </w:t>
      </w:r>
      <w:r w:rsidR="00B34CF7">
        <w:t xml:space="preserve">This difference is </w:t>
      </w:r>
      <w:r w:rsidR="00FE7DB7">
        <w:t>not being sought for recovery</w:t>
      </w:r>
      <w:r w:rsidR="00763B0D">
        <w:t xml:space="preserve"> from customers.</w:t>
      </w:r>
      <w:r w:rsidR="006A5BA3">
        <w:t xml:space="preserve"> </w:t>
      </w:r>
    </w:p>
    <w:p w14:paraId="3DAC0A4C" w14:textId="070839F2" w:rsidR="00BE678E" w:rsidRPr="009C0367" w:rsidRDefault="00BE678E" w:rsidP="0028799B">
      <w:pPr>
        <w:spacing w:before="240" w:after="240" w:line="360" w:lineRule="auto"/>
        <w:ind w:left="720" w:hanging="720"/>
        <w:jc w:val="both"/>
        <w:rPr>
          <w:b/>
          <w:bCs/>
        </w:rPr>
      </w:pPr>
      <w:r w:rsidRPr="009C0367">
        <w:rPr>
          <w:b/>
          <w:bCs/>
        </w:rPr>
        <w:t>Q.</w:t>
      </w:r>
      <w:r w:rsidRPr="009C0367">
        <w:rPr>
          <w:b/>
          <w:bCs/>
        </w:rPr>
        <w:tab/>
        <w:t>WHY ARE LOST AND DAMAGED ITEMS EXCLUDED FROM THE COMPANY</w:t>
      </w:r>
      <w:r w:rsidR="001B126C">
        <w:rPr>
          <w:b/>
          <w:bCs/>
        </w:rPr>
        <w:t>’</w:t>
      </w:r>
      <w:r w:rsidRPr="009C0367">
        <w:rPr>
          <w:b/>
          <w:bCs/>
        </w:rPr>
        <w:t>S REQUEST?</w:t>
      </w:r>
    </w:p>
    <w:p w14:paraId="0C13DC4E" w14:textId="67D33490" w:rsidR="00BE678E" w:rsidRDefault="00BE678E" w:rsidP="001D7364">
      <w:pPr>
        <w:spacing w:before="240" w:after="240" w:line="360" w:lineRule="auto"/>
        <w:ind w:left="720" w:hanging="720"/>
        <w:jc w:val="both"/>
        <w:rPr>
          <w:rStyle w:val="eop"/>
          <w:color w:val="000000" w:themeColor="text1"/>
        </w:rPr>
      </w:pPr>
      <w:r w:rsidRPr="0011793E">
        <w:t>A.</w:t>
      </w:r>
      <w:r w:rsidRPr="0011793E">
        <w:tab/>
      </w:r>
      <w:r>
        <w:rPr>
          <w:rStyle w:val="normaltextrun"/>
          <w:color w:val="000000"/>
          <w:shd w:val="clear" w:color="auto" w:fill="FFFFFF"/>
        </w:rPr>
        <w:t xml:space="preserve">Lost and damaged material is a common component of a large and complex construction project. Vogtle Units 3 and 4 were not immune to this. </w:t>
      </w:r>
      <w:r w:rsidR="3348E134" w:rsidRPr="2728F5A1">
        <w:rPr>
          <w:rStyle w:val="normaltextrun"/>
          <w:color w:val="000000" w:themeColor="text1"/>
        </w:rPr>
        <w:t>O</w:t>
      </w:r>
      <w:r w:rsidR="7A55670D">
        <w:rPr>
          <w:rStyle w:val="normaltextrun"/>
          <w:color w:val="000000"/>
          <w:shd w:val="clear" w:color="auto" w:fill="FFFFFF"/>
        </w:rPr>
        <w:t>n</w:t>
      </w:r>
      <w:r>
        <w:rPr>
          <w:rStyle w:val="normaltextrun"/>
          <w:color w:val="000000"/>
          <w:shd w:val="clear" w:color="auto" w:fill="FFFFFF"/>
        </w:rPr>
        <w:t xml:space="preserve"> this Project, some of the lost or damaged materials had specific purposes and had to be replaced by materials that met the same design and quality requirements as the original. For example,</w:t>
      </w:r>
      <w:r w:rsidR="008D5DB9">
        <w:rPr>
          <w:rStyle w:val="normaltextrun"/>
          <w:color w:val="000000"/>
          <w:shd w:val="clear" w:color="auto" w:fill="FFFFFF"/>
        </w:rPr>
        <w:t xml:space="preserve"> after installation, level transmitters were damaged and had to be replaced and reinstalled </w:t>
      </w:r>
      <w:r w:rsidR="00C1565B">
        <w:rPr>
          <w:rStyle w:val="normaltextrun"/>
          <w:color w:val="000000"/>
          <w:shd w:val="clear" w:color="auto" w:fill="FFFFFF"/>
        </w:rPr>
        <w:t>to</w:t>
      </w:r>
      <w:r w:rsidR="008D5DB9">
        <w:rPr>
          <w:rStyle w:val="normaltextrun"/>
          <w:color w:val="000000"/>
          <w:shd w:val="clear" w:color="auto" w:fill="FFFFFF"/>
        </w:rPr>
        <w:t xml:space="preserve"> complete construction.</w:t>
      </w:r>
      <w:r>
        <w:rPr>
          <w:rStyle w:val="normaltextrun"/>
          <w:color w:val="000000"/>
          <w:shd w:val="clear" w:color="auto" w:fill="FFFFFF"/>
        </w:rPr>
        <w:t xml:space="preserve"> Southern Nuclear tracked the material replacements and these costs are represented within this cost category.</w:t>
      </w:r>
      <w:r>
        <w:rPr>
          <w:rStyle w:val="eop"/>
          <w:color w:val="000000"/>
          <w:shd w:val="clear" w:color="auto" w:fill="FFFFFF"/>
        </w:rPr>
        <w:t> </w:t>
      </w:r>
      <w:r w:rsidR="089C7E76" w:rsidRPr="2728F5A1">
        <w:rPr>
          <w:rStyle w:val="eop"/>
          <w:color w:val="000000" w:themeColor="text1"/>
        </w:rPr>
        <w:t xml:space="preserve">Considering the </w:t>
      </w:r>
      <w:r w:rsidR="792D443B" w:rsidRPr="2728F5A1">
        <w:rPr>
          <w:rStyle w:val="eop"/>
          <w:color w:val="000000" w:themeColor="text1"/>
        </w:rPr>
        <w:t xml:space="preserve">timing of some </w:t>
      </w:r>
      <w:r w:rsidR="09CF6C30" w:rsidRPr="2728F5A1">
        <w:rPr>
          <w:rStyle w:val="eop"/>
          <w:color w:val="000000" w:themeColor="text1"/>
        </w:rPr>
        <w:t xml:space="preserve">of the events and </w:t>
      </w:r>
      <w:r w:rsidR="0D0C207E" w:rsidRPr="2728F5A1">
        <w:rPr>
          <w:rStyle w:val="eop"/>
          <w:color w:val="000000" w:themeColor="text1"/>
        </w:rPr>
        <w:t xml:space="preserve">causes </w:t>
      </w:r>
      <w:r w:rsidR="09CF6C30" w:rsidRPr="2728F5A1">
        <w:rPr>
          <w:rStyle w:val="eop"/>
          <w:color w:val="000000" w:themeColor="text1"/>
        </w:rPr>
        <w:t xml:space="preserve">in which </w:t>
      </w:r>
      <w:r w:rsidR="455CF7F6" w:rsidRPr="2728F5A1">
        <w:rPr>
          <w:rStyle w:val="eop"/>
          <w:color w:val="000000" w:themeColor="text1"/>
        </w:rPr>
        <w:t xml:space="preserve">some of the </w:t>
      </w:r>
      <w:r w:rsidR="4A06EDC4" w:rsidRPr="2728F5A1">
        <w:rPr>
          <w:rStyle w:val="eop"/>
          <w:color w:val="000000" w:themeColor="text1"/>
        </w:rPr>
        <w:t>lost and damaged items</w:t>
      </w:r>
      <w:r w:rsidR="3C53CB26" w:rsidRPr="2728F5A1">
        <w:rPr>
          <w:rStyle w:val="eop"/>
          <w:color w:val="000000" w:themeColor="text1"/>
        </w:rPr>
        <w:t xml:space="preserve"> materialized, the Company decided to forego recovery of these costs. </w:t>
      </w:r>
    </w:p>
    <w:p w14:paraId="70F755E1" w14:textId="61780E3D" w:rsidR="00BE678E" w:rsidRPr="009C0367" w:rsidRDefault="00BE678E" w:rsidP="0028799B">
      <w:pPr>
        <w:spacing w:before="240" w:after="240" w:line="360" w:lineRule="auto"/>
        <w:ind w:left="720" w:hanging="720"/>
        <w:jc w:val="both"/>
        <w:rPr>
          <w:b/>
          <w:bCs/>
        </w:rPr>
      </w:pPr>
      <w:r w:rsidRPr="009C0367">
        <w:rPr>
          <w:b/>
          <w:bCs/>
        </w:rPr>
        <w:t>Q.</w:t>
      </w:r>
      <w:r>
        <w:tab/>
      </w:r>
      <w:r w:rsidRPr="009C0367">
        <w:rPr>
          <w:b/>
          <w:bCs/>
        </w:rPr>
        <w:t>WHAT TYPES OF COST FALL INTO THE MISCELLANEOUS CATEGORY OF COSTS?</w:t>
      </w:r>
    </w:p>
    <w:p w14:paraId="5BA685C2" w14:textId="245F4CFA" w:rsidR="00BE678E" w:rsidRDefault="00BE678E" w:rsidP="0028799B">
      <w:pPr>
        <w:spacing w:before="240" w:after="240" w:line="360" w:lineRule="auto"/>
        <w:ind w:left="720" w:hanging="720"/>
        <w:jc w:val="both"/>
        <w:rPr>
          <w:rStyle w:val="normaltextrun"/>
        </w:rPr>
      </w:pPr>
      <w:r w:rsidRPr="0011793E">
        <w:t>A.</w:t>
      </w:r>
      <w:r w:rsidRPr="0011793E">
        <w:tab/>
      </w:r>
      <w:r w:rsidRPr="41174F67">
        <w:rPr>
          <w:rStyle w:val="normaltextrun"/>
          <w:color w:val="000000" w:themeColor="text1"/>
        </w:rPr>
        <w:t xml:space="preserve">This cost category </w:t>
      </w:r>
      <w:r w:rsidRPr="650FAD9C">
        <w:rPr>
          <w:rStyle w:val="normaltextrun"/>
          <w:color w:val="000000" w:themeColor="text1"/>
        </w:rPr>
        <w:t xml:space="preserve">primarily </w:t>
      </w:r>
      <w:r w:rsidRPr="41174F67">
        <w:rPr>
          <w:rStyle w:val="normaltextrun"/>
          <w:color w:val="000000" w:themeColor="text1"/>
        </w:rPr>
        <w:t xml:space="preserve">includes </w:t>
      </w:r>
      <w:r w:rsidR="009F4C90">
        <w:rPr>
          <w:rStyle w:val="normaltextrun"/>
          <w:color w:val="000000" w:themeColor="text1"/>
        </w:rPr>
        <w:t>s</w:t>
      </w:r>
      <w:r w:rsidR="009F4C90">
        <w:rPr>
          <w:rStyle w:val="normaltextrun"/>
        </w:rPr>
        <w:t>taff l</w:t>
      </w:r>
      <w:r w:rsidR="00DB42E8">
        <w:rPr>
          <w:rStyle w:val="normaltextrun"/>
        </w:rPr>
        <w:t xml:space="preserve">abor hours for </w:t>
      </w:r>
      <w:r w:rsidRPr="00B62A29">
        <w:rPr>
          <w:rStyle w:val="normaltextrun"/>
        </w:rPr>
        <w:t>testing support</w:t>
      </w:r>
      <w:r w:rsidR="5AC87F3F" w:rsidRPr="4DD75C51">
        <w:rPr>
          <w:rStyle w:val="normaltextrun"/>
        </w:rPr>
        <w:t>.</w:t>
      </w:r>
      <w:r w:rsidR="00B5642E">
        <w:rPr>
          <w:rStyle w:val="normaltextrun"/>
        </w:rPr>
        <w:t xml:space="preserve"> This </w:t>
      </w:r>
      <w:r w:rsidR="008A10B7">
        <w:rPr>
          <w:rStyle w:val="normaltextrun"/>
        </w:rPr>
        <w:t xml:space="preserve">support staff </w:t>
      </w:r>
      <w:r w:rsidR="0011550F">
        <w:rPr>
          <w:rStyle w:val="normaltextrun"/>
        </w:rPr>
        <w:t xml:space="preserve">was </w:t>
      </w:r>
      <w:r w:rsidR="00356637">
        <w:rPr>
          <w:rStyle w:val="normaltextrun"/>
        </w:rPr>
        <w:t xml:space="preserve">mainly </w:t>
      </w:r>
      <w:r w:rsidR="0011550F">
        <w:rPr>
          <w:rStyle w:val="normaltextrun"/>
        </w:rPr>
        <w:t>comprised of</w:t>
      </w:r>
      <w:r w:rsidR="002A521C">
        <w:rPr>
          <w:rStyle w:val="normaltextrun"/>
        </w:rPr>
        <w:t xml:space="preserve"> </w:t>
      </w:r>
      <w:r w:rsidR="00A97768">
        <w:rPr>
          <w:rStyle w:val="normaltextrun"/>
        </w:rPr>
        <w:t>personnel</w:t>
      </w:r>
      <w:r w:rsidR="00C423CE">
        <w:rPr>
          <w:rStyle w:val="normaltextrun"/>
        </w:rPr>
        <w:t xml:space="preserve"> from </w:t>
      </w:r>
      <w:r w:rsidR="007E7F14">
        <w:rPr>
          <w:rStyle w:val="normaltextrun"/>
        </w:rPr>
        <w:t xml:space="preserve">the maintenance </w:t>
      </w:r>
      <w:r w:rsidR="00EC2047">
        <w:rPr>
          <w:rStyle w:val="normaltextrun"/>
        </w:rPr>
        <w:t>organization</w:t>
      </w:r>
      <w:r w:rsidR="00165D17">
        <w:rPr>
          <w:rStyle w:val="normaltextrun"/>
        </w:rPr>
        <w:t xml:space="preserve"> </w:t>
      </w:r>
      <w:r w:rsidR="00DB42E8">
        <w:rPr>
          <w:rStyle w:val="normaltextrun"/>
        </w:rPr>
        <w:t xml:space="preserve">and included </w:t>
      </w:r>
      <w:r w:rsidR="00165D17">
        <w:rPr>
          <w:rStyle w:val="normaltextrun"/>
        </w:rPr>
        <w:t>contractors</w:t>
      </w:r>
      <w:r w:rsidR="007371E1">
        <w:rPr>
          <w:rStyle w:val="normaltextrun"/>
        </w:rPr>
        <w:t>.  The support staff</w:t>
      </w:r>
      <w:r w:rsidR="00165D17">
        <w:rPr>
          <w:rStyle w:val="normaltextrun"/>
        </w:rPr>
        <w:t xml:space="preserve"> </w:t>
      </w:r>
      <w:r w:rsidR="00832981">
        <w:rPr>
          <w:rStyle w:val="normaltextrun"/>
        </w:rPr>
        <w:t xml:space="preserve">tested </w:t>
      </w:r>
      <w:r w:rsidR="00206EAE">
        <w:rPr>
          <w:rStyle w:val="normaltextrun"/>
        </w:rPr>
        <w:t>systems</w:t>
      </w:r>
      <w:r w:rsidR="00A97768">
        <w:rPr>
          <w:rStyle w:val="normaltextrun"/>
        </w:rPr>
        <w:t xml:space="preserve"> and</w:t>
      </w:r>
      <w:r w:rsidR="00206EAE">
        <w:rPr>
          <w:rStyle w:val="normaltextrun"/>
        </w:rPr>
        <w:t xml:space="preserve"> equipment, </w:t>
      </w:r>
      <w:r w:rsidR="00A97768">
        <w:rPr>
          <w:rStyle w:val="normaltextrun"/>
        </w:rPr>
        <w:t>as well as performed operational testing.</w:t>
      </w:r>
      <w:r w:rsidR="008405F9">
        <w:rPr>
          <w:rStyle w:val="normaltextrun"/>
        </w:rPr>
        <w:t xml:space="preserve"> </w:t>
      </w:r>
    </w:p>
    <w:p w14:paraId="787FF64C" w14:textId="06A518BA" w:rsidR="00AD07A8" w:rsidRPr="008540A6" w:rsidRDefault="00AD07A8" w:rsidP="0028799B">
      <w:pPr>
        <w:spacing w:before="240" w:after="240" w:line="360" w:lineRule="auto"/>
        <w:ind w:left="720" w:hanging="720"/>
        <w:jc w:val="both"/>
        <w:rPr>
          <w:rStyle w:val="normaltextrun"/>
          <w:b/>
        </w:rPr>
      </w:pPr>
      <w:r w:rsidRPr="008540A6">
        <w:rPr>
          <w:rStyle w:val="normaltextrun"/>
          <w:b/>
        </w:rPr>
        <w:t>Q.</w:t>
      </w:r>
      <w:r w:rsidRPr="008540A6">
        <w:rPr>
          <w:rStyle w:val="normaltextrun"/>
          <w:b/>
        </w:rPr>
        <w:tab/>
        <w:t xml:space="preserve">WITH THESE CATEGORIES OF </w:t>
      </w:r>
      <w:r w:rsidRPr="008540A6">
        <w:rPr>
          <w:rStyle w:val="normaltextrun"/>
          <w:b/>
          <w:bCs/>
        </w:rPr>
        <w:t>COST</w:t>
      </w:r>
      <w:r w:rsidR="00DB6906">
        <w:rPr>
          <w:rStyle w:val="normaltextrun"/>
          <w:b/>
          <w:bCs/>
        </w:rPr>
        <w:t>S</w:t>
      </w:r>
      <w:r w:rsidRPr="008540A6">
        <w:rPr>
          <w:rStyle w:val="normaltextrun"/>
          <w:b/>
        </w:rPr>
        <w:t xml:space="preserve"> EXCLUDED, DOES THE COMPANY BELIEVE </w:t>
      </w:r>
      <w:r w:rsidR="00DF208A" w:rsidRPr="008540A6">
        <w:rPr>
          <w:rStyle w:val="normaltextrun"/>
          <w:b/>
        </w:rPr>
        <w:t xml:space="preserve">$8.826 BILLION IN COSTS </w:t>
      </w:r>
      <w:r w:rsidR="0079550B">
        <w:rPr>
          <w:rStyle w:val="normaltextrun"/>
          <w:b/>
          <w:bCs/>
        </w:rPr>
        <w:t>SHOULD BE</w:t>
      </w:r>
      <w:r w:rsidR="0079550B" w:rsidRPr="008540A6">
        <w:rPr>
          <w:rStyle w:val="normaltextrun"/>
          <w:b/>
          <w:bCs/>
        </w:rPr>
        <w:t xml:space="preserve"> </w:t>
      </w:r>
      <w:r w:rsidR="006D2B26" w:rsidRPr="008540A6">
        <w:rPr>
          <w:rStyle w:val="normaltextrun"/>
          <w:b/>
          <w:bCs/>
        </w:rPr>
        <w:t>RECOVER</w:t>
      </w:r>
      <w:r w:rsidR="008967B1">
        <w:rPr>
          <w:rStyle w:val="normaltextrun"/>
          <w:b/>
          <w:bCs/>
        </w:rPr>
        <w:t>ED</w:t>
      </w:r>
      <w:r w:rsidR="00DF208A" w:rsidRPr="008540A6">
        <w:rPr>
          <w:rStyle w:val="normaltextrun"/>
          <w:b/>
        </w:rPr>
        <w:t xml:space="preserve"> FROM CUSTOMERS?</w:t>
      </w:r>
    </w:p>
    <w:p w14:paraId="184A7E03" w14:textId="4CA37E5C" w:rsidR="00DF208A" w:rsidRDefault="00DF208A" w:rsidP="001D7364">
      <w:pPr>
        <w:spacing w:before="240" w:after="240" w:line="360" w:lineRule="auto"/>
        <w:ind w:left="720" w:hanging="720"/>
        <w:jc w:val="both"/>
        <w:rPr>
          <w:rStyle w:val="normaltextrun"/>
        </w:rPr>
      </w:pPr>
      <w:r>
        <w:rPr>
          <w:rStyle w:val="normaltextrun"/>
        </w:rPr>
        <w:t>A.</w:t>
      </w:r>
      <w:r>
        <w:rPr>
          <w:rStyle w:val="normaltextrun"/>
        </w:rPr>
        <w:tab/>
        <w:t>Yes. Based on the Company</w:t>
      </w:r>
      <w:r w:rsidR="001B126C">
        <w:rPr>
          <w:rStyle w:val="normaltextrun"/>
        </w:rPr>
        <w:t>’</w:t>
      </w:r>
      <w:r>
        <w:rPr>
          <w:rStyle w:val="normaltextrun"/>
        </w:rPr>
        <w:t xml:space="preserve">s </w:t>
      </w:r>
      <w:r w:rsidR="00BA4933">
        <w:rPr>
          <w:rStyle w:val="normaltextrun"/>
        </w:rPr>
        <w:t>assessment</w:t>
      </w:r>
      <w:r>
        <w:rPr>
          <w:rStyle w:val="normaltextrun"/>
        </w:rPr>
        <w:t xml:space="preserve"> of the total</w:t>
      </w:r>
      <w:r w:rsidR="00BA4933">
        <w:rPr>
          <w:rStyle w:val="normaltextrun"/>
        </w:rPr>
        <w:t xml:space="preserve"> </w:t>
      </w:r>
      <w:r>
        <w:rPr>
          <w:rStyle w:val="normaltextrun"/>
        </w:rPr>
        <w:t>construction and capital cost</w:t>
      </w:r>
      <w:r w:rsidR="00BA4933">
        <w:rPr>
          <w:rStyle w:val="normaltextrun"/>
        </w:rPr>
        <w:t xml:space="preserve"> incurred on the Project, the Company estimated that </w:t>
      </w:r>
      <w:r w:rsidR="001A6F4C">
        <w:rPr>
          <w:rStyle w:val="normaltextrun"/>
        </w:rPr>
        <w:t xml:space="preserve">$8.826 billion </w:t>
      </w:r>
      <w:r w:rsidR="00C64D35">
        <w:rPr>
          <w:rStyle w:val="normaltextrun"/>
        </w:rPr>
        <w:t xml:space="preserve">of </w:t>
      </w:r>
      <w:r w:rsidR="007C5AEB">
        <w:rPr>
          <w:rStyle w:val="normaltextrun"/>
        </w:rPr>
        <w:t>prudent and reasonable costs should be recovered from customers and the Company should</w:t>
      </w:r>
      <w:r w:rsidR="001A6F4C">
        <w:rPr>
          <w:rStyle w:val="normaltextrun"/>
        </w:rPr>
        <w:t xml:space="preserve"> </w:t>
      </w:r>
      <w:r w:rsidR="00BA4933">
        <w:rPr>
          <w:rStyle w:val="normaltextrun"/>
        </w:rPr>
        <w:t xml:space="preserve">forgo $1.362 billion </w:t>
      </w:r>
      <w:r w:rsidR="001A6F4C">
        <w:rPr>
          <w:rStyle w:val="normaltextrun"/>
        </w:rPr>
        <w:t xml:space="preserve">in </w:t>
      </w:r>
      <w:r w:rsidR="00392F11">
        <w:rPr>
          <w:rStyle w:val="normaltextrun"/>
        </w:rPr>
        <w:t>prudently incurred construction and capital cost. The Company</w:t>
      </w:r>
      <w:r w:rsidR="001B126C">
        <w:rPr>
          <w:rStyle w:val="normaltextrun"/>
        </w:rPr>
        <w:t>’</w:t>
      </w:r>
      <w:r w:rsidR="00392F11">
        <w:rPr>
          <w:rStyle w:val="normaltextrun"/>
        </w:rPr>
        <w:t xml:space="preserve">s </w:t>
      </w:r>
      <w:r w:rsidR="005954AE">
        <w:rPr>
          <w:rStyle w:val="normaltextrun"/>
        </w:rPr>
        <w:t>Application</w:t>
      </w:r>
      <w:r w:rsidR="00DB6906">
        <w:rPr>
          <w:rStyle w:val="normaltextrun"/>
        </w:rPr>
        <w:t xml:space="preserve">, </w:t>
      </w:r>
      <w:r w:rsidR="00392F11">
        <w:rPr>
          <w:rStyle w:val="normaltextrun"/>
        </w:rPr>
        <w:t xml:space="preserve">along with the record in this Docket No. 29849 established over the course of 14 years of </w:t>
      </w:r>
      <w:r w:rsidR="006345D1">
        <w:rPr>
          <w:rStyle w:val="normaltextrun"/>
        </w:rPr>
        <w:t>VCM</w:t>
      </w:r>
      <w:r w:rsidR="00392F11">
        <w:rPr>
          <w:rStyle w:val="normaltextrun"/>
        </w:rPr>
        <w:t xml:space="preserve"> proceedings</w:t>
      </w:r>
      <w:r w:rsidR="00DB6906">
        <w:rPr>
          <w:rStyle w:val="normaltextrun"/>
        </w:rPr>
        <w:t>,</w:t>
      </w:r>
      <w:r w:rsidR="00392F11">
        <w:rPr>
          <w:rStyle w:val="normaltextrun"/>
        </w:rPr>
        <w:t xml:space="preserve"> supports the recoverability of $8.826 billion. As discussed below, a portion of these total </w:t>
      </w:r>
      <w:r w:rsidR="00CC4F96">
        <w:rPr>
          <w:rStyle w:val="normaltextrun"/>
        </w:rPr>
        <w:t xml:space="preserve">Project </w:t>
      </w:r>
      <w:r w:rsidR="00392F11">
        <w:rPr>
          <w:rStyle w:val="normaltextrun"/>
        </w:rPr>
        <w:t>costs have already been determined to be reasonable and prudent</w:t>
      </w:r>
      <w:r w:rsidR="00FA15E0">
        <w:rPr>
          <w:rStyle w:val="normaltextrun"/>
        </w:rPr>
        <w:t xml:space="preserve">. </w:t>
      </w:r>
      <w:r w:rsidR="00CA09A3">
        <w:rPr>
          <w:rStyle w:val="normaltextrun"/>
        </w:rPr>
        <w:t>Importantly</w:t>
      </w:r>
      <w:r w:rsidR="00FA15E0">
        <w:rPr>
          <w:rStyle w:val="normaltextrun"/>
        </w:rPr>
        <w:t xml:space="preserve">, per the </w:t>
      </w:r>
      <w:r w:rsidR="0095405C">
        <w:rPr>
          <w:rStyle w:val="normaltextrun"/>
        </w:rPr>
        <w:t>Stipulation</w:t>
      </w:r>
      <w:r w:rsidR="00FA15E0">
        <w:rPr>
          <w:rStyle w:val="normaltextrun"/>
        </w:rPr>
        <w:t xml:space="preserve"> executed between the Company, </w:t>
      </w:r>
      <w:r w:rsidR="008C6568">
        <w:rPr>
          <w:rStyle w:val="normaltextrun"/>
        </w:rPr>
        <w:t xml:space="preserve">PIA </w:t>
      </w:r>
      <w:r w:rsidR="00FA15E0">
        <w:rPr>
          <w:rStyle w:val="normaltextrun"/>
        </w:rPr>
        <w:t>Staff, and several intervenors on August 29, 2023</w:t>
      </w:r>
      <w:r w:rsidR="00DD19ED">
        <w:rPr>
          <w:rStyle w:val="normaltextrun"/>
        </w:rPr>
        <w:t>, the Company will for</w:t>
      </w:r>
      <w:r w:rsidR="00CA09A3">
        <w:rPr>
          <w:rStyle w:val="normaltextrun"/>
        </w:rPr>
        <w:t>e</w:t>
      </w:r>
      <w:r w:rsidR="00DD19ED">
        <w:rPr>
          <w:rStyle w:val="normaltextrun"/>
        </w:rPr>
        <w:t>go a</w:t>
      </w:r>
      <w:r w:rsidR="00CA09A3">
        <w:rPr>
          <w:rStyle w:val="normaltextrun"/>
        </w:rPr>
        <w:t>n</w:t>
      </w:r>
      <w:r w:rsidR="00DD19ED">
        <w:rPr>
          <w:rStyle w:val="normaltextrun"/>
        </w:rPr>
        <w:t xml:space="preserve"> </w:t>
      </w:r>
      <w:r w:rsidR="00CA09A3">
        <w:rPr>
          <w:rStyle w:val="normaltextrun"/>
        </w:rPr>
        <w:t>additional</w:t>
      </w:r>
      <w:r w:rsidR="008A4E4E">
        <w:rPr>
          <w:rStyle w:val="normaltextrun"/>
        </w:rPr>
        <w:t xml:space="preserve"> </w:t>
      </w:r>
      <w:r w:rsidR="000D3CD3">
        <w:rPr>
          <w:rStyle w:val="normaltextrun"/>
        </w:rPr>
        <w:t>$1.264 billion</w:t>
      </w:r>
      <w:r w:rsidR="00971A33">
        <w:rPr>
          <w:rStyle w:val="normaltextrun"/>
        </w:rPr>
        <w:t xml:space="preserve">. </w:t>
      </w:r>
      <w:r w:rsidR="00AE6911">
        <w:rPr>
          <w:rStyle w:val="normaltextrun"/>
        </w:rPr>
        <w:t xml:space="preserve">In total, </w:t>
      </w:r>
      <w:r w:rsidR="00316937">
        <w:rPr>
          <w:rFonts w:eastAsia="Times New Roman"/>
          <w:color w:val="000000" w:themeColor="text1"/>
        </w:rPr>
        <w:t xml:space="preserve">Georgia Power has agreed </w:t>
      </w:r>
      <w:r w:rsidR="00316937" w:rsidRPr="00B4667D">
        <w:rPr>
          <w:rFonts w:eastAsia="Times New Roman"/>
          <w:color w:val="000000" w:themeColor="text1"/>
        </w:rPr>
        <w:t xml:space="preserve">to </w:t>
      </w:r>
      <w:r w:rsidR="00CB3601">
        <w:rPr>
          <w:rFonts w:eastAsia="Times New Roman"/>
          <w:color w:val="000000" w:themeColor="text1"/>
        </w:rPr>
        <w:t>forego</w:t>
      </w:r>
      <w:r w:rsidR="00316937">
        <w:rPr>
          <w:rFonts w:eastAsia="Times New Roman"/>
          <w:color w:val="000000" w:themeColor="text1"/>
        </w:rPr>
        <w:t xml:space="preserve"> r</w:t>
      </w:r>
      <w:r w:rsidR="00316937" w:rsidRPr="00B4667D">
        <w:rPr>
          <w:rFonts w:eastAsia="Times New Roman"/>
          <w:color w:val="000000" w:themeColor="text1"/>
        </w:rPr>
        <w:t xml:space="preserve">ecovery of $2.626 </w:t>
      </w:r>
      <w:r w:rsidR="00316937">
        <w:rPr>
          <w:rFonts w:eastAsia="Times New Roman"/>
          <w:color w:val="000000" w:themeColor="text1"/>
        </w:rPr>
        <w:t>b</w:t>
      </w:r>
      <w:r w:rsidR="00316937" w:rsidRPr="00B4667D">
        <w:rPr>
          <w:rFonts w:eastAsia="Times New Roman"/>
          <w:color w:val="000000" w:themeColor="text1"/>
        </w:rPr>
        <w:t xml:space="preserve">illion in </w:t>
      </w:r>
      <w:r w:rsidR="00316937" w:rsidRPr="00752307">
        <w:t>construction and capital cost</w:t>
      </w:r>
      <w:r w:rsidR="00316937" w:rsidRPr="00B4667D">
        <w:rPr>
          <w:rFonts w:eastAsia="Times New Roman"/>
          <w:color w:val="000000" w:themeColor="text1"/>
        </w:rPr>
        <w:t xml:space="preserve"> </w:t>
      </w:r>
      <w:r w:rsidR="00782EDA">
        <w:rPr>
          <w:rStyle w:val="normaltextrun"/>
        </w:rPr>
        <w:t>and seek</w:t>
      </w:r>
      <w:r w:rsidR="00D643A1">
        <w:rPr>
          <w:rStyle w:val="normaltextrun"/>
        </w:rPr>
        <w:t>s</w:t>
      </w:r>
      <w:r w:rsidR="00782EDA">
        <w:rPr>
          <w:rStyle w:val="normaltextrun"/>
        </w:rPr>
        <w:t xml:space="preserve"> to collect $7.562 billion in construction and capital cost from customers</w:t>
      </w:r>
      <w:r w:rsidR="00316937">
        <w:rPr>
          <w:rFonts w:eastAsia="Times New Roman"/>
          <w:color w:val="000000" w:themeColor="text1"/>
        </w:rPr>
        <w:t>.</w:t>
      </w:r>
    </w:p>
    <w:p w14:paraId="5B9C1E9A" w14:textId="33287CE8" w:rsidR="00DC6E8E" w:rsidRPr="00A9375F" w:rsidRDefault="00DC6E8E" w:rsidP="001D7364">
      <w:pPr>
        <w:keepNext/>
        <w:spacing w:before="360" w:after="240" w:line="360" w:lineRule="auto"/>
        <w:ind w:left="720" w:hanging="720"/>
        <w:jc w:val="both"/>
        <w:rPr>
          <w:i/>
          <w:iCs/>
        </w:rPr>
      </w:pPr>
      <w:r>
        <w:rPr>
          <w:rStyle w:val="normaltextrun"/>
          <w:i/>
          <w:iCs/>
        </w:rPr>
        <w:t>Amounts Already Determined to be Reasonable and Prudent</w:t>
      </w:r>
    </w:p>
    <w:p w14:paraId="5065377B" w14:textId="30610C55" w:rsidR="00DC6E8E" w:rsidRPr="002E0266" w:rsidRDefault="00DC6E8E" w:rsidP="001D7364">
      <w:pPr>
        <w:keepNext/>
        <w:spacing w:before="240" w:after="240" w:line="360" w:lineRule="auto"/>
        <w:ind w:left="720" w:hanging="720"/>
        <w:jc w:val="both"/>
        <w:rPr>
          <w:b/>
          <w:bCs/>
        </w:rPr>
      </w:pPr>
      <w:r w:rsidRPr="002E0266">
        <w:rPr>
          <w:b/>
          <w:bCs/>
        </w:rPr>
        <w:t>Q.</w:t>
      </w:r>
      <w:r w:rsidRPr="002E0266">
        <w:rPr>
          <w:b/>
          <w:bCs/>
        </w:rPr>
        <w:tab/>
        <w:t xml:space="preserve">HAS THE COMMISSION PREVIOUSLY FOUND ANY PORTION OF THE </w:t>
      </w:r>
      <w:r w:rsidR="00C4487F">
        <w:rPr>
          <w:b/>
          <w:bCs/>
        </w:rPr>
        <w:t>PROJECT</w:t>
      </w:r>
      <w:r w:rsidR="001B126C">
        <w:rPr>
          <w:b/>
          <w:bCs/>
        </w:rPr>
        <w:t>’</w:t>
      </w:r>
      <w:r w:rsidR="00C4487F">
        <w:rPr>
          <w:b/>
          <w:bCs/>
        </w:rPr>
        <w:t>S</w:t>
      </w:r>
      <w:r w:rsidRPr="002E0266">
        <w:rPr>
          <w:b/>
          <w:bCs/>
        </w:rPr>
        <w:t xml:space="preserve"> CONSTRUCTION AND CAPITAL COST TO BE REASONABLE AND PRUDENT?</w:t>
      </w:r>
    </w:p>
    <w:p w14:paraId="560E5B6C" w14:textId="72D38A0F" w:rsidR="00DC6E8E" w:rsidRPr="0099499A" w:rsidRDefault="00DC6E8E" w:rsidP="001D7364">
      <w:pPr>
        <w:keepNext/>
        <w:spacing w:after="240" w:line="360" w:lineRule="auto"/>
        <w:ind w:left="720" w:hanging="720"/>
        <w:contextualSpacing/>
        <w:jc w:val="both"/>
      </w:pPr>
      <w:r>
        <w:t>A.</w:t>
      </w:r>
      <w:r>
        <w:tab/>
        <w:t xml:space="preserve">Yes. </w:t>
      </w:r>
      <w:r w:rsidR="00D7503C">
        <w:t xml:space="preserve">At </w:t>
      </w:r>
      <w:r w:rsidRPr="0099499A">
        <w:t xml:space="preserve">various points throughout the construction of </w:t>
      </w:r>
      <w:r>
        <w:t>Units 3 and 4</w:t>
      </w:r>
      <w:r w:rsidR="00D7503C">
        <w:t>,</w:t>
      </w:r>
      <w:r w:rsidRPr="0099499A">
        <w:t xml:space="preserve"> and as part of the VCM </w:t>
      </w:r>
      <w:r>
        <w:t>proceedings in D</w:t>
      </w:r>
      <w:r w:rsidRPr="0099499A">
        <w:t xml:space="preserve">ocket No. 29849, the Commission has found that certain categories of costs were reasonable or prudently incurred: </w:t>
      </w:r>
    </w:p>
    <w:p w14:paraId="7FD63418" w14:textId="77777777" w:rsidR="00DC6E8E" w:rsidRPr="004A353B" w:rsidRDefault="00DC6E8E" w:rsidP="00DC6E8E">
      <w:pPr>
        <w:pStyle w:val="ListParagraph"/>
        <w:numPr>
          <w:ilvl w:val="0"/>
          <w:numId w:val="10"/>
        </w:numPr>
        <w:spacing w:after="240" w:line="360" w:lineRule="auto"/>
        <w:ind w:left="1080"/>
        <w:contextualSpacing/>
        <w:jc w:val="both"/>
      </w:pPr>
      <w:r w:rsidRPr="004A353B">
        <w:t xml:space="preserve">As part of the SIR Final Order, the Commission </w:t>
      </w:r>
      <w:r w:rsidRPr="00AE386B">
        <w:t>deemed prudent</w:t>
      </w:r>
      <w:r w:rsidRPr="004A353B">
        <w:t xml:space="preserve"> the $3.569 billion incurred by Georgia Power on the Project through the VCM 14 Reporting Period ending December 31, 2015 (including settlement costs paid or to be paid to Westinghouse). </w:t>
      </w:r>
    </w:p>
    <w:p w14:paraId="57997235" w14:textId="77777777" w:rsidR="00DC6E8E" w:rsidRPr="004A353B" w:rsidRDefault="00DC6E8E" w:rsidP="00DC6E8E">
      <w:pPr>
        <w:pStyle w:val="ListParagraph"/>
        <w:numPr>
          <w:ilvl w:val="0"/>
          <w:numId w:val="10"/>
        </w:numPr>
        <w:spacing w:after="240" w:line="360" w:lineRule="auto"/>
        <w:ind w:left="1080"/>
        <w:contextualSpacing/>
        <w:jc w:val="both"/>
      </w:pPr>
      <w:r w:rsidRPr="004A353B">
        <w:t xml:space="preserve">Also, in the SIR Final Order, the Commission found that costs up to $5.68 billion were </w:t>
      </w:r>
      <w:r w:rsidRPr="00AE386B">
        <w:t>presumed prudent</w:t>
      </w:r>
      <w:r w:rsidRPr="004A353B">
        <w:t xml:space="preserve">, thereby shifting the evidentiary burden to intervening parties to show that costs incurred over $3.569 billion and up to $5.68 billion were </w:t>
      </w:r>
      <w:r w:rsidRPr="004A353B">
        <w:rPr>
          <w:i/>
          <w:iCs/>
        </w:rPr>
        <w:t>not</w:t>
      </w:r>
      <w:r w:rsidRPr="004A353B">
        <w:t xml:space="preserve"> prudently incurred. </w:t>
      </w:r>
    </w:p>
    <w:p w14:paraId="34BF2DE7" w14:textId="3C134E1B" w:rsidR="00DC6E8E" w:rsidRPr="004A353B" w:rsidRDefault="00DC6E8E" w:rsidP="00DC6E8E">
      <w:pPr>
        <w:pStyle w:val="ListParagraph"/>
        <w:numPr>
          <w:ilvl w:val="0"/>
          <w:numId w:val="10"/>
        </w:numPr>
        <w:spacing w:after="240" w:line="360" w:lineRule="auto"/>
        <w:ind w:left="1080"/>
        <w:contextualSpacing/>
        <w:jc w:val="both"/>
      </w:pPr>
      <w:r w:rsidRPr="004A353B">
        <w:t xml:space="preserve">In VCM 17, the Commission deemed that construction and capital cost up to $7.3 billion were </w:t>
      </w:r>
      <w:r w:rsidRPr="00AE386B">
        <w:t>deemed reasonable</w:t>
      </w:r>
      <w:r w:rsidRPr="004A353B">
        <w:t>.</w:t>
      </w:r>
    </w:p>
    <w:p w14:paraId="2550B7CF" w14:textId="77777777" w:rsidR="00DC6E8E" w:rsidRPr="0099499A" w:rsidRDefault="00DC6E8E" w:rsidP="00DC6E8E">
      <w:pPr>
        <w:pStyle w:val="ListParagraph"/>
        <w:numPr>
          <w:ilvl w:val="0"/>
          <w:numId w:val="10"/>
        </w:numPr>
        <w:spacing w:after="240" w:line="360" w:lineRule="auto"/>
        <w:ind w:left="1080"/>
        <w:contextualSpacing/>
        <w:jc w:val="both"/>
      </w:pPr>
      <w:r w:rsidRPr="004A353B">
        <w:t>In VCM 19, the Commission</w:t>
      </w:r>
      <w:r>
        <w:t xml:space="preserve"> found that all construction monitoring costs are reasonable and prudent. </w:t>
      </w:r>
    </w:p>
    <w:p w14:paraId="24A83F37" w14:textId="77777777" w:rsidR="00DC6E8E" w:rsidRDefault="00DC6E8E" w:rsidP="00DC6E8E">
      <w:pPr>
        <w:spacing w:before="240" w:after="240" w:line="360" w:lineRule="auto"/>
        <w:ind w:left="720"/>
        <w:jc w:val="both"/>
      </w:pPr>
      <w:r w:rsidRPr="0099499A">
        <w:t>Through the VCM process, the Commission has verified and approved all expenditures up to the revised, approved construction and capital cost of $7.3 billion and has reviewed, but not verified and approved, all expenditures above that amount.</w:t>
      </w:r>
    </w:p>
    <w:p w14:paraId="658DF19A" w14:textId="3B1643C3" w:rsidR="00DC6E8E" w:rsidRPr="002E0266" w:rsidRDefault="00DC6E8E" w:rsidP="001D7364">
      <w:pPr>
        <w:keepNext/>
        <w:spacing w:before="240" w:after="240" w:line="360" w:lineRule="auto"/>
        <w:ind w:left="720" w:hanging="720"/>
        <w:jc w:val="both"/>
        <w:rPr>
          <w:b/>
          <w:bCs/>
        </w:rPr>
      </w:pPr>
      <w:r w:rsidRPr="002E0266">
        <w:rPr>
          <w:b/>
          <w:bCs/>
        </w:rPr>
        <w:t>Q.</w:t>
      </w:r>
      <w:r w:rsidRPr="002E0266">
        <w:rPr>
          <w:b/>
          <w:bCs/>
        </w:rPr>
        <w:tab/>
        <w:t xml:space="preserve">HOW MUCH OF THE </w:t>
      </w:r>
      <w:r w:rsidR="00C4487F">
        <w:rPr>
          <w:b/>
          <w:bCs/>
        </w:rPr>
        <w:t>CONSTRUCTION AND CAPITAL COST</w:t>
      </w:r>
      <w:r>
        <w:rPr>
          <w:b/>
          <w:bCs/>
        </w:rPr>
        <w:t xml:space="preserve"> MUST THE COMPANY DEMONSTRATE TO BE RE</w:t>
      </w:r>
      <w:r w:rsidRPr="002E0266">
        <w:rPr>
          <w:b/>
          <w:bCs/>
        </w:rPr>
        <w:t>ASONABLE</w:t>
      </w:r>
      <w:r w:rsidR="00BF65A3">
        <w:rPr>
          <w:b/>
          <w:bCs/>
        </w:rPr>
        <w:t xml:space="preserve"> IN THIS PROCEEDING</w:t>
      </w:r>
      <w:r w:rsidRPr="002E0266">
        <w:rPr>
          <w:b/>
          <w:bCs/>
        </w:rPr>
        <w:t>?</w:t>
      </w:r>
    </w:p>
    <w:p w14:paraId="13DBBA04" w14:textId="2B702703" w:rsidR="00C4487F" w:rsidRDefault="00DC6E8E" w:rsidP="001D7364">
      <w:pPr>
        <w:keepNext/>
        <w:spacing w:before="240" w:after="240" w:line="360" w:lineRule="auto"/>
        <w:ind w:left="720" w:hanging="720"/>
        <w:jc w:val="both"/>
      </w:pPr>
      <w:r>
        <w:t>A.</w:t>
      </w:r>
      <w:r>
        <w:tab/>
        <w:t>Consistent with the Commission</w:t>
      </w:r>
      <w:r w:rsidR="001B126C">
        <w:t>’</w:t>
      </w:r>
      <w:r>
        <w:t>s prior findings and based on the</w:t>
      </w:r>
      <w:r w:rsidR="00FE50E5">
        <w:t xml:space="preserve"> $8.826 billion </w:t>
      </w:r>
      <w:r w:rsidR="005938FC">
        <w:t xml:space="preserve">the Company has determined to be </w:t>
      </w:r>
      <w:r w:rsidR="00FE50E5">
        <w:t>recoverable from customers</w:t>
      </w:r>
      <w:r w:rsidR="00B36CEC">
        <w:t>,</w:t>
      </w:r>
      <w:r>
        <w:t xml:space="preserve"> the Company would need to show that $</w:t>
      </w:r>
      <w:r w:rsidR="00A14020">
        <w:t xml:space="preserve">1.5 </w:t>
      </w:r>
      <w:r w:rsidR="002D1695">
        <w:t>b</w:t>
      </w:r>
      <w:r>
        <w:t xml:space="preserve">illion in construction and capital cost are reasonable. </w:t>
      </w:r>
      <w:r w:rsidR="0071661D">
        <w:t>However, c</w:t>
      </w:r>
      <w:r w:rsidR="001D029E">
        <w:t>onsidering that</w:t>
      </w:r>
      <w:r w:rsidR="005B29CE">
        <w:t xml:space="preserve"> </w:t>
      </w:r>
      <w:r w:rsidR="007C492D">
        <w:t xml:space="preserve">the </w:t>
      </w:r>
      <w:r w:rsidR="001D029E">
        <w:t xml:space="preserve">Stipulation </w:t>
      </w:r>
      <w:r w:rsidR="005B29CE">
        <w:t>limit</w:t>
      </w:r>
      <w:r w:rsidR="001D029E">
        <w:t>s</w:t>
      </w:r>
      <w:r w:rsidR="005B29CE">
        <w:t xml:space="preserve"> </w:t>
      </w:r>
      <w:r w:rsidR="00676C90">
        <w:t>recover</w:t>
      </w:r>
      <w:r w:rsidR="005B29CE">
        <w:t>y</w:t>
      </w:r>
      <w:r w:rsidR="00596BDF">
        <w:t xml:space="preserve"> for the Project to</w:t>
      </w:r>
      <w:r w:rsidR="00797B47">
        <w:t xml:space="preserve"> $7.562</w:t>
      </w:r>
      <w:r w:rsidR="00B749FB">
        <w:t xml:space="preserve"> billion</w:t>
      </w:r>
      <w:r w:rsidR="005267C4">
        <w:t>,</w:t>
      </w:r>
      <w:r w:rsidR="00596BDF">
        <w:t xml:space="preserve"> </w:t>
      </w:r>
      <w:r w:rsidR="00C268F5">
        <w:t xml:space="preserve">Georgia Power </w:t>
      </w:r>
      <w:r w:rsidR="006F6942">
        <w:t xml:space="preserve">must </w:t>
      </w:r>
      <w:r w:rsidR="001D029E">
        <w:t xml:space="preserve">only </w:t>
      </w:r>
      <w:r w:rsidR="00235400">
        <w:t xml:space="preserve">demonstrate reasonableness of </w:t>
      </w:r>
      <w:r w:rsidR="00F962FA">
        <w:t>$236 million</w:t>
      </w:r>
      <w:r w:rsidR="00273FC3">
        <w:t xml:space="preserve"> </w:t>
      </w:r>
      <w:r w:rsidR="00362997">
        <w:t xml:space="preserve">in construction and capital cost </w:t>
      </w:r>
      <w:r w:rsidR="002F35E4">
        <w:t xml:space="preserve">above </w:t>
      </w:r>
      <w:r w:rsidR="000C7FBF">
        <w:t>the $7.3 billion previously deemed reasonable</w:t>
      </w:r>
      <w:r w:rsidR="0012390F">
        <w:t xml:space="preserve">, as </w:t>
      </w:r>
      <w:r w:rsidR="00C94BED">
        <w:t xml:space="preserve">illustrated </w:t>
      </w:r>
      <w:r w:rsidR="0012390F">
        <w:t>in Table 4</w:t>
      </w:r>
      <w:r>
        <w:t>:</w:t>
      </w:r>
    </w:p>
    <w:p w14:paraId="117A8BDF" w14:textId="0188ED20" w:rsidR="00DC6E8E" w:rsidRPr="00B244EB" w:rsidRDefault="00DC6E8E" w:rsidP="00B244EB">
      <w:pPr>
        <w:keepNext/>
        <w:spacing w:before="240" w:after="240"/>
        <w:ind w:left="720"/>
        <w:jc w:val="center"/>
        <w:rPr>
          <w:b/>
          <w:bCs/>
        </w:rPr>
      </w:pPr>
      <w:r w:rsidRPr="00B244EB">
        <w:rPr>
          <w:b/>
          <w:bCs/>
        </w:rPr>
        <w:t xml:space="preserve">Table </w:t>
      </w:r>
      <w:r w:rsidR="00A14020" w:rsidRPr="00B244EB">
        <w:rPr>
          <w:b/>
          <w:bCs/>
        </w:rPr>
        <w:t>4</w:t>
      </w:r>
      <w:r w:rsidRPr="00B244EB">
        <w:rPr>
          <w:b/>
          <w:bCs/>
        </w:rPr>
        <w:t>:</w:t>
      </w:r>
      <w:r w:rsidR="002D1695" w:rsidRPr="00B244EB">
        <w:rPr>
          <w:b/>
          <w:bCs/>
        </w:rPr>
        <w:t xml:space="preserve"> Costs Remaining to be Determined Reasonable</w:t>
      </w:r>
    </w:p>
    <w:tbl>
      <w:tblPr>
        <w:tblStyle w:val="TableGrid"/>
        <w:tblW w:w="5490" w:type="dxa"/>
        <w:tblInd w:w="2330" w:type="dxa"/>
        <w:tblLayout w:type="fixed"/>
        <w:tblLook w:val="04A0" w:firstRow="1" w:lastRow="0" w:firstColumn="1" w:lastColumn="0" w:noHBand="0" w:noVBand="1"/>
      </w:tblPr>
      <w:tblGrid>
        <w:gridCol w:w="2700"/>
        <w:gridCol w:w="2790"/>
      </w:tblGrid>
      <w:tr w:rsidR="79F9CDA5" w14:paraId="49A6E3F0" w14:textId="77777777" w:rsidTr="007D2CC4">
        <w:trPr>
          <w:trHeight w:val="675"/>
        </w:trPr>
        <w:tc>
          <w:tcPr>
            <w:tcW w:w="2700" w:type="dxa"/>
            <w:tcBorders>
              <w:top w:val="single" w:sz="8" w:space="0" w:color="auto"/>
              <w:left w:val="single" w:sz="8" w:space="0" w:color="auto"/>
              <w:bottom w:val="single" w:sz="8" w:space="0" w:color="auto"/>
              <w:right w:val="single" w:sz="8" w:space="0" w:color="auto"/>
            </w:tcBorders>
            <w:shd w:val="clear" w:color="auto" w:fill="4472C4"/>
            <w:tcMar>
              <w:left w:w="108" w:type="dxa"/>
              <w:right w:w="108" w:type="dxa"/>
            </w:tcMar>
            <w:vAlign w:val="center"/>
          </w:tcPr>
          <w:p w14:paraId="65CA9703" w14:textId="2D9032D7" w:rsidR="79F9CDA5" w:rsidRDefault="79F9CDA5" w:rsidP="00B244EB">
            <w:pPr>
              <w:keepNext/>
              <w:rPr>
                <w:rFonts w:eastAsia="Times New Roman"/>
                <w:b/>
                <w:bCs/>
                <w:color w:val="FFFFFF" w:themeColor="background1"/>
                <w:sz w:val="22"/>
                <w:szCs w:val="22"/>
              </w:rPr>
            </w:pPr>
            <w:r w:rsidRPr="79F9CDA5">
              <w:rPr>
                <w:rFonts w:eastAsia="Times New Roman"/>
                <w:b/>
                <w:bCs/>
                <w:color w:val="FFFFFF" w:themeColor="background1"/>
                <w:sz w:val="22"/>
                <w:szCs w:val="22"/>
              </w:rPr>
              <w:t>Remaining Construction and Capital Cost to be Determined Reasonable:</w:t>
            </w:r>
          </w:p>
        </w:tc>
        <w:tc>
          <w:tcPr>
            <w:tcW w:w="2790" w:type="dxa"/>
            <w:tcBorders>
              <w:top w:val="single" w:sz="8" w:space="0" w:color="auto"/>
              <w:left w:val="single" w:sz="8" w:space="0" w:color="auto"/>
              <w:bottom w:val="single" w:sz="8" w:space="0" w:color="auto"/>
              <w:right w:val="single" w:sz="8" w:space="0" w:color="auto"/>
            </w:tcBorders>
            <w:shd w:val="clear" w:color="auto" w:fill="4472C4"/>
            <w:tcMar>
              <w:left w:w="108" w:type="dxa"/>
              <w:right w:w="108" w:type="dxa"/>
            </w:tcMar>
            <w:vAlign w:val="center"/>
          </w:tcPr>
          <w:p w14:paraId="7656D53B" w14:textId="04CD3F67" w:rsidR="79F9CDA5" w:rsidRDefault="79F9CDA5" w:rsidP="00B244EB">
            <w:pPr>
              <w:keepNext/>
              <w:jc w:val="center"/>
              <w:rPr>
                <w:rFonts w:eastAsia="Times New Roman"/>
                <w:b/>
                <w:bCs/>
                <w:color w:val="FFFFFF" w:themeColor="background1"/>
                <w:sz w:val="22"/>
                <w:szCs w:val="22"/>
              </w:rPr>
            </w:pPr>
            <w:r w:rsidRPr="79F9CDA5">
              <w:rPr>
                <w:rFonts w:eastAsia="Times New Roman"/>
                <w:b/>
                <w:bCs/>
                <w:color w:val="FFFFFF" w:themeColor="background1"/>
                <w:sz w:val="22"/>
                <w:szCs w:val="22"/>
              </w:rPr>
              <w:t>Amount</w:t>
            </w:r>
          </w:p>
          <w:p w14:paraId="36F4CCD6" w14:textId="1A437839" w:rsidR="79F9CDA5" w:rsidRDefault="79F9CDA5" w:rsidP="00B244EB">
            <w:pPr>
              <w:keepNext/>
              <w:jc w:val="center"/>
              <w:rPr>
                <w:rFonts w:eastAsia="Times New Roman"/>
                <w:b/>
                <w:bCs/>
                <w:color w:val="FFFFFF" w:themeColor="background1"/>
                <w:sz w:val="22"/>
                <w:szCs w:val="22"/>
              </w:rPr>
            </w:pPr>
            <w:r w:rsidRPr="79F9CDA5">
              <w:rPr>
                <w:rFonts w:eastAsia="Times New Roman"/>
                <w:b/>
                <w:bCs/>
                <w:color w:val="FFFFFF" w:themeColor="background1"/>
                <w:sz w:val="22"/>
                <w:szCs w:val="22"/>
              </w:rPr>
              <w:t xml:space="preserve"> (</w:t>
            </w:r>
            <w:r w:rsidR="00051A2D">
              <w:rPr>
                <w:rFonts w:eastAsia="Times New Roman"/>
                <w:b/>
                <w:bCs/>
                <w:color w:val="FFFFFF" w:themeColor="background1"/>
                <w:sz w:val="22"/>
                <w:szCs w:val="22"/>
              </w:rPr>
              <w:t>i</w:t>
            </w:r>
            <w:r w:rsidRPr="79F9CDA5">
              <w:rPr>
                <w:rFonts w:eastAsia="Times New Roman"/>
                <w:b/>
                <w:bCs/>
                <w:color w:val="FFFFFF" w:themeColor="background1"/>
                <w:sz w:val="22"/>
                <w:szCs w:val="22"/>
              </w:rPr>
              <w:t xml:space="preserve">n </w:t>
            </w:r>
            <w:r w:rsidRPr="79F9CDA5">
              <w:rPr>
                <w:rFonts w:eastAsia="Times New Roman"/>
                <w:b/>
                <w:bCs/>
                <w:i/>
                <w:iCs/>
                <w:color w:val="FFFFFF" w:themeColor="background1"/>
                <w:sz w:val="22"/>
                <w:szCs w:val="22"/>
              </w:rPr>
              <w:t>millions</w:t>
            </w:r>
            <w:r w:rsidRPr="79F9CDA5">
              <w:rPr>
                <w:rFonts w:eastAsia="Times New Roman"/>
                <w:b/>
                <w:bCs/>
                <w:color w:val="FFFFFF" w:themeColor="background1"/>
                <w:sz w:val="22"/>
                <w:szCs w:val="22"/>
              </w:rPr>
              <w:t>)</w:t>
            </w:r>
          </w:p>
        </w:tc>
      </w:tr>
      <w:tr w:rsidR="79F9CDA5" w14:paraId="48FBEBAD" w14:textId="77777777" w:rsidTr="007D2CC4">
        <w:trPr>
          <w:trHeight w:val="420"/>
        </w:trPr>
        <w:tc>
          <w:tcPr>
            <w:tcW w:w="2700" w:type="dxa"/>
            <w:tcBorders>
              <w:top w:val="single" w:sz="8" w:space="0" w:color="auto"/>
              <w:left w:val="single" w:sz="8" w:space="0" w:color="auto"/>
              <w:bottom w:val="single" w:sz="8" w:space="0" w:color="auto"/>
              <w:right w:val="single" w:sz="8" w:space="0" w:color="auto"/>
            </w:tcBorders>
            <w:shd w:val="clear" w:color="auto" w:fill="B4C6E7"/>
            <w:tcMar>
              <w:left w:w="108" w:type="dxa"/>
              <w:right w:w="108" w:type="dxa"/>
            </w:tcMar>
            <w:vAlign w:val="center"/>
          </w:tcPr>
          <w:p w14:paraId="6A17BAE2" w14:textId="2CB74D6B" w:rsidR="79F9CDA5" w:rsidRDefault="6788FDC7" w:rsidP="00B244EB">
            <w:pPr>
              <w:keepNext/>
              <w:rPr>
                <w:rFonts w:eastAsia="Times New Roman"/>
                <w:color w:val="000000" w:themeColor="text1"/>
                <w:sz w:val="22"/>
                <w:szCs w:val="22"/>
              </w:rPr>
            </w:pPr>
            <w:r w:rsidRPr="05697DCF">
              <w:rPr>
                <w:rFonts w:eastAsia="Times New Roman"/>
                <w:color w:val="000000" w:themeColor="text1"/>
                <w:sz w:val="22"/>
                <w:szCs w:val="22"/>
              </w:rPr>
              <w:t>Stipulated Amount</w:t>
            </w:r>
          </w:p>
        </w:tc>
        <w:tc>
          <w:tcPr>
            <w:tcW w:w="2790" w:type="dxa"/>
            <w:tcBorders>
              <w:top w:val="single" w:sz="8" w:space="0" w:color="auto"/>
              <w:left w:val="single" w:sz="8" w:space="0" w:color="auto"/>
              <w:bottom w:val="single" w:sz="8" w:space="0" w:color="auto"/>
              <w:right w:val="single" w:sz="8" w:space="0" w:color="auto"/>
            </w:tcBorders>
            <w:shd w:val="clear" w:color="auto" w:fill="B4C6E7"/>
            <w:tcMar>
              <w:left w:w="108" w:type="dxa"/>
              <w:right w:w="108" w:type="dxa"/>
            </w:tcMar>
            <w:vAlign w:val="center"/>
          </w:tcPr>
          <w:p w14:paraId="313B8A1D" w14:textId="061B0DCF" w:rsidR="79F9CDA5" w:rsidRDefault="6788FDC7" w:rsidP="00B244EB">
            <w:pPr>
              <w:keepNext/>
              <w:spacing w:line="259" w:lineRule="auto"/>
              <w:jc w:val="center"/>
              <w:rPr>
                <w:rFonts w:eastAsia="Times New Roman"/>
                <w:sz w:val="22"/>
                <w:szCs w:val="22"/>
              </w:rPr>
            </w:pPr>
            <w:r w:rsidRPr="05697DCF">
              <w:rPr>
                <w:rFonts w:eastAsia="Times New Roman"/>
                <w:color w:val="000000" w:themeColor="text1"/>
                <w:sz w:val="22"/>
                <w:szCs w:val="22"/>
              </w:rPr>
              <w:t>$7,</w:t>
            </w:r>
            <w:r w:rsidRPr="4B7F5C44">
              <w:rPr>
                <w:rFonts w:eastAsia="Times New Roman"/>
                <w:color w:val="000000" w:themeColor="text1"/>
                <w:sz w:val="22"/>
                <w:szCs w:val="22"/>
              </w:rPr>
              <w:t>562</w:t>
            </w:r>
          </w:p>
        </w:tc>
      </w:tr>
      <w:tr w:rsidR="79F9CDA5" w14:paraId="3AE6F678" w14:textId="77777777" w:rsidTr="007D2CC4">
        <w:trPr>
          <w:trHeight w:val="37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DB7B1B" w14:textId="059ED881" w:rsidR="79F9CDA5" w:rsidRDefault="5678946B" w:rsidP="00B244EB">
            <w:pPr>
              <w:keepNext/>
              <w:rPr>
                <w:rFonts w:eastAsia="Times New Roman"/>
                <w:sz w:val="22"/>
                <w:szCs w:val="22"/>
              </w:rPr>
            </w:pPr>
            <w:r w:rsidRPr="7D7DED3A">
              <w:rPr>
                <w:rFonts w:eastAsia="Times New Roman"/>
                <w:sz w:val="22"/>
                <w:szCs w:val="22"/>
              </w:rPr>
              <w:t xml:space="preserve">VCM 17 </w:t>
            </w:r>
            <w:r w:rsidRPr="4BD2340B">
              <w:rPr>
                <w:rFonts w:eastAsia="Times New Roman"/>
                <w:sz w:val="22"/>
                <w:szCs w:val="22"/>
              </w:rPr>
              <w:t>Order</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FBF0B" w14:textId="17093608" w:rsidR="79F9CDA5" w:rsidRDefault="79F9CDA5" w:rsidP="00B244EB">
            <w:pPr>
              <w:keepNext/>
              <w:jc w:val="center"/>
              <w:rPr>
                <w:rFonts w:eastAsia="Times New Roman"/>
                <w:sz w:val="22"/>
                <w:szCs w:val="22"/>
              </w:rPr>
            </w:pPr>
            <w:r w:rsidRPr="79F9CDA5">
              <w:rPr>
                <w:rFonts w:eastAsia="Times New Roman"/>
                <w:sz w:val="22"/>
                <w:szCs w:val="22"/>
              </w:rPr>
              <w:t>($</w:t>
            </w:r>
            <w:r w:rsidR="6D345A5F" w:rsidRPr="4A99ACFA">
              <w:rPr>
                <w:rFonts w:eastAsia="Times New Roman"/>
                <w:sz w:val="22"/>
                <w:szCs w:val="22"/>
              </w:rPr>
              <w:t>7,293</w:t>
            </w:r>
            <w:r w:rsidRPr="79F9CDA5">
              <w:rPr>
                <w:rFonts w:eastAsia="Times New Roman"/>
                <w:sz w:val="22"/>
                <w:szCs w:val="22"/>
              </w:rPr>
              <w:t>)</w:t>
            </w:r>
          </w:p>
        </w:tc>
      </w:tr>
      <w:tr w:rsidR="79F9CDA5" w14:paraId="3430398C" w14:textId="77777777" w:rsidTr="007D2CC4">
        <w:trPr>
          <w:trHeight w:val="390"/>
        </w:trPr>
        <w:tc>
          <w:tcPr>
            <w:tcW w:w="2700" w:type="dxa"/>
            <w:tcBorders>
              <w:top w:val="single" w:sz="8" w:space="0" w:color="auto"/>
              <w:left w:val="single" w:sz="8" w:space="0" w:color="auto"/>
              <w:bottom w:val="single" w:sz="8" w:space="0" w:color="auto"/>
              <w:right w:val="single" w:sz="8" w:space="0" w:color="auto"/>
            </w:tcBorders>
            <w:shd w:val="clear" w:color="auto" w:fill="B4C6E7"/>
            <w:tcMar>
              <w:left w:w="108" w:type="dxa"/>
              <w:right w:w="108" w:type="dxa"/>
            </w:tcMar>
            <w:vAlign w:val="center"/>
          </w:tcPr>
          <w:p w14:paraId="7F09D5CE" w14:textId="15713805" w:rsidR="79F9CDA5" w:rsidRDefault="79F9CDA5" w:rsidP="00B244EB">
            <w:pPr>
              <w:keepNext/>
              <w:rPr>
                <w:rFonts w:eastAsia="Times New Roman"/>
                <w:color w:val="000000" w:themeColor="text1"/>
                <w:sz w:val="22"/>
                <w:szCs w:val="22"/>
              </w:rPr>
            </w:pPr>
            <w:r w:rsidRPr="79F9CDA5">
              <w:rPr>
                <w:rFonts w:eastAsia="Times New Roman"/>
                <w:color w:val="000000" w:themeColor="text1"/>
                <w:sz w:val="22"/>
                <w:szCs w:val="22"/>
              </w:rPr>
              <w:t xml:space="preserve">VCM </w:t>
            </w:r>
            <w:r w:rsidR="4BD2340B" w:rsidRPr="4BD2340B">
              <w:rPr>
                <w:rFonts w:eastAsia="Times New Roman"/>
                <w:color w:val="000000" w:themeColor="text1"/>
                <w:sz w:val="22"/>
                <w:szCs w:val="22"/>
              </w:rPr>
              <w:t>1</w:t>
            </w:r>
            <w:r w:rsidR="47390D46" w:rsidRPr="4BD2340B">
              <w:rPr>
                <w:rFonts w:eastAsia="Times New Roman"/>
                <w:color w:val="000000" w:themeColor="text1"/>
                <w:sz w:val="22"/>
                <w:szCs w:val="22"/>
              </w:rPr>
              <w:t xml:space="preserve">9 </w:t>
            </w:r>
            <w:r w:rsidR="47390D46" w:rsidRPr="4A99ACFA">
              <w:rPr>
                <w:rFonts w:eastAsia="Times New Roman"/>
                <w:color w:val="000000" w:themeColor="text1"/>
                <w:sz w:val="22"/>
                <w:szCs w:val="22"/>
              </w:rPr>
              <w:t>– CM Fees</w:t>
            </w:r>
          </w:p>
        </w:tc>
        <w:tc>
          <w:tcPr>
            <w:tcW w:w="2790" w:type="dxa"/>
            <w:tcBorders>
              <w:top w:val="single" w:sz="8" w:space="0" w:color="auto"/>
              <w:left w:val="single" w:sz="8" w:space="0" w:color="auto"/>
              <w:bottom w:val="single" w:sz="8" w:space="0" w:color="auto"/>
              <w:right w:val="single" w:sz="8" w:space="0" w:color="auto"/>
            </w:tcBorders>
            <w:shd w:val="clear" w:color="auto" w:fill="B4C6E7"/>
            <w:tcMar>
              <w:left w:w="108" w:type="dxa"/>
              <w:right w:w="108" w:type="dxa"/>
            </w:tcMar>
            <w:vAlign w:val="center"/>
          </w:tcPr>
          <w:p w14:paraId="6DD74B57" w14:textId="53213F0E" w:rsidR="79F9CDA5" w:rsidRDefault="4CE7EE3C" w:rsidP="00B244EB">
            <w:pPr>
              <w:keepNext/>
              <w:jc w:val="center"/>
              <w:rPr>
                <w:rFonts w:eastAsia="Times New Roman"/>
                <w:color w:val="000000" w:themeColor="text1"/>
                <w:sz w:val="22"/>
                <w:szCs w:val="22"/>
              </w:rPr>
            </w:pPr>
            <w:r w:rsidRPr="6ABBAA23">
              <w:rPr>
                <w:rFonts w:eastAsia="Times New Roman"/>
                <w:color w:val="000000" w:themeColor="text1"/>
                <w:sz w:val="22"/>
                <w:szCs w:val="22"/>
              </w:rPr>
              <w:t>(</w:t>
            </w:r>
            <w:r w:rsidR="4A99ACFA" w:rsidRPr="6ABBAA23">
              <w:rPr>
                <w:rFonts w:eastAsia="Times New Roman"/>
                <w:color w:val="000000" w:themeColor="text1"/>
                <w:sz w:val="22"/>
                <w:szCs w:val="22"/>
              </w:rPr>
              <w:t>$</w:t>
            </w:r>
            <w:r w:rsidR="7984DB7A" w:rsidRPr="6ABBAA23">
              <w:rPr>
                <w:rFonts w:eastAsia="Times New Roman"/>
                <w:color w:val="000000" w:themeColor="text1"/>
                <w:sz w:val="22"/>
                <w:szCs w:val="22"/>
              </w:rPr>
              <w:t>33)</w:t>
            </w:r>
          </w:p>
        </w:tc>
      </w:tr>
      <w:tr w:rsidR="79F9CDA5" w14:paraId="1FB58B23" w14:textId="77777777" w:rsidTr="007D2CC4">
        <w:trPr>
          <w:trHeight w:val="390"/>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63F66F" w14:textId="2D0FADAF" w:rsidR="79F9CDA5" w:rsidRDefault="79F9CDA5" w:rsidP="00B244EB">
            <w:pPr>
              <w:keepNext/>
              <w:rPr>
                <w:rFonts w:eastAsia="Times New Roman"/>
                <w:b/>
                <w:bCs/>
                <w:color w:val="000000" w:themeColor="text1"/>
                <w:sz w:val="22"/>
                <w:szCs w:val="22"/>
              </w:rPr>
            </w:pPr>
            <w:r w:rsidRPr="79F9CDA5">
              <w:rPr>
                <w:rFonts w:eastAsia="Times New Roman"/>
                <w:b/>
                <w:bCs/>
                <w:color w:val="000000" w:themeColor="text1"/>
                <w:sz w:val="22"/>
                <w:szCs w:val="22"/>
              </w:rPr>
              <w:t>Total Remaining</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20455" w14:textId="220298E2" w:rsidR="79F9CDA5" w:rsidRDefault="4A99ACFA" w:rsidP="00B244EB">
            <w:pPr>
              <w:keepNext/>
              <w:jc w:val="center"/>
              <w:rPr>
                <w:rFonts w:eastAsia="Times New Roman"/>
                <w:b/>
                <w:bCs/>
                <w:sz w:val="22"/>
                <w:szCs w:val="22"/>
              </w:rPr>
            </w:pPr>
            <w:r w:rsidRPr="18F4E437">
              <w:rPr>
                <w:rFonts w:eastAsia="Times New Roman"/>
                <w:b/>
                <w:bCs/>
                <w:sz w:val="22"/>
                <w:szCs w:val="22"/>
              </w:rPr>
              <w:t>$</w:t>
            </w:r>
            <w:r w:rsidR="3AA6CFC5" w:rsidRPr="18F4E437">
              <w:rPr>
                <w:rFonts w:eastAsia="Times New Roman"/>
                <w:b/>
                <w:bCs/>
                <w:sz w:val="22"/>
                <w:szCs w:val="22"/>
              </w:rPr>
              <w:t>236</w:t>
            </w:r>
          </w:p>
        </w:tc>
      </w:tr>
    </w:tbl>
    <w:p w14:paraId="3B52A8C3" w14:textId="1F601E05" w:rsidR="00DC6E8E" w:rsidRPr="002E0266" w:rsidRDefault="00DC6E8E" w:rsidP="00B244EB">
      <w:pPr>
        <w:spacing w:before="360" w:after="240" w:line="360" w:lineRule="auto"/>
        <w:ind w:left="720" w:hanging="720"/>
        <w:jc w:val="both"/>
        <w:rPr>
          <w:b/>
          <w:bCs/>
        </w:rPr>
      </w:pPr>
      <w:r w:rsidRPr="002E0266">
        <w:rPr>
          <w:b/>
          <w:bCs/>
        </w:rPr>
        <w:t>Q.</w:t>
      </w:r>
      <w:r w:rsidRPr="002E0266">
        <w:rPr>
          <w:b/>
          <w:bCs/>
        </w:rPr>
        <w:tab/>
        <w:t xml:space="preserve">HOW MUCH OF THE </w:t>
      </w:r>
      <w:r>
        <w:rPr>
          <w:b/>
          <w:bCs/>
        </w:rPr>
        <w:t xml:space="preserve">STIPULATED </w:t>
      </w:r>
      <w:r w:rsidRPr="002E0266">
        <w:rPr>
          <w:b/>
          <w:bCs/>
        </w:rPr>
        <w:t>REQUEST</w:t>
      </w:r>
      <w:r>
        <w:rPr>
          <w:b/>
          <w:bCs/>
        </w:rPr>
        <w:t xml:space="preserve">ED RECOVERY </w:t>
      </w:r>
      <w:r w:rsidR="00152EBA">
        <w:rPr>
          <w:b/>
          <w:bCs/>
        </w:rPr>
        <w:t xml:space="preserve">AMOUNT </w:t>
      </w:r>
      <w:r>
        <w:rPr>
          <w:b/>
          <w:bCs/>
        </w:rPr>
        <w:t>MUST THE COMPANY DEMONSTRATE TO BE PRUDENT</w:t>
      </w:r>
      <w:r w:rsidR="009E4985">
        <w:rPr>
          <w:b/>
          <w:bCs/>
        </w:rPr>
        <w:t xml:space="preserve"> IN THIS PROCEEDING</w:t>
      </w:r>
      <w:r w:rsidRPr="002E0266">
        <w:rPr>
          <w:b/>
          <w:bCs/>
        </w:rPr>
        <w:t>?</w:t>
      </w:r>
    </w:p>
    <w:p w14:paraId="6D2117C1" w14:textId="0AAA5515" w:rsidR="00DC6E8E" w:rsidRDefault="00DC6E8E" w:rsidP="00DC6E8E">
      <w:pPr>
        <w:spacing w:before="240" w:after="240" w:line="360" w:lineRule="auto"/>
        <w:ind w:left="720" w:hanging="720"/>
        <w:jc w:val="both"/>
      </w:pPr>
      <w:r>
        <w:t>A.</w:t>
      </w:r>
      <w:r>
        <w:tab/>
        <w:t>Consistent with the Commission</w:t>
      </w:r>
      <w:r w:rsidR="001B126C">
        <w:t>’</w:t>
      </w:r>
      <w:r>
        <w:t xml:space="preserve">s prior findings and based on the </w:t>
      </w:r>
      <w:r w:rsidR="00595BEC">
        <w:t xml:space="preserve">$8.826 billion the Company has determined to be recoverable from customers, the Company would need to show that </w:t>
      </w:r>
      <w:r w:rsidR="00E54CAF">
        <w:t>$</w:t>
      </w:r>
      <w:r w:rsidR="004A50B0">
        <w:t>3.113</w:t>
      </w:r>
      <w:r w:rsidR="00E54CAF">
        <w:t xml:space="preserve"> billion</w:t>
      </w:r>
      <w:r w:rsidR="00C30483">
        <w:t xml:space="preserve"> in construction and capital cost are prudent</w:t>
      </w:r>
      <w:r w:rsidR="007A79B1">
        <w:t xml:space="preserve">. </w:t>
      </w:r>
      <w:r w:rsidR="002F00F8">
        <w:t>However, g</w:t>
      </w:r>
      <w:r w:rsidR="007A79B1">
        <w:t xml:space="preserve">iven the </w:t>
      </w:r>
      <w:r w:rsidR="00B06A36">
        <w:t>Stipulation</w:t>
      </w:r>
      <w:r w:rsidR="007A79B1">
        <w:t xml:space="preserve"> limit</w:t>
      </w:r>
      <w:r w:rsidR="00B06A36">
        <w:t>s</w:t>
      </w:r>
      <w:r w:rsidR="007A79B1">
        <w:t xml:space="preserve"> recovery for the Project to </w:t>
      </w:r>
      <w:r>
        <w:t xml:space="preserve">$7.562 billion, the Company </w:t>
      </w:r>
      <w:r w:rsidR="00484396">
        <w:t xml:space="preserve">has the burden </w:t>
      </w:r>
      <w:r>
        <w:t xml:space="preserve">to show that $1.849 billion in construction and capital cost are prudent. Table </w:t>
      </w:r>
      <w:r w:rsidR="006D4E7F">
        <w:t xml:space="preserve">5 </w:t>
      </w:r>
      <w:r>
        <w:t>below illustrates Georgia Power</w:t>
      </w:r>
      <w:r w:rsidR="001B126C">
        <w:t>’</w:t>
      </w:r>
      <w:r>
        <w:t>s burden of proof as to the prudence of the remaining construction and capital cost:</w:t>
      </w:r>
    </w:p>
    <w:p w14:paraId="29993BEE" w14:textId="2603B6B9" w:rsidR="00DC6E8E" w:rsidRPr="00B244EB" w:rsidRDefault="00DC6E8E" w:rsidP="001D7364">
      <w:pPr>
        <w:keepNext/>
        <w:spacing w:before="240" w:after="240"/>
        <w:ind w:left="720"/>
        <w:jc w:val="center"/>
        <w:rPr>
          <w:b/>
          <w:bCs/>
        </w:rPr>
      </w:pPr>
      <w:r w:rsidRPr="00B244EB">
        <w:rPr>
          <w:b/>
          <w:bCs/>
        </w:rPr>
        <w:t xml:space="preserve">Table </w:t>
      </w:r>
      <w:r w:rsidR="00A14020" w:rsidRPr="00B244EB">
        <w:rPr>
          <w:b/>
          <w:bCs/>
        </w:rPr>
        <w:t>5</w:t>
      </w:r>
      <w:r w:rsidRPr="00B244EB">
        <w:rPr>
          <w:b/>
          <w:bCs/>
        </w:rPr>
        <w:t>:</w:t>
      </w:r>
      <w:r w:rsidR="002D1695" w:rsidRPr="00B244EB">
        <w:rPr>
          <w:b/>
          <w:bCs/>
        </w:rPr>
        <w:t xml:space="preserve"> Costs Remaining to be Determined Prudent</w:t>
      </w:r>
    </w:p>
    <w:tbl>
      <w:tblPr>
        <w:tblStyle w:val="TableGrid"/>
        <w:tblW w:w="6030" w:type="dxa"/>
        <w:tblInd w:w="1970" w:type="dxa"/>
        <w:tblLayout w:type="fixed"/>
        <w:tblLook w:val="04A0" w:firstRow="1" w:lastRow="0" w:firstColumn="1" w:lastColumn="0" w:noHBand="0" w:noVBand="1"/>
      </w:tblPr>
      <w:tblGrid>
        <w:gridCol w:w="3870"/>
        <w:gridCol w:w="2160"/>
      </w:tblGrid>
      <w:tr w:rsidR="704C2DC4" w14:paraId="3CF9D9EC" w14:textId="77777777" w:rsidTr="005874E0">
        <w:trPr>
          <w:trHeight w:val="675"/>
        </w:trPr>
        <w:tc>
          <w:tcPr>
            <w:tcW w:w="3870" w:type="dxa"/>
            <w:tcBorders>
              <w:top w:val="single" w:sz="8" w:space="0" w:color="auto"/>
              <w:left w:val="single" w:sz="8" w:space="0" w:color="auto"/>
              <w:bottom w:val="single" w:sz="8" w:space="0" w:color="auto"/>
              <w:right w:val="single" w:sz="8" w:space="0" w:color="auto"/>
            </w:tcBorders>
            <w:shd w:val="clear" w:color="auto" w:fill="4472C4"/>
            <w:tcMar>
              <w:left w:w="108" w:type="dxa"/>
              <w:right w:w="108" w:type="dxa"/>
            </w:tcMar>
            <w:vAlign w:val="center"/>
          </w:tcPr>
          <w:p w14:paraId="1CAC03C2" w14:textId="44ACCD35" w:rsidR="704C2DC4" w:rsidRPr="00854F5F" w:rsidRDefault="704C2DC4" w:rsidP="001D7364">
            <w:pPr>
              <w:keepNext/>
              <w:rPr>
                <w:rFonts w:eastAsia="Times New Roman"/>
                <w:b/>
                <w:color w:val="FFFFFF" w:themeColor="background1"/>
                <w:sz w:val="22"/>
                <w:szCs w:val="22"/>
              </w:rPr>
            </w:pPr>
            <w:r w:rsidRPr="00854F5F">
              <w:rPr>
                <w:rFonts w:eastAsia="Times New Roman"/>
                <w:b/>
                <w:color w:val="FFFFFF" w:themeColor="background1"/>
                <w:sz w:val="22"/>
                <w:szCs w:val="22"/>
              </w:rPr>
              <w:t>Remaining Construction and Capital Cost to be Determined Prudent:</w:t>
            </w:r>
          </w:p>
        </w:tc>
        <w:tc>
          <w:tcPr>
            <w:tcW w:w="2160" w:type="dxa"/>
            <w:tcBorders>
              <w:top w:val="single" w:sz="8" w:space="0" w:color="auto"/>
              <w:left w:val="single" w:sz="8" w:space="0" w:color="auto"/>
              <w:bottom w:val="single" w:sz="8" w:space="0" w:color="auto"/>
              <w:right w:val="single" w:sz="8" w:space="0" w:color="auto"/>
            </w:tcBorders>
            <w:shd w:val="clear" w:color="auto" w:fill="4472C4"/>
            <w:tcMar>
              <w:left w:w="108" w:type="dxa"/>
              <w:right w:w="108" w:type="dxa"/>
            </w:tcMar>
            <w:vAlign w:val="center"/>
          </w:tcPr>
          <w:p w14:paraId="044934F6" w14:textId="7CC3896F" w:rsidR="704C2DC4" w:rsidRPr="00854F5F" w:rsidRDefault="704C2DC4" w:rsidP="001D7364">
            <w:pPr>
              <w:keepNext/>
              <w:jc w:val="center"/>
              <w:rPr>
                <w:rFonts w:eastAsia="Times New Roman"/>
                <w:b/>
                <w:color w:val="FFFFFF" w:themeColor="background1"/>
                <w:sz w:val="22"/>
                <w:szCs w:val="22"/>
              </w:rPr>
            </w:pPr>
            <w:r w:rsidRPr="00854F5F">
              <w:rPr>
                <w:rFonts w:eastAsia="Times New Roman"/>
                <w:b/>
                <w:color w:val="FFFFFF" w:themeColor="background1"/>
                <w:sz w:val="22"/>
                <w:szCs w:val="22"/>
              </w:rPr>
              <w:t>Amount</w:t>
            </w:r>
          </w:p>
          <w:p w14:paraId="6ECFAC82" w14:textId="06450B1A" w:rsidR="704C2DC4" w:rsidRPr="00854F5F" w:rsidRDefault="704C2DC4" w:rsidP="001D7364">
            <w:pPr>
              <w:keepNext/>
              <w:jc w:val="center"/>
              <w:rPr>
                <w:rFonts w:eastAsia="Times New Roman"/>
                <w:b/>
                <w:color w:val="FFFFFF" w:themeColor="background1"/>
                <w:sz w:val="22"/>
                <w:szCs w:val="22"/>
              </w:rPr>
            </w:pPr>
            <w:r w:rsidRPr="00854F5F">
              <w:rPr>
                <w:rFonts w:eastAsia="Times New Roman"/>
                <w:b/>
                <w:color w:val="FFFFFF" w:themeColor="background1"/>
                <w:sz w:val="22"/>
                <w:szCs w:val="22"/>
              </w:rPr>
              <w:t xml:space="preserve"> (</w:t>
            </w:r>
            <w:r w:rsidR="00051A2D" w:rsidRPr="00854F5F">
              <w:rPr>
                <w:rFonts w:eastAsia="Times New Roman"/>
                <w:b/>
                <w:color w:val="FFFFFF" w:themeColor="background1"/>
                <w:sz w:val="22"/>
                <w:szCs w:val="22"/>
              </w:rPr>
              <w:t xml:space="preserve">in </w:t>
            </w:r>
            <w:r w:rsidRPr="00854F5F">
              <w:rPr>
                <w:rFonts w:eastAsia="Times New Roman"/>
                <w:b/>
                <w:i/>
                <w:color w:val="FFFFFF" w:themeColor="background1"/>
                <w:sz w:val="22"/>
                <w:szCs w:val="22"/>
              </w:rPr>
              <w:t>millions</w:t>
            </w:r>
            <w:r w:rsidRPr="00854F5F">
              <w:rPr>
                <w:rFonts w:eastAsia="Times New Roman"/>
                <w:b/>
                <w:color w:val="FFFFFF" w:themeColor="background1"/>
                <w:sz w:val="22"/>
                <w:szCs w:val="22"/>
              </w:rPr>
              <w:t>)</w:t>
            </w:r>
          </w:p>
        </w:tc>
      </w:tr>
      <w:tr w:rsidR="704C2DC4" w14:paraId="0122E99B" w14:textId="77777777" w:rsidTr="005874E0">
        <w:trPr>
          <w:trHeight w:val="420"/>
        </w:trPr>
        <w:tc>
          <w:tcPr>
            <w:tcW w:w="3870" w:type="dxa"/>
            <w:tcBorders>
              <w:top w:val="single" w:sz="8" w:space="0" w:color="auto"/>
              <w:left w:val="single" w:sz="8" w:space="0" w:color="auto"/>
              <w:bottom w:val="single" w:sz="8" w:space="0" w:color="auto"/>
              <w:right w:val="single" w:sz="8" w:space="0" w:color="auto"/>
            </w:tcBorders>
            <w:shd w:val="clear" w:color="auto" w:fill="B4C6E7"/>
            <w:tcMar>
              <w:left w:w="108" w:type="dxa"/>
              <w:right w:w="108" w:type="dxa"/>
            </w:tcMar>
            <w:vAlign w:val="center"/>
          </w:tcPr>
          <w:p w14:paraId="2C835518" w14:textId="21C7A8A2" w:rsidR="704C2DC4" w:rsidRPr="00146755" w:rsidRDefault="00010B73" w:rsidP="001D7364">
            <w:pPr>
              <w:keepNext/>
              <w:rPr>
                <w:rFonts w:eastAsia="Times New Roman"/>
                <w:color w:val="000000" w:themeColor="text1"/>
                <w:sz w:val="24"/>
              </w:rPr>
            </w:pPr>
            <w:r>
              <w:rPr>
                <w:rFonts w:eastAsia="Times New Roman"/>
                <w:color w:val="000000" w:themeColor="text1"/>
                <w:sz w:val="24"/>
              </w:rPr>
              <w:t>Stipulated</w:t>
            </w:r>
            <w:r w:rsidR="27B1D655" w:rsidRPr="2789988A">
              <w:rPr>
                <w:rFonts w:eastAsia="Times New Roman"/>
                <w:color w:val="000000" w:themeColor="text1"/>
                <w:sz w:val="24"/>
              </w:rPr>
              <w:t xml:space="preserve"> Amount</w:t>
            </w:r>
          </w:p>
        </w:tc>
        <w:tc>
          <w:tcPr>
            <w:tcW w:w="2160" w:type="dxa"/>
            <w:tcBorders>
              <w:top w:val="single" w:sz="8" w:space="0" w:color="auto"/>
              <w:left w:val="single" w:sz="8" w:space="0" w:color="auto"/>
              <w:bottom w:val="single" w:sz="8" w:space="0" w:color="auto"/>
              <w:right w:val="single" w:sz="8" w:space="0" w:color="auto"/>
            </w:tcBorders>
            <w:shd w:val="clear" w:color="auto" w:fill="B4C6E7"/>
            <w:tcMar>
              <w:left w:w="108" w:type="dxa"/>
              <w:right w:w="108" w:type="dxa"/>
            </w:tcMar>
            <w:vAlign w:val="center"/>
          </w:tcPr>
          <w:p w14:paraId="73360A29" w14:textId="3B1E4ECA" w:rsidR="704C2DC4" w:rsidRPr="00146755" w:rsidRDefault="704C2DC4" w:rsidP="001D7364">
            <w:pPr>
              <w:keepNext/>
              <w:jc w:val="center"/>
              <w:rPr>
                <w:rFonts w:eastAsia="Times New Roman"/>
                <w:color w:val="000000" w:themeColor="text1"/>
                <w:sz w:val="24"/>
              </w:rPr>
            </w:pPr>
            <w:r w:rsidRPr="00146755">
              <w:rPr>
                <w:rFonts w:eastAsia="Times New Roman"/>
                <w:color w:val="000000" w:themeColor="text1"/>
                <w:sz w:val="24"/>
              </w:rPr>
              <w:t>$</w:t>
            </w:r>
            <w:r w:rsidR="009D01F7">
              <w:rPr>
                <w:rFonts w:eastAsia="Times New Roman"/>
                <w:color w:val="000000" w:themeColor="text1"/>
                <w:sz w:val="24"/>
              </w:rPr>
              <w:t>7</w:t>
            </w:r>
            <w:r w:rsidRPr="00146755">
              <w:rPr>
                <w:rFonts w:eastAsia="Times New Roman"/>
                <w:color w:val="000000" w:themeColor="text1"/>
                <w:sz w:val="24"/>
              </w:rPr>
              <w:t>,</w:t>
            </w:r>
            <w:r w:rsidR="009D01F7">
              <w:rPr>
                <w:rFonts w:eastAsia="Times New Roman"/>
                <w:color w:val="000000" w:themeColor="text1"/>
                <w:sz w:val="24"/>
              </w:rPr>
              <w:t>562</w:t>
            </w:r>
          </w:p>
        </w:tc>
      </w:tr>
      <w:tr w:rsidR="704C2DC4" w14:paraId="38FB615F" w14:textId="77777777" w:rsidTr="005874E0">
        <w:trPr>
          <w:trHeight w:val="375"/>
        </w:trPr>
        <w:tc>
          <w:tcPr>
            <w:tcW w:w="3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5BE6D8" w14:textId="14C1706E" w:rsidR="704C2DC4" w:rsidRPr="00146755" w:rsidRDefault="001B6E1C" w:rsidP="001D7364">
            <w:pPr>
              <w:keepNext/>
              <w:rPr>
                <w:rFonts w:eastAsia="Times New Roman"/>
                <w:sz w:val="24"/>
              </w:rPr>
            </w:pPr>
            <w:r w:rsidRPr="7C433B1A">
              <w:rPr>
                <w:rFonts w:eastAsia="Times New Roman"/>
                <w:color w:val="000000" w:themeColor="text1"/>
                <w:sz w:val="24"/>
              </w:rPr>
              <w:t xml:space="preserve">Presumed Prudent in SIR Final </w:t>
            </w:r>
            <w:r w:rsidRPr="7763180F">
              <w:rPr>
                <w:rFonts w:eastAsia="Times New Roman"/>
                <w:color w:val="000000" w:themeColor="text1"/>
                <w:sz w:val="24"/>
              </w:rPr>
              <w:t>Order</w:t>
            </w:r>
            <w:r w:rsidRPr="17386395">
              <w:rPr>
                <w:rFonts w:eastAsia="Times New Roman"/>
                <w:sz w:val="24"/>
              </w:rPr>
              <w:t xml:space="preserve"> </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41CF6" w14:textId="5C02E5A8" w:rsidR="704C2DC4" w:rsidRPr="00146755" w:rsidRDefault="00236E6F" w:rsidP="001D7364">
            <w:pPr>
              <w:keepNext/>
              <w:jc w:val="center"/>
              <w:rPr>
                <w:rFonts w:eastAsia="Times New Roman"/>
                <w:sz w:val="24"/>
              </w:rPr>
            </w:pPr>
            <w:r w:rsidRPr="000F746D">
              <w:rPr>
                <w:rFonts w:eastAsia="Times New Roman"/>
                <w:sz w:val="24"/>
              </w:rPr>
              <w:t xml:space="preserve"> </w:t>
            </w:r>
            <w:r w:rsidR="007B21AE">
              <w:rPr>
                <w:rFonts w:eastAsia="Times New Roman"/>
                <w:sz w:val="24"/>
              </w:rPr>
              <w:t>(</w:t>
            </w:r>
            <w:r w:rsidRPr="000F746D">
              <w:rPr>
                <w:rFonts w:eastAsia="Times New Roman"/>
                <w:sz w:val="24"/>
              </w:rPr>
              <w:t>$5,680</w:t>
            </w:r>
            <w:r w:rsidR="007B21AE">
              <w:rPr>
                <w:rFonts w:eastAsia="Times New Roman"/>
                <w:sz w:val="24"/>
              </w:rPr>
              <w:t>)</w:t>
            </w:r>
          </w:p>
        </w:tc>
      </w:tr>
      <w:tr w:rsidR="704C2DC4" w14:paraId="6F0AB3AD" w14:textId="77777777" w:rsidTr="005874E0">
        <w:trPr>
          <w:trHeight w:val="390"/>
        </w:trPr>
        <w:tc>
          <w:tcPr>
            <w:tcW w:w="3870" w:type="dxa"/>
            <w:tcBorders>
              <w:top w:val="single" w:sz="8" w:space="0" w:color="auto"/>
              <w:left w:val="single" w:sz="8" w:space="0" w:color="auto"/>
              <w:bottom w:val="single" w:sz="8" w:space="0" w:color="auto"/>
              <w:right w:val="single" w:sz="8" w:space="0" w:color="auto"/>
            </w:tcBorders>
            <w:shd w:val="clear" w:color="auto" w:fill="B4C6E7"/>
            <w:tcMar>
              <w:left w:w="108" w:type="dxa"/>
              <w:right w:w="108" w:type="dxa"/>
            </w:tcMar>
            <w:vAlign w:val="center"/>
          </w:tcPr>
          <w:p w14:paraId="74C9692C" w14:textId="6E45AB53" w:rsidR="704C2DC4" w:rsidRPr="00146755" w:rsidRDefault="00D667FD" w:rsidP="001D7364">
            <w:pPr>
              <w:keepNext/>
              <w:rPr>
                <w:rFonts w:eastAsia="Times New Roman"/>
                <w:color w:val="000000" w:themeColor="text1"/>
                <w:sz w:val="24"/>
              </w:rPr>
            </w:pPr>
            <w:r w:rsidRPr="17386395">
              <w:rPr>
                <w:rFonts w:eastAsia="Times New Roman"/>
                <w:sz w:val="24"/>
              </w:rPr>
              <w:t>VCM 19 – CM Fees</w:t>
            </w:r>
          </w:p>
        </w:tc>
        <w:tc>
          <w:tcPr>
            <w:tcW w:w="2160" w:type="dxa"/>
            <w:tcBorders>
              <w:top w:val="single" w:sz="8" w:space="0" w:color="auto"/>
              <w:left w:val="single" w:sz="8" w:space="0" w:color="auto"/>
              <w:bottom w:val="single" w:sz="8" w:space="0" w:color="auto"/>
              <w:right w:val="single" w:sz="8" w:space="0" w:color="auto"/>
            </w:tcBorders>
            <w:shd w:val="clear" w:color="auto" w:fill="B4C6E7"/>
            <w:tcMar>
              <w:left w:w="108" w:type="dxa"/>
              <w:right w:w="108" w:type="dxa"/>
            </w:tcMar>
            <w:vAlign w:val="center"/>
          </w:tcPr>
          <w:p w14:paraId="32CC8E1B" w14:textId="0139E40D" w:rsidR="704C2DC4" w:rsidRPr="00146755" w:rsidRDefault="704C2DC4" w:rsidP="001D7364">
            <w:pPr>
              <w:keepNext/>
              <w:jc w:val="center"/>
              <w:rPr>
                <w:rFonts w:eastAsia="Times New Roman"/>
                <w:sz w:val="24"/>
              </w:rPr>
            </w:pPr>
            <w:r w:rsidRPr="00146755">
              <w:rPr>
                <w:rFonts w:eastAsia="Times New Roman"/>
                <w:sz w:val="24"/>
              </w:rPr>
              <w:t xml:space="preserve"> </w:t>
            </w:r>
            <w:r w:rsidR="00236E6F" w:rsidRPr="000F746D">
              <w:rPr>
                <w:rFonts w:eastAsia="Times New Roman"/>
                <w:sz w:val="24"/>
              </w:rPr>
              <w:t>($33)</w:t>
            </w:r>
          </w:p>
        </w:tc>
      </w:tr>
      <w:tr w:rsidR="704C2DC4" w14:paraId="4F6E2A81" w14:textId="77777777" w:rsidTr="005874E0">
        <w:trPr>
          <w:trHeight w:val="390"/>
        </w:trPr>
        <w:tc>
          <w:tcPr>
            <w:tcW w:w="3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C8E3F" w14:textId="60BC1D5F" w:rsidR="704C2DC4" w:rsidRPr="00146755" w:rsidRDefault="704C2DC4" w:rsidP="001D7364">
            <w:pPr>
              <w:keepNext/>
              <w:rPr>
                <w:rFonts w:eastAsia="Times New Roman"/>
                <w:b/>
                <w:color w:val="000000" w:themeColor="text1"/>
                <w:sz w:val="24"/>
              </w:rPr>
            </w:pPr>
            <w:r w:rsidRPr="00146755">
              <w:rPr>
                <w:rFonts w:eastAsia="Times New Roman"/>
                <w:b/>
                <w:color w:val="000000" w:themeColor="text1"/>
                <w:sz w:val="24"/>
              </w:rPr>
              <w:t>Total Remaining</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CF1198" w14:textId="6F62C0ED" w:rsidR="704C2DC4" w:rsidRPr="00146755" w:rsidRDefault="704C2DC4" w:rsidP="001D7364">
            <w:pPr>
              <w:keepNext/>
              <w:jc w:val="center"/>
              <w:rPr>
                <w:rFonts w:eastAsia="Times New Roman"/>
                <w:b/>
                <w:sz w:val="24"/>
              </w:rPr>
            </w:pPr>
            <w:r w:rsidRPr="00146755">
              <w:rPr>
                <w:rFonts w:eastAsia="Times New Roman"/>
                <w:b/>
                <w:sz w:val="24"/>
              </w:rPr>
              <w:t>$</w:t>
            </w:r>
            <w:r w:rsidR="007B21AE">
              <w:rPr>
                <w:rFonts w:eastAsia="Times New Roman"/>
                <w:b/>
                <w:sz w:val="24"/>
              </w:rPr>
              <w:t>1,</w:t>
            </w:r>
            <w:r w:rsidR="00146755">
              <w:rPr>
                <w:rFonts w:eastAsia="Times New Roman"/>
                <w:b/>
                <w:sz w:val="24"/>
              </w:rPr>
              <w:t>849</w:t>
            </w:r>
          </w:p>
        </w:tc>
      </w:tr>
    </w:tbl>
    <w:p w14:paraId="761EAB9D" w14:textId="6949AC3D" w:rsidR="00DC6E8E" w:rsidRPr="002E0266" w:rsidRDefault="00DC6E8E" w:rsidP="001D7364">
      <w:pPr>
        <w:spacing w:before="360" w:after="240" w:line="360" w:lineRule="auto"/>
        <w:ind w:left="720" w:hanging="720"/>
        <w:jc w:val="both"/>
        <w:rPr>
          <w:b/>
          <w:bCs/>
        </w:rPr>
      </w:pPr>
      <w:r w:rsidRPr="002E0266">
        <w:rPr>
          <w:b/>
          <w:bCs/>
        </w:rPr>
        <w:t>Q.</w:t>
      </w:r>
      <w:r w:rsidRPr="002E0266">
        <w:rPr>
          <w:b/>
          <w:bCs/>
        </w:rPr>
        <w:tab/>
        <w:t xml:space="preserve">WHAT COSTS ARE INCLUDED IN THE AMOUNTS GREATER THAN </w:t>
      </w:r>
      <w:r w:rsidR="00341B93">
        <w:rPr>
          <w:b/>
          <w:bCs/>
        </w:rPr>
        <w:t xml:space="preserve">THE </w:t>
      </w:r>
      <w:r w:rsidRPr="002E0266">
        <w:rPr>
          <w:b/>
          <w:bCs/>
        </w:rPr>
        <w:t>$5.68 BILLION PRESUMED PRUDENT AND UP TO THE $</w:t>
      </w:r>
      <w:r w:rsidR="00341B93">
        <w:rPr>
          <w:b/>
          <w:bCs/>
        </w:rPr>
        <w:t>8.826 BILLION</w:t>
      </w:r>
      <w:r w:rsidRPr="002E0266">
        <w:rPr>
          <w:b/>
          <w:bCs/>
        </w:rPr>
        <w:t xml:space="preserve"> </w:t>
      </w:r>
      <w:r w:rsidR="00341B93">
        <w:rPr>
          <w:b/>
          <w:bCs/>
        </w:rPr>
        <w:t>THE COMPANY BELIEVES IS RECOVERABLE FROM CUSTOMERS</w:t>
      </w:r>
      <w:r w:rsidRPr="002E0266">
        <w:rPr>
          <w:b/>
          <w:bCs/>
        </w:rPr>
        <w:t>?</w:t>
      </w:r>
    </w:p>
    <w:p w14:paraId="11AAA09F" w14:textId="78CA4314" w:rsidR="00DC6E8E" w:rsidRDefault="00DC6E8E" w:rsidP="00DC6E8E">
      <w:pPr>
        <w:spacing w:before="240" w:after="240" w:line="360" w:lineRule="auto"/>
        <w:ind w:left="720" w:hanging="720"/>
        <w:jc w:val="both"/>
      </w:pPr>
      <w:r>
        <w:t>A.</w:t>
      </w:r>
      <w:r>
        <w:tab/>
      </w:r>
      <w:r w:rsidR="00341B93">
        <w:t xml:space="preserve">The </w:t>
      </w:r>
      <w:r w:rsidR="00DD0DEB">
        <w:t>construction and capital</w:t>
      </w:r>
      <w:r w:rsidR="001442B9">
        <w:t xml:space="preserve"> cost between $5.68 billion and $8.8</w:t>
      </w:r>
      <w:r w:rsidR="00505732">
        <w:t>26</w:t>
      </w:r>
      <w:r w:rsidR="001442B9">
        <w:t xml:space="preserve"> billion were generally incurred </w:t>
      </w:r>
      <w:r w:rsidR="00964D1D">
        <w:t xml:space="preserve">after the </w:t>
      </w:r>
      <w:r w:rsidR="00D86771">
        <w:t xml:space="preserve">WEC Bankruptcy and </w:t>
      </w:r>
      <w:r w:rsidR="00964D1D">
        <w:t>SIR Final Order (2016) through</w:t>
      </w:r>
      <w:r w:rsidR="00505732">
        <w:t xml:space="preserve"> the VCM 27 reporting period (June 2022). </w:t>
      </w:r>
      <w:r w:rsidR="005C0EA1">
        <w:t>These costs include the Project</w:t>
      </w:r>
      <w:r w:rsidR="001B126C">
        <w:t>’</w:t>
      </w:r>
      <w:r w:rsidR="005C0EA1">
        <w:t xml:space="preserve">s transition following the WEC Bankruptcy, </w:t>
      </w:r>
      <w:r w:rsidR="00B244EB">
        <w:t xml:space="preserve">loss of the protection of a </w:t>
      </w:r>
      <w:r w:rsidR="005C0EA1">
        <w:t>fixed price contract, the reforecasting of the cost to complete, Southern Nuclear</w:t>
      </w:r>
      <w:r w:rsidR="001B126C">
        <w:t>’</w:t>
      </w:r>
      <w:r w:rsidR="005C0EA1">
        <w:t>s management of a new primary contractor and subcontractors on the Project</w:t>
      </w:r>
      <w:r w:rsidR="009807E7">
        <w:t>, and completion of construction on Unit 3</w:t>
      </w:r>
      <w:r w:rsidR="005C0EA1">
        <w:t>.</w:t>
      </w:r>
      <w:r w:rsidR="008405F9">
        <w:t xml:space="preserve"> </w:t>
      </w:r>
    </w:p>
    <w:p w14:paraId="72FDE356" w14:textId="2B0561F3" w:rsidR="00F74283" w:rsidRPr="00F74283" w:rsidRDefault="00F74283" w:rsidP="00AF08FA">
      <w:pPr>
        <w:keepNext/>
        <w:spacing w:before="240" w:after="240" w:line="360" w:lineRule="auto"/>
        <w:ind w:left="720" w:hanging="720"/>
        <w:jc w:val="both"/>
        <w:rPr>
          <w:i/>
          <w:iCs/>
        </w:rPr>
      </w:pPr>
      <w:r w:rsidRPr="00514334">
        <w:rPr>
          <w:i/>
          <w:iCs/>
        </w:rPr>
        <w:t xml:space="preserve">Reasonableness and Prudence of Project Decisions </w:t>
      </w:r>
      <w:r w:rsidR="00057077">
        <w:rPr>
          <w:i/>
          <w:iCs/>
        </w:rPr>
        <w:t>at Issue</w:t>
      </w:r>
    </w:p>
    <w:p w14:paraId="59E0AD88" w14:textId="60F90603" w:rsidR="00DC6E8E" w:rsidRDefault="00DC6E8E" w:rsidP="00AF08FA">
      <w:pPr>
        <w:keepNext/>
        <w:spacing w:before="240" w:after="240" w:line="360" w:lineRule="auto"/>
        <w:ind w:left="720" w:hanging="720"/>
        <w:jc w:val="both"/>
        <w:rPr>
          <w:b/>
          <w:bCs/>
        </w:rPr>
      </w:pPr>
      <w:r w:rsidRPr="002E0266">
        <w:rPr>
          <w:b/>
          <w:bCs/>
        </w:rPr>
        <w:t>Q.</w:t>
      </w:r>
      <w:r w:rsidRPr="002E0266">
        <w:rPr>
          <w:b/>
          <w:bCs/>
        </w:rPr>
        <w:tab/>
        <w:t>WHAT</w:t>
      </w:r>
      <w:r>
        <w:rPr>
          <w:b/>
          <w:bCs/>
        </w:rPr>
        <w:t xml:space="preserve"> ACTIONS AND </w:t>
      </w:r>
      <w:r w:rsidRPr="002E0266">
        <w:rPr>
          <w:b/>
          <w:bCs/>
        </w:rPr>
        <w:t xml:space="preserve">DECISIONS ARE </w:t>
      </w:r>
      <w:r w:rsidR="00621213">
        <w:rPr>
          <w:b/>
          <w:bCs/>
        </w:rPr>
        <w:t xml:space="preserve">REFLECTED </w:t>
      </w:r>
      <w:r w:rsidRPr="002E0266">
        <w:rPr>
          <w:b/>
          <w:bCs/>
        </w:rPr>
        <w:t xml:space="preserve">IN THE COSTS INCURRED BETWEEN THE SIR FINAL ORDER </w:t>
      </w:r>
      <w:r w:rsidR="00CB309F">
        <w:rPr>
          <w:b/>
          <w:bCs/>
        </w:rPr>
        <w:t xml:space="preserve">IN </w:t>
      </w:r>
      <w:r w:rsidR="005129E0">
        <w:rPr>
          <w:b/>
          <w:bCs/>
        </w:rPr>
        <w:t xml:space="preserve">2016 </w:t>
      </w:r>
      <w:r w:rsidRPr="002E0266">
        <w:rPr>
          <w:b/>
          <w:bCs/>
        </w:rPr>
        <w:t xml:space="preserve">AND </w:t>
      </w:r>
      <w:r w:rsidR="009807E7">
        <w:rPr>
          <w:b/>
          <w:bCs/>
        </w:rPr>
        <w:t>MID-</w:t>
      </w:r>
      <w:r w:rsidRPr="002E0266">
        <w:rPr>
          <w:b/>
          <w:bCs/>
        </w:rPr>
        <w:t>202</w:t>
      </w:r>
      <w:r w:rsidR="009807E7">
        <w:rPr>
          <w:b/>
          <w:bCs/>
        </w:rPr>
        <w:t>2</w:t>
      </w:r>
      <w:r w:rsidRPr="002E0266">
        <w:rPr>
          <w:b/>
          <w:bCs/>
        </w:rPr>
        <w:t>?</w:t>
      </w:r>
      <w:r w:rsidR="008405F9">
        <w:rPr>
          <w:b/>
          <w:bCs/>
        </w:rPr>
        <w:t xml:space="preserve"> </w:t>
      </w:r>
    </w:p>
    <w:p w14:paraId="1B6E15F9" w14:textId="0C1A2295" w:rsidR="00DC6E8E" w:rsidRDefault="00DC6E8E" w:rsidP="00AF08FA">
      <w:pPr>
        <w:keepNext/>
        <w:spacing w:before="240" w:after="240" w:line="360" w:lineRule="auto"/>
        <w:ind w:left="720" w:hanging="720"/>
        <w:jc w:val="both"/>
      </w:pPr>
      <w:r>
        <w:t>A.</w:t>
      </w:r>
      <w:r>
        <w:tab/>
        <w:t>Several of the Company</w:t>
      </w:r>
      <w:r w:rsidR="001B126C">
        <w:t>’</w:t>
      </w:r>
      <w:r>
        <w:t xml:space="preserve">s decisions that have received significant attention from </w:t>
      </w:r>
      <w:r w:rsidR="008C6568">
        <w:t xml:space="preserve">PIA </w:t>
      </w:r>
      <w:r>
        <w:t xml:space="preserve">Staff and intervenors in the VCM proceedings were made </w:t>
      </w:r>
      <w:r w:rsidR="00236471">
        <w:t>following the SIR Final Order in</w:t>
      </w:r>
      <w:r w:rsidR="005129E0">
        <w:t xml:space="preserve"> 2016 and</w:t>
      </w:r>
      <w:r w:rsidR="00236471">
        <w:t xml:space="preserve"> when the Company spent</w:t>
      </w:r>
      <w:r w:rsidR="00FF2085">
        <w:t xml:space="preserve"> up to $8.826 billion in</w:t>
      </w:r>
      <w:r w:rsidR="005129E0">
        <w:t xml:space="preserve"> June 2022</w:t>
      </w:r>
      <w:r>
        <w:t>, including but not limited to: tracking performance using CPI rather than adjusting unit rates</w:t>
      </w:r>
      <w:r w:rsidR="00FA7DA9">
        <w:t xml:space="preserve">; </w:t>
      </w:r>
      <w:r>
        <w:t>managing to an aggressive site work plan</w:t>
      </w:r>
      <w:r w:rsidR="009D609A">
        <w:t xml:space="preserve">; </w:t>
      </w:r>
      <w:r w:rsidR="00FF2085">
        <w:t>and</w:t>
      </w:r>
      <w:r>
        <w:t xml:space="preserve"> implementing a partial release to test approach. </w:t>
      </w:r>
    </w:p>
    <w:p w14:paraId="694DA395" w14:textId="1228B513" w:rsidR="00DC6E8E" w:rsidRPr="00341B93" w:rsidRDefault="00DC6E8E" w:rsidP="00DC6E8E">
      <w:pPr>
        <w:spacing w:before="240" w:after="240" w:line="360" w:lineRule="auto"/>
        <w:ind w:left="720" w:hanging="720"/>
        <w:jc w:val="both"/>
        <w:rPr>
          <w:b/>
          <w:bCs/>
        </w:rPr>
      </w:pPr>
      <w:r w:rsidRPr="00341B93">
        <w:rPr>
          <w:b/>
          <w:bCs/>
        </w:rPr>
        <w:t>Q.</w:t>
      </w:r>
      <w:r w:rsidRPr="00341B93">
        <w:rPr>
          <w:b/>
          <w:bCs/>
        </w:rPr>
        <w:tab/>
      </w:r>
      <w:r w:rsidR="00724B94">
        <w:rPr>
          <w:b/>
          <w:bCs/>
        </w:rPr>
        <w:t xml:space="preserve">WHY DID THE COMPANY </w:t>
      </w:r>
      <w:r w:rsidR="007C112A">
        <w:rPr>
          <w:b/>
          <w:bCs/>
        </w:rPr>
        <w:t xml:space="preserve">ELECT TO </w:t>
      </w:r>
      <w:r w:rsidR="007C4FB6">
        <w:rPr>
          <w:b/>
          <w:bCs/>
        </w:rPr>
        <w:t>USE CPI TO TRACK PERFORMANCE RATHER THAN UPDATING UNIT RATES</w:t>
      </w:r>
      <w:r w:rsidR="005B522D">
        <w:rPr>
          <w:b/>
          <w:bCs/>
        </w:rPr>
        <w:t xml:space="preserve"> WHEN IT TOOK OVER CONTROL OF PROJECT CONSTRUCTION?</w:t>
      </w:r>
    </w:p>
    <w:p w14:paraId="628978D2" w14:textId="0E00620B" w:rsidR="00DC6E8E" w:rsidRDefault="00DC6E8E" w:rsidP="00DC6E8E">
      <w:pPr>
        <w:spacing w:before="240" w:after="240" w:line="360" w:lineRule="auto"/>
        <w:ind w:left="720" w:hanging="720"/>
        <w:jc w:val="both"/>
      </w:pPr>
      <w:r>
        <w:t>A.</w:t>
      </w:r>
      <w:r w:rsidR="005D4F04">
        <w:tab/>
      </w:r>
      <w:r w:rsidR="003630BE">
        <w:t>F</w:t>
      </w:r>
      <w:r w:rsidR="00FF2085">
        <w:t xml:space="preserve">ollowing </w:t>
      </w:r>
      <w:r w:rsidR="00BE1621">
        <w:t>Southern Nuclear</w:t>
      </w:r>
      <w:r w:rsidR="001B126C">
        <w:t>’</w:t>
      </w:r>
      <w:r w:rsidR="00BE1621">
        <w:t>s trans</w:t>
      </w:r>
      <w:r w:rsidR="006D50EE">
        <w:t>ition</w:t>
      </w:r>
      <w:r w:rsidR="00BE1621">
        <w:t xml:space="preserve"> </w:t>
      </w:r>
      <w:r w:rsidR="00087ECC">
        <w:t>after VCM 17</w:t>
      </w:r>
      <w:r w:rsidR="0086164D">
        <w:t xml:space="preserve">, </w:t>
      </w:r>
      <w:r w:rsidR="002E647C">
        <w:t>t</w:t>
      </w:r>
      <w:r w:rsidR="006A5BA3">
        <w:t xml:space="preserve">he </w:t>
      </w:r>
      <w:r w:rsidR="000B579E">
        <w:t>C</w:t>
      </w:r>
      <w:r w:rsidR="006A5BA3">
        <w:t>ompany elected to maintain the</w:t>
      </w:r>
      <w:r w:rsidR="002E647C">
        <w:t xml:space="preserve"> unit rates </w:t>
      </w:r>
      <w:r w:rsidR="00D0686F">
        <w:t>from the</w:t>
      </w:r>
      <w:r w:rsidR="002E647C">
        <w:t>ir</w:t>
      </w:r>
      <w:r w:rsidR="00D0686F">
        <w:t xml:space="preserve"> initial </w:t>
      </w:r>
      <w:r w:rsidR="002E647C">
        <w:t xml:space="preserve">inclusion </w:t>
      </w:r>
      <w:r w:rsidR="00D0686F">
        <w:t xml:space="preserve">in the project control tools to establish a consistent baseline from which to measure performance. </w:t>
      </w:r>
      <w:r w:rsidR="00F310E0">
        <w:t xml:space="preserve">If Southern Nuclear had adjusted unit rates over time, </w:t>
      </w:r>
      <w:r w:rsidR="00605747">
        <w:t>there would not be a consistent baseline of performance</w:t>
      </w:r>
      <w:r w:rsidR="00622B4A">
        <w:t xml:space="preserve">, which would </w:t>
      </w:r>
      <w:r w:rsidR="585504D1">
        <w:t>decrease</w:t>
      </w:r>
      <w:r w:rsidR="000B67A8">
        <w:t xml:space="preserve"> </w:t>
      </w:r>
      <w:r w:rsidR="00503EE6">
        <w:t xml:space="preserve">the </w:t>
      </w:r>
      <w:r w:rsidR="6F6033B5">
        <w:t>value</w:t>
      </w:r>
      <w:r w:rsidR="00503EE6">
        <w:t xml:space="preserve"> of </w:t>
      </w:r>
      <w:r w:rsidR="000B67A8">
        <w:t>real</w:t>
      </w:r>
      <w:r w:rsidR="00CC627C">
        <w:t>-</w:t>
      </w:r>
      <w:r w:rsidR="000B67A8">
        <w:t xml:space="preserve">time performance indicators. Rather than adjust unit rates, the Company measured performance using </w:t>
      </w:r>
      <w:r w:rsidR="001D4F5D">
        <w:t xml:space="preserve">actual </w:t>
      </w:r>
      <w:r w:rsidR="002642EB">
        <w:t xml:space="preserve">experienced CPIs in project management, manpower loading, and schedule adjustments. </w:t>
      </w:r>
    </w:p>
    <w:p w14:paraId="4EED0D7E" w14:textId="7BEF8EFF" w:rsidR="00DC6E8E" w:rsidRPr="00341B93" w:rsidRDefault="00DC6E8E" w:rsidP="00DC6E8E">
      <w:pPr>
        <w:spacing w:before="240" w:after="240" w:line="360" w:lineRule="auto"/>
        <w:ind w:left="720" w:hanging="720"/>
        <w:jc w:val="both"/>
        <w:rPr>
          <w:b/>
          <w:bCs/>
        </w:rPr>
      </w:pPr>
      <w:r w:rsidRPr="00341B93">
        <w:rPr>
          <w:b/>
          <w:bCs/>
        </w:rPr>
        <w:t>Q.</w:t>
      </w:r>
      <w:r w:rsidRPr="00341B93">
        <w:rPr>
          <w:b/>
          <w:bCs/>
        </w:rPr>
        <w:tab/>
      </w:r>
      <w:r w:rsidR="00C27B3E">
        <w:rPr>
          <w:b/>
          <w:bCs/>
        </w:rPr>
        <w:t xml:space="preserve">WHY DID THE COMPANY </w:t>
      </w:r>
      <w:r w:rsidR="00375FE6">
        <w:rPr>
          <w:b/>
          <w:bCs/>
        </w:rPr>
        <w:t xml:space="preserve">CHOOSE TO MANAGE TO AN AGGRESSIVE SITE WORK PLAN? </w:t>
      </w:r>
    </w:p>
    <w:p w14:paraId="772B889E" w14:textId="2C94BF87" w:rsidR="00DC6E8E" w:rsidRPr="006F0BAF" w:rsidRDefault="00DC6E8E" w:rsidP="00DC6E8E">
      <w:pPr>
        <w:spacing w:before="240" w:after="240" w:line="360" w:lineRule="auto"/>
        <w:ind w:left="720" w:hanging="720"/>
        <w:jc w:val="both"/>
      </w:pPr>
      <w:r>
        <w:t>A.</w:t>
      </w:r>
      <w:r w:rsidR="004E62F5">
        <w:tab/>
      </w:r>
      <w:r w:rsidR="00465715">
        <w:t xml:space="preserve">When Southern Nuclear took over Project </w:t>
      </w:r>
      <w:r w:rsidR="007D0DE1">
        <w:t xml:space="preserve">construction </w:t>
      </w:r>
      <w:r w:rsidR="00465715">
        <w:t xml:space="preserve">after the WEC Bankruptcy, </w:t>
      </w:r>
      <w:r w:rsidR="0081147B">
        <w:t xml:space="preserve">the Company </w:t>
      </w:r>
      <w:r w:rsidR="00FE2619">
        <w:t xml:space="preserve">re-estimated </w:t>
      </w:r>
      <w:r w:rsidR="009C6244">
        <w:t>the Project</w:t>
      </w:r>
      <w:r w:rsidR="00FE2619">
        <w:t xml:space="preserve"> cost and schedule</w:t>
      </w:r>
      <w:r w:rsidR="008515C1">
        <w:t xml:space="preserve">. </w:t>
      </w:r>
      <w:r w:rsidR="0046278E">
        <w:t xml:space="preserve">The Company understood </w:t>
      </w:r>
      <w:r w:rsidR="008515C1">
        <w:t xml:space="preserve">the need for a schedule to be realistic and achievable, </w:t>
      </w:r>
      <w:r w:rsidR="003D67E3">
        <w:t xml:space="preserve">and </w:t>
      </w:r>
      <w:r w:rsidR="00F84ACD">
        <w:t>the</w:t>
      </w:r>
      <w:r w:rsidR="009C6244">
        <w:t xml:space="preserve"> Company was </w:t>
      </w:r>
      <w:r w:rsidR="00F42002">
        <w:t xml:space="preserve">cognizant of the fact that </w:t>
      </w:r>
      <w:r w:rsidR="00652890">
        <w:t xml:space="preserve">often, </w:t>
      </w:r>
      <w:r w:rsidR="00F42002">
        <w:t xml:space="preserve">if you give </w:t>
      </w:r>
      <w:r w:rsidR="008B574A">
        <w:t xml:space="preserve">a team more time to do something, they are </w:t>
      </w:r>
      <w:r w:rsidR="00652890">
        <w:t xml:space="preserve">likely </w:t>
      </w:r>
      <w:r w:rsidR="008B574A">
        <w:t xml:space="preserve">to </w:t>
      </w:r>
      <w:r w:rsidR="00585745">
        <w:t>use all the</w:t>
      </w:r>
      <w:r w:rsidR="66DA2D80">
        <w:t>ir</w:t>
      </w:r>
      <w:r w:rsidR="00585745">
        <w:t xml:space="preserve"> </w:t>
      </w:r>
      <w:r w:rsidR="006B3095">
        <w:t>allotted</w:t>
      </w:r>
      <w:r w:rsidR="00585745">
        <w:t xml:space="preserve"> time. </w:t>
      </w:r>
      <w:r w:rsidR="003062AA" w:rsidRPr="0099499A">
        <w:t>After assuming control of the planning process, and to improve production and provide schedule margin, Southern Nuclear planned to complete the Project ahead of the regulatory-approved in-service dates of November 2021 and November 2022 for Units 3 and 4, respectively.</w:t>
      </w:r>
      <w:r w:rsidR="003062AA">
        <w:t xml:space="preserve"> </w:t>
      </w:r>
      <w:r w:rsidR="00EC2379" w:rsidRPr="0099499A">
        <w:t>Southern Nuclear continually acknowledged that this site working schedule was aggressive and believed working towards a challenging schedule was necessary to help the Project Team maintain focus and drive toward completion of the Project</w:t>
      </w:r>
      <w:r w:rsidR="00827845">
        <w:t xml:space="preserve">. The Project team </w:t>
      </w:r>
      <w:r w:rsidR="00BF19C3">
        <w:t>used this method</w:t>
      </w:r>
      <w:r w:rsidR="00585745">
        <w:t xml:space="preserve"> as</w:t>
      </w:r>
      <w:r w:rsidR="679DFD2E">
        <w:t xml:space="preserve"> a</w:t>
      </w:r>
      <w:r w:rsidR="00585745">
        <w:t xml:space="preserve"> project management tool and motivator to get the Project done as </w:t>
      </w:r>
      <w:r w:rsidR="00743288">
        <w:t>expeditiously</w:t>
      </w:r>
      <w:r w:rsidR="0043055B">
        <w:t xml:space="preserve"> as poss</w:t>
      </w:r>
      <w:r w:rsidR="00743288">
        <w:t xml:space="preserve">ible </w:t>
      </w:r>
      <w:r w:rsidR="00F74283">
        <w:t>in a safe and quality manner.</w:t>
      </w:r>
      <w:r w:rsidR="00056182">
        <w:t xml:space="preserve"> </w:t>
      </w:r>
      <w:r w:rsidR="03161663">
        <w:t>In addition, by using an aggressive schedule, it allowed the earlier identification of pote</w:t>
      </w:r>
      <w:r w:rsidR="2977EBA2">
        <w:t>ntial risks in testing that otherwise would have been identified later in the project.</w:t>
      </w:r>
      <w:r w:rsidR="008405F9">
        <w:t xml:space="preserve"> </w:t>
      </w:r>
    </w:p>
    <w:p w14:paraId="5873B23C" w14:textId="166D1084" w:rsidR="00F74283" w:rsidRDefault="00F74283" w:rsidP="00DC6E8E">
      <w:pPr>
        <w:spacing w:before="240" w:after="240" w:line="360" w:lineRule="auto"/>
        <w:ind w:left="720" w:hanging="720"/>
        <w:jc w:val="both"/>
        <w:rPr>
          <w:b/>
          <w:bCs/>
        </w:rPr>
      </w:pPr>
      <w:r>
        <w:rPr>
          <w:b/>
          <w:bCs/>
        </w:rPr>
        <w:t>Q.</w:t>
      </w:r>
      <w:r>
        <w:tab/>
      </w:r>
      <w:r>
        <w:rPr>
          <w:b/>
          <w:bCs/>
        </w:rPr>
        <w:t>HOW CAN</w:t>
      </w:r>
      <w:r w:rsidR="001D7963">
        <w:rPr>
          <w:b/>
          <w:bCs/>
        </w:rPr>
        <w:t xml:space="preserve"> </w:t>
      </w:r>
      <w:r w:rsidR="4B3793F8" w:rsidRPr="3EC78BF9">
        <w:rPr>
          <w:b/>
          <w:bCs/>
        </w:rPr>
        <w:t xml:space="preserve">THE </w:t>
      </w:r>
      <w:r w:rsidR="001D7963">
        <w:rPr>
          <w:b/>
          <w:bCs/>
        </w:rPr>
        <w:t>USE OF</w:t>
      </w:r>
      <w:r>
        <w:rPr>
          <w:b/>
          <w:bCs/>
        </w:rPr>
        <w:t xml:space="preserve"> AN AGGRESSIVE SITE WORK PLAN HAVE BEEN </w:t>
      </w:r>
      <w:r w:rsidR="001D7963">
        <w:rPr>
          <w:b/>
          <w:bCs/>
        </w:rPr>
        <w:t>REASONABLE IF IT WAS NEVER MET?</w:t>
      </w:r>
    </w:p>
    <w:p w14:paraId="124A6438" w14:textId="558775E9" w:rsidR="001D7963" w:rsidRPr="001D7963" w:rsidRDefault="001D7963" w:rsidP="00385D1B">
      <w:pPr>
        <w:spacing w:before="240" w:after="240" w:line="360" w:lineRule="auto"/>
        <w:ind w:left="720" w:hanging="720"/>
        <w:jc w:val="both"/>
      </w:pPr>
      <w:r w:rsidRPr="001D7963">
        <w:t>A.</w:t>
      </w:r>
      <w:r w:rsidRPr="00B34F38">
        <w:tab/>
      </w:r>
      <w:r w:rsidR="00F8355F">
        <w:t xml:space="preserve">As a part of its Integrated Project Schedule, </w:t>
      </w:r>
      <w:r w:rsidR="002B7D17">
        <w:t xml:space="preserve">Southern Nuclear used the aggressive site schedule as a management tool. </w:t>
      </w:r>
      <w:r w:rsidR="00800950">
        <w:t>T</w:t>
      </w:r>
      <w:r w:rsidR="00C201B6">
        <w:t xml:space="preserve">he </w:t>
      </w:r>
      <w:r w:rsidR="00D2064F">
        <w:t xml:space="preserve">aggressive </w:t>
      </w:r>
      <w:r w:rsidR="00C201B6">
        <w:t xml:space="preserve">Site Work Plan worked as </w:t>
      </w:r>
      <w:r w:rsidR="00800950">
        <w:t>inte</w:t>
      </w:r>
      <w:r w:rsidR="00DE5554">
        <w:t>nded</w:t>
      </w:r>
      <w:r w:rsidR="00C201B6">
        <w:t xml:space="preserve">. </w:t>
      </w:r>
      <w:r w:rsidR="00511EE4">
        <w:t xml:space="preserve">as it </w:t>
      </w:r>
      <w:r w:rsidR="008853CA">
        <w:t xml:space="preserve">helped drive </w:t>
      </w:r>
      <w:r w:rsidR="00C201B6">
        <w:t xml:space="preserve">the </w:t>
      </w:r>
      <w:r w:rsidR="008853CA">
        <w:t>P</w:t>
      </w:r>
      <w:r w:rsidR="00C201B6">
        <w:t>roject forward</w:t>
      </w:r>
      <w:r w:rsidR="00764DDB">
        <w:t xml:space="preserve">, </w:t>
      </w:r>
      <w:r w:rsidR="009E558D">
        <w:t>identifying risks early and allowing</w:t>
      </w:r>
      <w:r w:rsidR="000B1D9A">
        <w:t xml:space="preserve"> </w:t>
      </w:r>
      <w:r w:rsidR="003E1EA8">
        <w:t xml:space="preserve">the Project to pivot when a </w:t>
      </w:r>
      <w:r w:rsidR="005B169E">
        <w:t>roadblock</w:t>
      </w:r>
      <w:r w:rsidR="003E1EA8">
        <w:t xml:space="preserve"> or barrier halted work on one </w:t>
      </w:r>
      <w:r w:rsidR="00591B0E">
        <w:t xml:space="preserve">critical path. </w:t>
      </w:r>
      <w:r w:rsidR="00613A11">
        <w:t>T</w:t>
      </w:r>
      <w:r w:rsidR="00DF5D0D">
        <w:t xml:space="preserve">he Company recognized </w:t>
      </w:r>
      <w:r w:rsidR="00740170">
        <w:t xml:space="preserve">that </w:t>
      </w:r>
      <w:r w:rsidR="00F90B5E">
        <w:t xml:space="preserve">the dynamic </w:t>
      </w:r>
      <w:r w:rsidR="00493E6C">
        <w:t xml:space="preserve">nature </w:t>
      </w:r>
      <w:r w:rsidR="001355C2">
        <w:t xml:space="preserve">associated with the </w:t>
      </w:r>
      <w:r w:rsidR="00190876">
        <w:t>a</w:t>
      </w:r>
      <w:r w:rsidR="001355C2">
        <w:t xml:space="preserve">ggressive Site Work Plan </w:t>
      </w:r>
      <w:r w:rsidR="006924A3">
        <w:t xml:space="preserve">made </w:t>
      </w:r>
      <w:r w:rsidR="00A63BF5">
        <w:t xml:space="preserve">reporting </w:t>
      </w:r>
      <w:r w:rsidR="00641F6E">
        <w:t xml:space="preserve">to </w:t>
      </w:r>
      <w:r w:rsidR="000B7606">
        <w:t xml:space="preserve">its </w:t>
      </w:r>
      <w:r w:rsidR="00641F6E">
        <w:t xml:space="preserve">stakeholders </w:t>
      </w:r>
      <w:r w:rsidR="002E2F5E">
        <w:t>challenging</w:t>
      </w:r>
      <w:r w:rsidR="000B7606">
        <w:t>, and</w:t>
      </w:r>
      <w:r w:rsidR="008405F9">
        <w:t xml:space="preserve"> </w:t>
      </w:r>
      <w:r w:rsidR="00C530F3">
        <w:t xml:space="preserve">as a complement to the </w:t>
      </w:r>
      <w:r w:rsidR="007A4731">
        <w:t>a</w:t>
      </w:r>
      <w:r w:rsidR="00C530F3">
        <w:t>ggressive Site Work Plan</w:t>
      </w:r>
      <w:r w:rsidR="0046671E">
        <w:t xml:space="preserve">, </w:t>
      </w:r>
      <w:r w:rsidR="000E3C91">
        <w:t xml:space="preserve">the Company </w:t>
      </w:r>
      <w:r w:rsidR="00641F6E">
        <w:t>developed the risk</w:t>
      </w:r>
      <w:r w:rsidR="00DE265C">
        <w:t>-</w:t>
      </w:r>
      <w:r w:rsidR="00641F6E">
        <w:t xml:space="preserve">adjusted schedule </w:t>
      </w:r>
      <w:r w:rsidR="00E4582F">
        <w:t xml:space="preserve">for </w:t>
      </w:r>
      <w:r w:rsidR="003D121B">
        <w:t>tracking and reporting purposes</w:t>
      </w:r>
      <w:r w:rsidR="00AD53BC">
        <w:t xml:space="preserve">. </w:t>
      </w:r>
      <w:r w:rsidR="00D0228B" w:rsidRPr="0099499A">
        <w:t>Used in conjunction with the site</w:t>
      </w:r>
      <w:r w:rsidR="001B126C">
        <w:t>’</w:t>
      </w:r>
      <w:r w:rsidR="00D0228B" w:rsidRPr="0099499A">
        <w:t xml:space="preserve">s more aggressive working schedule, these risk-adjusted schedules provided points of comparison and valuable risk management for the site working schedule. </w:t>
      </w:r>
      <w:r w:rsidR="0001707D">
        <w:t>The risk</w:t>
      </w:r>
      <w:r w:rsidR="00D600CB">
        <w:t xml:space="preserve">-adjusted </w:t>
      </w:r>
      <w:r w:rsidR="00D0228B" w:rsidRPr="0099499A">
        <w:t xml:space="preserve">schedules also provided forecasted production levels needed to meet the regulatory-approved and risk-adjusted in-service dates. By creating and reviewing these benchmark schedules, the Project Team, Co-Owners, and </w:t>
      </w:r>
      <w:r w:rsidR="00ED23FE">
        <w:t xml:space="preserve">PIA </w:t>
      </w:r>
      <w:r w:rsidR="00D0228B" w:rsidRPr="0099499A">
        <w:t>Staff were able to compare the production levels and milestone dates forecasted to meet the in-service dates beyond the site working schedule.</w:t>
      </w:r>
    </w:p>
    <w:p w14:paraId="5C24FA2D" w14:textId="6E3B559B" w:rsidR="00DC6E8E" w:rsidRDefault="00DC6E8E" w:rsidP="00866AC1">
      <w:pPr>
        <w:keepNext/>
        <w:spacing w:before="240" w:after="240" w:line="360" w:lineRule="auto"/>
        <w:ind w:left="720" w:hanging="720"/>
        <w:jc w:val="both"/>
        <w:rPr>
          <w:b/>
          <w:bCs/>
        </w:rPr>
      </w:pPr>
      <w:r w:rsidRPr="00341B93">
        <w:rPr>
          <w:b/>
          <w:bCs/>
        </w:rPr>
        <w:t>Q.</w:t>
      </w:r>
      <w:r w:rsidRPr="00341B93">
        <w:rPr>
          <w:b/>
          <w:bCs/>
        </w:rPr>
        <w:tab/>
      </w:r>
      <w:r w:rsidR="00375FE6">
        <w:rPr>
          <w:b/>
          <w:bCs/>
        </w:rPr>
        <w:t xml:space="preserve">WHY DID THE COMPANY IMPLEMENT A PARTIAL RELEASE TO TEST </w:t>
      </w:r>
      <w:r w:rsidR="009810AE">
        <w:rPr>
          <w:b/>
          <w:bCs/>
        </w:rPr>
        <w:t xml:space="preserve">(“PRT”) </w:t>
      </w:r>
      <w:r w:rsidR="00375FE6">
        <w:rPr>
          <w:b/>
          <w:bCs/>
        </w:rPr>
        <w:t>APPROACH?</w:t>
      </w:r>
    </w:p>
    <w:p w14:paraId="119E7607" w14:textId="15292993" w:rsidR="00DC6E8E" w:rsidRDefault="00DC6E8E" w:rsidP="00866AC1">
      <w:pPr>
        <w:keepNext/>
        <w:spacing w:before="240" w:after="240" w:line="360" w:lineRule="auto"/>
        <w:ind w:left="720" w:hanging="720"/>
        <w:jc w:val="both"/>
      </w:pPr>
      <w:r>
        <w:t>A.</w:t>
      </w:r>
      <w:r w:rsidR="00D7586A">
        <w:tab/>
      </w:r>
      <w:r w:rsidR="002D10F2" w:rsidRPr="0099499A">
        <w:t xml:space="preserve">The aggressive site work plan not only enabled the Project Team to gain a better understanding of the risks that were in front of them, but also helped identify those risks earlier than they otherwise would have. A key process for identifying risks sooner rather than later was the Partial Release to Test (“PRT”) approach, which provided Initial Test Program (“ITP”) personnel with access to early testing of components and equipment. </w:t>
      </w:r>
      <w:r w:rsidR="003267EC">
        <w:t>As c</w:t>
      </w:r>
      <w:r w:rsidR="00D7586A">
        <w:t>onstruction</w:t>
      </w:r>
      <w:r w:rsidR="00873584">
        <w:t xml:space="preserve"> on Unit 3</w:t>
      </w:r>
      <w:r w:rsidR="00D7586A">
        <w:t xml:space="preserve"> </w:t>
      </w:r>
      <w:r w:rsidR="003267EC">
        <w:t>progressed,</w:t>
      </w:r>
      <w:r w:rsidR="00D7586A">
        <w:t xml:space="preserve"> rather than derail </w:t>
      </w:r>
      <w:r w:rsidR="00873584">
        <w:t>the Project</w:t>
      </w:r>
      <w:r w:rsidR="001B126C">
        <w:t>’</w:t>
      </w:r>
      <w:r w:rsidR="00873584">
        <w:t xml:space="preserve">s </w:t>
      </w:r>
      <w:r w:rsidR="00D7586A">
        <w:t xml:space="preserve">testing schedule, </w:t>
      </w:r>
      <w:r w:rsidR="00494620">
        <w:t xml:space="preserve">site leadership </w:t>
      </w:r>
      <w:r w:rsidR="00446C07">
        <w:t>decided</w:t>
      </w:r>
      <w:r w:rsidR="00D7586A">
        <w:t xml:space="preserve"> to </w:t>
      </w:r>
      <w:r w:rsidR="004D50CA">
        <w:t xml:space="preserve">subdivide systems </w:t>
      </w:r>
      <w:r w:rsidR="00EC3775">
        <w:t xml:space="preserve">and structures into subcomponents for testing purposes. This </w:t>
      </w:r>
      <w:r w:rsidR="00446C07">
        <w:t>approach</w:t>
      </w:r>
      <w:r w:rsidR="00EC3775">
        <w:t xml:space="preserve"> </w:t>
      </w:r>
      <w:r w:rsidR="00034C44">
        <w:t xml:space="preserve">allowed </w:t>
      </w:r>
      <w:r w:rsidR="00835612">
        <w:t xml:space="preserve">the Project </w:t>
      </w:r>
      <w:r w:rsidR="00034C44">
        <w:t xml:space="preserve">to get </w:t>
      </w:r>
      <w:r w:rsidR="00DB77D6">
        <w:t>components and partial systems in front of the testing organization as quickly as possible.</w:t>
      </w:r>
      <w:r w:rsidR="005578EE">
        <w:t xml:space="preserve"> As with the aggressive schedule, the Company implemented PRT</w:t>
      </w:r>
      <w:r w:rsidR="005242ED">
        <w:t>s</w:t>
      </w:r>
      <w:r w:rsidR="005578EE">
        <w:t xml:space="preserve"> to identify as much risk as possible to adjust and provide needed flexibility in progressing toward completion.</w:t>
      </w:r>
      <w:r w:rsidR="00DB77D6">
        <w:t xml:space="preserve"> </w:t>
      </w:r>
    </w:p>
    <w:p w14:paraId="0722B0AE" w14:textId="0A53D361" w:rsidR="00DC6E8E" w:rsidRPr="005D4F04" w:rsidRDefault="00DC6E8E" w:rsidP="00DC6E8E">
      <w:pPr>
        <w:spacing w:before="240" w:after="240" w:line="360" w:lineRule="auto"/>
        <w:ind w:left="720" w:hanging="720"/>
        <w:jc w:val="both"/>
        <w:rPr>
          <w:b/>
          <w:bCs/>
        </w:rPr>
      </w:pPr>
      <w:r w:rsidRPr="005D4F04">
        <w:rPr>
          <w:b/>
          <w:bCs/>
        </w:rPr>
        <w:t>Q.</w:t>
      </w:r>
      <w:r w:rsidRPr="005D4F04">
        <w:rPr>
          <w:b/>
          <w:bCs/>
        </w:rPr>
        <w:tab/>
      </w:r>
      <w:r w:rsidR="009810AE">
        <w:rPr>
          <w:b/>
          <w:bCs/>
        </w:rPr>
        <w:t>WAS IT REASONABLE AND PRUDENT TO IMPLEMENT PRT ON THE PROJECT?</w:t>
      </w:r>
    </w:p>
    <w:p w14:paraId="58E0B749" w14:textId="58ACAF13" w:rsidR="00DC6E8E" w:rsidRPr="009810AE" w:rsidRDefault="00DC6E8E" w:rsidP="00DC6E8E">
      <w:pPr>
        <w:spacing w:before="240" w:after="240" w:line="360" w:lineRule="auto"/>
        <w:ind w:left="720" w:hanging="720"/>
        <w:jc w:val="both"/>
        <w:rPr>
          <w:b/>
          <w:bCs/>
        </w:rPr>
      </w:pPr>
      <w:r>
        <w:t>A.</w:t>
      </w:r>
      <w:r w:rsidR="009810AE">
        <w:tab/>
      </w:r>
      <w:r w:rsidR="009810AE" w:rsidRPr="009810AE">
        <w:t>Yes</w:t>
      </w:r>
      <w:r w:rsidR="009810AE">
        <w:t xml:space="preserve">. </w:t>
      </w:r>
      <w:r w:rsidR="00FC0CFA">
        <w:t>It was appropriate to use PRT</w:t>
      </w:r>
      <w:r w:rsidR="00B916D1">
        <w:t>s</w:t>
      </w:r>
      <w:r w:rsidR="00FC0CFA">
        <w:t xml:space="preserve"> on Unit 3 (the first of the two Units to be completed) simply to learn more, more quickly. </w:t>
      </w:r>
      <w:r w:rsidR="00FD4B38">
        <w:t>By testing early and finding</w:t>
      </w:r>
      <w:r w:rsidR="000D5975">
        <w:t xml:space="preserve"> potential</w:t>
      </w:r>
      <w:r w:rsidR="00FD4B38">
        <w:t xml:space="preserve"> shortcomings earlier, </w:t>
      </w:r>
      <w:r w:rsidR="007B6EF5">
        <w:t>the Project was</w:t>
      </w:r>
      <w:r w:rsidR="00FD4B38">
        <w:t xml:space="preserve"> able to apply lessons learned from Unit 3 to Unit 4 </w:t>
      </w:r>
      <w:r w:rsidR="000D5975">
        <w:t xml:space="preserve">sooner </w:t>
      </w:r>
      <w:r w:rsidR="005A104B">
        <w:t xml:space="preserve">than would have otherwise </w:t>
      </w:r>
      <w:r w:rsidR="007B6EF5">
        <w:t xml:space="preserve">been the case </w:t>
      </w:r>
      <w:r w:rsidR="005A104B">
        <w:t xml:space="preserve">had </w:t>
      </w:r>
      <w:r w:rsidR="007B6EF5">
        <w:t xml:space="preserve">the Company </w:t>
      </w:r>
      <w:r w:rsidR="005A104B">
        <w:t xml:space="preserve">not used a PRT approach. </w:t>
      </w:r>
      <w:r w:rsidR="00FD4B38">
        <w:t xml:space="preserve">Unit 4 construction </w:t>
      </w:r>
      <w:r w:rsidR="007B6EF5">
        <w:t xml:space="preserve">progressed </w:t>
      </w:r>
      <w:r w:rsidR="00FD4B38">
        <w:t xml:space="preserve">significantly more </w:t>
      </w:r>
      <w:r w:rsidR="000D5975">
        <w:t xml:space="preserve">quickly </w:t>
      </w:r>
      <w:r w:rsidR="00FD4B38">
        <w:t xml:space="preserve">than Unit 3 in large part </w:t>
      </w:r>
      <w:r w:rsidR="00616311">
        <w:t xml:space="preserve">because of </w:t>
      </w:r>
      <w:r w:rsidR="00FD4B38">
        <w:t xml:space="preserve">the decision to use PRT on Unit 3. </w:t>
      </w:r>
      <w:r w:rsidR="006D7A17">
        <w:t xml:space="preserve">The Project was able to </w:t>
      </w:r>
      <w:r w:rsidR="00F0619D">
        <w:t xml:space="preserve">identify </w:t>
      </w:r>
      <w:r w:rsidR="008C33FE">
        <w:t xml:space="preserve">numerous </w:t>
      </w:r>
      <w:r w:rsidR="00F2446C">
        <w:t xml:space="preserve">operational </w:t>
      </w:r>
      <w:r w:rsidR="006D7A17">
        <w:t>risks as fast as possible</w:t>
      </w:r>
      <w:r w:rsidR="007E70FC">
        <w:t>, which in turn led to</w:t>
      </w:r>
      <w:r w:rsidR="006D7A17">
        <w:t xml:space="preserve"> better implementation on Unit 4.</w:t>
      </w:r>
      <w:r w:rsidR="008405F9">
        <w:t xml:space="preserve"> </w:t>
      </w:r>
    </w:p>
    <w:p w14:paraId="3FE44E93" w14:textId="12439929" w:rsidR="00DC6E8E" w:rsidRDefault="00DC6E8E" w:rsidP="00DC6E8E">
      <w:pPr>
        <w:spacing w:before="240" w:after="240" w:line="360" w:lineRule="auto"/>
        <w:ind w:left="720" w:hanging="720"/>
        <w:jc w:val="both"/>
        <w:rPr>
          <w:b/>
          <w:bCs/>
        </w:rPr>
      </w:pPr>
      <w:r w:rsidRPr="00341B93">
        <w:rPr>
          <w:b/>
          <w:bCs/>
        </w:rPr>
        <w:t>Q.</w:t>
      </w:r>
      <w:r w:rsidRPr="00341B93">
        <w:rPr>
          <w:b/>
          <w:bCs/>
        </w:rPr>
        <w:tab/>
      </w:r>
      <w:r w:rsidR="005071B1">
        <w:rPr>
          <w:b/>
          <w:bCs/>
        </w:rPr>
        <w:t>DOES THE COMPANY BELIEVE THAT THE COSTS RELATED TO THESE DECISIONS WERE REASONABLE AND PRUDENT?</w:t>
      </w:r>
    </w:p>
    <w:p w14:paraId="34A73C30" w14:textId="3982F7B2" w:rsidR="00DC6E8E" w:rsidRPr="005071B1" w:rsidRDefault="00DC6E8E" w:rsidP="00DC6E8E">
      <w:pPr>
        <w:spacing w:before="240" w:after="240" w:line="360" w:lineRule="auto"/>
        <w:ind w:left="720" w:hanging="720"/>
        <w:jc w:val="both"/>
      </w:pPr>
      <w:r>
        <w:t>A.</w:t>
      </w:r>
      <w:r w:rsidR="005071B1">
        <w:tab/>
        <w:t xml:space="preserve">Yes. </w:t>
      </w:r>
    </w:p>
    <w:p w14:paraId="43377672" w14:textId="5D08626F" w:rsidR="00D35CFB" w:rsidRDefault="00D35CFB" w:rsidP="00B57FDE">
      <w:pPr>
        <w:pStyle w:val="OutlineL2"/>
        <w:keepNext/>
        <w:spacing w:line="360" w:lineRule="auto"/>
        <w:ind w:left="1440" w:hanging="720"/>
      </w:pPr>
      <w:r w:rsidRPr="00E9701D">
        <w:t xml:space="preserve">Total Construction and Capital Cost </w:t>
      </w:r>
      <w:r w:rsidR="00130A91" w:rsidRPr="00E9701D">
        <w:t>Stipulated to be Recovered</w:t>
      </w:r>
    </w:p>
    <w:p w14:paraId="7043EE99" w14:textId="24EE1C3E" w:rsidR="00BE678E" w:rsidRPr="00BE678E" w:rsidRDefault="00BE678E" w:rsidP="007C3252">
      <w:pPr>
        <w:pStyle w:val="BodyText"/>
        <w:keepNext/>
        <w:widowControl/>
        <w:spacing w:before="240" w:line="360" w:lineRule="auto"/>
        <w:ind w:left="720" w:hanging="720"/>
        <w:jc w:val="both"/>
        <w:rPr>
          <w:b/>
          <w:bCs/>
          <w:lang w:eastAsia="en-US"/>
        </w:rPr>
      </w:pPr>
      <w:r w:rsidRPr="00BE678E">
        <w:rPr>
          <w:b/>
          <w:bCs/>
          <w:lang w:eastAsia="en-US"/>
        </w:rPr>
        <w:t>Q.</w:t>
      </w:r>
      <w:r w:rsidRPr="00BE678E">
        <w:rPr>
          <w:b/>
          <w:bCs/>
          <w:lang w:eastAsia="en-US"/>
        </w:rPr>
        <w:tab/>
      </w:r>
      <w:r w:rsidR="00C93E5E">
        <w:rPr>
          <w:b/>
          <w:bCs/>
          <w:lang w:eastAsia="en-US"/>
        </w:rPr>
        <w:t xml:space="preserve">HOW DID THE </w:t>
      </w:r>
      <w:r w:rsidR="002E7DDE">
        <w:rPr>
          <w:b/>
          <w:bCs/>
          <w:lang w:eastAsia="en-US"/>
        </w:rPr>
        <w:t>STIPULATING PARTIES</w:t>
      </w:r>
      <w:r w:rsidR="00C93E5E">
        <w:rPr>
          <w:b/>
          <w:bCs/>
          <w:lang w:eastAsia="en-US"/>
        </w:rPr>
        <w:t xml:space="preserve"> DETERMINE THAT $7.562 BILLION WAS AN APPROPRIATE TOTAL CONSTRUCTION AND CAPITAL COST FOR THE COMPANY TO RECOVER?</w:t>
      </w:r>
    </w:p>
    <w:p w14:paraId="79256607" w14:textId="42E4C2BB" w:rsidR="00BE678E" w:rsidRDefault="00BE678E" w:rsidP="00B57FDE">
      <w:pPr>
        <w:pStyle w:val="BodyText"/>
        <w:keepNext/>
        <w:widowControl/>
        <w:spacing w:line="360" w:lineRule="auto"/>
        <w:ind w:left="720" w:hanging="720"/>
        <w:jc w:val="both"/>
        <w:rPr>
          <w:lang w:eastAsia="en-US"/>
        </w:rPr>
      </w:pPr>
      <w:r w:rsidRPr="00BE678E">
        <w:rPr>
          <w:lang w:eastAsia="en-US"/>
        </w:rPr>
        <w:t>A.</w:t>
      </w:r>
      <w:r w:rsidRPr="00BE678E">
        <w:rPr>
          <w:lang w:eastAsia="en-US"/>
        </w:rPr>
        <w:tab/>
      </w:r>
      <w:r w:rsidR="0090279F">
        <w:rPr>
          <w:lang w:eastAsia="en-US"/>
        </w:rPr>
        <w:t xml:space="preserve">As described in the Stipulation, </w:t>
      </w:r>
      <w:r w:rsidR="00B82CF7">
        <w:t>the agreed to</w:t>
      </w:r>
      <w:r w:rsidR="00B90789">
        <w:t xml:space="preserve"> reduction in the construction and capital cost </w:t>
      </w:r>
      <w:r w:rsidR="00B82CF7">
        <w:t xml:space="preserve">from the total projected </w:t>
      </w:r>
      <w:r w:rsidR="0017242A">
        <w:t>construction and capital cost expected to be spent</w:t>
      </w:r>
      <w:r w:rsidR="00B90789">
        <w:t xml:space="preserve"> takes into consideration the</w:t>
      </w:r>
      <w:r w:rsidR="0017242A">
        <w:t xml:space="preserve"> extended</w:t>
      </w:r>
      <w:r w:rsidR="00B90789">
        <w:t xml:space="preserve"> length of time to construct the Project, replacement energy costs incurred during the </w:t>
      </w:r>
      <w:r w:rsidR="0017242A">
        <w:t>prolonged</w:t>
      </w:r>
      <w:r w:rsidR="00B90789">
        <w:t xml:space="preserve"> construction time, and other issues of concern </w:t>
      </w:r>
      <w:r w:rsidR="0017242A">
        <w:t xml:space="preserve">such as </w:t>
      </w:r>
      <w:r w:rsidR="00B90789">
        <w:t>the amount of rework required, scheduling of activities, testing, and productivity.</w:t>
      </w:r>
      <w:r w:rsidR="00B11447">
        <w:t xml:space="preserve"> </w:t>
      </w:r>
    </w:p>
    <w:p w14:paraId="0CC0A4C3" w14:textId="3B65331A" w:rsidR="00C93E5E" w:rsidRPr="00F334CB" w:rsidRDefault="00C93E5E" w:rsidP="00C93E5E">
      <w:pPr>
        <w:spacing w:before="240" w:after="240" w:line="360" w:lineRule="auto"/>
        <w:ind w:left="720" w:hanging="720"/>
        <w:jc w:val="both"/>
        <w:rPr>
          <w:b/>
          <w:bCs/>
        </w:rPr>
      </w:pPr>
      <w:r w:rsidRPr="00F334CB">
        <w:rPr>
          <w:b/>
          <w:bCs/>
        </w:rPr>
        <w:t>Q.</w:t>
      </w:r>
      <w:r w:rsidRPr="00F334CB">
        <w:rPr>
          <w:b/>
          <w:bCs/>
        </w:rPr>
        <w:tab/>
      </w:r>
      <w:r>
        <w:rPr>
          <w:b/>
          <w:bCs/>
        </w:rPr>
        <w:t xml:space="preserve">WHAT HAPPENS IF UNIT 4 IS DELAYED OR THE COMPANY INCURS </w:t>
      </w:r>
      <w:r w:rsidR="00130923">
        <w:rPr>
          <w:b/>
          <w:bCs/>
        </w:rPr>
        <w:t>ADDITIONAL</w:t>
      </w:r>
      <w:r>
        <w:rPr>
          <w:b/>
          <w:bCs/>
        </w:rPr>
        <w:t xml:space="preserve"> CONSTRUCTION AND CAPITAL COST TO FINISH THE PROJECT?</w:t>
      </w:r>
    </w:p>
    <w:p w14:paraId="557D83E9" w14:textId="4A663B12" w:rsidR="00C93E5E" w:rsidRDefault="00C93E5E" w:rsidP="00C93E5E">
      <w:pPr>
        <w:spacing w:before="240" w:after="240" w:line="360" w:lineRule="auto"/>
        <w:ind w:left="720" w:hanging="720"/>
        <w:jc w:val="both"/>
      </w:pPr>
      <w:r>
        <w:t>A.</w:t>
      </w:r>
      <w:r>
        <w:tab/>
      </w:r>
      <w:r w:rsidR="00DE40F8">
        <w:t xml:space="preserve">As </w:t>
      </w:r>
      <w:r w:rsidR="00601D52">
        <w:t xml:space="preserve">provided by </w:t>
      </w:r>
      <w:r w:rsidR="00DE40F8">
        <w:t xml:space="preserve">the Stipulation, </w:t>
      </w:r>
      <w:r w:rsidR="001E1F19">
        <w:t xml:space="preserve">the $7.562 billion </w:t>
      </w:r>
      <w:r w:rsidR="00EB7A34">
        <w:t xml:space="preserve">of </w:t>
      </w:r>
      <w:r w:rsidR="001E1F19">
        <w:t xml:space="preserve">total construction and capital cost amount is a </w:t>
      </w:r>
      <w:r w:rsidR="00194377">
        <w:t>limit</w:t>
      </w:r>
      <w:r w:rsidR="00765436">
        <w:t xml:space="preserve"> on the</w:t>
      </w:r>
      <w:r w:rsidR="00D315D0">
        <w:t xml:space="preserve"> amount the Company can recover for the Project</w:t>
      </w:r>
      <w:r w:rsidR="001E1F19">
        <w:t xml:space="preserve">. </w:t>
      </w:r>
      <w:r w:rsidR="009F5BA7">
        <w:t>A</w:t>
      </w:r>
      <w:r w:rsidR="00130923">
        <w:t xml:space="preserve">ny additional </w:t>
      </w:r>
      <w:r w:rsidR="00E40214">
        <w:t>construction and</w:t>
      </w:r>
      <w:r w:rsidR="00130923">
        <w:t xml:space="preserve"> capital cost incurred prior to </w:t>
      </w:r>
      <w:r w:rsidR="00B578E8">
        <w:t xml:space="preserve">Commercial Operation </w:t>
      </w:r>
      <w:r w:rsidR="00130923">
        <w:t xml:space="preserve">will be the </w:t>
      </w:r>
      <w:r w:rsidR="00CD7AE8">
        <w:t xml:space="preserve">responsibility of the </w:t>
      </w:r>
      <w:r w:rsidR="00130923">
        <w:t>Company</w:t>
      </w:r>
      <w:r w:rsidR="001E1F19">
        <w:t xml:space="preserve"> not customers</w:t>
      </w:r>
      <w:r w:rsidR="00130923">
        <w:t>.</w:t>
      </w:r>
      <w:r w:rsidR="001E1F19">
        <w:t xml:space="preserve"> </w:t>
      </w:r>
      <w:r w:rsidR="00DA0E1C">
        <w:t>I</w:t>
      </w:r>
      <w:r w:rsidR="001E1F19">
        <w:t xml:space="preserve">f </w:t>
      </w:r>
      <w:r w:rsidR="00A5045B">
        <w:t xml:space="preserve">Unit 4 does not achieve </w:t>
      </w:r>
      <w:r w:rsidR="00B578E8">
        <w:t>Commercial Operation</w:t>
      </w:r>
      <w:r w:rsidR="00A5045B">
        <w:t xml:space="preserve"> by March 31, 2024, the Company</w:t>
      </w:r>
      <w:r w:rsidR="001B126C">
        <w:t>’</w:t>
      </w:r>
      <w:r w:rsidR="00A5045B">
        <w:t xml:space="preserve">s return on equity (“ROE”) used to </w:t>
      </w:r>
      <w:r w:rsidR="00325CE1">
        <w:t xml:space="preserve">calculate </w:t>
      </w:r>
      <w:r w:rsidR="0053786B">
        <w:t xml:space="preserve">both </w:t>
      </w:r>
      <w:r w:rsidR="00A5045B">
        <w:t xml:space="preserve">the NCCR </w:t>
      </w:r>
      <w:r w:rsidR="0053786B">
        <w:t>tariff revenue requirement</w:t>
      </w:r>
      <w:r w:rsidR="00A5045B">
        <w:t xml:space="preserve"> and the AFUDC will be reduced to zero until Unit 4 reaches </w:t>
      </w:r>
      <w:r w:rsidR="002116DF">
        <w:t>Commercial Operation</w:t>
      </w:r>
      <w:r w:rsidR="00A5045B">
        <w:t>.</w:t>
      </w:r>
    </w:p>
    <w:p w14:paraId="1DDE16F8" w14:textId="64B5647B" w:rsidR="002D7D5D" w:rsidRPr="00A650C3" w:rsidRDefault="002D7D5D" w:rsidP="00AF08FA">
      <w:pPr>
        <w:widowControl w:val="0"/>
        <w:spacing w:before="240" w:after="240" w:line="360" w:lineRule="auto"/>
        <w:ind w:left="720" w:hanging="720"/>
        <w:jc w:val="both"/>
        <w:rPr>
          <w:b/>
          <w:bCs/>
        </w:rPr>
      </w:pPr>
      <w:r w:rsidRPr="00A650C3">
        <w:rPr>
          <w:b/>
          <w:bCs/>
        </w:rPr>
        <w:t>Q.</w:t>
      </w:r>
      <w:r w:rsidRPr="00A650C3">
        <w:rPr>
          <w:b/>
          <w:bCs/>
        </w:rPr>
        <w:tab/>
      </w:r>
      <w:r w:rsidR="006B117D" w:rsidRPr="00A650C3">
        <w:rPr>
          <w:b/>
          <w:bCs/>
        </w:rPr>
        <w:t>HOW MUCH HAS THE COMPANY AGREED TO FOREGO IN COST RECOVERY?</w:t>
      </w:r>
    </w:p>
    <w:p w14:paraId="6278BF60" w14:textId="68168EB0" w:rsidR="006B117D" w:rsidRDefault="006B117D" w:rsidP="00AF08FA">
      <w:pPr>
        <w:widowControl w:val="0"/>
        <w:spacing w:before="240" w:after="240" w:line="360" w:lineRule="auto"/>
        <w:ind w:left="720" w:hanging="720"/>
        <w:jc w:val="both"/>
      </w:pPr>
      <w:r>
        <w:t>A.</w:t>
      </w:r>
      <w:r>
        <w:tab/>
      </w:r>
      <w:r w:rsidR="00510853">
        <w:t xml:space="preserve">If the Stipulation is approved, </w:t>
      </w:r>
      <w:r w:rsidR="00510853" w:rsidRPr="0099499A">
        <w:t>the Company will forgo recovery of a total of $2.626 billion in prudently incurred costs to bring Vogtle Units 3 and 4 through construction, testing, and startup and into operations to serve our 2.7 million customers.</w:t>
      </w:r>
      <w:r w:rsidR="00510853">
        <w:t xml:space="preserve"> </w:t>
      </w:r>
    </w:p>
    <w:p w14:paraId="07689866" w14:textId="09AA1085" w:rsidR="008647E6" w:rsidRDefault="008647E6" w:rsidP="008647E6">
      <w:pPr>
        <w:pStyle w:val="OutlineL1"/>
        <w:keepNext/>
        <w:tabs>
          <w:tab w:val="clear" w:pos="2610"/>
          <w:tab w:val="num" w:pos="720"/>
        </w:tabs>
        <w:spacing w:before="240" w:after="240" w:line="360" w:lineRule="auto"/>
        <w:ind w:left="720" w:hanging="720"/>
        <w:jc w:val="left"/>
      </w:pPr>
      <w:r>
        <w:t>FINANCING COSTS</w:t>
      </w:r>
    </w:p>
    <w:p w14:paraId="6F5FA7A2" w14:textId="708B80F9" w:rsidR="00C673E2" w:rsidRPr="00534E94" w:rsidRDefault="00C673E2" w:rsidP="00C673E2">
      <w:pPr>
        <w:keepNext/>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534E94">
        <w:rPr>
          <w:b/>
          <w:bCs/>
        </w:rPr>
        <w:t>Q.</w:t>
      </w:r>
      <w:r w:rsidRPr="00534E94">
        <w:rPr>
          <w:b/>
          <w:bCs/>
        </w:rPr>
        <w:tab/>
        <w:t xml:space="preserve">HOW </w:t>
      </w:r>
      <w:r w:rsidR="000D7761">
        <w:rPr>
          <w:b/>
          <w:bCs/>
        </w:rPr>
        <w:t>HAS</w:t>
      </w:r>
      <w:r w:rsidRPr="00534E94">
        <w:rPr>
          <w:b/>
          <w:bCs/>
        </w:rPr>
        <w:t xml:space="preserve"> THE COMPANY RECOVER</w:t>
      </w:r>
      <w:r w:rsidR="000D7761">
        <w:rPr>
          <w:b/>
          <w:bCs/>
        </w:rPr>
        <w:t>ED</w:t>
      </w:r>
      <w:r w:rsidRPr="00534E94">
        <w:rPr>
          <w:b/>
          <w:bCs/>
        </w:rPr>
        <w:t xml:space="preserve"> FINANCING COSTS FROM CUSTOMERS</w:t>
      </w:r>
      <w:r>
        <w:rPr>
          <w:b/>
          <w:bCs/>
        </w:rPr>
        <w:t xml:space="preserve"> DURING CONSTRUCTION</w:t>
      </w:r>
      <w:r w:rsidRPr="00534E94">
        <w:rPr>
          <w:b/>
          <w:bCs/>
        </w:rPr>
        <w:t>?</w:t>
      </w:r>
    </w:p>
    <w:p w14:paraId="29173883" w14:textId="7BF02F5A" w:rsidR="00C673E2" w:rsidRDefault="00C673E2" w:rsidP="001D7364">
      <w:pPr>
        <w:spacing w:before="240" w:after="240" w:line="360" w:lineRule="auto"/>
        <w:ind w:left="720" w:hanging="720"/>
        <w:jc w:val="both"/>
      </w:pPr>
      <w:r>
        <w:t>A.</w:t>
      </w:r>
      <w:r>
        <w:tab/>
        <w:t>Pursuant to O.C.G.A. § 46-2-25(c.1), the Company recovers from customers the financing costs on the certified construction and capital cost of Vogtle Units 3 and 4 through the NCCR Tariff</w:t>
      </w:r>
      <w:r w:rsidR="00A23A56">
        <w:t>, which</w:t>
      </w:r>
      <w:r>
        <w:t xml:space="preserve"> permits </w:t>
      </w:r>
      <w:r w:rsidR="00A23A56">
        <w:t xml:space="preserve">recovery </w:t>
      </w:r>
      <w:r w:rsidR="00320404">
        <w:t xml:space="preserve">of </w:t>
      </w:r>
      <w:r>
        <w:t xml:space="preserve">financing costs during construction of the </w:t>
      </w:r>
      <w:r w:rsidR="00291452">
        <w:t>Units</w:t>
      </w:r>
      <w:r>
        <w:t>.</w:t>
      </w:r>
      <w:r w:rsidR="00C91805">
        <w:t xml:space="preserve"> </w:t>
      </w:r>
      <w:r>
        <w:t xml:space="preserve">Financing costs incurred on the construction and capital cost above the $4.418 billion certified amount </w:t>
      </w:r>
      <w:r w:rsidR="00810CC2">
        <w:t xml:space="preserve">are </w:t>
      </w:r>
      <w:r>
        <w:t xml:space="preserve">accrued through AFUDC to be included in rate base and recovered from customers upon Commercial Operation of Unit 4. </w:t>
      </w:r>
    </w:p>
    <w:p w14:paraId="7ADFC93C" w14:textId="77777777" w:rsidR="00C673E2" w:rsidRPr="00534E94" w:rsidRDefault="00C673E2" w:rsidP="00C673E2">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534E94">
        <w:rPr>
          <w:b/>
          <w:bCs/>
        </w:rPr>
        <w:t>Q.</w:t>
      </w:r>
      <w:r w:rsidRPr="00534E94">
        <w:rPr>
          <w:b/>
          <w:bCs/>
        </w:rPr>
        <w:tab/>
        <w:t>ARE THERE GROUNDS FOR DISALLOWING ANY FINANCING COSTS</w:t>
      </w:r>
      <w:r>
        <w:rPr>
          <w:b/>
          <w:bCs/>
        </w:rPr>
        <w:t>, WHETHER COLLECTED THROUGH THE NCCR TARIFF OR AFUDC</w:t>
      </w:r>
      <w:r w:rsidRPr="00534E94">
        <w:rPr>
          <w:b/>
          <w:bCs/>
        </w:rPr>
        <w:t>?</w:t>
      </w:r>
    </w:p>
    <w:p w14:paraId="76380638" w14:textId="7194F713" w:rsidR="00C673E2" w:rsidRDefault="00C673E2" w:rsidP="00C673E2">
      <w:pPr>
        <w:spacing w:before="240" w:after="240" w:line="360" w:lineRule="auto"/>
        <w:ind w:left="720" w:hanging="720"/>
        <w:jc w:val="both"/>
      </w:pPr>
      <w:r>
        <w:t>A.</w:t>
      </w:r>
      <w:r>
        <w:tab/>
        <w:t xml:space="preserve">No. The financing costs incurred and accrued through the NCCR Tariff and AFUDC are a direct byproduct of the construction and capital cost incurred on the Project. Therefore, reasonable and prudent capital costs during construction will result in </w:t>
      </w:r>
      <w:r w:rsidR="00A26BF1">
        <w:t xml:space="preserve">corresponding </w:t>
      </w:r>
      <w:r>
        <w:t>AFUDC financing costs, which should also be deemed prudent and reasonable</w:t>
      </w:r>
      <w:r w:rsidR="00C91805">
        <w:t xml:space="preserve"> and appropriately recovered from customers</w:t>
      </w:r>
      <w:r>
        <w:t>.</w:t>
      </w:r>
    </w:p>
    <w:p w14:paraId="5E538342" w14:textId="77777777" w:rsidR="00C673E2" w:rsidRDefault="00C673E2" w:rsidP="00B57FDE">
      <w:pPr>
        <w:keepNext/>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Pr>
          <w:b/>
          <w:bCs/>
        </w:rPr>
        <w:t>Q,</w:t>
      </w:r>
      <w:r>
        <w:rPr>
          <w:b/>
          <w:bCs/>
        </w:rPr>
        <w:tab/>
        <w:t>HOW DID THE COMPANY CALCULATE THE REQUESTED AFUDC INCLUDED IN THIS FILING?</w:t>
      </w:r>
    </w:p>
    <w:p w14:paraId="44DF70FD" w14:textId="7596030E" w:rsidR="00C673E2" w:rsidRPr="00E34DF6" w:rsidRDefault="00C673E2" w:rsidP="00B57FDE">
      <w:pPr>
        <w:keepNext/>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pPr>
      <w:r w:rsidRPr="00E34DF6">
        <w:t>A.</w:t>
      </w:r>
      <w:r w:rsidRPr="00E34DF6">
        <w:tab/>
        <w:t>The Compan</w:t>
      </w:r>
      <w:r>
        <w:t xml:space="preserve">y included the actual and projected AFUDC accrued on the construction and capital </w:t>
      </w:r>
      <w:r w:rsidRPr="00CF4773">
        <w:t xml:space="preserve">cost above the certified amount of $4.418 billion up to the </w:t>
      </w:r>
      <w:r w:rsidR="00325B04">
        <w:t>stipulated $7.562</w:t>
      </w:r>
      <w:r w:rsidRPr="00CF4773">
        <w:t xml:space="preserve"> </w:t>
      </w:r>
      <w:r w:rsidR="00CF4773" w:rsidRPr="00CF4773">
        <w:t>billion</w:t>
      </w:r>
      <w:r w:rsidR="00CF4773">
        <w:t xml:space="preserve"> </w:t>
      </w:r>
      <w:r>
        <w:t xml:space="preserve">and excluded any construction and capital cost above the </w:t>
      </w:r>
      <w:r w:rsidR="00EF0112">
        <w:t>stipulated</w:t>
      </w:r>
      <w:r>
        <w:t xml:space="preserve"> amount from its AFUDC calculation. </w:t>
      </w:r>
      <w:r w:rsidR="00B8523A">
        <w:t>T</w:t>
      </w:r>
      <w:r>
        <w:t>he AFUDC financing costs align with the construction and capital amount requested in this filing</w:t>
      </w:r>
      <w:r w:rsidR="00EF0112">
        <w:t xml:space="preserve"> </w:t>
      </w:r>
      <w:r w:rsidR="00571D93">
        <w:t>and the Stipulat</w:t>
      </w:r>
      <w:r w:rsidR="00D67FDA">
        <w:t>ion</w:t>
      </w:r>
      <w:r w:rsidR="004065F2">
        <w:t>.</w:t>
      </w:r>
      <w:r w:rsidR="00EF0112">
        <w:t xml:space="preserve"> </w:t>
      </w:r>
      <w:r w:rsidR="004065F2">
        <w:t>T</w:t>
      </w:r>
      <w:r>
        <w:t xml:space="preserve">he cost of capital applied to AFUDC </w:t>
      </w:r>
      <w:r w:rsidR="005073E9">
        <w:t>is</w:t>
      </w:r>
      <w:r>
        <w:t xml:space="preserve"> consistent with the </w:t>
      </w:r>
      <w:r w:rsidR="00922948">
        <w:t xml:space="preserve">ROE </w:t>
      </w:r>
      <w:r>
        <w:t xml:space="preserve">reductions </w:t>
      </w:r>
      <w:r w:rsidR="00876EB4">
        <w:t xml:space="preserve">implemented </w:t>
      </w:r>
      <w:r>
        <w:t>by the Commission in the SIR</w:t>
      </w:r>
      <w:r w:rsidR="00922948">
        <w:t xml:space="preserve"> Final Order</w:t>
      </w:r>
      <w:r>
        <w:t xml:space="preserve"> and </w:t>
      </w:r>
      <w:r w:rsidR="00922948">
        <w:t>again in</w:t>
      </w:r>
      <w:r>
        <w:t xml:space="preserve"> the VCM 17 </w:t>
      </w:r>
      <w:r w:rsidR="00922948">
        <w:t>O</w:t>
      </w:r>
      <w:r>
        <w:t>rder.</w:t>
      </w:r>
    </w:p>
    <w:p w14:paraId="4AFE76F9" w14:textId="26A0FB42" w:rsidR="00C673E2" w:rsidRPr="00534E94" w:rsidRDefault="00C673E2" w:rsidP="00C673E2">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534E94">
        <w:rPr>
          <w:b/>
          <w:bCs/>
        </w:rPr>
        <w:t>Q.</w:t>
      </w:r>
      <w:r w:rsidRPr="00534E94">
        <w:rPr>
          <w:b/>
          <w:bCs/>
        </w:rPr>
        <w:tab/>
        <w:t>WHY IS IT APPROPRIATE FOR FINANCING COSTS TO FOLLOW THE CONSTRUCTION AND CAPITAL COST FOR WHICH THEY WERE INCURRED?</w:t>
      </w:r>
    </w:p>
    <w:p w14:paraId="1F26F8DD" w14:textId="532E9F62" w:rsidR="00C673E2" w:rsidRDefault="00C673E2" w:rsidP="00C673E2">
      <w:pPr>
        <w:spacing w:before="240" w:after="240" w:line="360" w:lineRule="auto"/>
        <w:ind w:left="720" w:hanging="720"/>
        <w:jc w:val="both"/>
      </w:pPr>
      <w:r>
        <w:t>A.</w:t>
      </w:r>
      <w:r>
        <w:tab/>
        <w:t xml:space="preserve">The accounting for financing costs in conjunction with the construction and capital cost for which they were incurred is in accordance with </w:t>
      </w:r>
      <w:r w:rsidR="00124F3F">
        <w:t xml:space="preserve">US </w:t>
      </w:r>
      <w:r w:rsidR="000F611F">
        <w:t>Generally Accepted Accounting Principles (“</w:t>
      </w:r>
      <w:r>
        <w:t>GAAP</w:t>
      </w:r>
      <w:r w:rsidR="000F611F">
        <w:t>”)</w:t>
      </w:r>
      <w:r>
        <w:t xml:space="preserve">, FERC, and general utility ratemaking. Traditional utility ratemaking, as well as </w:t>
      </w:r>
      <w:r w:rsidR="00124F3F">
        <w:t>US</w:t>
      </w:r>
      <w:r>
        <w:t xml:space="preserve"> GAAP and FERC, consider financing costs to be a cost of construction and necessary to bring an asset to the condition and location necessary for its intended use. </w:t>
      </w:r>
      <w:r w:rsidR="00F0115F">
        <w:t>T</w:t>
      </w:r>
      <w:r>
        <w:t>he treatment of financing costs should follow the treatment of the underlying construction and capital cost</w:t>
      </w:r>
      <w:r w:rsidR="000A29CC">
        <w:t>.</w:t>
      </w:r>
    </w:p>
    <w:p w14:paraId="3525F7EC" w14:textId="77777777" w:rsidR="00C673E2" w:rsidRPr="006A5024" w:rsidRDefault="00C673E2" w:rsidP="00A26BF1">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hanging="720"/>
        <w:jc w:val="both"/>
        <w:rPr>
          <w:b/>
          <w:bCs/>
        </w:rPr>
      </w:pPr>
      <w:r w:rsidRPr="006A5024">
        <w:rPr>
          <w:b/>
          <w:bCs/>
        </w:rPr>
        <w:t>Q.</w:t>
      </w:r>
      <w:r w:rsidRPr="006A5024">
        <w:rPr>
          <w:b/>
          <w:bCs/>
        </w:rPr>
        <w:tab/>
        <w:t>WHAT WILL HAPPEN TO COLLECTIONS UNDER THE NCCR TARIFF WHEN UNIT 4 REACHES COMMERCIAL OPERATION?</w:t>
      </w:r>
    </w:p>
    <w:p w14:paraId="0CA4F713" w14:textId="455C7A62" w:rsidR="00C673E2" w:rsidRDefault="00C673E2" w:rsidP="00A26BF1">
      <w:pPr>
        <w:spacing w:before="240" w:after="240" w:line="360" w:lineRule="auto"/>
        <w:ind w:left="720" w:hanging="720"/>
        <w:jc w:val="both"/>
      </w:pPr>
      <w:r>
        <w:t>A.</w:t>
      </w:r>
      <w:r>
        <w:tab/>
      </w:r>
      <w:r w:rsidR="00F0115F">
        <w:t>On</w:t>
      </w:r>
      <w:r>
        <w:t xml:space="preserve"> the effective date of the rate adjustment following Commercial Operation of Unit 4 </w:t>
      </w:r>
      <w:r w:rsidR="00292869">
        <w:t>t</w:t>
      </w:r>
      <w:r>
        <w:t xml:space="preserve">he Company will cease collecting financing costs through the NCCR tariff and </w:t>
      </w:r>
      <w:r w:rsidR="00FA59B4">
        <w:t xml:space="preserve">those </w:t>
      </w:r>
      <w:r>
        <w:t>financing costs will be included in Georgia Power</w:t>
      </w:r>
      <w:r w:rsidR="001B126C">
        <w:t>’</w:t>
      </w:r>
      <w:r>
        <w:t xml:space="preserve">s general revenue requirements and collected through base rates. </w:t>
      </w:r>
    </w:p>
    <w:p w14:paraId="2FA73B51" w14:textId="77777777" w:rsidR="00C673E2" w:rsidRPr="006A5024" w:rsidRDefault="00C673E2" w:rsidP="00A26BF1">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hanging="720"/>
        <w:jc w:val="both"/>
        <w:rPr>
          <w:b/>
          <w:bCs/>
        </w:rPr>
      </w:pPr>
      <w:r w:rsidRPr="006A5024">
        <w:rPr>
          <w:b/>
          <w:bCs/>
        </w:rPr>
        <w:t>Q.</w:t>
      </w:r>
      <w:r w:rsidRPr="006A5024">
        <w:rPr>
          <w:b/>
          <w:bCs/>
        </w:rPr>
        <w:tab/>
      </w:r>
      <w:r>
        <w:rPr>
          <w:b/>
          <w:bCs/>
        </w:rPr>
        <w:t>WHAT WILL HAPPEN TO</w:t>
      </w:r>
      <w:r w:rsidRPr="006A5024">
        <w:rPr>
          <w:b/>
          <w:bCs/>
        </w:rPr>
        <w:t xml:space="preserve"> ANY OVER OR UNDER RECOVERY REMAINING WHEN THE COMPANY CEASES COLLECT</w:t>
      </w:r>
      <w:r>
        <w:rPr>
          <w:b/>
          <w:bCs/>
        </w:rPr>
        <w:t xml:space="preserve">ING FINANCING COSTS </w:t>
      </w:r>
      <w:r w:rsidRPr="006A5024">
        <w:rPr>
          <w:b/>
          <w:bCs/>
        </w:rPr>
        <w:t>UNDER THE NCCR TARIFF?</w:t>
      </w:r>
    </w:p>
    <w:p w14:paraId="3D9B5ABB" w14:textId="520A13AF" w:rsidR="00C673E2" w:rsidRDefault="00C673E2" w:rsidP="00A26BF1">
      <w:pPr>
        <w:spacing w:before="240" w:after="240" w:line="360" w:lineRule="auto"/>
        <w:ind w:left="720" w:hanging="720"/>
        <w:jc w:val="both"/>
      </w:pPr>
      <w:r>
        <w:t>A.</w:t>
      </w:r>
      <w:r>
        <w:tab/>
        <w:t xml:space="preserve">Any over or under-recovered balance resulting from the NCCR tariff at its termination date will be included in rate base and addressed in the next base rate case. </w:t>
      </w:r>
    </w:p>
    <w:p w14:paraId="685CCD07" w14:textId="193FCE8E" w:rsidR="008647E6" w:rsidRDefault="008647E6" w:rsidP="008647E6">
      <w:pPr>
        <w:pStyle w:val="OutlineL1"/>
        <w:keepNext/>
        <w:tabs>
          <w:tab w:val="clear" w:pos="2610"/>
          <w:tab w:val="num" w:pos="720"/>
        </w:tabs>
        <w:spacing w:before="240" w:after="240" w:line="360" w:lineRule="auto"/>
        <w:ind w:left="720" w:hanging="720"/>
        <w:jc w:val="left"/>
      </w:pPr>
      <w:r>
        <w:t xml:space="preserve">OPERATING </w:t>
      </w:r>
      <w:r w:rsidR="00C673E2">
        <w:t>COSTS</w:t>
      </w:r>
    </w:p>
    <w:p w14:paraId="5811620F" w14:textId="233B7A54" w:rsidR="00C673E2" w:rsidRPr="00C673E2" w:rsidRDefault="00C673E2" w:rsidP="00C673E2">
      <w:pPr>
        <w:keepNext/>
        <w:spacing w:before="240" w:after="240" w:line="360" w:lineRule="auto"/>
        <w:ind w:left="720" w:hanging="720"/>
        <w:jc w:val="both"/>
        <w:outlineLvl w:val="0"/>
        <w:rPr>
          <w:rFonts w:ascii="Times New Roman Bold" w:eastAsiaTheme="majorEastAsia" w:hAnsi="Times New Roman Bold" w:cstheme="majorBidi"/>
          <w:b/>
          <w:caps/>
          <w:szCs w:val="32"/>
        </w:rPr>
      </w:pPr>
      <w:r w:rsidRPr="00C673E2">
        <w:rPr>
          <w:rFonts w:ascii="Times New Roman Bold" w:eastAsiaTheme="majorEastAsia" w:hAnsi="Times New Roman Bold" w:cstheme="majorBidi"/>
          <w:b/>
          <w:caps/>
          <w:szCs w:val="32"/>
        </w:rPr>
        <w:t>Q.</w:t>
      </w:r>
      <w:r w:rsidRPr="00C673E2">
        <w:rPr>
          <w:rFonts w:ascii="Times New Roman Bold" w:eastAsiaTheme="majorEastAsia" w:hAnsi="Times New Roman Bold" w:cstheme="majorBidi"/>
          <w:b/>
          <w:caps/>
          <w:szCs w:val="32"/>
        </w:rPr>
        <w:tab/>
      </w:r>
      <w:r w:rsidR="00E040A1">
        <w:rPr>
          <w:rFonts w:ascii="Times New Roman Bold" w:eastAsiaTheme="majorEastAsia" w:hAnsi="Times New Roman Bold" w:cstheme="majorBidi"/>
          <w:b/>
          <w:caps/>
          <w:szCs w:val="32"/>
        </w:rPr>
        <w:t xml:space="preserve">PLEASE DESCRIBE THE </w:t>
      </w:r>
      <w:r w:rsidRPr="00C673E2">
        <w:rPr>
          <w:rFonts w:ascii="Times New Roman Bold" w:eastAsiaTheme="majorEastAsia" w:hAnsi="Times New Roman Bold" w:cstheme="majorBidi"/>
          <w:b/>
          <w:caps/>
          <w:szCs w:val="32"/>
        </w:rPr>
        <w:t xml:space="preserve">OPERATING COSTS THE COMPANY </w:t>
      </w:r>
      <w:r w:rsidR="00E040A1">
        <w:rPr>
          <w:rFonts w:ascii="Times New Roman Bold" w:eastAsiaTheme="majorEastAsia" w:hAnsi="Times New Roman Bold" w:cstheme="majorBidi"/>
          <w:b/>
          <w:caps/>
          <w:szCs w:val="32"/>
        </w:rPr>
        <w:t xml:space="preserve">SEEKS TO </w:t>
      </w:r>
      <w:r w:rsidR="00295EE8">
        <w:rPr>
          <w:rFonts w:ascii="Times New Roman Bold" w:eastAsiaTheme="majorEastAsia" w:hAnsi="Times New Roman Bold" w:cstheme="majorBidi"/>
          <w:b/>
          <w:caps/>
          <w:szCs w:val="32"/>
        </w:rPr>
        <w:t xml:space="preserve">RECOVER </w:t>
      </w:r>
      <w:r w:rsidRPr="00C673E2">
        <w:rPr>
          <w:rFonts w:ascii="Times New Roman Bold" w:eastAsiaTheme="majorEastAsia" w:hAnsi="Times New Roman Bold" w:cstheme="majorBidi"/>
          <w:b/>
          <w:caps/>
          <w:szCs w:val="32"/>
        </w:rPr>
        <w:t>FROM CUSTOMERS</w:t>
      </w:r>
      <w:r w:rsidR="00E040A1">
        <w:rPr>
          <w:rFonts w:ascii="Times New Roman Bold" w:eastAsiaTheme="majorEastAsia" w:hAnsi="Times New Roman Bold" w:cstheme="majorBidi"/>
          <w:b/>
          <w:caps/>
          <w:szCs w:val="32"/>
        </w:rPr>
        <w:t>.</w:t>
      </w:r>
    </w:p>
    <w:p w14:paraId="2DEBC1FA" w14:textId="21A6C7E2" w:rsidR="00C673E2" w:rsidRPr="00C673E2" w:rsidRDefault="00C673E2" w:rsidP="00C673E2">
      <w:pPr>
        <w:spacing w:before="240" w:after="240" w:line="360" w:lineRule="auto"/>
        <w:ind w:left="720" w:hanging="720"/>
        <w:jc w:val="both"/>
      </w:pPr>
      <w:r w:rsidRPr="00C673E2">
        <w:t>A.</w:t>
      </w:r>
      <w:r w:rsidRPr="00C673E2">
        <w:tab/>
        <w:t xml:space="preserve">The Company has included depreciation expenses, O&amp;M expenses, property tax expenses, and nuclear decommissioning expenses as part of the operating expenses to be included in the revenue requirement to be recovered from customers upon </w:t>
      </w:r>
      <w:r w:rsidR="007D70B4">
        <w:t>C</w:t>
      </w:r>
      <w:r w:rsidR="007D70B4" w:rsidRPr="00C673E2">
        <w:t xml:space="preserve">ommercial </w:t>
      </w:r>
      <w:r w:rsidR="007D70B4">
        <w:t>O</w:t>
      </w:r>
      <w:r w:rsidR="007D70B4" w:rsidRPr="00C673E2">
        <w:t xml:space="preserve">peration </w:t>
      </w:r>
      <w:r w:rsidRPr="00C673E2">
        <w:t xml:space="preserve">of Unit 4. The Company has also included operating costs for nuclear fuel plant and materials and supplies inventory in the projected rate base, which are both necessary costs of operating Units 3 and 4. </w:t>
      </w:r>
      <w:r w:rsidR="00711BF7" w:rsidRPr="0099499A">
        <w:t>The projected operating cost profile and ultimate costs to customers will be significantly reduced thanks to the benefit of the PTCs related to the Company</w:t>
      </w:r>
      <w:r w:rsidR="001B126C">
        <w:t>’</w:t>
      </w:r>
      <w:r w:rsidR="00711BF7" w:rsidRPr="0099499A">
        <w:t>s share of Vogtle Unit 3 and 4</w:t>
      </w:r>
      <w:r w:rsidR="001B126C">
        <w:t>’</w:t>
      </w:r>
      <w:r w:rsidR="00711BF7" w:rsidRPr="0099499A">
        <w:t>s generation output</w:t>
      </w:r>
      <w:r w:rsidR="006509C6">
        <w:t>. T</w:t>
      </w:r>
      <w:r w:rsidRPr="00C673E2">
        <w:t>he Company proposes to provide the full benefit of the PTCs generated by Units 3 and 4 to customers</w:t>
      </w:r>
      <w:r w:rsidR="006509C6">
        <w:t xml:space="preserve"> through </w:t>
      </w:r>
      <w:r w:rsidR="00A15956">
        <w:t>an offset to operating expenses in the revenue requirement</w:t>
      </w:r>
      <w:r w:rsidRPr="00C673E2">
        <w:t xml:space="preserve">. </w:t>
      </w:r>
    </w:p>
    <w:p w14:paraId="487D5635" w14:textId="77777777" w:rsidR="00C673E2" w:rsidRPr="00C673E2" w:rsidRDefault="00C673E2" w:rsidP="00C673E2">
      <w:pPr>
        <w:spacing w:before="240" w:after="240" w:line="360" w:lineRule="auto"/>
        <w:ind w:left="720" w:hanging="720"/>
        <w:jc w:val="both"/>
        <w:outlineLvl w:val="0"/>
        <w:rPr>
          <w:rFonts w:ascii="Times New Roman Bold" w:eastAsiaTheme="majorEastAsia" w:hAnsi="Times New Roman Bold" w:cstheme="majorBidi"/>
          <w:b/>
          <w:caps/>
          <w:szCs w:val="32"/>
        </w:rPr>
      </w:pPr>
      <w:r w:rsidRPr="00C673E2">
        <w:rPr>
          <w:rFonts w:ascii="Times New Roman Bold" w:eastAsiaTheme="majorEastAsia" w:hAnsi="Times New Roman Bold" w:cstheme="majorBidi"/>
          <w:b/>
          <w:caps/>
          <w:szCs w:val="32"/>
        </w:rPr>
        <w:t>Q.</w:t>
      </w:r>
      <w:r w:rsidRPr="00C673E2">
        <w:rPr>
          <w:rFonts w:ascii="Times New Roman Bold" w:eastAsiaTheme="majorEastAsia" w:hAnsi="Times New Roman Bold" w:cstheme="majorBidi"/>
          <w:b/>
          <w:caps/>
          <w:szCs w:val="32"/>
        </w:rPr>
        <w:tab/>
        <w:t>SHOULD THERE BE ANY DISALLOWANCES, ADJUSTMENTS, OR OTHER LIMITATIONS ON THESE OPERATING AMOUNTS INCLUDED IN REVENUE REQUIREMENTS?</w:t>
      </w:r>
    </w:p>
    <w:p w14:paraId="0B61068D" w14:textId="0E6ADC96" w:rsidR="00C673E2" w:rsidRPr="00C673E2" w:rsidRDefault="00C673E2" w:rsidP="00C673E2">
      <w:pPr>
        <w:spacing w:before="240" w:after="240" w:line="360" w:lineRule="auto"/>
        <w:ind w:left="720" w:hanging="720"/>
        <w:jc w:val="both"/>
      </w:pPr>
      <w:r w:rsidRPr="00C673E2">
        <w:t>A.</w:t>
      </w:r>
      <w:r w:rsidRPr="00C673E2">
        <w:tab/>
        <w:t>No. When Units 3 and 4 achieve Commercial Operation, they will be fully dispatchable baseload generation available to serve customers with the generation output of the Company</w:t>
      </w:r>
      <w:r w:rsidR="001B126C">
        <w:t>’</w:t>
      </w:r>
      <w:r w:rsidRPr="00C673E2">
        <w:t>s ownership in Units 3 and 4</w:t>
      </w:r>
      <w:r w:rsidR="002823F2">
        <w:t xml:space="preserve"> serving cu</w:t>
      </w:r>
      <w:r w:rsidR="003654F1">
        <w:t xml:space="preserve">stomers </w:t>
      </w:r>
      <w:r w:rsidR="00BD30F3">
        <w:t xml:space="preserve">as </w:t>
      </w:r>
      <w:r w:rsidR="00D76469">
        <w:t xml:space="preserve">a </w:t>
      </w:r>
      <w:r w:rsidR="00BC6C9C">
        <w:t>certified generating resource</w:t>
      </w:r>
      <w:r w:rsidRPr="00C673E2">
        <w:t xml:space="preserve">. </w:t>
      </w:r>
      <w:r w:rsidR="00102763">
        <w:t xml:space="preserve">The </w:t>
      </w:r>
      <w:r w:rsidR="00631F24">
        <w:t xml:space="preserve">Stipulation with PIA Staff and </w:t>
      </w:r>
      <w:r w:rsidR="00DC2A87">
        <w:t xml:space="preserve">several </w:t>
      </w:r>
      <w:r w:rsidR="000535AD">
        <w:t>other</w:t>
      </w:r>
      <w:r w:rsidR="00DC2A87">
        <w:t xml:space="preserve"> intervenors provides for full recovery of the operating amounts included in the </w:t>
      </w:r>
      <w:r w:rsidR="000535AD">
        <w:t>revenue requirement.</w:t>
      </w:r>
      <w:r w:rsidRPr="00C673E2">
        <w:t xml:space="preserve"> Under typical regulatory accounting treatment, operating costs are either included in rates once a unit is placed in service or deferred for future recovery until the regulatory review process for the capital cost of the unit is completed. This regulatory proceeding completes the regulatory review process for all of Unit 3 and 4 costs. It would be inappropriate for the Commission to disallow recovery of operating costs for a certified generation facility that is in service.</w:t>
      </w:r>
    </w:p>
    <w:p w14:paraId="73742665" w14:textId="7696892A" w:rsidR="00B74BAE" w:rsidRDefault="00B74BAE" w:rsidP="008647E6">
      <w:pPr>
        <w:pStyle w:val="OutlineL1"/>
        <w:keepNext/>
        <w:tabs>
          <w:tab w:val="clear" w:pos="2610"/>
          <w:tab w:val="num" w:pos="720"/>
        </w:tabs>
        <w:spacing w:before="240" w:after="240" w:line="360" w:lineRule="auto"/>
        <w:ind w:left="720" w:hanging="720"/>
        <w:jc w:val="left"/>
      </w:pPr>
      <w:r>
        <w:t>REPLACEMENT FUEL COSTS</w:t>
      </w:r>
    </w:p>
    <w:bookmarkEnd w:id="1"/>
    <w:p w14:paraId="6D4AC791" w14:textId="2E982497" w:rsidR="00BA76FE" w:rsidRPr="00BA76FE" w:rsidRDefault="00BA76FE" w:rsidP="00BA76FE">
      <w:pPr>
        <w:spacing w:before="240" w:after="240" w:line="360" w:lineRule="auto"/>
        <w:ind w:left="720" w:hanging="720"/>
        <w:jc w:val="both"/>
        <w:rPr>
          <w:b/>
          <w:bCs/>
        </w:rPr>
      </w:pPr>
      <w:r w:rsidRPr="00BA76FE">
        <w:rPr>
          <w:b/>
          <w:bCs/>
        </w:rPr>
        <w:t>Q.</w:t>
      </w:r>
      <w:r>
        <w:tab/>
      </w:r>
      <w:r w:rsidRPr="00BA76FE">
        <w:rPr>
          <w:b/>
          <w:bCs/>
        </w:rPr>
        <w:t xml:space="preserve">WHAT </w:t>
      </w:r>
      <w:r w:rsidR="007C1A3F" w:rsidRPr="00D1F1DB">
        <w:rPr>
          <w:b/>
          <w:bCs/>
        </w:rPr>
        <w:t>IS THE COMPANY</w:t>
      </w:r>
      <w:r w:rsidR="001B126C">
        <w:rPr>
          <w:b/>
          <w:bCs/>
        </w:rPr>
        <w:t>’</w:t>
      </w:r>
      <w:r w:rsidR="007C1A3F" w:rsidRPr="00D1F1DB">
        <w:rPr>
          <w:b/>
          <w:bCs/>
        </w:rPr>
        <w:t xml:space="preserve">S ESTIMATE </w:t>
      </w:r>
      <w:r w:rsidR="004D4E37">
        <w:rPr>
          <w:b/>
          <w:bCs/>
        </w:rPr>
        <w:t>OF RE</w:t>
      </w:r>
      <w:r w:rsidRPr="00BA76FE">
        <w:rPr>
          <w:b/>
          <w:bCs/>
        </w:rPr>
        <w:t>PLACEMENT FUEL COSTS?</w:t>
      </w:r>
    </w:p>
    <w:p w14:paraId="68D6EFC6" w14:textId="492C0141" w:rsidR="00BA76FE" w:rsidRDefault="00BA76FE" w:rsidP="00BA76FE">
      <w:pPr>
        <w:spacing w:before="240" w:after="240" w:line="360" w:lineRule="auto"/>
        <w:ind w:left="720" w:hanging="720"/>
        <w:jc w:val="both"/>
      </w:pPr>
      <w:r>
        <w:t>A.</w:t>
      </w:r>
      <w:r>
        <w:tab/>
      </w:r>
      <w:r w:rsidR="01A72C22">
        <w:t>The Company calculated replacement fuel costs</w:t>
      </w:r>
      <w:r w:rsidR="0C88C01A">
        <w:t xml:space="preserve"> </w:t>
      </w:r>
      <w:r w:rsidR="01A72C22">
        <w:t xml:space="preserve">as directed </w:t>
      </w:r>
      <w:r w:rsidR="00CF2CF6">
        <w:t xml:space="preserve">by </w:t>
      </w:r>
      <w:r w:rsidR="01A72C22">
        <w:t>the VCM 12 order in all VCM proceedings foll</w:t>
      </w:r>
      <w:r w:rsidR="6029DC6E">
        <w:t>owing</w:t>
      </w:r>
      <w:r w:rsidR="01A72C22">
        <w:t xml:space="preserve"> the initial certification dates of the Project. </w:t>
      </w:r>
      <w:r w:rsidR="4CE44150">
        <w:t>The Company</w:t>
      </w:r>
      <w:r w:rsidR="001B126C">
        <w:t>’</w:t>
      </w:r>
      <w:r w:rsidR="00B11447">
        <w:t>s</w:t>
      </w:r>
      <w:r w:rsidR="4CE44150">
        <w:t xml:space="preserve"> </w:t>
      </w:r>
      <w:r w:rsidR="00B11447">
        <w:t>r</w:t>
      </w:r>
      <w:r w:rsidR="4CE44150">
        <w:t xml:space="preserve">eplacement </w:t>
      </w:r>
      <w:r w:rsidR="00B11447">
        <w:t>e</w:t>
      </w:r>
      <w:r w:rsidR="4CE44150">
        <w:t>nergy cost</w:t>
      </w:r>
      <w:r w:rsidR="00B11447">
        <w:t xml:space="preserve"> analysi</w:t>
      </w:r>
      <w:r w:rsidR="4CE44150">
        <w:t xml:space="preserve">s is found in Table 1.2 of each VCM report starting in VCM </w:t>
      </w:r>
      <w:r w:rsidR="0C547CA5">
        <w:t>15 and</w:t>
      </w:r>
      <w:r w:rsidR="004E1092">
        <w:t>,</w:t>
      </w:r>
      <w:r w:rsidR="004E1092" w:rsidRPr="004E1092">
        <w:t xml:space="preserve"> </w:t>
      </w:r>
      <w:r w:rsidR="004E1092">
        <w:t>to show the net cost picture,</w:t>
      </w:r>
      <w:r w:rsidR="0C547CA5">
        <w:t xml:space="preserve"> includes not only the </w:t>
      </w:r>
      <w:r w:rsidR="2A7D29FC">
        <w:t xml:space="preserve">deferred benefits of </w:t>
      </w:r>
      <w:r w:rsidR="0C547CA5">
        <w:t xml:space="preserve">replacement </w:t>
      </w:r>
      <w:r w:rsidR="097AE013">
        <w:t>energy</w:t>
      </w:r>
      <w:r w:rsidR="0C547CA5">
        <w:t xml:space="preserve"> costs and PTCs but also the </w:t>
      </w:r>
      <w:r w:rsidR="6B5DAC62">
        <w:t>deferred</w:t>
      </w:r>
      <w:r w:rsidR="0C547CA5">
        <w:t xml:space="preserve"> operating expenses that customers would be paying if the </w:t>
      </w:r>
      <w:r w:rsidR="00F05583">
        <w:t xml:space="preserve">Units </w:t>
      </w:r>
      <w:r w:rsidR="0C547CA5">
        <w:t>were in operation</w:t>
      </w:r>
      <w:r w:rsidR="14FDEC31">
        <w:t xml:space="preserve">. </w:t>
      </w:r>
      <w:r w:rsidR="08BD09B4">
        <w:t xml:space="preserve">The </w:t>
      </w:r>
      <w:r w:rsidR="5941EC18">
        <w:t xml:space="preserve">updated Company analysis presented </w:t>
      </w:r>
      <w:r w:rsidR="00480654">
        <w:t xml:space="preserve">in </w:t>
      </w:r>
      <w:r w:rsidR="0001121F">
        <w:t xml:space="preserve">Table </w:t>
      </w:r>
      <w:r w:rsidR="00372AB6">
        <w:t xml:space="preserve">5 of </w:t>
      </w:r>
      <w:r w:rsidR="00480654">
        <w:t>the</w:t>
      </w:r>
      <w:r w:rsidR="009E5C10">
        <w:t xml:space="preserve"> </w:t>
      </w:r>
      <w:r w:rsidR="00D80873">
        <w:t>Comp</w:t>
      </w:r>
      <w:r w:rsidR="00583C9B">
        <w:t>any</w:t>
      </w:r>
      <w:r w:rsidR="001B126C">
        <w:t>’</w:t>
      </w:r>
      <w:r w:rsidR="00583C9B">
        <w:t xml:space="preserve">s Application to </w:t>
      </w:r>
      <w:r w:rsidR="00F93127">
        <w:t>Adjust</w:t>
      </w:r>
      <w:r w:rsidR="00583C9B">
        <w:t xml:space="preserve"> Rates</w:t>
      </w:r>
      <w:r w:rsidR="5941EC18">
        <w:t xml:space="preserve"> </w:t>
      </w:r>
      <w:r w:rsidR="00B11447">
        <w:t xml:space="preserve">accounts for the </w:t>
      </w:r>
      <w:r w:rsidR="00357F91">
        <w:t xml:space="preserve">Commercial Operation </w:t>
      </w:r>
      <w:r w:rsidR="5941EC18">
        <w:t>da</w:t>
      </w:r>
      <w:r w:rsidR="57DDB3B1">
        <w:t xml:space="preserve">tes </w:t>
      </w:r>
      <w:r w:rsidR="006E1CC1">
        <w:t>of</w:t>
      </w:r>
      <w:r w:rsidR="57DDB3B1">
        <w:t xml:space="preserve"> </w:t>
      </w:r>
      <w:r w:rsidR="00D86EE5">
        <w:t>N</w:t>
      </w:r>
      <w:r w:rsidR="13128EFE">
        <w:t>ovember 2021</w:t>
      </w:r>
      <w:r w:rsidR="00D86EE5">
        <w:t xml:space="preserve"> for Unit 3</w:t>
      </w:r>
      <w:r w:rsidR="13128EFE">
        <w:t xml:space="preserve"> and</w:t>
      </w:r>
      <w:r w:rsidR="00D86EE5">
        <w:t xml:space="preserve"> </w:t>
      </w:r>
      <w:r w:rsidR="13128EFE">
        <w:t>November 2022</w:t>
      </w:r>
      <w:r w:rsidR="00D86EE5">
        <w:t xml:space="preserve"> for Unit 4 </w:t>
      </w:r>
      <w:r w:rsidR="00291EFB">
        <w:t>found reasonable</w:t>
      </w:r>
      <w:r w:rsidR="00D86EE5">
        <w:t xml:space="preserve"> in the VCM 17 Order.</w:t>
      </w:r>
      <w:r w:rsidR="749DEDBB">
        <w:t xml:space="preserve"> </w:t>
      </w:r>
      <w:r w:rsidR="41F6523D">
        <w:t xml:space="preserve">The updated </w:t>
      </w:r>
      <w:r w:rsidR="00291EFB">
        <w:t>r</w:t>
      </w:r>
      <w:r w:rsidR="41F6523D">
        <w:t>egulatory</w:t>
      </w:r>
      <w:r w:rsidR="00291EFB">
        <w:t>-a</w:t>
      </w:r>
      <w:r w:rsidR="41F6523D">
        <w:t xml:space="preserve">pproved dates </w:t>
      </w:r>
      <w:r w:rsidR="4AB15F16">
        <w:t xml:space="preserve">are the appropriate benchmark since </w:t>
      </w:r>
      <w:r w:rsidR="41F6523D">
        <w:t>the</w:t>
      </w:r>
      <w:r w:rsidR="749DEDBB">
        <w:t xml:space="preserve"> Project w</w:t>
      </w:r>
      <w:r w:rsidR="7E44D001">
        <w:t>as</w:t>
      </w:r>
      <w:r w:rsidR="749DEDBB">
        <w:t xml:space="preserve"> holistically reviewed in a </w:t>
      </w:r>
      <w:r w:rsidR="001B126C">
        <w:t>‘</w:t>
      </w:r>
      <w:r w:rsidR="749DEDBB">
        <w:t>Go</w:t>
      </w:r>
      <w:r w:rsidR="001B126C">
        <w:t>’</w:t>
      </w:r>
      <w:r w:rsidR="749DEDBB">
        <w:t>/</w:t>
      </w:r>
      <w:r w:rsidR="00FB0ACC">
        <w:t>‘</w:t>
      </w:r>
      <w:r w:rsidR="749DEDBB">
        <w:t>No-Go</w:t>
      </w:r>
      <w:r w:rsidR="001B126C">
        <w:t>’</w:t>
      </w:r>
      <w:r w:rsidR="749DEDBB">
        <w:t xml:space="preserve"> </w:t>
      </w:r>
      <w:r w:rsidR="0CC710F1">
        <w:t>decision and the option selected was to continue construction under a new project structure versus selecting an alternate option to meet the growing load demand</w:t>
      </w:r>
      <w:r w:rsidR="0F9DFB46">
        <w:t>.</w:t>
      </w:r>
    </w:p>
    <w:p w14:paraId="18B96090" w14:textId="6459A3C5" w:rsidR="00BA76FE" w:rsidRDefault="00BA76FE" w:rsidP="001A52B8">
      <w:pPr>
        <w:spacing w:before="240" w:after="240" w:line="360" w:lineRule="auto"/>
        <w:ind w:left="720" w:hanging="720"/>
        <w:jc w:val="both"/>
        <w:rPr>
          <w:b/>
          <w:bCs/>
        </w:rPr>
      </w:pPr>
      <w:r w:rsidRPr="00BA76FE">
        <w:rPr>
          <w:b/>
          <w:bCs/>
        </w:rPr>
        <w:t>Q.</w:t>
      </w:r>
      <w:r>
        <w:tab/>
      </w:r>
      <w:r w:rsidR="48922C9C" w:rsidRPr="62F6A8A2">
        <w:rPr>
          <w:b/>
          <w:bCs/>
        </w:rPr>
        <w:t>IS THERE A FUEL COST BENEFIT</w:t>
      </w:r>
      <w:r w:rsidR="7A38349E" w:rsidRPr="62F6A8A2">
        <w:rPr>
          <w:b/>
          <w:bCs/>
        </w:rPr>
        <w:t xml:space="preserve"> TO THE NEW NUCLEAR UNITS?</w:t>
      </w:r>
    </w:p>
    <w:p w14:paraId="1ABA41CA" w14:textId="6EB400D3" w:rsidR="006F7F6B" w:rsidRDefault="006F7F6B" w:rsidP="006F7F6B">
      <w:pPr>
        <w:spacing w:before="240" w:after="240" w:line="360" w:lineRule="auto"/>
        <w:ind w:left="720" w:hanging="720"/>
        <w:jc w:val="both"/>
      </w:pPr>
      <w:r>
        <w:t>A.</w:t>
      </w:r>
      <w:r>
        <w:tab/>
      </w:r>
      <w:r w:rsidR="4396242C">
        <w:t xml:space="preserve">Yes, </w:t>
      </w:r>
      <w:r w:rsidR="008733EC">
        <w:t>nuclear energy</w:t>
      </w:r>
      <w:r w:rsidR="4396242C">
        <w:t xml:space="preserve"> </w:t>
      </w:r>
      <w:r w:rsidR="6E736C1A">
        <w:t xml:space="preserve">has historically </w:t>
      </w:r>
      <w:r w:rsidR="4396242C">
        <w:t>provide</w:t>
      </w:r>
      <w:r w:rsidR="6E62AEB7">
        <w:t>d</w:t>
      </w:r>
      <w:r w:rsidR="4396242C">
        <w:t xml:space="preserve"> a benefit to customers in </w:t>
      </w:r>
      <w:r w:rsidR="460BE28C">
        <w:t xml:space="preserve">the form of </w:t>
      </w:r>
      <w:r w:rsidR="4396242C">
        <w:t xml:space="preserve">lower fuel costs </w:t>
      </w:r>
      <w:r w:rsidR="3E81184D">
        <w:t xml:space="preserve">as </w:t>
      </w:r>
      <w:r w:rsidR="4396242C">
        <w:t xml:space="preserve">compared to </w:t>
      </w:r>
      <w:r w:rsidR="478355F9">
        <w:t xml:space="preserve">other </w:t>
      </w:r>
      <w:r w:rsidR="1A32E6F5">
        <w:t xml:space="preserve">generating </w:t>
      </w:r>
      <w:r w:rsidR="478355F9">
        <w:t>options.</w:t>
      </w:r>
      <w:r w:rsidR="4DC5DEB3">
        <w:t xml:space="preserve"> </w:t>
      </w:r>
      <w:r w:rsidR="00CA4B53">
        <w:t>When</w:t>
      </w:r>
      <w:r w:rsidR="0081061C">
        <w:t xml:space="preserve"> the </w:t>
      </w:r>
      <w:r w:rsidR="00F05583">
        <w:t xml:space="preserve">Units </w:t>
      </w:r>
      <w:r w:rsidR="0081061C">
        <w:t>achieve Commercial Operation, they</w:t>
      </w:r>
      <w:r w:rsidR="4DC5DEB3">
        <w:t xml:space="preserve"> are dispatchable </w:t>
      </w:r>
      <w:r w:rsidR="2D18514C">
        <w:t xml:space="preserve">and capable of </w:t>
      </w:r>
      <w:r w:rsidR="00DF2252">
        <w:t>ramping up and down to follow</w:t>
      </w:r>
      <w:r w:rsidR="0060245E">
        <w:t xml:space="preserve"> </w:t>
      </w:r>
      <w:r w:rsidR="2D18514C">
        <w:t>load</w:t>
      </w:r>
      <w:r w:rsidR="4DC5DEB3">
        <w:t xml:space="preserve">, </w:t>
      </w:r>
      <w:r w:rsidR="00331FC6">
        <w:t xml:space="preserve">and </w:t>
      </w:r>
      <w:r w:rsidR="04BDF474">
        <w:t xml:space="preserve">typically </w:t>
      </w:r>
      <w:r w:rsidR="4DC5DEB3">
        <w:t xml:space="preserve">dispatch </w:t>
      </w:r>
      <w:r w:rsidR="719F9ABF">
        <w:t xml:space="preserve">at 100% power, </w:t>
      </w:r>
      <w:r w:rsidR="00257FCC">
        <w:t>24 hours a day, seven days a week</w:t>
      </w:r>
      <w:r w:rsidR="4DC5DEB3">
        <w:t xml:space="preserve"> as a baseload resource due to their lower operating and fuel costs</w:t>
      </w:r>
      <w:r w:rsidR="0081061C">
        <w:t xml:space="preserve"> compared to other resources on the system</w:t>
      </w:r>
      <w:r w:rsidR="4DC5DEB3">
        <w:t>.</w:t>
      </w:r>
    </w:p>
    <w:p w14:paraId="06D488E9" w14:textId="24736B1F" w:rsidR="001E759E" w:rsidRPr="00D21BC7" w:rsidRDefault="001E759E" w:rsidP="0081061C">
      <w:pPr>
        <w:pStyle w:val="BodyText"/>
        <w:keepNext/>
        <w:widowControl/>
        <w:spacing w:line="360" w:lineRule="auto"/>
        <w:ind w:left="720" w:hanging="720"/>
        <w:jc w:val="both"/>
      </w:pPr>
      <w:r w:rsidRPr="00D21BC7">
        <w:rPr>
          <w:b/>
        </w:rPr>
        <w:t>Q.</w:t>
      </w:r>
      <w:r>
        <w:tab/>
      </w:r>
      <w:r w:rsidRPr="00D21BC7">
        <w:rPr>
          <w:b/>
        </w:rPr>
        <w:t>DOES THE COMPANY</w:t>
      </w:r>
      <w:r w:rsidR="001B126C">
        <w:rPr>
          <w:b/>
        </w:rPr>
        <w:t>’</w:t>
      </w:r>
      <w:r w:rsidRPr="00D21BC7">
        <w:rPr>
          <w:b/>
        </w:rPr>
        <w:t>S CURRENT F</w:t>
      </w:r>
      <w:r w:rsidR="007A36F7">
        <w:rPr>
          <w:b/>
        </w:rPr>
        <w:t>UEL COST RECOVERY (“</w:t>
      </w:r>
      <w:r w:rsidRPr="00D21BC7">
        <w:rPr>
          <w:b/>
        </w:rPr>
        <w:t>FCR</w:t>
      </w:r>
      <w:r w:rsidR="007A36F7">
        <w:rPr>
          <w:b/>
        </w:rPr>
        <w:t>”)</w:t>
      </w:r>
      <w:r w:rsidRPr="00D21BC7">
        <w:rPr>
          <w:b/>
        </w:rPr>
        <w:t xml:space="preserve"> TARIFF CAPTURE THE IMPACT OF VOGTLE UNIT</w:t>
      </w:r>
      <w:r>
        <w:rPr>
          <w:b/>
        </w:rPr>
        <w:t>S</w:t>
      </w:r>
      <w:r w:rsidRPr="00D21BC7">
        <w:rPr>
          <w:b/>
        </w:rPr>
        <w:t xml:space="preserve"> 3</w:t>
      </w:r>
      <w:r>
        <w:rPr>
          <w:b/>
        </w:rPr>
        <w:t xml:space="preserve"> AND 4</w:t>
      </w:r>
      <w:r w:rsidRPr="00D21BC7">
        <w:rPr>
          <w:b/>
        </w:rPr>
        <w:t xml:space="preserve"> ACHIEVING COMMERCIAL OPERATION?</w:t>
      </w:r>
    </w:p>
    <w:p w14:paraId="2294FDA8" w14:textId="1A87283A" w:rsidR="001E759E" w:rsidRPr="000D302E" w:rsidRDefault="001E759E" w:rsidP="001E759E">
      <w:pPr>
        <w:pStyle w:val="BodyText"/>
        <w:spacing w:after="0" w:line="360" w:lineRule="auto"/>
        <w:ind w:left="720" w:hanging="720"/>
        <w:jc w:val="both"/>
      </w:pPr>
      <w:r w:rsidRPr="00D21BC7">
        <w:t>A.</w:t>
      </w:r>
      <w:r w:rsidRPr="00D21BC7">
        <w:tab/>
        <w:t>Yes. The Company</w:t>
      </w:r>
      <w:r w:rsidR="001B126C">
        <w:t>’</w:t>
      </w:r>
      <w:r w:rsidRPr="00D21BC7">
        <w:t>s FCR-26 rates currently in place anticipated Vogtle Unit</w:t>
      </w:r>
      <w:r>
        <w:t>s</w:t>
      </w:r>
      <w:r w:rsidRPr="00D21BC7">
        <w:t xml:space="preserve"> 3 </w:t>
      </w:r>
      <w:r>
        <w:t xml:space="preserve">and 4 </w:t>
      </w:r>
      <w:r w:rsidRPr="00D21BC7">
        <w:t xml:space="preserve">achieving Commercial Operation in </w:t>
      </w:r>
      <w:r w:rsidR="4F9F257C">
        <w:t>March</w:t>
      </w:r>
      <w:r w:rsidR="4550B0BB">
        <w:t xml:space="preserve"> </w:t>
      </w:r>
      <w:r>
        <w:t xml:space="preserve">and </w:t>
      </w:r>
      <w:r w:rsidR="07E05F75">
        <w:t>December</w:t>
      </w:r>
      <w:r>
        <w:t xml:space="preserve"> 202</w:t>
      </w:r>
      <w:r w:rsidR="3BB7345F">
        <w:t>3</w:t>
      </w:r>
      <w:r w:rsidRPr="000D302E">
        <w:t>, respectively</w:t>
      </w:r>
      <w:r w:rsidR="00E20B72">
        <w:t xml:space="preserve">. </w:t>
      </w:r>
      <w:r w:rsidR="00BE2C51">
        <w:t xml:space="preserve">Based on the </w:t>
      </w:r>
      <w:r w:rsidR="00656773">
        <w:t>estimates available from the previous VCM 28 filing</w:t>
      </w:r>
      <w:r w:rsidRPr="000D302E">
        <w:t xml:space="preserve">, </w:t>
      </w:r>
      <w:r w:rsidR="00A21891">
        <w:t xml:space="preserve">the </w:t>
      </w:r>
      <w:r w:rsidR="00F05583">
        <w:t xml:space="preserve">Units </w:t>
      </w:r>
      <w:r w:rsidR="00A21891">
        <w:t xml:space="preserve">are </w:t>
      </w:r>
      <w:r w:rsidR="008D0625">
        <w:t>expected</w:t>
      </w:r>
      <w:r w:rsidR="00A21891">
        <w:t xml:space="preserve"> to provide</w:t>
      </w:r>
      <w:r w:rsidRPr="000D302E">
        <w:t xml:space="preserve"> </w:t>
      </w:r>
      <w:r w:rsidR="00F72086">
        <w:t xml:space="preserve">approximately </w:t>
      </w:r>
      <w:r w:rsidRPr="000D302E">
        <w:t>$</w:t>
      </w:r>
      <w:r w:rsidR="00A21891">
        <w:t>289</w:t>
      </w:r>
      <w:r w:rsidRPr="000D302E">
        <w:t xml:space="preserve"> million of projected fuel cost savings for the </w:t>
      </w:r>
      <w:r w:rsidR="007E2998">
        <w:t>24</w:t>
      </w:r>
      <w:r w:rsidRPr="000D302E">
        <w:t xml:space="preserve">-month </w:t>
      </w:r>
      <w:r w:rsidR="00BD1007">
        <w:t xml:space="preserve">test </w:t>
      </w:r>
      <w:r w:rsidRPr="000D302E">
        <w:t xml:space="preserve">period ending </w:t>
      </w:r>
      <w:r w:rsidR="00BD1007">
        <w:t>March</w:t>
      </w:r>
      <w:r w:rsidR="00BD1007" w:rsidRPr="000D302E">
        <w:t xml:space="preserve"> </w:t>
      </w:r>
      <w:r w:rsidRPr="000D302E">
        <w:t xml:space="preserve">2025. Prior to Commercial Operation, </w:t>
      </w:r>
      <w:r w:rsidR="005D6410">
        <w:t>during</w:t>
      </w:r>
      <w:r w:rsidRPr="000D302E">
        <w:t xml:space="preserve"> testing, the cost of the fuel consumed is capitalized and included as construction cost</w:t>
      </w:r>
      <w:r w:rsidR="006E2726">
        <w:t>, and</w:t>
      </w:r>
      <w:r w:rsidR="001C6660">
        <w:t xml:space="preserve"> </w:t>
      </w:r>
      <w:r w:rsidRPr="000D302E">
        <w:t>the k</w:t>
      </w:r>
      <w:r w:rsidR="004A2F27">
        <w:t>ilowatt hours</w:t>
      </w:r>
      <w:r w:rsidRPr="000D302E">
        <w:t xml:space="preserve"> generated during </w:t>
      </w:r>
      <w:r w:rsidR="007B6AC9">
        <w:t>the</w:t>
      </w:r>
      <w:r w:rsidR="007B6AC9" w:rsidRPr="000D302E">
        <w:t xml:space="preserve"> </w:t>
      </w:r>
      <w:r w:rsidRPr="000D302E">
        <w:t>testing period are available for retail customers and included in the Company</w:t>
      </w:r>
      <w:r w:rsidR="001B126C">
        <w:t>’</w:t>
      </w:r>
      <w:r w:rsidRPr="000D302E">
        <w:t>s FCR calculations.</w:t>
      </w:r>
    </w:p>
    <w:p w14:paraId="3FCFE605" w14:textId="3CCCEB84" w:rsidR="0051586B" w:rsidRDefault="0051586B" w:rsidP="001A52B8">
      <w:pPr>
        <w:pStyle w:val="OutlineL1"/>
        <w:keepNext/>
        <w:tabs>
          <w:tab w:val="clear" w:pos="2610"/>
          <w:tab w:val="num" w:pos="720"/>
        </w:tabs>
        <w:spacing w:before="240" w:after="240" w:line="360" w:lineRule="auto"/>
        <w:ind w:left="720" w:hanging="720"/>
        <w:jc w:val="left"/>
      </w:pPr>
      <w:r>
        <w:t xml:space="preserve">RETAIL BASE </w:t>
      </w:r>
      <w:r w:rsidR="00395F28">
        <w:t xml:space="preserve">RATE </w:t>
      </w:r>
      <w:r>
        <w:t>ADJUSTMENT</w:t>
      </w:r>
    </w:p>
    <w:p w14:paraId="0CD41352" w14:textId="6A4AC66B" w:rsidR="00413C42" w:rsidRPr="00413C42" w:rsidRDefault="00413C42" w:rsidP="00413C42">
      <w:pPr>
        <w:spacing w:before="240" w:after="240" w:line="360" w:lineRule="auto"/>
        <w:ind w:left="720" w:hanging="720"/>
        <w:jc w:val="both"/>
        <w:rPr>
          <w:b/>
          <w:bCs/>
        </w:rPr>
      </w:pPr>
      <w:r w:rsidRPr="00413C42">
        <w:rPr>
          <w:b/>
          <w:bCs/>
        </w:rPr>
        <w:t>Q.</w:t>
      </w:r>
      <w:r>
        <w:tab/>
      </w:r>
      <w:r w:rsidRPr="00413C42">
        <w:rPr>
          <w:b/>
          <w:bCs/>
        </w:rPr>
        <w:t>PLEASE DESCRIBE THE COMPANY</w:t>
      </w:r>
      <w:r w:rsidR="001B126C">
        <w:rPr>
          <w:b/>
          <w:bCs/>
        </w:rPr>
        <w:t>’</w:t>
      </w:r>
      <w:r w:rsidRPr="00413C42">
        <w:rPr>
          <w:b/>
          <w:bCs/>
        </w:rPr>
        <w:t xml:space="preserve">S REQUEST </w:t>
      </w:r>
      <w:r w:rsidR="00976348">
        <w:rPr>
          <w:b/>
          <w:bCs/>
        </w:rPr>
        <w:t xml:space="preserve">TO </w:t>
      </w:r>
      <w:r w:rsidRPr="00413C42">
        <w:rPr>
          <w:b/>
          <w:bCs/>
        </w:rPr>
        <w:t xml:space="preserve">ADJUST BASE RATES ONCE UNIT </w:t>
      </w:r>
      <w:r>
        <w:rPr>
          <w:b/>
          <w:bCs/>
        </w:rPr>
        <w:t>4</w:t>
      </w:r>
      <w:r w:rsidRPr="00413C42">
        <w:rPr>
          <w:b/>
          <w:bCs/>
        </w:rPr>
        <w:t xml:space="preserve"> ACHIEVES COMMERCIAL OPERATION. </w:t>
      </w:r>
    </w:p>
    <w:p w14:paraId="3EF5D79A" w14:textId="4BB13F93" w:rsidR="00413C42" w:rsidRPr="00413C42" w:rsidRDefault="00413C42" w:rsidP="00413C42">
      <w:pPr>
        <w:spacing w:before="240" w:after="240" w:line="360" w:lineRule="auto"/>
        <w:ind w:left="720" w:hanging="720"/>
        <w:jc w:val="both"/>
      </w:pPr>
      <w:r w:rsidRPr="00413C42">
        <w:t>A.</w:t>
      </w:r>
      <w:r w:rsidRPr="00413C42">
        <w:tab/>
        <w:t xml:space="preserve">The Company requests to increase </w:t>
      </w:r>
      <w:r w:rsidRPr="001A52B8">
        <w:t xml:space="preserve">base rates </w:t>
      </w:r>
      <w:r w:rsidR="0085061A">
        <w:t xml:space="preserve">by </w:t>
      </w:r>
      <w:r w:rsidRPr="001A52B8">
        <w:t>$</w:t>
      </w:r>
      <w:r w:rsidR="00155897" w:rsidRPr="001A52B8">
        <w:t>729</w:t>
      </w:r>
      <w:r w:rsidRPr="001A52B8">
        <w:t xml:space="preserve"> million</w:t>
      </w:r>
      <w:r w:rsidRPr="00413C42">
        <w:t xml:space="preserve"> effective the first day of the month following Unit </w:t>
      </w:r>
      <w:r>
        <w:t>4</w:t>
      </w:r>
      <w:r w:rsidRPr="00413C42">
        <w:t xml:space="preserve"> achieving Commercial Operation.</w:t>
      </w:r>
    </w:p>
    <w:p w14:paraId="785D0C3A" w14:textId="77777777" w:rsidR="00413C42" w:rsidRPr="00413C42" w:rsidRDefault="00413C42" w:rsidP="00413C42">
      <w:pPr>
        <w:spacing w:before="240" w:after="240" w:line="360" w:lineRule="auto"/>
        <w:ind w:left="720" w:hanging="720"/>
        <w:jc w:val="both"/>
        <w:rPr>
          <w:b/>
          <w:bCs/>
        </w:rPr>
      </w:pPr>
      <w:r w:rsidRPr="00413C42">
        <w:rPr>
          <w:b/>
          <w:bCs/>
        </w:rPr>
        <w:t>Q.</w:t>
      </w:r>
      <w:r w:rsidRPr="00413C42">
        <w:rPr>
          <w:b/>
          <w:bCs/>
        </w:rPr>
        <w:tab/>
        <w:t>HOW IS THE COMPANY PROPOSING TO ALLOCATE THE REQUESTED INCREASE IN BASE RATES?</w:t>
      </w:r>
    </w:p>
    <w:p w14:paraId="24AB12BF" w14:textId="74EFD650" w:rsidR="00413C42" w:rsidRPr="00413C42" w:rsidRDefault="00413C42" w:rsidP="00413C42">
      <w:pPr>
        <w:spacing w:before="240" w:after="240" w:line="360" w:lineRule="auto"/>
        <w:ind w:left="720" w:hanging="720"/>
        <w:jc w:val="both"/>
      </w:pPr>
      <w:r w:rsidRPr="00413C42">
        <w:t>A.</w:t>
      </w:r>
      <w:r w:rsidRPr="00413C42">
        <w:tab/>
        <w:t>The proposed increase will be allocated equally across all base tariffs</w:t>
      </w:r>
      <w:r w:rsidR="006F6584">
        <w:t xml:space="preserve"> </w:t>
      </w:r>
      <w:r w:rsidR="008832DC">
        <w:t xml:space="preserve">consistent with how the Unit 3 </w:t>
      </w:r>
      <w:r w:rsidR="00712B0F">
        <w:t xml:space="preserve">rate adjustment </w:t>
      </w:r>
      <w:r w:rsidR="008832DC">
        <w:t xml:space="preserve">was designed </w:t>
      </w:r>
      <w:r w:rsidR="00B96628">
        <w:t xml:space="preserve">and ultimately approved by the Commission. </w:t>
      </w:r>
      <w:r w:rsidRPr="00413C42">
        <w:t xml:space="preserve">The Company will design the </w:t>
      </w:r>
      <w:r w:rsidR="00FB0ACC">
        <w:t xml:space="preserve">remaining </w:t>
      </w:r>
      <w:r w:rsidRPr="00413C42">
        <w:t>Vogtle Unit 3</w:t>
      </w:r>
      <w:r>
        <w:t>, Unit 4,</w:t>
      </w:r>
      <w:r w:rsidRPr="00413C42">
        <w:t xml:space="preserve"> and Common facilities price changes after completing the rate design for the October 1, 202</w:t>
      </w:r>
      <w:r>
        <w:t>3</w:t>
      </w:r>
      <w:r w:rsidR="0034276E">
        <w:t>,</w:t>
      </w:r>
      <w:r w:rsidR="001E759E" w:rsidRPr="00413C42">
        <w:t xml:space="preserve"> rate case compliance filing as specified in the Commission</w:t>
      </w:r>
      <w:r w:rsidR="001B126C">
        <w:t>’</w:t>
      </w:r>
      <w:r w:rsidR="001E759E" w:rsidRPr="00413C42">
        <w:t>s Order in Docket No.</w:t>
      </w:r>
      <w:r w:rsidRPr="00413C42">
        <w:t xml:space="preserve"> </w:t>
      </w:r>
      <w:r>
        <w:t>44280</w:t>
      </w:r>
      <w:r w:rsidRPr="00413C42">
        <w:t>.</w:t>
      </w:r>
    </w:p>
    <w:p w14:paraId="35688CBD" w14:textId="4D81A800" w:rsidR="005160BD" w:rsidRDefault="005160BD" w:rsidP="005160BD">
      <w:pPr>
        <w:spacing w:before="240" w:after="240" w:line="360" w:lineRule="auto"/>
        <w:ind w:left="720" w:hanging="720"/>
        <w:jc w:val="both"/>
        <w:rPr>
          <w:b/>
          <w:bCs/>
        </w:rPr>
      </w:pPr>
      <w:r w:rsidRPr="00413C42">
        <w:rPr>
          <w:b/>
          <w:bCs/>
        </w:rPr>
        <w:t>Q.</w:t>
      </w:r>
      <w:r w:rsidRPr="00413C42">
        <w:rPr>
          <w:b/>
          <w:bCs/>
        </w:rPr>
        <w:tab/>
      </w:r>
      <w:r>
        <w:rPr>
          <w:b/>
          <w:bCs/>
        </w:rPr>
        <w:t xml:space="preserve">HOW DID THE COMPANY </w:t>
      </w:r>
      <w:r w:rsidR="00E2454C">
        <w:rPr>
          <w:b/>
          <w:bCs/>
        </w:rPr>
        <w:t>DETERMINE</w:t>
      </w:r>
      <w:r w:rsidR="001B013B">
        <w:rPr>
          <w:b/>
          <w:bCs/>
        </w:rPr>
        <w:t xml:space="preserve"> </w:t>
      </w:r>
      <w:r>
        <w:rPr>
          <w:b/>
          <w:bCs/>
        </w:rPr>
        <w:t xml:space="preserve">THE RETAIL REVENUE DEFICIENCY </w:t>
      </w:r>
      <w:r w:rsidR="00365124">
        <w:rPr>
          <w:b/>
          <w:bCs/>
        </w:rPr>
        <w:t xml:space="preserve">FOR </w:t>
      </w:r>
      <w:r w:rsidR="00280DB6">
        <w:rPr>
          <w:b/>
          <w:bCs/>
        </w:rPr>
        <w:t xml:space="preserve">THE REMAINING AMOUNT OF VOGTLE UNITS 3 AND 4 </w:t>
      </w:r>
      <w:r>
        <w:rPr>
          <w:b/>
          <w:bCs/>
        </w:rPr>
        <w:t>FOR THIS PROCEEDING?</w:t>
      </w:r>
    </w:p>
    <w:p w14:paraId="4B2C41B3" w14:textId="117A5221" w:rsidR="008A48AE" w:rsidRPr="008A48AE" w:rsidRDefault="008A48AE" w:rsidP="005160BD">
      <w:pPr>
        <w:spacing w:before="240" w:after="240" w:line="360" w:lineRule="auto"/>
        <w:ind w:left="720" w:hanging="720"/>
        <w:jc w:val="both"/>
      </w:pPr>
      <w:r w:rsidRPr="008A48AE">
        <w:t>A.</w:t>
      </w:r>
      <w:r w:rsidRPr="008A48AE">
        <w:tab/>
      </w:r>
      <w:r w:rsidR="00100B03">
        <w:t xml:space="preserve">To </w:t>
      </w:r>
      <w:r w:rsidR="00D92F9B">
        <w:t>derive</w:t>
      </w:r>
      <w:r w:rsidR="00100B03">
        <w:t xml:space="preserve"> the incremental </w:t>
      </w:r>
      <w:r w:rsidR="001248F4">
        <w:t xml:space="preserve">retail revenue deficiency for the remaining amount of Vogtle Units 3 and 4, the Company calculated </w:t>
      </w:r>
      <w:r w:rsidR="00647B93">
        <w:t xml:space="preserve">the total revenue requirement for Vogtle Units </w:t>
      </w:r>
      <w:r w:rsidR="00402D53">
        <w:t>3 and 4 for the twelve-month period ending March 31, 2025</w:t>
      </w:r>
      <w:r w:rsidR="00984F2F">
        <w:t>,</w:t>
      </w:r>
      <w:r w:rsidR="00AF65D7">
        <w:t xml:space="preserve"> </w:t>
      </w:r>
      <w:r w:rsidR="00CB524D">
        <w:t xml:space="preserve">and </w:t>
      </w:r>
      <w:r w:rsidR="00313907">
        <w:t>subtracted</w:t>
      </w:r>
      <w:r w:rsidR="00CB524D">
        <w:t xml:space="preserve"> the</w:t>
      </w:r>
      <w:r w:rsidR="00857C7F">
        <w:t xml:space="preserve"> base rate increase amount approved in the Vogtle Unit 3 </w:t>
      </w:r>
      <w:r w:rsidR="00DD62C8">
        <w:t>Rate Adjustment Order</w:t>
      </w:r>
      <w:r w:rsidR="00470FC1">
        <w:t>, which went into effect on August 1, 2023.</w:t>
      </w:r>
      <w:r w:rsidR="00120909">
        <w:t xml:space="preserve"> </w:t>
      </w:r>
      <w:r w:rsidR="00AB09B3">
        <w:t>T</w:t>
      </w:r>
      <w:r w:rsidR="008806FF">
        <w:t xml:space="preserve">he </w:t>
      </w:r>
      <w:r w:rsidR="002D280F">
        <w:t>re</w:t>
      </w:r>
      <w:r w:rsidR="00486267">
        <w:t xml:space="preserve">sulting </w:t>
      </w:r>
      <w:r w:rsidR="007A6483">
        <w:t xml:space="preserve">revenue deficiency </w:t>
      </w:r>
      <w:r w:rsidR="00834561">
        <w:t xml:space="preserve">represents the </w:t>
      </w:r>
      <w:r w:rsidR="00FD3741">
        <w:t xml:space="preserve">cost </w:t>
      </w:r>
      <w:r w:rsidR="00DB571C">
        <w:t>of Vogtle Units 3 and 4 that has not been contemplated in base rates.</w:t>
      </w:r>
    </w:p>
    <w:p w14:paraId="51FADEA9" w14:textId="7E916A81" w:rsidR="001E759E" w:rsidRPr="00413C42" w:rsidRDefault="001E759E" w:rsidP="001E759E">
      <w:pPr>
        <w:spacing w:before="240" w:after="240" w:line="360" w:lineRule="auto"/>
        <w:ind w:left="720" w:hanging="720"/>
        <w:jc w:val="both"/>
        <w:rPr>
          <w:b/>
          <w:bCs/>
        </w:rPr>
      </w:pPr>
      <w:r w:rsidRPr="00413C42">
        <w:rPr>
          <w:b/>
          <w:bCs/>
        </w:rPr>
        <w:t>Q.</w:t>
      </w:r>
      <w:r w:rsidRPr="00413C42">
        <w:rPr>
          <w:b/>
          <w:bCs/>
        </w:rPr>
        <w:tab/>
        <w:t>PLEASE DESCRIBE THE DEVELOPMENT OF THE RETAIL REVENUE DEFICIENCY AMOUNT FOR THE TWELVE-MONTH PERIOD ENDING MARCH 31, 202</w:t>
      </w:r>
      <w:r>
        <w:rPr>
          <w:b/>
          <w:bCs/>
        </w:rPr>
        <w:t>5</w:t>
      </w:r>
      <w:r w:rsidRPr="00413C42">
        <w:rPr>
          <w:b/>
          <w:bCs/>
        </w:rPr>
        <w:t>.</w:t>
      </w:r>
    </w:p>
    <w:p w14:paraId="203CD8DB" w14:textId="40B980AF" w:rsidR="00413C42" w:rsidRPr="00413C42" w:rsidRDefault="00413C42" w:rsidP="00DE449F">
      <w:pPr>
        <w:spacing w:before="240" w:after="240" w:line="360" w:lineRule="auto"/>
        <w:ind w:left="720" w:hanging="720"/>
        <w:jc w:val="both"/>
      </w:pPr>
      <w:r w:rsidRPr="00413C42">
        <w:t>A.</w:t>
      </w:r>
      <w:r w:rsidRPr="00413C42">
        <w:tab/>
        <w:t xml:space="preserve">The calculation in </w:t>
      </w:r>
      <w:r w:rsidR="00566C1B">
        <w:t>Figure</w:t>
      </w:r>
      <w:r w:rsidRPr="00413C42">
        <w:t xml:space="preserve"> 2 below presents a revenue deficiency of $</w:t>
      </w:r>
      <w:r w:rsidR="00C71DE2" w:rsidRPr="005D4F17">
        <w:t>729</w:t>
      </w:r>
      <w:r w:rsidRPr="00413C42">
        <w:t xml:space="preserve"> million for the period ending </w:t>
      </w:r>
      <w:r w:rsidR="009D36A2">
        <w:t xml:space="preserve">March </w:t>
      </w:r>
      <w:r w:rsidR="00CC3EA0">
        <w:t>31, 202</w:t>
      </w:r>
      <w:r w:rsidR="002F73C6">
        <w:t>5</w:t>
      </w:r>
      <w:r w:rsidR="006003FB">
        <w:t>,</w:t>
      </w:r>
      <w:r w:rsidRPr="00413C42">
        <w:t xml:space="preserve"> to be collected through base rates beginning April 202</w:t>
      </w:r>
      <w:r w:rsidR="00EC05E5">
        <w:t>4</w:t>
      </w:r>
      <w:r w:rsidRPr="00413C42">
        <w:t xml:space="preserve">, the month following Unit </w:t>
      </w:r>
      <w:r w:rsidR="00EC05E5">
        <w:t>4</w:t>
      </w:r>
      <w:r w:rsidR="001B126C">
        <w:t>’</w:t>
      </w:r>
      <w:r w:rsidRPr="00413C42">
        <w:t>s anticipated Commercial Operation. The calculations are consistent with those used in the Company</w:t>
      </w:r>
      <w:r w:rsidR="001B126C">
        <w:t>’</w:t>
      </w:r>
      <w:r w:rsidRPr="00413C42">
        <w:t>s base rate proceedings. The requested financing costs reflect the Company</w:t>
      </w:r>
      <w:r w:rsidR="001B126C">
        <w:t>’</w:t>
      </w:r>
      <w:r w:rsidRPr="00413C42">
        <w:t>s cost of capital requirements, which are weighted by the mix of long-term debt and common equity to produce an overall rate of return. This rate of return is then applied to the rate base to yield the Company</w:t>
      </w:r>
      <w:r w:rsidR="001B126C">
        <w:t>’</w:t>
      </w:r>
      <w:r w:rsidRPr="00413C42">
        <w:t xml:space="preserve">s earnings requirement. </w:t>
      </w:r>
      <w:r w:rsidR="006D4403">
        <w:t>T</w:t>
      </w:r>
      <w:r w:rsidRPr="00413C42">
        <w:t xml:space="preserve">he Company is also requesting to collect the related operating </w:t>
      </w:r>
      <w:r w:rsidR="00193DDC">
        <w:t>expenses</w:t>
      </w:r>
      <w:r w:rsidR="00193DDC" w:rsidRPr="00413C42">
        <w:t xml:space="preserve"> </w:t>
      </w:r>
      <w:r w:rsidRPr="00413C42">
        <w:t>including: (1)</w:t>
      </w:r>
      <w:r w:rsidR="00EC05E5">
        <w:t> </w:t>
      </w:r>
      <w:r w:rsidRPr="00413C42">
        <w:t>depreciation expense; (2) O&amp;M expenses; (3) property taxes;</w:t>
      </w:r>
      <w:r w:rsidR="00B94B45">
        <w:t xml:space="preserve"> and</w:t>
      </w:r>
      <w:r w:rsidRPr="00413C42">
        <w:t xml:space="preserve"> (4) nuclear decommissioning costs</w:t>
      </w:r>
      <w:r w:rsidR="006045C2">
        <w:t xml:space="preserve">, </w:t>
      </w:r>
      <w:r w:rsidR="00B94B45">
        <w:t>as well as</w:t>
      </w:r>
      <w:r w:rsidRPr="00413C42">
        <w:t xml:space="preserve"> </w:t>
      </w:r>
      <w:r w:rsidR="00806130">
        <w:t xml:space="preserve">return </w:t>
      </w:r>
      <w:r w:rsidRPr="00413C42">
        <w:t>the full benefits of the PTCs related to Georgia Power</w:t>
      </w:r>
      <w:r w:rsidR="001B126C">
        <w:t>’</w:t>
      </w:r>
      <w:r w:rsidRPr="00413C42">
        <w:t>s ownership in Unit</w:t>
      </w:r>
      <w:r w:rsidR="006D4403">
        <w:t>s</w:t>
      </w:r>
      <w:r w:rsidRPr="00413C42">
        <w:t xml:space="preserve"> 3</w:t>
      </w:r>
      <w:r w:rsidR="006D4403">
        <w:t xml:space="preserve"> and 4</w:t>
      </w:r>
      <w:r w:rsidR="00CB423E">
        <w:t xml:space="preserve"> to customers</w:t>
      </w:r>
      <w:r w:rsidRPr="00413C42">
        <w:t xml:space="preserve">, which </w:t>
      </w:r>
      <w:r w:rsidR="006045C2">
        <w:t xml:space="preserve">will </w:t>
      </w:r>
      <w:r w:rsidRPr="00413C42">
        <w:t xml:space="preserve">offset a portion of the operating </w:t>
      </w:r>
      <w:r w:rsidR="00F617D2">
        <w:t>expenses</w:t>
      </w:r>
      <w:r w:rsidRPr="00413C42">
        <w:t xml:space="preserve">. </w:t>
      </w:r>
    </w:p>
    <w:p w14:paraId="59580CC5" w14:textId="1111AB57" w:rsidR="00413C42" w:rsidRDefault="00413C42" w:rsidP="0031128B">
      <w:pPr>
        <w:spacing w:before="240" w:after="240" w:line="360" w:lineRule="auto"/>
        <w:ind w:left="720"/>
        <w:jc w:val="both"/>
      </w:pPr>
      <w:r w:rsidRPr="00413C42">
        <w:t xml:space="preserve">The earnings requirement is then compared to earnings available for return to determine the amount of retail earnings deficiency during the recovery period being considered. This earnings deficiency is then adjusted to cover income taxes by using an “income expansion factor.” This factor, </w:t>
      </w:r>
      <w:r w:rsidRPr="00EF4F56">
        <w:t>74.59</w:t>
      </w:r>
      <w:r w:rsidR="00805827" w:rsidRPr="00EF4F56">
        <w:t>6</w:t>
      </w:r>
      <w:r w:rsidRPr="00413C42">
        <w:t xml:space="preserve">%, reflects a federal income tax rate of 21% and a state income tax rate of 5.75%. The income expansion factor also includes a reduction for uncollectible accounts, slightly offset by compensation for collection of sales tax. </w:t>
      </w:r>
      <w:r w:rsidR="00D35D9F">
        <w:t>The income expansion factor used in th</w:t>
      </w:r>
      <w:r w:rsidR="001C60A5">
        <w:t xml:space="preserve">is filing </w:t>
      </w:r>
      <w:r w:rsidR="00713FBF">
        <w:t xml:space="preserve">is the factor approved by the Commission in the 2022 base rate case. </w:t>
      </w:r>
      <w:r w:rsidRPr="00413C42">
        <w:t xml:space="preserve">The retail earnings deficiency is then divided by the income expansion factor to determine the total revenue deficiency from retail customers. </w:t>
      </w:r>
      <w:r w:rsidR="00DE449F">
        <w:t xml:space="preserve">Finally, the base rate </w:t>
      </w:r>
      <w:r w:rsidR="007F27AA">
        <w:t>increase amount approved by the Commission in the Unit 3 Rate Adjustment Order</w:t>
      </w:r>
      <w:r w:rsidR="005A54A1">
        <w:t xml:space="preserve"> is subtracted </w:t>
      </w:r>
      <w:r w:rsidR="00224ECC">
        <w:t xml:space="preserve">from the total </w:t>
      </w:r>
      <w:r w:rsidR="005A54A1">
        <w:t>to arrive at the incremental revenue deficiency</w:t>
      </w:r>
      <w:r w:rsidR="00224ECC">
        <w:t xml:space="preserve"> requested in this filing.</w:t>
      </w:r>
    </w:p>
    <w:p w14:paraId="21EEB8C9" w14:textId="00745884" w:rsidR="001E759E" w:rsidRPr="00413C42" w:rsidRDefault="00274F3F" w:rsidP="00566C1B">
      <w:pPr>
        <w:spacing w:before="240" w:after="240" w:line="360" w:lineRule="auto"/>
        <w:jc w:val="center"/>
      </w:pPr>
      <w:r w:rsidRPr="00274F3F">
        <w:rPr>
          <w:noProof/>
        </w:rPr>
        <w:drawing>
          <wp:inline distT="0" distB="0" distL="0" distR="0" wp14:anchorId="2FF8F418" wp14:editId="3F9CDEA8">
            <wp:extent cx="4781550" cy="357831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587" cy="3585827"/>
                    </a:xfrm>
                    <a:prstGeom prst="rect">
                      <a:avLst/>
                    </a:prstGeom>
                    <a:noFill/>
                    <a:ln>
                      <a:noFill/>
                    </a:ln>
                  </pic:spPr>
                </pic:pic>
              </a:graphicData>
            </a:graphic>
          </wp:inline>
        </w:drawing>
      </w:r>
    </w:p>
    <w:p w14:paraId="5E33BAFA" w14:textId="483890F9" w:rsidR="001E759E" w:rsidRPr="00413C42" w:rsidRDefault="001E759E" w:rsidP="001E759E">
      <w:pPr>
        <w:spacing w:before="240" w:after="240" w:line="360" w:lineRule="auto"/>
        <w:ind w:left="720" w:hanging="720"/>
        <w:jc w:val="both"/>
        <w:rPr>
          <w:b/>
          <w:bCs/>
        </w:rPr>
      </w:pPr>
      <w:r w:rsidRPr="00413C42">
        <w:rPr>
          <w:b/>
          <w:bCs/>
        </w:rPr>
        <w:t xml:space="preserve"> Q.</w:t>
      </w:r>
      <w:r w:rsidRPr="00413C42">
        <w:rPr>
          <w:b/>
          <w:bCs/>
        </w:rPr>
        <w:tab/>
        <w:t xml:space="preserve">WHAT COMPONENTS MAKE UP THE RETAIL RATE BASE AMOUNT PRESENTED IN </w:t>
      </w:r>
      <w:r w:rsidR="00A941B1">
        <w:rPr>
          <w:b/>
          <w:bCs/>
        </w:rPr>
        <w:t>FIGURE</w:t>
      </w:r>
      <w:r w:rsidRPr="00413C42">
        <w:rPr>
          <w:b/>
          <w:bCs/>
        </w:rPr>
        <w:t xml:space="preserve"> 2 UPON WHICH THE COMPANY IS BASING ITS REVENUE DEFICIENCY FOR THE TWELVE-MONTH PERIOD ENDING MARCH 31, 202</w:t>
      </w:r>
      <w:r>
        <w:rPr>
          <w:b/>
          <w:bCs/>
        </w:rPr>
        <w:t>5</w:t>
      </w:r>
      <w:r w:rsidRPr="00413C42">
        <w:rPr>
          <w:b/>
          <w:bCs/>
        </w:rPr>
        <w:t>?</w:t>
      </w:r>
    </w:p>
    <w:p w14:paraId="0198FF5C" w14:textId="128CCF97" w:rsidR="00E4076E" w:rsidRDefault="00413C42" w:rsidP="00EC05E5">
      <w:pPr>
        <w:spacing w:before="240" w:after="240" w:line="360" w:lineRule="auto"/>
        <w:ind w:left="720" w:hanging="720"/>
        <w:jc w:val="both"/>
      </w:pPr>
      <w:r w:rsidRPr="00413C42">
        <w:t>A.</w:t>
      </w:r>
      <w:r w:rsidRPr="00413C42">
        <w:tab/>
        <w:t xml:space="preserve">The components are provided in </w:t>
      </w:r>
      <w:r w:rsidR="00A941B1">
        <w:t>Figure</w:t>
      </w:r>
      <w:r w:rsidRPr="00413C42">
        <w:t xml:space="preserve"> 3 below.</w:t>
      </w:r>
    </w:p>
    <w:p w14:paraId="65892D88" w14:textId="0B52BFEF" w:rsidR="001E759E" w:rsidRDefault="009A7345" w:rsidP="00A941B1">
      <w:pPr>
        <w:spacing w:before="240" w:after="240" w:line="360" w:lineRule="auto"/>
        <w:jc w:val="center"/>
      </w:pPr>
      <w:r w:rsidRPr="009A7345">
        <w:rPr>
          <w:noProof/>
        </w:rPr>
        <w:drawing>
          <wp:inline distT="0" distB="0" distL="0" distR="0" wp14:anchorId="0FB4752B" wp14:editId="1F66C98E">
            <wp:extent cx="4445000" cy="310865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498" cy="3111097"/>
                    </a:xfrm>
                    <a:prstGeom prst="rect">
                      <a:avLst/>
                    </a:prstGeom>
                    <a:noFill/>
                    <a:ln>
                      <a:noFill/>
                    </a:ln>
                  </pic:spPr>
                </pic:pic>
              </a:graphicData>
            </a:graphic>
          </wp:inline>
        </w:drawing>
      </w:r>
    </w:p>
    <w:p w14:paraId="5AA4B4B0" w14:textId="564ECB8A" w:rsidR="00EC05E5" w:rsidRDefault="00EC05E5" w:rsidP="00EC05E5">
      <w:pPr>
        <w:pStyle w:val="BodyText"/>
        <w:spacing w:line="360" w:lineRule="auto"/>
        <w:ind w:left="720" w:hanging="720"/>
        <w:jc w:val="both"/>
        <w:rPr>
          <w:b/>
        </w:rPr>
      </w:pPr>
      <w:r>
        <w:rPr>
          <w:b/>
        </w:rPr>
        <w:t>Q.</w:t>
      </w:r>
      <w:r>
        <w:rPr>
          <w:b/>
        </w:rPr>
        <w:tab/>
        <w:t>PLEASE DESCRIBE HOW THE COMPANY</w:t>
      </w:r>
      <w:r w:rsidR="001B126C">
        <w:rPr>
          <w:b/>
        </w:rPr>
        <w:t>’</w:t>
      </w:r>
      <w:r>
        <w:rPr>
          <w:b/>
        </w:rPr>
        <w:t>S REQUESTED RATE OF RETURN IS CALCULATED.</w:t>
      </w:r>
    </w:p>
    <w:p w14:paraId="7BB4BA05" w14:textId="7D3C0F0C" w:rsidR="00EC05E5" w:rsidRDefault="00EC05E5" w:rsidP="00EC05E5">
      <w:pPr>
        <w:pStyle w:val="BodyText"/>
        <w:spacing w:after="0" w:line="360" w:lineRule="auto"/>
        <w:ind w:left="720" w:hanging="720"/>
        <w:jc w:val="both"/>
      </w:pPr>
      <w:r w:rsidRPr="009A71AF">
        <w:rPr>
          <w:bCs/>
        </w:rPr>
        <w:t>A.</w:t>
      </w:r>
      <w:r>
        <w:rPr>
          <w:bCs/>
        </w:rPr>
        <w:tab/>
        <w:t xml:space="preserve">The </w:t>
      </w:r>
      <w:r w:rsidRPr="00392BE2">
        <w:rPr>
          <w:bCs/>
        </w:rPr>
        <w:t>Company</w:t>
      </w:r>
      <w:r w:rsidR="001B126C">
        <w:rPr>
          <w:bCs/>
        </w:rPr>
        <w:t>’</w:t>
      </w:r>
      <w:r w:rsidRPr="00392BE2">
        <w:rPr>
          <w:bCs/>
        </w:rPr>
        <w:t xml:space="preserve">s </w:t>
      </w:r>
      <w:r w:rsidRPr="003F4C80">
        <w:t>7.</w:t>
      </w:r>
      <w:r w:rsidR="00A037DC" w:rsidRPr="003F4C80">
        <w:t>78</w:t>
      </w:r>
      <w:r w:rsidRPr="00392BE2">
        <w:rPr>
          <w:bCs/>
        </w:rPr>
        <w:t xml:space="preserve">% requested rate of return </w:t>
      </w:r>
      <w:r w:rsidRPr="00392BE2">
        <w:t xml:space="preserve">is based on the 13-month average of the estimated capitalization from </w:t>
      </w:r>
      <w:r w:rsidR="001E759E">
        <w:t>March 2024</w:t>
      </w:r>
      <w:r w:rsidR="001E759E" w:rsidRPr="00392BE2">
        <w:t xml:space="preserve"> through</w:t>
      </w:r>
      <w:r w:rsidR="001E759E">
        <w:t xml:space="preserve"> </w:t>
      </w:r>
      <w:r w:rsidR="001A3115">
        <w:t xml:space="preserve">March </w:t>
      </w:r>
      <w:r w:rsidR="001E759E">
        <w:t>2025</w:t>
      </w:r>
      <w:r w:rsidR="001E759E" w:rsidRPr="00392BE2">
        <w:t>.</w:t>
      </w:r>
      <w:r w:rsidRPr="00392BE2">
        <w:t xml:space="preserve"> The long-term debt proportion of capitalization is multiplied by its average estimated embedded cost for each month through </w:t>
      </w:r>
      <w:r w:rsidR="001E759E">
        <w:rPr>
          <w:bCs/>
        </w:rPr>
        <w:t>March 2025.</w:t>
      </w:r>
      <w:r>
        <w:rPr>
          <w:bCs/>
        </w:rPr>
        <w:t xml:space="preserve"> The cost of common equity represents the 10.5% </w:t>
      </w:r>
      <w:r w:rsidR="00675E59">
        <w:rPr>
          <w:bCs/>
        </w:rPr>
        <w:t>ROE</w:t>
      </w:r>
      <w:r>
        <w:rPr>
          <w:bCs/>
        </w:rPr>
        <w:t xml:space="preserve"> approved in the Company</w:t>
      </w:r>
      <w:r w:rsidR="001B126C">
        <w:rPr>
          <w:bCs/>
        </w:rPr>
        <w:t>’</w:t>
      </w:r>
      <w:r>
        <w:rPr>
          <w:bCs/>
        </w:rPr>
        <w:t>s 20</w:t>
      </w:r>
      <w:r w:rsidR="004478DA">
        <w:rPr>
          <w:bCs/>
        </w:rPr>
        <w:t>22</w:t>
      </w:r>
      <w:r>
        <w:rPr>
          <w:bCs/>
        </w:rPr>
        <w:t xml:space="preserve"> base rate case proceeding. </w:t>
      </w:r>
      <w:r w:rsidR="00A941B1">
        <w:rPr>
          <w:bCs/>
        </w:rPr>
        <w:t>Figure</w:t>
      </w:r>
      <w:r>
        <w:rPr>
          <w:bCs/>
        </w:rPr>
        <w:t xml:space="preserve"> 4 below </w:t>
      </w:r>
      <w:r w:rsidRPr="005F19CB">
        <w:t xml:space="preserve">shows the capital structure components for the </w:t>
      </w:r>
      <w:r>
        <w:t>13-month</w:t>
      </w:r>
      <w:r w:rsidRPr="005F19CB">
        <w:t xml:space="preserve"> </w:t>
      </w:r>
      <w:r>
        <w:t>period</w:t>
      </w:r>
      <w:r w:rsidRPr="005F19CB">
        <w:t>, together with associated costs.</w:t>
      </w:r>
    </w:p>
    <w:p w14:paraId="5F515C35" w14:textId="494C2EA4" w:rsidR="001E759E" w:rsidRDefault="008F08E9" w:rsidP="00A941B1">
      <w:pPr>
        <w:pStyle w:val="BodyText"/>
        <w:tabs>
          <w:tab w:val="left" w:pos="7470"/>
        </w:tabs>
        <w:spacing w:after="0" w:line="360" w:lineRule="auto"/>
        <w:ind w:firstLine="0"/>
        <w:jc w:val="center"/>
        <w:rPr>
          <w:b/>
        </w:rPr>
      </w:pPr>
      <w:r w:rsidRPr="008F08E9">
        <w:rPr>
          <w:noProof/>
        </w:rPr>
        <w:drawing>
          <wp:inline distT="0" distB="0" distL="0" distR="0" wp14:anchorId="3CC865AD" wp14:editId="26D43E46">
            <wp:extent cx="4495800" cy="233541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1916" cy="2343788"/>
                    </a:xfrm>
                    <a:prstGeom prst="rect">
                      <a:avLst/>
                    </a:prstGeom>
                    <a:noFill/>
                    <a:ln>
                      <a:noFill/>
                    </a:ln>
                  </pic:spPr>
                </pic:pic>
              </a:graphicData>
            </a:graphic>
          </wp:inline>
        </w:drawing>
      </w:r>
    </w:p>
    <w:p w14:paraId="4F4B49F9" w14:textId="5B1FAC4D" w:rsidR="00EC05E5" w:rsidRPr="00B57FDE" w:rsidRDefault="00EC05E5" w:rsidP="00EC05E5">
      <w:pPr>
        <w:pStyle w:val="BodyText"/>
        <w:spacing w:before="240" w:line="360" w:lineRule="auto"/>
        <w:ind w:left="720" w:hanging="720"/>
        <w:jc w:val="both"/>
        <w:rPr>
          <w:b/>
        </w:rPr>
      </w:pPr>
      <w:r>
        <w:rPr>
          <w:b/>
        </w:rPr>
        <w:t>Q.</w:t>
      </w:r>
      <w:r>
        <w:rPr>
          <w:b/>
        </w:rPr>
        <w:tab/>
        <w:t>PLEASE IDENTIFY WHICH LINE(S) AND AMOUNTS OF OPERATING EXPENSES AND PRODUCTION TAX CREDITS ARE INCLUDED IN THE REVENUE DEFICIENCY CALCULATION PRESENT</w:t>
      </w:r>
      <w:r w:rsidRPr="00B57FDE">
        <w:rPr>
          <w:b/>
        </w:rPr>
        <w:t xml:space="preserve">ED IN </w:t>
      </w:r>
      <w:r w:rsidR="004B2499" w:rsidRPr="00B57FDE">
        <w:rPr>
          <w:b/>
        </w:rPr>
        <w:t>FIGURE</w:t>
      </w:r>
      <w:r w:rsidRPr="00B57FDE">
        <w:rPr>
          <w:b/>
        </w:rPr>
        <w:t xml:space="preserve"> </w:t>
      </w:r>
      <w:r w:rsidR="004B2499" w:rsidRPr="00B57FDE">
        <w:rPr>
          <w:b/>
        </w:rPr>
        <w:t>2</w:t>
      </w:r>
      <w:r w:rsidRPr="00B57FDE">
        <w:rPr>
          <w:b/>
        </w:rPr>
        <w:t>.</w:t>
      </w:r>
    </w:p>
    <w:p w14:paraId="1661C4CE" w14:textId="742FFCA1" w:rsidR="00EC05E5" w:rsidRDefault="00EC05E5" w:rsidP="00EC05E5">
      <w:pPr>
        <w:pStyle w:val="BodyText"/>
        <w:spacing w:after="0" w:line="360" w:lineRule="auto"/>
        <w:ind w:left="720" w:hanging="720"/>
        <w:jc w:val="both"/>
        <w:rPr>
          <w:bCs/>
        </w:rPr>
      </w:pPr>
      <w:r w:rsidRPr="00B57FDE">
        <w:rPr>
          <w:bCs/>
        </w:rPr>
        <w:t>A.</w:t>
      </w:r>
      <w:r w:rsidRPr="00B57FDE">
        <w:rPr>
          <w:bCs/>
        </w:rPr>
        <w:tab/>
        <w:t xml:space="preserve">The after-tax (earnings) impact of the operating expenses and the PTCs are summed and presented on </w:t>
      </w:r>
      <w:r w:rsidR="004B2499" w:rsidRPr="00B57FDE">
        <w:rPr>
          <w:bCs/>
        </w:rPr>
        <w:t>Figure</w:t>
      </w:r>
      <w:r w:rsidRPr="00B57FDE">
        <w:rPr>
          <w:bCs/>
        </w:rPr>
        <w:t xml:space="preserve"> 2, line 4, “Earnings</w:t>
      </w:r>
      <w:r>
        <w:rPr>
          <w:bCs/>
        </w:rPr>
        <w:t xml:space="preserve"> Available for Return.” The calculation of earnings available for return for the twelve-month period </w:t>
      </w:r>
      <w:r w:rsidRPr="00F62E71">
        <w:rPr>
          <w:bCs/>
        </w:rPr>
        <w:t xml:space="preserve">ending </w:t>
      </w:r>
      <w:r w:rsidR="001E759E">
        <w:rPr>
          <w:bCs/>
        </w:rPr>
        <w:t>March 2025</w:t>
      </w:r>
      <w:r>
        <w:rPr>
          <w:bCs/>
        </w:rPr>
        <w:t xml:space="preserve"> is presented in </w:t>
      </w:r>
      <w:r w:rsidR="00A941B1">
        <w:rPr>
          <w:bCs/>
        </w:rPr>
        <w:t>Figure</w:t>
      </w:r>
      <w:r>
        <w:rPr>
          <w:bCs/>
        </w:rPr>
        <w:t xml:space="preserve"> 5 below.</w:t>
      </w:r>
    </w:p>
    <w:p w14:paraId="3FC7C32A" w14:textId="7DD87D1E" w:rsidR="001E759E" w:rsidRDefault="00C63AC8" w:rsidP="001E759E">
      <w:pPr>
        <w:pStyle w:val="BodyText"/>
        <w:tabs>
          <w:tab w:val="left" w:pos="1800"/>
        </w:tabs>
        <w:spacing w:after="0" w:line="360" w:lineRule="auto"/>
        <w:ind w:left="1440" w:hanging="720"/>
        <w:jc w:val="center"/>
        <w:rPr>
          <w:b/>
        </w:rPr>
      </w:pPr>
      <w:r w:rsidRPr="00C63AC8">
        <w:rPr>
          <w:noProof/>
        </w:rPr>
        <w:drawing>
          <wp:inline distT="0" distB="0" distL="0" distR="0" wp14:anchorId="322F2E5E" wp14:editId="5C8AAD6C">
            <wp:extent cx="4333147" cy="27559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6029" cy="2757733"/>
                    </a:xfrm>
                    <a:prstGeom prst="rect">
                      <a:avLst/>
                    </a:prstGeom>
                    <a:noFill/>
                    <a:ln>
                      <a:noFill/>
                    </a:ln>
                  </pic:spPr>
                </pic:pic>
              </a:graphicData>
            </a:graphic>
          </wp:inline>
        </w:drawing>
      </w:r>
    </w:p>
    <w:p w14:paraId="6D97022A" w14:textId="77777777" w:rsidR="001E759E" w:rsidRDefault="001E759E" w:rsidP="001E759E">
      <w:pPr>
        <w:pStyle w:val="BodyText"/>
        <w:spacing w:before="240" w:line="360" w:lineRule="auto"/>
        <w:ind w:left="720" w:hanging="720"/>
        <w:jc w:val="both"/>
        <w:rPr>
          <w:b/>
        </w:rPr>
      </w:pPr>
      <w:r>
        <w:rPr>
          <w:b/>
        </w:rPr>
        <w:t>Q.</w:t>
      </w:r>
      <w:r>
        <w:rPr>
          <w:b/>
        </w:rPr>
        <w:tab/>
        <w:t xml:space="preserve">WHAT DEPRECIATION RATE HAS THE COMPANY APPLIED TO THE VOGTLE UNITS 3 AND 4 FACILITIES PLACED IN PLANT-IN-SERVICE TO CALCULATE THE AMOUNT OF DEPRECIATION EXPENSE REQUESTED TO BE </w:t>
      </w:r>
      <w:r w:rsidRPr="004E07BD">
        <w:rPr>
          <w:b/>
        </w:rPr>
        <w:t>RECOVERED</w:t>
      </w:r>
      <w:r>
        <w:rPr>
          <w:b/>
        </w:rPr>
        <w:t>?</w:t>
      </w:r>
    </w:p>
    <w:p w14:paraId="553AF247" w14:textId="509F282D" w:rsidR="00EC05E5" w:rsidRDefault="00EC05E5" w:rsidP="00EC05E5">
      <w:pPr>
        <w:pStyle w:val="BodyText"/>
        <w:spacing w:line="360" w:lineRule="auto"/>
        <w:ind w:left="720" w:hanging="720"/>
        <w:jc w:val="both"/>
        <w:rPr>
          <w:bCs/>
        </w:rPr>
      </w:pPr>
      <w:r w:rsidRPr="007D79C8">
        <w:rPr>
          <w:bCs/>
        </w:rPr>
        <w:t>A.</w:t>
      </w:r>
      <w:r w:rsidRPr="007D79C8">
        <w:rPr>
          <w:bCs/>
        </w:rPr>
        <w:tab/>
      </w:r>
      <w:r w:rsidR="00C17FDE">
        <w:rPr>
          <w:bCs/>
        </w:rPr>
        <w:t>As provided in the Stipulation, t</w:t>
      </w:r>
      <w:r w:rsidRPr="007D79C8">
        <w:rPr>
          <w:bCs/>
        </w:rPr>
        <w:t>he Company applied an annual depreciation rate of 1.</w:t>
      </w:r>
      <w:r w:rsidR="001E759E">
        <w:rPr>
          <w:bCs/>
        </w:rPr>
        <w:t>67</w:t>
      </w:r>
      <w:r w:rsidR="001E759E" w:rsidRPr="007D79C8">
        <w:rPr>
          <w:bCs/>
        </w:rPr>
        <w:t>7% for Vogtle Unit</w:t>
      </w:r>
      <w:r w:rsidR="001E759E">
        <w:rPr>
          <w:bCs/>
        </w:rPr>
        <w:t>s</w:t>
      </w:r>
      <w:r w:rsidR="001E759E" w:rsidRPr="007D79C8">
        <w:rPr>
          <w:bCs/>
        </w:rPr>
        <w:t xml:space="preserve"> 3 </w:t>
      </w:r>
      <w:r w:rsidR="001E759E">
        <w:rPr>
          <w:bCs/>
        </w:rPr>
        <w:t>and 4</w:t>
      </w:r>
      <w:r w:rsidR="004D02CF">
        <w:rPr>
          <w:bCs/>
        </w:rPr>
        <w:t xml:space="preserve"> </w:t>
      </w:r>
      <w:r w:rsidRPr="007D79C8">
        <w:rPr>
          <w:bCs/>
        </w:rPr>
        <w:t xml:space="preserve">and Common Nuclear Production Plant-in-Service as </w:t>
      </w:r>
      <w:r w:rsidR="001A3115">
        <w:rPr>
          <w:bCs/>
        </w:rPr>
        <w:t xml:space="preserve">approved in the </w:t>
      </w:r>
      <w:r w:rsidR="004D02CF">
        <w:t>Unit 3 Rate Adjustment</w:t>
      </w:r>
      <w:r w:rsidR="004D02CF" w:rsidRPr="007D79C8">
        <w:rPr>
          <w:bCs/>
        </w:rPr>
        <w:t xml:space="preserve"> </w:t>
      </w:r>
      <w:r w:rsidR="00773FA2">
        <w:rPr>
          <w:bCs/>
        </w:rPr>
        <w:t xml:space="preserve">Order </w:t>
      </w:r>
      <w:r w:rsidR="004D02CF">
        <w:rPr>
          <w:bCs/>
        </w:rPr>
        <w:t xml:space="preserve">in Docket No. </w:t>
      </w:r>
      <w:r w:rsidR="001E759E">
        <w:rPr>
          <w:bCs/>
        </w:rPr>
        <w:t>43838.</w:t>
      </w:r>
      <w:r w:rsidRPr="007D79C8">
        <w:rPr>
          <w:bCs/>
        </w:rPr>
        <w:t xml:space="preserve"> This depreciation rate assumed a 60-year operating life for Vogtle Units 3 and 4.</w:t>
      </w:r>
      <w:r w:rsidR="00CE240C">
        <w:rPr>
          <w:bCs/>
        </w:rPr>
        <w:t xml:space="preserve"> The depreciation rate</w:t>
      </w:r>
      <w:r w:rsidR="00501BC6">
        <w:rPr>
          <w:bCs/>
        </w:rPr>
        <w:t xml:space="preserve"> for Vogtle Units 3 and 4</w:t>
      </w:r>
      <w:r w:rsidR="00341FF1">
        <w:rPr>
          <w:bCs/>
        </w:rPr>
        <w:t xml:space="preserve"> and </w:t>
      </w:r>
      <w:r w:rsidR="008C56C1">
        <w:rPr>
          <w:bCs/>
        </w:rPr>
        <w:t xml:space="preserve">Common </w:t>
      </w:r>
      <w:r w:rsidR="00341FF1">
        <w:rPr>
          <w:bCs/>
        </w:rPr>
        <w:t xml:space="preserve">facilities will be reevaluated in the </w:t>
      </w:r>
      <w:r w:rsidR="008671FF">
        <w:rPr>
          <w:bCs/>
        </w:rPr>
        <w:t>Company</w:t>
      </w:r>
      <w:r w:rsidR="001B126C">
        <w:rPr>
          <w:bCs/>
        </w:rPr>
        <w:t>’</w:t>
      </w:r>
      <w:r w:rsidR="008671FF">
        <w:rPr>
          <w:bCs/>
        </w:rPr>
        <w:t>s depreciation study in its next base rate case.</w:t>
      </w:r>
    </w:p>
    <w:p w14:paraId="516D72B8" w14:textId="77777777" w:rsidR="00EC05E5" w:rsidRPr="004E07BD" w:rsidRDefault="00EC05E5" w:rsidP="007261AD">
      <w:pPr>
        <w:pStyle w:val="BodyText"/>
        <w:keepNext/>
        <w:widowControl/>
        <w:spacing w:line="360" w:lineRule="auto"/>
        <w:ind w:left="720" w:hanging="720"/>
        <w:jc w:val="both"/>
        <w:rPr>
          <w:b/>
          <w:bCs/>
        </w:rPr>
      </w:pPr>
      <w:r w:rsidRPr="004E07BD">
        <w:rPr>
          <w:b/>
          <w:bCs/>
        </w:rPr>
        <w:t>Q.</w:t>
      </w:r>
      <w:r w:rsidRPr="004E07BD">
        <w:rPr>
          <w:b/>
          <w:bCs/>
        </w:rPr>
        <w:tab/>
        <w:t>WHAT IS INCLUDED IN THE NUCLEAR DECOMMISSIONING ACCRUAL PROPOSED IN THIS FILING?</w:t>
      </w:r>
    </w:p>
    <w:p w14:paraId="6ED6F061" w14:textId="52613DB2" w:rsidR="00EC05E5" w:rsidRDefault="00EC05E5" w:rsidP="007261AD">
      <w:pPr>
        <w:pStyle w:val="BodyText"/>
        <w:keepNext/>
        <w:widowControl/>
        <w:spacing w:before="240" w:line="360" w:lineRule="auto"/>
        <w:ind w:left="720" w:hanging="720"/>
        <w:jc w:val="both"/>
        <w:rPr>
          <w:bCs/>
        </w:rPr>
      </w:pPr>
      <w:r w:rsidRPr="004E07BD">
        <w:rPr>
          <w:bCs/>
        </w:rPr>
        <w:t>A.</w:t>
      </w:r>
      <w:r w:rsidRPr="004E07BD">
        <w:rPr>
          <w:bCs/>
        </w:rPr>
        <w:tab/>
        <w:t>The Company included the license termination and the spent fuel management components of nuclear decommissioning for Vogtle Unit 3</w:t>
      </w:r>
      <w:r w:rsidR="007D79C8">
        <w:rPr>
          <w:bCs/>
        </w:rPr>
        <w:t xml:space="preserve"> and 4</w:t>
      </w:r>
      <w:r>
        <w:rPr>
          <w:bCs/>
        </w:rPr>
        <w:t xml:space="preserve"> in this filing</w:t>
      </w:r>
      <w:r w:rsidRPr="004E07BD">
        <w:rPr>
          <w:bCs/>
        </w:rPr>
        <w:t xml:space="preserve"> and excluded site restoration</w:t>
      </w:r>
      <w:r>
        <w:rPr>
          <w:bCs/>
        </w:rPr>
        <w:t xml:space="preserve"> costs</w:t>
      </w:r>
      <w:r w:rsidRPr="004E07BD">
        <w:rPr>
          <w:bCs/>
        </w:rPr>
        <w:t xml:space="preserve">. For license termination, the Company used the NRC </w:t>
      </w:r>
      <w:r>
        <w:rPr>
          <w:bCs/>
        </w:rPr>
        <w:t>m</w:t>
      </w:r>
      <w:r w:rsidRPr="004E07BD">
        <w:rPr>
          <w:bCs/>
        </w:rPr>
        <w:t>inimum calculation</w:t>
      </w:r>
      <w:r>
        <w:rPr>
          <w:bCs/>
        </w:rPr>
        <w:t>. F</w:t>
      </w:r>
      <w:r w:rsidRPr="004E07BD">
        <w:rPr>
          <w:bCs/>
        </w:rPr>
        <w:t>or</w:t>
      </w:r>
      <w:r>
        <w:rPr>
          <w:bCs/>
        </w:rPr>
        <w:t xml:space="preserve"> the</w:t>
      </w:r>
      <w:r w:rsidRPr="004E07BD">
        <w:rPr>
          <w:bCs/>
        </w:rPr>
        <w:t xml:space="preserve"> spent fuel management component, the Company used the projected costs from the site-specific study for Vogtle Unit</w:t>
      </w:r>
      <w:r w:rsidR="0043503F">
        <w:rPr>
          <w:bCs/>
        </w:rPr>
        <w:t>s</w:t>
      </w:r>
      <w:r w:rsidRPr="004E07BD">
        <w:rPr>
          <w:bCs/>
        </w:rPr>
        <w:t xml:space="preserve"> 3</w:t>
      </w:r>
      <w:r w:rsidR="007D79C8">
        <w:rPr>
          <w:bCs/>
        </w:rPr>
        <w:t xml:space="preserve"> and 4</w:t>
      </w:r>
      <w:r w:rsidRPr="004E07BD">
        <w:rPr>
          <w:bCs/>
        </w:rPr>
        <w:t xml:space="preserve"> performed by TLG</w:t>
      </w:r>
      <w:r>
        <w:rPr>
          <w:bCs/>
        </w:rPr>
        <w:t xml:space="preserve"> Services, Inc</w:t>
      </w:r>
      <w:r w:rsidRPr="004E07BD">
        <w:rPr>
          <w:bCs/>
        </w:rPr>
        <w:t xml:space="preserve">. The current </w:t>
      </w:r>
      <w:r>
        <w:rPr>
          <w:bCs/>
        </w:rPr>
        <w:t xml:space="preserve">40-year </w:t>
      </w:r>
      <w:r w:rsidRPr="004E07BD">
        <w:rPr>
          <w:bCs/>
        </w:rPr>
        <w:t>operating license was used to derive the estimates</w:t>
      </w:r>
      <w:r w:rsidR="00065B24">
        <w:rPr>
          <w:bCs/>
        </w:rPr>
        <w:t xml:space="preserve"> as required by </w:t>
      </w:r>
      <w:r w:rsidR="00782EFE">
        <w:rPr>
          <w:bCs/>
        </w:rPr>
        <w:t xml:space="preserve">the </w:t>
      </w:r>
      <w:r w:rsidR="000D0E00">
        <w:rPr>
          <w:bCs/>
        </w:rPr>
        <w:t xml:space="preserve">NRC </w:t>
      </w:r>
      <w:r w:rsidR="00786EE3">
        <w:rPr>
          <w:bCs/>
        </w:rPr>
        <w:t xml:space="preserve">to satisfy </w:t>
      </w:r>
      <w:r w:rsidR="00810A17">
        <w:rPr>
          <w:bCs/>
        </w:rPr>
        <w:t xml:space="preserve">funding assurance for </w:t>
      </w:r>
      <w:r w:rsidR="00786EE3">
        <w:rPr>
          <w:bCs/>
        </w:rPr>
        <w:t>nuclear decommissioning</w:t>
      </w:r>
      <w:r w:rsidRPr="004E07BD">
        <w:rPr>
          <w:bCs/>
        </w:rPr>
        <w:t>.</w:t>
      </w:r>
      <w:r w:rsidR="008405F9">
        <w:rPr>
          <w:bCs/>
        </w:rPr>
        <w:t xml:space="preserve"> </w:t>
      </w:r>
    </w:p>
    <w:p w14:paraId="46D0BCE3" w14:textId="77777777" w:rsidR="00EC05E5" w:rsidRDefault="00EC05E5" w:rsidP="00EC05E5">
      <w:pPr>
        <w:pStyle w:val="BodyText"/>
        <w:spacing w:before="240" w:line="360" w:lineRule="auto"/>
        <w:ind w:left="720" w:hanging="720"/>
        <w:jc w:val="both"/>
        <w:rPr>
          <w:b/>
        </w:rPr>
      </w:pPr>
      <w:r>
        <w:rPr>
          <w:b/>
        </w:rPr>
        <w:t>Q.</w:t>
      </w:r>
      <w:r>
        <w:rPr>
          <w:b/>
        </w:rPr>
        <w:tab/>
        <w:t>ARE THERE SPECIFIC NRC REGULATIONS REGARDING THE CALCULATION AND FUNDING OF NUCLEAR DECOMMISSIONING COSTS?</w:t>
      </w:r>
    </w:p>
    <w:p w14:paraId="50EB2FD9" w14:textId="06E6E85E" w:rsidR="00EC05E5" w:rsidRPr="00C87641" w:rsidRDefault="00EC05E5" w:rsidP="00EC05E5">
      <w:pPr>
        <w:pStyle w:val="BodyText"/>
        <w:spacing w:line="360" w:lineRule="auto"/>
        <w:ind w:left="720" w:hanging="720"/>
        <w:jc w:val="both"/>
        <w:rPr>
          <w:bCs/>
        </w:rPr>
      </w:pPr>
      <w:r w:rsidRPr="00554EBC">
        <w:rPr>
          <w:bCs/>
        </w:rPr>
        <w:t>A.</w:t>
      </w:r>
      <w:r w:rsidRPr="00554EBC">
        <w:rPr>
          <w:bCs/>
        </w:rPr>
        <w:tab/>
      </w:r>
      <w:r w:rsidRPr="00C87641">
        <w:rPr>
          <w:bCs/>
        </w:rPr>
        <w:t>Yes, 10</w:t>
      </w:r>
      <w:r>
        <w:rPr>
          <w:bCs/>
        </w:rPr>
        <w:t xml:space="preserve"> </w:t>
      </w:r>
      <w:r w:rsidRPr="00C87641">
        <w:rPr>
          <w:bCs/>
        </w:rPr>
        <w:t>CFR</w:t>
      </w:r>
      <w:r>
        <w:rPr>
          <w:bCs/>
        </w:rPr>
        <w:t xml:space="preserve"> Part </w:t>
      </w:r>
      <w:r w:rsidRPr="00C87641">
        <w:rPr>
          <w:bCs/>
        </w:rPr>
        <w:t>50.75 define</w:t>
      </w:r>
      <w:r>
        <w:rPr>
          <w:bCs/>
        </w:rPr>
        <w:t>s</w:t>
      </w:r>
      <w:r w:rsidRPr="00C87641">
        <w:rPr>
          <w:bCs/>
        </w:rPr>
        <w:t xml:space="preserve"> the nuclear decommissioning calculation and funding requirements to ensure funding is available upon the </w:t>
      </w:r>
      <w:r w:rsidR="001E759E">
        <w:rPr>
          <w:bCs/>
        </w:rPr>
        <w:t xml:space="preserve">current </w:t>
      </w:r>
      <w:r w:rsidR="001E759E" w:rsidRPr="00C87641">
        <w:rPr>
          <w:bCs/>
        </w:rPr>
        <w:t>license termination</w:t>
      </w:r>
      <w:r w:rsidR="001E759E">
        <w:rPr>
          <w:bCs/>
        </w:rPr>
        <w:t xml:space="preserve"> date, or 40 years for Vogtle Units 3 and 4,</w:t>
      </w:r>
      <w:r w:rsidR="001E759E" w:rsidRPr="00C87641">
        <w:rPr>
          <w:bCs/>
        </w:rPr>
        <w:t xml:space="preserve"> to decommission the radioactive components of the </w:t>
      </w:r>
      <w:r w:rsidR="00F05583">
        <w:rPr>
          <w:bCs/>
        </w:rPr>
        <w:t>U</w:t>
      </w:r>
      <w:r w:rsidR="00F05583" w:rsidRPr="00C87641">
        <w:rPr>
          <w:bCs/>
        </w:rPr>
        <w:t>nits</w:t>
      </w:r>
      <w:r w:rsidR="001E759E" w:rsidRPr="00C87641">
        <w:rPr>
          <w:bCs/>
        </w:rPr>
        <w:t>.</w:t>
      </w:r>
    </w:p>
    <w:p w14:paraId="69977A6F" w14:textId="77777777" w:rsidR="001E759E" w:rsidRDefault="001E759E" w:rsidP="001D7364">
      <w:pPr>
        <w:pStyle w:val="BodyText"/>
        <w:keepNext/>
        <w:widowControl/>
        <w:spacing w:before="240" w:line="360" w:lineRule="auto"/>
        <w:ind w:left="720" w:hanging="720"/>
        <w:jc w:val="both"/>
        <w:rPr>
          <w:b/>
        </w:rPr>
      </w:pPr>
      <w:r>
        <w:rPr>
          <w:b/>
        </w:rPr>
        <w:t>Q.</w:t>
      </w:r>
      <w:r>
        <w:rPr>
          <w:b/>
        </w:rPr>
        <w:tab/>
        <w:t>WERE THE ESTIMATED VOGTLE UNITS 3 AND 4 NUCLEAR DECOMMISSIONING COSTS REQUESTED IN THIS PROCEEDING CALCULATED IN ACCORDANCE WITH THE NRC REQUIREMENT?</w:t>
      </w:r>
    </w:p>
    <w:p w14:paraId="7340F606" w14:textId="77777777" w:rsidR="00EC05E5" w:rsidRDefault="00EC05E5" w:rsidP="001D7364">
      <w:pPr>
        <w:pStyle w:val="BodyText"/>
        <w:spacing w:before="240" w:line="360" w:lineRule="auto"/>
        <w:ind w:left="720" w:hanging="720"/>
        <w:jc w:val="both"/>
        <w:rPr>
          <w:bCs/>
        </w:rPr>
      </w:pPr>
      <w:r w:rsidRPr="00F47E6D">
        <w:rPr>
          <w:bCs/>
        </w:rPr>
        <w:t>A.</w:t>
      </w:r>
      <w:r>
        <w:rPr>
          <w:b/>
        </w:rPr>
        <w:tab/>
      </w:r>
      <w:r w:rsidRPr="00C87641">
        <w:rPr>
          <w:bCs/>
        </w:rPr>
        <w:t xml:space="preserve">Yes. </w:t>
      </w:r>
    </w:p>
    <w:p w14:paraId="1E2B2E21" w14:textId="77777777" w:rsidR="00EC05E5" w:rsidRDefault="00EC05E5" w:rsidP="00EC05E5">
      <w:pPr>
        <w:pStyle w:val="BodyText"/>
        <w:keepLines/>
        <w:spacing w:line="360" w:lineRule="auto"/>
        <w:ind w:left="720" w:hanging="720"/>
        <w:jc w:val="both"/>
        <w:rPr>
          <w:b/>
        </w:rPr>
      </w:pPr>
      <w:r>
        <w:rPr>
          <w:b/>
        </w:rPr>
        <w:t>Q.</w:t>
      </w:r>
      <w:r>
        <w:rPr>
          <w:b/>
        </w:rPr>
        <w:tab/>
        <w:t>HAS THIS COMMISSION HISTORICALLY PROVIDED FOR THE RECOVERY OF NUCLEAR DECOMMISSIONING COSTS FOR LICENSE TERMINATION CALCULATED USING THE NRC MINIMUM METHODOLOGY AND COSTS FOR SPENT FUEL MANAGEMENT FROM THE SITE-SPECIFIC STUDY?</w:t>
      </w:r>
    </w:p>
    <w:p w14:paraId="79957BD4" w14:textId="77777777" w:rsidR="00EC05E5" w:rsidRPr="00C87641" w:rsidRDefault="00EC05E5" w:rsidP="00EC05E5">
      <w:pPr>
        <w:pStyle w:val="BodyText"/>
        <w:spacing w:line="360" w:lineRule="auto"/>
        <w:ind w:left="720" w:hanging="720"/>
        <w:jc w:val="both"/>
        <w:rPr>
          <w:bCs/>
        </w:rPr>
      </w:pPr>
      <w:r w:rsidRPr="00AE25E4">
        <w:rPr>
          <w:bCs/>
        </w:rPr>
        <w:t>A.</w:t>
      </w:r>
      <w:r>
        <w:rPr>
          <w:b/>
        </w:rPr>
        <w:tab/>
      </w:r>
      <w:r w:rsidRPr="00C87641">
        <w:rPr>
          <w:bCs/>
        </w:rPr>
        <w:t>Yes.</w:t>
      </w:r>
    </w:p>
    <w:p w14:paraId="76BC7E08" w14:textId="77777777" w:rsidR="00D50EF9" w:rsidRDefault="00D50EF9" w:rsidP="00D50EF9">
      <w:pPr>
        <w:pStyle w:val="BodyText"/>
        <w:keepLines/>
        <w:spacing w:line="360" w:lineRule="auto"/>
        <w:ind w:left="720" w:hanging="720"/>
        <w:jc w:val="both"/>
        <w:rPr>
          <w:b/>
        </w:rPr>
      </w:pPr>
      <w:r>
        <w:rPr>
          <w:b/>
        </w:rPr>
        <w:t>Q.</w:t>
      </w:r>
      <w:r>
        <w:rPr>
          <w:b/>
        </w:rPr>
        <w:tab/>
        <w:t xml:space="preserve">HOW ARE </w:t>
      </w:r>
      <w:r w:rsidR="00E027BA">
        <w:rPr>
          <w:b/>
        </w:rPr>
        <w:t xml:space="preserve">THE PROJECTED </w:t>
      </w:r>
      <w:r>
        <w:rPr>
          <w:b/>
        </w:rPr>
        <w:t xml:space="preserve">PROPERTY TAXES </w:t>
      </w:r>
      <w:r w:rsidR="00E76D89">
        <w:rPr>
          <w:b/>
        </w:rPr>
        <w:t xml:space="preserve">CALCULATED </w:t>
      </w:r>
      <w:r>
        <w:rPr>
          <w:b/>
        </w:rPr>
        <w:t>IN TH</w:t>
      </w:r>
      <w:r w:rsidR="008371F9">
        <w:rPr>
          <w:b/>
        </w:rPr>
        <w:t>IS FILING?</w:t>
      </w:r>
    </w:p>
    <w:p w14:paraId="383BE939" w14:textId="302235A3" w:rsidR="00D50EF9" w:rsidRPr="00E5479B" w:rsidRDefault="00D50EF9" w:rsidP="00D50EF9">
      <w:pPr>
        <w:pStyle w:val="BodyText"/>
        <w:spacing w:line="360" w:lineRule="auto"/>
        <w:ind w:left="720" w:hanging="720"/>
        <w:jc w:val="both"/>
        <w:rPr>
          <w:rStyle w:val="normaltextrun"/>
          <w:shd w:val="clear" w:color="auto" w:fill="FFFFFF"/>
        </w:rPr>
      </w:pPr>
      <w:r w:rsidRPr="00AE25E4">
        <w:rPr>
          <w:bCs/>
        </w:rPr>
        <w:t>A.</w:t>
      </w:r>
      <w:r>
        <w:rPr>
          <w:b/>
        </w:rPr>
        <w:tab/>
      </w:r>
      <w:r w:rsidR="00E76D89">
        <w:rPr>
          <w:bCs/>
        </w:rPr>
        <w:t>The projected property taxes are</w:t>
      </w:r>
      <w:r w:rsidR="00496D4B">
        <w:rPr>
          <w:bCs/>
        </w:rPr>
        <w:t xml:space="preserve"> </w:t>
      </w:r>
      <w:r w:rsidR="00EA2B2C">
        <w:rPr>
          <w:rStyle w:val="normaltextrun"/>
          <w:color w:val="000000"/>
          <w:shd w:val="clear" w:color="auto" w:fill="FFFFFF"/>
        </w:rPr>
        <w:t xml:space="preserve">based on the </w:t>
      </w:r>
      <w:r w:rsidR="00720649">
        <w:rPr>
          <w:rStyle w:val="normaltextrun"/>
          <w:color w:val="000000"/>
          <w:shd w:val="clear" w:color="auto" w:fill="FFFFFF"/>
        </w:rPr>
        <w:t>amount estimated to be remitted to the taxing authorities</w:t>
      </w:r>
      <w:r w:rsidR="00990FBC">
        <w:rPr>
          <w:rStyle w:val="normaltextrun"/>
          <w:color w:val="000000"/>
          <w:shd w:val="clear" w:color="auto" w:fill="FFFFFF"/>
        </w:rPr>
        <w:t>,</w:t>
      </w:r>
      <w:r w:rsidR="00720649">
        <w:rPr>
          <w:rStyle w:val="normaltextrun"/>
          <w:color w:val="000000"/>
          <w:shd w:val="clear" w:color="auto" w:fill="FFFFFF"/>
        </w:rPr>
        <w:t xml:space="preserve"> which is </w:t>
      </w:r>
      <w:r w:rsidR="00720649" w:rsidRPr="00E5479B">
        <w:rPr>
          <w:rStyle w:val="normaltextrun"/>
          <w:shd w:val="clear" w:color="auto" w:fill="FFFFFF"/>
        </w:rPr>
        <w:t xml:space="preserve">consistent with the </w:t>
      </w:r>
      <w:r w:rsidR="009C1BD1" w:rsidRPr="00E5479B">
        <w:rPr>
          <w:rStyle w:val="normaltextrun"/>
          <w:shd w:val="clear" w:color="auto" w:fill="FFFFFF"/>
        </w:rPr>
        <w:t>state</w:t>
      </w:r>
      <w:r w:rsidR="009C1BD1">
        <w:rPr>
          <w:rStyle w:val="normaltextrun"/>
          <w:shd w:val="clear" w:color="auto" w:fill="FFFFFF"/>
        </w:rPr>
        <w:t>-</w:t>
      </w:r>
      <w:r w:rsidR="00EA2B2C" w:rsidRPr="00E5479B">
        <w:rPr>
          <w:rStyle w:val="normaltextrun"/>
          <w:shd w:val="clear" w:color="auto" w:fill="FFFFFF"/>
        </w:rPr>
        <w:t>required method of valuation for public utilities.</w:t>
      </w:r>
    </w:p>
    <w:p w14:paraId="6D6F1455" w14:textId="77777777" w:rsidR="009F3D44" w:rsidRDefault="009F3D44" w:rsidP="009F3D44">
      <w:pPr>
        <w:pStyle w:val="BodyText"/>
        <w:keepLines/>
        <w:spacing w:line="360" w:lineRule="auto"/>
        <w:ind w:left="720" w:hanging="720"/>
        <w:jc w:val="both"/>
        <w:rPr>
          <w:b/>
        </w:rPr>
      </w:pPr>
      <w:r>
        <w:rPr>
          <w:b/>
        </w:rPr>
        <w:t>Q.</w:t>
      </w:r>
      <w:r>
        <w:rPr>
          <w:b/>
        </w:rPr>
        <w:tab/>
      </w:r>
      <w:r w:rsidR="00815920">
        <w:rPr>
          <w:b/>
        </w:rPr>
        <w:t xml:space="preserve">ARE THE PROPERTY TAXES DEPENDENT ON THE </w:t>
      </w:r>
      <w:r w:rsidR="00B335E7">
        <w:rPr>
          <w:b/>
        </w:rPr>
        <w:t xml:space="preserve">AMOUNT OF </w:t>
      </w:r>
      <w:r w:rsidR="006107D1">
        <w:rPr>
          <w:b/>
        </w:rPr>
        <w:t xml:space="preserve">CONSTRUCTION AND CAPITAL COST </w:t>
      </w:r>
      <w:r w:rsidR="002666B8">
        <w:rPr>
          <w:b/>
        </w:rPr>
        <w:t xml:space="preserve">APPROVED FOR RECOVERY </w:t>
      </w:r>
      <w:r w:rsidR="006107D1">
        <w:rPr>
          <w:b/>
        </w:rPr>
        <w:t>FROM CUSTOMERS</w:t>
      </w:r>
      <w:r>
        <w:rPr>
          <w:b/>
        </w:rPr>
        <w:t>?</w:t>
      </w:r>
    </w:p>
    <w:p w14:paraId="596BFEE8" w14:textId="5B3B8A72" w:rsidR="009F3D44" w:rsidRPr="009F6924" w:rsidRDefault="009F6924" w:rsidP="009F6924">
      <w:pPr>
        <w:pStyle w:val="BodyText"/>
        <w:spacing w:line="360" w:lineRule="auto"/>
        <w:ind w:left="720" w:hanging="720"/>
        <w:jc w:val="both"/>
        <w:rPr>
          <w:color w:val="000000"/>
          <w:shd w:val="clear" w:color="auto" w:fill="FFFFFF"/>
        </w:rPr>
      </w:pPr>
      <w:r w:rsidRPr="00AE25E4">
        <w:rPr>
          <w:bCs/>
        </w:rPr>
        <w:t>A.</w:t>
      </w:r>
      <w:r>
        <w:rPr>
          <w:b/>
        </w:rPr>
        <w:tab/>
      </w:r>
      <w:r w:rsidR="002666B8" w:rsidRPr="002666B8">
        <w:rPr>
          <w:bCs/>
        </w:rPr>
        <w:t xml:space="preserve">No. </w:t>
      </w:r>
      <w:r>
        <w:rPr>
          <w:bCs/>
        </w:rPr>
        <w:t xml:space="preserve">The property taxes </w:t>
      </w:r>
      <w:r w:rsidR="00276442">
        <w:rPr>
          <w:bCs/>
        </w:rPr>
        <w:t xml:space="preserve">required by the taxing authorities </w:t>
      </w:r>
      <w:r>
        <w:rPr>
          <w:bCs/>
        </w:rPr>
        <w:t xml:space="preserve">are </w:t>
      </w:r>
      <w:r>
        <w:rPr>
          <w:rStyle w:val="normaltextrun"/>
          <w:color w:val="000000"/>
          <w:shd w:val="clear" w:color="auto" w:fill="FFFFFF"/>
        </w:rPr>
        <w:t xml:space="preserve">based on the </w:t>
      </w:r>
      <w:r w:rsidR="000E1B45">
        <w:rPr>
          <w:rStyle w:val="normaltextrun"/>
          <w:color w:val="000000"/>
          <w:shd w:val="clear" w:color="auto" w:fill="FFFFFF"/>
        </w:rPr>
        <w:t xml:space="preserve">total construction and capital cost </w:t>
      </w:r>
      <w:r w:rsidR="00202D26">
        <w:rPr>
          <w:rStyle w:val="normaltextrun"/>
          <w:color w:val="000000"/>
          <w:shd w:val="clear" w:color="auto" w:fill="FFFFFF"/>
        </w:rPr>
        <w:t>spent</w:t>
      </w:r>
      <w:r w:rsidR="00F239F9">
        <w:rPr>
          <w:rStyle w:val="normaltextrun"/>
          <w:color w:val="000000"/>
          <w:shd w:val="clear" w:color="auto" w:fill="FFFFFF"/>
        </w:rPr>
        <w:t xml:space="preserve"> by the Company</w:t>
      </w:r>
      <w:r w:rsidR="00564632">
        <w:rPr>
          <w:rStyle w:val="normaltextrun"/>
          <w:color w:val="000000"/>
          <w:shd w:val="clear" w:color="auto" w:fill="FFFFFF"/>
        </w:rPr>
        <w:t xml:space="preserve"> on the Project</w:t>
      </w:r>
      <w:r w:rsidR="00F239F9">
        <w:rPr>
          <w:rStyle w:val="normaltextrun"/>
          <w:color w:val="000000"/>
          <w:shd w:val="clear" w:color="auto" w:fill="FFFFFF"/>
        </w:rPr>
        <w:t>.</w:t>
      </w:r>
      <w:r w:rsidR="00E444EC">
        <w:rPr>
          <w:rStyle w:val="normaltextrun"/>
          <w:color w:val="000000"/>
          <w:shd w:val="clear" w:color="auto" w:fill="FFFFFF"/>
        </w:rPr>
        <w:t xml:space="preserve"> Therefore,</w:t>
      </w:r>
      <w:r w:rsidR="007261AD">
        <w:rPr>
          <w:rStyle w:val="normaltextrun"/>
          <w:color w:val="000000"/>
          <w:shd w:val="clear" w:color="auto" w:fill="FFFFFF"/>
        </w:rPr>
        <w:t xml:space="preserve"> as provided in the Stipulation,</w:t>
      </w:r>
      <w:r w:rsidR="00E444EC">
        <w:rPr>
          <w:rStyle w:val="normaltextrun"/>
          <w:color w:val="000000"/>
          <w:shd w:val="clear" w:color="auto" w:fill="FFFFFF"/>
        </w:rPr>
        <w:t xml:space="preserve"> the Company appropriately included </w:t>
      </w:r>
      <w:r w:rsidR="000B62A3">
        <w:rPr>
          <w:rStyle w:val="normaltextrun"/>
          <w:color w:val="000000"/>
          <w:shd w:val="clear" w:color="auto" w:fill="FFFFFF"/>
        </w:rPr>
        <w:t>the total projected construction and capital cost in its calculation of the property taxes in this filing</w:t>
      </w:r>
      <w:r w:rsidR="004C4968">
        <w:rPr>
          <w:rStyle w:val="normaltextrun"/>
          <w:color w:val="000000"/>
          <w:shd w:val="clear" w:color="auto" w:fill="FFFFFF"/>
        </w:rPr>
        <w:t xml:space="preserve"> to most accurately reflect the </w:t>
      </w:r>
      <w:r w:rsidR="00E54E67">
        <w:rPr>
          <w:rStyle w:val="normaltextrun"/>
          <w:color w:val="000000"/>
          <w:shd w:val="clear" w:color="auto" w:fill="FFFFFF"/>
        </w:rPr>
        <w:t xml:space="preserve">estimated </w:t>
      </w:r>
      <w:r w:rsidR="00990FBC">
        <w:rPr>
          <w:rStyle w:val="normaltextrun"/>
          <w:color w:val="000000"/>
          <w:shd w:val="clear" w:color="auto" w:fill="FFFFFF"/>
        </w:rPr>
        <w:t>property tax</w:t>
      </w:r>
      <w:r w:rsidR="00E54E67">
        <w:rPr>
          <w:rStyle w:val="normaltextrun"/>
          <w:color w:val="000000"/>
          <w:shd w:val="clear" w:color="auto" w:fill="FFFFFF"/>
        </w:rPr>
        <w:t xml:space="preserve"> to be paid.</w:t>
      </w:r>
    </w:p>
    <w:p w14:paraId="535866E9" w14:textId="7F8CAED0" w:rsidR="00EC05E5" w:rsidRPr="00F420C5" w:rsidRDefault="00EC05E5" w:rsidP="007261AD">
      <w:pPr>
        <w:pStyle w:val="BodyText"/>
        <w:keepNext/>
        <w:widowControl/>
        <w:spacing w:before="240" w:line="360" w:lineRule="auto"/>
        <w:ind w:left="720" w:hanging="720"/>
        <w:jc w:val="both"/>
        <w:rPr>
          <w:b/>
        </w:rPr>
      </w:pPr>
      <w:r w:rsidRPr="00F420C5">
        <w:rPr>
          <w:b/>
        </w:rPr>
        <w:t>Q.</w:t>
      </w:r>
      <w:r w:rsidRPr="00F420C5">
        <w:rPr>
          <w:b/>
        </w:rPr>
        <w:tab/>
        <w:t xml:space="preserve">IS THE COMPANY ALSO PROPOSING TO PROVIDE 100% OF </w:t>
      </w:r>
      <w:r>
        <w:rPr>
          <w:b/>
        </w:rPr>
        <w:t>ITS OWNERSHIP</w:t>
      </w:r>
      <w:r w:rsidRPr="00F420C5">
        <w:rPr>
          <w:b/>
        </w:rPr>
        <w:t xml:space="preserve"> BENEFIT OF THE </w:t>
      </w:r>
      <w:r>
        <w:rPr>
          <w:b/>
        </w:rPr>
        <w:t>PTCs</w:t>
      </w:r>
      <w:r w:rsidRPr="00F420C5">
        <w:rPr>
          <w:b/>
        </w:rPr>
        <w:t xml:space="preserve"> TO CUSTOMERS?</w:t>
      </w:r>
    </w:p>
    <w:p w14:paraId="0170DE8E" w14:textId="77777777" w:rsidR="00EC05E5" w:rsidRDefault="00EC05E5" w:rsidP="007261AD">
      <w:pPr>
        <w:pStyle w:val="BodyText"/>
        <w:keepNext/>
        <w:widowControl/>
        <w:spacing w:after="0" w:line="360" w:lineRule="auto"/>
        <w:ind w:left="720" w:hanging="720"/>
        <w:jc w:val="both"/>
      </w:pPr>
      <w:r>
        <w:rPr>
          <w:bCs/>
        </w:rPr>
        <w:t>A.</w:t>
      </w:r>
      <w:r>
        <w:rPr>
          <w:bCs/>
        </w:rPr>
        <w:tab/>
        <w:t>Yes.</w:t>
      </w:r>
      <w:r w:rsidRPr="009A578C">
        <w:t xml:space="preserve"> </w:t>
      </w:r>
      <w:r w:rsidRPr="00A43B15">
        <w:t xml:space="preserve">The Company has included </w:t>
      </w:r>
      <w:r>
        <w:t>its</w:t>
      </w:r>
      <w:r w:rsidRPr="00A43B15">
        <w:t xml:space="preserve"> full annual amount allowed under the IRS regulations as an offset to the operating costs.</w:t>
      </w:r>
    </w:p>
    <w:p w14:paraId="1F75B091" w14:textId="77777777" w:rsidR="001E759E" w:rsidRPr="00895FC2" w:rsidRDefault="001E759E" w:rsidP="001E759E">
      <w:pPr>
        <w:pStyle w:val="BodyText"/>
        <w:spacing w:before="240" w:line="360" w:lineRule="auto"/>
        <w:ind w:left="720" w:hanging="720"/>
        <w:jc w:val="both"/>
        <w:rPr>
          <w:b/>
          <w:bCs/>
        </w:rPr>
      </w:pPr>
      <w:r w:rsidRPr="00895FC2">
        <w:rPr>
          <w:b/>
          <w:bCs/>
        </w:rPr>
        <w:t>Q.</w:t>
      </w:r>
      <w:r w:rsidRPr="00895FC2">
        <w:rPr>
          <w:b/>
          <w:bCs/>
        </w:rPr>
        <w:tab/>
      </w:r>
      <w:r>
        <w:rPr>
          <w:b/>
          <w:bCs/>
        </w:rPr>
        <w:t>IS THE COMPANY SEEKING</w:t>
      </w:r>
      <w:r w:rsidRPr="00895FC2">
        <w:rPr>
          <w:b/>
          <w:bCs/>
        </w:rPr>
        <w:t xml:space="preserve"> RECOVERY OF </w:t>
      </w:r>
      <w:r>
        <w:rPr>
          <w:b/>
          <w:bCs/>
        </w:rPr>
        <w:t>PREVIOUSLY DEFERRED COSTS ASSOCIATED WITH VOGTLE UNITS 3 AND 4</w:t>
      </w:r>
      <w:r w:rsidRPr="00895FC2">
        <w:rPr>
          <w:b/>
          <w:bCs/>
        </w:rPr>
        <w:t>?</w:t>
      </w:r>
    </w:p>
    <w:p w14:paraId="010376CF" w14:textId="2A0EDB22" w:rsidR="001E759E" w:rsidRDefault="001E759E" w:rsidP="001E759E">
      <w:pPr>
        <w:spacing w:before="240" w:after="240" w:line="360" w:lineRule="auto"/>
        <w:ind w:left="720" w:hanging="720"/>
        <w:jc w:val="both"/>
        <w:outlineLvl w:val="2"/>
        <w:rPr>
          <w:rFonts w:eastAsia="MS Mincho"/>
          <w:szCs w:val="20"/>
        </w:rPr>
      </w:pPr>
      <w:r>
        <w:t>A.</w:t>
      </w:r>
      <w:r>
        <w:tab/>
        <w:t xml:space="preserve">Yes. </w:t>
      </w:r>
      <w:r w:rsidR="006D1E41">
        <w:t>As agreed in the Stipulation, t</w:t>
      </w:r>
      <w:r>
        <w:t xml:space="preserve">he Company is seeking to recover </w:t>
      </w:r>
      <w:r>
        <w:rPr>
          <w:rFonts w:eastAsia="MS Mincho"/>
          <w:szCs w:val="20"/>
        </w:rPr>
        <w:t xml:space="preserve">(i) the </w:t>
      </w:r>
      <w:r w:rsidRPr="00C44D4B">
        <w:rPr>
          <w:rFonts w:eastAsia="MS Mincho"/>
          <w:szCs w:val="20"/>
        </w:rPr>
        <w:t>deferred depreciation related to Unit 3 and Common facilities</w:t>
      </w:r>
      <w:r>
        <w:rPr>
          <w:rFonts w:eastAsia="MS Mincho"/>
          <w:szCs w:val="20"/>
        </w:rPr>
        <w:t xml:space="preserve"> incurred</w:t>
      </w:r>
      <w:r w:rsidRPr="00C44D4B">
        <w:rPr>
          <w:rFonts w:eastAsia="MS Mincho"/>
          <w:szCs w:val="20"/>
        </w:rPr>
        <w:t xml:space="preserve"> since Unit 3 was placed in service</w:t>
      </w:r>
      <w:r>
        <w:rPr>
          <w:rFonts w:eastAsia="MS Mincho"/>
          <w:szCs w:val="20"/>
        </w:rPr>
        <w:t xml:space="preserve">, (ii) </w:t>
      </w:r>
      <w:r w:rsidRPr="00C44D4B">
        <w:rPr>
          <w:rFonts w:eastAsia="MS Mincho"/>
          <w:szCs w:val="20"/>
        </w:rPr>
        <w:t xml:space="preserve">the deferred financing </w:t>
      </w:r>
      <w:r>
        <w:rPr>
          <w:rFonts w:eastAsia="MS Mincho"/>
          <w:szCs w:val="20"/>
        </w:rPr>
        <w:t xml:space="preserve">costs </w:t>
      </w:r>
      <w:r w:rsidRPr="00C44D4B">
        <w:rPr>
          <w:rFonts w:eastAsia="MS Mincho"/>
          <w:szCs w:val="20"/>
        </w:rPr>
        <w:t>of Unit 3 and Common facilities accrued since Unit 3 was placed in service</w:t>
      </w:r>
      <w:r>
        <w:rPr>
          <w:rFonts w:eastAsia="MS Mincho"/>
          <w:szCs w:val="20"/>
        </w:rPr>
        <w:t xml:space="preserve">, (iii) </w:t>
      </w:r>
      <w:r w:rsidRPr="00C44D4B">
        <w:rPr>
          <w:rFonts w:eastAsia="MS Mincho"/>
          <w:szCs w:val="20"/>
        </w:rPr>
        <w:t xml:space="preserve">the deficient ADITs resulting from </w:t>
      </w:r>
      <w:r>
        <w:rPr>
          <w:rFonts w:eastAsia="MS Mincho"/>
          <w:szCs w:val="20"/>
        </w:rPr>
        <w:t xml:space="preserve">TCJA, and (iv) </w:t>
      </w:r>
      <w:r w:rsidRPr="00C44D4B">
        <w:rPr>
          <w:rFonts w:eastAsia="MS Mincho"/>
          <w:szCs w:val="20"/>
        </w:rPr>
        <w:t>the deferred interest on nuclear fuel accrued in accordance with prior Commission order (Docket No. 3397)</w:t>
      </w:r>
      <w:r>
        <w:rPr>
          <w:rFonts w:eastAsia="MS Mincho"/>
          <w:szCs w:val="20"/>
        </w:rPr>
        <w:t>.</w:t>
      </w:r>
    </w:p>
    <w:p w14:paraId="7CF1854A" w14:textId="77777777" w:rsidR="0049414D" w:rsidRDefault="0049414D" w:rsidP="00B57FDE">
      <w:pPr>
        <w:keepNext/>
        <w:spacing w:before="240" w:after="240" w:line="360" w:lineRule="auto"/>
        <w:ind w:left="720" w:hanging="720"/>
        <w:jc w:val="both"/>
        <w:outlineLvl w:val="2"/>
        <w:rPr>
          <w:b/>
          <w:bCs/>
        </w:rPr>
      </w:pPr>
      <w:r w:rsidRPr="0049414D">
        <w:rPr>
          <w:b/>
          <w:bCs/>
        </w:rPr>
        <w:t>Q.</w:t>
      </w:r>
      <w:r w:rsidRPr="0049414D">
        <w:rPr>
          <w:b/>
          <w:bCs/>
        </w:rPr>
        <w:tab/>
      </w:r>
      <w:r w:rsidR="005D5E65">
        <w:rPr>
          <w:b/>
          <w:bCs/>
        </w:rPr>
        <w:t xml:space="preserve">PLEASE DESCRIBE THE </w:t>
      </w:r>
      <w:r w:rsidR="006C64DB">
        <w:rPr>
          <w:b/>
          <w:bCs/>
        </w:rPr>
        <w:t xml:space="preserve">RECOVERY OF </w:t>
      </w:r>
      <w:r w:rsidR="005D5E65">
        <w:rPr>
          <w:b/>
          <w:bCs/>
        </w:rPr>
        <w:t xml:space="preserve">DEFERRED DEPRECIATION </w:t>
      </w:r>
      <w:r w:rsidR="006C64DB">
        <w:rPr>
          <w:b/>
          <w:bCs/>
        </w:rPr>
        <w:t xml:space="preserve">PROPOSED </w:t>
      </w:r>
      <w:r w:rsidR="005D5E65">
        <w:rPr>
          <w:b/>
          <w:bCs/>
        </w:rPr>
        <w:t>IN THIS FILING.</w:t>
      </w:r>
    </w:p>
    <w:p w14:paraId="58935A86" w14:textId="71FE2D6C" w:rsidR="006C64DB" w:rsidRDefault="006C64DB" w:rsidP="00B57FDE">
      <w:pPr>
        <w:keepNext/>
        <w:spacing w:before="240" w:after="240" w:line="360" w:lineRule="auto"/>
        <w:ind w:left="720" w:hanging="720"/>
        <w:jc w:val="both"/>
        <w:outlineLvl w:val="2"/>
      </w:pPr>
      <w:r w:rsidRPr="006C64DB">
        <w:t>A.</w:t>
      </w:r>
      <w:r>
        <w:tab/>
      </w:r>
      <w:r w:rsidR="000371B4">
        <w:t>As approved in the Unit 3 Rate Adjustment Order, t</w:t>
      </w:r>
      <w:r w:rsidR="00FD1A96">
        <w:t xml:space="preserve">he Company </w:t>
      </w:r>
      <w:r w:rsidR="00E802A5">
        <w:t>is</w:t>
      </w:r>
      <w:r w:rsidR="007C79BC">
        <w:t xml:space="preserve"> defe</w:t>
      </w:r>
      <w:r w:rsidR="00E802A5">
        <w:t>r</w:t>
      </w:r>
      <w:r w:rsidR="007C79BC">
        <w:t>r</w:t>
      </w:r>
      <w:r w:rsidR="00E802A5">
        <w:t>ing</w:t>
      </w:r>
      <w:r w:rsidR="007C79BC">
        <w:t xml:space="preserve"> </w:t>
      </w:r>
      <w:r w:rsidR="005160EC">
        <w:t xml:space="preserve">to </w:t>
      </w:r>
      <w:r w:rsidR="000432D1">
        <w:t xml:space="preserve">a </w:t>
      </w:r>
      <w:r w:rsidR="005160EC">
        <w:t xml:space="preserve">regulatory asset the </w:t>
      </w:r>
      <w:r w:rsidR="007C79BC">
        <w:t>depreciation of Unit 3 and Common facilities</w:t>
      </w:r>
      <w:r w:rsidR="001A040F">
        <w:t xml:space="preserve"> above the $2.1 billion of construction and capital cost </w:t>
      </w:r>
      <w:r w:rsidR="009205D7">
        <w:t xml:space="preserve">approved </w:t>
      </w:r>
      <w:r w:rsidR="003F128D">
        <w:t>for inclusion in rate base</w:t>
      </w:r>
      <w:r w:rsidR="00AB2B87">
        <w:t xml:space="preserve"> upon </w:t>
      </w:r>
      <w:r w:rsidR="009048D2">
        <w:t xml:space="preserve">Commercial Operation </w:t>
      </w:r>
      <w:r w:rsidR="00AB2B87">
        <w:t>of Unit 3</w:t>
      </w:r>
      <w:r w:rsidR="001321D6">
        <w:t>.</w:t>
      </w:r>
      <w:r w:rsidR="006972AA">
        <w:t xml:space="preserve"> The </w:t>
      </w:r>
      <w:r w:rsidR="00460195">
        <w:t xml:space="preserve">deferred depreciation </w:t>
      </w:r>
      <w:r w:rsidR="006D7087">
        <w:t>is</w:t>
      </w:r>
      <w:r w:rsidR="00460195">
        <w:t xml:space="preserve"> calculated </w:t>
      </w:r>
      <w:r w:rsidR="009369D4">
        <w:t>based on the 1.677% depreciation rate approved in the Unit 3 Rate Adjustment Order</w:t>
      </w:r>
      <w:r w:rsidR="00091EAC">
        <w:t xml:space="preserve"> through the </w:t>
      </w:r>
      <w:r w:rsidR="00C90269">
        <w:t xml:space="preserve">Commercial Operation </w:t>
      </w:r>
      <w:r w:rsidR="00091EAC">
        <w:t>of Unit 4</w:t>
      </w:r>
      <w:r w:rsidR="009369D4">
        <w:t xml:space="preserve">. </w:t>
      </w:r>
      <w:r w:rsidR="0007469D">
        <w:t>The Stipulation provides for the a</w:t>
      </w:r>
      <w:r w:rsidR="00C211AB">
        <w:t>mortiz</w:t>
      </w:r>
      <w:r w:rsidR="0007469D">
        <w:t>ation of</w:t>
      </w:r>
      <w:r w:rsidR="00C211AB">
        <w:t xml:space="preserve"> the </w:t>
      </w:r>
      <w:r w:rsidR="00091EAC">
        <w:t>deferred</w:t>
      </w:r>
      <w:r w:rsidR="00976756">
        <w:t xml:space="preserve"> </w:t>
      </w:r>
      <w:r w:rsidR="0026603D">
        <w:t>depreciation</w:t>
      </w:r>
      <w:r w:rsidR="00091EAC">
        <w:t xml:space="preserve"> </w:t>
      </w:r>
      <w:r w:rsidR="006F74FF">
        <w:t xml:space="preserve">the month after </w:t>
      </w:r>
      <w:r w:rsidR="007E37AC">
        <w:t xml:space="preserve">Unit 4 </w:t>
      </w:r>
      <w:r w:rsidR="000E3553">
        <w:t xml:space="preserve">Commercial Operation </w:t>
      </w:r>
      <w:r w:rsidR="00D8395B">
        <w:t xml:space="preserve">ratably </w:t>
      </w:r>
      <w:r w:rsidR="00817A93">
        <w:t xml:space="preserve">over a </w:t>
      </w:r>
      <w:r w:rsidR="00B147C1">
        <w:t>10-year period</w:t>
      </w:r>
      <w:r w:rsidR="006F74FF">
        <w:t>.</w:t>
      </w:r>
    </w:p>
    <w:p w14:paraId="2804A89D" w14:textId="77777777" w:rsidR="00CF3AB1" w:rsidRDefault="00CF3AB1" w:rsidP="006D1E41">
      <w:pPr>
        <w:keepNext/>
        <w:spacing w:before="240" w:after="240" w:line="360" w:lineRule="auto"/>
        <w:ind w:left="720" w:hanging="720"/>
        <w:jc w:val="both"/>
        <w:outlineLvl w:val="2"/>
        <w:rPr>
          <w:b/>
          <w:bCs/>
        </w:rPr>
      </w:pPr>
      <w:r w:rsidRPr="0049414D">
        <w:rPr>
          <w:b/>
          <w:bCs/>
        </w:rPr>
        <w:t>Q.</w:t>
      </w:r>
      <w:r w:rsidRPr="0049414D">
        <w:rPr>
          <w:b/>
          <w:bCs/>
        </w:rPr>
        <w:tab/>
      </w:r>
      <w:r>
        <w:rPr>
          <w:b/>
          <w:bCs/>
        </w:rPr>
        <w:t xml:space="preserve">PLEASE DESCRIBE THE RECOVERY OF DEFERRED </w:t>
      </w:r>
      <w:r w:rsidR="00A55B24">
        <w:rPr>
          <w:b/>
          <w:bCs/>
        </w:rPr>
        <w:t>FINANCING COSTS</w:t>
      </w:r>
      <w:r w:rsidR="00CB4576">
        <w:rPr>
          <w:b/>
          <w:bCs/>
        </w:rPr>
        <w:t xml:space="preserve"> </w:t>
      </w:r>
      <w:r>
        <w:rPr>
          <w:b/>
          <w:bCs/>
        </w:rPr>
        <w:t>PROPOSED IN THIS FILING.</w:t>
      </w:r>
    </w:p>
    <w:p w14:paraId="55C55205" w14:textId="3936DDC3" w:rsidR="00CF3AB1" w:rsidRDefault="00CF3AB1" w:rsidP="006D1E41">
      <w:pPr>
        <w:keepNext/>
        <w:spacing w:before="240" w:after="240" w:line="360" w:lineRule="auto"/>
        <w:ind w:left="720" w:hanging="720"/>
        <w:jc w:val="both"/>
        <w:outlineLvl w:val="2"/>
      </w:pPr>
      <w:r w:rsidRPr="006C64DB">
        <w:t>A.</w:t>
      </w:r>
      <w:r>
        <w:tab/>
        <w:t xml:space="preserve">As approved in the Unit 3 Rate Adjustment Order, the Company is deferring </w:t>
      </w:r>
      <w:r w:rsidR="005160EC">
        <w:t xml:space="preserve">to </w:t>
      </w:r>
      <w:r w:rsidR="005C3CBB">
        <w:t xml:space="preserve">a </w:t>
      </w:r>
      <w:r w:rsidR="005160EC">
        <w:t xml:space="preserve">regulatory asset the </w:t>
      </w:r>
      <w:r w:rsidR="00CB4576">
        <w:t>financing costs</w:t>
      </w:r>
      <w:r>
        <w:t xml:space="preserve"> of Unit 3 and Common facilities above the $2.1 billion of construction and capital cost approved for inclusion in rate base upon </w:t>
      </w:r>
      <w:r w:rsidR="00CC0B00">
        <w:t xml:space="preserve">Commercial Operation </w:t>
      </w:r>
      <w:r>
        <w:t xml:space="preserve">of Unit 3. The </w:t>
      </w:r>
      <w:r w:rsidR="002D5472">
        <w:t>cost of equity</w:t>
      </w:r>
      <w:r w:rsidR="003D748D">
        <w:t xml:space="preserve"> incorporated </w:t>
      </w:r>
      <w:r w:rsidR="002D5472">
        <w:t xml:space="preserve">in the </w:t>
      </w:r>
      <w:r>
        <w:t xml:space="preserve">deferred </w:t>
      </w:r>
      <w:r w:rsidR="00B22E38">
        <w:t>financing costs</w:t>
      </w:r>
      <w:r>
        <w:t xml:space="preserve"> </w:t>
      </w:r>
      <w:r w:rsidR="00696376">
        <w:t>is the Company</w:t>
      </w:r>
      <w:r w:rsidR="001B126C">
        <w:t>’</w:t>
      </w:r>
      <w:r w:rsidR="00696376">
        <w:t>s average cost of long-term debt</w:t>
      </w:r>
      <w:r w:rsidR="00442736">
        <w:t xml:space="preserve"> as</w:t>
      </w:r>
      <w:r>
        <w:t xml:space="preserve"> approved in the Unit 3 Rate Adjustment Order through </w:t>
      </w:r>
      <w:r w:rsidR="00355FC2">
        <w:t xml:space="preserve">Commercial Operation </w:t>
      </w:r>
      <w:r>
        <w:t xml:space="preserve">of Unit 4. </w:t>
      </w:r>
      <w:r w:rsidR="00BA5149">
        <w:t xml:space="preserve">Since the Company cannot defer the equity return for GAAP financing reporting purposes, the Company </w:t>
      </w:r>
      <w:r w:rsidR="007E5C73">
        <w:t xml:space="preserve">will defer </w:t>
      </w:r>
      <w:r w:rsidR="00172954">
        <w:t>the</w:t>
      </w:r>
      <w:r w:rsidR="00D46A5F">
        <w:t xml:space="preserve"> debt return to the regulatory asset </w:t>
      </w:r>
      <w:r w:rsidR="00347E18">
        <w:t>for</w:t>
      </w:r>
      <w:r w:rsidR="00D46A5F">
        <w:t xml:space="preserve"> GAAP and will </w:t>
      </w:r>
      <w:r w:rsidR="005229AA">
        <w:t>defer</w:t>
      </w:r>
      <w:r w:rsidR="00D46A5F">
        <w:t xml:space="preserve"> the </w:t>
      </w:r>
      <w:r w:rsidR="006F5F63">
        <w:t xml:space="preserve">equity return to the </w:t>
      </w:r>
      <w:r w:rsidR="00D46A5F">
        <w:t>regulatory asset for regulatory reporting purposes</w:t>
      </w:r>
      <w:r w:rsidR="00C501C3">
        <w:t xml:space="preserve"> only</w:t>
      </w:r>
      <w:r w:rsidR="00D46A5F">
        <w:t xml:space="preserve">. </w:t>
      </w:r>
      <w:r>
        <w:t xml:space="preserve">The </w:t>
      </w:r>
      <w:r w:rsidR="00387EF7">
        <w:t xml:space="preserve">Stipulation provides </w:t>
      </w:r>
      <w:r w:rsidR="00B90A05">
        <w:t xml:space="preserve">for </w:t>
      </w:r>
      <w:r w:rsidR="00387EF7">
        <w:t>the</w:t>
      </w:r>
      <w:r>
        <w:t xml:space="preserve"> amortiz</w:t>
      </w:r>
      <w:r w:rsidR="00387EF7">
        <w:t>ation</w:t>
      </w:r>
      <w:r>
        <w:t xml:space="preserve"> </w:t>
      </w:r>
      <w:r w:rsidR="00B90A05">
        <w:t>of</w:t>
      </w:r>
      <w:r>
        <w:t xml:space="preserve"> the deferred </w:t>
      </w:r>
      <w:r w:rsidR="00955810">
        <w:t>financing costs</w:t>
      </w:r>
      <w:r w:rsidR="00C501C3">
        <w:t>, both debt and equity,</w:t>
      </w:r>
      <w:r>
        <w:t xml:space="preserve"> the month after </w:t>
      </w:r>
      <w:r w:rsidR="001C2B48">
        <w:t xml:space="preserve">Commercial Operation </w:t>
      </w:r>
      <w:r>
        <w:t xml:space="preserve">of Unit 4 ratably </w:t>
      </w:r>
      <w:r w:rsidR="002E7EF2">
        <w:t>over a 10-year period</w:t>
      </w:r>
      <w:r>
        <w:t>.</w:t>
      </w:r>
    </w:p>
    <w:p w14:paraId="0DE8727F" w14:textId="0DF490E0" w:rsidR="005229AA" w:rsidRDefault="005229AA" w:rsidP="005229AA">
      <w:pPr>
        <w:spacing w:before="240" w:after="240" w:line="360" w:lineRule="auto"/>
        <w:ind w:left="720" w:hanging="720"/>
        <w:jc w:val="both"/>
        <w:outlineLvl w:val="2"/>
        <w:rPr>
          <w:b/>
          <w:bCs/>
        </w:rPr>
      </w:pPr>
      <w:r w:rsidRPr="0049414D">
        <w:rPr>
          <w:b/>
          <w:bCs/>
        </w:rPr>
        <w:t>Q.</w:t>
      </w:r>
      <w:r w:rsidRPr="0049414D">
        <w:rPr>
          <w:b/>
          <w:bCs/>
        </w:rPr>
        <w:tab/>
      </w:r>
      <w:r>
        <w:rPr>
          <w:b/>
          <w:bCs/>
        </w:rPr>
        <w:t xml:space="preserve">PLEASE DESCRIBE THE RECOVERY OF </w:t>
      </w:r>
      <w:r w:rsidR="00E93837">
        <w:rPr>
          <w:b/>
          <w:bCs/>
        </w:rPr>
        <w:t xml:space="preserve">DEFICIENT </w:t>
      </w:r>
      <w:r w:rsidR="006B4ABE">
        <w:rPr>
          <w:b/>
          <w:bCs/>
        </w:rPr>
        <w:t xml:space="preserve">ADITS </w:t>
      </w:r>
      <w:r w:rsidR="004F1ADD">
        <w:rPr>
          <w:b/>
          <w:bCs/>
        </w:rPr>
        <w:t xml:space="preserve">REGULATORY ASSET </w:t>
      </w:r>
      <w:r w:rsidR="006F2D5C">
        <w:rPr>
          <w:b/>
          <w:bCs/>
        </w:rPr>
        <w:t>INCLUDED IN THE STIPULATION</w:t>
      </w:r>
      <w:r>
        <w:rPr>
          <w:b/>
          <w:bCs/>
        </w:rPr>
        <w:t>.</w:t>
      </w:r>
    </w:p>
    <w:p w14:paraId="297D1C19" w14:textId="697BED0B" w:rsidR="005229AA" w:rsidRDefault="005229AA" w:rsidP="005229AA">
      <w:pPr>
        <w:spacing w:before="240" w:after="240" w:line="360" w:lineRule="auto"/>
        <w:ind w:left="720" w:hanging="720"/>
        <w:jc w:val="both"/>
        <w:outlineLvl w:val="2"/>
      </w:pPr>
      <w:r w:rsidRPr="006C64DB">
        <w:t>A.</w:t>
      </w:r>
      <w:r>
        <w:tab/>
        <w:t xml:space="preserve">As </w:t>
      </w:r>
      <w:r w:rsidR="00D136FB">
        <w:t xml:space="preserve">a </w:t>
      </w:r>
      <w:r w:rsidR="0088678F">
        <w:t>result of</w:t>
      </w:r>
      <w:r w:rsidR="00FE2278">
        <w:t xml:space="preserve"> </w:t>
      </w:r>
      <w:r w:rsidR="00D136FB">
        <w:t>the</w:t>
      </w:r>
      <w:r w:rsidR="00FE2278">
        <w:t xml:space="preserve"> </w:t>
      </w:r>
      <w:r w:rsidR="0088678F">
        <w:t>TCJA</w:t>
      </w:r>
      <w:r w:rsidR="00622DEA">
        <w:t xml:space="preserve"> in December 2017</w:t>
      </w:r>
      <w:r w:rsidR="0088678F">
        <w:t xml:space="preserve">, the Company recorded a </w:t>
      </w:r>
      <w:r w:rsidR="008808B4">
        <w:t xml:space="preserve">regulatory asset </w:t>
      </w:r>
      <w:r w:rsidR="005D593F">
        <w:t>of $145.</w:t>
      </w:r>
      <w:r w:rsidR="007164FB">
        <w:t>5</w:t>
      </w:r>
      <w:r w:rsidR="005D593F">
        <w:t xml:space="preserve"> million </w:t>
      </w:r>
      <w:r w:rsidR="008808B4">
        <w:t xml:space="preserve">associated with the </w:t>
      </w:r>
      <w:r w:rsidR="0088678F">
        <w:t xml:space="preserve">deficient ADITs </w:t>
      </w:r>
      <w:r w:rsidR="00373A73">
        <w:t xml:space="preserve">for Vogtle Units 3 and </w:t>
      </w:r>
      <w:r w:rsidR="00622DEA">
        <w:t>4</w:t>
      </w:r>
      <w:r>
        <w:t xml:space="preserve">. </w:t>
      </w:r>
      <w:r w:rsidR="00746672">
        <w:t xml:space="preserve">The Stipulation provides for the </w:t>
      </w:r>
      <w:r>
        <w:t xml:space="preserve">Company to amortize the </w:t>
      </w:r>
      <w:r w:rsidR="0035690A">
        <w:t>deficient ADITs</w:t>
      </w:r>
      <w:r w:rsidR="00E56739">
        <w:t xml:space="preserve"> </w:t>
      </w:r>
      <w:r>
        <w:t xml:space="preserve">the month after </w:t>
      </w:r>
      <w:r w:rsidR="00746672">
        <w:t xml:space="preserve">Unit 4 </w:t>
      </w:r>
      <w:r w:rsidR="00E759F1">
        <w:t xml:space="preserve">Commercial Operation </w:t>
      </w:r>
      <w:r>
        <w:t xml:space="preserve">ratably </w:t>
      </w:r>
      <w:r w:rsidR="00EF4CA2">
        <w:t>over a 10-year period</w:t>
      </w:r>
      <w:r>
        <w:t>.</w:t>
      </w:r>
    </w:p>
    <w:p w14:paraId="3FABBA22" w14:textId="4A8BF9A8" w:rsidR="00173D60" w:rsidRDefault="00173D60" w:rsidP="00173D60">
      <w:pPr>
        <w:spacing w:before="240" w:after="240" w:line="360" w:lineRule="auto"/>
        <w:ind w:left="720" w:hanging="720"/>
        <w:jc w:val="both"/>
        <w:outlineLvl w:val="2"/>
        <w:rPr>
          <w:b/>
          <w:bCs/>
        </w:rPr>
      </w:pPr>
      <w:r w:rsidRPr="0049414D">
        <w:rPr>
          <w:b/>
          <w:bCs/>
        </w:rPr>
        <w:t>Q.</w:t>
      </w:r>
      <w:r w:rsidRPr="0049414D">
        <w:rPr>
          <w:b/>
          <w:bCs/>
        </w:rPr>
        <w:tab/>
      </w:r>
      <w:r>
        <w:rPr>
          <w:b/>
          <w:bCs/>
        </w:rPr>
        <w:t xml:space="preserve">PLEASE DESCRIBE THE RECOVERY OF </w:t>
      </w:r>
      <w:r w:rsidR="00702904">
        <w:rPr>
          <w:b/>
          <w:bCs/>
        </w:rPr>
        <w:t>DEFERRED INTEREST ON NUCLEAR FUEL</w:t>
      </w:r>
      <w:r w:rsidR="009D519D">
        <w:rPr>
          <w:b/>
          <w:bCs/>
        </w:rPr>
        <w:t xml:space="preserve"> </w:t>
      </w:r>
      <w:r w:rsidR="00746672">
        <w:rPr>
          <w:b/>
          <w:bCs/>
        </w:rPr>
        <w:t>INCLUDED IN THE STIPULATION</w:t>
      </w:r>
      <w:r>
        <w:rPr>
          <w:b/>
          <w:bCs/>
        </w:rPr>
        <w:t>.</w:t>
      </w:r>
    </w:p>
    <w:p w14:paraId="3A107608" w14:textId="60198AD5" w:rsidR="00173D60" w:rsidRDefault="00173D60" w:rsidP="00173D60">
      <w:pPr>
        <w:spacing w:before="240" w:after="240" w:line="360" w:lineRule="auto"/>
        <w:ind w:left="720" w:hanging="720"/>
        <w:jc w:val="both"/>
        <w:outlineLvl w:val="2"/>
      </w:pPr>
      <w:r w:rsidRPr="006C64DB">
        <w:t>A.</w:t>
      </w:r>
      <w:r>
        <w:tab/>
      </w:r>
      <w:r w:rsidR="00E8005D">
        <w:t xml:space="preserve">In accordance with the </w:t>
      </w:r>
      <w:r w:rsidR="00531C81" w:rsidRPr="00C44D4B">
        <w:rPr>
          <w:rFonts w:eastAsia="MS Mincho"/>
          <w:szCs w:val="20"/>
        </w:rPr>
        <w:t>prior Commission order</w:t>
      </w:r>
      <w:r w:rsidR="00531C81">
        <w:rPr>
          <w:rFonts w:eastAsia="MS Mincho"/>
          <w:szCs w:val="20"/>
        </w:rPr>
        <w:t xml:space="preserve"> in </w:t>
      </w:r>
      <w:r w:rsidR="00531C81" w:rsidRPr="00C44D4B">
        <w:rPr>
          <w:rFonts w:eastAsia="MS Mincho"/>
          <w:szCs w:val="20"/>
        </w:rPr>
        <w:t>Docket No. 3397</w:t>
      </w:r>
      <w:r w:rsidR="00531C81">
        <w:rPr>
          <w:rFonts w:eastAsia="MS Mincho"/>
          <w:szCs w:val="20"/>
        </w:rPr>
        <w:t xml:space="preserve">, </w:t>
      </w:r>
      <w:r w:rsidR="0070344D">
        <w:rPr>
          <w:rFonts w:eastAsia="MS Mincho"/>
          <w:szCs w:val="20"/>
        </w:rPr>
        <w:t xml:space="preserve">the Company </w:t>
      </w:r>
      <w:r w:rsidR="0041302C">
        <w:rPr>
          <w:rFonts w:eastAsia="MS Mincho"/>
          <w:szCs w:val="20"/>
        </w:rPr>
        <w:t>is</w:t>
      </w:r>
      <w:r w:rsidR="0070344D">
        <w:rPr>
          <w:rFonts w:eastAsia="MS Mincho"/>
          <w:szCs w:val="20"/>
        </w:rPr>
        <w:t xml:space="preserve"> </w:t>
      </w:r>
      <w:r w:rsidR="0041302C">
        <w:rPr>
          <w:rFonts w:eastAsia="MS Mincho"/>
          <w:szCs w:val="20"/>
        </w:rPr>
        <w:t>deferring</w:t>
      </w:r>
      <w:r w:rsidR="0070344D">
        <w:rPr>
          <w:rFonts w:eastAsia="MS Mincho"/>
          <w:szCs w:val="20"/>
        </w:rPr>
        <w:t xml:space="preserve"> interest </w:t>
      </w:r>
      <w:r w:rsidR="006909CE">
        <w:rPr>
          <w:rFonts w:eastAsia="MS Mincho"/>
          <w:szCs w:val="20"/>
        </w:rPr>
        <w:t xml:space="preserve">costs </w:t>
      </w:r>
      <w:r w:rsidR="0070344D">
        <w:rPr>
          <w:rFonts w:eastAsia="MS Mincho"/>
          <w:szCs w:val="20"/>
        </w:rPr>
        <w:t xml:space="preserve">on </w:t>
      </w:r>
      <w:r w:rsidR="0062408A">
        <w:rPr>
          <w:rFonts w:eastAsia="MS Mincho"/>
          <w:szCs w:val="20"/>
        </w:rPr>
        <w:t xml:space="preserve">Vogtle Units 3 and 4 </w:t>
      </w:r>
      <w:r w:rsidR="0070344D">
        <w:rPr>
          <w:rFonts w:eastAsia="MS Mincho"/>
          <w:szCs w:val="20"/>
        </w:rPr>
        <w:t>nuclear fuel</w:t>
      </w:r>
      <w:r w:rsidR="002E0246">
        <w:rPr>
          <w:rFonts w:eastAsia="MS Mincho"/>
          <w:szCs w:val="20"/>
        </w:rPr>
        <w:t xml:space="preserve"> to a deferred asset account</w:t>
      </w:r>
      <w:r w:rsidR="00903059">
        <w:rPr>
          <w:rFonts w:eastAsia="MS Mincho"/>
          <w:szCs w:val="20"/>
        </w:rPr>
        <w:t xml:space="preserve"> </w:t>
      </w:r>
      <w:r w:rsidR="007962C4">
        <w:rPr>
          <w:rFonts w:eastAsia="MS Mincho"/>
          <w:szCs w:val="20"/>
        </w:rPr>
        <w:t xml:space="preserve">through </w:t>
      </w:r>
      <w:r w:rsidR="002B4DB8">
        <w:rPr>
          <w:rFonts w:eastAsia="MS Mincho"/>
          <w:szCs w:val="20"/>
        </w:rPr>
        <w:t>the</w:t>
      </w:r>
      <w:r w:rsidR="00486D7E">
        <w:rPr>
          <w:rFonts w:eastAsia="MS Mincho"/>
          <w:szCs w:val="20"/>
        </w:rPr>
        <w:t>ir</w:t>
      </w:r>
      <w:r w:rsidR="002B4DB8">
        <w:rPr>
          <w:rFonts w:eastAsia="MS Mincho"/>
          <w:szCs w:val="20"/>
        </w:rPr>
        <w:t xml:space="preserve"> respective </w:t>
      </w:r>
      <w:r w:rsidR="002B00A3">
        <w:rPr>
          <w:rFonts w:eastAsia="MS Mincho"/>
          <w:szCs w:val="20"/>
        </w:rPr>
        <w:t xml:space="preserve">Commercial Operation </w:t>
      </w:r>
      <w:r w:rsidR="002B4DB8">
        <w:rPr>
          <w:rFonts w:eastAsia="MS Mincho"/>
          <w:szCs w:val="20"/>
        </w:rPr>
        <w:t>dates</w:t>
      </w:r>
      <w:r w:rsidR="002E0246">
        <w:rPr>
          <w:rFonts w:eastAsia="MS Mincho"/>
          <w:szCs w:val="20"/>
        </w:rPr>
        <w:t>.</w:t>
      </w:r>
      <w:r w:rsidR="00AD4642">
        <w:rPr>
          <w:rFonts w:eastAsia="MS Mincho"/>
          <w:szCs w:val="20"/>
        </w:rPr>
        <w:t xml:space="preserve"> </w:t>
      </w:r>
      <w:r w:rsidR="0041302C">
        <w:rPr>
          <w:rFonts w:eastAsia="MS Mincho"/>
          <w:szCs w:val="20"/>
        </w:rPr>
        <w:t>The</w:t>
      </w:r>
      <w:r w:rsidR="00746672">
        <w:rPr>
          <w:rFonts w:eastAsia="MS Mincho"/>
          <w:szCs w:val="20"/>
        </w:rPr>
        <w:t xml:space="preserve"> Stipulation provides for the</w:t>
      </w:r>
      <w:r w:rsidR="0041302C">
        <w:rPr>
          <w:rFonts w:eastAsia="MS Mincho"/>
          <w:szCs w:val="20"/>
        </w:rPr>
        <w:t xml:space="preserve"> </w:t>
      </w:r>
      <w:r w:rsidR="00854FC9">
        <w:rPr>
          <w:rStyle w:val="normaltextrun"/>
          <w:color w:val="000000"/>
          <w:shd w:val="clear" w:color="auto" w:fill="FFFFFF"/>
        </w:rPr>
        <w:t xml:space="preserve">deferred interest on nuclear fuel </w:t>
      </w:r>
      <w:r w:rsidR="00746672">
        <w:rPr>
          <w:rStyle w:val="normaltextrun"/>
          <w:color w:val="000000"/>
          <w:shd w:val="clear" w:color="auto" w:fill="FFFFFF"/>
        </w:rPr>
        <w:t>to</w:t>
      </w:r>
      <w:r w:rsidR="00854FC9">
        <w:rPr>
          <w:rStyle w:val="normaltextrun"/>
          <w:color w:val="000000"/>
          <w:shd w:val="clear" w:color="auto" w:fill="FFFFFF"/>
        </w:rPr>
        <w:t xml:space="preserve"> be amortized through fuel expense over the respective fuel cycles of Vogtle Units 3 and 4.</w:t>
      </w:r>
    </w:p>
    <w:p w14:paraId="1FEAD5F9" w14:textId="350DEF1D" w:rsidR="00207591" w:rsidRDefault="00207591" w:rsidP="001D7364">
      <w:pPr>
        <w:pStyle w:val="OutlineL1"/>
        <w:keepNext/>
        <w:tabs>
          <w:tab w:val="clear" w:pos="2610"/>
          <w:tab w:val="num" w:pos="720"/>
        </w:tabs>
        <w:spacing w:before="240" w:after="240" w:line="360" w:lineRule="auto"/>
        <w:ind w:left="720" w:hanging="720"/>
        <w:jc w:val="left"/>
      </w:pPr>
      <w:r>
        <w:t>COMMERCIAL OPERATION</w:t>
      </w:r>
    </w:p>
    <w:p w14:paraId="4788FAA9" w14:textId="78B766D9" w:rsidR="006A5024" w:rsidRPr="00664C72" w:rsidRDefault="006A5024" w:rsidP="006A5024">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lang w:eastAsia="en-US"/>
        </w:rPr>
      </w:pPr>
      <w:bookmarkStart w:id="3" w:name="_Hlk70505425"/>
      <w:r w:rsidRPr="00664C72">
        <w:rPr>
          <w:b/>
          <w:bCs/>
          <w:lang w:eastAsia="en-US"/>
        </w:rPr>
        <w:t>Q.</w:t>
      </w:r>
      <w:r w:rsidRPr="00664C72">
        <w:rPr>
          <w:b/>
          <w:bCs/>
          <w:lang w:eastAsia="en-US"/>
        </w:rPr>
        <w:tab/>
        <w:t>WHEN DID UNIT 3 ACHIEVE COMMERCIAL OPERATION?</w:t>
      </w:r>
    </w:p>
    <w:p w14:paraId="2EF18194" w14:textId="40B2AF2C" w:rsidR="006A5024" w:rsidRDefault="006A5024" w:rsidP="006A5024">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pPr>
      <w:r>
        <w:t>A.</w:t>
      </w:r>
      <w:r>
        <w:tab/>
      </w:r>
      <w:r w:rsidR="009C6533">
        <w:t xml:space="preserve">Unit 3 </w:t>
      </w:r>
      <w:r w:rsidR="004354A9">
        <w:t xml:space="preserve">achieved </w:t>
      </w:r>
      <w:r w:rsidR="009C6533">
        <w:t xml:space="preserve">Commercial Operation on July 31, 2023. </w:t>
      </w:r>
    </w:p>
    <w:p w14:paraId="656AFF3A" w14:textId="3A826128" w:rsidR="006A5024" w:rsidRPr="00664C72" w:rsidRDefault="006A5024" w:rsidP="006A5024">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664C72">
        <w:rPr>
          <w:b/>
          <w:bCs/>
        </w:rPr>
        <w:t>Q.</w:t>
      </w:r>
      <w:r w:rsidRPr="00664C72">
        <w:rPr>
          <w:b/>
          <w:bCs/>
        </w:rPr>
        <w:tab/>
      </w:r>
      <w:r w:rsidR="004354A9">
        <w:rPr>
          <w:b/>
          <w:bCs/>
        </w:rPr>
        <w:t>HAS</w:t>
      </w:r>
      <w:r w:rsidR="004354A9" w:rsidRPr="00664C72">
        <w:rPr>
          <w:b/>
          <w:bCs/>
        </w:rPr>
        <w:t xml:space="preserve"> </w:t>
      </w:r>
      <w:r w:rsidR="00664C72" w:rsidRPr="00664C72">
        <w:rPr>
          <w:b/>
          <w:bCs/>
        </w:rPr>
        <w:t xml:space="preserve">UNIT 3 </w:t>
      </w:r>
      <w:r w:rsidR="00930D8A">
        <w:rPr>
          <w:b/>
          <w:bCs/>
        </w:rPr>
        <w:t>PERFORMED AS EXPECTED</w:t>
      </w:r>
      <w:r w:rsidR="00604CBD">
        <w:rPr>
          <w:b/>
          <w:bCs/>
        </w:rPr>
        <w:t xml:space="preserve"> SINCE ACHIEVING COMMERCIAL OPERATION</w:t>
      </w:r>
      <w:r w:rsidR="00664C72" w:rsidRPr="00664C72">
        <w:rPr>
          <w:b/>
          <w:bCs/>
        </w:rPr>
        <w:t>?</w:t>
      </w:r>
    </w:p>
    <w:p w14:paraId="72E60CDE" w14:textId="3DC3F016" w:rsidR="00664C72" w:rsidRPr="006A5024" w:rsidRDefault="00664C72" w:rsidP="68738F42">
      <w:pPr>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lang w:eastAsia="en-US"/>
        </w:rPr>
      </w:pPr>
      <w:r>
        <w:t>A.</w:t>
      </w:r>
      <w:r>
        <w:tab/>
      </w:r>
      <w:r w:rsidR="00930D8A">
        <w:t>Yes</w:t>
      </w:r>
      <w:r w:rsidR="00D710D1">
        <w:t xml:space="preserve">. </w:t>
      </w:r>
      <w:r w:rsidR="00930D8A" w:rsidRPr="0099499A">
        <w:t xml:space="preserve">Since </w:t>
      </w:r>
      <w:r w:rsidR="00930D8A">
        <w:t>July</w:t>
      </w:r>
      <w:r w:rsidR="00F700F7">
        <w:t xml:space="preserve"> 31, 2023</w:t>
      </w:r>
      <w:r w:rsidR="00930D8A" w:rsidRPr="0099499A">
        <w:t>, Unit 3 has remained operational and dispatchable</w:t>
      </w:r>
      <w:r w:rsidR="001B783D">
        <w:t>,</w:t>
      </w:r>
      <w:r w:rsidR="00930D8A" w:rsidRPr="0099499A">
        <w:t xml:space="preserve"> serving</w:t>
      </w:r>
      <w:r w:rsidR="00930D8A" w:rsidRPr="0099499A">
        <w:rPr>
          <w:color w:val="000000" w:themeColor="text1"/>
        </w:rPr>
        <w:t xml:space="preserve"> Georgia customers with 24-hour a day, 7-day a week carbon</w:t>
      </w:r>
      <w:r w:rsidR="004232B5">
        <w:rPr>
          <w:color w:val="000000" w:themeColor="text1"/>
        </w:rPr>
        <w:t>-</w:t>
      </w:r>
      <w:r w:rsidR="00930D8A" w:rsidRPr="0099499A">
        <w:rPr>
          <w:color w:val="000000" w:themeColor="text1"/>
        </w:rPr>
        <w:t>free electricity.</w:t>
      </w:r>
    </w:p>
    <w:bookmarkEnd w:id="3"/>
    <w:p w14:paraId="15E25A4B" w14:textId="25D4B566" w:rsidR="003C482B" w:rsidRPr="003C482B" w:rsidRDefault="003C482B" w:rsidP="003C482B">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3C482B">
        <w:rPr>
          <w:b/>
          <w:bCs/>
        </w:rPr>
        <w:t>Q.</w:t>
      </w:r>
      <w:r w:rsidRPr="003C482B">
        <w:rPr>
          <w:b/>
          <w:bCs/>
        </w:rPr>
        <w:tab/>
        <w:t xml:space="preserve">WHAT PROCESS DOES THE COMPANY PROPOSE TO DETERMINE THAT UNIT </w:t>
      </w:r>
      <w:r>
        <w:rPr>
          <w:b/>
          <w:bCs/>
        </w:rPr>
        <w:t>4</w:t>
      </w:r>
      <w:r w:rsidRPr="003C482B">
        <w:rPr>
          <w:b/>
          <w:bCs/>
        </w:rPr>
        <w:t xml:space="preserve"> HAS ACHIEVED COMMERCIAL OPERATION?</w:t>
      </w:r>
    </w:p>
    <w:p w14:paraId="27AEB17C" w14:textId="72343379" w:rsidR="003C482B" w:rsidRPr="003C482B" w:rsidRDefault="003C482B" w:rsidP="0584D059">
      <w:pPr>
        <w:tabs>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pPr>
      <w:r w:rsidRPr="003C482B">
        <w:t>A.</w:t>
      </w:r>
      <w:r w:rsidRPr="003C482B">
        <w:tab/>
        <w:t xml:space="preserve">Commercial Operation is defined in the SIR Stipulation as “fully dispatchable on demand at the stated Net Electrical Output of 1,102 MWe.” </w:t>
      </w:r>
      <w:r w:rsidR="26CB579C">
        <w:t xml:space="preserve">Utilizing the same process as Unit 3, </w:t>
      </w:r>
      <w:r w:rsidR="46A0A9EE">
        <w:t>a</w:t>
      </w:r>
      <w:r w:rsidR="60C55CBA">
        <w:t>t</w:t>
      </w:r>
      <w:r w:rsidRPr="003C482B">
        <w:t xml:space="preserve"> the conclusion of its testing and start-up procedures, Southern Nuclear will determine when Unit </w:t>
      </w:r>
      <w:r>
        <w:t>4</w:t>
      </w:r>
      <w:r w:rsidRPr="003C482B">
        <w:t xml:space="preserve"> is “fully dispatchable on demand at the stated Net Electrical Output of 1,102 MWe.” Once this determination is made, the Company, along with the other Vogtle Co-</w:t>
      </w:r>
      <w:r w:rsidR="4CDC0105">
        <w:t>O</w:t>
      </w:r>
      <w:r w:rsidRPr="003C482B">
        <w:t xml:space="preserve">wners, will declare that Unit </w:t>
      </w:r>
      <w:r w:rsidR="374F4D49">
        <w:t>4</w:t>
      </w:r>
      <w:r w:rsidRPr="003C482B">
        <w:t xml:space="preserve"> has achieved Commercial Operation, will turn over Unit </w:t>
      </w:r>
      <w:r>
        <w:t>4</w:t>
      </w:r>
      <w:r w:rsidRPr="003C482B">
        <w:t xml:space="preserve"> to Fleet Operations</w:t>
      </w:r>
      <w:r w:rsidR="00F2522B">
        <w:t>,</w:t>
      </w:r>
      <w:r w:rsidR="00C17D82">
        <w:t xml:space="preserve"> </w:t>
      </w:r>
      <w:r w:rsidRPr="003C482B">
        <w:t>and will notify the Commission of that declaration.</w:t>
      </w:r>
    </w:p>
    <w:p w14:paraId="73DBAB66" w14:textId="06FD8052" w:rsidR="003C482B" w:rsidRPr="003C482B" w:rsidRDefault="003C482B" w:rsidP="003C482B">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rPr>
          <w:b/>
          <w:bCs/>
        </w:rPr>
      </w:pPr>
      <w:r w:rsidRPr="003C482B">
        <w:rPr>
          <w:b/>
          <w:bCs/>
        </w:rPr>
        <w:t>Q.</w:t>
      </w:r>
      <w:r w:rsidRPr="003C482B">
        <w:rPr>
          <w:b/>
          <w:bCs/>
        </w:rPr>
        <w:tab/>
        <w:t xml:space="preserve">WHAT FORM OF NOTIFICATION DOES THE COMPANY NEED TO PROVIDE TO THE COMMISSION WHEN UNIT </w:t>
      </w:r>
      <w:r>
        <w:rPr>
          <w:b/>
          <w:bCs/>
        </w:rPr>
        <w:t>4</w:t>
      </w:r>
      <w:r w:rsidRPr="003C482B">
        <w:rPr>
          <w:b/>
          <w:bCs/>
        </w:rPr>
        <w:t xml:space="preserve"> HAS ACHIEVED COMMERCIAL OPERATION?</w:t>
      </w:r>
    </w:p>
    <w:p w14:paraId="315CF849" w14:textId="3FC0EF6D" w:rsidR="003C482B" w:rsidRPr="003C482B" w:rsidRDefault="003C482B" w:rsidP="003C482B">
      <w:pPr>
        <w:tabs>
          <w:tab w:val="left" w:pos="0"/>
          <w:tab w:val="left" w:pos="72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before="240" w:after="240" w:line="360" w:lineRule="auto"/>
        <w:ind w:left="720" w:right="432" w:hanging="720"/>
        <w:jc w:val="both"/>
      </w:pPr>
      <w:r w:rsidRPr="003C482B">
        <w:t>A.</w:t>
      </w:r>
      <w:r w:rsidRPr="003C482B">
        <w:tab/>
      </w:r>
      <w:r w:rsidR="00C7109C">
        <w:t xml:space="preserve">A </w:t>
      </w:r>
      <w:r w:rsidRPr="003C482B">
        <w:t xml:space="preserve">simple notification process whereby the Company notifies the Commission when Unit </w:t>
      </w:r>
      <w:r w:rsidR="00C17D82">
        <w:t>4</w:t>
      </w:r>
      <w:r w:rsidRPr="003C482B">
        <w:t xml:space="preserve"> is fully dispatchable at the stated Net Electrical Output is all that is necessary for the Commission to determine that Unit </w:t>
      </w:r>
      <w:r w:rsidR="00DF0A0E">
        <w:t>4</w:t>
      </w:r>
      <w:r w:rsidRPr="003C482B">
        <w:t xml:space="preserve"> has achieved Commercial Operation.</w:t>
      </w:r>
      <w:r w:rsidR="00C7109C">
        <w:t xml:space="preserve"> This process is consistent with the </w:t>
      </w:r>
      <w:r w:rsidR="005E1A84">
        <w:t xml:space="preserve">notification </w:t>
      </w:r>
      <w:r w:rsidR="00C7109C">
        <w:t xml:space="preserve">process used for </w:t>
      </w:r>
      <w:r w:rsidR="005E1A84">
        <w:t xml:space="preserve">Unit 3 Commercial Operation. </w:t>
      </w:r>
    </w:p>
    <w:p w14:paraId="0ABB53CC" w14:textId="6F9C1599" w:rsidR="00C673E2" w:rsidRDefault="00C673E2" w:rsidP="001D7364">
      <w:pPr>
        <w:pStyle w:val="OutlineL1"/>
        <w:keepNext/>
        <w:tabs>
          <w:tab w:val="clear" w:pos="2610"/>
          <w:tab w:val="num" w:pos="720"/>
        </w:tabs>
        <w:spacing w:before="240" w:after="240" w:line="360" w:lineRule="auto"/>
        <w:ind w:left="720" w:hanging="720"/>
        <w:jc w:val="left"/>
      </w:pPr>
      <w:r>
        <w:t xml:space="preserve">ADDITIONAL PROVISIONS </w:t>
      </w:r>
      <w:r w:rsidR="00B237AB">
        <w:t>INCLUDED IN THE STIPULATION</w:t>
      </w:r>
    </w:p>
    <w:p w14:paraId="5DE1A907" w14:textId="51DEFA32" w:rsidR="00FE502C" w:rsidRPr="00D33C5E" w:rsidRDefault="00997A8E" w:rsidP="001D7364">
      <w:pPr>
        <w:pStyle w:val="BodyText"/>
        <w:keepNext/>
        <w:widowControl/>
        <w:spacing w:line="360" w:lineRule="auto"/>
        <w:ind w:left="720" w:hanging="720"/>
        <w:rPr>
          <w:b/>
          <w:bCs/>
          <w:lang w:eastAsia="en-US"/>
        </w:rPr>
      </w:pPr>
      <w:r w:rsidRPr="00D33C5E">
        <w:rPr>
          <w:b/>
          <w:bCs/>
          <w:lang w:eastAsia="en-US"/>
        </w:rPr>
        <w:t>Q.</w:t>
      </w:r>
      <w:r w:rsidRPr="00D33C5E">
        <w:rPr>
          <w:b/>
          <w:bCs/>
        </w:rPr>
        <w:tab/>
      </w:r>
      <w:r w:rsidRPr="00D33C5E">
        <w:rPr>
          <w:b/>
          <w:bCs/>
          <w:lang w:eastAsia="en-US"/>
        </w:rPr>
        <w:t xml:space="preserve">DID THE </w:t>
      </w:r>
      <w:r w:rsidR="000E4DEE" w:rsidRPr="00D33C5E">
        <w:rPr>
          <w:b/>
          <w:bCs/>
          <w:lang w:eastAsia="en-US"/>
        </w:rPr>
        <w:t xml:space="preserve">STIPULATING PARTIES AGREE TO OTHER PROVISIONS </w:t>
      </w:r>
      <w:r w:rsidR="004631F3" w:rsidRPr="00D33C5E">
        <w:rPr>
          <w:b/>
          <w:bCs/>
          <w:lang w:eastAsia="en-US"/>
        </w:rPr>
        <w:t xml:space="preserve">IN THE </w:t>
      </w:r>
      <w:r w:rsidR="007742CF" w:rsidRPr="00D33C5E">
        <w:rPr>
          <w:b/>
          <w:bCs/>
          <w:lang w:eastAsia="en-US"/>
        </w:rPr>
        <w:t>STIPULATION FOR THE BENEFIT OF CUSTOMERS?</w:t>
      </w:r>
    </w:p>
    <w:p w14:paraId="52BF7A27" w14:textId="58717C56" w:rsidR="007742CF" w:rsidRDefault="007742CF" w:rsidP="001D7364">
      <w:pPr>
        <w:pStyle w:val="BodyText"/>
        <w:keepNext/>
        <w:widowControl/>
        <w:spacing w:line="360" w:lineRule="auto"/>
        <w:ind w:left="720" w:hanging="720"/>
        <w:rPr>
          <w:lang w:eastAsia="en-US"/>
        </w:rPr>
      </w:pPr>
      <w:r>
        <w:rPr>
          <w:lang w:eastAsia="en-US"/>
        </w:rPr>
        <w:t>A.</w:t>
      </w:r>
      <w:r>
        <w:tab/>
      </w:r>
      <w:r>
        <w:rPr>
          <w:lang w:eastAsia="en-US"/>
        </w:rPr>
        <w:t>Yes.</w:t>
      </w:r>
      <w:r w:rsidR="00D33C5E">
        <w:rPr>
          <w:lang w:eastAsia="en-US"/>
        </w:rPr>
        <w:t xml:space="preserve"> </w:t>
      </w:r>
      <w:r w:rsidR="00570572">
        <w:rPr>
          <w:lang w:eastAsia="en-US"/>
        </w:rPr>
        <w:t xml:space="preserve">As part of the Stipulation, </w:t>
      </w:r>
      <w:r w:rsidR="00D33C5E">
        <w:rPr>
          <w:lang w:eastAsia="en-US"/>
        </w:rPr>
        <w:t xml:space="preserve">Georgia Power agreed to three additional </w:t>
      </w:r>
      <w:r w:rsidR="000F37A9">
        <w:rPr>
          <w:lang w:eastAsia="en-US"/>
        </w:rPr>
        <w:t>provisions for customers</w:t>
      </w:r>
      <w:r w:rsidR="001B126C">
        <w:rPr>
          <w:lang w:eastAsia="en-US"/>
        </w:rPr>
        <w:t>’</w:t>
      </w:r>
      <w:r w:rsidR="000F37A9">
        <w:rPr>
          <w:lang w:eastAsia="en-US"/>
        </w:rPr>
        <w:t xml:space="preserve"> benefit</w:t>
      </w:r>
      <w:r w:rsidR="00570572">
        <w:rPr>
          <w:lang w:eastAsia="en-US"/>
        </w:rPr>
        <w:t>:</w:t>
      </w:r>
    </w:p>
    <w:p w14:paraId="0BFBF6A7" w14:textId="30183464" w:rsidR="00676AA7" w:rsidRDefault="00D50D33" w:rsidP="001D7364">
      <w:pPr>
        <w:pStyle w:val="ListParagraph"/>
        <w:keepLines/>
        <w:spacing w:after="240" w:line="360" w:lineRule="auto"/>
        <w:ind w:left="1440" w:hanging="720"/>
        <w:jc w:val="both"/>
      </w:pPr>
      <w:r>
        <w:t>(1)</w:t>
      </w:r>
      <w:r>
        <w:tab/>
      </w:r>
      <w:r w:rsidR="00DE1D91">
        <w:t>Georgia Power agree</w:t>
      </w:r>
      <w:r>
        <w:t>d</w:t>
      </w:r>
      <w:r w:rsidR="00DE1D91">
        <w:t xml:space="preserve"> to </w:t>
      </w:r>
      <w:r w:rsidR="00DE1D91" w:rsidRPr="005B6584">
        <w:t>propose in the 2025 I</w:t>
      </w:r>
      <w:r w:rsidR="00DE1D91">
        <w:t xml:space="preserve">ntegrated </w:t>
      </w:r>
      <w:r w:rsidR="00DE1D91" w:rsidRPr="005B6584">
        <w:t>R</w:t>
      </w:r>
      <w:r w:rsidR="00DE1D91">
        <w:t xml:space="preserve">esource </w:t>
      </w:r>
      <w:r w:rsidR="00DE1D91" w:rsidRPr="005B6584">
        <w:t>P</w:t>
      </w:r>
      <w:r w:rsidR="00DE1D91">
        <w:t xml:space="preserve">lan (“IRP”) and </w:t>
      </w:r>
      <w:r w:rsidR="00DE1D91" w:rsidRPr="005B6584">
        <w:t>D</w:t>
      </w:r>
      <w:r w:rsidR="00DE1D91">
        <w:t>emand Side Management (“DSM”)</w:t>
      </w:r>
      <w:r w:rsidR="00DE1D91" w:rsidRPr="005B6584">
        <w:t xml:space="preserve"> Certification dockets a base case of DSM performance savings targets up to .75% of annual retail sales</w:t>
      </w:r>
      <w:r>
        <w:t xml:space="preserve">, </w:t>
      </w:r>
      <w:r w:rsidR="00676AA7">
        <w:t xml:space="preserve">reserving the right for </w:t>
      </w:r>
      <w:r w:rsidR="00774B67">
        <w:t>S</w:t>
      </w:r>
      <w:r w:rsidR="00676AA7">
        <w:t xml:space="preserve">tipulating </w:t>
      </w:r>
      <w:r w:rsidR="00774B67">
        <w:t>P</w:t>
      </w:r>
      <w:r w:rsidR="00676AA7">
        <w:t xml:space="preserve">arties to advocate for different savings targets. </w:t>
      </w:r>
    </w:p>
    <w:p w14:paraId="4B5C3961" w14:textId="41BA267E" w:rsidR="008025AB" w:rsidRDefault="00676AA7" w:rsidP="001D7364">
      <w:pPr>
        <w:pStyle w:val="ListParagraph"/>
        <w:keepLines/>
        <w:spacing w:after="240" w:line="360" w:lineRule="auto"/>
        <w:ind w:left="1440" w:hanging="720"/>
        <w:jc w:val="both"/>
      </w:pPr>
      <w:r>
        <w:t xml:space="preserve">(2) </w:t>
      </w:r>
      <w:r>
        <w:tab/>
      </w:r>
      <w:r w:rsidR="00536C5F">
        <w:t xml:space="preserve">Effective when rates are adjusted the month after Unit 4 achieves Commercial Operation, </w:t>
      </w:r>
      <w:r w:rsidR="00DE1D91">
        <w:t>Georgia Power agree</w:t>
      </w:r>
      <w:r>
        <w:t>d</w:t>
      </w:r>
      <w:r w:rsidR="00DE1D91">
        <w:t xml:space="preserve"> to </w:t>
      </w:r>
      <w:r w:rsidR="00DE1D91" w:rsidRPr="005B6584">
        <w:t xml:space="preserve">expand the current Income Qualified Senior Discount to: </w:t>
      </w:r>
      <w:r w:rsidR="00DE1D91">
        <w:t>(a) a</w:t>
      </w:r>
      <w:r w:rsidR="00DE1D91" w:rsidRPr="005B6584">
        <w:t xml:space="preserve">ll seniors who live in a household with a combined income that is 200% or less of the federal poverty level, adjusted for household size; </w:t>
      </w:r>
      <w:r w:rsidR="00DE1D91">
        <w:t>(b) i</w:t>
      </w:r>
      <w:r w:rsidR="00DE1D91" w:rsidRPr="005B6584">
        <w:t>ndividuals who receive Social Security Disability Income assistance or Supplemental Security Income; and</w:t>
      </w:r>
      <w:r w:rsidR="00DE1D91">
        <w:t xml:space="preserve"> (c) c</w:t>
      </w:r>
      <w:r w:rsidR="00DE1D91" w:rsidRPr="005B6584">
        <w:t>ustomers who participate in the federal Housing Choice Voucher Program (HUD Section 8)</w:t>
      </w:r>
      <w:r w:rsidR="00DE1D91">
        <w:t xml:space="preserve">. </w:t>
      </w:r>
      <w:r w:rsidR="002F5E08">
        <w:t xml:space="preserve">The Stipulating Parties agree that </w:t>
      </w:r>
      <w:r w:rsidR="0BE17F5E">
        <w:t>Georgia Power plans to implement this change by adding up to 96,000 participants over the next three years</w:t>
      </w:r>
      <w:r w:rsidR="619C0744">
        <w:t xml:space="preserve"> (approximately 32,000 per year)</w:t>
      </w:r>
      <w:r w:rsidR="3EF9B322">
        <w:t>.</w:t>
      </w:r>
      <w:r w:rsidR="008405F9">
        <w:t xml:space="preserve"> </w:t>
      </w:r>
      <w:r w:rsidR="3EF9B322">
        <w:t>This will be paid for by</w:t>
      </w:r>
      <w:r w:rsidR="00F94284">
        <w:t xml:space="preserve"> residential customers </w:t>
      </w:r>
      <w:r w:rsidR="3EF9B322">
        <w:t>and will be limited to</w:t>
      </w:r>
      <w:r w:rsidR="00FB0ACC">
        <w:t xml:space="preserve"> </w:t>
      </w:r>
      <w:r w:rsidR="25C0ACE1">
        <w:t>approximately</w:t>
      </w:r>
      <w:r w:rsidR="00FB1387">
        <w:t xml:space="preserve"> $1 per month</w:t>
      </w:r>
      <w:r w:rsidR="008025AB">
        <w:t xml:space="preserve"> </w:t>
      </w:r>
      <w:r w:rsidR="558545CC">
        <w:t xml:space="preserve">per customer </w:t>
      </w:r>
      <w:r w:rsidR="008025AB">
        <w:t>(</w:t>
      </w:r>
      <w:r w:rsidR="32E8B964">
        <w:t xml:space="preserve">or </w:t>
      </w:r>
      <w:r w:rsidR="008025AB">
        <w:t>approximately $28 million annually) to cover the resulting</w:t>
      </w:r>
      <w:r w:rsidR="00DE1D91" w:rsidRPr="005B6584">
        <w:t xml:space="preserve"> anticipated cost shift </w:t>
      </w:r>
      <w:r w:rsidR="008025AB">
        <w:t xml:space="preserve">from this provision. </w:t>
      </w:r>
    </w:p>
    <w:p w14:paraId="5F7FED61" w14:textId="2074CD5C" w:rsidR="00DE1D91" w:rsidRDefault="008025AB" w:rsidP="001D7364">
      <w:pPr>
        <w:pStyle w:val="ListParagraph"/>
        <w:keepLines/>
        <w:spacing w:after="240" w:line="360" w:lineRule="auto"/>
        <w:ind w:left="1440" w:hanging="720"/>
        <w:jc w:val="both"/>
      </w:pPr>
      <w:r>
        <w:t xml:space="preserve">(3) </w:t>
      </w:r>
      <w:r>
        <w:tab/>
      </w:r>
      <w:r w:rsidR="00DE1D91" w:rsidRPr="0073187A">
        <w:t>Georgia Power agree</w:t>
      </w:r>
      <w:r w:rsidR="0073187A" w:rsidRPr="0073187A">
        <w:t>d</w:t>
      </w:r>
      <w:r w:rsidR="00DE1D91" w:rsidRPr="0073187A">
        <w:t xml:space="preserve"> to continue to evaluate the expansion of renewable resources and to expand renewable programs in the 2025 IRP to the extent they are beneficial to customers. Further, Georgia Power agree</w:t>
      </w:r>
      <w:r w:rsidR="0073187A" w:rsidRPr="0073187A">
        <w:t>d</w:t>
      </w:r>
      <w:r w:rsidR="00DE1D91" w:rsidRPr="0073187A">
        <w:t xml:space="preserve"> to support any applications by the appropriate state agency to the Inflation Reduction Act</w:t>
      </w:r>
      <w:r w:rsidR="001B126C">
        <w:t>’</w:t>
      </w:r>
      <w:r w:rsidR="00DE1D91" w:rsidRPr="0073187A">
        <w:t>s “Solar for All” program and, to the extent the state of Georgia is selected, Georgia Power will support the use of these funds through Commission-approved Georgia Power solar programs for the benefit of customers.</w:t>
      </w:r>
    </w:p>
    <w:p w14:paraId="1C570044" w14:textId="5BE9AF39" w:rsidR="007742CF" w:rsidRPr="006D667F" w:rsidRDefault="007742CF" w:rsidP="006D667F">
      <w:pPr>
        <w:pStyle w:val="BodyText"/>
        <w:spacing w:line="360" w:lineRule="auto"/>
        <w:ind w:left="720" w:hanging="720"/>
        <w:jc w:val="both"/>
        <w:rPr>
          <w:b/>
          <w:bCs/>
          <w:lang w:eastAsia="en-US"/>
        </w:rPr>
      </w:pPr>
      <w:r w:rsidRPr="006D667F">
        <w:rPr>
          <w:b/>
          <w:bCs/>
          <w:lang w:eastAsia="en-US"/>
        </w:rPr>
        <w:t>Q.</w:t>
      </w:r>
      <w:r w:rsidRPr="006D667F">
        <w:rPr>
          <w:b/>
          <w:bCs/>
        </w:rPr>
        <w:tab/>
      </w:r>
      <w:r w:rsidR="00D33C5E" w:rsidRPr="006D667F">
        <w:rPr>
          <w:b/>
          <w:bCs/>
          <w:lang w:eastAsia="en-US"/>
        </w:rPr>
        <w:t>WHY ARE THESE PROVISIONS REASONABLE?</w:t>
      </w:r>
    </w:p>
    <w:p w14:paraId="3375B42E" w14:textId="4BB20599" w:rsidR="00D33C5E" w:rsidRPr="00FE502C" w:rsidRDefault="00D33C5E" w:rsidP="006D667F">
      <w:pPr>
        <w:pStyle w:val="BodyText"/>
        <w:spacing w:line="360" w:lineRule="auto"/>
        <w:ind w:left="720" w:hanging="720"/>
        <w:jc w:val="both"/>
        <w:rPr>
          <w:lang w:eastAsia="en-US"/>
        </w:rPr>
      </w:pPr>
      <w:r>
        <w:rPr>
          <w:lang w:eastAsia="en-US"/>
        </w:rPr>
        <w:t>A.</w:t>
      </w:r>
      <w:r>
        <w:tab/>
      </w:r>
      <w:r w:rsidR="00BA21CE">
        <w:t xml:space="preserve">While none of the Stipulating Parties received everything they would have requested in this proceeding in the absence of a settlement agreement, the agreed to terms of the Stipulation are a reasonable </w:t>
      </w:r>
      <w:r w:rsidR="00821EFD">
        <w:t xml:space="preserve">and balanced </w:t>
      </w:r>
      <w:r w:rsidR="00BA21CE">
        <w:t xml:space="preserve">resolution of the </w:t>
      </w:r>
      <w:r w:rsidR="00BA7919">
        <w:t xml:space="preserve">outstanding prudence, reasonableness, and cost recovery issues for the Project and </w:t>
      </w:r>
      <w:r w:rsidR="007E1442">
        <w:t>offer additional benefits to customers</w:t>
      </w:r>
      <w:r w:rsidR="00574885">
        <w:t>. The Stipulation</w:t>
      </w:r>
      <w:r w:rsidR="008405F9">
        <w:t xml:space="preserve"> </w:t>
      </w:r>
      <w:r w:rsidR="00574885">
        <w:t>is fair and reasonable and should be approved by the Commission.</w:t>
      </w:r>
    </w:p>
    <w:p w14:paraId="3772653B" w14:textId="537D588F" w:rsidR="00CE3A22" w:rsidRDefault="00CE3A22" w:rsidP="00C673E2">
      <w:pPr>
        <w:pStyle w:val="OutlineL1"/>
        <w:tabs>
          <w:tab w:val="clear" w:pos="2610"/>
          <w:tab w:val="num" w:pos="720"/>
        </w:tabs>
        <w:spacing w:before="240" w:after="240" w:line="360" w:lineRule="auto"/>
        <w:ind w:left="720" w:hanging="720"/>
        <w:jc w:val="left"/>
      </w:pPr>
      <w:r>
        <w:t>CONCLUSION</w:t>
      </w:r>
    </w:p>
    <w:p w14:paraId="1833AE94" w14:textId="2D8A8DE5" w:rsidR="00F14176" w:rsidRPr="003B7136" w:rsidRDefault="00F14176" w:rsidP="00081C83">
      <w:pPr>
        <w:pStyle w:val="PSCQuestion"/>
        <w:keepLines w:val="0"/>
        <w:spacing w:before="240"/>
        <w:ind w:left="0" w:firstLine="0"/>
      </w:pPr>
      <w:r w:rsidRPr="003B7136">
        <w:t>Q.</w:t>
      </w:r>
      <w:r w:rsidRPr="003B7136">
        <w:tab/>
        <w:t>Does this conclude your testimony?</w:t>
      </w:r>
    </w:p>
    <w:p w14:paraId="2064DDDA" w14:textId="2826E664" w:rsidR="00F14176" w:rsidRPr="00124FC2" w:rsidRDefault="00F14176" w:rsidP="00B37D95">
      <w:pPr>
        <w:pStyle w:val="PSCAnswer"/>
      </w:pPr>
      <w:r w:rsidRPr="006839CD">
        <w:t>A</w:t>
      </w:r>
      <w:r w:rsidRPr="00046F95">
        <w:t>.</w:t>
      </w:r>
      <w:r w:rsidRPr="003B7136">
        <w:tab/>
      </w:r>
      <w:r w:rsidRPr="009B45EE">
        <w:t>Yes.</w:t>
      </w:r>
    </w:p>
    <w:sectPr w:rsidR="00F14176" w:rsidRPr="00124FC2" w:rsidSect="0029682F">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728" w:right="1440" w:bottom="1728" w:left="1440" w:header="720" w:footer="720"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AA9D" w14:textId="77777777" w:rsidR="0004502C" w:rsidRDefault="0004502C">
      <w:r>
        <w:separator/>
      </w:r>
    </w:p>
  </w:endnote>
  <w:endnote w:type="continuationSeparator" w:id="0">
    <w:p w14:paraId="2BD92AE3" w14:textId="77777777" w:rsidR="0004502C" w:rsidRDefault="0004502C">
      <w:r>
        <w:continuationSeparator/>
      </w:r>
    </w:p>
  </w:endnote>
  <w:endnote w:type="continuationNotice" w:id="1">
    <w:p w14:paraId="049D6448" w14:textId="77777777" w:rsidR="0004502C" w:rsidRDefault="00045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95AC" w14:textId="77777777" w:rsidR="00021A24" w:rsidRDefault="00021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92EA" w14:textId="77777777" w:rsidR="00D93CAE" w:rsidRDefault="00D93CAE">
    <w:pPr>
      <w:pStyle w:val="Footer"/>
      <w:jc w:val="center"/>
    </w:pPr>
    <w:r>
      <w:t>_____________________________________________________________________________</w:t>
    </w:r>
  </w:p>
  <w:p w14:paraId="5846CF75" w14:textId="77777777" w:rsidR="00D93CAE" w:rsidRDefault="00D93CAE">
    <w:pPr>
      <w:pStyle w:val="Footer"/>
      <w:jc w:val="center"/>
      <w:rPr>
        <w:sz w:val="20"/>
        <w:szCs w:val="20"/>
      </w:rPr>
    </w:pPr>
  </w:p>
  <w:p w14:paraId="7FF598CF" w14:textId="0E3F6DC1" w:rsidR="00D93CAE" w:rsidRDefault="00D93CAE" w:rsidP="003843A6">
    <w:pPr>
      <w:pStyle w:val="Footer"/>
      <w:jc w:val="center"/>
      <w:rPr>
        <w:sz w:val="20"/>
        <w:szCs w:val="20"/>
      </w:rPr>
    </w:pPr>
    <w:r>
      <w:rPr>
        <w:sz w:val="20"/>
        <w:szCs w:val="20"/>
      </w:rPr>
      <w:t>Direct Testimony of</w:t>
    </w:r>
    <w:r w:rsidR="00D20F42">
      <w:rPr>
        <w:sz w:val="20"/>
        <w:szCs w:val="20"/>
      </w:rPr>
      <w:t xml:space="preserve"> Aaron P. Abramovi</w:t>
    </w:r>
    <w:r w:rsidR="00157169">
      <w:rPr>
        <w:sz w:val="20"/>
        <w:szCs w:val="20"/>
      </w:rPr>
      <w:t>t</w:t>
    </w:r>
    <w:r w:rsidR="00D20F42">
      <w:rPr>
        <w:sz w:val="20"/>
        <w:szCs w:val="20"/>
      </w:rPr>
      <w:t>z,</w:t>
    </w:r>
    <w:r w:rsidR="002D23DA">
      <w:rPr>
        <w:sz w:val="20"/>
        <w:szCs w:val="20"/>
      </w:rPr>
      <w:t xml:space="preserve"> Jeremiah C. Haswell</w:t>
    </w:r>
    <w:r w:rsidR="00D20F42">
      <w:rPr>
        <w:sz w:val="20"/>
        <w:szCs w:val="20"/>
      </w:rPr>
      <w:t>, and John B. Williams</w:t>
    </w:r>
  </w:p>
  <w:p w14:paraId="0BF436A9" w14:textId="77777777" w:rsidR="00D93CAE" w:rsidRDefault="00D93CAE">
    <w:pPr>
      <w:pStyle w:val="Footer"/>
      <w:jc w:val="center"/>
      <w:rPr>
        <w:sz w:val="20"/>
        <w:szCs w:val="20"/>
      </w:rPr>
    </w:pPr>
    <w:r>
      <w:rPr>
        <w:sz w:val="20"/>
        <w:szCs w:val="20"/>
      </w:rPr>
      <w:t xml:space="preserve">On Behalf of Georgia Power Company </w:t>
    </w:r>
  </w:p>
  <w:p w14:paraId="32E1B5CE" w14:textId="353539E3" w:rsidR="00D93CAE" w:rsidRDefault="00D93CAE">
    <w:pPr>
      <w:pStyle w:val="Footer"/>
      <w:jc w:val="center"/>
      <w:rPr>
        <w:sz w:val="20"/>
        <w:szCs w:val="20"/>
      </w:rPr>
    </w:pPr>
    <w:r>
      <w:rPr>
        <w:sz w:val="20"/>
        <w:szCs w:val="20"/>
      </w:rPr>
      <w:t xml:space="preserve">Docket No. </w:t>
    </w:r>
    <w:r w:rsidR="009D0902">
      <w:rPr>
        <w:sz w:val="20"/>
        <w:szCs w:val="20"/>
      </w:rPr>
      <w:t>29849</w:t>
    </w:r>
  </w:p>
  <w:p w14:paraId="63AFFC42" w14:textId="77777777" w:rsidR="00BF3E30" w:rsidRDefault="00D93CAE">
    <w:pPr>
      <w:pStyle w:val="Footer"/>
      <w:tabs>
        <w:tab w:val="left" w:pos="5624"/>
      </w:tabs>
      <w:rPr>
        <w:noProof/>
        <w:sz w:val="20"/>
        <w:szCs w:val="20"/>
      </w:rPr>
    </w:pP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58482B">
      <w:rPr>
        <w:noProof/>
        <w:sz w:val="20"/>
        <w:szCs w:val="20"/>
      </w:rPr>
      <w:t>9</w:t>
    </w:r>
    <w:r>
      <w:rPr>
        <w:sz w:val="20"/>
        <w:szCs w:val="20"/>
      </w:rPr>
      <w:fldChar w:fldCharType="end"/>
    </w:r>
    <w:r>
      <w:rPr>
        <w:sz w:val="20"/>
        <w:szCs w:val="20"/>
      </w:rPr>
      <w:t xml:space="preserve"> of </w:t>
    </w:r>
    <w:fldSimple w:instr="NUMPAGES  \* MERGEFORMAT">
      <w:r w:rsidR="0058482B" w:rsidRPr="0058482B">
        <w:rPr>
          <w:noProof/>
          <w:sz w:val="20"/>
          <w:szCs w:val="20"/>
        </w:rPr>
        <w:t>17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7568" w14:textId="77777777" w:rsidR="00021A24" w:rsidRDefault="0002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6643" w14:textId="77777777" w:rsidR="0004502C" w:rsidRDefault="0004502C">
      <w:r>
        <w:separator/>
      </w:r>
    </w:p>
  </w:footnote>
  <w:footnote w:type="continuationSeparator" w:id="0">
    <w:p w14:paraId="28582329" w14:textId="77777777" w:rsidR="0004502C" w:rsidRDefault="0004502C">
      <w:r>
        <w:continuationSeparator/>
      </w:r>
    </w:p>
  </w:footnote>
  <w:footnote w:type="continuationNotice" w:id="1">
    <w:p w14:paraId="1A80D081" w14:textId="77777777" w:rsidR="0004502C" w:rsidRDefault="0004502C"/>
  </w:footnote>
  <w:footnote w:id="2">
    <w:p w14:paraId="7FDAFFDF" w14:textId="2961CA2F" w:rsidR="00E17455" w:rsidRPr="00556688" w:rsidRDefault="00E17455">
      <w:pPr>
        <w:pStyle w:val="FootnoteText"/>
        <w:rPr>
          <w:rFonts w:ascii="Times New Roman" w:hAnsi="Times New Roman"/>
        </w:rPr>
      </w:pPr>
      <w:r w:rsidRPr="00556688">
        <w:rPr>
          <w:rStyle w:val="FootnoteReference"/>
          <w:rFonts w:ascii="Times New Roman" w:hAnsi="Times New Roman"/>
        </w:rPr>
        <w:footnoteRef/>
      </w:r>
      <w:r w:rsidRPr="00556688">
        <w:rPr>
          <w:rFonts w:ascii="Times New Roman" w:hAnsi="Times New Roman"/>
        </w:rPr>
        <w:t xml:space="preserve"> </w:t>
      </w:r>
      <w:r w:rsidRPr="00556688">
        <w:rPr>
          <w:rStyle w:val="cf01"/>
          <w:rFonts w:ascii="Times New Roman" w:hAnsi="Times New Roman" w:cs="Times New Roman"/>
        </w:rPr>
        <w:t>All dollars represent Georgia Power</w:t>
      </w:r>
      <w:r w:rsidR="003435DC">
        <w:rPr>
          <w:rStyle w:val="cf01"/>
          <w:rFonts w:ascii="Times New Roman" w:hAnsi="Times New Roman" w:cs="Times New Roman"/>
        </w:rPr>
        <w:t>’</w:t>
      </w:r>
      <w:r w:rsidRPr="00556688">
        <w:rPr>
          <w:rStyle w:val="cf01"/>
          <w:rFonts w:ascii="Times New Roman" w:hAnsi="Times New Roman" w:cs="Times New Roman"/>
        </w:rPr>
        <w:t>s share of Project costs.</w:t>
      </w:r>
    </w:p>
  </w:footnote>
  <w:footnote w:id="3">
    <w:p w14:paraId="2405AFA4" w14:textId="77777777" w:rsidR="005077CB" w:rsidRPr="00842B3D" w:rsidRDefault="005077CB" w:rsidP="005077CB">
      <w:pPr>
        <w:pStyle w:val="FootnoteText"/>
        <w:rPr>
          <w:rFonts w:ascii="Times New Roman" w:hAnsi="Times New Roman"/>
        </w:rPr>
      </w:pPr>
      <w:r w:rsidRPr="00842B3D">
        <w:rPr>
          <w:rStyle w:val="FootnoteReference"/>
          <w:rFonts w:ascii="Times New Roman" w:hAnsi="Times New Roman"/>
        </w:rPr>
        <w:footnoteRef/>
      </w:r>
      <w:r w:rsidRPr="00842B3D">
        <w:rPr>
          <w:rFonts w:ascii="Times New Roman" w:hAnsi="Times New Roman"/>
        </w:rPr>
        <w:t xml:space="preserve"> All dollars represent Georgia Power’s share of Project costs. </w:t>
      </w:r>
    </w:p>
  </w:footnote>
  <w:footnote w:id="4">
    <w:p w14:paraId="41046131" w14:textId="77777777" w:rsidR="002618B9" w:rsidRPr="00095544" w:rsidRDefault="002618B9" w:rsidP="002618B9">
      <w:pPr>
        <w:pStyle w:val="FootnoteText"/>
        <w:rPr>
          <w:rFonts w:ascii="Times New Roman" w:hAnsi="Times New Roman"/>
        </w:rPr>
      </w:pPr>
      <w:r w:rsidRPr="00095544">
        <w:rPr>
          <w:rStyle w:val="FootnoteReference"/>
          <w:rFonts w:ascii="Times New Roman" w:hAnsi="Times New Roman"/>
        </w:rPr>
        <w:footnoteRef/>
      </w:r>
      <w:r w:rsidRPr="00095544">
        <w:rPr>
          <w:rFonts w:ascii="Times New Roman" w:hAnsi="Times New Roman"/>
        </w:rPr>
        <w:t xml:space="preserve"> All dollars represent Georgia Power’s share of Project costs.</w:t>
      </w:r>
    </w:p>
  </w:footnote>
  <w:footnote w:id="5">
    <w:p w14:paraId="60116FFD" w14:textId="77777777" w:rsidR="002618B9" w:rsidRDefault="002618B9" w:rsidP="002618B9">
      <w:pPr>
        <w:pStyle w:val="FootnoteText"/>
      </w:pPr>
      <w:r w:rsidRPr="00095544">
        <w:rPr>
          <w:rStyle w:val="FootnoteReference"/>
          <w:rFonts w:ascii="Times New Roman" w:hAnsi="Times New Roman"/>
        </w:rPr>
        <w:footnoteRef/>
      </w:r>
      <w:r w:rsidRPr="00095544">
        <w:rPr>
          <w:rFonts w:ascii="Times New Roman" w:hAnsi="Times New Roman"/>
        </w:rPr>
        <w:t xml:space="preserve"> IEEE stands for the Institute of Electrical and Electronics Engineers.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47DC" w14:textId="77777777" w:rsidR="00021A24" w:rsidRDefault="00021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80A8" w14:textId="77777777" w:rsidR="00021A24" w:rsidRDefault="00021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74B9" w14:textId="77777777" w:rsidR="00021A24" w:rsidRDefault="00021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EA"/>
    <w:multiLevelType w:val="hybridMultilevel"/>
    <w:tmpl w:val="B9323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66E5E"/>
    <w:multiLevelType w:val="multilevel"/>
    <w:tmpl w:val="DB9A332C"/>
    <w:lvl w:ilvl="0">
      <w:start w:val="1"/>
      <w:numFmt w:val="none"/>
      <w:lvlRestart w:val="0"/>
      <w:pStyle w:val="Question1"/>
      <w:lvlText w:val="Q.%1"/>
      <w:lvlJc w:val="left"/>
      <w:pPr>
        <w:ind w:left="72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rPr>
    </w:lvl>
    <w:lvl w:ilvl="1">
      <w:start w:val="1"/>
      <w:numFmt w:val="none"/>
      <w:pStyle w:val="Question2"/>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none"/>
      <w:pStyle w:val="Question3"/>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none"/>
      <w:pStyle w:val="Question4"/>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none"/>
      <w:pStyle w:val="Question5"/>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Question6"/>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lvlRestart w:val="0"/>
      <w:pStyle w:val="Question7"/>
      <w:suff w:val="nothing"/>
      <w:lvlText w:val=""/>
      <w:lvlJc w:val="left"/>
      <w:pPr>
        <w:ind w:left="0" w:firstLine="0"/>
      </w:pPr>
      <w:rPr>
        <w:rFonts w:ascii="(normal text)" w:hAnsi="(normal text)" w:cs="Times New Roman" w:hint="default"/>
        <w:b w:val="0"/>
        <w:i w:val="0"/>
        <w:caps w:val="0"/>
        <w:smallCaps w:val="0"/>
        <w:strike w:val="0"/>
        <w:dstrike w:val="0"/>
        <w:vanish w:val="0"/>
        <w:spacing w:val="0"/>
        <w:w w:val="100"/>
        <w:kern w:val="0"/>
        <w:position w:val="0"/>
        <w:sz w:val="24"/>
        <w:u w:val="none"/>
        <w:effect w:val="none"/>
        <w:vertAlign w:val="baseline"/>
      </w:rPr>
    </w:lvl>
    <w:lvl w:ilvl="7">
      <w:start w:val="1"/>
      <w:numFmt w:val="none"/>
      <w:lvlRestart w:val="0"/>
      <w:pStyle w:val="Question8"/>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lvlRestart w:val="0"/>
      <w:pStyle w:val="Question9"/>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2" w15:restartNumberingAfterBreak="0">
    <w:nsid w:val="390123DA"/>
    <w:multiLevelType w:val="hybridMultilevel"/>
    <w:tmpl w:val="4A60B7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A32413"/>
    <w:multiLevelType w:val="multilevel"/>
    <w:tmpl w:val="43A09BDC"/>
    <w:lvl w:ilvl="0">
      <w:start w:val="1"/>
      <w:numFmt w:val="none"/>
      <w:lvlRestart w:val="0"/>
      <w:pStyle w:val="Answer1"/>
      <w:lvlText w:val="A.%1"/>
      <w:lvlJc w:val="left"/>
      <w:pPr>
        <w:tabs>
          <w:tab w:val="num" w:pos="0"/>
        </w:tabs>
        <w:ind w:left="0" w:firstLine="0"/>
      </w:pPr>
      <w:rPr>
        <w:rFonts w:ascii="Times New Roman Bold" w:hAnsi="Times New Roman Bold" w:cs="Times New Roman"/>
        <w:b/>
        <w:i w:val="0"/>
        <w:caps w:val="0"/>
        <w:strike w:val="0"/>
        <w:dstrike w:val="0"/>
        <w:vanish w:val="0"/>
        <w:color w:val="auto"/>
        <w:sz w:val="24"/>
        <w:u w:val="none"/>
        <w:effect w:val="none"/>
        <w:vertAlign w:val="baseline"/>
      </w:rPr>
    </w:lvl>
    <w:lvl w:ilvl="1">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abstractNum>
  <w:abstractNum w:abstractNumId="4" w15:restartNumberingAfterBreak="0">
    <w:nsid w:val="55F135D0"/>
    <w:multiLevelType w:val="hybridMultilevel"/>
    <w:tmpl w:val="39922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E2C7DB0"/>
    <w:multiLevelType w:val="hybridMultilevel"/>
    <w:tmpl w:val="0A7E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D0D93"/>
    <w:multiLevelType w:val="multilevel"/>
    <w:tmpl w:val="02EC5CE2"/>
    <w:lvl w:ilvl="0">
      <w:start w:val="1"/>
      <w:numFmt w:val="upperRoman"/>
      <w:pStyle w:val="OutlineL1"/>
      <w:lvlText w:val="%1."/>
      <w:lvlJc w:val="left"/>
      <w:pPr>
        <w:tabs>
          <w:tab w:val="num" w:pos="2610"/>
        </w:tabs>
        <w:ind w:left="2250" w:firstLine="0"/>
      </w:pPr>
      <w:rPr>
        <w:b/>
        <w:i w:val="0"/>
        <w:caps/>
        <w:smallCaps w:val="0"/>
        <w:u w:val="none"/>
      </w:rPr>
    </w:lvl>
    <w:lvl w:ilvl="1">
      <w:start w:val="1"/>
      <w:numFmt w:val="upperLetter"/>
      <w:pStyle w:val="OutlineL2"/>
      <w:lvlText w:val="%2."/>
      <w:lvlJc w:val="left"/>
      <w:pPr>
        <w:tabs>
          <w:tab w:val="num" w:pos="1440"/>
        </w:tabs>
        <w:ind w:left="0" w:firstLine="720"/>
      </w:pPr>
      <w:rPr>
        <w:b/>
        <w:bCs/>
        <w:i w:val="0"/>
        <w:caps w:val="0"/>
        <w:smallCaps w:val="0"/>
        <w:u w:val="none"/>
      </w:rPr>
    </w:lvl>
    <w:lvl w:ilvl="2">
      <w:start w:val="1"/>
      <w:numFmt w:val="decimal"/>
      <w:pStyle w:val="OutlineL3"/>
      <w:lvlText w:val="%3."/>
      <w:lvlJc w:val="left"/>
      <w:pPr>
        <w:tabs>
          <w:tab w:val="num" w:pos="2160"/>
        </w:tabs>
        <w:ind w:left="0" w:firstLine="1440"/>
      </w:pPr>
      <w:rPr>
        <w:b w:val="0"/>
        <w:i w:val="0"/>
        <w:caps w:val="0"/>
        <w:smallCaps w:val="0"/>
        <w:u w:val="none"/>
      </w:rPr>
    </w:lvl>
    <w:lvl w:ilvl="3">
      <w:start w:val="1"/>
      <w:numFmt w:val="lowerLetter"/>
      <w:pStyle w:val="OutlineL4"/>
      <w:lvlText w:val="%4."/>
      <w:lvlJc w:val="left"/>
      <w:pPr>
        <w:tabs>
          <w:tab w:val="num" w:pos="2880"/>
        </w:tabs>
        <w:ind w:left="0" w:firstLine="2160"/>
      </w:pPr>
      <w:rPr>
        <w:b w:val="0"/>
        <w:i w:val="0"/>
        <w:caps w:val="0"/>
        <w:smallCaps w:val="0"/>
        <w:u w:val="none"/>
      </w:rPr>
    </w:lvl>
    <w:lvl w:ilvl="4">
      <w:start w:val="1"/>
      <w:numFmt w:val="lowerRoman"/>
      <w:pStyle w:val="OutlineL5"/>
      <w:lvlText w:val="(%5)"/>
      <w:lvlJc w:val="left"/>
      <w:pPr>
        <w:tabs>
          <w:tab w:val="num" w:pos="3600"/>
        </w:tabs>
        <w:ind w:left="0" w:firstLine="2880"/>
      </w:pPr>
      <w:rPr>
        <w:b w:val="0"/>
        <w:i w:val="0"/>
        <w:caps w:val="0"/>
        <w:smallCaps w:val="0"/>
        <w:u w:val="none"/>
      </w:rPr>
    </w:lvl>
    <w:lvl w:ilvl="5">
      <w:start w:val="1"/>
      <w:numFmt w:val="lowerLetter"/>
      <w:pStyle w:val="OutlineL6"/>
      <w:lvlText w:val="(%6)"/>
      <w:lvlJc w:val="left"/>
      <w:pPr>
        <w:tabs>
          <w:tab w:val="num" w:pos="4320"/>
        </w:tabs>
        <w:ind w:left="0" w:firstLine="3600"/>
      </w:pPr>
      <w:rPr>
        <w:b w:val="0"/>
        <w:i w:val="0"/>
        <w:caps w:val="0"/>
        <w:smallCaps w:val="0"/>
        <w:u w:val="none"/>
      </w:rPr>
    </w:lvl>
    <w:lvl w:ilvl="6">
      <w:start w:val="1"/>
      <w:numFmt w:val="decimal"/>
      <w:pStyle w:val="OutlineL7"/>
      <w:lvlText w:val="(%7)"/>
      <w:lvlJc w:val="left"/>
      <w:pPr>
        <w:tabs>
          <w:tab w:val="num" w:pos="5040"/>
        </w:tabs>
        <w:ind w:left="0" w:firstLine="4320"/>
      </w:pPr>
      <w:rPr>
        <w:b w:val="0"/>
        <w:i w:val="0"/>
        <w:caps w:val="0"/>
        <w:smallCaps w:val="0"/>
        <w:u w:val="none"/>
      </w:rPr>
    </w:lvl>
    <w:lvl w:ilvl="7">
      <w:start w:val="1"/>
      <w:numFmt w:val="lowerRoman"/>
      <w:pStyle w:val="OutlineL8"/>
      <w:lvlText w:val="%8)"/>
      <w:lvlJc w:val="left"/>
      <w:pPr>
        <w:tabs>
          <w:tab w:val="num" w:pos="5760"/>
        </w:tabs>
        <w:ind w:left="0" w:firstLine="5040"/>
      </w:pPr>
      <w:rPr>
        <w:b w:val="0"/>
        <w:i w:val="0"/>
        <w:caps w:val="0"/>
        <w:smallCaps w:val="0"/>
        <w:u w:val="none"/>
      </w:rPr>
    </w:lvl>
    <w:lvl w:ilvl="8">
      <w:start w:val="1"/>
      <w:numFmt w:val="lowerLetter"/>
      <w:pStyle w:val="OutlineL9"/>
      <w:lvlText w:val="%9)"/>
      <w:lvlJc w:val="left"/>
      <w:pPr>
        <w:tabs>
          <w:tab w:val="num" w:pos="6480"/>
        </w:tabs>
        <w:ind w:left="0" w:firstLine="5760"/>
      </w:pPr>
      <w:rPr>
        <w:b w:val="0"/>
        <w:i w:val="0"/>
        <w:caps w:val="0"/>
        <w:smallCaps w:val="0"/>
        <w:u w:val="none"/>
      </w:rPr>
    </w:lvl>
  </w:abstractNum>
  <w:abstractNum w:abstractNumId="7" w15:restartNumberingAfterBreak="0">
    <w:nsid w:val="737051C8"/>
    <w:multiLevelType w:val="hybridMultilevel"/>
    <w:tmpl w:val="D686672E"/>
    <w:lvl w:ilvl="0" w:tplc="D024ABC8">
      <w:start w:val="1"/>
      <w:numFmt w:val="upperRoman"/>
      <w:pStyle w:val="PSCHeader"/>
      <w:lvlText w:val="%1."/>
      <w:lvlJc w:val="right"/>
      <w:pPr>
        <w:ind w:left="27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99883490">
    <w:abstractNumId w:val="1"/>
  </w:num>
  <w:num w:numId="2" w16cid:durableId="1376927567">
    <w:abstractNumId w:val="3"/>
  </w:num>
  <w:num w:numId="3" w16cid:durableId="1967001363">
    <w:abstractNumId w:val="7"/>
  </w:num>
  <w:num w:numId="4" w16cid:durableId="765468644">
    <w:abstractNumId w:val="6"/>
  </w:num>
  <w:num w:numId="5" w16cid:durableId="1435438822">
    <w:abstractNumId w:val="2"/>
  </w:num>
  <w:num w:numId="6" w16cid:durableId="132793377">
    <w:abstractNumId w:val="0"/>
  </w:num>
  <w:num w:numId="7" w16cid:durableId="242373888">
    <w:abstractNumId w:val="6"/>
  </w:num>
  <w:num w:numId="8" w16cid:durableId="582031874">
    <w:abstractNumId w:val="6"/>
  </w:num>
  <w:num w:numId="9" w16cid:durableId="2106923631">
    <w:abstractNumId w:val="5"/>
  </w:num>
  <w:num w:numId="10" w16cid:durableId="187186985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132680821"/>
    <w:docVar w:name="MPDocIDTemplate" w:val="%l| %n|v%v| %c|.%m"/>
    <w:docVar w:name="MPDocIDTemplateDefault" w:val="%l| %n|v%v| %c|.%m"/>
    <w:docVar w:name="NewDocStampType" w:val="7"/>
    <w:docVar w:name="zzmpLegacyTrailerRemovedNew" w:val="True"/>
    <w:docVar w:name="zzmpTrailerDateFormat" w:val="0"/>
  </w:docVars>
  <w:rsids>
    <w:rsidRoot w:val="00D04A02"/>
    <w:rsid w:val="000006FA"/>
    <w:rsid w:val="00000825"/>
    <w:rsid w:val="00000A44"/>
    <w:rsid w:val="000017AB"/>
    <w:rsid w:val="000019AF"/>
    <w:rsid w:val="00001AC9"/>
    <w:rsid w:val="000028D8"/>
    <w:rsid w:val="00003989"/>
    <w:rsid w:val="00003AF9"/>
    <w:rsid w:val="00004073"/>
    <w:rsid w:val="0000421C"/>
    <w:rsid w:val="000048BE"/>
    <w:rsid w:val="00004A65"/>
    <w:rsid w:val="00005120"/>
    <w:rsid w:val="00005132"/>
    <w:rsid w:val="000057B1"/>
    <w:rsid w:val="00005B81"/>
    <w:rsid w:val="00005EC5"/>
    <w:rsid w:val="00005FAE"/>
    <w:rsid w:val="00006099"/>
    <w:rsid w:val="000060D0"/>
    <w:rsid w:val="000061FD"/>
    <w:rsid w:val="00006A16"/>
    <w:rsid w:val="000073CA"/>
    <w:rsid w:val="0000750D"/>
    <w:rsid w:val="000076DB"/>
    <w:rsid w:val="00007B7E"/>
    <w:rsid w:val="000103F4"/>
    <w:rsid w:val="00010B73"/>
    <w:rsid w:val="0001121F"/>
    <w:rsid w:val="000115C2"/>
    <w:rsid w:val="000116A5"/>
    <w:rsid w:val="00011A61"/>
    <w:rsid w:val="00012C13"/>
    <w:rsid w:val="000133C7"/>
    <w:rsid w:val="00013C74"/>
    <w:rsid w:val="00013D3D"/>
    <w:rsid w:val="0001407A"/>
    <w:rsid w:val="00014411"/>
    <w:rsid w:val="000145D7"/>
    <w:rsid w:val="00014927"/>
    <w:rsid w:val="00014B4F"/>
    <w:rsid w:val="00015CDB"/>
    <w:rsid w:val="00016543"/>
    <w:rsid w:val="0001707D"/>
    <w:rsid w:val="000171F9"/>
    <w:rsid w:val="000173EF"/>
    <w:rsid w:val="00017718"/>
    <w:rsid w:val="00017933"/>
    <w:rsid w:val="00017D71"/>
    <w:rsid w:val="00017FF0"/>
    <w:rsid w:val="00020B27"/>
    <w:rsid w:val="00020DDA"/>
    <w:rsid w:val="00021A24"/>
    <w:rsid w:val="00021D24"/>
    <w:rsid w:val="000224F2"/>
    <w:rsid w:val="0002258D"/>
    <w:rsid w:val="00022B67"/>
    <w:rsid w:val="00022C22"/>
    <w:rsid w:val="000231DF"/>
    <w:rsid w:val="0002324F"/>
    <w:rsid w:val="0002365D"/>
    <w:rsid w:val="000237B8"/>
    <w:rsid w:val="000237FD"/>
    <w:rsid w:val="0002380A"/>
    <w:rsid w:val="00023AC9"/>
    <w:rsid w:val="00023C4C"/>
    <w:rsid w:val="00023F43"/>
    <w:rsid w:val="00023FF9"/>
    <w:rsid w:val="000242DA"/>
    <w:rsid w:val="000245FE"/>
    <w:rsid w:val="00024EB4"/>
    <w:rsid w:val="000256D9"/>
    <w:rsid w:val="000256EB"/>
    <w:rsid w:val="00025C38"/>
    <w:rsid w:val="0002672E"/>
    <w:rsid w:val="0002692E"/>
    <w:rsid w:val="000272D5"/>
    <w:rsid w:val="00027371"/>
    <w:rsid w:val="000276AE"/>
    <w:rsid w:val="00027ADB"/>
    <w:rsid w:val="00030499"/>
    <w:rsid w:val="00030571"/>
    <w:rsid w:val="00030B1A"/>
    <w:rsid w:val="00030B55"/>
    <w:rsid w:val="000313A6"/>
    <w:rsid w:val="00031622"/>
    <w:rsid w:val="00031E54"/>
    <w:rsid w:val="00031EB9"/>
    <w:rsid w:val="00032249"/>
    <w:rsid w:val="000323F3"/>
    <w:rsid w:val="000325AE"/>
    <w:rsid w:val="000326DA"/>
    <w:rsid w:val="00032803"/>
    <w:rsid w:val="00032FB1"/>
    <w:rsid w:val="000332C3"/>
    <w:rsid w:val="0003336D"/>
    <w:rsid w:val="00033507"/>
    <w:rsid w:val="00033605"/>
    <w:rsid w:val="000336F3"/>
    <w:rsid w:val="00033755"/>
    <w:rsid w:val="000347C2"/>
    <w:rsid w:val="00034C44"/>
    <w:rsid w:val="00035019"/>
    <w:rsid w:val="00035C95"/>
    <w:rsid w:val="00035D05"/>
    <w:rsid w:val="00036165"/>
    <w:rsid w:val="00036941"/>
    <w:rsid w:val="00036BB7"/>
    <w:rsid w:val="00036CDC"/>
    <w:rsid w:val="00036CF9"/>
    <w:rsid w:val="00036FB9"/>
    <w:rsid w:val="000371B4"/>
    <w:rsid w:val="000373F0"/>
    <w:rsid w:val="000375D7"/>
    <w:rsid w:val="000379D2"/>
    <w:rsid w:val="00037EC4"/>
    <w:rsid w:val="00040220"/>
    <w:rsid w:val="000406F1"/>
    <w:rsid w:val="00040FE0"/>
    <w:rsid w:val="000411CE"/>
    <w:rsid w:val="00041294"/>
    <w:rsid w:val="00041B56"/>
    <w:rsid w:val="00041F0E"/>
    <w:rsid w:val="000426A0"/>
    <w:rsid w:val="00042E3B"/>
    <w:rsid w:val="00043053"/>
    <w:rsid w:val="000430B5"/>
    <w:rsid w:val="000432D1"/>
    <w:rsid w:val="00043438"/>
    <w:rsid w:val="00043464"/>
    <w:rsid w:val="0004350B"/>
    <w:rsid w:val="00043636"/>
    <w:rsid w:val="00043678"/>
    <w:rsid w:val="00043A24"/>
    <w:rsid w:val="00044348"/>
    <w:rsid w:val="00044680"/>
    <w:rsid w:val="00044852"/>
    <w:rsid w:val="000449A1"/>
    <w:rsid w:val="0004502C"/>
    <w:rsid w:val="00045497"/>
    <w:rsid w:val="00046152"/>
    <w:rsid w:val="000468D9"/>
    <w:rsid w:val="00046F95"/>
    <w:rsid w:val="000470A8"/>
    <w:rsid w:val="000471B3"/>
    <w:rsid w:val="00047451"/>
    <w:rsid w:val="00047C94"/>
    <w:rsid w:val="000505E3"/>
    <w:rsid w:val="00050777"/>
    <w:rsid w:val="00050AEA"/>
    <w:rsid w:val="00050D06"/>
    <w:rsid w:val="00051283"/>
    <w:rsid w:val="0005196E"/>
    <w:rsid w:val="00051A2D"/>
    <w:rsid w:val="00051F97"/>
    <w:rsid w:val="00052453"/>
    <w:rsid w:val="000524AB"/>
    <w:rsid w:val="00052AD6"/>
    <w:rsid w:val="00052E76"/>
    <w:rsid w:val="00053061"/>
    <w:rsid w:val="000534BA"/>
    <w:rsid w:val="000535AD"/>
    <w:rsid w:val="00053E12"/>
    <w:rsid w:val="00053F2F"/>
    <w:rsid w:val="00054011"/>
    <w:rsid w:val="00054237"/>
    <w:rsid w:val="0005491B"/>
    <w:rsid w:val="0005541A"/>
    <w:rsid w:val="000554EE"/>
    <w:rsid w:val="000554FC"/>
    <w:rsid w:val="0005555C"/>
    <w:rsid w:val="000559E3"/>
    <w:rsid w:val="00055B26"/>
    <w:rsid w:val="00055B95"/>
    <w:rsid w:val="00056182"/>
    <w:rsid w:val="000565CC"/>
    <w:rsid w:val="00056916"/>
    <w:rsid w:val="00056C10"/>
    <w:rsid w:val="00057077"/>
    <w:rsid w:val="00057495"/>
    <w:rsid w:val="000574CA"/>
    <w:rsid w:val="00057A25"/>
    <w:rsid w:val="00057F8F"/>
    <w:rsid w:val="000601DA"/>
    <w:rsid w:val="000603C2"/>
    <w:rsid w:val="000607FA"/>
    <w:rsid w:val="00060DAE"/>
    <w:rsid w:val="000613B5"/>
    <w:rsid w:val="00061BD8"/>
    <w:rsid w:val="00061F73"/>
    <w:rsid w:val="0006229B"/>
    <w:rsid w:val="00062CAA"/>
    <w:rsid w:val="00062E06"/>
    <w:rsid w:val="00063AE8"/>
    <w:rsid w:val="00064280"/>
    <w:rsid w:val="00064859"/>
    <w:rsid w:val="000648DC"/>
    <w:rsid w:val="00064E87"/>
    <w:rsid w:val="0006513B"/>
    <w:rsid w:val="000654DE"/>
    <w:rsid w:val="00065B24"/>
    <w:rsid w:val="00065E9D"/>
    <w:rsid w:val="000662B9"/>
    <w:rsid w:val="0006676F"/>
    <w:rsid w:val="00066C9C"/>
    <w:rsid w:val="00066DE1"/>
    <w:rsid w:val="00067281"/>
    <w:rsid w:val="00067A96"/>
    <w:rsid w:val="00067C0A"/>
    <w:rsid w:val="00067E53"/>
    <w:rsid w:val="00067FA8"/>
    <w:rsid w:val="000701C7"/>
    <w:rsid w:val="00070343"/>
    <w:rsid w:val="000703F3"/>
    <w:rsid w:val="000706B9"/>
    <w:rsid w:val="0007081B"/>
    <w:rsid w:val="00070A9E"/>
    <w:rsid w:val="00070CF0"/>
    <w:rsid w:val="00070DF8"/>
    <w:rsid w:val="00070F8C"/>
    <w:rsid w:val="00071010"/>
    <w:rsid w:val="00071118"/>
    <w:rsid w:val="00071DDE"/>
    <w:rsid w:val="00072507"/>
    <w:rsid w:val="00072B9D"/>
    <w:rsid w:val="00073394"/>
    <w:rsid w:val="00073534"/>
    <w:rsid w:val="0007420B"/>
    <w:rsid w:val="0007469D"/>
    <w:rsid w:val="00074A61"/>
    <w:rsid w:val="00074BEB"/>
    <w:rsid w:val="00074F2D"/>
    <w:rsid w:val="00075C1F"/>
    <w:rsid w:val="00076196"/>
    <w:rsid w:val="00076376"/>
    <w:rsid w:val="00076716"/>
    <w:rsid w:val="00076F22"/>
    <w:rsid w:val="0007711C"/>
    <w:rsid w:val="0007721A"/>
    <w:rsid w:val="000773C3"/>
    <w:rsid w:val="000774E8"/>
    <w:rsid w:val="00077E02"/>
    <w:rsid w:val="00077FE0"/>
    <w:rsid w:val="00080253"/>
    <w:rsid w:val="00080A33"/>
    <w:rsid w:val="00080A51"/>
    <w:rsid w:val="00080C83"/>
    <w:rsid w:val="00080F93"/>
    <w:rsid w:val="00081003"/>
    <w:rsid w:val="00081286"/>
    <w:rsid w:val="0008131C"/>
    <w:rsid w:val="000813F9"/>
    <w:rsid w:val="0008179E"/>
    <w:rsid w:val="000819DD"/>
    <w:rsid w:val="00081C83"/>
    <w:rsid w:val="00081E2D"/>
    <w:rsid w:val="00082242"/>
    <w:rsid w:val="00082B0C"/>
    <w:rsid w:val="00082C84"/>
    <w:rsid w:val="00082DBC"/>
    <w:rsid w:val="000830E9"/>
    <w:rsid w:val="00083252"/>
    <w:rsid w:val="00083479"/>
    <w:rsid w:val="00083EC9"/>
    <w:rsid w:val="000840A9"/>
    <w:rsid w:val="000841DF"/>
    <w:rsid w:val="0008421D"/>
    <w:rsid w:val="00084876"/>
    <w:rsid w:val="00084FC9"/>
    <w:rsid w:val="00085860"/>
    <w:rsid w:val="0008589F"/>
    <w:rsid w:val="00085996"/>
    <w:rsid w:val="00085B09"/>
    <w:rsid w:val="00085D2A"/>
    <w:rsid w:val="0008612D"/>
    <w:rsid w:val="0008628C"/>
    <w:rsid w:val="000865E8"/>
    <w:rsid w:val="00086949"/>
    <w:rsid w:val="00087A3A"/>
    <w:rsid w:val="00087ECC"/>
    <w:rsid w:val="000900F9"/>
    <w:rsid w:val="00090A47"/>
    <w:rsid w:val="00090ABF"/>
    <w:rsid w:val="00090D6C"/>
    <w:rsid w:val="00091166"/>
    <w:rsid w:val="00091EAC"/>
    <w:rsid w:val="00091F47"/>
    <w:rsid w:val="0009241E"/>
    <w:rsid w:val="00092646"/>
    <w:rsid w:val="000928F0"/>
    <w:rsid w:val="000929BE"/>
    <w:rsid w:val="00092AA1"/>
    <w:rsid w:val="0009498B"/>
    <w:rsid w:val="00094B10"/>
    <w:rsid w:val="00094C2E"/>
    <w:rsid w:val="00094C6B"/>
    <w:rsid w:val="00094CC2"/>
    <w:rsid w:val="00094F59"/>
    <w:rsid w:val="00094FE5"/>
    <w:rsid w:val="0009544C"/>
    <w:rsid w:val="00095544"/>
    <w:rsid w:val="000955FB"/>
    <w:rsid w:val="00095E60"/>
    <w:rsid w:val="000969B9"/>
    <w:rsid w:val="000969BE"/>
    <w:rsid w:val="00096D6B"/>
    <w:rsid w:val="00096E15"/>
    <w:rsid w:val="000975BF"/>
    <w:rsid w:val="0009761E"/>
    <w:rsid w:val="00097663"/>
    <w:rsid w:val="000977D4"/>
    <w:rsid w:val="000A00DA"/>
    <w:rsid w:val="000A0382"/>
    <w:rsid w:val="000A0A44"/>
    <w:rsid w:val="000A1245"/>
    <w:rsid w:val="000A161B"/>
    <w:rsid w:val="000A18AA"/>
    <w:rsid w:val="000A1B78"/>
    <w:rsid w:val="000A1EA0"/>
    <w:rsid w:val="000A1FD7"/>
    <w:rsid w:val="000A202A"/>
    <w:rsid w:val="000A228C"/>
    <w:rsid w:val="000A23C2"/>
    <w:rsid w:val="000A29C2"/>
    <w:rsid w:val="000A29CC"/>
    <w:rsid w:val="000A2AFC"/>
    <w:rsid w:val="000A2B3F"/>
    <w:rsid w:val="000A2DBE"/>
    <w:rsid w:val="000A308A"/>
    <w:rsid w:val="000A31B5"/>
    <w:rsid w:val="000A3851"/>
    <w:rsid w:val="000A3A0A"/>
    <w:rsid w:val="000A4072"/>
    <w:rsid w:val="000A41B1"/>
    <w:rsid w:val="000A45A8"/>
    <w:rsid w:val="000A48BC"/>
    <w:rsid w:val="000A4A4D"/>
    <w:rsid w:val="000A4ADC"/>
    <w:rsid w:val="000A4DD3"/>
    <w:rsid w:val="000A5315"/>
    <w:rsid w:val="000A54BC"/>
    <w:rsid w:val="000A61FA"/>
    <w:rsid w:val="000A6811"/>
    <w:rsid w:val="000A6D90"/>
    <w:rsid w:val="000A712B"/>
    <w:rsid w:val="000A724C"/>
    <w:rsid w:val="000A7289"/>
    <w:rsid w:val="000B02AB"/>
    <w:rsid w:val="000B0517"/>
    <w:rsid w:val="000B06A5"/>
    <w:rsid w:val="000B0D3F"/>
    <w:rsid w:val="000B1344"/>
    <w:rsid w:val="000B1628"/>
    <w:rsid w:val="000B163B"/>
    <w:rsid w:val="000B17B0"/>
    <w:rsid w:val="000B1B52"/>
    <w:rsid w:val="000B1B54"/>
    <w:rsid w:val="000B1C9F"/>
    <w:rsid w:val="000B1D9A"/>
    <w:rsid w:val="000B1F0E"/>
    <w:rsid w:val="000B2301"/>
    <w:rsid w:val="000B2835"/>
    <w:rsid w:val="000B2895"/>
    <w:rsid w:val="000B28AD"/>
    <w:rsid w:val="000B2A2D"/>
    <w:rsid w:val="000B34C8"/>
    <w:rsid w:val="000B35D0"/>
    <w:rsid w:val="000B3ACD"/>
    <w:rsid w:val="000B3DA9"/>
    <w:rsid w:val="000B4463"/>
    <w:rsid w:val="000B472A"/>
    <w:rsid w:val="000B4B50"/>
    <w:rsid w:val="000B579E"/>
    <w:rsid w:val="000B5E29"/>
    <w:rsid w:val="000B5E2B"/>
    <w:rsid w:val="000B60DF"/>
    <w:rsid w:val="000B6145"/>
    <w:rsid w:val="000B62A3"/>
    <w:rsid w:val="000B67A8"/>
    <w:rsid w:val="000B6A0B"/>
    <w:rsid w:val="000B6B5F"/>
    <w:rsid w:val="000B708B"/>
    <w:rsid w:val="000B74F4"/>
    <w:rsid w:val="000B75E4"/>
    <w:rsid w:val="000B7606"/>
    <w:rsid w:val="000B78A4"/>
    <w:rsid w:val="000B79BB"/>
    <w:rsid w:val="000B7A7D"/>
    <w:rsid w:val="000B7BA8"/>
    <w:rsid w:val="000C01D8"/>
    <w:rsid w:val="000C03D8"/>
    <w:rsid w:val="000C0707"/>
    <w:rsid w:val="000C0F3A"/>
    <w:rsid w:val="000C11C2"/>
    <w:rsid w:val="000C1244"/>
    <w:rsid w:val="000C1553"/>
    <w:rsid w:val="000C15FA"/>
    <w:rsid w:val="000C1746"/>
    <w:rsid w:val="000C1A21"/>
    <w:rsid w:val="000C1F88"/>
    <w:rsid w:val="000C1FD7"/>
    <w:rsid w:val="000C2245"/>
    <w:rsid w:val="000C2B0D"/>
    <w:rsid w:val="000C2EF1"/>
    <w:rsid w:val="000C30BC"/>
    <w:rsid w:val="000C3926"/>
    <w:rsid w:val="000C3E04"/>
    <w:rsid w:val="000C4614"/>
    <w:rsid w:val="000C467D"/>
    <w:rsid w:val="000C48A1"/>
    <w:rsid w:val="000C49BF"/>
    <w:rsid w:val="000C49CB"/>
    <w:rsid w:val="000C5119"/>
    <w:rsid w:val="000C54DF"/>
    <w:rsid w:val="000C5EEC"/>
    <w:rsid w:val="000C6623"/>
    <w:rsid w:val="000C6C5B"/>
    <w:rsid w:val="000C7307"/>
    <w:rsid w:val="000C79FD"/>
    <w:rsid w:val="000C7A8D"/>
    <w:rsid w:val="000C7B75"/>
    <w:rsid w:val="000C7BCA"/>
    <w:rsid w:val="000C7FBF"/>
    <w:rsid w:val="000D03E1"/>
    <w:rsid w:val="000D0595"/>
    <w:rsid w:val="000D0E00"/>
    <w:rsid w:val="000D0E3B"/>
    <w:rsid w:val="000D10D7"/>
    <w:rsid w:val="000D10F8"/>
    <w:rsid w:val="000D208F"/>
    <w:rsid w:val="000D23AB"/>
    <w:rsid w:val="000D2BA6"/>
    <w:rsid w:val="000D2E03"/>
    <w:rsid w:val="000D302E"/>
    <w:rsid w:val="000D3C1E"/>
    <w:rsid w:val="000D3CD3"/>
    <w:rsid w:val="000D3CD9"/>
    <w:rsid w:val="000D402C"/>
    <w:rsid w:val="000D44D8"/>
    <w:rsid w:val="000D4ED0"/>
    <w:rsid w:val="000D4F15"/>
    <w:rsid w:val="000D54C8"/>
    <w:rsid w:val="000D5975"/>
    <w:rsid w:val="000D617C"/>
    <w:rsid w:val="000D6196"/>
    <w:rsid w:val="000D6930"/>
    <w:rsid w:val="000D6B6F"/>
    <w:rsid w:val="000D7044"/>
    <w:rsid w:val="000D749D"/>
    <w:rsid w:val="000D7755"/>
    <w:rsid w:val="000D7761"/>
    <w:rsid w:val="000D7F59"/>
    <w:rsid w:val="000E0865"/>
    <w:rsid w:val="000E0B2F"/>
    <w:rsid w:val="000E1049"/>
    <w:rsid w:val="000E1262"/>
    <w:rsid w:val="000E1461"/>
    <w:rsid w:val="000E18BF"/>
    <w:rsid w:val="000E193D"/>
    <w:rsid w:val="000E1B45"/>
    <w:rsid w:val="000E1D39"/>
    <w:rsid w:val="000E1E97"/>
    <w:rsid w:val="000E216F"/>
    <w:rsid w:val="000E27A0"/>
    <w:rsid w:val="000E2C55"/>
    <w:rsid w:val="000E2D4D"/>
    <w:rsid w:val="000E33D8"/>
    <w:rsid w:val="000E3553"/>
    <w:rsid w:val="000E358B"/>
    <w:rsid w:val="000E370E"/>
    <w:rsid w:val="000E37F5"/>
    <w:rsid w:val="000E3C91"/>
    <w:rsid w:val="000E4202"/>
    <w:rsid w:val="000E4401"/>
    <w:rsid w:val="000E4C6F"/>
    <w:rsid w:val="000E4DEE"/>
    <w:rsid w:val="000E5287"/>
    <w:rsid w:val="000E55F4"/>
    <w:rsid w:val="000E6B66"/>
    <w:rsid w:val="000E6F00"/>
    <w:rsid w:val="000E7036"/>
    <w:rsid w:val="000E705F"/>
    <w:rsid w:val="000E70B8"/>
    <w:rsid w:val="000E71B0"/>
    <w:rsid w:val="000E7298"/>
    <w:rsid w:val="000E7C0A"/>
    <w:rsid w:val="000E7EA5"/>
    <w:rsid w:val="000F034B"/>
    <w:rsid w:val="000F102B"/>
    <w:rsid w:val="000F136F"/>
    <w:rsid w:val="000F163D"/>
    <w:rsid w:val="000F2118"/>
    <w:rsid w:val="000F2A96"/>
    <w:rsid w:val="000F2BD0"/>
    <w:rsid w:val="000F344E"/>
    <w:rsid w:val="000F3520"/>
    <w:rsid w:val="000F37A9"/>
    <w:rsid w:val="000F3A65"/>
    <w:rsid w:val="000F3C16"/>
    <w:rsid w:val="000F3F5A"/>
    <w:rsid w:val="000F411A"/>
    <w:rsid w:val="000F4436"/>
    <w:rsid w:val="000F452F"/>
    <w:rsid w:val="000F4979"/>
    <w:rsid w:val="000F4F77"/>
    <w:rsid w:val="000F50C0"/>
    <w:rsid w:val="000F517A"/>
    <w:rsid w:val="000F52DA"/>
    <w:rsid w:val="000F56B2"/>
    <w:rsid w:val="000F57B5"/>
    <w:rsid w:val="000F5AD9"/>
    <w:rsid w:val="000F5D48"/>
    <w:rsid w:val="000F611F"/>
    <w:rsid w:val="000F618D"/>
    <w:rsid w:val="000F62BB"/>
    <w:rsid w:val="000F6932"/>
    <w:rsid w:val="000F6DA8"/>
    <w:rsid w:val="000F738F"/>
    <w:rsid w:val="000F74A7"/>
    <w:rsid w:val="000F77FB"/>
    <w:rsid w:val="000F7A18"/>
    <w:rsid w:val="000F7FFC"/>
    <w:rsid w:val="00100277"/>
    <w:rsid w:val="00100522"/>
    <w:rsid w:val="00100B03"/>
    <w:rsid w:val="00100BF9"/>
    <w:rsid w:val="00101BEF"/>
    <w:rsid w:val="00102763"/>
    <w:rsid w:val="0010282E"/>
    <w:rsid w:val="00102982"/>
    <w:rsid w:val="00102BF9"/>
    <w:rsid w:val="00102CFA"/>
    <w:rsid w:val="00102E1E"/>
    <w:rsid w:val="00103706"/>
    <w:rsid w:val="00103B88"/>
    <w:rsid w:val="00103D45"/>
    <w:rsid w:val="00104064"/>
    <w:rsid w:val="00104461"/>
    <w:rsid w:val="00104E90"/>
    <w:rsid w:val="00105070"/>
    <w:rsid w:val="001050A7"/>
    <w:rsid w:val="001051E1"/>
    <w:rsid w:val="001059C9"/>
    <w:rsid w:val="00105E67"/>
    <w:rsid w:val="00105F82"/>
    <w:rsid w:val="001060DB"/>
    <w:rsid w:val="00106DA6"/>
    <w:rsid w:val="00106F1D"/>
    <w:rsid w:val="001104AC"/>
    <w:rsid w:val="0011128A"/>
    <w:rsid w:val="00111A51"/>
    <w:rsid w:val="00111D4D"/>
    <w:rsid w:val="00111DA6"/>
    <w:rsid w:val="001121A6"/>
    <w:rsid w:val="001124E9"/>
    <w:rsid w:val="0011283D"/>
    <w:rsid w:val="00112B1C"/>
    <w:rsid w:val="00112B63"/>
    <w:rsid w:val="001131A2"/>
    <w:rsid w:val="0011329B"/>
    <w:rsid w:val="0011367B"/>
    <w:rsid w:val="001138FF"/>
    <w:rsid w:val="00113F33"/>
    <w:rsid w:val="00115285"/>
    <w:rsid w:val="0011550F"/>
    <w:rsid w:val="00115540"/>
    <w:rsid w:val="0011566E"/>
    <w:rsid w:val="001157BA"/>
    <w:rsid w:val="00115917"/>
    <w:rsid w:val="00115B1B"/>
    <w:rsid w:val="00115C80"/>
    <w:rsid w:val="001161E2"/>
    <w:rsid w:val="00116223"/>
    <w:rsid w:val="00116AF0"/>
    <w:rsid w:val="001176AC"/>
    <w:rsid w:val="001178DB"/>
    <w:rsid w:val="0011793E"/>
    <w:rsid w:val="001179DA"/>
    <w:rsid w:val="00117D2C"/>
    <w:rsid w:val="00117DD5"/>
    <w:rsid w:val="00117FF2"/>
    <w:rsid w:val="0012086E"/>
    <w:rsid w:val="00120909"/>
    <w:rsid w:val="001217DE"/>
    <w:rsid w:val="00121CA2"/>
    <w:rsid w:val="001220C0"/>
    <w:rsid w:val="0012257B"/>
    <w:rsid w:val="0012259D"/>
    <w:rsid w:val="001234D4"/>
    <w:rsid w:val="0012383E"/>
    <w:rsid w:val="0012390F"/>
    <w:rsid w:val="001246D6"/>
    <w:rsid w:val="001248F4"/>
    <w:rsid w:val="0012494C"/>
    <w:rsid w:val="00124C3F"/>
    <w:rsid w:val="00124EAF"/>
    <w:rsid w:val="00124F3F"/>
    <w:rsid w:val="00124FC2"/>
    <w:rsid w:val="00125604"/>
    <w:rsid w:val="00125E30"/>
    <w:rsid w:val="00125F81"/>
    <w:rsid w:val="0012612A"/>
    <w:rsid w:val="00126191"/>
    <w:rsid w:val="001263FB"/>
    <w:rsid w:val="00126A07"/>
    <w:rsid w:val="00127B41"/>
    <w:rsid w:val="0013003E"/>
    <w:rsid w:val="00130864"/>
    <w:rsid w:val="00130923"/>
    <w:rsid w:val="00130A61"/>
    <w:rsid w:val="00130A91"/>
    <w:rsid w:val="00130B6D"/>
    <w:rsid w:val="00130BCF"/>
    <w:rsid w:val="00130C5A"/>
    <w:rsid w:val="00131488"/>
    <w:rsid w:val="001314FF"/>
    <w:rsid w:val="00131517"/>
    <w:rsid w:val="00131C9C"/>
    <w:rsid w:val="00131E72"/>
    <w:rsid w:val="00131E7B"/>
    <w:rsid w:val="00131E9A"/>
    <w:rsid w:val="001321B7"/>
    <w:rsid w:val="001321D6"/>
    <w:rsid w:val="00132262"/>
    <w:rsid w:val="0013226C"/>
    <w:rsid w:val="0013227C"/>
    <w:rsid w:val="001322E4"/>
    <w:rsid w:val="001324DD"/>
    <w:rsid w:val="0013250E"/>
    <w:rsid w:val="00132950"/>
    <w:rsid w:val="00132987"/>
    <w:rsid w:val="001331A7"/>
    <w:rsid w:val="0013346F"/>
    <w:rsid w:val="0013352F"/>
    <w:rsid w:val="0013356A"/>
    <w:rsid w:val="001345F4"/>
    <w:rsid w:val="00134816"/>
    <w:rsid w:val="0013494E"/>
    <w:rsid w:val="00134C81"/>
    <w:rsid w:val="00134E0D"/>
    <w:rsid w:val="0013543E"/>
    <w:rsid w:val="001355C2"/>
    <w:rsid w:val="001359B1"/>
    <w:rsid w:val="00135A3D"/>
    <w:rsid w:val="00135C7B"/>
    <w:rsid w:val="00135D71"/>
    <w:rsid w:val="001360B3"/>
    <w:rsid w:val="0013655C"/>
    <w:rsid w:val="0013665B"/>
    <w:rsid w:val="0013680B"/>
    <w:rsid w:val="00136CF8"/>
    <w:rsid w:val="00136D7B"/>
    <w:rsid w:val="00137005"/>
    <w:rsid w:val="0013755B"/>
    <w:rsid w:val="001375F2"/>
    <w:rsid w:val="0013772E"/>
    <w:rsid w:val="0014062D"/>
    <w:rsid w:val="0014068E"/>
    <w:rsid w:val="00140841"/>
    <w:rsid w:val="00140A8C"/>
    <w:rsid w:val="00140AC9"/>
    <w:rsid w:val="00140B79"/>
    <w:rsid w:val="00140BD2"/>
    <w:rsid w:val="00140EB4"/>
    <w:rsid w:val="00141014"/>
    <w:rsid w:val="001410C6"/>
    <w:rsid w:val="001414F2"/>
    <w:rsid w:val="0014172D"/>
    <w:rsid w:val="001419FB"/>
    <w:rsid w:val="00141BC4"/>
    <w:rsid w:val="00141BF1"/>
    <w:rsid w:val="00141CA1"/>
    <w:rsid w:val="00142A6B"/>
    <w:rsid w:val="001437A5"/>
    <w:rsid w:val="00143932"/>
    <w:rsid w:val="001442B9"/>
    <w:rsid w:val="0014533F"/>
    <w:rsid w:val="00145383"/>
    <w:rsid w:val="00145B17"/>
    <w:rsid w:val="00146446"/>
    <w:rsid w:val="001464B2"/>
    <w:rsid w:val="0014657C"/>
    <w:rsid w:val="0014660C"/>
    <w:rsid w:val="00146755"/>
    <w:rsid w:val="00146E54"/>
    <w:rsid w:val="00146E6A"/>
    <w:rsid w:val="00146FB0"/>
    <w:rsid w:val="00147233"/>
    <w:rsid w:val="001474AE"/>
    <w:rsid w:val="00147501"/>
    <w:rsid w:val="00147518"/>
    <w:rsid w:val="00147534"/>
    <w:rsid w:val="00147566"/>
    <w:rsid w:val="001478B2"/>
    <w:rsid w:val="00147CBB"/>
    <w:rsid w:val="001506A4"/>
    <w:rsid w:val="00150C15"/>
    <w:rsid w:val="00150EF0"/>
    <w:rsid w:val="00151534"/>
    <w:rsid w:val="001518EE"/>
    <w:rsid w:val="00151C7E"/>
    <w:rsid w:val="00151E37"/>
    <w:rsid w:val="00152637"/>
    <w:rsid w:val="00152EBA"/>
    <w:rsid w:val="001530CB"/>
    <w:rsid w:val="001539D2"/>
    <w:rsid w:val="00154A22"/>
    <w:rsid w:val="00154CDF"/>
    <w:rsid w:val="00154D3D"/>
    <w:rsid w:val="00155322"/>
    <w:rsid w:val="00155346"/>
    <w:rsid w:val="0015535B"/>
    <w:rsid w:val="0015583A"/>
    <w:rsid w:val="00155897"/>
    <w:rsid w:val="00155D44"/>
    <w:rsid w:val="00156057"/>
    <w:rsid w:val="0015639F"/>
    <w:rsid w:val="0015695A"/>
    <w:rsid w:val="00157031"/>
    <w:rsid w:val="00157169"/>
    <w:rsid w:val="001573F4"/>
    <w:rsid w:val="001579B5"/>
    <w:rsid w:val="00160601"/>
    <w:rsid w:val="00160644"/>
    <w:rsid w:val="0016137E"/>
    <w:rsid w:val="00161434"/>
    <w:rsid w:val="001618F7"/>
    <w:rsid w:val="00161E05"/>
    <w:rsid w:val="00162027"/>
    <w:rsid w:val="00162173"/>
    <w:rsid w:val="0016231F"/>
    <w:rsid w:val="001625D4"/>
    <w:rsid w:val="00162AD6"/>
    <w:rsid w:val="001631F4"/>
    <w:rsid w:val="00163315"/>
    <w:rsid w:val="0016420B"/>
    <w:rsid w:val="00164519"/>
    <w:rsid w:val="00164C53"/>
    <w:rsid w:val="00164D52"/>
    <w:rsid w:val="001650EB"/>
    <w:rsid w:val="00165354"/>
    <w:rsid w:val="001658EF"/>
    <w:rsid w:val="00165998"/>
    <w:rsid w:val="001659E8"/>
    <w:rsid w:val="00165D17"/>
    <w:rsid w:val="00166446"/>
    <w:rsid w:val="0016680D"/>
    <w:rsid w:val="00167303"/>
    <w:rsid w:val="00167514"/>
    <w:rsid w:val="00167822"/>
    <w:rsid w:val="00167C22"/>
    <w:rsid w:val="00167CBF"/>
    <w:rsid w:val="00167D62"/>
    <w:rsid w:val="00170476"/>
    <w:rsid w:val="00170552"/>
    <w:rsid w:val="00170AA2"/>
    <w:rsid w:val="00170E34"/>
    <w:rsid w:val="00170E55"/>
    <w:rsid w:val="00171075"/>
    <w:rsid w:val="00171797"/>
    <w:rsid w:val="00171C6D"/>
    <w:rsid w:val="00171EE3"/>
    <w:rsid w:val="0017242A"/>
    <w:rsid w:val="001728EB"/>
    <w:rsid w:val="00172954"/>
    <w:rsid w:val="00172E4A"/>
    <w:rsid w:val="00172E6C"/>
    <w:rsid w:val="001731F0"/>
    <w:rsid w:val="001733D0"/>
    <w:rsid w:val="00173A80"/>
    <w:rsid w:val="00173A99"/>
    <w:rsid w:val="00173D60"/>
    <w:rsid w:val="00173FFA"/>
    <w:rsid w:val="001741E1"/>
    <w:rsid w:val="00174595"/>
    <w:rsid w:val="00175052"/>
    <w:rsid w:val="0017511D"/>
    <w:rsid w:val="00175453"/>
    <w:rsid w:val="001754AD"/>
    <w:rsid w:val="001756D5"/>
    <w:rsid w:val="00175983"/>
    <w:rsid w:val="00175EDE"/>
    <w:rsid w:val="00176028"/>
    <w:rsid w:val="0017692B"/>
    <w:rsid w:val="00176F99"/>
    <w:rsid w:val="001772F0"/>
    <w:rsid w:val="0017761E"/>
    <w:rsid w:val="00177AA9"/>
    <w:rsid w:val="00180321"/>
    <w:rsid w:val="001803B7"/>
    <w:rsid w:val="0018043B"/>
    <w:rsid w:val="00180876"/>
    <w:rsid w:val="00180B93"/>
    <w:rsid w:val="00180F99"/>
    <w:rsid w:val="00180FFB"/>
    <w:rsid w:val="00181066"/>
    <w:rsid w:val="00181B20"/>
    <w:rsid w:val="001821C3"/>
    <w:rsid w:val="0018264A"/>
    <w:rsid w:val="001826F3"/>
    <w:rsid w:val="00182F30"/>
    <w:rsid w:val="001842F5"/>
    <w:rsid w:val="00184526"/>
    <w:rsid w:val="00184E79"/>
    <w:rsid w:val="001852B9"/>
    <w:rsid w:val="001854B3"/>
    <w:rsid w:val="001857F6"/>
    <w:rsid w:val="00185C51"/>
    <w:rsid w:val="00185ECB"/>
    <w:rsid w:val="001864EC"/>
    <w:rsid w:val="001866A4"/>
    <w:rsid w:val="0018682E"/>
    <w:rsid w:val="00186A9E"/>
    <w:rsid w:val="00187315"/>
    <w:rsid w:val="0018748F"/>
    <w:rsid w:val="001875E8"/>
    <w:rsid w:val="00187B07"/>
    <w:rsid w:val="00187BFA"/>
    <w:rsid w:val="00187D7A"/>
    <w:rsid w:val="00190370"/>
    <w:rsid w:val="00190876"/>
    <w:rsid w:val="00190A4A"/>
    <w:rsid w:val="00190EA3"/>
    <w:rsid w:val="00191C4E"/>
    <w:rsid w:val="00192A7F"/>
    <w:rsid w:val="00192C19"/>
    <w:rsid w:val="001939E3"/>
    <w:rsid w:val="00193DDC"/>
    <w:rsid w:val="0019432B"/>
    <w:rsid w:val="00194377"/>
    <w:rsid w:val="00194BB5"/>
    <w:rsid w:val="0019512E"/>
    <w:rsid w:val="0019577F"/>
    <w:rsid w:val="00195996"/>
    <w:rsid w:val="001959E4"/>
    <w:rsid w:val="00195B12"/>
    <w:rsid w:val="00196927"/>
    <w:rsid w:val="001973EF"/>
    <w:rsid w:val="0019780A"/>
    <w:rsid w:val="001A040F"/>
    <w:rsid w:val="001A0E23"/>
    <w:rsid w:val="001A12EB"/>
    <w:rsid w:val="001A146D"/>
    <w:rsid w:val="001A17A5"/>
    <w:rsid w:val="001A1A27"/>
    <w:rsid w:val="001A1AA7"/>
    <w:rsid w:val="001A1C50"/>
    <w:rsid w:val="001A1CD3"/>
    <w:rsid w:val="001A209D"/>
    <w:rsid w:val="001A243A"/>
    <w:rsid w:val="001A2665"/>
    <w:rsid w:val="001A2AD1"/>
    <w:rsid w:val="001A2C7A"/>
    <w:rsid w:val="001A2D8B"/>
    <w:rsid w:val="001A3115"/>
    <w:rsid w:val="001A32C7"/>
    <w:rsid w:val="001A355F"/>
    <w:rsid w:val="001A385A"/>
    <w:rsid w:val="001A3ABC"/>
    <w:rsid w:val="001A3B0F"/>
    <w:rsid w:val="001A4250"/>
    <w:rsid w:val="001A486C"/>
    <w:rsid w:val="001A52B8"/>
    <w:rsid w:val="001A553B"/>
    <w:rsid w:val="001A5F00"/>
    <w:rsid w:val="001A5FC0"/>
    <w:rsid w:val="001A6805"/>
    <w:rsid w:val="001A6F4C"/>
    <w:rsid w:val="001A7A75"/>
    <w:rsid w:val="001A7CB1"/>
    <w:rsid w:val="001B013B"/>
    <w:rsid w:val="001B0223"/>
    <w:rsid w:val="001B05A1"/>
    <w:rsid w:val="001B05F6"/>
    <w:rsid w:val="001B0D45"/>
    <w:rsid w:val="001B0F32"/>
    <w:rsid w:val="001B10F0"/>
    <w:rsid w:val="001B126C"/>
    <w:rsid w:val="001B13BA"/>
    <w:rsid w:val="001B1508"/>
    <w:rsid w:val="001B1C21"/>
    <w:rsid w:val="001B1E60"/>
    <w:rsid w:val="001B1E77"/>
    <w:rsid w:val="001B2144"/>
    <w:rsid w:val="001B216A"/>
    <w:rsid w:val="001B27BB"/>
    <w:rsid w:val="001B2A81"/>
    <w:rsid w:val="001B2C79"/>
    <w:rsid w:val="001B334E"/>
    <w:rsid w:val="001B35F6"/>
    <w:rsid w:val="001B375D"/>
    <w:rsid w:val="001B404E"/>
    <w:rsid w:val="001B41B3"/>
    <w:rsid w:val="001B43EC"/>
    <w:rsid w:val="001B4AFD"/>
    <w:rsid w:val="001B51CB"/>
    <w:rsid w:val="001B53B3"/>
    <w:rsid w:val="001B544F"/>
    <w:rsid w:val="001B562A"/>
    <w:rsid w:val="001B629B"/>
    <w:rsid w:val="001B6A36"/>
    <w:rsid w:val="001B6E1C"/>
    <w:rsid w:val="001B6FAF"/>
    <w:rsid w:val="001B7584"/>
    <w:rsid w:val="001B7834"/>
    <w:rsid w:val="001B783D"/>
    <w:rsid w:val="001B7C2C"/>
    <w:rsid w:val="001B7F6C"/>
    <w:rsid w:val="001C04F7"/>
    <w:rsid w:val="001C0709"/>
    <w:rsid w:val="001C07E5"/>
    <w:rsid w:val="001C0DA1"/>
    <w:rsid w:val="001C122F"/>
    <w:rsid w:val="001C21BD"/>
    <w:rsid w:val="001C22BE"/>
    <w:rsid w:val="001C2566"/>
    <w:rsid w:val="001C2687"/>
    <w:rsid w:val="001C2B48"/>
    <w:rsid w:val="001C2C26"/>
    <w:rsid w:val="001C382B"/>
    <w:rsid w:val="001C3D31"/>
    <w:rsid w:val="001C3DE2"/>
    <w:rsid w:val="001C4054"/>
    <w:rsid w:val="001C4255"/>
    <w:rsid w:val="001C4B44"/>
    <w:rsid w:val="001C4D36"/>
    <w:rsid w:val="001C4FE4"/>
    <w:rsid w:val="001C5411"/>
    <w:rsid w:val="001C5814"/>
    <w:rsid w:val="001C59FE"/>
    <w:rsid w:val="001C5E4D"/>
    <w:rsid w:val="001C5EB0"/>
    <w:rsid w:val="001C60A5"/>
    <w:rsid w:val="001C6660"/>
    <w:rsid w:val="001C6847"/>
    <w:rsid w:val="001C6DF6"/>
    <w:rsid w:val="001C6F9F"/>
    <w:rsid w:val="001C711A"/>
    <w:rsid w:val="001C75B7"/>
    <w:rsid w:val="001D01ED"/>
    <w:rsid w:val="001D029E"/>
    <w:rsid w:val="001D067F"/>
    <w:rsid w:val="001D0974"/>
    <w:rsid w:val="001D0DD3"/>
    <w:rsid w:val="001D11F0"/>
    <w:rsid w:val="001D138A"/>
    <w:rsid w:val="001D174D"/>
    <w:rsid w:val="001D1E01"/>
    <w:rsid w:val="001D218F"/>
    <w:rsid w:val="001D2325"/>
    <w:rsid w:val="001D2C91"/>
    <w:rsid w:val="001D32D8"/>
    <w:rsid w:val="001D3595"/>
    <w:rsid w:val="001D3A1A"/>
    <w:rsid w:val="001D418E"/>
    <w:rsid w:val="001D4345"/>
    <w:rsid w:val="001D4406"/>
    <w:rsid w:val="001D4691"/>
    <w:rsid w:val="001D4896"/>
    <w:rsid w:val="001D4F5D"/>
    <w:rsid w:val="001D5087"/>
    <w:rsid w:val="001D5905"/>
    <w:rsid w:val="001D5970"/>
    <w:rsid w:val="001D5ABA"/>
    <w:rsid w:val="001D5B19"/>
    <w:rsid w:val="001D5C20"/>
    <w:rsid w:val="001D5C3E"/>
    <w:rsid w:val="001D602F"/>
    <w:rsid w:val="001D6148"/>
    <w:rsid w:val="001D65E7"/>
    <w:rsid w:val="001D68EB"/>
    <w:rsid w:val="001D6D82"/>
    <w:rsid w:val="001D6E84"/>
    <w:rsid w:val="001D7338"/>
    <w:rsid w:val="001D7364"/>
    <w:rsid w:val="001D7412"/>
    <w:rsid w:val="001D7963"/>
    <w:rsid w:val="001D7B24"/>
    <w:rsid w:val="001D7C7A"/>
    <w:rsid w:val="001D7D2A"/>
    <w:rsid w:val="001D7E8B"/>
    <w:rsid w:val="001E024A"/>
    <w:rsid w:val="001E0751"/>
    <w:rsid w:val="001E0BBD"/>
    <w:rsid w:val="001E0D1E"/>
    <w:rsid w:val="001E0FE0"/>
    <w:rsid w:val="001E1985"/>
    <w:rsid w:val="001E19DA"/>
    <w:rsid w:val="001E1CA8"/>
    <w:rsid w:val="001E1F19"/>
    <w:rsid w:val="001E26FD"/>
    <w:rsid w:val="001E2829"/>
    <w:rsid w:val="001E2FD2"/>
    <w:rsid w:val="001E33A6"/>
    <w:rsid w:val="001E4E59"/>
    <w:rsid w:val="001E504D"/>
    <w:rsid w:val="001E58FF"/>
    <w:rsid w:val="001E5992"/>
    <w:rsid w:val="001E66D1"/>
    <w:rsid w:val="001E6A20"/>
    <w:rsid w:val="001E7014"/>
    <w:rsid w:val="001E72C2"/>
    <w:rsid w:val="001E759E"/>
    <w:rsid w:val="001E79A1"/>
    <w:rsid w:val="001F01B1"/>
    <w:rsid w:val="001F073E"/>
    <w:rsid w:val="001F0996"/>
    <w:rsid w:val="001F0B91"/>
    <w:rsid w:val="001F0DCE"/>
    <w:rsid w:val="001F0EAB"/>
    <w:rsid w:val="001F0FBC"/>
    <w:rsid w:val="001F11BC"/>
    <w:rsid w:val="001F1666"/>
    <w:rsid w:val="001F185D"/>
    <w:rsid w:val="001F19A9"/>
    <w:rsid w:val="001F1EDC"/>
    <w:rsid w:val="001F1FD1"/>
    <w:rsid w:val="001F20DB"/>
    <w:rsid w:val="001F2381"/>
    <w:rsid w:val="001F277F"/>
    <w:rsid w:val="001F300B"/>
    <w:rsid w:val="001F3642"/>
    <w:rsid w:val="001F36C4"/>
    <w:rsid w:val="001F36D5"/>
    <w:rsid w:val="001F3836"/>
    <w:rsid w:val="001F39CC"/>
    <w:rsid w:val="001F3B5F"/>
    <w:rsid w:val="001F3F0E"/>
    <w:rsid w:val="001F42DA"/>
    <w:rsid w:val="001F49F9"/>
    <w:rsid w:val="001F4A08"/>
    <w:rsid w:val="001F4A8A"/>
    <w:rsid w:val="001F4B57"/>
    <w:rsid w:val="001F4D95"/>
    <w:rsid w:val="001F4E13"/>
    <w:rsid w:val="001F4F22"/>
    <w:rsid w:val="001F551A"/>
    <w:rsid w:val="001F5685"/>
    <w:rsid w:val="001F56B9"/>
    <w:rsid w:val="001F5839"/>
    <w:rsid w:val="001F5B6B"/>
    <w:rsid w:val="001F6160"/>
    <w:rsid w:val="001F6634"/>
    <w:rsid w:val="001F6DF9"/>
    <w:rsid w:val="001F7A48"/>
    <w:rsid w:val="001F7B27"/>
    <w:rsid w:val="002005DB"/>
    <w:rsid w:val="0020095D"/>
    <w:rsid w:val="00201388"/>
    <w:rsid w:val="002015E3"/>
    <w:rsid w:val="00201AC3"/>
    <w:rsid w:val="00201F51"/>
    <w:rsid w:val="00202BCE"/>
    <w:rsid w:val="00202D26"/>
    <w:rsid w:val="00203136"/>
    <w:rsid w:val="002041EF"/>
    <w:rsid w:val="002044B4"/>
    <w:rsid w:val="002048B2"/>
    <w:rsid w:val="00204CC5"/>
    <w:rsid w:val="00204D81"/>
    <w:rsid w:val="00205483"/>
    <w:rsid w:val="00206EAE"/>
    <w:rsid w:val="002070B6"/>
    <w:rsid w:val="0020735C"/>
    <w:rsid w:val="00207591"/>
    <w:rsid w:val="00207AEF"/>
    <w:rsid w:val="00207DAB"/>
    <w:rsid w:val="00207E44"/>
    <w:rsid w:val="002108DA"/>
    <w:rsid w:val="00210D64"/>
    <w:rsid w:val="0021106E"/>
    <w:rsid w:val="00211507"/>
    <w:rsid w:val="002116DF"/>
    <w:rsid w:val="00211831"/>
    <w:rsid w:val="0021248E"/>
    <w:rsid w:val="002124CB"/>
    <w:rsid w:val="00213BF0"/>
    <w:rsid w:val="002142E5"/>
    <w:rsid w:val="002144ED"/>
    <w:rsid w:val="0021549E"/>
    <w:rsid w:val="0021569A"/>
    <w:rsid w:val="00215758"/>
    <w:rsid w:val="00215EF8"/>
    <w:rsid w:val="00216100"/>
    <w:rsid w:val="00216479"/>
    <w:rsid w:val="0021684A"/>
    <w:rsid w:val="00216DD4"/>
    <w:rsid w:val="00217398"/>
    <w:rsid w:val="002177A2"/>
    <w:rsid w:val="00217CDB"/>
    <w:rsid w:val="00217D76"/>
    <w:rsid w:val="00220020"/>
    <w:rsid w:val="002200CB"/>
    <w:rsid w:val="002206AD"/>
    <w:rsid w:val="00220735"/>
    <w:rsid w:val="002212D3"/>
    <w:rsid w:val="00221606"/>
    <w:rsid w:val="0022198D"/>
    <w:rsid w:val="00221AEF"/>
    <w:rsid w:val="00221FD2"/>
    <w:rsid w:val="002220DA"/>
    <w:rsid w:val="002223AE"/>
    <w:rsid w:val="00222C6F"/>
    <w:rsid w:val="00223A3F"/>
    <w:rsid w:val="00223A71"/>
    <w:rsid w:val="00223AB1"/>
    <w:rsid w:val="00223C41"/>
    <w:rsid w:val="00223CB0"/>
    <w:rsid w:val="00223D47"/>
    <w:rsid w:val="002240DC"/>
    <w:rsid w:val="00224323"/>
    <w:rsid w:val="00224A36"/>
    <w:rsid w:val="00224ECC"/>
    <w:rsid w:val="00225306"/>
    <w:rsid w:val="00225347"/>
    <w:rsid w:val="00225628"/>
    <w:rsid w:val="00225F2B"/>
    <w:rsid w:val="0022667F"/>
    <w:rsid w:val="002269D7"/>
    <w:rsid w:val="00226AD9"/>
    <w:rsid w:val="00226F7E"/>
    <w:rsid w:val="0022759E"/>
    <w:rsid w:val="002275AF"/>
    <w:rsid w:val="00227745"/>
    <w:rsid w:val="00227842"/>
    <w:rsid w:val="00227A83"/>
    <w:rsid w:val="00227AA9"/>
    <w:rsid w:val="00227C4F"/>
    <w:rsid w:val="00227EF6"/>
    <w:rsid w:val="0023020A"/>
    <w:rsid w:val="00230409"/>
    <w:rsid w:val="00230D18"/>
    <w:rsid w:val="002313D0"/>
    <w:rsid w:val="002319A2"/>
    <w:rsid w:val="00231A99"/>
    <w:rsid w:val="00231D39"/>
    <w:rsid w:val="002322AD"/>
    <w:rsid w:val="00232CE9"/>
    <w:rsid w:val="002334F1"/>
    <w:rsid w:val="00233808"/>
    <w:rsid w:val="00233BC7"/>
    <w:rsid w:val="002341F7"/>
    <w:rsid w:val="00234401"/>
    <w:rsid w:val="00234752"/>
    <w:rsid w:val="00234D03"/>
    <w:rsid w:val="00234ED1"/>
    <w:rsid w:val="00235399"/>
    <w:rsid w:val="00235400"/>
    <w:rsid w:val="00235E8E"/>
    <w:rsid w:val="002363BF"/>
    <w:rsid w:val="00236471"/>
    <w:rsid w:val="00236D7E"/>
    <w:rsid w:val="00236E6F"/>
    <w:rsid w:val="002379D3"/>
    <w:rsid w:val="00237B1F"/>
    <w:rsid w:val="00237CE0"/>
    <w:rsid w:val="00237D54"/>
    <w:rsid w:val="00237EAB"/>
    <w:rsid w:val="00237F04"/>
    <w:rsid w:val="00240082"/>
    <w:rsid w:val="002408E2"/>
    <w:rsid w:val="00240B9F"/>
    <w:rsid w:val="002410DC"/>
    <w:rsid w:val="00241BE6"/>
    <w:rsid w:val="002425DE"/>
    <w:rsid w:val="0024263F"/>
    <w:rsid w:val="00242DAE"/>
    <w:rsid w:val="0024325B"/>
    <w:rsid w:val="00243281"/>
    <w:rsid w:val="00243393"/>
    <w:rsid w:val="00243802"/>
    <w:rsid w:val="00243A20"/>
    <w:rsid w:val="00243C64"/>
    <w:rsid w:val="00243EA7"/>
    <w:rsid w:val="002441B7"/>
    <w:rsid w:val="002446DE"/>
    <w:rsid w:val="00244AA1"/>
    <w:rsid w:val="0024552D"/>
    <w:rsid w:val="00245717"/>
    <w:rsid w:val="002464A7"/>
    <w:rsid w:val="002465A2"/>
    <w:rsid w:val="002465E2"/>
    <w:rsid w:val="00246B45"/>
    <w:rsid w:val="00247185"/>
    <w:rsid w:val="0024758F"/>
    <w:rsid w:val="00247929"/>
    <w:rsid w:val="0025030E"/>
    <w:rsid w:val="00250357"/>
    <w:rsid w:val="002509C9"/>
    <w:rsid w:val="0025109A"/>
    <w:rsid w:val="002510B8"/>
    <w:rsid w:val="002511E7"/>
    <w:rsid w:val="00251342"/>
    <w:rsid w:val="00251567"/>
    <w:rsid w:val="0025179D"/>
    <w:rsid w:val="002519E3"/>
    <w:rsid w:val="00251A55"/>
    <w:rsid w:val="00251BF1"/>
    <w:rsid w:val="00251DFD"/>
    <w:rsid w:val="00251E08"/>
    <w:rsid w:val="0025234E"/>
    <w:rsid w:val="002523B9"/>
    <w:rsid w:val="0025290F"/>
    <w:rsid w:val="00252D3F"/>
    <w:rsid w:val="00253A3E"/>
    <w:rsid w:val="0025431A"/>
    <w:rsid w:val="002545A8"/>
    <w:rsid w:val="002549AD"/>
    <w:rsid w:val="00254C8C"/>
    <w:rsid w:val="00254ED0"/>
    <w:rsid w:val="002559ED"/>
    <w:rsid w:val="00255F7B"/>
    <w:rsid w:val="00256100"/>
    <w:rsid w:val="002561F9"/>
    <w:rsid w:val="0025641A"/>
    <w:rsid w:val="002566A1"/>
    <w:rsid w:val="002566EB"/>
    <w:rsid w:val="0025685C"/>
    <w:rsid w:val="0025686A"/>
    <w:rsid w:val="00256CED"/>
    <w:rsid w:val="00256DBF"/>
    <w:rsid w:val="0025737D"/>
    <w:rsid w:val="00257714"/>
    <w:rsid w:val="00257FCC"/>
    <w:rsid w:val="0026018B"/>
    <w:rsid w:val="002603F6"/>
    <w:rsid w:val="00260C3C"/>
    <w:rsid w:val="00260C42"/>
    <w:rsid w:val="00260C43"/>
    <w:rsid w:val="00260EC6"/>
    <w:rsid w:val="00261513"/>
    <w:rsid w:val="0026181D"/>
    <w:rsid w:val="002618B9"/>
    <w:rsid w:val="00261BA8"/>
    <w:rsid w:val="00261DBD"/>
    <w:rsid w:val="00261FA8"/>
    <w:rsid w:val="00262209"/>
    <w:rsid w:val="00262231"/>
    <w:rsid w:val="002622E6"/>
    <w:rsid w:val="00262438"/>
    <w:rsid w:val="002629A0"/>
    <w:rsid w:val="00262EEA"/>
    <w:rsid w:val="002634BF"/>
    <w:rsid w:val="002638AF"/>
    <w:rsid w:val="00263C9D"/>
    <w:rsid w:val="00264075"/>
    <w:rsid w:val="00264176"/>
    <w:rsid w:val="00264212"/>
    <w:rsid w:val="002642EB"/>
    <w:rsid w:val="00264A8A"/>
    <w:rsid w:val="00264EA1"/>
    <w:rsid w:val="00265617"/>
    <w:rsid w:val="00265A36"/>
    <w:rsid w:val="00265B9A"/>
    <w:rsid w:val="00265D0F"/>
    <w:rsid w:val="00265E1C"/>
    <w:rsid w:val="0026603D"/>
    <w:rsid w:val="00266110"/>
    <w:rsid w:val="002661B6"/>
    <w:rsid w:val="002663B8"/>
    <w:rsid w:val="0026653F"/>
    <w:rsid w:val="002666B8"/>
    <w:rsid w:val="002667C6"/>
    <w:rsid w:val="0026732F"/>
    <w:rsid w:val="00267527"/>
    <w:rsid w:val="00267E39"/>
    <w:rsid w:val="002708B2"/>
    <w:rsid w:val="00271E2F"/>
    <w:rsid w:val="00271FCE"/>
    <w:rsid w:val="0027204F"/>
    <w:rsid w:val="0027226C"/>
    <w:rsid w:val="002723D5"/>
    <w:rsid w:val="00272892"/>
    <w:rsid w:val="00272F23"/>
    <w:rsid w:val="00273485"/>
    <w:rsid w:val="0027350D"/>
    <w:rsid w:val="00273513"/>
    <w:rsid w:val="00273817"/>
    <w:rsid w:val="00273839"/>
    <w:rsid w:val="00273FC3"/>
    <w:rsid w:val="002740B9"/>
    <w:rsid w:val="002744EF"/>
    <w:rsid w:val="00274644"/>
    <w:rsid w:val="00274A66"/>
    <w:rsid w:val="00274B33"/>
    <w:rsid w:val="00274BAA"/>
    <w:rsid w:val="00274CA8"/>
    <w:rsid w:val="00274E75"/>
    <w:rsid w:val="00274F3F"/>
    <w:rsid w:val="00275848"/>
    <w:rsid w:val="002759EC"/>
    <w:rsid w:val="00275EFC"/>
    <w:rsid w:val="002763AB"/>
    <w:rsid w:val="00276442"/>
    <w:rsid w:val="00276670"/>
    <w:rsid w:val="002771EB"/>
    <w:rsid w:val="00277255"/>
    <w:rsid w:val="00277589"/>
    <w:rsid w:val="00277D25"/>
    <w:rsid w:val="00277DD4"/>
    <w:rsid w:val="00280386"/>
    <w:rsid w:val="0028046A"/>
    <w:rsid w:val="00280478"/>
    <w:rsid w:val="0028057F"/>
    <w:rsid w:val="00280DB6"/>
    <w:rsid w:val="00280E8C"/>
    <w:rsid w:val="0028183F"/>
    <w:rsid w:val="002823C2"/>
    <w:rsid w:val="002823F2"/>
    <w:rsid w:val="002826CD"/>
    <w:rsid w:val="00282C2D"/>
    <w:rsid w:val="00283015"/>
    <w:rsid w:val="002830D8"/>
    <w:rsid w:val="00283469"/>
    <w:rsid w:val="00283789"/>
    <w:rsid w:val="00283D18"/>
    <w:rsid w:val="00283F17"/>
    <w:rsid w:val="002840C6"/>
    <w:rsid w:val="00284392"/>
    <w:rsid w:val="002845FB"/>
    <w:rsid w:val="002847B7"/>
    <w:rsid w:val="0028483B"/>
    <w:rsid w:val="00284CAB"/>
    <w:rsid w:val="00285366"/>
    <w:rsid w:val="002854A5"/>
    <w:rsid w:val="0028629B"/>
    <w:rsid w:val="00286D2C"/>
    <w:rsid w:val="0028703B"/>
    <w:rsid w:val="0028799B"/>
    <w:rsid w:val="00287F3D"/>
    <w:rsid w:val="00290353"/>
    <w:rsid w:val="00291452"/>
    <w:rsid w:val="002914DE"/>
    <w:rsid w:val="00291C33"/>
    <w:rsid w:val="00291D0B"/>
    <w:rsid w:val="00291EFB"/>
    <w:rsid w:val="0029207C"/>
    <w:rsid w:val="002920BB"/>
    <w:rsid w:val="00292708"/>
    <w:rsid w:val="00292788"/>
    <w:rsid w:val="00292869"/>
    <w:rsid w:val="00292AC6"/>
    <w:rsid w:val="00292AEE"/>
    <w:rsid w:val="00292C08"/>
    <w:rsid w:val="0029314E"/>
    <w:rsid w:val="00293767"/>
    <w:rsid w:val="00294668"/>
    <w:rsid w:val="00294706"/>
    <w:rsid w:val="00294B5B"/>
    <w:rsid w:val="00294DFF"/>
    <w:rsid w:val="00295064"/>
    <w:rsid w:val="0029557C"/>
    <w:rsid w:val="0029563F"/>
    <w:rsid w:val="002958F7"/>
    <w:rsid w:val="00295936"/>
    <w:rsid w:val="00295986"/>
    <w:rsid w:val="00295EE8"/>
    <w:rsid w:val="002962A4"/>
    <w:rsid w:val="00296456"/>
    <w:rsid w:val="0029682F"/>
    <w:rsid w:val="00297710"/>
    <w:rsid w:val="00297C21"/>
    <w:rsid w:val="002A0AA1"/>
    <w:rsid w:val="002A0B66"/>
    <w:rsid w:val="002A0D89"/>
    <w:rsid w:val="002A0D9E"/>
    <w:rsid w:val="002A0EBD"/>
    <w:rsid w:val="002A10F2"/>
    <w:rsid w:val="002A124B"/>
    <w:rsid w:val="002A134F"/>
    <w:rsid w:val="002A13E2"/>
    <w:rsid w:val="002A1421"/>
    <w:rsid w:val="002A180F"/>
    <w:rsid w:val="002A20AD"/>
    <w:rsid w:val="002A228D"/>
    <w:rsid w:val="002A238B"/>
    <w:rsid w:val="002A2520"/>
    <w:rsid w:val="002A2973"/>
    <w:rsid w:val="002A2F36"/>
    <w:rsid w:val="002A3183"/>
    <w:rsid w:val="002A32B3"/>
    <w:rsid w:val="002A35A9"/>
    <w:rsid w:val="002A3C4D"/>
    <w:rsid w:val="002A3E40"/>
    <w:rsid w:val="002A4507"/>
    <w:rsid w:val="002A4845"/>
    <w:rsid w:val="002A4937"/>
    <w:rsid w:val="002A521C"/>
    <w:rsid w:val="002A5987"/>
    <w:rsid w:val="002A632E"/>
    <w:rsid w:val="002A6459"/>
    <w:rsid w:val="002A65AA"/>
    <w:rsid w:val="002A65D3"/>
    <w:rsid w:val="002A6A13"/>
    <w:rsid w:val="002A6A21"/>
    <w:rsid w:val="002A729A"/>
    <w:rsid w:val="002A779C"/>
    <w:rsid w:val="002A7D8F"/>
    <w:rsid w:val="002B0030"/>
    <w:rsid w:val="002B00A3"/>
    <w:rsid w:val="002B03DA"/>
    <w:rsid w:val="002B0423"/>
    <w:rsid w:val="002B04AB"/>
    <w:rsid w:val="002B0C29"/>
    <w:rsid w:val="002B142D"/>
    <w:rsid w:val="002B1685"/>
    <w:rsid w:val="002B21DE"/>
    <w:rsid w:val="002B2255"/>
    <w:rsid w:val="002B22C9"/>
    <w:rsid w:val="002B2D6C"/>
    <w:rsid w:val="002B2E46"/>
    <w:rsid w:val="002B2FAC"/>
    <w:rsid w:val="002B31ED"/>
    <w:rsid w:val="002B3330"/>
    <w:rsid w:val="002B3449"/>
    <w:rsid w:val="002B38CD"/>
    <w:rsid w:val="002B39EE"/>
    <w:rsid w:val="002B3AFA"/>
    <w:rsid w:val="002B3B8B"/>
    <w:rsid w:val="002B46B2"/>
    <w:rsid w:val="002B47DA"/>
    <w:rsid w:val="002B489B"/>
    <w:rsid w:val="002B4935"/>
    <w:rsid w:val="002B4DB8"/>
    <w:rsid w:val="002B4DDB"/>
    <w:rsid w:val="002B4DF7"/>
    <w:rsid w:val="002B5208"/>
    <w:rsid w:val="002B5679"/>
    <w:rsid w:val="002B590B"/>
    <w:rsid w:val="002B5BF4"/>
    <w:rsid w:val="002B5F19"/>
    <w:rsid w:val="002B6139"/>
    <w:rsid w:val="002B62BD"/>
    <w:rsid w:val="002B6308"/>
    <w:rsid w:val="002B685D"/>
    <w:rsid w:val="002B6876"/>
    <w:rsid w:val="002B6C78"/>
    <w:rsid w:val="002B6D5D"/>
    <w:rsid w:val="002B6EC4"/>
    <w:rsid w:val="002B725A"/>
    <w:rsid w:val="002B75BE"/>
    <w:rsid w:val="002B79CF"/>
    <w:rsid w:val="002B7D17"/>
    <w:rsid w:val="002C03E8"/>
    <w:rsid w:val="002C0671"/>
    <w:rsid w:val="002C06F5"/>
    <w:rsid w:val="002C07BA"/>
    <w:rsid w:val="002C0C45"/>
    <w:rsid w:val="002C0F75"/>
    <w:rsid w:val="002C0F9F"/>
    <w:rsid w:val="002C10AC"/>
    <w:rsid w:val="002C1999"/>
    <w:rsid w:val="002C1AD2"/>
    <w:rsid w:val="002C1B77"/>
    <w:rsid w:val="002C238E"/>
    <w:rsid w:val="002C266B"/>
    <w:rsid w:val="002C26E0"/>
    <w:rsid w:val="002C2FE2"/>
    <w:rsid w:val="002C323D"/>
    <w:rsid w:val="002C3596"/>
    <w:rsid w:val="002C38DF"/>
    <w:rsid w:val="002C3C1D"/>
    <w:rsid w:val="002C3E74"/>
    <w:rsid w:val="002C3EC4"/>
    <w:rsid w:val="002C3FD1"/>
    <w:rsid w:val="002C4429"/>
    <w:rsid w:val="002C4659"/>
    <w:rsid w:val="002C4A96"/>
    <w:rsid w:val="002C5543"/>
    <w:rsid w:val="002C59DE"/>
    <w:rsid w:val="002C5DC2"/>
    <w:rsid w:val="002C627A"/>
    <w:rsid w:val="002C6BCB"/>
    <w:rsid w:val="002C75AE"/>
    <w:rsid w:val="002C79F1"/>
    <w:rsid w:val="002D0168"/>
    <w:rsid w:val="002D0B1B"/>
    <w:rsid w:val="002D10F2"/>
    <w:rsid w:val="002D1153"/>
    <w:rsid w:val="002D12ED"/>
    <w:rsid w:val="002D15E7"/>
    <w:rsid w:val="002D1695"/>
    <w:rsid w:val="002D1F3E"/>
    <w:rsid w:val="002D2235"/>
    <w:rsid w:val="002D23DA"/>
    <w:rsid w:val="002D253F"/>
    <w:rsid w:val="002D280F"/>
    <w:rsid w:val="002D2818"/>
    <w:rsid w:val="002D2904"/>
    <w:rsid w:val="002D29A3"/>
    <w:rsid w:val="002D2AF7"/>
    <w:rsid w:val="002D3061"/>
    <w:rsid w:val="002D310B"/>
    <w:rsid w:val="002D36F1"/>
    <w:rsid w:val="002D3B2A"/>
    <w:rsid w:val="002D3CD7"/>
    <w:rsid w:val="002D4000"/>
    <w:rsid w:val="002D428D"/>
    <w:rsid w:val="002D476D"/>
    <w:rsid w:val="002D52C3"/>
    <w:rsid w:val="002D5472"/>
    <w:rsid w:val="002D5A7E"/>
    <w:rsid w:val="002D5CA8"/>
    <w:rsid w:val="002D6190"/>
    <w:rsid w:val="002D6410"/>
    <w:rsid w:val="002D699F"/>
    <w:rsid w:val="002D6B49"/>
    <w:rsid w:val="002D7D55"/>
    <w:rsid w:val="002D7D5D"/>
    <w:rsid w:val="002D7F32"/>
    <w:rsid w:val="002E0246"/>
    <w:rsid w:val="002E04DF"/>
    <w:rsid w:val="002E06E7"/>
    <w:rsid w:val="002E0A56"/>
    <w:rsid w:val="002E0EAE"/>
    <w:rsid w:val="002E1478"/>
    <w:rsid w:val="002E1845"/>
    <w:rsid w:val="002E18EB"/>
    <w:rsid w:val="002E266E"/>
    <w:rsid w:val="002E2683"/>
    <w:rsid w:val="002E2F5E"/>
    <w:rsid w:val="002E3071"/>
    <w:rsid w:val="002E33E8"/>
    <w:rsid w:val="002E36CC"/>
    <w:rsid w:val="002E36DA"/>
    <w:rsid w:val="002E3CD1"/>
    <w:rsid w:val="002E3CE3"/>
    <w:rsid w:val="002E49CF"/>
    <w:rsid w:val="002E4D0B"/>
    <w:rsid w:val="002E518B"/>
    <w:rsid w:val="002E51B1"/>
    <w:rsid w:val="002E5390"/>
    <w:rsid w:val="002E5449"/>
    <w:rsid w:val="002E598C"/>
    <w:rsid w:val="002E5C53"/>
    <w:rsid w:val="002E5CB7"/>
    <w:rsid w:val="002E647C"/>
    <w:rsid w:val="002E674A"/>
    <w:rsid w:val="002E69DF"/>
    <w:rsid w:val="002E745B"/>
    <w:rsid w:val="002E7582"/>
    <w:rsid w:val="002E75BC"/>
    <w:rsid w:val="002E7DDE"/>
    <w:rsid w:val="002E7EC7"/>
    <w:rsid w:val="002E7EF2"/>
    <w:rsid w:val="002F00F8"/>
    <w:rsid w:val="002F0206"/>
    <w:rsid w:val="002F0345"/>
    <w:rsid w:val="002F072B"/>
    <w:rsid w:val="002F0BDF"/>
    <w:rsid w:val="002F0C73"/>
    <w:rsid w:val="002F1288"/>
    <w:rsid w:val="002F15B2"/>
    <w:rsid w:val="002F2268"/>
    <w:rsid w:val="002F271C"/>
    <w:rsid w:val="002F2855"/>
    <w:rsid w:val="002F32EB"/>
    <w:rsid w:val="002F34CD"/>
    <w:rsid w:val="002F35E4"/>
    <w:rsid w:val="002F38BE"/>
    <w:rsid w:val="002F403C"/>
    <w:rsid w:val="002F4374"/>
    <w:rsid w:val="002F4675"/>
    <w:rsid w:val="002F4EA5"/>
    <w:rsid w:val="002F555D"/>
    <w:rsid w:val="002F5A5E"/>
    <w:rsid w:val="002F5E08"/>
    <w:rsid w:val="002F5FCC"/>
    <w:rsid w:val="002F644A"/>
    <w:rsid w:val="002F6492"/>
    <w:rsid w:val="002F6B14"/>
    <w:rsid w:val="002F70D3"/>
    <w:rsid w:val="002F72BA"/>
    <w:rsid w:val="002F73C6"/>
    <w:rsid w:val="002F7861"/>
    <w:rsid w:val="002F7A01"/>
    <w:rsid w:val="002F7A92"/>
    <w:rsid w:val="002F7CC4"/>
    <w:rsid w:val="003003F8"/>
    <w:rsid w:val="003004FC"/>
    <w:rsid w:val="00300C49"/>
    <w:rsid w:val="00300EF8"/>
    <w:rsid w:val="00300F10"/>
    <w:rsid w:val="00301269"/>
    <w:rsid w:val="00302742"/>
    <w:rsid w:val="00302F43"/>
    <w:rsid w:val="00302FD2"/>
    <w:rsid w:val="0030364B"/>
    <w:rsid w:val="00303B0F"/>
    <w:rsid w:val="00303E68"/>
    <w:rsid w:val="00304A27"/>
    <w:rsid w:val="00304C42"/>
    <w:rsid w:val="00304D49"/>
    <w:rsid w:val="0030518D"/>
    <w:rsid w:val="00305342"/>
    <w:rsid w:val="00305743"/>
    <w:rsid w:val="00305C98"/>
    <w:rsid w:val="00305FC7"/>
    <w:rsid w:val="003062AA"/>
    <w:rsid w:val="00306845"/>
    <w:rsid w:val="0030699A"/>
    <w:rsid w:val="00306AE1"/>
    <w:rsid w:val="00307E1D"/>
    <w:rsid w:val="00307E7E"/>
    <w:rsid w:val="0031006C"/>
    <w:rsid w:val="003101A0"/>
    <w:rsid w:val="00310565"/>
    <w:rsid w:val="003110E0"/>
    <w:rsid w:val="0031128B"/>
    <w:rsid w:val="003112B4"/>
    <w:rsid w:val="00312AE2"/>
    <w:rsid w:val="00312D9D"/>
    <w:rsid w:val="00312E17"/>
    <w:rsid w:val="003135EA"/>
    <w:rsid w:val="00313907"/>
    <w:rsid w:val="003148BC"/>
    <w:rsid w:val="0031496C"/>
    <w:rsid w:val="00314C4B"/>
    <w:rsid w:val="00315063"/>
    <w:rsid w:val="003150C1"/>
    <w:rsid w:val="00315160"/>
    <w:rsid w:val="003159D4"/>
    <w:rsid w:val="00316412"/>
    <w:rsid w:val="00316937"/>
    <w:rsid w:val="00316EB4"/>
    <w:rsid w:val="00317083"/>
    <w:rsid w:val="003171B1"/>
    <w:rsid w:val="003175D1"/>
    <w:rsid w:val="0031771D"/>
    <w:rsid w:val="00317DFC"/>
    <w:rsid w:val="00317E26"/>
    <w:rsid w:val="00320404"/>
    <w:rsid w:val="00320A4B"/>
    <w:rsid w:val="00320F86"/>
    <w:rsid w:val="00321108"/>
    <w:rsid w:val="0032113E"/>
    <w:rsid w:val="00321374"/>
    <w:rsid w:val="003218EA"/>
    <w:rsid w:val="00321F5C"/>
    <w:rsid w:val="00322082"/>
    <w:rsid w:val="003228C4"/>
    <w:rsid w:val="00322BB6"/>
    <w:rsid w:val="00322E86"/>
    <w:rsid w:val="00322F7E"/>
    <w:rsid w:val="003231F2"/>
    <w:rsid w:val="0032354B"/>
    <w:rsid w:val="00323908"/>
    <w:rsid w:val="00323B13"/>
    <w:rsid w:val="00323CC1"/>
    <w:rsid w:val="00323D85"/>
    <w:rsid w:val="00323E71"/>
    <w:rsid w:val="0032430B"/>
    <w:rsid w:val="00324A31"/>
    <w:rsid w:val="00324F7D"/>
    <w:rsid w:val="00325001"/>
    <w:rsid w:val="0032514C"/>
    <w:rsid w:val="0032573D"/>
    <w:rsid w:val="00325973"/>
    <w:rsid w:val="00325B04"/>
    <w:rsid w:val="00325CE1"/>
    <w:rsid w:val="00326180"/>
    <w:rsid w:val="003263C6"/>
    <w:rsid w:val="0032640C"/>
    <w:rsid w:val="003265C0"/>
    <w:rsid w:val="003267EC"/>
    <w:rsid w:val="00326D9B"/>
    <w:rsid w:val="00327070"/>
    <w:rsid w:val="0032737B"/>
    <w:rsid w:val="003279CF"/>
    <w:rsid w:val="00327BF4"/>
    <w:rsid w:val="00327DBB"/>
    <w:rsid w:val="00327F89"/>
    <w:rsid w:val="00330238"/>
    <w:rsid w:val="00330697"/>
    <w:rsid w:val="003310D2"/>
    <w:rsid w:val="00331FC6"/>
    <w:rsid w:val="0033247A"/>
    <w:rsid w:val="0033278E"/>
    <w:rsid w:val="00332A34"/>
    <w:rsid w:val="00332E26"/>
    <w:rsid w:val="00332F23"/>
    <w:rsid w:val="00333353"/>
    <w:rsid w:val="00333D0E"/>
    <w:rsid w:val="00333F80"/>
    <w:rsid w:val="0033477A"/>
    <w:rsid w:val="003351DE"/>
    <w:rsid w:val="003352CE"/>
    <w:rsid w:val="003357D3"/>
    <w:rsid w:val="0033585C"/>
    <w:rsid w:val="0033650E"/>
    <w:rsid w:val="00336F73"/>
    <w:rsid w:val="003376F1"/>
    <w:rsid w:val="00337B74"/>
    <w:rsid w:val="00337C63"/>
    <w:rsid w:val="00337C8A"/>
    <w:rsid w:val="00337E5F"/>
    <w:rsid w:val="003406CB"/>
    <w:rsid w:val="0034083D"/>
    <w:rsid w:val="00341171"/>
    <w:rsid w:val="003411EB"/>
    <w:rsid w:val="00341683"/>
    <w:rsid w:val="00341B93"/>
    <w:rsid w:val="00341D13"/>
    <w:rsid w:val="00341FF1"/>
    <w:rsid w:val="0034276E"/>
    <w:rsid w:val="003429D1"/>
    <w:rsid w:val="00342CA9"/>
    <w:rsid w:val="00342F3D"/>
    <w:rsid w:val="00343369"/>
    <w:rsid w:val="003435DC"/>
    <w:rsid w:val="003437E4"/>
    <w:rsid w:val="00343C84"/>
    <w:rsid w:val="00343C9B"/>
    <w:rsid w:val="00343D54"/>
    <w:rsid w:val="00343E8B"/>
    <w:rsid w:val="0034422F"/>
    <w:rsid w:val="0034440A"/>
    <w:rsid w:val="0034461F"/>
    <w:rsid w:val="00344C22"/>
    <w:rsid w:val="00344EA6"/>
    <w:rsid w:val="0034576F"/>
    <w:rsid w:val="00345BD4"/>
    <w:rsid w:val="00345E7A"/>
    <w:rsid w:val="003461D7"/>
    <w:rsid w:val="00346298"/>
    <w:rsid w:val="00346323"/>
    <w:rsid w:val="00346378"/>
    <w:rsid w:val="00346D93"/>
    <w:rsid w:val="00346EDD"/>
    <w:rsid w:val="003470DB"/>
    <w:rsid w:val="003472D0"/>
    <w:rsid w:val="003474E3"/>
    <w:rsid w:val="0034760D"/>
    <w:rsid w:val="003479EE"/>
    <w:rsid w:val="00347BB3"/>
    <w:rsid w:val="00347BBA"/>
    <w:rsid w:val="00347E18"/>
    <w:rsid w:val="00350184"/>
    <w:rsid w:val="0035095D"/>
    <w:rsid w:val="00350BAF"/>
    <w:rsid w:val="00350EEE"/>
    <w:rsid w:val="00351172"/>
    <w:rsid w:val="003518BD"/>
    <w:rsid w:val="003521C8"/>
    <w:rsid w:val="00352AFE"/>
    <w:rsid w:val="00352B66"/>
    <w:rsid w:val="00353332"/>
    <w:rsid w:val="00353A33"/>
    <w:rsid w:val="0035483B"/>
    <w:rsid w:val="00354962"/>
    <w:rsid w:val="0035498F"/>
    <w:rsid w:val="00354D62"/>
    <w:rsid w:val="00355FC2"/>
    <w:rsid w:val="003564C9"/>
    <w:rsid w:val="00356637"/>
    <w:rsid w:val="0035690A"/>
    <w:rsid w:val="00356A7D"/>
    <w:rsid w:val="00356AA7"/>
    <w:rsid w:val="00356FFF"/>
    <w:rsid w:val="00357C0C"/>
    <w:rsid w:val="00357D4F"/>
    <w:rsid w:val="00357F19"/>
    <w:rsid w:val="00357F91"/>
    <w:rsid w:val="0036008D"/>
    <w:rsid w:val="00360096"/>
    <w:rsid w:val="00360434"/>
    <w:rsid w:val="00360A04"/>
    <w:rsid w:val="00360C52"/>
    <w:rsid w:val="00360D15"/>
    <w:rsid w:val="00360D2E"/>
    <w:rsid w:val="0036120E"/>
    <w:rsid w:val="00361980"/>
    <w:rsid w:val="00361FED"/>
    <w:rsid w:val="003622BB"/>
    <w:rsid w:val="0036268A"/>
    <w:rsid w:val="00362755"/>
    <w:rsid w:val="00362997"/>
    <w:rsid w:val="00362A21"/>
    <w:rsid w:val="00362EA2"/>
    <w:rsid w:val="00362F08"/>
    <w:rsid w:val="003630BE"/>
    <w:rsid w:val="003638AB"/>
    <w:rsid w:val="003639CD"/>
    <w:rsid w:val="00363DA4"/>
    <w:rsid w:val="00363F55"/>
    <w:rsid w:val="003642F2"/>
    <w:rsid w:val="003648CD"/>
    <w:rsid w:val="00364A93"/>
    <w:rsid w:val="00364BA1"/>
    <w:rsid w:val="00364E23"/>
    <w:rsid w:val="00365124"/>
    <w:rsid w:val="003654F1"/>
    <w:rsid w:val="003657AA"/>
    <w:rsid w:val="00366512"/>
    <w:rsid w:val="003665DF"/>
    <w:rsid w:val="00366640"/>
    <w:rsid w:val="00366BDC"/>
    <w:rsid w:val="00366D74"/>
    <w:rsid w:val="00366D95"/>
    <w:rsid w:val="00366E61"/>
    <w:rsid w:val="00367183"/>
    <w:rsid w:val="00367467"/>
    <w:rsid w:val="00367500"/>
    <w:rsid w:val="003678DE"/>
    <w:rsid w:val="00367FD2"/>
    <w:rsid w:val="003702AA"/>
    <w:rsid w:val="003702DA"/>
    <w:rsid w:val="0037056D"/>
    <w:rsid w:val="00371054"/>
    <w:rsid w:val="003714FE"/>
    <w:rsid w:val="0037173E"/>
    <w:rsid w:val="00371988"/>
    <w:rsid w:val="00371FCE"/>
    <w:rsid w:val="003728EB"/>
    <w:rsid w:val="00372AB6"/>
    <w:rsid w:val="00373517"/>
    <w:rsid w:val="003737B4"/>
    <w:rsid w:val="003738A9"/>
    <w:rsid w:val="00373A73"/>
    <w:rsid w:val="00373F8B"/>
    <w:rsid w:val="003740A9"/>
    <w:rsid w:val="00374890"/>
    <w:rsid w:val="00374CA0"/>
    <w:rsid w:val="003758FA"/>
    <w:rsid w:val="00375974"/>
    <w:rsid w:val="00375B25"/>
    <w:rsid w:val="00375D61"/>
    <w:rsid w:val="00375E9F"/>
    <w:rsid w:val="00375FE6"/>
    <w:rsid w:val="00376088"/>
    <w:rsid w:val="00376136"/>
    <w:rsid w:val="0037656B"/>
    <w:rsid w:val="003769C6"/>
    <w:rsid w:val="00376A08"/>
    <w:rsid w:val="00377312"/>
    <w:rsid w:val="0037752B"/>
    <w:rsid w:val="00377575"/>
    <w:rsid w:val="0037791D"/>
    <w:rsid w:val="0037794D"/>
    <w:rsid w:val="00377FEA"/>
    <w:rsid w:val="00380EAC"/>
    <w:rsid w:val="00381885"/>
    <w:rsid w:val="00381AC9"/>
    <w:rsid w:val="00381F0A"/>
    <w:rsid w:val="003829AB"/>
    <w:rsid w:val="0038324B"/>
    <w:rsid w:val="003833A0"/>
    <w:rsid w:val="0038377F"/>
    <w:rsid w:val="00383C06"/>
    <w:rsid w:val="00383E3A"/>
    <w:rsid w:val="003843A6"/>
    <w:rsid w:val="00384985"/>
    <w:rsid w:val="00385197"/>
    <w:rsid w:val="003854B0"/>
    <w:rsid w:val="00385D1B"/>
    <w:rsid w:val="0038645A"/>
    <w:rsid w:val="00387010"/>
    <w:rsid w:val="0038792E"/>
    <w:rsid w:val="00387B60"/>
    <w:rsid w:val="00387E6D"/>
    <w:rsid w:val="00387EF7"/>
    <w:rsid w:val="00387F54"/>
    <w:rsid w:val="003902F6"/>
    <w:rsid w:val="00390745"/>
    <w:rsid w:val="003907D5"/>
    <w:rsid w:val="00390A49"/>
    <w:rsid w:val="00390BEE"/>
    <w:rsid w:val="00390FA6"/>
    <w:rsid w:val="00390FC9"/>
    <w:rsid w:val="003913B9"/>
    <w:rsid w:val="003915CA"/>
    <w:rsid w:val="0039183F"/>
    <w:rsid w:val="00391A60"/>
    <w:rsid w:val="00391C5E"/>
    <w:rsid w:val="00391E91"/>
    <w:rsid w:val="0039206B"/>
    <w:rsid w:val="00392AE8"/>
    <w:rsid w:val="00392B2B"/>
    <w:rsid w:val="00392E10"/>
    <w:rsid w:val="00392F11"/>
    <w:rsid w:val="0039303E"/>
    <w:rsid w:val="003933E0"/>
    <w:rsid w:val="00393571"/>
    <w:rsid w:val="00393708"/>
    <w:rsid w:val="00393965"/>
    <w:rsid w:val="00393B21"/>
    <w:rsid w:val="00394B1A"/>
    <w:rsid w:val="00394F6B"/>
    <w:rsid w:val="0039516A"/>
    <w:rsid w:val="00395222"/>
    <w:rsid w:val="00395B22"/>
    <w:rsid w:val="00395DDA"/>
    <w:rsid w:val="00395F28"/>
    <w:rsid w:val="00396237"/>
    <w:rsid w:val="0039655B"/>
    <w:rsid w:val="003965C2"/>
    <w:rsid w:val="00397A94"/>
    <w:rsid w:val="00397F8F"/>
    <w:rsid w:val="003A00E5"/>
    <w:rsid w:val="003A08F7"/>
    <w:rsid w:val="003A0DD0"/>
    <w:rsid w:val="003A0FD6"/>
    <w:rsid w:val="003A14F3"/>
    <w:rsid w:val="003A1840"/>
    <w:rsid w:val="003A1B39"/>
    <w:rsid w:val="003A2032"/>
    <w:rsid w:val="003A220C"/>
    <w:rsid w:val="003A26B1"/>
    <w:rsid w:val="003A2703"/>
    <w:rsid w:val="003A2A4F"/>
    <w:rsid w:val="003A55B5"/>
    <w:rsid w:val="003A5A43"/>
    <w:rsid w:val="003A608C"/>
    <w:rsid w:val="003A682C"/>
    <w:rsid w:val="003A7286"/>
    <w:rsid w:val="003A72AF"/>
    <w:rsid w:val="003A732B"/>
    <w:rsid w:val="003A74B3"/>
    <w:rsid w:val="003A74F5"/>
    <w:rsid w:val="003A79B0"/>
    <w:rsid w:val="003A79FB"/>
    <w:rsid w:val="003A7F44"/>
    <w:rsid w:val="003B037F"/>
    <w:rsid w:val="003B06D4"/>
    <w:rsid w:val="003B0CCB"/>
    <w:rsid w:val="003B0F4F"/>
    <w:rsid w:val="003B16CD"/>
    <w:rsid w:val="003B1AAB"/>
    <w:rsid w:val="003B1AFE"/>
    <w:rsid w:val="003B1B7D"/>
    <w:rsid w:val="003B323D"/>
    <w:rsid w:val="003B3240"/>
    <w:rsid w:val="003B32EA"/>
    <w:rsid w:val="003B33D5"/>
    <w:rsid w:val="003B35A9"/>
    <w:rsid w:val="003B3778"/>
    <w:rsid w:val="003B37BC"/>
    <w:rsid w:val="003B3ABE"/>
    <w:rsid w:val="003B3E22"/>
    <w:rsid w:val="003B48F5"/>
    <w:rsid w:val="003B4978"/>
    <w:rsid w:val="003B5152"/>
    <w:rsid w:val="003B52B9"/>
    <w:rsid w:val="003B548F"/>
    <w:rsid w:val="003B65E6"/>
    <w:rsid w:val="003B6A1A"/>
    <w:rsid w:val="003B6F66"/>
    <w:rsid w:val="003B7136"/>
    <w:rsid w:val="003B776F"/>
    <w:rsid w:val="003B786C"/>
    <w:rsid w:val="003C0235"/>
    <w:rsid w:val="003C04CC"/>
    <w:rsid w:val="003C08D6"/>
    <w:rsid w:val="003C0A99"/>
    <w:rsid w:val="003C0C15"/>
    <w:rsid w:val="003C119F"/>
    <w:rsid w:val="003C1230"/>
    <w:rsid w:val="003C164A"/>
    <w:rsid w:val="003C1665"/>
    <w:rsid w:val="003C19D1"/>
    <w:rsid w:val="003C1CD3"/>
    <w:rsid w:val="003C1D23"/>
    <w:rsid w:val="003C1FB8"/>
    <w:rsid w:val="003C26B0"/>
    <w:rsid w:val="003C2916"/>
    <w:rsid w:val="003C2ECC"/>
    <w:rsid w:val="003C2F25"/>
    <w:rsid w:val="003C3428"/>
    <w:rsid w:val="003C3541"/>
    <w:rsid w:val="003C377F"/>
    <w:rsid w:val="003C3A62"/>
    <w:rsid w:val="003C4324"/>
    <w:rsid w:val="003C4420"/>
    <w:rsid w:val="003C482B"/>
    <w:rsid w:val="003C5364"/>
    <w:rsid w:val="003C5654"/>
    <w:rsid w:val="003C5D2F"/>
    <w:rsid w:val="003C6082"/>
    <w:rsid w:val="003C60FF"/>
    <w:rsid w:val="003C6D08"/>
    <w:rsid w:val="003C6E25"/>
    <w:rsid w:val="003C7135"/>
    <w:rsid w:val="003C7291"/>
    <w:rsid w:val="003C729D"/>
    <w:rsid w:val="003C786E"/>
    <w:rsid w:val="003C7CCE"/>
    <w:rsid w:val="003D00E0"/>
    <w:rsid w:val="003D041C"/>
    <w:rsid w:val="003D0427"/>
    <w:rsid w:val="003D05F7"/>
    <w:rsid w:val="003D121B"/>
    <w:rsid w:val="003D1326"/>
    <w:rsid w:val="003D1748"/>
    <w:rsid w:val="003D1994"/>
    <w:rsid w:val="003D1B40"/>
    <w:rsid w:val="003D1F9A"/>
    <w:rsid w:val="003D2211"/>
    <w:rsid w:val="003D2499"/>
    <w:rsid w:val="003D287A"/>
    <w:rsid w:val="003D2C2D"/>
    <w:rsid w:val="003D2E32"/>
    <w:rsid w:val="003D307A"/>
    <w:rsid w:val="003D30F3"/>
    <w:rsid w:val="003D31A7"/>
    <w:rsid w:val="003D3335"/>
    <w:rsid w:val="003D37AE"/>
    <w:rsid w:val="003D3814"/>
    <w:rsid w:val="003D3921"/>
    <w:rsid w:val="003D399A"/>
    <w:rsid w:val="003D3B34"/>
    <w:rsid w:val="003D3E92"/>
    <w:rsid w:val="003D4813"/>
    <w:rsid w:val="003D4F82"/>
    <w:rsid w:val="003D5012"/>
    <w:rsid w:val="003D552A"/>
    <w:rsid w:val="003D5B3F"/>
    <w:rsid w:val="003D5BEA"/>
    <w:rsid w:val="003D614F"/>
    <w:rsid w:val="003D634B"/>
    <w:rsid w:val="003D656F"/>
    <w:rsid w:val="003D67E3"/>
    <w:rsid w:val="003D6AD3"/>
    <w:rsid w:val="003D6BD7"/>
    <w:rsid w:val="003D6D34"/>
    <w:rsid w:val="003D6E7D"/>
    <w:rsid w:val="003D7232"/>
    <w:rsid w:val="003D748D"/>
    <w:rsid w:val="003D76E2"/>
    <w:rsid w:val="003E0079"/>
    <w:rsid w:val="003E029F"/>
    <w:rsid w:val="003E0851"/>
    <w:rsid w:val="003E133E"/>
    <w:rsid w:val="003E1524"/>
    <w:rsid w:val="003E16AA"/>
    <w:rsid w:val="003E1904"/>
    <w:rsid w:val="003E1D6A"/>
    <w:rsid w:val="003E1EA8"/>
    <w:rsid w:val="003E2437"/>
    <w:rsid w:val="003E2A3D"/>
    <w:rsid w:val="003E2ABA"/>
    <w:rsid w:val="003E3082"/>
    <w:rsid w:val="003E3D11"/>
    <w:rsid w:val="003E3DC9"/>
    <w:rsid w:val="003E3E01"/>
    <w:rsid w:val="003E4977"/>
    <w:rsid w:val="003E5114"/>
    <w:rsid w:val="003E51A1"/>
    <w:rsid w:val="003E534A"/>
    <w:rsid w:val="003E55CD"/>
    <w:rsid w:val="003E56DE"/>
    <w:rsid w:val="003E5A8D"/>
    <w:rsid w:val="003E5ACA"/>
    <w:rsid w:val="003E606A"/>
    <w:rsid w:val="003E6078"/>
    <w:rsid w:val="003E6418"/>
    <w:rsid w:val="003E64EE"/>
    <w:rsid w:val="003E665C"/>
    <w:rsid w:val="003E667A"/>
    <w:rsid w:val="003E6B29"/>
    <w:rsid w:val="003E6DD7"/>
    <w:rsid w:val="003E734F"/>
    <w:rsid w:val="003E744A"/>
    <w:rsid w:val="003E77C8"/>
    <w:rsid w:val="003E7DAA"/>
    <w:rsid w:val="003F0621"/>
    <w:rsid w:val="003F08D6"/>
    <w:rsid w:val="003F0CF6"/>
    <w:rsid w:val="003F0D37"/>
    <w:rsid w:val="003F128D"/>
    <w:rsid w:val="003F1627"/>
    <w:rsid w:val="003F18EF"/>
    <w:rsid w:val="003F1B3E"/>
    <w:rsid w:val="003F1C56"/>
    <w:rsid w:val="003F1F94"/>
    <w:rsid w:val="003F260D"/>
    <w:rsid w:val="003F2764"/>
    <w:rsid w:val="003F28BF"/>
    <w:rsid w:val="003F320F"/>
    <w:rsid w:val="003F3225"/>
    <w:rsid w:val="003F3814"/>
    <w:rsid w:val="003F3F14"/>
    <w:rsid w:val="003F4401"/>
    <w:rsid w:val="003F4B76"/>
    <w:rsid w:val="003F4BA0"/>
    <w:rsid w:val="003F4C80"/>
    <w:rsid w:val="003F4E80"/>
    <w:rsid w:val="003F55E5"/>
    <w:rsid w:val="003F62B8"/>
    <w:rsid w:val="003F67DE"/>
    <w:rsid w:val="003F70E7"/>
    <w:rsid w:val="003F7946"/>
    <w:rsid w:val="003F7983"/>
    <w:rsid w:val="003F79DE"/>
    <w:rsid w:val="00400361"/>
    <w:rsid w:val="004008F1"/>
    <w:rsid w:val="00400D7A"/>
    <w:rsid w:val="0040131C"/>
    <w:rsid w:val="004015FA"/>
    <w:rsid w:val="00401A89"/>
    <w:rsid w:val="00401DF1"/>
    <w:rsid w:val="00401E5F"/>
    <w:rsid w:val="004024F2"/>
    <w:rsid w:val="00402A08"/>
    <w:rsid w:val="00402C53"/>
    <w:rsid w:val="00402D53"/>
    <w:rsid w:val="004036FC"/>
    <w:rsid w:val="00403A45"/>
    <w:rsid w:val="0040406F"/>
    <w:rsid w:val="00404634"/>
    <w:rsid w:val="00405102"/>
    <w:rsid w:val="00405A2B"/>
    <w:rsid w:val="00405B8E"/>
    <w:rsid w:val="004061A7"/>
    <w:rsid w:val="004062D4"/>
    <w:rsid w:val="004065F2"/>
    <w:rsid w:val="004066A2"/>
    <w:rsid w:val="0040671D"/>
    <w:rsid w:val="00406966"/>
    <w:rsid w:val="00406988"/>
    <w:rsid w:val="00406AC6"/>
    <w:rsid w:val="004071F2"/>
    <w:rsid w:val="00407DA4"/>
    <w:rsid w:val="00407F9A"/>
    <w:rsid w:val="0041012D"/>
    <w:rsid w:val="00410930"/>
    <w:rsid w:val="004109C1"/>
    <w:rsid w:val="00410E58"/>
    <w:rsid w:val="0041148E"/>
    <w:rsid w:val="004114C5"/>
    <w:rsid w:val="004115A2"/>
    <w:rsid w:val="00411B7D"/>
    <w:rsid w:val="00411C7C"/>
    <w:rsid w:val="004122C9"/>
    <w:rsid w:val="004127BC"/>
    <w:rsid w:val="0041282C"/>
    <w:rsid w:val="00412C33"/>
    <w:rsid w:val="00412F39"/>
    <w:rsid w:val="00412F45"/>
    <w:rsid w:val="00412FBA"/>
    <w:rsid w:val="0041302C"/>
    <w:rsid w:val="00413059"/>
    <w:rsid w:val="00413B2E"/>
    <w:rsid w:val="00413C42"/>
    <w:rsid w:val="00414583"/>
    <w:rsid w:val="00415514"/>
    <w:rsid w:val="0041565B"/>
    <w:rsid w:val="00415F21"/>
    <w:rsid w:val="00417409"/>
    <w:rsid w:val="004179BA"/>
    <w:rsid w:val="00417C8C"/>
    <w:rsid w:val="004204B4"/>
    <w:rsid w:val="00420B45"/>
    <w:rsid w:val="00420E5E"/>
    <w:rsid w:val="0042184E"/>
    <w:rsid w:val="00421915"/>
    <w:rsid w:val="00421F4E"/>
    <w:rsid w:val="00421F67"/>
    <w:rsid w:val="00422C69"/>
    <w:rsid w:val="00423067"/>
    <w:rsid w:val="004232B5"/>
    <w:rsid w:val="0042339D"/>
    <w:rsid w:val="004233B0"/>
    <w:rsid w:val="0042345E"/>
    <w:rsid w:val="00423563"/>
    <w:rsid w:val="004238C6"/>
    <w:rsid w:val="004239CD"/>
    <w:rsid w:val="00423B22"/>
    <w:rsid w:val="00423BA8"/>
    <w:rsid w:val="00423E1C"/>
    <w:rsid w:val="00423E7B"/>
    <w:rsid w:val="0042447E"/>
    <w:rsid w:val="004244F2"/>
    <w:rsid w:val="00424DCB"/>
    <w:rsid w:val="00424F26"/>
    <w:rsid w:val="0042585C"/>
    <w:rsid w:val="00425C65"/>
    <w:rsid w:val="00425D50"/>
    <w:rsid w:val="00426052"/>
    <w:rsid w:val="004262BB"/>
    <w:rsid w:val="00426FC8"/>
    <w:rsid w:val="004276EE"/>
    <w:rsid w:val="00427808"/>
    <w:rsid w:val="0042798E"/>
    <w:rsid w:val="00427DCE"/>
    <w:rsid w:val="004302F1"/>
    <w:rsid w:val="00430551"/>
    <w:rsid w:val="0043055B"/>
    <w:rsid w:val="004308B0"/>
    <w:rsid w:val="00430A4C"/>
    <w:rsid w:val="00431000"/>
    <w:rsid w:val="0043308C"/>
    <w:rsid w:val="004331B8"/>
    <w:rsid w:val="00433386"/>
    <w:rsid w:val="00433556"/>
    <w:rsid w:val="0043361D"/>
    <w:rsid w:val="00433887"/>
    <w:rsid w:val="00433E7F"/>
    <w:rsid w:val="00433ED9"/>
    <w:rsid w:val="00433F69"/>
    <w:rsid w:val="00434085"/>
    <w:rsid w:val="00434E3E"/>
    <w:rsid w:val="0043503F"/>
    <w:rsid w:val="0043506E"/>
    <w:rsid w:val="004354A9"/>
    <w:rsid w:val="004358D2"/>
    <w:rsid w:val="00435C06"/>
    <w:rsid w:val="00435D2E"/>
    <w:rsid w:val="00435D8D"/>
    <w:rsid w:val="004363EA"/>
    <w:rsid w:val="00436529"/>
    <w:rsid w:val="00436577"/>
    <w:rsid w:val="004376E4"/>
    <w:rsid w:val="00437869"/>
    <w:rsid w:val="00437B39"/>
    <w:rsid w:val="004400CF"/>
    <w:rsid w:val="004403F8"/>
    <w:rsid w:val="0044127D"/>
    <w:rsid w:val="00441354"/>
    <w:rsid w:val="0044135B"/>
    <w:rsid w:val="004416E3"/>
    <w:rsid w:val="00441AE1"/>
    <w:rsid w:val="0044215B"/>
    <w:rsid w:val="00442222"/>
    <w:rsid w:val="00442736"/>
    <w:rsid w:val="00442A56"/>
    <w:rsid w:val="00442C92"/>
    <w:rsid w:val="00442D2E"/>
    <w:rsid w:val="00442E33"/>
    <w:rsid w:val="0044331B"/>
    <w:rsid w:val="0044367D"/>
    <w:rsid w:val="00443733"/>
    <w:rsid w:val="004437C9"/>
    <w:rsid w:val="00443A84"/>
    <w:rsid w:val="00443B39"/>
    <w:rsid w:val="00443CF8"/>
    <w:rsid w:val="004440E3"/>
    <w:rsid w:val="00444344"/>
    <w:rsid w:val="0044687A"/>
    <w:rsid w:val="00446BCC"/>
    <w:rsid w:val="00446C07"/>
    <w:rsid w:val="0044738B"/>
    <w:rsid w:val="004475BC"/>
    <w:rsid w:val="004478DA"/>
    <w:rsid w:val="00447B3C"/>
    <w:rsid w:val="00447EB2"/>
    <w:rsid w:val="00450011"/>
    <w:rsid w:val="004501C3"/>
    <w:rsid w:val="00450704"/>
    <w:rsid w:val="00450C4D"/>
    <w:rsid w:val="00452025"/>
    <w:rsid w:val="004520FD"/>
    <w:rsid w:val="004526DF"/>
    <w:rsid w:val="00453898"/>
    <w:rsid w:val="00453F0F"/>
    <w:rsid w:val="0045413D"/>
    <w:rsid w:val="004541CF"/>
    <w:rsid w:val="004543A8"/>
    <w:rsid w:val="00454499"/>
    <w:rsid w:val="00454586"/>
    <w:rsid w:val="004548AE"/>
    <w:rsid w:val="00454DAE"/>
    <w:rsid w:val="004557E9"/>
    <w:rsid w:val="004559DF"/>
    <w:rsid w:val="00455CFA"/>
    <w:rsid w:val="00455D64"/>
    <w:rsid w:val="00455DF4"/>
    <w:rsid w:val="0045672B"/>
    <w:rsid w:val="00456A4A"/>
    <w:rsid w:val="00457A7B"/>
    <w:rsid w:val="00457CB3"/>
    <w:rsid w:val="00457FD6"/>
    <w:rsid w:val="004600A6"/>
    <w:rsid w:val="00460104"/>
    <w:rsid w:val="00460195"/>
    <w:rsid w:val="00460762"/>
    <w:rsid w:val="004608F2"/>
    <w:rsid w:val="00460A6F"/>
    <w:rsid w:val="00460F7E"/>
    <w:rsid w:val="00460F81"/>
    <w:rsid w:val="00461234"/>
    <w:rsid w:val="004612A7"/>
    <w:rsid w:val="004612F5"/>
    <w:rsid w:val="004618B1"/>
    <w:rsid w:val="00461D4D"/>
    <w:rsid w:val="00461F69"/>
    <w:rsid w:val="00462347"/>
    <w:rsid w:val="0046278E"/>
    <w:rsid w:val="00462C90"/>
    <w:rsid w:val="004631F3"/>
    <w:rsid w:val="00463593"/>
    <w:rsid w:val="004635FF"/>
    <w:rsid w:val="0046366D"/>
    <w:rsid w:val="0046369C"/>
    <w:rsid w:val="00463D06"/>
    <w:rsid w:val="00464B74"/>
    <w:rsid w:val="00464CA9"/>
    <w:rsid w:val="00465623"/>
    <w:rsid w:val="00465715"/>
    <w:rsid w:val="0046671E"/>
    <w:rsid w:val="00466BBA"/>
    <w:rsid w:val="00466C0B"/>
    <w:rsid w:val="00466D9C"/>
    <w:rsid w:val="00467331"/>
    <w:rsid w:val="00470055"/>
    <w:rsid w:val="0047030D"/>
    <w:rsid w:val="00470761"/>
    <w:rsid w:val="0047084B"/>
    <w:rsid w:val="00470853"/>
    <w:rsid w:val="00470BC4"/>
    <w:rsid w:val="00470FC1"/>
    <w:rsid w:val="004714BD"/>
    <w:rsid w:val="004719EB"/>
    <w:rsid w:val="00471E06"/>
    <w:rsid w:val="00472437"/>
    <w:rsid w:val="00472570"/>
    <w:rsid w:val="00472612"/>
    <w:rsid w:val="00472B73"/>
    <w:rsid w:val="004737C5"/>
    <w:rsid w:val="00473940"/>
    <w:rsid w:val="00473959"/>
    <w:rsid w:val="00473CBC"/>
    <w:rsid w:val="00473D2A"/>
    <w:rsid w:val="00473F4F"/>
    <w:rsid w:val="00473F6A"/>
    <w:rsid w:val="004744D9"/>
    <w:rsid w:val="0047494E"/>
    <w:rsid w:val="004749C7"/>
    <w:rsid w:val="00474C49"/>
    <w:rsid w:val="00474CE5"/>
    <w:rsid w:val="004751E1"/>
    <w:rsid w:val="00475510"/>
    <w:rsid w:val="0047563F"/>
    <w:rsid w:val="004756CF"/>
    <w:rsid w:val="0047594B"/>
    <w:rsid w:val="00475AF5"/>
    <w:rsid w:val="00475D72"/>
    <w:rsid w:val="00475EA7"/>
    <w:rsid w:val="00476763"/>
    <w:rsid w:val="004772C9"/>
    <w:rsid w:val="0047787F"/>
    <w:rsid w:val="00480654"/>
    <w:rsid w:val="004806F2"/>
    <w:rsid w:val="004807CD"/>
    <w:rsid w:val="004809FD"/>
    <w:rsid w:val="00480ADC"/>
    <w:rsid w:val="00480D69"/>
    <w:rsid w:val="00481AC5"/>
    <w:rsid w:val="00481DBB"/>
    <w:rsid w:val="004820B8"/>
    <w:rsid w:val="00482316"/>
    <w:rsid w:val="00482DBF"/>
    <w:rsid w:val="004835D7"/>
    <w:rsid w:val="004839FF"/>
    <w:rsid w:val="00483DFF"/>
    <w:rsid w:val="00484161"/>
    <w:rsid w:val="00484396"/>
    <w:rsid w:val="00484544"/>
    <w:rsid w:val="00484750"/>
    <w:rsid w:val="00484AD3"/>
    <w:rsid w:val="00484BBF"/>
    <w:rsid w:val="004851BD"/>
    <w:rsid w:val="004851E0"/>
    <w:rsid w:val="00485681"/>
    <w:rsid w:val="0048581C"/>
    <w:rsid w:val="004858EF"/>
    <w:rsid w:val="00485A50"/>
    <w:rsid w:val="00485C9B"/>
    <w:rsid w:val="004860DE"/>
    <w:rsid w:val="00486267"/>
    <w:rsid w:val="004862CC"/>
    <w:rsid w:val="00486D7E"/>
    <w:rsid w:val="00486F9F"/>
    <w:rsid w:val="00487212"/>
    <w:rsid w:val="00487DDB"/>
    <w:rsid w:val="00489EB0"/>
    <w:rsid w:val="00490187"/>
    <w:rsid w:val="00490188"/>
    <w:rsid w:val="00490296"/>
    <w:rsid w:val="00490331"/>
    <w:rsid w:val="0049092F"/>
    <w:rsid w:val="00490D3B"/>
    <w:rsid w:val="004915F2"/>
    <w:rsid w:val="00491669"/>
    <w:rsid w:val="004916B0"/>
    <w:rsid w:val="004916B5"/>
    <w:rsid w:val="0049183C"/>
    <w:rsid w:val="004919C5"/>
    <w:rsid w:val="00491AAA"/>
    <w:rsid w:val="00491E27"/>
    <w:rsid w:val="004924EC"/>
    <w:rsid w:val="004925F3"/>
    <w:rsid w:val="00492886"/>
    <w:rsid w:val="004928EF"/>
    <w:rsid w:val="00492B76"/>
    <w:rsid w:val="00492DAB"/>
    <w:rsid w:val="0049313F"/>
    <w:rsid w:val="004933C7"/>
    <w:rsid w:val="0049360F"/>
    <w:rsid w:val="004938D3"/>
    <w:rsid w:val="00493A9C"/>
    <w:rsid w:val="00493E6C"/>
    <w:rsid w:val="0049414D"/>
    <w:rsid w:val="0049442C"/>
    <w:rsid w:val="00494620"/>
    <w:rsid w:val="004949F1"/>
    <w:rsid w:val="00494B93"/>
    <w:rsid w:val="004952A4"/>
    <w:rsid w:val="004961C8"/>
    <w:rsid w:val="00496D4B"/>
    <w:rsid w:val="00496F69"/>
    <w:rsid w:val="00497579"/>
    <w:rsid w:val="004975A0"/>
    <w:rsid w:val="004976B3"/>
    <w:rsid w:val="00497D04"/>
    <w:rsid w:val="004A035A"/>
    <w:rsid w:val="004A0412"/>
    <w:rsid w:val="004A055E"/>
    <w:rsid w:val="004A06CF"/>
    <w:rsid w:val="004A0C71"/>
    <w:rsid w:val="004A0CCF"/>
    <w:rsid w:val="004A12C6"/>
    <w:rsid w:val="004A1427"/>
    <w:rsid w:val="004A188A"/>
    <w:rsid w:val="004A1B5C"/>
    <w:rsid w:val="004A1CE6"/>
    <w:rsid w:val="004A1D16"/>
    <w:rsid w:val="004A2B2D"/>
    <w:rsid w:val="004A2F27"/>
    <w:rsid w:val="004A2FC5"/>
    <w:rsid w:val="004A313E"/>
    <w:rsid w:val="004A3233"/>
    <w:rsid w:val="004A353B"/>
    <w:rsid w:val="004A38CC"/>
    <w:rsid w:val="004A3D2E"/>
    <w:rsid w:val="004A4D3B"/>
    <w:rsid w:val="004A4D88"/>
    <w:rsid w:val="004A4E29"/>
    <w:rsid w:val="004A4F93"/>
    <w:rsid w:val="004A50B0"/>
    <w:rsid w:val="004A50C4"/>
    <w:rsid w:val="004A58FA"/>
    <w:rsid w:val="004A60DF"/>
    <w:rsid w:val="004A640F"/>
    <w:rsid w:val="004A6CFD"/>
    <w:rsid w:val="004A7D6F"/>
    <w:rsid w:val="004A7D7A"/>
    <w:rsid w:val="004B03F5"/>
    <w:rsid w:val="004B049F"/>
    <w:rsid w:val="004B0666"/>
    <w:rsid w:val="004B08BC"/>
    <w:rsid w:val="004B158E"/>
    <w:rsid w:val="004B16E3"/>
    <w:rsid w:val="004B1A23"/>
    <w:rsid w:val="004B1AA4"/>
    <w:rsid w:val="004B20C0"/>
    <w:rsid w:val="004B2337"/>
    <w:rsid w:val="004B2437"/>
    <w:rsid w:val="004B2499"/>
    <w:rsid w:val="004B2597"/>
    <w:rsid w:val="004B2637"/>
    <w:rsid w:val="004B271A"/>
    <w:rsid w:val="004B2A91"/>
    <w:rsid w:val="004B2ACF"/>
    <w:rsid w:val="004B2EC0"/>
    <w:rsid w:val="004B2ECF"/>
    <w:rsid w:val="004B2FB9"/>
    <w:rsid w:val="004B3054"/>
    <w:rsid w:val="004B361A"/>
    <w:rsid w:val="004B36BD"/>
    <w:rsid w:val="004B50C0"/>
    <w:rsid w:val="004B518E"/>
    <w:rsid w:val="004B52E6"/>
    <w:rsid w:val="004B592E"/>
    <w:rsid w:val="004B59E0"/>
    <w:rsid w:val="004B5FEA"/>
    <w:rsid w:val="004B6286"/>
    <w:rsid w:val="004B672C"/>
    <w:rsid w:val="004B70CE"/>
    <w:rsid w:val="004B732B"/>
    <w:rsid w:val="004B761A"/>
    <w:rsid w:val="004B7B5F"/>
    <w:rsid w:val="004B7C06"/>
    <w:rsid w:val="004B7C26"/>
    <w:rsid w:val="004C050C"/>
    <w:rsid w:val="004C09EE"/>
    <w:rsid w:val="004C0A72"/>
    <w:rsid w:val="004C0F8A"/>
    <w:rsid w:val="004C100D"/>
    <w:rsid w:val="004C1262"/>
    <w:rsid w:val="004C1472"/>
    <w:rsid w:val="004C1562"/>
    <w:rsid w:val="004C1C53"/>
    <w:rsid w:val="004C1D23"/>
    <w:rsid w:val="004C20B5"/>
    <w:rsid w:val="004C2928"/>
    <w:rsid w:val="004C29CE"/>
    <w:rsid w:val="004C2B68"/>
    <w:rsid w:val="004C330C"/>
    <w:rsid w:val="004C3355"/>
    <w:rsid w:val="004C373D"/>
    <w:rsid w:val="004C4968"/>
    <w:rsid w:val="004C50CB"/>
    <w:rsid w:val="004C535F"/>
    <w:rsid w:val="004C564D"/>
    <w:rsid w:val="004C5767"/>
    <w:rsid w:val="004C5C35"/>
    <w:rsid w:val="004C60FF"/>
    <w:rsid w:val="004C61B5"/>
    <w:rsid w:val="004C67BF"/>
    <w:rsid w:val="004C6B1F"/>
    <w:rsid w:val="004C7278"/>
    <w:rsid w:val="004C7F4E"/>
    <w:rsid w:val="004D02CF"/>
    <w:rsid w:val="004D037A"/>
    <w:rsid w:val="004D05BF"/>
    <w:rsid w:val="004D07B4"/>
    <w:rsid w:val="004D0BA8"/>
    <w:rsid w:val="004D0D9B"/>
    <w:rsid w:val="004D0EF0"/>
    <w:rsid w:val="004D1E59"/>
    <w:rsid w:val="004D201E"/>
    <w:rsid w:val="004D2157"/>
    <w:rsid w:val="004D2445"/>
    <w:rsid w:val="004D2888"/>
    <w:rsid w:val="004D2AE6"/>
    <w:rsid w:val="004D2DB9"/>
    <w:rsid w:val="004D34AF"/>
    <w:rsid w:val="004D3E25"/>
    <w:rsid w:val="004D3F10"/>
    <w:rsid w:val="004D3FC4"/>
    <w:rsid w:val="004D3FCF"/>
    <w:rsid w:val="004D4302"/>
    <w:rsid w:val="004D4596"/>
    <w:rsid w:val="004D4597"/>
    <w:rsid w:val="004D4840"/>
    <w:rsid w:val="004D4E37"/>
    <w:rsid w:val="004D50CA"/>
    <w:rsid w:val="004D589F"/>
    <w:rsid w:val="004D5903"/>
    <w:rsid w:val="004D5973"/>
    <w:rsid w:val="004D5B06"/>
    <w:rsid w:val="004D5E98"/>
    <w:rsid w:val="004D610D"/>
    <w:rsid w:val="004D6261"/>
    <w:rsid w:val="004D6645"/>
    <w:rsid w:val="004D6667"/>
    <w:rsid w:val="004D66A3"/>
    <w:rsid w:val="004D670F"/>
    <w:rsid w:val="004D6836"/>
    <w:rsid w:val="004D6B31"/>
    <w:rsid w:val="004D6B73"/>
    <w:rsid w:val="004D7AFE"/>
    <w:rsid w:val="004D7E39"/>
    <w:rsid w:val="004E0015"/>
    <w:rsid w:val="004E002E"/>
    <w:rsid w:val="004E043B"/>
    <w:rsid w:val="004E0E71"/>
    <w:rsid w:val="004E1092"/>
    <w:rsid w:val="004E221F"/>
    <w:rsid w:val="004E2314"/>
    <w:rsid w:val="004E24B3"/>
    <w:rsid w:val="004E2593"/>
    <w:rsid w:val="004E2909"/>
    <w:rsid w:val="004E2F4A"/>
    <w:rsid w:val="004E312A"/>
    <w:rsid w:val="004E3B17"/>
    <w:rsid w:val="004E3BD8"/>
    <w:rsid w:val="004E4421"/>
    <w:rsid w:val="004E44D3"/>
    <w:rsid w:val="004E4D81"/>
    <w:rsid w:val="004E538E"/>
    <w:rsid w:val="004E54B3"/>
    <w:rsid w:val="004E5772"/>
    <w:rsid w:val="004E5B74"/>
    <w:rsid w:val="004E6238"/>
    <w:rsid w:val="004E62F5"/>
    <w:rsid w:val="004E65EF"/>
    <w:rsid w:val="004E6B38"/>
    <w:rsid w:val="004E7398"/>
    <w:rsid w:val="004E756D"/>
    <w:rsid w:val="004E7697"/>
    <w:rsid w:val="004E7EC2"/>
    <w:rsid w:val="004F002D"/>
    <w:rsid w:val="004F0153"/>
    <w:rsid w:val="004F0CEA"/>
    <w:rsid w:val="004F15CD"/>
    <w:rsid w:val="004F164F"/>
    <w:rsid w:val="004F17E6"/>
    <w:rsid w:val="004F1ADD"/>
    <w:rsid w:val="004F1F25"/>
    <w:rsid w:val="004F245F"/>
    <w:rsid w:val="004F24B9"/>
    <w:rsid w:val="004F2642"/>
    <w:rsid w:val="004F2A07"/>
    <w:rsid w:val="004F2DAD"/>
    <w:rsid w:val="004F3BC3"/>
    <w:rsid w:val="004F3C40"/>
    <w:rsid w:val="004F4A83"/>
    <w:rsid w:val="004F4EDD"/>
    <w:rsid w:val="004F51C2"/>
    <w:rsid w:val="004F648B"/>
    <w:rsid w:val="004F6AF6"/>
    <w:rsid w:val="004F6D29"/>
    <w:rsid w:val="004F6FA8"/>
    <w:rsid w:val="004F7A07"/>
    <w:rsid w:val="004F7EA0"/>
    <w:rsid w:val="0050094D"/>
    <w:rsid w:val="00500B07"/>
    <w:rsid w:val="005011CE"/>
    <w:rsid w:val="005011F2"/>
    <w:rsid w:val="005017A4"/>
    <w:rsid w:val="00501A68"/>
    <w:rsid w:val="00501BC6"/>
    <w:rsid w:val="00501CC5"/>
    <w:rsid w:val="00502B19"/>
    <w:rsid w:val="00502ECA"/>
    <w:rsid w:val="00502F19"/>
    <w:rsid w:val="00503406"/>
    <w:rsid w:val="00503A86"/>
    <w:rsid w:val="00503CA5"/>
    <w:rsid w:val="00503EE6"/>
    <w:rsid w:val="005042E5"/>
    <w:rsid w:val="005044DB"/>
    <w:rsid w:val="00504919"/>
    <w:rsid w:val="00504E92"/>
    <w:rsid w:val="00505732"/>
    <w:rsid w:val="005057E2"/>
    <w:rsid w:val="00505F70"/>
    <w:rsid w:val="005064D8"/>
    <w:rsid w:val="005065C2"/>
    <w:rsid w:val="005065FC"/>
    <w:rsid w:val="005068CC"/>
    <w:rsid w:val="00506AC7"/>
    <w:rsid w:val="00506F34"/>
    <w:rsid w:val="00507182"/>
    <w:rsid w:val="005071B1"/>
    <w:rsid w:val="005072EC"/>
    <w:rsid w:val="005073E9"/>
    <w:rsid w:val="005077CB"/>
    <w:rsid w:val="005105E5"/>
    <w:rsid w:val="00510853"/>
    <w:rsid w:val="005108A6"/>
    <w:rsid w:val="00510910"/>
    <w:rsid w:val="00510B95"/>
    <w:rsid w:val="00510BAA"/>
    <w:rsid w:val="00510D91"/>
    <w:rsid w:val="00510E49"/>
    <w:rsid w:val="00510F57"/>
    <w:rsid w:val="0051121C"/>
    <w:rsid w:val="00511470"/>
    <w:rsid w:val="0051164F"/>
    <w:rsid w:val="005116F7"/>
    <w:rsid w:val="005117E4"/>
    <w:rsid w:val="00511E63"/>
    <w:rsid w:val="00511EE4"/>
    <w:rsid w:val="0051226C"/>
    <w:rsid w:val="00512863"/>
    <w:rsid w:val="005128DC"/>
    <w:rsid w:val="005129E0"/>
    <w:rsid w:val="00512B27"/>
    <w:rsid w:val="005131AB"/>
    <w:rsid w:val="005134BC"/>
    <w:rsid w:val="00514334"/>
    <w:rsid w:val="00514EBC"/>
    <w:rsid w:val="00515716"/>
    <w:rsid w:val="0051586B"/>
    <w:rsid w:val="0051590B"/>
    <w:rsid w:val="00515CA3"/>
    <w:rsid w:val="005160BD"/>
    <w:rsid w:val="005160EC"/>
    <w:rsid w:val="0051628D"/>
    <w:rsid w:val="0051655A"/>
    <w:rsid w:val="00516C01"/>
    <w:rsid w:val="00516E21"/>
    <w:rsid w:val="005172C9"/>
    <w:rsid w:val="0052023C"/>
    <w:rsid w:val="0052045D"/>
    <w:rsid w:val="00520699"/>
    <w:rsid w:val="00520789"/>
    <w:rsid w:val="00520980"/>
    <w:rsid w:val="00521228"/>
    <w:rsid w:val="00521451"/>
    <w:rsid w:val="00521CC6"/>
    <w:rsid w:val="00521F6B"/>
    <w:rsid w:val="005224E1"/>
    <w:rsid w:val="0052276A"/>
    <w:rsid w:val="00522833"/>
    <w:rsid w:val="00522874"/>
    <w:rsid w:val="005229AA"/>
    <w:rsid w:val="005234DC"/>
    <w:rsid w:val="005237C7"/>
    <w:rsid w:val="00523B75"/>
    <w:rsid w:val="00523C48"/>
    <w:rsid w:val="00523EFA"/>
    <w:rsid w:val="005242ED"/>
    <w:rsid w:val="00524AA0"/>
    <w:rsid w:val="0052539F"/>
    <w:rsid w:val="00525CBE"/>
    <w:rsid w:val="00525FD6"/>
    <w:rsid w:val="005267C4"/>
    <w:rsid w:val="00526DA7"/>
    <w:rsid w:val="00527501"/>
    <w:rsid w:val="00527E28"/>
    <w:rsid w:val="0053037F"/>
    <w:rsid w:val="005305BF"/>
    <w:rsid w:val="005305F5"/>
    <w:rsid w:val="00530723"/>
    <w:rsid w:val="00530FF9"/>
    <w:rsid w:val="0053122E"/>
    <w:rsid w:val="0053164D"/>
    <w:rsid w:val="0053171D"/>
    <w:rsid w:val="00531B55"/>
    <w:rsid w:val="00531C81"/>
    <w:rsid w:val="005321C5"/>
    <w:rsid w:val="00532CB8"/>
    <w:rsid w:val="0053317E"/>
    <w:rsid w:val="005335A9"/>
    <w:rsid w:val="00533954"/>
    <w:rsid w:val="00533AB0"/>
    <w:rsid w:val="005348B1"/>
    <w:rsid w:val="00534E94"/>
    <w:rsid w:val="005350A6"/>
    <w:rsid w:val="005355A5"/>
    <w:rsid w:val="00535B1E"/>
    <w:rsid w:val="00535DDA"/>
    <w:rsid w:val="00535E7E"/>
    <w:rsid w:val="00535F46"/>
    <w:rsid w:val="0053607D"/>
    <w:rsid w:val="00536089"/>
    <w:rsid w:val="005362C8"/>
    <w:rsid w:val="00536C5F"/>
    <w:rsid w:val="00536D51"/>
    <w:rsid w:val="00536E16"/>
    <w:rsid w:val="005373D2"/>
    <w:rsid w:val="005377E8"/>
    <w:rsid w:val="0053786B"/>
    <w:rsid w:val="00537A05"/>
    <w:rsid w:val="00537BCC"/>
    <w:rsid w:val="00537D5E"/>
    <w:rsid w:val="0054005A"/>
    <w:rsid w:val="00540AD2"/>
    <w:rsid w:val="00540B65"/>
    <w:rsid w:val="00541D40"/>
    <w:rsid w:val="00541EA3"/>
    <w:rsid w:val="00542465"/>
    <w:rsid w:val="005427ED"/>
    <w:rsid w:val="00542F68"/>
    <w:rsid w:val="00542F7C"/>
    <w:rsid w:val="00543136"/>
    <w:rsid w:val="00543705"/>
    <w:rsid w:val="005438C4"/>
    <w:rsid w:val="00543C3B"/>
    <w:rsid w:val="00543FA4"/>
    <w:rsid w:val="005442A8"/>
    <w:rsid w:val="00545275"/>
    <w:rsid w:val="00545404"/>
    <w:rsid w:val="00545A12"/>
    <w:rsid w:val="00545E33"/>
    <w:rsid w:val="005463B9"/>
    <w:rsid w:val="00546431"/>
    <w:rsid w:val="005464E7"/>
    <w:rsid w:val="00546B1F"/>
    <w:rsid w:val="00546C7B"/>
    <w:rsid w:val="00546E40"/>
    <w:rsid w:val="00547462"/>
    <w:rsid w:val="00547E0E"/>
    <w:rsid w:val="00550181"/>
    <w:rsid w:val="005501E2"/>
    <w:rsid w:val="00550532"/>
    <w:rsid w:val="005507B8"/>
    <w:rsid w:val="00550980"/>
    <w:rsid w:val="00550C24"/>
    <w:rsid w:val="00550DEB"/>
    <w:rsid w:val="00550E0E"/>
    <w:rsid w:val="00551196"/>
    <w:rsid w:val="005518D2"/>
    <w:rsid w:val="00551941"/>
    <w:rsid w:val="00551E13"/>
    <w:rsid w:val="0055283C"/>
    <w:rsid w:val="0055335C"/>
    <w:rsid w:val="0055383C"/>
    <w:rsid w:val="00553F37"/>
    <w:rsid w:val="00554122"/>
    <w:rsid w:val="005545E0"/>
    <w:rsid w:val="005545FF"/>
    <w:rsid w:val="00554B6B"/>
    <w:rsid w:val="00554E67"/>
    <w:rsid w:val="00555C11"/>
    <w:rsid w:val="00556688"/>
    <w:rsid w:val="00556C5F"/>
    <w:rsid w:val="0055701C"/>
    <w:rsid w:val="0055739F"/>
    <w:rsid w:val="005578EE"/>
    <w:rsid w:val="00557B8B"/>
    <w:rsid w:val="005603BB"/>
    <w:rsid w:val="0056057E"/>
    <w:rsid w:val="0056096B"/>
    <w:rsid w:val="00560D52"/>
    <w:rsid w:val="00560EEE"/>
    <w:rsid w:val="0056146F"/>
    <w:rsid w:val="00561496"/>
    <w:rsid w:val="005624F3"/>
    <w:rsid w:val="005627AB"/>
    <w:rsid w:val="00562B24"/>
    <w:rsid w:val="005632F0"/>
    <w:rsid w:val="00563469"/>
    <w:rsid w:val="00563F3B"/>
    <w:rsid w:val="00564121"/>
    <w:rsid w:val="00564632"/>
    <w:rsid w:val="0056493C"/>
    <w:rsid w:val="005649A1"/>
    <w:rsid w:val="0056501B"/>
    <w:rsid w:val="005652E6"/>
    <w:rsid w:val="005653DA"/>
    <w:rsid w:val="005659DF"/>
    <w:rsid w:val="00565F05"/>
    <w:rsid w:val="00566419"/>
    <w:rsid w:val="0056641A"/>
    <w:rsid w:val="00566445"/>
    <w:rsid w:val="0056678F"/>
    <w:rsid w:val="00566938"/>
    <w:rsid w:val="00566B8C"/>
    <w:rsid w:val="00566C1B"/>
    <w:rsid w:val="00566FEF"/>
    <w:rsid w:val="00567420"/>
    <w:rsid w:val="0056773C"/>
    <w:rsid w:val="00567CC4"/>
    <w:rsid w:val="00567F18"/>
    <w:rsid w:val="0057005C"/>
    <w:rsid w:val="0057019D"/>
    <w:rsid w:val="0057038D"/>
    <w:rsid w:val="00570572"/>
    <w:rsid w:val="00570A85"/>
    <w:rsid w:val="00570AA6"/>
    <w:rsid w:val="0057101F"/>
    <w:rsid w:val="005714F0"/>
    <w:rsid w:val="00571514"/>
    <w:rsid w:val="0057165A"/>
    <w:rsid w:val="00571D93"/>
    <w:rsid w:val="00571FE4"/>
    <w:rsid w:val="00572A00"/>
    <w:rsid w:val="00572E56"/>
    <w:rsid w:val="00573506"/>
    <w:rsid w:val="005741DD"/>
    <w:rsid w:val="00574885"/>
    <w:rsid w:val="00574892"/>
    <w:rsid w:val="005749DA"/>
    <w:rsid w:val="005752EC"/>
    <w:rsid w:val="0057543D"/>
    <w:rsid w:val="005754B8"/>
    <w:rsid w:val="005756F6"/>
    <w:rsid w:val="005758D0"/>
    <w:rsid w:val="00575A0E"/>
    <w:rsid w:val="00575A82"/>
    <w:rsid w:val="00575A9C"/>
    <w:rsid w:val="00575FFE"/>
    <w:rsid w:val="005760DE"/>
    <w:rsid w:val="0057675C"/>
    <w:rsid w:val="0057684C"/>
    <w:rsid w:val="005768A8"/>
    <w:rsid w:val="00576BCA"/>
    <w:rsid w:val="00576F01"/>
    <w:rsid w:val="005771C0"/>
    <w:rsid w:val="00577658"/>
    <w:rsid w:val="0057789F"/>
    <w:rsid w:val="00577B2E"/>
    <w:rsid w:val="00577D6B"/>
    <w:rsid w:val="0058031F"/>
    <w:rsid w:val="00580816"/>
    <w:rsid w:val="005809F1"/>
    <w:rsid w:val="00581252"/>
    <w:rsid w:val="00581308"/>
    <w:rsid w:val="0058153F"/>
    <w:rsid w:val="005815A7"/>
    <w:rsid w:val="00581788"/>
    <w:rsid w:val="005821CD"/>
    <w:rsid w:val="0058234A"/>
    <w:rsid w:val="0058266D"/>
    <w:rsid w:val="00582925"/>
    <w:rsid w:val="005832D5"/>
    <w:rsid w:val="00583C9B"/>
    <w:rsid w:val="005847A5"/>
    <w:rsid w:val="0058482B"/>
    <w:rsid w:val="00585745"/>
    <w:rsid w:val="00586170"/>
    <w:rsid w:val="00586AF6"/>
    <w:rsid w:val="00586CEE"/>
    <w:rsid w:val="005874E0"/>
    <w:rsid w:val="00587A2A"/>
    <w:rsid w:val="00587C17"/>
    <w:rsid w:val="00587EA6"/>
    <w:rsid w:val="0059033A"/>
    <w:rsid w:val="005913CE"/>
    <w:rsid w:val="00591771"/>
    <w:rsid w:val="00591B0E"/>
    <w:rsid w:val="00592157"/>
    <w:rsid w:val="0059228B"/>
    <w:rsid w:val="00592628"/>
    <w:rsid w:val="005926A8"/>
    <w:rsid w:val="005929E6"/>
    <w:rsid w:val="005930B9"/>
    <w:rsid w:val="005932C6"/>
    <w:rsid w:val="005938FC"/>
    <w:rsid w:val="00593EB1"/>
    <w:rsid w:val="00593F1B"/>
    <w:rsid w:val="0059404B"/>
    <w:rsid w:val="005944D7"/>
    <w:rsid w:val="0059481E"/>
    <w:rsid w:val="00594942"/>
    <w:rsid w:val="005949B4"/>
    <w:rsid w:val="00594BD3"/>
    <w:rsid w:val="00594D12"/>
    <w:rsid w:val="005954AE"/>
    <w:rsid w:val="0059560B"/>
    <w:rsid w:val="00595BEC"/>
    <w:rsid w:val="00596122"/>
    <w:rsid w:val="00596473"/>
    <w:rsid w:val="00596612"/>
    <w:rsid w:val="00596BDF"/>
    <w:rsid w:val="00597373"/>
    <w:rsid w:val="00597A01"/>
    <w:rsid w:val="00597D2B"/>
    <w:rsid w:val="005A087F"/>
    <w:rsid w:val="005A0983"/>
    <w:rsid w:val="005A0ECD"/>
    <w:rsid w:val="005A104B"/>
    <w:rsid w:val="005A1106"/>
    <w:rsid w:val="005A11AE"/>
    <w:rsid w:val="005A1544"/>
    <w:rsid w:val="005A181C"/>
    <w:rsid w:val="005A190B"/>
    <w:rsid w:val="005A19C3"/>
    <w:rsid w:val="005A1A87"/>
    <w:rsid w:val="005A26AE"/>
    <w:rsid w:val="005A2A4C"/>
    <w:rsid w:val="005A2B38"/>
    <w:rsid w:val="005A333D"/>
    <w:rsid w:val="005A38F7"/>
    <w:rsid w:val="005A3D43"/>
    <w:rsid w:val="005A424C"/>
    <w:rsid w:val="005A45E5"/>
    <w:rsid w:val="005A49EC"/>
    <w:rsid w:val="005A4BAA"/>
    <w:rsid w:val="005A4BB1"/>
    <w:rsid w:val="005A4EDD"/>
    <w:rsid w:val="005A54A1"/>
    <w:rsid w:val="005A5A72"/>
    <w:rsid w:val="005A5A9F"/>
    <w:rsid w:val="005A5EAE"/>
    <w:rsid w:val="005A6086"/>
    <w:rsid w:val="005A6801"/>
    <w:rsid w:val="005A69EB"/>
    <w:rsid w:val="005A72E3"/>
    <w:rsid w:val="005A74CA"/>
    <w:rsid w:val="005A7527"/>
    <w:rsid w:val="005A7559"/>
    <w:rsid w:val="005B07FC"/>
    <w:rsid w:val="005B0B59"/>
    <w:rsid w:val="005B0FF5"/>
    <w:rsid w:val="005B14CC"/>
    <w:rsid w:val="005B169E"/>
    <w:rsid w:val="005B17BF"/>
    <w:rsid w:val="005B197B"/>
    <w:rsid w:val="005B22DD"/>
    <w:rsid w:val="005B241C"/>
    <w:rsid w:val="005B26E6"/>
    <w:rsid w:val="005B2997"/>
    <w:rsid w:val="005B29AB"/>
    <w:rsid w:val="005B29CE"/>
    <w:rsid w:val="005B2F8B"/>
    <w:rsid w:val="005B39A2"/>
    <w:rsid w:val="005B3B87"/>
    <w:rsid w:val="005B4210"/>
    <w:rsid w:val="005B4508"/>
    <w:rsid w:val="005B48A5"/>
    <w:rsid w:val="005B4D91"/>
    <w:rsid w:val="005B522D"/>
    <w:rsid w:val="005B57DA"/>
    <w:rsid w:val="005B5C57"/>
    <w:rsid w:val="005B5F9A"/>
    <w:rsid w:val="005B5FF5"/>
    <w:rsid w:val="005B7CF7"/>
    <w:rsid w:val="005C0052"/>
    <w:rsid w:val="005C00D4"/>
    <w:rsid w:val="005C0269"/>
    <w:rsid w:val="005C0EA1"/>
    <w:rsid w:val="005C1186"/>
    <w:rsid w:val="005C15D0"/>
    <w:rsid w:val="005C1C49"/>
    <w:rsid w:val="005C1E3D"/>
    <w:rsid w:val="005C2A63"/>
    <w:rsid w:val="005C2D39"/>
    <w:rsid w:val="005C2E85"/>
    <w:rsid w:val="005C30FD"/>
    <w:rsid w:val="005C3552"/>
    <w:rsid w:val="005C364C"/>
    <w:rsid w:val="005C3B31"/>
    <w:rsid w:val="005C3B56"/>
    <w:rsid w:val="005C3CBB"/>
    <w:rsid w:val="005C3D4E"/>
    <w:rsid w:val="005C3DFF"/>
    <w:rsid w:val="005C3E23"/>
    <w:rsid w:val="005C423F"/>
    <w:rsid w:val="005C4642"/>
    <w:rsid w:val="005C46CC"/>
    <w:rsid w:val="005C4709"/>
    <w:rsid w:val="005C4AA4"/>
    <w:rsid w:val="005C50C6"/>
    <w:rsid w:val="005C5A18"/>
    <w:rsid w:val="005C5AC3"/>
    <w:rsid w:val="005C6048"/>
    <w:rsid w:val="005C6CB0"/>
    <w:rsid w:val="005C6CDF"/>
    <w:rsid w:val="005D0754"/>
    <w:rsid w:val="005D0EBD"/>
    <w:rsid w:val="005D112D"/>
    <w:rsid w:val="005D11F4"/>
    <w:rsid w:val="005D1302"/>
    <w:rsid w:val="005D1686"/>
    <w:rsid w:val="005D1D4E"/>
    <w:rsid w:val="005D21A2"/>
    <w:rsid w:val="005D237A"/>
    <w:rsid w:val="005D2C6A"/>
    <w:rsid w:val="005D2E1A"/>
    <w:rsid w:val="005D2FD2"/>
    <w:rsid w:val="005D31AC"/>
    <w:rsid w:val="005D3523"/>
    <w:rsid w:val="005D3556"/>
    <w:rsid w:val="005D39E2"/>
    <w:rsid w:val="005D3ECD"/>
    <w:rsid w:val="005D3F1C"/>
    <w:rsid w:val="005D4250"/>
    <w:rsid w:val="005D47EF"/>
    <w:rsid w:val="005D4F04"/>
    <w:rsid w:val="005D4F17"/>
    <w:rsid w:val="005D4F48"/>
    <w:rsid w:val="005D5555"/>
    <w:rsid w:val="005D593F"/>
    <w:rsid w:val="005D5B76"/>
    <w:rsid w:val="005D5E65"/>
    <w:rsid w:val="005D6180"/>
    <w:rsid w:val="005D62EB"/>
    <w:rsid w:val="005D6410"/>
    <w:rsid w:val="005D7138"/>
    <w:rsid w:val="005D75D4"/>
    <w:rsid w:val="005D7841"/>
    <w:rsid w:val="005D7DE6"/>
    <w:rsid w:val="005E0381"/>
    <w:rsid w:val="005E053B"/>
    <w:rsid w:val="005E0B1E"/>
    <w:rsid w:val="005E11F2"/>
    <w:rsid w:val="005E1229"/>
    <w:rsid w:val="005E1579"/>
    <w:rsid w:val="005E1819"/>
    <w:rsid w:val="005E18B5"/>
    <w:rsid w:val="005E1A84"/>
    <w:rsid w:val="005E1AD2"/>
    <w:rsid w:val="005E1E47"/>
    <w:rsid w:val="005E2257"/>
    <w:rsid w:val="005E255D"/>
    <w:rsid w:val="005E2C65"/>
    <w:rsid w:val="005E2EDF"/>
    <w:rsid w:val="005E2FEA"/>
    <w:rsid w:val="005E3645"/>
    <w:rsid w:val="005E3A25"/>
    <w:rsid w:val="005E3C17"/>
    <w:rsid w:val="005E3CC2"/>
    <w:rsid w:val="005E443B"/>
    <w:rsid w:val="005E4A70"/>
    <w:rsid w:val="005E4EAB"/>
    <w:rsid w:val="005E4FBC"/>
    <w:rsid w:val="005E550D"/>
    <w:rsid w:val="005E5916"/>
    <w:rsid w:val="005E5ABC"/>
    <w:rsid w:val="005E631F"/>
    <w:rsid w:val="005E696B"/>
    <w:rsid w:val="005E6E6A"/>
    <w:rsid w:val="005E71B3"/>
    <w:rsid w:val="005E74A4"/>
    <w:rsid w:val="005E75E1"/>
    <w:rsid w:val="005E7690"/>
    <w:rsid w:val="005E77D8"/>
    <w:rsid w:val="005F02B7"/>
    <w:rsid w:val="005F07E3"/>
    <w:rsid w:val="005F0E27"/>
    <w:rsid w:val="005F0FC7"/>
    <w:rsid w:val="005F1107"/>
    <w:rsid w:val="005F1929"/>
    <w:rsid w:val="005F1A1C"/>
    <w:rsid w:val="005F1D7F"/>
    <w:rsid w:val="005F238C"/>
    <w:rsid w:val="005F248E"/>
    <w:rsid w:val="005F250B"/>
    <w:rsid w:val="005F2F65"/>
    <w:rsid w:val="005F331E"/>
    <w:rsid w:val="005F47DB"/>
    <w:rsid w:val="005F47F7"/>
    <w:rsid w:val="005F4A2F"/>
    <w:rsid w:val="005F54BD"/>
    <w:rsid w:val="005F5724"/>
    <w:rsid w:val="005F6226"/>
    <w:rsid w:val="005F63A7"/>
    <w:rsid w:val="005F6B86"/>
    <w:rsid w:val="005F6D9F"/>
    <w:rsid w:val="005F6EE3"/>
    <w:rsid w:val="005F716F"/>
    <w:rsid w:val="005F7390"/>
    <w:rsid w:val="005F7420"/>
    <w:rsid w:val="006000AA"/>
    <w:rsid w:val="006003FB"/>
    <w:rsid w:val="0060052D"/>
    <w:rsid w:val="0060070E"/>
    <w:rsid w:val="00600A3B"/>
    <w:rsid w:val="00600EE7"/>
    <w:rsid w:val="006011CC"/>
    <w:rsid w:val="006013AB"/>
    <w:rsid w:val="00601A60"/>
    <w:rsid w:val="00601B9F"/>
    <w:rsid w:val="00601D52"/>
    <w:rsid w:val="0060232D"/>
    <w:rsid w:val="0060245E"/>
    <w:rsid w:val="00602B0D"/>
    <w:rsid w:val="00602D1D"/>
    <w:rsid w:val="00603173"/>
    <w:rsid w:val="00603499"/>
    <w:rsid w:val="006036F5"/>
    <w:rsid w:val="0060393F"/>
    <w:rsid w:val="00604090"/>
    <w:rsid w:val="006041B5"/>
    <w:rsid w:val="006045C2"/>
    <w:rsid w:val="00604634"/>
    <w:rsid w:val="00604CBD"/>
    <w:rsid w:val="00604F2B"/>
    <w:rsid w:val="006055BB"/>
    <w:rsid w:val="00605620"/>
    <w:rsid w:val="00605705"/>
    <w:rsid w:val="00605747"/>
    <w:rsid w:val="0060591C"/>
    <w:rsid w:val="00605A61"/>
    <w:rsid w:val="006065CC"/>
    <w:rsid w:val="0060663A"/>
    <w:rsid w:val="00607230"/>
    <w:rsid w:val="00607566"/>
    <w:rsid w:val="006078CB"/>
    <w:rsid w:val="00607C84"/>
    <w:rsid w:val="00607D51"/>
    <w:rsid w:val="006103D1"/>
    <w:rsid w:val="006106C5"/>
    <w:rsid w:val="006107D1"/>
    <w:rsid w:val="00610C12"/>
    <w:rsid w:val="0061172F"/>
    <w:rsid w:val="00611DD6"/>
    <w:rsid w:val="006122AD"/>
    <w:rsid w:val="00612B90"/>
    <w:rsid w:val="00612E11"/>
    <w:rsid w:val="00613601"/>
    <w:rsid w:val="00613A11"/>
    <w:rsid w:val="00613BBA"/>
    <w:rsid w:val="006140CB"/>
    <w:rsid w:val="006147CE"/>
    <w:rsid w:val="006148A1"/>
    <w:rsid w:val="00614941"/>
    <w:rsid w:val="00614EC2"/>
    <w:rsid w:val="00615427"/>
    <w:rsid w:val="0061547F"/>
    <w:rsid w:val="00615682"/>
    <w:rsid w:val="00615687"/>
    <w:rsid w:val="006156C9"/>
    <w:rsid w:val="00615B1F"/>
    <w:rsid w:val="00615BB8"/>
    <w:rsid w:val="00615C13"/>
    <w:rsid w:val="00615D5F"/>
    <w:rsid w:val="00616311"/>
    <w:rsid w:val="00616515"/>
    <w:rsid w:val="00616B36"/>
    <w:rsid w:val="00616D2D"/>
    <w:rsid w:val="00617371"/>
    <w:rsid w:val="006179E6"/>
    <w:rsid w:val="00617AB5"/>
    <w:rsid w:val="00620038"/>
    <w:rsid w:val="00620B2E"/>
    <w:rsid w:val="006210A8"/>
    <w:rsid w:val="006210E7"/>
    <w:rsid w:val="00621213"/>
    <w:rsid w:val="0062164E"/>
    <w:rsid w:val="00621AC7"/>
    <w:rsid w:val="00621C5A"/>
    <w:rsid w:val="00621F53"/>
    <w:rsid w:val="0062221F"/>
    <w:rsid w:val="006222C7"/>
    <w:rsid w:val="00622399"/>
    <w:rsid w:val="00622974"/>
    <w:rsid w:val="00622B4A"/>
    <w:rsid w:val="00622DD4"/>
    <w:rsid w:val="00622DEA"/>
    <w:rsid w:val="00622F41"/>
    <w:rsid w:val="0062302A"/>
    <w:rsid w:val="006235FA"/>
    <w:rsid w:val="00623A6D"/>
    <w:rsid w:val="00623A7B"/>
    <w:rsid w:val="00623B55"/>
    <w:rsid w:val="00623DB1"/>
    <w:rsid w:val="00623E1E"/>
    <w:rsid w:val="0062408A"/>
    <w:rsid w:val="0062414D"/>
    <w:rsid w:val="00624AD0"/>
    <w:rsid w:val="00624E8F"/>
    <w:rsid w:val="00624F82"/>
    <w:rsid w:val="00625061"/>
    <w:rsid w:val="006251B8"/>
    <w:rsid w:val="00625C9B"/>
    <w:rsid w:val="00625F4B"/>
    <w:rsid w:val="00626820"/>
    <w:rsid w:val="006268BD"/>
    <w:rsid w:val="006273D4"/>
    <w:rsid w:val="0062753C"/>
    <w:rsid w:val="00627E00"/>
    <w:rsid w:val="00627E47"/>
    <w:rsid w:val="0063004E"/>
    <w:rsid w:val="00630E5A"/>
    <w:rsid w:val="00630F9A"/>
    <w:rsid w:val="00631027"/>
    <w:rsid w:val="00631322"/>
    <w:rsid w:val="006316CA"/>
    <w:rsid w:val="0063178E"/>
    <w:rsid w:val="00631E6C"/>
    <w:rsid w:val="00631F24"/>
    <w:rsid w:val="006326FA"/>
    <w:rsid w:val="00633240"/>
    <w:rsid w:val="0063397E"/>
    <w:rsid w:val="00633F4B"/>
    <w:rsid w:val="006342EB"/>
    <w:rsid w:val="00634378"/>
    <w:rsid w:val="006345CF"/>
    <w:rsid w:val="006345D1"/>
    <w:rsid w:val="00634AE6"/>
    <w:rsid w:val="00634CD8"/>
    <w:rsid w:val="00634E6D"/>
    <w:rsid w:val="006357D1"/>
    <w:rsid w:val="00635976"/>
    <w:rsid w:val="00635AEB"/>
    <w:rsid w:val="00635E4D"/>
    <w:rsid w:val="006363F1"/>
    <w:rsid w:val="0063682A"/>
    <w:rsid w:val="00636D90"/>
    <w:rsid w:val="00637216"/>
    <w:rsid w:val="006372AD"/>
    <w:rsid w:val="0063741F"/>
    <w:rsid w:val="006375D4"/>
    <w:rsid w:val="00637B98"/>
    <w:rsid w:val="00637D75"/>
    <w:rsid w:val="00637FBF"/>
    <w:rsid w:val="00640463"/>
    <w:rsid w:val="00641669"/>
    <w:rsid w:val="00641C43"/>
    <w:rsid w:val="00641F1B"/>
    <w:rsid w:val="00641F6E"/>
    <w:rsid w:val="00642274"/>
    <w:rsid w:val="0064256F"/>
    <w:rsid w:val="00642D03"/>
    <w:rsid w:val="00642D38"/>
    <w:rsid w:val="006430D8"/>
    <w:rsid w:val="00643337"/>
    <w:rsid w:val="0064434A"/>
    <w:rsid w:val="0064463A"/>
    <w:rsid w:val="00644AE0"/>
    <w:rsid w:val="00644E36"/>
    <w:rsid w:val="00644F9B"/>
    <w:rsid w:val="0064560A"/>
    <w:rsid w:val="00645862"/>
    <w:rsid w:val="00645B3A"/>
    <w:rsid w:val="00645C15"/>
    <w:rsid w:val="00646631"/>
    <w:rsid w:val="0064679A"/>
    <w:rsid w:val="006468C0"/>
    <w:rsid w:val="00646AF2"/>
    <w:rsid w:val="00646B7A"/>
    <w:rsid w:val="00646D8E"/>
    <w:rsid w:val="00647072"/>
    <w:rsid w:val="00647B93"/>
    <w:rsid w:val="00650196"/>
    <w:rsid w:val="006504E9"/>
    <w:rsid w:val="006509C6"/>
    <w:rsid w:val="00650C33"/>
    <w:rsid w:val="00650E84"/>
    <w:rsid w:val="006517A9"/>
    <w:rsid w:val="00651DD7"/>
    <w:rsid w:val="00651F16"/>
    <w:rsid w:val="00652540"/>
    <w:rsid w:val="00652890"/>
    <w:rsid w:val="00652C5B"/>
    <w:rsid w:val="00653437"/>
    <w:rsid w:val="00654142"/>
    <w:rsid w:val="00654995"/>
    <w:rsid w:val="00654E2C"/>
    <w:rsid w:val="006552B3"/>
    <w:rsid w:val="0065537F"/>
    <w:rsid w:val="00655796"/>
    <w:rsid w:val="006559AE"/>
    <w:rsid w:val="00655DB2"/>
    <w:rsid w:val="00656080"/>
    <w:rsid w:val="006563E4"/>
    <w:rsid w:val="006564BD"/>
    <w:rsid w:val="00656748"/>
    <w:rsid w:val="00656773"/>
    <w:rsid w:val="00656FBD"/>
    <w:rsid w:val="00657B4C"/>
    <w:rsid w:val="0066008E"/>
    <w:rsid w:val="00660C18"/>
    <w:rsid w:val="00660ED5"/>
    <w:rsid w:val="006617D5"/>
    <w:rsid w:val="00661CF5"/>
    <w:rsid w:val="00661F55"/>
    <w:rsid w:val="00662733"/>
    <w:rsid w:val="00663C9C"/>
    <w:rsid w:val="00664544"/>
    <w:rsid w:val="00664652"/>
    <w:rsid w:val="0066481E"/>
    <w:rsid w:val="00664C72"/>
    <w:rsid w:val="00664EA7"/>
    <w:rsid w:val="006650D8"/>
    <w:rsid w:val="006652DD"/>
    <w:rsid w:val="006653A1"/>
    <w:rsid w:val="0066546A"/>
    <w:rsid w:val="006654B8"/>
    <w:rsid w:val="006654FB"/>
    <w:rsid w:val="00665AB1"/>
    <w:rsid w:val="00665D64"/>
    <w:rsid w:val="00666056"/>
    <w:rsid w:val="00666582"/>
    <w:rsid w:val="00666A79"/>
    <w:rsid w:val="00667406"/>
    <w:rsid w:val="00667919"/>
    <w:rsid w:val="00667E61"/>
    <w:rsid w:val="00667F54"/>
    <w:rsid w:val="00667FCA"/>
    <w:rsid w:val="006702FE"/>
    <w:rsid w:val="0067085A"/>
    <w:rsid w:val="00670BAF"/>
    <w:rsid w:val="006718C7"/>
    <w:rsid w:val="006718D8"/>
    <w:rsid w:val="00671D43"/>
    <w:rsid w:val="00672319"/>
    <w:rsid w:val="00672347"/>
    <w:rsid w:val="00672495"/>
    <w:rsid w:val="00672BAE"/>
    <w:rsid w:val="00672F1A"/>
    <w:rsid w:val="0067386E"/>
    <w:rsid w:val="00674546"/>
    <w:rsid w:val="00674DF2"/>
    <w:rsid w:val="00675077"/>
    <w:rsid w:val="00675120"/>
    <w:rsid w:val="00675529"/>
    <w:rsid w:val="006757B6"/>
    <w:rsid w:val="00675A2D"/>
    <w:rsid w:val="00675DC9"/>
    <w:rsid w:val="00675E59"/>
    <w:rsid w:val="006762FD"/>
    <w:rsid w:val="00676660"/>
    <w:rsid w:val="00676AA7"/>
    <w:rsid w:val="00676C90"/>
    <w:rsid w:val="00676F49"/>
    <w:rsid w:val="006774C6"/>
    <w:rsid w:val="006776B1"/>
    <w:rsid w:val="00677912"/>
    <w:rsid w:val="00677CE3"/>
    <w:rsid w:val="00677F84"/>
    <w:rsid w:val="006804EF"/>
    <w:rsid w:val="00681225"/>
    <w:rsid w:val="0068227A"/>
    <w:rsid w:val="006825FB"/>
    <w:rsid w:val="0068266B"/>
    <w:rsid w:val="006826B9"/>
    <w:rsid w:val="006827D2"/>
    <w:rsid w:val="00682F97"/>
    <w:rsid w:val="00683459"/>
    <w:rsid w:val="0068374F"/>
    <w:rsid w:val="006839CD"/>
    <w:rsid w:val="00683CD8"/>
    <w:rsid w:val="00683EFE"/>
    <w:rsid w:val="00684066"/>
    <w:rsid w:val="0068434C"/>
    <w:rsid w:val="00684452"/>
    <w:rsid w:val="006844F6"/>
    <w:rsid w:val="0068461F"/>
    <w:rsid w:val="00684BED"/>
    <w:rsid w:val="00685669"/>
    <w:rsid w:val="006856EA"/>
    <w:rsid w:val="00685856"/>
    <w:rsid w:val="00685CE0"/>
    <w:rsid w:val="006860FF"/>
    <w:rsid w:val="00686272"/>
    <w:rsid w:val="006866BA"/>
    <w:rsid w:val="006867BB"/>
    <w:rsid w:val="00686A17"/>
    <w:rsid w:val="00686A1E"/>
    <w:rsid w:val="00686CC8"/>
    <w:rsid w:val="0068738D"/>
    <w:rsid w:val="006873C3"/>
    <w:rsid w:val="00687891"/>
    <w:rsid w:val="00687BC5"/>
    <w:rsid w:val="00687C74"/>
    <w:rsid w:val="006908AF"/>
    <w:rsid w:val="006909CE"/>
    <w:rsid w:val="00690AA3"/>
    <w:rsid w:val="0069110A"/>
    <w:rsid w:val="00691518"/>
    <w:rsid w:val="0069163F"/>
    <w:rsid w:val="00691835"/>
    <w:rsid w:val="00691936"/>
    <w:rsid w:val="00691F19"/>
    <w:rsid w:val="00691F59"/>
    <w:rsid w:val="006922E8"/>
    <w:rsid w:val="006924A3"/>
    <w:rsid w:val="006925D4"/>
    <w:rsid w:val="0069266C"/>
    <w:rsid w:val="006927F1"/>
    <w:rsid w:val="00692A79"/>
    <w:rsid w:val="00692F22"/>
    <w:rsid w:val="006931E4"/>
    <w:rsid w:val="006931ED"/>
    <w:rsid w:val="006933F0"/>
    <w:rsid w:val="00693618"/>
    <w:rsid w:val="006941E9"/>
    <w:rsid w:val="00694792"/>
    <w:rsid w:val="00694938"/>
    <w:rsid w:val="00695547"/>
    <w:rsid w:val="006959E5"/>
    <w:rsid w:val="00695C50"/>
    <w:rsid w:val="00695E6F"/>
    <w:rsid w:val="00696376"/>
    <w:rsid w:val="0069650F"/>
    <w:rsid w:val="00696758"/>
    <w:rsid w:val="00696ACF"/>
    <w:rsid w:val="00696B1C"/>
    <w:rsid w:val="00696F08"/>
    <w:rsid w:val="00697278"/>
    <w:rsid w:val="006972AA"/>
    <w:rsid w:val="00697326"/>
    <w:rsid w:val="006974E5"/>
    <w:rsid w:val="00697A7D"/>
    <w:rsid w:val="00697AF7"/>
    <w:rsid w:val="006A03D4"/>
    <w:rsid w:val="006A05D3"/>
    <w:rsid w:val="006A093C"/>
    <w:rsid w:val="006A0F46"/>
    <w:rsid w:val="006A0F64"/>
    <w:rsid w:val="006A1616"/>
    <w:rsid w:val="006A18DF"/>
    <w:rsid w:val="006A284B"/>
    <w:rsid w:val="006A3122"/>
    <w:rsid w:val="006A3244"/>
    <w:rsid w:val="006A3F1C"/>
    <w:rsid w:val="006A4184"/>
    <w:rsid w:val="006A4648"/>
    <w:rsid w:val="006A47BC"/>
    <w:rsid w:val="006A4B56"/>
    <w:rsid w:val="006A4FA2"/>
    <w:rsid w:val="006A5024"/>
    <w:rsid w:val="006A53A7"/>
    <w:rsid w:val="006A57EE"/>
    <w:rsid w:val="006A58BF"/>
    <w:rsid w:val="006A597E"/>
    <w:rsid w:val="006A5BA3"/>
    <w:rsid w:val="006A6ECB"/>
    <w:rsid w:val="006A708E"/>
    <w:rsid w:val="006A7132"/>
    <w:rsid w:val="006A71AB"/>
    <w:rsid w:val="006A722B"/>
    <w:rsid w:val="006A7573"/>
    <w:rsid w:val="006A79C4"/>
    <w:rsid w:val="006A7A4B"/>
    <w:rsid w:val="006A7B47"/>
    <w:rsid w:val="006A7B52"/>
    <w:rsid w:val="006A7E1B"/>
    <w:rsid w:val="006A7FCD"/>
    <w:rsid w:val="006B0360"/>
    <w:rsid w:val="006B0482"/>
    <w:rsid w:val="006B04B5"/>
    <w:rsid w:val="006B069F"/>
    <w:rsid w:val="006B117D"/>
    <w:rsid w:val="006B15AA"/>
    <w:rsid w:val="006B19BD"/>
    <w:rsid w:val="006B1EDC"/>
    <w:rsid w:val="006B26FB"/>
    <w:rsid w:val="006B287A"/>
    <w:rsid w:val="006B2915"/>
    <w:rsid w:val="006B29DC"/>
    <w:rsid w:val="006B2A02"/>
    <w:rsid w:val="006B2C02"/>
    <w:rsid w:val="006B3095"/>
    <w:rsid w:val="006B3489"/>
    <w:rsid w:val="006B36E7"/>
    <w:rsid w:val="006B39BA"/>
    <w:rsid w:val="006B3EA2"/>
    <w:rsid w:val="006B3F49"/>
    <w:rsid w:val="006B4467"/>
    <w:rsid w:val="006B4AB8"/>
    <w:rsid w:val="006B4ABE"/>
    <w:rsid w:val="006B5135"/>
    <w:rsid w:val="006B5A61"/>
    <w:rsid w:val="006B6709"/>
    <w:rsid w:val="006B69D1"/>
    <w:rsid w:val="006B7256"/>
    <w:rsid w:val="006B72F1"/>
    <w:rsid w:val="006B7503"/>
    <w:rsid w:val="006B7681"/>
    <w:rsid w:val="006C02F7"/>
    <w:rsid w:val="006C03CA"/>
    <w:rsid w:val="006C0D66"/>
    <w:rsid w:val="006C1236"/>
    <w:rsid w:val="006C151F"/>
    <w:rsid w:val="006C1BFE"/>
    <w:rsid w:val="006C1CC7"/>
    <w:rsid w:val="006C2332"/>
    <w:rsid w:val="006C2339"/>
    <w:rsid w:val="006C268B"/>
    <w:rsid w:val="006C2A9B"/>
    <w:rsid w:val="006C2F82"/>
    <w:rsid w:val="006C3266"/>
    <w:rsid w:val="006C327D"/>
    <w:rsid w:val="006C345C"/>
    <w:rsid w:val="006C351E"/>
    <w:rsid w:val="006C38AB"/>
    <w:rsid w:val="006C390E"/>
    <w:rsid w:val="006C39B6"/>
    <w:rsid w:val="006C4109"/>
    <w:rsid w:val="006C41C1"/>
    <w:rsid w:val="006C4208"/>
    <w:rsid w:val="006C451F"/>
    <w:rsid w:val="006C5482"/>
    <w:rsid w:val="006C54B4"/>
    <w:rsid w:val="006C5A0B"/>
    <w:rsid w:val="006C5DE1"/>
    <w:rsid w:val="006C5EEE"/>
    <w:rsid w:val="006C5F96"/>
    <w:rsid w:val="006C62A3"/>
    <w:rsid w:val="006C6352"/>
    <w:rsid w:val="006C64DB"/>
    <w:rsid w:val="006C6C7C"/>
    <w:rsid w:val="006C7123"/>
    <w:rsid w:val="006C7472"/>
    <w:rsid w:val="006C7ABE"/>
    <w:rsid w:val="006D0408"/>
    <w:rsid w:val="006D0546"/>
    <w:rsid w:val="006D0A63"/>
    <w:rsid w:val="006D0A85"/>
    <w:rsid w:val="006D0C85"/>
    <w:rsid w:val="006D12D7"/>
    <w:rsid w:val="006D1B36"/>
    <w:rsid w:val="006D1B5B"/>
    <w:rsid w:val="006D1E41"/>
    <w:rsid w:val="006D1E81"/>
    <w:rsid w:val="006D20EA"/>
    <w:rsid w:val="006D2484"/>
    <w:rsid w:val="006D2589"/>
    <w:rsid w:val="006D2829"/>
    <w:rsid w:val="006D2B26"/>
    <w:rsid w:val="006D3474"/>
    <w:rsid w:val="006D3A10"/>
    <w:rsid w:val="006D3FEE"/>
    <w:rsid w:val="006D42B7"/>
    <w:rsid w:val="006D43E9"/>
    <w:rsid w:val="006D4403"/>
    <w:rsid w:val="006D46AE"/>
    <w:rsid w:val="006D4823"/>
    <w:rsid w:val="006D4B9F"/>
    <w:rsid w:val="006D4E7F"/>
    <w:rsid w:val="006D4F07"/>
    <w:rsid w:val="006D50EE"/>
    <w:rsid w:val="006D58AC"/>
    <w:rsid w:val="006D5E4B"/>
    <w:rsid w:val="006D605B"/>
    <w:rsid w:val="006D667F"/>
    <w:rsid w:val="006D67A5"/>
    <w:rsid w:val="006D67BC"/>
    <w:rsid w:val="006D6CEF"/>
    <w:rsid w:val="006D7062"/>
    <w:rsid w:val="006D7087"/>
    <w:rsid w:val="006D72D3"/>
    <w:rsid w:val="006D7379"/>
    <w:rsid w:val="006D7A17"/>
    <w:rsid w:val="006D7AF1"/>
    <w:rsid w:val="006D7C37"/>
    <w:rsid w:val="006E01D0"/>
    <w:rsid w:val="006E0226"/>
    <w:rsid w:val="006E048A"/>
    <w:rsid w:val="006E055C"/>
    <w:rsid w:val="006E05A5"/>
    <w:rsid w:val="006E0639"/>
    <w:rsid w:val="006E06B8"/>
    <w:rsid w:val="006E0754"/>
    <w:rsid w:val="006E096C"/>
    <w:rsid w:val="006E0DA3"/>
    <w:rsid w:val="006E10A7"/>
    <w:rsid w:val="006E1AFA"/>
    <w:rsid w:val="006E1C2B"/>
    <w:rsid w:val="006E1CC1"/>
    <w:rsid w:val="006E2726"/>
    <w:rsid w:val="006E298E"/>
    <w:rsid w:val="006E2BD2"/>
    <w:rsid w:val="006E36A6"/>
    <w:rsid w:val="006E38E5"/>
    <w:rsid w:val="006E39F3"/>
    <w:rsid w:val="006E429C"/>
    <w:rsid w:val="006E4AD4"/>
    <w:rsid w:val="006E4C4E"/>
    <w:rsid w:val="006E4D5C"/>
    <w:rsid w:val="006E5EE5"/>
    <w:rsid w:val="006E6C7D"/>
    <w:rsid w:val="006E6DB7"/>
    <w:rsid w:val="006E6FEF"/>
    <w:rsid w:val="006E7138"/>
    <w:rsid w:val="006E7851"/>
    <w:rsid w:val="006E7AEE"/>
    <w:rsid w:val="006E7AF2"/>
    <w:rsid w:val="006F0683"/>
    <w:rsid w:val="006F06AD"/>
    <w:rsid w:val="006F07A0"/>
    <w:rsid w:val="006F07A9"/>
    <w:rsid w:val="006F0BAF"/>
    <w:rsid w:val="006F0BD8"/>
    <w:rsid w:val="006F0C24"/>
    <w:rsid w:val="006F1067"/>
    <w:rsid w:val="006F1316"/>
    <w:rsid w:val="006F1E77"/>
    <w:rsid w:val="006F2285"/>
    <w:rsid w:val="006F25C2"/>
    <w:rsid w:val="006F29A8"/>
    <w:rsid w:val="006F2AAC"/>
    <w:rsid w:val="006F2D5C"/>
    <w:rsid w:val="006F393F"/>
    <w:rsid w:val="006F3BFC"/>
    <w:rsid w:val="006F3EAC"/>
    <w:rsid w:val="006F41CB"/>
    <w:rsid w:val="006F4650"/>
    <w:rsid w:val="006F49F9"/>
    <w:rsid w:val="006F4A6B"/>
    <w:rsid w:val="006F5309"/>
    <w:rsid w:val="006F5332"/>
    <w:rsid w:val="006F5F63"/>
    <w:rsid w:val="006F619E"/>
    <w:rsid w:val="006F6293"/>
    <w:rsid w:val="006F6584"/>
    <w:rsid w:val="006F6942"/>
    <w:rsid w:val="006F706A"/>
    <w:rsid w:val="006F74FF"/>
    <w:rsid w:val="006F7E46"/>
    <w:rsid w:val="006F7F6B"/>
    <w:rsid w:val="007000BA"/>
    <w:rsid w:val="00700C93"/>
    <w:rsid w:val="00700CC7"/>
    <w:rsid w:val="00700E11"/>
    <w:rsid w:val="007010F0"/>
    <w:rsid w:val="00701324"/>
    <w:rsid w:val="00701B67"/>
    <w:rsid w:val="00701FD9"/>
    <w:rsid w:val="007020DB"/>
    <w:rsid w:val="0070228A"/>
    <w:rsid w:val="007024C2"/>
    <w:rsid w:val="0070251E"/>
    <w:rsid w:val="00702904"/>
    <w:rsid w:val="0070344D"/>
    <w:rsid w:val="0070361A"/>
    <w:rsid w:val="00703A01"/>
    <w:rsid w:val="00704366"/>
    <w:rsid w:val="0070440E"/>
    <w:rsid w:val="00704862"/>
    <w:rsid w:val="00704CB7"/>
    <w:rsid w:val="00704DF6"/>
    <w:rsid w:val="00704EA2"/>
    <w:rsid w:val="007055AA"/>
    <w:rsid w:val="0070568F"/>
    <w:rsid w:val="0070570C"/>
    <w:rsid w:val="00705CA1"/>
    <w:rsid w:val="007063B9"/>
    <w:rsid w:val="00707127"/>
    <w:rsid w:val="00707CD9"/>
    <w:rsid w:val="00707F35"/>
    <w:rsid w:val="007100D7"/>
    <w:rsid w:val="00710C19"/>
    <w:rsid w:val="00711231"/>
    <w:rsid w:val="00711BBF"/>
    <w:rsid w:val="00711BF3"/>
    <w:rsid w:val="00711BF7"/>
    <w:rsid w:val="00712094"/>
    <w:rsid w:val="007129B9"/>
    <w:rsid w:val="00712B0F"/>
    <w:rsid w:val="00712C57"/>
    <w:rsid w:val="007135C0"/>
    <w:rsid w:val="00713683"/>
    <w:rsid w:val="00713D21"/>
    <w:rsid w:val="00713D97"/>
    <w:rsid w:val="00713E05"/>
    <w:rsid w:val="00713FBF"/>
    <w:rsid w:val="007143F1"/>
    <w:rsid w:val="007147DA"/>
    <w:rsid w:val="00714E80"/>
    <w:rsid w:val="00715450"/>
    <w:rsid w:val="007155A7"/>
    <w:rsid w:val="00715848"/>
    <w:rsid w:val="00715969"/>
    <w:rsid w:val="00715983"/>
    <w:rsid w:val="00715AC4"/>
    <w:rsid w:val="00715B76"/>
    <w:rsid w:val="00715C2F"/>
    <w:rsid w:val="007160A8"/>
    <w:rsid w:val="007164FB"/>
    <w:rsid w:val="0071661D"/>
    <w:rsid w:val="00716AD8"/>
    <w:rsid w:val="007172D5"/>
    <w:rsid w:val="00717467"/>
    <w:rsid w:val="007201E7"/>
    <w:rsid w:val="00720649"/>
    <w:rsid w:val="007207C1"/>
    <w:rsid w:val="007207D2"/>
    <w:rsid w:val="00720BBD"/>
    <w:rsid w:val="007210DC"/>
    <w:rsid w:val="007211BB"/>
    <w:rsid w:val="00722328"/>
    <w:rsid w:val="0072239E"/>
    <w:rsid w:val="00722688"/>
    <w:rsid w:val="00722719"/>
    <w:rsid w:val="00722820"/>
    <w:rsid w:val="00723095"/>
    <w:rsid w:val="00723A58"/>
    <w:rsid w:val="00723FF2"/>
    <w:rsid w:val="00724048"/>
    <w:rsid w:val="00724057"/>
    <w:rsid w:val="0072428A"/>
    <w:rsid w:val="007245C2"/>
    <w:rsid w:val="00724812"/>
    <w:rsid w:val="00724B5C"/>
    <w:rsid w:val="00724B8F"/>
    <w:rsid w:val="00724B94"/>
    <w:rsid w:val="007259F1"/>
    <w:rsid w:val="00725A0C"/>
    <w:rsid w:val="007261AD"/>
    <w:rsid w:val="00726237"/>
    <w:rsid w:val="0072659A"/>
    <w:rsid w:val="007267EB"/>
    <w:rsid w:val="00726EE8"/>
    <w:rsid w:val="00727336"/>
    <w:rsid w:val="00727BB5"/>
    <w:rsid w:val="007300B5"/>
    <w:rsid w:val="00730CB2"/>
    <w:rsid w:val="00731121"/>
    <w:rsid w:val="00731311"/>
    <w:rsid w:val="0073187A"/>
    <w:rsid w:val="00731897"/>
    <w:rsid w:val="00731B71"/>
    <w:rsid w:val="00731BA9"/>
    <w:rsid w:val="00731C5F"/>
    <w:rsid w:val="00731EAB"/>
    <w:rsid w:val="00731F42"/>
    <w:rsid w:val="00732179"/>
    <w:rsid w:val="00732207"/>
    <w:rsid w:val="0073231F"/>
    <w:rsid w:val="00732385"/>
    <w:rsid w:val="00732BA5"/>
    <w:rsid w:val="0073303D"/>
    <w:rsid w:val="0073311E"/>
    <w:rsid w:val="007332A8"/>
    <w:rsid w:val="007335B8"/>
    <w:rsid w:val="007335BB"/>
    <w:rsid w:val="00733B86"/>
    <w:rsid w:val="007343AF"/>
    <w:rsid w:val="007343F0"/>
    <w:rsid w:val="00734468"/>
    <w:rsid w:val="00734605"/>
    <w:rsid w:val="0073484C"/>
    <w:rsid w:val="00734B37"/>
    <w:rsid w:val="00734C21"/>
    <w:rsid w:val="00734F01"/>
    <w:rsid w:val="007350A4"/>
    <w:rsid w:val="0073566C"/>
    <w:rsid w:val="007356B5"/>
    <w:rsid w:val="007361DF"/>
    <w:rsid w:val="007368EE"/>
    <w:rsid w:val="00736AEA"/>
    <w:rsid w:val="007371E1"/>
    <w:rsid w:val="00737731"/>
    <w:rsid w:val="00737736"/>
    <w:rsid w:val="00737938"/>
    <w:rsid w:val="00737999"/>
    <w:rsid w:val="00737B54"/>
    <w:rsid w:val="00740170"/>
    <w:rsid w:val="007412E1"/>
    <w:rsid w:val="00741421"/>
    <w:rsid w:val="00741C46"/>
    <w:rsid w:val="00742A3A"/>
    <w:rsid w:val="00742E97"/>
    <w:rsid w:val="00743288"/>
    <w:rsid w:val="0074378B"/>
    <w:rsid w:val="0074380D"/>
    <w:rsid w:val="00743DF0"/>
    <w:rsid w:val="00744158"/>
    <w:rsid w:val="007441B9"/>
    <w:rsid w:val="007448A0"/>
    <w:rsid w:val="00744941"/>
    <w:rsid w:val="00744CA0"/>
    <w:rsid w:val="00744F1C"/>
    <w:rsid w:val="007452DC"/>
    <w:rsid w:val="0074561A"/>
    <w:rsid w:val="00745C28"/>
    <w:rsid w:val="00745D88"/>
    <w:rsid w:val="00745F2A"/>
    <w:rsid w:val="007462A8"/>
    <w:rsid w:val="00746435"/>
    <w:rsid w:val="00746672"/>
    <w:rsid w:val="00746956"/>
    <w:rsid w:val="00746B20"/>
    <w:rsid w:val="007473EC"/>
    <w:rsid w:val="00747839"/>
    <w:rsid w:val="007479AD"/>
    <w:rsid w:val="00747B95"/>
    <w:rsid w:val="00750042"/>
    <w:rsid w:val="007509DA"/>
    <w:rsid w:val="00750DFE"/>
    <w:rsid w:val="00751087"/>
    <w:rsid w:val="00751772"/>
    <w:rsid w:val="00751C31"/>
    <w:rsid w:val="00751D79"/>
    <w:rsid w:val="007522C3"/>
    <w:rsid w:val="00752307"/>
    <w:rsid w:val="00752798"/>
    <w:rsid w:val="00752993"/>
    <w:rsid w:val="00752DA3"/>
    <w:rsid w:val="00752F46"/>
    <w:rsid w:val="00753125"/>
    <w:rsid w:val="00753559"/>
    <w:rsid w:val="00753807"/>
    <w:rsid w:val="0075387A"/>
    <w:rsid w:val="007549BC"/>
    <w:rsid w:val="007549BF"/>
    <w:rsid w:val="00754AFD"/>
    <w:rsid w:val="00755B66"/>
    <w:rsid w:val="00755D55"/>
    <w:rsid w:val="00755DF1"/>
    <w:rsid w:val="007561EB"/>
    <w:rsid w:val="00756D48"/>
    <w:rsid w:val="007570B6"/>
    <w:rsid w:val="00757F68"/>
    <w:rsid w:val="00760303"/>
    <w:rsid w:val="0076052E"/>
    <w:rsid w:val="00760AFC"/>
    <w:rsid w:val="00761001"/>
    <w:rsid w:val="00761194"/>
    <w:rsid w:val="0076135E"/>
    <w:rsid w:val="00761473"/>
    <w:rsid w:val="0076193D"/>
    <w:rsid w:val="007620C2"/>
    <w:rsid w:val="00762516"/>
    <w:rsid w:val="007625FF"/>
    <w:rsid w:val="007628DE"/>
    <w:rsid w:val="007629DC"/>
    <w:rsid w:val="00762AA0"/>
    <w:rsid w:val="00762C27"/>
    <w:rsid w:val="00762CDD"/>
    <w:rsid w:val="00763621"/>
    <w:rsid w:val="00763B0D"/>
    <w:rsid w:val="00763D65"/>
    <w:rsid w:val="00764024"/>
    <w:rsid w:val="007640DC"/>
    <w:rsid w:val="00764238"/>
    <w:rsid w:val="00764562"/>
    <w:rsid w:val="007648A8"/>
    <w:rsid w:val="00764CF4"/>
    <w:rsid w:val="00764D18"/>
    <w:rsid w:val="00764DDB"/>
    <w:rsid w:val="00764F5F"/>
    <w:rsid w:val="007653CE"/>
    <w:rsid w:val="00765436"/>
    <w:rsid w:val="007657C9"/>
    <w:rsid w:val="00765B00"/>
    <w:rsid w:val="00765C69"/>
    <w:rsid w:val="00765E7B"/>
    <w:rsid w:val="0076612D"/>
    <w:rsid w:val="00766745"/>
    <w:rsid w:val="007667B3"/>
    <w:rsid w:val="00766CBF"/>
    <w:rsid w:val="0076705A"/>
    <w:rsid w:val="00767254"/>
    <w:rsid w:val="007674C1"/>
    <w:rsid w:val="007678FE"/>
    <w:rsid w:val="007703DA"/>
    <w:rsid w:val="00770CA9"/>
    <w:rsid w:val="00770F00"/>
    <w:rsid w:val="00771662"/>
    <w:rsid w:val="0077213F"/>
    <w:rsid w:val="007721EF"/>
    <w:rsid w:val="0077255E"/>
    <w:rsid w:val="007729ED"/>
    <w:rsid w:val="00772DE7"/>
    <w:rsid w:val="007730F9"/>
    <w:rsid w:val="007736BA"/>
    <w:rsid w:val="00773766"/>
    <w:rsid w:val="00773F9F"/>
    <w:rsid w:val="00773FA2"/>
    <w:rsid w:val="007742CF"/>
    <w:rsid w:val="007746F0"/>
    <w:rsid w:val="00774789"/>
    <w:rsid w:val="00774991"/>
    <w:rsid w:val="00774B67"/>
    <w:rsid w:val="00774FF5"/>
    <w:rsid w:val="00775028"/>
    <w:rsid w:val="007754EA"/>
    <w:rsid w:val="007763B5"/>
    <w:rsid w:val="007765C6"/>
    <w:rsid w:val="0077674A"/>
    <w:rsid w:val="00776913"/>
    <w:rsid w:val="00776D01"/>
    <w:rsid w:val="00776D91"/>
    <w:rsid w:val="00777945"/>
    <w:rsid w:val="00777F58"/>
    <w:rsid w:val="00780240"/>
    <w:rsid w:val="00780441"/>
    <w:rsid w:val="0078074D"/>
    <w:rsid w:val="00780FC3"/>
    <w:rsid w:val="007810B9"/>
    <w:rsid w:val="00781260"/>
    <w:rsid w:val="0078145B"/>
    <w:rsid w:val="00781508"/>
    <w:rsid w:val="00781BA5"/>
    <w:rsid w:val="0078298E"/>
    <w:rsid w:val="00782D15"/>
    <w:rsid w:val="00782EDA"/>
    <w:rsid w:val="00782EFE"/>
    <w:rsid w:val="007831D5"/>
    <w:rsid w:val="007834F7"/>
    <w:rsid w:val="0078412F"/>
    <w:rsid w:val="0078427E"/>
    <w:rsid w:val="0078445B"/>
    <w:rsid w:val="00784724"/>
    <w:rsid w:val="00784A3C"/>
    <w:rsid w:val="00785BBD"/>
    <w:rsid w:val="00785E1A"/>
    <w:rsid w:val="0078624E"/>
    <w:rsid w:val="007862F2"/>
    <w:rsid w:val="0078664A"/>
    <w:rsid w:val="00786EE3"/>
    <w:rsid w:val="00787034"/>
    <w:rsid w:val="00787156"/>
    <w:rsid w:val="00787A57"/>
    <w:rsid w:val="00790428"/>
    <w:rsid w:val="00790FA9"/>
    <w:rsid w:val="00791023"/>
    <w:rsid w:val="00791092"/>
    <w:rsid w:val="00791105"/>
    <w:rsid w:val="00791C40"/>
    <w:rsid w:val="00791CAB"/>
    <w:rsid w:val="00792387"/>
    <w:rsid w:val="007927A6"/>
    <w:rsid w:val="00792F83"/>
    <w:rsid w:val="00793041"/>
    <w:rsid w:val="007931B1"/>
    <w:rsid w:val="00793AB2"/>
    <w:rsid w:val="00793E78"/>
    <w:rsid w:val="0079416A"/>
    <w:rsid w:val="00794B8E"/>
    <w:rsid w:val="00794D48"/>
    <w:rsid w:val="007953F9"/>
    <w:rsid w:val="0079550B"/>
    <w:rsid w:val="00795787"/>
    <w:rsid w:val="00795AC8"/>
    <w:rsid w:val="007962C4"/>
    <w:rsid w:val="00796334"/>
    <w:rsid w:val="0079638B"/>
    <w:rsid w:val="00797689"/>
    <w:rsid w:val="00797744"/>
    <w:rsid w:val="00797A50"/>
    <w:rsid w:val="00797A9E"/>
    <w:rsid w:val="00797B47"/>
    <w:rsid w:val="00797E98"/>
    <w:rsid w:val="00797FC6"/>
    <w:rsid w:val="007A0E1F"/>
    <w:rsid w:val="007A1014"/>
    <w:rsid w:val="007A1641"/>
    <w:rsid w:val="007A1F85"/>
    <w:rsid w:val="007A1FBA"/>
    <w:rsid w:val="007A2421"/>
    <w:rsid w:val="007A25C6"/>
    <w:rsid w:val="007A26D5"/>
    <w:rsid w:val="007A2770"/>
    <w:rsid w:val="007A2F8D"/>
    <w:rsid w:val="007A3299"/>
    <w:rsid w:val="007A33C8"/>
    <w:rsid w:val="007A3551"/>
    <w:rsid w:val="007A36F7"/>
    <w:rsid w:val="007A3717"/>
    <w:rsid w:val="007A379B"/>
    <w:rsid w:val="007A3962"/>
    <w:rsid w:val="007A4731"/>
    <w:rsid w:val="007A4AF1"/>
    <w:rsid w:val="007A5D00"/>
    <w:rsid w:val="007A5D31"/>
    <w:rsid w:val="007A60DE"/>
    <w:rsid w:val="007A631F"/>
    <w:rsid w:val="007A6483"/>
    <w:rsid w:val="007A67BE"/>
    <w:rsid w:val="007A6A70"/>
    <w:rsid w:val="007A705D"/>
    <w:rsid w:val="007A70BE"/>
    <w:rsid w:val="007A74BE"/>
    <w:rsid w:val="007A79B1"/>
    <w:rsid w:val="007A7A2C"/>
    <w:rsid w:val="007A7FD7"/>
    <w:rsid w:val="007B00C8"/>
    <w:rsid w:val="007B0260"/>
    <w:rsid w:val="007B087E"/>
    <w:rsid w:val="007B0F5F"/>
    <w:rsid w:val="007B13CD"/>
    <w:rsid w:val="007B20B7"/>
    <w:rsid w:val="007B21AE"/>
    <w:rsid w:val="007B2531"/>
    <w:rsid w:val="007B28E7"/>
    <w:rsid w:val="007B3067"/>
    <w:rsid w:val="007B30B0"/>
    <w:rsid w:val="007B31D5"/>
    <w:rsid w:val="007B35A0"/>
    <w:rsid w:val="007B368D"/>
    <w:rsid w:val="007B3720"/>
    <w:rsid w:val="007B3972"/>
    <w:rsid w:val="007B3CEF"/>
    <w:rsid w:val="007B3CF0"/>
    <w:rsid w:val="007B3D85"/>
    <w:rsid w:val="007B3E29"/>
    <w:rsid w:val="007B3F25"/>
    <w:rsid w:val="007B3F82"/>
    <w:rsid w:val="007B3FF3"/>
    <w:rsid w:val="007B40AA"/>
    <w:rsid w:val="007B4294"/>
    <w:rsid w:val="007B4DEF"/>
    <w:rsid w:val="007B4FF8"/>
    <w:rsid w:val="007B530A"/>
    <w:rsid w:val="007B53E0"/>
    <w:rsid w:val="007B5B52"/>
    <w:rsid w:val="007B5F8A"/>
    <w:rsid w:val="007B6AC9"/>
    <w:rsid w:val="007B6EEA"/>
    <w:rsid w:val="007B6EF5"/>
    <w:rsid w:val="007B6FF6"/>
    <w:rsid w:val="007B724C"/>
    <w:rsid w:val="007B75E1"/>
    <w:rsid w:val="007B7C70"/>
    <w:rsid w:val="007B7E70"/>
    <w:rsid w:val="007C0749"/>
    <w:rsid w:val="007C0825"/>
    <w:rsid w:val="007C08F8"/>
    <w:rsid w:val="007C0A15"/>
    <w:rsid w:val="007C0EA2"/>
    <w:rsid w:val="007C1004"/>
    <w:rsid w:val="007C1037"/>
    <w:rsid w:val="007C1077"/>
    <w:rsid w:val="007C112A"/>
    <w:rsid w:val="007C116E"/>
    <w:rsid w:val="007C1172"/>
    <w:rsid w:val="007C14B8"/>
    <w:rsid w:val="007C1A3F"/>
    <w:rsid w:val="007C1EF4"/>
    <w:rsid w:val="007C2071"/>
    <w:rsid w:val="007C213C"/>
    <w:rsid w:val="007C2196"/>
    <w:rsid w:val="007C230A"/>
    <w:rsid w:val="007C2362"/>
    <w:rsid w:val="007C2C6B"/>
    <w:rsid w:val="007C2E0A"/>
    <w:rsid w:val="007C2FDF"/>
    <w:rsid w:val="007C3046"/>
    <w:rsid w:val="007C3252"/>
    <w:rsid w:val="007C3837"/>
    <w:rsid w:val="007C3DB8"/>
    <w:rsid w:val="007C492D"/>
    <w:rsid w:val="007C4A9B"/>
    <w:rsid w:val="007C4B44"/>
    <w:rsid w:val="007C4FB6"/>
    <w:rsid w:val="007C542D"/>
    <w:rsid w:val="007C596B"/>
    <w:rsid w:val="007C5AEB"/>
    <w:rsid w:val="007C5BDF"/>
    <w:rsid w:val="007C607F"/>
    <w:rsid w:val="007C62C6"/>
    <w:rsid w:val="007C63FC"/>
    <w:rsid w:val="007C6D1C"/>
    <w:rsid w:val="007C6FED"/>
    <w:rsid w:val="007C70B9"/>
    <w:rsid w:val="007C73FA"/>
    <w:rsid w:val="007C79BC"/>
    <w:rsid w:val="007C7A50"/>
    <w:rsid w:val="007C7FF2"/>
    <w:rsid w:val="007D02FD"/>
    <w:rsid w:val="007D0496"/>
    <w:rsid w:val="007D04DF"/>
    <w:rsid w:val="007D0718"/>
    <w:rsid w:val="007D0D8A"/>
    <w:rsid w:val="007D0DE1"/>
    <w:rsid w:val="007D0E29"/>
    <w:rsid w:val="007D284B"/>
    <w:rsid w:val="007D29A9"/>
    <w:rsid w:val="007D2CC4"/>
    <w:rsid w:val="007D3565"/>
    <w:rsid w:val="007D3F46"/>
    <w:rsid w:val="007D441F"/>
    <w:rsid w:val="007D4613"/>
    <w:rsid w:val="007D48F0"/>
    <w:rsid w:val="007D4F29"/>
    <w:rsid w:val="007D4F85"/>
    <w:rsid w:val="007D6012"/>
    <w:rsid w:val="007D663E"/>
    <w:rsid w:val="007D697C"/>
    <w:rsid w:val="007D69C3"/>
    <w:rsid w:val="007D705B"/>
    <w:rsid w:val="007D70B4"/>
    <w:rsid w:val="007D79C8"/>
    <w:rsid w:val="007D7A13"/>
    <w:rsid w:val="007E00F6"/>
    <w:rsid w:val="007E058E"/>
    <w:rsid w:val="007E0B2B"/>
    <w:rsid w:val="007E1122"/>
    <w:rsid w:val="007E1442"/>
    <w:rsid w:val="007E14F8"/>
    <w:rsid w:val="007E1996"/>
    <w:rsid w:val="007E1EE6"/>
    <w:rsid w:val="007E20E0"/>
    <w:rsid w:val="007E2354"/>
    <w:rsid w:val="007E265D"/>
    <w:rsid w:val="007E2998"/>
    <w:rsid w:val="007E2D0C"/>
    <w:rsid w:val="007E2E65"/>
    <w:rsid w:val="007E3000"/>
    <w:rsid w:val="007E320A"/>
    <w:rsid w:val="007E34B4"/>
    <w:rsid w:val="007E3767"/>
    <w:rsid w:val="007E37AC"/>
    <w:rsid w:val="007E391A"/>
    <w:rsid w:val="007E3C4D"/>
    <w:rsid w:val="007E3C5D"/>
    <w:rsid w:val="007E400E"/>
    <w:rsid w:val="007E483D"/>
    <w:rsid w:val="007E49C3"/>
    <w:rsid w:val="007E4F1F"/>
    <w:rsid w:val="007E5C73"/>
    <w:rsid w:val="007E63A6"/>
    <w:rsid w:val="007E64EF"/>
    <w:rsid w:val="007E656C"/>
    <w:rsid w:val="007E6FD2"/>
    <w:rsid w:val="007E70FC"/>
    <w:rsid w:val="007E772F"/>
    <w:rsid w:val="007E78DE"/>
    <w:rsid w:val="007E79DA"/>
    <w:rsid w:val="007E7B7B"/>
    <w:rsid w:val="007E7C2F"/>
    <w:rsid w:val="007E7F14"/>
    <w:rsid w:val="007F0404"/>
    <w:rsid w:val="007F04E0"/>
    <w:rsid w:val="007F089D"/>
    <w:rsid w:val="007F0904"/>
    <w:rsid w:val="007F103B"/>
    <w:rsid w:val="007F1418"/>
    <w:rsid w:val="007F14DD"/>
    <w:rsid w:val="007F1A17"/>
    <w:rsid w:val="007F1BC6"/>
    <w:rsid w:val="007F1D39"/>
    <w:rsid w:val="007F1DFB"/>
    <w:rsid w:val="007F1F31"/>
    <w:rsid w:val="007F214F"/>
    <w:rsid w:val="007F21CE"/>
    <w:rsid w:val="007F23ED"/>
    <w:rsid w:val="007F2444"/>
    <w:rsid w:val="007F27AA"/>
    <w:rsid w:val="007F2B2D"/>
    <w:rsid w:val="007F2CFF"/>
    <w:rsid w:val="007F3548"/>
    <w:rsid w:val="007F3561"/>
    <w:rsid w:val="007F356E"/>
    <w:rsid w:val="007F35AD"/>
    <w:rsid w:val="007F37F9"/>
    <w:rsid w:val="007F38B1"/>
    <w:rsid w:val="007F4084"/>
    <w:rsid w:val="007F4196"/>
    <w:rsid w:val="007F49AB"/>
    <w:rsid w:val="007F49F8"/>
    <w:rsid w:val="007F4DF6"/>
    <w:rsid w:val="007F5233"/>
    <w:rsid w:val="007F5415"/>
    <w:rsid w:val="007F5AD4"/>
    <w:rsid w:val="007F668E"/>
    <w:rsid w:val="007F6DE4"/>
    <w:rsid w:val="007F71DE"/>
    <w:rsid w:val="007F72FB"/>
    <w:rsid w:val="007F7913"/>
    <w:rsid w:val="007F7BE0"/>
    <w:rsid w:val="007F7EA9"/>
    <w:rsid w:val="00800309"/>
    <w:rsid w:val="0080065A"/>
    <w:rsid w:val="0080086C"/>
    <w:rsid w:val="00800950"/>
    <w:rsid w:val="00800BA4"/>
    <w:rsid w:val="00800DF0"/>
    <w:rsid w:val="00800DFF"/>
    <w:rsid w:val="00800F4D"/>
    <w:rsid w:val="00801708"/>
    <w:rsid w:val="0080199E"/>
    <w:rsid w:val="008019E7"/>
    <w:rsid w:val="00801C69"/>
    <w:rsid w:val="00802484"/>
    <w:rsid w:val="008025AB"/>
    <w:rsid w:val="00802981"/>
    <w:rsid w:val="00802F50"/>
    <w:rsid w:val="00802FEA"/>
    <w:rsid w:val="008033DA"/>
    <w:rsid w:val="00803414"/>
    <w:rsid w:val="008035B0"/>
    <w:rsid w:val="008038BA"/>
    <w:rsid w:val="00803B5C"/>
    <w:rsid w:val="00803F54"/>
    <w:rsid w:val="00804EB0"/>
    <w:rsid w:val="00805339"/>
    <w:rsid w:val="00805827"/>
    <w:rsid w:val="0080598D"/>
    <w:rsid w:val="008059E8"/>
    <w:rsid w:val="00805AA1"/>
    <w:rsid w:val="00805B94"/>
    <w:rsid w:val="00805C53"/>
    <w:rsid w:val="00806130"/>
    <w:rsid w:val="0080668F"/>
    <w:rsid w:val="00806D9B"/>
    <w:rsid w:val="0080754F"/>
    <w:rsid w:val="00807B71"/>
    <w:rsid w:val="008103DB"/>
    <w:rsid w:val="0081061C"/>
    <w:rsid w:val="00810A17"/>
    <w:rsid w:val="00810C13"/>
    <w:rsid w:val="00810CC2"/>
    <w:rsid w:val="0081147B"/>
    <w:rsid w:val="008119B9"/>
    <w:rsid w:val="0081299D"/>
    <w:rsid w:val="00813214"/>
    <w:rsid w:val="00813BC3"/>
    <w:rsid w:val="00813EE8"/>
    <w:rsid w:val="008145A8"/>
    <w:rsid w:val="00814982"/>
    <w:rsid w:val="00814ECC"/>
    <w:rsid w:val="00814FF7"/>
    <w:rsid w:val="00815920"/>
    <w:rsid w:val="00815C13"/>
    <w:rsid w:val="00815E68"/>
    <w:rsid w:val="00816EA1"/>
    <w:rsid w:val="008170ED"/>
    <w:rsid w:val="008171ED"/>
    <w:rsid w:val="00817261"/>
    <w:rsid w:val="00817560"/>
    <w:rsid w:val="00817616"/>
    <w:rsid w:val="00817A93"/>
    <w:rsid w:val="00817F30"/>
    <w:rsid w:val="00820256"/>
    <w:rsid w:val="008204E2"/>
    <w:rsid w:val="00820864"/>
    <w:rsid w:val="00820CCA"/>
    <w:rsid w:val="00820CED"/>
    <w:rsid w:val="00820D34"/>
    <w:rsid w:val="0082120C"/>
    <w:rsid w:val="0082147D"/>
    <w:rsid w:val="00821B72"/>
    <w:rsid w:val="00821EFD"/>
    <w:rsid w:val="0082214D"/>
    <w:rsid w:val="008221FF"/>
    <w:rsid w:val="008226B0"/>
    <w:rsid w:val="0082299E"/>
    <w:rsid w:val="0082372F"/>
    <w:rsid w:val="0082377A"/>
    <w:rsid w:val="0082388B"/>
    <w:rsid w:val="00823E40"/>
    <w:rsid w:val="008241E9"/>
    <w:rsid w:val="0082448C"/>
    <w:rsid w:val="00824887"/>
    <w:rsid w:val="0082498C"/>
    <w:rsid w:val="00824A61"/>
    <w:rsid w:val="0082524F"/>
    <w:rsid w:val="008254EC"/>
    <w:rsid w:val="00825B22"/>
    <w:rsid w:val="00825BDE"/>
    <w:rsid w:val="00825C65"/>
    <w:rsid w:val="0082656C"/>
    <w:rsid w:val="00826CAD"/>
    <w:rsid w:val="00827065"/>
    <w:rsid w:val="0082743A"/>
    <w:rsid w:val="00827837"/>
    <w:rsid w:val="00827845"/>
    <w:rsid w:val="008278E9"/>
    <w:rsid w:val="00830066"/>
    <w:rsid w:val="00830383"/>
    <w:rsid w:val="0083075E"/>
    <w:rsid w:val="008319A2"/>
    <w:rsid w:val="0083270D"/>
    <w:rsid w:val="00832758"/>
    <w:rsid w:val="00832874"/>
    <w:rsid w:val="00832981"/>
    <w:rsid w:val="008329E8"/>
    <w:rsid w:val="00833A5F"/>
    <w:rsid w:val="00833E40"/>
    <w:rsid w:val="00834283"/>
    <w:rsid w:val="00834561"/>
    <w:rsid w:val="008345B4"/>
    <w:rsid w:val="008348C1"/>
    <w:rsid w:val="00834D63"/>
    <w:rsid w:val="00834D70"/>
    <w:rsid w:val="00834D73"/>
    <w:rsid w:val="00835197"/>
    <w:rsid w:val="00835396"/>
    <w:rsid w:val="00835612"/>
    <w:rsid w:val="00835678"/>
    <w:rsid w:val="00835C76"/>
    <w:rsid w:val="008371F9"/>
    <w:rsid w:val="0083742A"/>
    <w:rsid w:val="00837C03"/>
    <w:rsid w:val="00837E9C"/>
    <w:rsid w:val="00840014"/>
    <w:rsid w:val="00840016"/>
    <w:rsid w:val="00840026"/>
    <w:rsid w:val="008405F9"/>
    <w:rsid w:val="00840B87"/>
    <w:rsid w:val="00840BA6"/>
    <w:rsid w:val="0084118F"/>
    <w:rsid w:val="00841507"/>
    <w:rsid w:val="00841531"/>
    <w:rsid w:val="008417EC"/>
    <w:rsid w:val="008419AA"/>
    <w:rsid w:val="00841A7D"/>
    <w:rsid w:val="00841BC4"/>
    <w:rsid w:val="00841DB6"/>
    <w:rsid w:val="00841F30"/>
    <w:rsid w:val="00841F48"/>
    <w:rsid w:val="008429AB"/>
    <w:rsid w:val="008429D1"/>
    <w:rsid w:val="00842B3D"/>
    <w:rsid w:val="00842CA4"/>
    <w:rsid w:val="00842D99"/>
    <w:rsid w:val="00842DC0"/>
    <w:rsid w:val="0084336E"/>
    <w:rsid w:val="008433A1"/>
    <w:rsid w:val="00843C0F"/>
    <w:rsid w:val="00843CA6"/>
    <w:rsid w:val="008443F3"/>
    <w:rsid w:val="00844528"/>
    <w:rsid w:val="00844750"/>
    <w:rsid w:val="00844907"/>
    <w:rsid w:val="00844A85"/>
    <w:rsid w:val="00844B74"/>
    <w:rsid w:val="00844D26"/>
    <w:rsid w:val="00844E5A"/>
    <w:rsid w:val="00844F80"/>
    <w:rsid w:val="008450CC"/>
    <w:rsid w:val="008450E0"/>
    <w:rsid w:val="008450F8"/>
    <w:rsid w:val="00845539"/>
    <w:rsid w:val="00845571"/>
    <w:rsid w:val="0084580C"/>
    <w:rsid w:val="0084634C"/>
    <w:rsid w:val="00846713"/>
    <w:rsid w:val="00846BE4"/>
    <w:rsid w:val="00847186"/>
    <w:rsid w:val="00847383"/>
    <w:rsid w:val="008474CB"/>
    <w:rsid w:val="00847D12"/>
    <w:rsid w:val="0085013F"/>
    <w:rsid w:val="0085061A"/>
    <w:rsid w:val="00850C0D"/>
    <w:rsid w:val="008510CC"/>
    <w:rsid w:val="00851177"/>
    <w:rsid w:val="00851336"/>
    <w:rsid w:val="008515C1"/>
    <w:rsid w:val="00851707"/>
    <w:rsid w:val="00851CE3"/>
    <w:rsid w:val="00851E9E"/>
    <w:rsid w:val="0085254E"/>
    <w:rsid w:val="008529E8"/>
    <w:rsid w:val="00852E30"/>
    <w:rsid w:val="008531AF"/>
    <w:rsid w:val="0085345B"/>
    <w:rsid w:val="008535B0"/>
    <w:rsid w:val="00853AE4"/>
    <w:rsid w:val="00853D26"/>
    <w:rsid w:val="00853D2C"/>
    <w:rsid w:val="008540A6"/>
    <w:rsid w:val="00854110"/>
    <w:rsid w:val="00854732"/>
    <w:rsid w:val="00854EC8"/>
    <w:rsid w:val="00854F5F"/>
    <w:rsid w:val="00854F9B"/>
    <w:rsid w:val="00854FC9"/>
    <w:rsid w:val="00855482"/>
    <w:rsid w:val="00855B02"/>
    <w:rsid w:val="00855D93"/>
    <w:rsid w:val="00855DE7"/>
    <w:rsid w:val="00855E96"/>
    <w:rsid w:val="00856357"/>
    <w:rsid w:val="008564D3"/>
    <w:rsid w:val="00856600"/>
    <w:rsid w:val="00856680"/>
    <w:rsid w:val="0085707B"/>
    <w:rsid w:val="00857C7F"/>
    <w:rsid w:val="00857D7D"/>
    <w:rsid w:val="00860035"/>
    <w:rsid w:val="008600CF"/>
    <w:rsid w:val="008601E2"/>
    <w:rsid w:val="00860281"/>
    <w:rsid w:val="00860788"/>
    <w:rsid w:val="00860FB7"/>
    <w:rsid w:val="00861048"/>
    <w:rsid w:val="008611F7"/>
    <w:rsid w:val="0086164D"/>
    <w:rsid w:val="00861929"/>
    <w:rsid w:val="00861E32"/>
    <w:rsid w:val="0086244A"/>
    <w:rsid w:val="00862534"/>
    <w:rsid w:val="00862AE4"/>
    <w:rsid w:val="00862CDE"/>
    <w:rsid w:val="00862E26"/>
    <w:rsid w:val="008635D7"/>
    <w:rsid w:val="008637B4"/>
    <w:rsid w:val="008638BE"/>
    <w:rsid w:val="00864602"/>
    <w:rsid w:val="0086475B"/>
    <w:rsid w:val="008647E6"/>
    <w:rsid w:val="008648E0"/>
    <w:rsid w:val="0086501A"/>
    <w:rsid w:val="008652F0"/>
    <w:rsid w:val="00865663"/>
    <w:rsid w:val="0086576B"/>
    <w:rsid w:val="00865B15"/>
    <w:rsid w:val="00865C82"/>
    <w:rsid w:val="008660F7"/>
    <w:rsid w:val="00866131"/>
    <w:rsid w:val="0086674D"/>
    <w:rsid w:val="00866AC1"/>
    <w:rsid w:val="00866C6F"/>
    <w:rsid w:val="00866C99"/>
    <w:rsid w:val="008671FF"/>
    <w:rsid w:val="0086725C"/>
    <w:rsid w:val="00867334"/>
    <w:rsid w:val="0087051F"/>
    <w:rsid w:val="008709FA"/>
    <w:rsid w:val="00870D72"/>
    <w:rsid w:val="00870E2E"/>
    <w:rsid w:val="008713A4"/>
    <w:rsid w:val="008713D8"/>
    <w:rsid w:val="008716E9"/>
    <w:rsid w:val="00871728"/>
    <w:rsid w:val="008725FA"/>
    <w:rsid w:val="00872FD6"/>
    <w:rsid w:val="0087337C"/>
    <w:rsid w:val="008733EC"/>
    <w:rsid w:val="00873584"/>
    <w:rsid w:val="0087394D"/>
    <w:rsid w:val="00874311"/>
    <w:rsid w:val="0087452B"/>
    <w:rsid w:val="0087498F"/>
    <w:rsid w:val="00874B28"/>
    <w:rsid w:val="00874B47"/>
    <w:rsid w:val="00874BB8"/>
    <w:rsid w:val="00875287"/>
    <w:rsid w:val="00875329"/>
    <w:rsid w:val="00875362"/>
    <w:rsid w:val="0087584E"/>
    <w:rsid w:val="00875ABC"/>
    <w:rsid w:val="00875DAA"/>
    <w:rsid w:val="0087619A"/>
    <w:rsid w:val="00876286"/>
    <w:rsid w:val="008764FC"/>
    <w:rsid w:val="008765F0"/>
    <w:rsid w:val="0087662C"/>
    <w:rsid w:val="0087663E"/>
    <w:rsid w:val="00876667"/>
    <w:rsid w:val="00876834"/>
    <w:rsid w:val="00876991"/>
    <w:rsid w:val="00876A9D"/>
    <w:rsid w:val="00876B57"/>
    <w:rsid w:val="00876EB4"/>
    <w:rsid w:val="00877258"/>
    <w:rsid w:val="00877584"/>
    <w:rsid w:val="00877A0B"/>
    <w:rsid w:val="00877E04"/>
    <w:rsid w:val="0088038C"/>
    <w:rsid w:val="008804D4"/>
    <w:rsid w:val="008806FF"/>
    <w:rsid w:val="008808B4"/>
    <w:rsid w:val="0088092C"/>
    <w:rsid w:val="00880B3C"/>
    <w:rsid w:val="00880D7D"/>
    <w:rsid w:val="00881270"/>
    <w:rsid w:val="00881575"/>
    <w:rsid w:val="00881CBD"/>
    <w:rsid w:val="00882069"/>
    <w:rsid w:val="00882A63"/>
    <w:rsid w:val="008832DC"/>
    <w:rsid w:val="0088358D"/>
    <w:rsid w:val="008839BB"/>
    <w:rsid w:val="00883B85"/>
    <w:rsid w:val="00883D83"/>
    <w:rsid w:val="0088403A"/>
    <w:rsid w:val="008842E1"/>
    <w:rsid w:val="00884A87"/>
    <w:rsid w:val="0088501D"/>
    <w:rsid w:val="008850C0"/>
    <w:rsid w:val="00885202"/>
    <w:rsid w:val="008853CA"/>
    <w:rsid w:val="0088548A"/>
    <w:rsid w:val="008855B9"/>
    <w:rsid w:val="0088580E"/>
    <w:rsid w:val="00885DC0"/>
    <w:rsid w:val="0088627F"/>
    <w:rsid w:val="008866E8"/>
    <w:rsid w:val="0088678F"/>
    <w:rsid w:val="0088713B"/>
    <w:rsid w:val="00887595"/>
    <w:rsid w:val="00887FF8"/>
    <w:rsid w:val="008900AB"/>
    <w:rsid w:val="00890C6A"/>
    <w:rsid w:val="00890F17"/>
    <w:rsid w:val="0089108D"/>
    <w:rsid w:val="00891634"/>
    <w:rsid w:val="008924E4"/>
    <w:rsid w:val="008927CE"/>
    <w:rsid w:val="00892ACC"/>
    <w:rsid w:val="00893022"/>
    <w:rsid w:val="0089314E"/>
    <w:rsid w:val="00893152"/>
    <w:rsid w:val="00893333"/>
    <w:rsid w:val="008934A6"/>
    <w:rsid w:val="0089378F"/>
    <w:rsid w:val="00893837"/>
    <w:rsid w:val="00893E0E"/>
    <w:rsid w:val="00893FAF"/>
    <w:rsid w:val="00893FF5"/>
    <w:rsid w:val="0089408C"/>
    <w:rsid w:val="0089412D"/>
    <w:rsid w:val="008942E6"/>
    <w:rsid w:val="0089474E"/>
    <w:rsid w:val="00894978"/>
    <w:rsid w:val="00894A35"/>
    <w:rsid w:val="008963E7"/>
    <w:rsid w:val="008964B5"/>
    <w:rsid w:val="008967B1"/>
    <w:rsid w:val="00896B6F"/>
    <w:rsid w:val="0089709F"/>
    <w:rsid w:val="00897647"/>
    <w:rsid w:val="00897973"/>
    <w:rsid w:val="00897C15"/>
    <w:rsid w:val="00897C7A"/>
    <w:rsid w:val="008A02A5"/>
    <w:rsid w:val="008A0489"/>
    <w:rsid w:val="008A06C4"/>
    <w:rsid w:val="008A074A"/>
    <w:rsid w:val="008A0C08"/>
    <w:rsid w:val="008A0CBD"/>
    <w:rsid w:val="008A0FC8"/>
    <w:rsid w:val="008A1008"/>
    <w:rsid w:val="008A10B7"/>
    <w:rsid w:val="008A11B3"/>
    <w:rsid w:val="008A15D1"/>
    <w:rsid w:val="008A257B"/>
    <w:rsid w:val="008A2580"/>
    <w:rsid w:val="008A2B6F"/>
    <w:rsid w:val="008A3791"/>
    <w:rsid w:val="008A450F"/>
    <w:rsid w:val="008A48AE"/>
    <w:rsid w:val="008A49D6"/>
    <w:rsid w:val="008A4A19"/>
    <w:rsid w:val="008A4E4E"/>
    <w:rsid w:val="008A4E6C"/>
    <w:rsid w:val="008A5123"/>
    <w:rsid w:val="008A5DCE"/>
    <w:rsid w:val="008A5E61"/>
    <w:rsid w:val="008A63E1"/>
    <w:rsid w:val="008A6F3A"/>
    <w:rsid w:val="008A77E0"/>
    <w:rsid w:val="008A78CD"/>
    <w:rsid w:val="008A7E1E"/>
    <w:rsid w:val="008A7FD4"/>
    <w:rsid w:val="008B0302"/>
    <w:rsid w:val="008B07F6"/>
    <w:rsid w:val="008B09CF"/>
    <w:rsid w:val="008B1012"/>
    <w:rsid w:val="008B1139"/>
    <w:rsid w:val="008B11EE"/>
    <w:rsid w:val="008B1314"/>
    <w:rsid w:val="008B1961"/>
    <w:rsid w:val="008B1C0A"/>
    <w:rsid w:val="008B20CD"/>
    <w:rsid w:val="008B23BF"/>
    <w:rsid w:val="008B266B"/>
    <w:rsid w:val="008B27A0"/>
    <w:rsid w:val="008B2A02"/>
    <w:rsid w:val="008B2B50"/>
    <w:rsid w:val="008B2CBF"/>
    <w:rsid w:val="008B2CEA"/>
    <w:rsid w:val="008B31EE"/>
    <w:rsid w:val="008B3759"/>
    <w:rsid w:val="008B3895"/>
    <w:rsid w:val="008B3A83"/>
    <w:rsid w:val="008B3BD1"/>
    <w:rsid w:val="008B428D"/>
    <w:rsid w:val="008B47AD"/>
    <w:rsid w:val="008B4877"/>
    <w:rsid w:val="008B4D43"/>
    <w:rsid w:val="008B52FC"/>
    <w:rsid w:val="008B5453"/>
    <w:rsid w:val="008B5534"/>
    <w:rsid w:val="008B572C"/>
    <w:rsid w:val="008B574A"/>
    <w:rsid w:val="008B5983"/>
    <w:rsid w:val="008B5CBF"/>
    <w:rsid w:val="008B5DCE"/>
    <w:rsid w:val="008B637C"/>
    <w:rsid w:val="008B69AF"/>
    <w:rsid w:val="008B69F1"/>
    <w:rsid w:val="008B6E61"/>
    <w:rsid w:val="008B6F16"/>
    <w:rsid w:val="008B71A9"/>
    <w:rsid w:val="008B7587"/>
    <w:rsid w:val="008B79C4"/>
    <w:rsid w:val="008B7A31"/>
    <w:rsid w:val="008B7C56"/>
    <w:rsid w:val="008C0126"/>
    <w:rsid w:val="008C0ED1"/>
    <w:rsid w:val="008C0F4A"/>
    <w:rsid w:val="008C19DE"/>
    <w:rsid w:val="008C1CD7"/>
    <w:rsid w:val="008C1DD3"/>
    <w:rsid w:val="008C22A7"/>
    <w:rsid w:val="008C2C0B"/>
    <w:rsid w:val="008C2C0D"/>
    <w:rsid w:val="008C2D87"/>
    <w:rsid w:val="008C2F05"/>
    <w:rsid w:val="008C33FE"/>
    <w:rsid w:val="008C3630"/>
    <w:rsid w:val="008C3781"/>
    <w:rsid w:val="008C37B1"/>
    <w:rsid w:val="008C37CD"/>
    <w:rsid w:val="008C39DD"/>
    <w:rsid w:val="008C49C3"/>
    <w:rsid w:val="008C4A7C"/>
    <w:rsid w:val="008C4FCC"/>
    <w:rsid w:val="008C5130"/>
    <w:rsid w:val="008C525D"/>
    <w:rsid w:val="008C52AB"/>
    <w:rsid w:val="008C56C1"/>
    <w:rsid w:val="008C57A2"/>
    <w:rsid w:val="008C5BA4"/>
    <w:rsid w:val="008C617E"/>
    <w:rsid w:val="008C64E4"/>
    <w:rsid w:val="008C6568"/>
    <w:rsid w:val="008C6769"/>
    <w:rsid w:val="008C68D5"/>
    <w:rsid w:val="008C7037"/>
    <w:rsid w:val="008C7A00"/>
    <w:rsid w:val="008C7C35"/>
    <w:rsid w:val="008C7C8B"/>
    <w:rsid w:val="008D02B5"/>
    <w:rsid w:val="008D0518"/>
    <w:rsid w:val="008D0625"/>
    <w:rsid w:val="008D0800"/>
    <w:rsid w:val="008D0C96"/>
    <w:rsid w:val="008D1DF4"/>
    <w:rsid w:val="008D223E"/>
    <w:rsid w:val="008D2326"/>
    <w:rsid w:val="008D259E"/>
    <w:rsid w:val="008D29EA"/>
    <w:rsid w:val="008D31C9"/>
    <w:rsid w:val="008D351C"/>
    <w:rsid w:val="008D359B"/>
    <w:rsid w:val="008D3C79"/>
    <w:rsid w:val="008D421D"/>
    <w:rsid w:val="008D46DE"/>
    <w:rsid w:val="008D4756"/>
    <w:rsid w:val="008D503E"/>
    <w:rsid w:val="008D51D3"/>
    <w:rsid w:val="008D5211"/>
    <w:rsid w:val="008D52A7"/>
    <w:rsid w:val="008D5B7F"/>
    <w:rsid w:val="008D5B9A"/>
    <w:rsid w:val="008D5DB9"/>
    <w:rsid w:val="008D62E1"/>
    <w:rsid w:val="008D68E1"/>
    <w:rsid w:val="008D68F8"/>
    <w:rsid w:val="008D6AA7"/>
    <w:rsid w:val="008D6F87"/>
    <w:rsid w:val="008D746B"/>
    <w:rsid w:val="008D7603"/>
    <w:rsid w:val="008D76BB"/>
    <w:rsid w:val="008D77B6"/>
    <w:rsid w:val="008E0060"/>
    <w:rsid w:val="008E022D"/>
    <w:rsid w:val="008E03DB"/>
    <w:rsid w:val="008E0406"/>
    <w:rsid w:val="008E08E9"/>
    <w:rsid w:val="008E0F21"/>
    <w:rsid w:val="008E1353"/>
    <w:rsid w:val="008E158D"/>
    <w:rsid w:val="008E179F"/>
    <w:rsid w:val="008E2100"/>
    <w:rsid w:val="008E22A0"/>
    <w:rsid w:val="008E280E"/>
    <w:rsid w:val="008E2D5B"/>
    <w:rsid w:val="008E2EE7"/>
    <w:rsid w:val="008E45FD"/>
    <w:rsid w:val="008E46A8"/>
    <w:rsid w:val="008E4C51"/>
    <w:rsid w:val="008E4CF2"/>
    <w:rsid w:val="008E4F79"/>
    <w:rsid w:val="008E53E5"/>
    <w:rsid w:val="008E5ABB"/>
    <w:rsid w:val="008E5CB3"/>
    <w:rsid w:val="008E5ECE"/>
    <w:rsid w:val="008E5F23"/>
    <w:rsid w:val="008E5FDE"/>
    <w:rsid w:val="008E629A"/>
    <w:rsid w:val="008E6344"/>
    <w:rsid w:val="008E7758"/>
    <w:rsid w:val="008E7BEE"/>
    <w:rsid w:val="008E7F15"/>
    <w:rsid w:val="008F08B1"/>
    <w:rsid w:val="008F08E9"/>
    <w:rsid w:val="008F0A60"/>
    <w:rsid w:val="008F0C31"/>
    <w:rsid w:val="008F11C0"/>
    <w:rsid w:val="008F1771"/>
    <w:rsid w:val="008F1BB8"/>
    <w:rsid w:val="008F1D2B"/>
    <w:rsid w:val="008F1E48"/>
    <w:rsid w:val="008F252F"/>
    <w:rsid w:val="008F2747"/>
    <w:rsid w:val="008F3192"/>
    <w:rsid w:val="008F31A4"/>
    <w:rsid w:val="008F360A"/>
    <w:rsid w:val="008F36B2"/>
    <w:rsid w:val="008F3B5D"/>
    <w:rsid w:val="008F3CCD"/>
    <w:rsid w:val="008F436E"/>
    <w:rsid w:val="008F4914"/>
    <w:rsid w:val="008F4D5D"/>
    <w:rsid w:val="008F53C9"/>
    <w:rsid w:val="008F5507"/>
    <w:rsid w:val="008F5B08"/>
    <w:rsid w:val="008F6552"/>
    <w:rsid w:val="008F6BBC"/>
    <w:rsid w:val="008F6EBD"/>
    <w:rsid w:val="008F7241"/>
    <w:rsid w:val="008F77A2"/>
    <w:rsid w:val="008F7A12"/>
    <w:rsid w:val="008F7EBD"/>
    <w:rsid w:val="00900433"/>
    <w:rsid w:val="00900C74"/>
    <w:rsid w:val="009010CB"/>
    <w:rsid w:val="009018F9"/>
    <w:rsid w:val="0090191D"/>
    <w:rsid w:val="00901A7B"/>
    <w:rsid w:val="0090200A"/>
    <w:rsid w:val="0090279F"/>
    <w:rsid w:val="00902CE4"/>
    <w:rsid w:val="00903059"/>
    <w:rsid w:val="009031BB"/>
    <w:rsid w:val="00903220"/>
    <w:rsid w:val="009036BA"/>
    <w:rsid w:val="00903AB4"/>
    <w:rsid w:val="00903BE7"/>
    <w:rsid w:val="00903D97"/>
    <w:rsid w:val="00904079"/>
    <w:rsid w:val="0090437F"/>
    <w:rsid w:val="009043EE"/>
    <w:rsid w:val="009047CA"/>
    <w:rsid w:val="009048D2"/>
    <w:rsid w:val="00904FA7"/>
    <w:rsid w:val="00905002"/>
    <w:rsid w:val="0090577D"/>
    <w:rsid w:val="009057E1"/>
    <w:rsid w:val="0090587C"/>
    <w:rsid w:val="00905B3B"/>
    <w:rsid w:val="00905DDC"/>
    <w:rsid w:val="00906545"/>
    <w:rsid w:val="00906552"/>
    <w:rsid w:val="00906B19"/>
    <w:rsid w:val="00906BEC"/>
    <w:rsid w:val="00907CF7"/>
    <w:rsid w:val="0091008B"/>
    <w:rsid w:val="009108A8"/>
    <w:rsid w:val="00910FA6"/>
    <w:rsid w:val="00910FEF"/>
    <w:rsid w:val="009114DC"/>
    <w:rsid w:val="0091189C"/>
    <w:rsid w:val="00911BA8"/>
    <w:rsid w:val="00912B25"/>
    <w:rsid w:val="00912B9A"/>
    <w:rsid w:val="00912D63"/>
    <w:rsid w:val="00912E2A"/>
    <w:rsid w:val="009138A5"/>
    <w:rsid w:val="00914193"/>
    <w:rsid w:val="0091457E"/>
    <w:rsid w:val="009146D9"/>
    <w:rsid w:val="009146E0"/>
    <w:rsid w:val="009148EF"/>
    <w:rsid w:val="00914D30"/>
    <w:rsid w:val="00914F52"/>
    <w:rsid w:val="009154F0"/>
    <w:rsid w:val="009158F0"/>
    <w:rsid w:val="00915CB5"/>
    <w:rsid w:val="00915E35"/>
    <w:rsid w:val="00915E74"/>
    <w:rsid w:val="009162BE"/>
    <w:rsid w:val="00916552"/>
    <w:rsid w:val="009169C9"/>
    <w:rsid w:val="009172AC"/>
    <w:rsid w:val="00917410"/>
    <w:rsid w:val="00917AF2"/>
    <w:rsid w:val="00917DDD"/>
    <w:rsid w:val="00917E8C"/>
    <w:rsid w:val="009205D7"/>
    <w:rsid w:val="009207DB"/>
    <w:rsid w:val="00920DDD"/>
    <w:rsid w:val="00920F4E"/>
    <w:rsid w:val="00921EC4"/>
    <w:rsid w:val="00921FAC"/>
    <w:rsid w:val="00922172"/>
    <w:rsid w:val="00922203"/>
    <w:rsid w:val="009224E3"/>
    <w:rsid w:val="00922948"/>
    <w:rsid w:val="00922E97"/>
    <w:rsid w:val="00922F5B"/>
    <w:rsid w:val="00923127"/>
    <w:rsid w:val="009232D4"/>
    <w:rsid w:val="00923C1F"/>
    <w:rsid w:val="00923E65"/>
    <w:rsid w:val="00923F36"/>
    <w:rsid w:val="00924288"/>
    <w:rsid w:val="00924422"/>
    <w:rsid w:val="0092450A"/>
    <w:rsid w:val="009248E7"/>
    <w:rsid w:val="00924DC6"/>
    <w:rsid w:val="00925A44"/>
    <w:rsid w:val="00925B7C"/>
    <w:rsid w:val="00925CDD"/>
    <w:rsid w:val="00926A7C"/>
    <w:rsid w:val="00926CF1"/>
    <w:rsid w:val="00926E71"/>
    <w:rsid w:val="009270BE"/>
    <w:rsid w:val="009271BD"/>
    <w:rsid w:val="009272B0"/>
    <w:rsid w:val="009274A3"/>
    <w:rsid w:val="0092792D"/>
    <w:rsid w:val="00927CCE"/>
    <w:rsid w:val="009302EF"/>
    <w:rsid w:val="00930D8A"/>
    <w:rsid w:val="00930EDB"/>
    <w:rsid w:val="009311BD"/>
    <w:rsid w:val="00931536"/>
    <w:rsid w:val="00931646"/>
    <w:rsid w:val="00931702"/>
    <w:rsid w:val="0093191E"/>
    <w:rsid w:val="00932502"/>
    <w:rsid w:val="009330B9"/>
    <w:rsid w:val="0093337F"/>
    <w:rsid w:val="00933401"/>
    <w:rsid w:val="0093349C"/>
    <w:rsid w:val="0093390D"/>
    <w:rsid w:val="00934771"/>
    <w:rsid w:val="00934C5E"/>
    <w:rsid w:val="00934C86"/>
    <w:rsid w:val="00934D8E"/>
    <w:rsid w:val="009351C3"/>
    <w:rsid w:val="00935233"/>
    <w:rsid w:val="00935238"/>
    <w:rsid w:val="009356EA"/>
    <w:rsid w:val="009357E5"/>
    <w:rsid w:val="00935C42"/>
    <w:rsid w:val="00935DD2"/>
    <w:rsid w:val="00935E14"/>
    <w:rsid w:val="0093618D"/>
    <w:rsid w:val="009366E0"/>
    <w:rsid w:val="009369D4"/>
    <w:rsid w:val="009369F9"/>
    <w:rsid w:val="00936DCF"/>
    <w:rsid w:val="009374C6"/>
    <w:rsid w:val="00937659"/>
    <w:rsid w:val="009376B4"/>
    <w:rsid w:val="0093776F"/>
    <w:rsid w:val="009379D5"/>
    <w:rsid w:val="00937FF0"/>
    <w:rsid w:val="00940615"/>
    <w:rsid w:val="009406CB"/>
    <w:rsid w:val="00941156"/>
    <w:rsid w:val="009415FC"/>
    <w:rsid w:val="009418A3"/>
    <w:rsid w:val="0094204C"/>
    <w:rsid w:val="00942855"/>
    <w:rsid w:val="00942DFD"/>
    <w:rsid w:val="00943527"/>
    <w:rsid w:val="00943B49"/>
    <w:rsid w:val="00943CE6"/>
    <w:rsid w:val="00943D05"/>
    <w:rsid w:val="00944129"/>
    <w:rsid w:val="00944270"/>
    <w:rsid w:val="0094453C"/>
    <w:rsid w:val="00944551"/>
    <w:rsid w:val="009446A2"/>
    <w:rsid w:val="009446AB"/>
    <w:rsid w:val="00944AB0"/>
    <w:rsid w:val="00944B47"/>
    <w:rsid w:val="00944C9A"/>
    <w:rsid w:val="00944DF4"/>
    <w:rsid w:val="00945036"/>
    <w:rsid w:val="009453B1"/>
    <w:rsid w:val="00945628"/>
    <w:rsid w:val="009462E6"/>
    <w:rsid w:val="00946A7D"/>
    <w:rsid w:val="0094765C"/>
    <w:rsid w:val="0095043F"/>
    <w:rsid w:val="0095068A"/>
    <w:rsid w:val="00950C34"/>
    <w:rsid w:val="00950ED3"/>
    <w:rsid w:val="009511E6"/>
    <w:rsid w:val="009514DA"/>
    <w:rsid w:val="00951608"/>
    <w:rsid w:val="00951817"/>
    <w:rsid w:val="009518BF"/>
    <w:rsid w:val="009523DE"/>
    <w:rsid w:val="00952C2A"/>
    <w:rsid w:val="00952C43"/>
    <w:rsid w:val="00953287"/>
    <w:rsid w:val="0095405C"/>
    <w:rsid w:val="009540ED"/>
    <w:rsid w:val="009548AA"/>
    <w:rsid w:val="00954929"/>
    <w:rsid w:val="00954D08"/>
    <w:rsid w:val="0095541D"/>
    <w:rsid w:val="009554D1"/>
    <w:rsid w:val="00955810"/>
    <w:rsid w:val="00955B96"/>
    <w:rsid w:val="00956491"/>
    <w:rsid w:val="00956B49"/>
    <w:rsid w:val="00956CE3"/>
    <w:rsid w:val="00956DDB"/>
    <w:rsid w:val="00956F4C"/>
    <w:rsid w:val="00956F61"/>
    <w:rsid w:val="00957553"/>
    <w:rsid w:val="00957596"/>
    <w:rsid w:val="009578E6"/>
    <w:rsid w:val="00957F3E"/>
    <w:rsid w:val="009600C8"/>
    <w:rsid w:val="00960A61"/>
    <w:rsid w:val="00960C78"/>
    <w:rsid w:val="00960C8A"/>
    <w:rsid w:val="00960D92"/>
    <w:rsid w:val="0096152A"/>
    <w:rsid w:val="0096155B"/>
    <w:rsid w:val="00961A2A"/>
    <w:rsid w:val="00961B46"/>
    <w:rsid w:val="00961DC4"/>
    <w:rsid w:val="0096265D"/>
    <w:rsid w:val="0096271E"/>
    <w:rsid w:val="00962F9E"/>
    <w:rsid w:val="009632A9"/>
    <w:rsid w:val="00963B0D"/>
    <w:rsid w:val="00963CEC"/>
    <w:rsid w:val="00963ED8"/>
    <w:rsid w:val="00964121"/>
    <w:rsid w:val="009646B2"/>
    <w:rsid w:val="009648A7"/>
    <w:rsid w:val="00964D1D"/>
    <w:rsid w:val="00965352"/>
    <w:rsid w:val="0096544F"/>
    <w:rsid w:val="0096553F"/>
    <w:rsid w:val="009655AF"/>
    <w:rsid w:val="00965877"/>
    <w:rsid w:val="00965A83"/>
    <w:rsid w:val="00965BCF"/>
    <w:rsid w:val="00965E29"/>
    <w:rsid w:val="0096646D"/>
    <w:rsid w:val="00966A5D"/>
    <w:rsid w:val="009670CF"/>
    <w:rsid w:val="00967243"/>
    <w:rsid w:val="009672C4"/>
    <w:rsid w:val="00967339"/>
    <w:rsid w:val="009674B2"/>
    <w:rsid w:val="009679AE"/>
    <w:rsid w:val="00967C36"/>
    <w:rsid w:val="009700C7"/>
    <w:rsid w:val="00970A8C"/>
    <w:rsid w:val="00970B4F"/>
    <w:rsid w:val="00971932"/>
    <w:rsid w:val="00971A33"/>
    <w:rsid w:val="00971FF3"/>
    <w:rsid w:val="009728C5"/>
    <w:rsid w:val="00972B5F"/>
    <w:rsid w:val="00972BCA"/>
    <w:rsid w:val="00972D32"/>
    <w:rsid w:val="0097344A"/>
    <w:rsid w:val="009734D7"/>
    <w:rsid w:val="0097384F"/>
    <w:rsid w:val="00973DEA"/>
    <w:rsid w:val="00973E67"/>
    <w:rsid w:val="00975047"/>
    <w:rsid w:val="009755D4"/>
    <w:rsid w:val="00975E05"/>
    <w:rsid w:val="00975E86"/>
    <w:rsid w:val="00976348"/>
    <w:rsid w:val="00976756"/>
    <w:rsid w:val="00977075"/>
    <w:rsid w:val="009778D2"/>
    <w:rsid w:val="00977B6C"/>
    <w:rsid w:val="00977DAB"/>
    <w:rsid w:val="00980096"/>
    <w:rsid w:val="00980114"/>
    <w:rsid w:val="009807E7"/>
    <w:rsid w:val="00980A1F"/>
    <w:rsid w:val="00980AC6"/>
    <w:rsid w:val="00980DA3"/>
    <w:rsid w:val="009810AE"/>
    <w:rsid w:val="00981ACC"/>
    <w:rsid w:val="00981F0D"/>
    <w:rsid w:val="009822BB"/>
    <w:rsid w:val="009825AA"/>
    <w:rsid w:val="00982800"/>
    <w:rsid w:val="00982ED2"/>
    <w:rsid w:val="009836F1"/>
    <w:rsid w:val="0098434E"/>
    <w:rsid w:val="009849C7"/>
    <w:rsid w:val="00984B2E"/>
    <w:rsid w:val="00984C59"/>
    <w:rsid w:val="00984DEB"/>
    <w:rsid w:val="00984EBD"/>
    <w:rsid w:val="00984F2F"/>
    <w:rsid w:val="00986612"/>
    <w:rsid w:val="00986649"/>
    <w:rsid w:val="009866FE"/>
    <w:rsid w:val="00986AD5"/>
    <w:rsid w:val="00986CA9"/>
    <w:rsid w:val="00986F3A"/>
    <w:rsid w:val="0098773C"/>
    <w:rsid w:val="00987B49"/>
    <w:rsid w:val="00990373"/>
    <w:rsid w:val="009907E9"/>
    <w:rsid w:val="009908CA"/>
    <w:rsid w:val="00990AE1"/>
    <w:rsid w:val="00990F8B"/>
    <w:rsid w:val="00990FA6"/>
    <w:rsid w:val="00990FBC"/>
    <w:rsid w:val="0099102E"/>
    <w:rsid w:val="009918B4"/>
    <w:rsid w:val="00991953"/>
    <w:rsid w:val="00993B69"/>
    <w:rsid w:val="00993FE0"/>
    <w:rsid w:val="00994249"/>
    <w:rsid w:val="00994B6A"/>
    <w:rsid w:val="009954AE"/>
    <w:rsid w:val="00995501"/>
    <w:rsid w:val="0099577B"/>
    <w:rsid w:val="00995837"/>
    <w:rsid w:val="00995DBC"/>
    <w:rsid w:val="00997827"/>
    <w:rsid w:val="00997A8E"/>
    <w:rsid w:val="00997BE7"/>
    <w:rsid w:val="00997E20"/>
    <w:rsid w:val="00997EA6"/>
    <w:rsid w:val="009A02A8"/>
    <w:rsid w:val="009A0599"/>
    <w:rsid w:val="009A0831"/>
    <w:rsid w:val="009A0A08"/>
    <w:rsid w:val="009A0B0A"/>
    <w:rsid w:val="009A0FB4"/>
    <w:rsid w:val="009A168A"/>
    <w:rsid w:val="009A16F6"/>
    <w:rsid w:val="009A18F5"/>
    <w:rsid w:val="009A1A8C"/>
    <w:rsid w:val="009A1AA0"/>
    <w:rsid w:val="009A1B69"/>
    <w:rsid w:val="009A1BF1"/>
    <w:rsid w:val="009A2094"/>
    <w:rsid w:val="009A25F6"/>
    <w:rsid w:val="009A2A0E"/>
    <w:rsid w:val="009A2AAC"/>
    <w:rsid w:val="009A2C0B"/>
    <w:rsid w:val="009A2DAA"/>
    <w:rsid w:val="009A347C"/>
    <w:rsid w:val="009A383F"/>
    <w:rsid w:val="009A42F4"/>
    <w:rsid w:val="009A4569"/>
    <w:rsid w:val="009A45FD"/>
    <w:rsid w:val="009A4BF1"/>
    <w:rsid w:val="009A5429"/>
    <w:rsid w:val="009A55B1"/>
    <w:rsid w:val="009A5BF7"/>
    <w:rsid w:val="009A5C62"/>
    <w:rsid w:val="009A6B5D"/>
    <w:rsid w:val="009A6C08"/>
    <w:rsid w:val="009A6DD4"/>
    <w:rsid w:val="009A7345"/>
    <w:rsid w:val="009A7BAC"/>
    <w:rsid w:val="009B050A"/>
    <w:rsid w:val="009B073D"/>
    <w:rsid w:val="009B0BBE"/>
    <w:rsid w:val="009B0CD2"/>
    <w:rsid w:val="009B1338"/>
    <w:rsid w:val="009B181F"/>
    <w:rsid w:val="009B1B86"/>
    <w:rsid w:val="009B2224"/>
    <w:rsid w:val="009B25F7"/>
    <w:rsid w:val="009B2BEB"/>
    <w:rsid w:val="009B2EB6"/>
    <w:rsid w:val="009B2EB7"/>
    <w:rsid w:val="009B34CF"/>
    <w:rsid w:val="009B368D"/>
    <w:rsid w:val="009B37B5"/>
    <w:rsid w:val="009B3884"/>
    <w:rsid w:val="009B3C8D"/>
    <w:rsid w:val="009B3CD1"/>
    <w:rsid w:val="009B3F7E"/>
    <w:rsid w:val="009B43BE"/>
    <w:rsid w:val="009B45EE"/>
    <w:rsid w:val="009B4704"/>
    <w:rsid w:val="009B47CD"/>
    <w:rsid w:val="009B4BCA"/>
    <w:rsid w:val="009B4BD3"/>
    <w:rsid w:val="009B4CB0"/>
    <w:rsid w:val="009B5D79"/>
    <w:rsid w:val="009B6835"/>
    <w:rsid w:val="009B6BEB"/>
    <w:rsid w:val="009B7801"/>
    <w:rsid w:val="009B78AE"/>
    <w:rsid w:val="009B7A6D"/>
    <w:rsid w:val="009B7D9D"/>
    <w:rsid w:val="009C0367"/>
    <w:rsid w:val="009C1AA9"/>
    <w:rsid w:val="009C1BCD"/>
    <w:rsid w:val="009C1BD1"/>
    <w:rsid w:val="009C1C1F"/>
    <w:rsid w:val="009C2290"/>
    <w:rsid w:val="009C241B"/>
    <w:rsid w:val="009C2463"/>
    <w:rsid w:val="009C25AF"/>
    <w:rsid w:val="009C3126"/>
    <w:rsid w:val="009C33DF"/>
    <w:rsid w:val="009C3544"/>
    <w:rsid w:val="009C36E8"/>
    <w:rsid w:val="009C3798"/>
    <w:rsid w:val="009C3B95"/>
    <w:rsid w:val="009C3F9B"/>
    <w:rsid w:val="009C4289"/>
    <w:rsid w:val="009C4297"/>
    <w:rsid w:val="009C42A3"/>
    <w:rsid w:val="009C4698"/>
    <w:rsid w:val="009C471E"/>
    <w:rsid w:val="009C4DAD"/>
    <w:rsid w:val="009C4FA4"/>
    <w:rsid w:val="009C51A3"/>
    <w:rsid w:val="009C52B6"/>
    <w:rsid w:val="009C5732"/>
    <w:rsid w:val="009C5B54"/>
    <w:rsid w:val="009C6244"/>
    <w:rsid w:val="009C6533"/>
    <w:rsid w:val="009C65EB"/>
    <w:rsid w:val="009C7797"/>
    <w:rsid w:val="009C77D1"/>
    <w:rsid w:val="009C7837"/>
    <w:rsid w:val="009C7A6F"/>
    <w:rsid w:val="009C7B16"/>
    <w:rsid w:val="009D01F1"/>
    <w:rsid w:val="009D01F7"/>
    <w:rsid w:val="009D0332"/>
    <w:rsid w:val="009D0902"/>
    <w:rsid w:val="009D1356"/>
    <w:rsid w:val="009D1658"/>
    <w:rsid w:val="009D188B"/>
    <w:rsid w:val="009D19B6"/>
    <w:rsid w:val="009D27E7"/>
    <w:rsid w:val="009D34C5"/>
    <w:rsid w:val="009D35E5"/>
    <w:rsid w:val="009D36A2"/>
    <w:rsid w:val="009D36FB"/>
    <w:rsid w:val="009D3E91"/>
    <w:rsid w:val="009D42D7"/>
    <w:rsid w:val="009D42E3"/>
    <w:rsid w:val="009D42F6"/>
    <w:rsid w:val="009D4656"/>
    <w:rsid w:val="009D4AEB"/>
    <w:rsid w:val="009D4D00"/>
    <w:rsid w:val="009D4DFB"/>
    <w:rsid w:val="009D5062"/>
    <w:rsid w:val="009D5117"/>
    <w:rsid w:val="009D519D"/>
    <w:rsid w:val="009D54A8"/>
    <w:rsid w:val="009D55CF"/>
    <w:rsid w:val="009D565D"/>
    <w:rsid w:val="009D5C60"/>
    <w:rsid w:val="009D5E7E"/>
    <w:rsid w:val="009D609A"/>
    <w:rsid w:val="009D618B"/>
    <w:rsid w:val="009D61BD"/>
    <w:rsid w:val="009D62A5"/>
    <w:rsid w:val="009D6633"/>
    <w:rsid w:val="009D6725"/>
    <w:rsid w:val="009D6D12"/>
    <w:rsid w:val="009D714F"/>
    <w:rsid w:val="009D7A78"/>
    <w:rsid w:val="009E0175"/>
    <w:rsid w:val="009E028D"/>
    <w:rsid w:val="009E02DA"/>
    <w:rsid w:val="009E051B"/>
    <w:rsid w:val="009E0D89"/>
    <w:rsid w:val="009E1239"/>
    <w:rsid w:val="009E1629"/>
    <w:rsid w:val="009E1930"/>
    <w:rsid w:val="009E1A06"/>
    <w:rsid w:val="009E1DEC"/>
    <w:rsid w:val="009E1E29"/>
    <w:rsid w:val="009E1E74"/>
    <w:rsid w:val="009E1F3D"/>
    <w:rsid w:val="009E204F"/>
    <w:rsid w:val="009E23D7"/>
    <w:rsid w:val="009E2800"/>
    <w:rsid w:val="009E280D"/>
    <w:rsid w:val="009E2845"/>
    <w:rsid w:val="009E2C3A"/>
    <w:rsid w:val="009E2D7A"/>
    <w:rsid w:val="009E2F8A"/>
    <w:rsid w:val="009E3060"/>
    <w:rsid w:val="009E30C3"/>
    <w:rsid w:val="009E3695"/>
    <w:rsid w:val="009E40B6"/>
    <w:rsid w:val="009E486E"/>
    <w:rsid w:val="009E4985"/>
    <w:rsid w:val="009E4B02"/>
    <w:rsid w:val="009E4C7A"/>
    <w:rsid w:val="009E5291"/>
    <w:rsid w:val="009E558D"/>
    <w:rsid w:val="009E5C10"/>
    <w:rsid w:val="009E5CBB"/>
    <w:rsid w:val="009E5DD4"/>
    <w:rsid w:val="009E5F5D"/>
    <w:rsid w:val="009E64E9"/>
    <w:rsid w:val="009E6B14"/>
    <w:rsid w:val="009E76A2"/>
    <w:rsid w:val="009E7D8F"/>
    <w:rsid w:val="009E7E17"/>
    <w:rsid w:val="009E7E9B"/>
    <w:rsid w:val="009F0330"/>
    <w:rsid w:val="009F0465"/>
    <w:rsid w:val="009F05B6"/>
    <w:rsid w:val="009F0AF4"/>
    <w:rsid w:val="009F105B"/>
    <w:rsid w:val="009F124D"/>
    <w:rsid w:val="009F15DE"/>
    <w:rsid w:val="009F1D49"/>
    <w:rsid w:val="009F1D6D"/>
    <w:rsid w:val="009F1D9C"/>
    <w:rsid w:val="009F1F55"/>
    <w:rsid w:val="009F20F5"/>
    <w:rsid w:val="009F218A"/>
    <w:rsid w:val="009F26E9"/>
    <w:rsid w:val="009F2AB8"/>
    <w:rsid w:val="009F2CC9"/>
    <w:rsid w:val="009F2EEF"/>
    <w:rsid w:val="009F2F8E"/>
    <w:rsid w:val="009F360A"/>
    <w:rsid w:val="009F3B53"/>
    <w:rsid w:val="009F3D44"/>
    <w:rsid w:val="009F3DB0"/>
    <w:rsid w:val="009F3E87"/>
    <w:rsid w:val="009F3F3F"/>
    <w:rsid w:val="009F438C"/>
    <w:rsid w:val="009F4405"/>
    <w:rsid w:val="009F44B8"/>
    <w:rsid w:val="009F47AB"/>
    <w:rsid w:val="009F4906"/>
    <w:rsid w:val="009F4C90"/>
    <w:rsid w:val="009F4DB3"/>
    <w:rsid w:val="009F534A"/>
    <w:rsid w:val="009F571D"/>
    <w:rsid w:val="009F5BA7"/>
    <w:rsid w:val="009F6694"/>
    <w:rsid w:val="009F670A"/>
    <w:rsid w:val="009F6924"/>
    <w:rsid w:val="009F6F96"/>
    <w:rsid w:val="009F7056"/>
    <w:rsid w:val="009F752F"/>
    <w:rsid w:val="009F7E56"/>
    <w:rsid w:val="00A002AF"/>
    <w:rsid w:val="00A0039B"/>
    <w:rsid w:val="00A00A47"/>
    <w:rsid w:val="00A00E64"/>
    <w:rsid w:val="00A011BC"/>
    <w:rsid w:val="00A0124E"/>
    <w:rsid w:val="00A013EA"/>
    <w:rsid w:val="00A0195C"/>
    <w:rsid w:val="00A0215D"/>
    <w:rsid w:val="00A0252B"/>
    <w:rsid w:val="00A02782"/>
    <w:rsid w:val="00A02A31"/>
    <w:rsid w:val="00A034CC"/>
    <w:rsid w:val="00A03658"/>
    <w:rsid w:val="00A036B3"/>
    <w:rsid w:val="00A037DC"/>
    <w:rsid w:val="00A039AE"/>
    <w:rsid w:val="00A03C7E"/>
    <w:rsid w:val="00A03CF1"/>
    <w:rsid w:val="00A04887"/>
    <w:rsid w:val="00A04A89"/>
    <w:rsid w:val="00A04F6A"/>
    <w:rsid w:val="00A05048"/>
    <w:rsid w:val="00A05990"/>
    <w:rsid w:val="00A05B3F"/>
    <w:rsid w:val="00A062DF"/>
    <w:rsid w:val="00A06FA4"/>
    <w:rsid w:val="00A07099"/>
    <w:rsid w:val="00A0718F"/>
    <w:rsid w:val="00A07CE3"/>
    <w:rsid w:val="00A07CFD"/>
    <w:rsid w:val="00A10202"/>
    <w:rsid w:val="00A107CD"/>
    <w:rsid w:val="00A10886"/>
    <w:rsid w:val="00A10896"/>
    <w:rsid w:val="00A10C79"/>
    <w:rsid w:val="00A110F7"/>
    <w:rsid w:val="00A114EB"/>
    <w:rsid w:val="00A11766"/>
    <w:rsid w:val="00A119BE"/>
    <w:rsid w:val="00A11AE7"/>
    <w:rsid w:val="00A11B33"/>
    <w:rsid w:val="00A11BA6"/>
    <w:rsid w:val="00A11D24"/>
    <w:rsid w:val="00A12A10"/>
    <w:rsid w:val="00A12FBF"/>
    <w:rsid w:val="00A12FE1"/>
    <w:rsid w:val="00A13358"/>
    <w:rsid w:val="00A134A9"/>
    <w:rsid w:val="00A134D2"/>
    <w:rsid w:val="00A13657"/>
    <w:rsid w:val="00A13FC3"/>
    <w:rsid w:val="00A14020"/>
    <w:rsid w:val="00A14C85"/>
    <w:rsid w:val="00A15956"/>
    <w:rsid w:val="00A15AA5"/>
    <w:rsid w:val="00A15DF7"/>
    <w:rsid w:val="00A162FB"/>
    <w:rsid w:val="00A16B2B"/>
    <w:rsid w:val="00A16B88"/>
    <w:rsid w:val="00A16F58"/>
    <w:rsid w:val="00A171D6"/>
    <w:rsid w:val="00A17241"/>
    <w:rsid w:val="00A17387"/>
    <w:rsid w:val="00A17553"/>
    <w:rsid w:val="00A17A5C"/>
    <w:rsid w:val="00A17B9F"/>
    <w:rsid w:val="00A17C95"/>
    <w:rsid w:val="00A17EA8"/>
    <w:rsid w:val="00A20271"/>
    <w:rsid w:val="00A20321"/>
    <w:rsid w:val="00A20636"/>
    <w:rsid w:val="00A217DF"/>
    <w:rsid w:val="00A21891"/>
    <w:rsid w:val="00A21A1F"/>
    <w:rsid w:val="00A21F97"/>
    <w:rsid w:val="00A22211"/>
    <w:rsid w:val="00A22237"/>
    <w:rsid w:val="00A2256F"/>
    <w:rsid w:val="00A22658"/>
    <w:rsid w:val="00A22E42"/>
    <w:rsid w:val="00A22F19"/>
    <w:rsid w:val="00A22F6D"/>
    <w:rsid w:val="00A23541"/>
    <w:rsid w:val="00A23746"/>
    <w:rsid w:val="00A23A56"/>
    <w:rsid w:val="00A23B9B"/>
    <w:rsid w:val="00A23E12"/>
    <w:rsid w:val="00A2407A"/>
    <w:rsid w:val="00A2423B"/>
    <w:rsid w:val="00A243D5"/>
    <w:rsid w:val="00A25018"/>
    <w:rsid w:val="00A25341"/>
    <w:rsid w:val="00A256B8"/>
    <w:rsid w:val="00A25777"/>
    <w:rsid w:val="00A25FC4"/>
    <w:rsid w:val="00A26BF1"/>
    <w:rsid w:val="00A27241"/>
    <w:rsid w:val="00A27363"/>
    <w:rsid w:val="00A2749F"/>
    <w:rsid w:val="00A27FF0"/>
    <w:rsid w:val="00A308A4"/>
    <w:rsid w:val="00A310D1"/>
    <w:rsid w:val="00A310FE"/>
    <w:rsid w:val="00A3114C"/>
    <w:rsid w:val="00A311C6"/>
    <w:rsid w:val="00A3122C"/>
    <w:rsid w:val="00A31272"/>
    <w:rsid w:val="00A315B2"/>
    <w:rsid w:val="00A316ED"/>
    <w:rsid w:val="00A321F8"/>
    <w:rsid w:val="00A32246"/>
    <w:rsid w:val="00A3250C"/>
    <w:rsid w:val="00A32739"/>
    <w:rsid w:val="00A32ED6"/>
    <w:rsid w:val="00A32FAB"/>
    <w:rsid w:val="00A33212"/>
    <w:rsid w:val="00A34AC5"/>
    <w:rsid w:val="00A34EEE"/>
    <w:rsid w:val="00A35110"/>
    <w:rsid w:val="00A3535E"/>
    <w:rsid w:val="00A3579F"/>
    <w:rsid w:val="00A3626D"/>
    <w:rsid w:val="00A3628A"/>
    <w:rsid w:val="00A36532"/>
    <w:rsid w:val="00A36ABC"/>
    <w:rsid w:val="00A36BCC"/>
    <w:rsid w:val="00A36D83"/>
    <w:rsid w:val="00A37234"/>
    <w:rsid w:val="00A37426"/>
    <w:rsid w:val="00A37496"/>
    <w:rsid w:val="00A40338"/>
    <w:rsid w:val="00A40594"/>
    <w:rsid w:val="00A407C6"/>
    <w:rsid w:val="00A408D2"/>
    <w:rsid w:val="00A40C9E"/>
    <w:rsid w:val="00A41484"/>
    <w:rsid w:val="00A414C0"/>
    <w:rsid w:val="00A416F4"/>
    <w:rsid w:val="00A41A49"/>
    <w:rsid w:val="00A41E38"/>
    <w:rsid w:val="00A42BB1"/>
    <w:rsid w:val="00A42C64"/>
    <w:rsid w:val="00A42DF2"/>
    <w:rsid w:val="00A433E5"/>
    <w:rsid w:val="00A43DBA"/>
    <w:rsid w:val="00A43E20"/>
    <w:rsid w:val="00A442A6"/>
    <w:rsid w:val="00A44352"/>
    <w:rsid w:val="00A44690"/>
    <w:rsid w:val="00A447AA"/>
    <w:rsid w:val="00A44913"/>
    <w:rsid w:val="00A44D87"/>
    <w:rsid w:val="00A45271"/>
    <w:rsid w:val="00A45319"/>
    <w:rsid w:val="00A459B5"/>
    <w:rsid w:val="00A45CEE"/>
    <w:rsid w:val="00A46ACC"/>
    <w:rsid w:val="00A46D9A"/>
    <w:rsid w:val="00A47161"/>
    <w:rsid w:val="00A47650"/>
    <w:rsid w:val="00A47993"/>
    <w:rsid w:val="00A47A7C"/>
    <w:rsid w:val="00A47A8F"/>
    <w:rsid w:val="00A47BD8"/>
    <w:rsid w:val="00A47F0F"/>
    <w:rsid w:val="00A47F1D"/>
    <w:rsid w:val="00A47F1E"/>
    <w:rsid w:val="00A47FCD"/>
    <w:rsid w:val="00A50345"/>
    <w:rsid w:val="00A5045B"/>
    <w:rsid w:val="00A5058A"/>
    <w:rsid w:val="00A506A9"/>
    <w:rsid w:val="00A50AE0"/>
    <w:rsid w:val="00A51532"/>
    <w:rsid w:val="00A5174C"/>
    <w:rsid w:val="00A51DD9"/>
    <w:rsid w:val="00A51FAF"/>
    <w:rsid w:val="00A524AF"/>
    <w:rsid w:val="00A52DFA"/>
    <w:rsid w:val="00A53126"/>
    <w:rsid w:val="00A5355B"/>
    <w:rsid w:val="00A535DF"/>
    <w:rsid w:val="00A5378C"/>
    <w:rsid w:val="00A53A89"/>
    <w:rsid w:val="00A53D6A"/>
    <w:rsid w:val="00A54593"/>
    <w:rsid w:val="00A545A2"/>
    <w:rsid w:val="00A54708"/>
    <w:rsid w:val="00A54CCF"/>
    <w:rsid w:val="00A550B9"/>
    <w:rsid w:val="00A55530"/>
    <w:rsid w:val="00A55B24"/>
    <w:rsid w:val="00A56108"/>
    <w:rsid w:val="00A5645C"/>
    <w:rsid w:val="00A56AD9"/>
    <w:rsid w:val="00A56F0A"/>
    <w:rsid w:val="00A571A5"/>
    <w:rsid w:val="00A57298"/>
    <w:rsid w:val="00A5741F"/>
    <w:rsid w:val="00A57467"/>
    <w:rsid w:val="00A579EC"/>
    <w:rsid w:val="00A57D48"/>
    <w:rsid w:val="00A57D99"/>
    <w:rsid w:val="00A57F55"/>
    <w:rsid w:val="00A6063A"/>
    <w:rsid w:val="00A60A48"/>
    <w:rsid w:val="00A60B8F"/>
    <w:rsid w:val="00A60C57"/>
    <w:rsid w:val="00A60E2D"/>
    <w:rsid w:val="00A60F34"/>
    <w:rsid w:val="00A61573"/>
    <w:rsid w:val="00A6176A"/>
    <w:rsid w:val="00A619B2"/>
    <w:rsid w:val="00A61DBB"/>
    <w:rsid w:val="00A61E26"/>
    <w:rsid w:val="00A61E28"/>
    <w:rsid w:val="00A62D45"/>
    <w:rsid w:val="00A63071"/>
    <w:rsid w:val="00A637D4"/>
    <w:rsid w:val="00A63BF5"/>
    <w:rsid w:val="00A63F78"/>
    <w:rsid w:val="00A63FA6"/>
    <w:rsid w:val="00A64336"/>
    <w:rsid w:val="00A649B3"/>
    <w:rsid w:val="00A64C33"/>
    <w:rsid w:val="00A64D73"/>
    <w:rsid w:val="00A650C3"/>
    <w:rsid w:val="00A6518A"/>
    <w:rsid w:val="00A6547D"/>
    <w:rsid w:val="00A65499"/>
    <w:rsid w:val="00A6579D"/>
    <w:rsid w:val="00A65CA7"/>
    <w:rsid w:val="00A65E6E"/>
    <w:rsid w:val="00A6613D"/>
    <w:rsid w:val="00A664EF"/>
    <w:rsid w:val="00A66691"/>
    <w:rsid w:val="00A66EC4"/>
    <w:rsid w:val="00A678C4"/>
    <w:rsid w:val="00A707AB"/>
    <w:rsid w:val="00A70E0D"/>
    <w:rsid w:val="00A70F4E"/>
    <w:rsid w:val="00A71824"/>
    <w:rsid w:val="00A71D06"/>
    <w:rsid w:val="00A71F48"/>
    <w:rsid w:val="00A71F59"/>
    <w:rsid w:val="00A72898"/>
    <w:rsid w:val="00A731EB"/>
    <w:rsid w:val="00A7363D"/>
    <w:rsid w:val="00A73647"/>
    <w:rsid w:val="00A738BB"/>
    <w:rsid w:val="00A74187"/>
    <w:rsid w:val="00A74C23"/>
    <w:rsid w:val="00A74F4B"/>
    <w:rsid w:val="00A7533F"/>
    <w:rsid w:val="00A75697"/>
    <w:rsid w:val="00A7590A"/>
    <w:rsid w:val="00A760BA"/>
    <w:rsid w:val="00A760D8"/>
    <w:rsid w:val="00A76387"/>
    <w:rsid w:val="00A76567"/>
    <w:rsid w:val="00A76B0C"/>
    <w:rsid w:val="00A77ADB"/>
    <w:rsid w:val="00A77F8C"/>
    <w:rsid w:val="00A80063"/>
    <w:rsid w:val="00A80212"/>
    <w:rsid w:val="00A80301"/>
    <w:rsid w:val="00A8039F"/>
    <w:rsid w:val="00A80492"/>
    <w:rsid w:val="00A806D9"/>
    <w:rsid w:val="00A80722"/>
    <w:rsid w:val="00A81208"/>
    <w:rsid w:val="00A817C5"/>
    <w:rsid w:val="00A82043"/>
    <w:rsid w:val="00A82153"/>
    <w:rsid w:val="00A82288"/>
    <w:rsid w:val="00A826FD"/>
    <w:rsid w:val="00A829F8"/>
    <w:rsid w:val="00A838C4"/>
    <w:rsid w:val="00A83CF7"/>
    <w:rsid w:val="00A83DC6"/>
    <w:rsid w:val="00A8403F"/>
    <w:rsid w:val="00A84476"/>
    <w:rsid w:val="00A84DC5"/>
    <w:rsid w:val="00A852A9"/>
    <w:rsid w:val="00A8543D"/>
    <w:rsid w:val="00A85513"/>
    <w:rsid w:val="00A8567C"/>
    <w:rsid w:val="00A85758"/>
    <w:rsid w:val="00A85CD8"/>
    <w:rsid w:val="00A860AE"/>
    <w:rsid w:val="00A86110"/>
    <w:rsid w:val="00A864F3"/>
    <w:rsid w:val="00A87529"/>
    <w:rsid w:val="00A87B6A"/>
    <w:rsid w:val="00A901E6"/>
    <w:rsid w:val="00A90223"/>
    <w:rsid w:val="00A90ABF"/>
    <w:rsid w:val="00A9165A"/>
    <w:rsid w:val="00A917A0"/>
    <w:rsid w:val="00A91E86"/>
    <w:rsid w:val="00A92464"/>
    <w:rsid w:val="00A92F7A"/>
    <w:rsid w:val="00A92FB4"/>
    <w:rsid w:val="00A93302"/>
    <w:rsid w:val="00A9375F"/>
    <w:rsid w:val="00A941B1"/>
    <w:rsid w:val="00A9481E"/>
    <w:rsid w:val="00A94C6D"/>
    <w:rsid w:val="00A94CD2"/>
    <w:rsid w:val="00A94D11"/>
    <w:rsid w:val="00A9583E"/>
    <w:rsid w:val="00A95EBD"/>
    <w:rsid w:val="00A97036"/>
    <w:rsid w:val="00A970D8"/>
    <w:rsid w:val="00A971FC"/>
    <w:rsid w:val="00A973E3"/>
    <w:rsid w:val="00A9759D"/>
    <w:rsid w:val="00A97761"/>
    <w:rsid w:val="00A97768"/>
    <w:rsid w:val="00AA04E6"/>
    <w:rsid w:val="00AA081E"/>
    <w:rsid w:val="00AA09B0"/>
    <w:rsid w:val="00AA113C"/>
    <w:rsid w:val="00AA1291"/>
    <w:rsid w:val="00AA1CE4"/>
    <w:rsid w:val="00AA2119"/>
    <w:rsid w:val="00AA2A4D"/>
    <w:rsid w:val="00AA3DB1"/>
    <w:rsid w:val="00AA3F87"/>
    <w:rsid w:val="00AA49D7"/>
    <w:rsid w:val="00AA4A66"/>
    <w:rsid w:val="00AA4D1B"/>
    <w:rsid w:val="00AA5072"/>
    <w:rsid w:val="00AA50B4"/>
    <w:rsid w:val="00AA5257"/>
    <w:rsid w:val="00AA5D18"/>
    <w:rsid w:val="00AA5DEF"/>
    <w:rsid w:val="00AA5E96"/>
    <w:rsid w:val="00AA5EF4"/>
    <w:rsid w:val="00AA6076"/>
    <w:rsid w:val="00AA62F9"/>
    <w:rsid w:val="00AA63E5"/>
    <w:rsid w:val="00AA64B6"/>
    <w:rsid w:val="00AA64E5"/>
    <w:rsid w:val="00AA6936"/>
    <w:rsid w:val="00AA6AAE"/>
    <w:rsid w:val="00AA6F86"/>
    <w:rsid w:val="00AA7349"/>
    <w:rsid w:val="00AA73EC"/>
    <w:rsid w:val="00AA78E3"/>
    <w:rsid w:val="00AB011F"/>
    <w:rsid w:val="00AB02DA"/>
    <w:rsid w:val="00AB0381"/>
    <w:rsid w:val="00AB0610"/>
    <w:rsid w:val="00AB09B3"/>
    <w:rsid w:val="00AB0ADB"/>
    <w:rsid w:val="00AB29F2"/>
    <w:rsid w:val="00AB2B87"/>
    <w:rsid w:val="00AB2CA7"/>
    <w:rsid w:val="00AB3680"/>
    <w:rsid w:val="00AB37A8"/>
    <w:rsid w:val="00AB39BB"/>
    <w:rsid w:val="00AB3F1E"/>
    <w:rsid w:val="00AB3F67"/>
    <w:rsid w:val="00AB4554"/>
    <w:rsid w:val="00AB49C3"/>
    <w:rsid w:val="00AB4DD0"/>
    <w:rsid w:val="00AB552D"/>
    <w:rsid w:val="00AB5D0A"/>
    <w:rsid w:val="00AB64E2"/>
    <w:rsid w:val="00AB6E1C"/>
    <w:rsid w:val="00AB6E4D"/>
    <w:rsid w:val="00AB6F88"/>
    <w:rsid w:val="00AB7A0D"/>
    <w:rsid w:val="00AC03BB"/>
    <w:rsid w:val="00AC08CA"/>
    <w:rsid w:val="00AC12B7"/>
    <w:rsid w:val="00AC1383"/>
    <w:rsid w:val="00AC153B"/>
    <w:rsid w:val="00AC1707"/>
    <w:rsid w:val="00AC2A68"/>
    <w:rsid w:val="00AC2BB2"/>
    <w:rsid w:val="00AC2F8D"/>
    <w:rsid w:val="00AC3097"/>
    <w:rsid w:val="00AC35ED"/>
    <w:rsid w:val="00AC3D0F"/>
    <w:rsid w:val="00AC408F"/>
    <w:rsid w:val="00AC4BAE"/>
    <w:rsid w:val="00AC5301"/>
    <w:rsid w:val="00AC5913"/>
    <w:rsid w:val="00AC5AB7"/>
    <w:rsid w:val="00AC6628"/>
    <w:rsid w:val="00AC66B8"/>
    <w:rsid w:val="00AC6D2F"/>
    <w:rsid w:val="00AC7283"/>
    <w:rsid w:val="00AC73A1"/>
    <w:rsid w:val="00AC7997"/>
    <w:rsid w:val="00AD046A"/>
    <w:rsid w:val="00AD07A8"/>
    <w:rsid w:val="00AD08E4"/>
    <w:rsid w:val="00AD0BFB"/>
    <w:rsid w:val="00AD102A"/>
    <w:rsid w:val="00AD11E9"/>
    <w:rsid w:val="00AD128E"/>
    <w:rsid w:val="00AD1789"/>
    <w:rsid w:val="00AD1E2A"/>
    <w:rsid w:val="00AD1FCA"/>
    <w:rsid w:val="00AD2098"/>
    <w:rsid w:val="00AD2A5C"/>
    <w:rsid w:val="00AD2AB5"/>
    <w:rsid w:val="00AD2EE0"/>
    <w:rsid w:val="00AD3644"/>
    <w:rsid w:val="00AD383C"/>
    <w:rsid w:val="00AD3B29"/>
    <w:rsid w:val="00AD4642"/>
    <w:rsid w:val="00AD4867"/>
    <w:rsid w:val="00AD53BC"/>
    <w:rsid w:val="00AD5451"/>
    <w:rsid w:val="00AD54E0"/>
    <w:rsid w:val="00AD57A9"/>
    <w:rsid w:val="00AD5C90"/>
    <w:rsid w:val="00AD5F0F"/>
    <w:rsid w:val="00AD611C"/>
    <w:rsid w:val="00AD62E5"/>
    <w:rsid w:val="00AD66A5"/>
    <w:rsid w:val="00AD67BA"/>
    <w:rsid w:val="00AD6908"/>
    <w:rsid w:val="00AD6B13"/>
    <w:rsid w:val="00AD740B"/>
    <w:rsid w:val="00AD75F0"/>
    <w:rsid w:val="00AD7956"/>
    <w:rsid w:val="00AE05CA"/>
    <w:rsid w:val="00AE08F3"/>
    <w:rsid w:val="00AE0A42"/>
    <w:rsid w:val="00AE0E0E"/>
    <w:rsid w:val="00AE0FEA"/>
    <w:rsid w:val="00AE1083"/>
    <w:rsid w:val="00AE15B5"/>
    <w:rsid w:val="00AE17F6"/>
    <w:rsid w:val="00AE1C06"/>
    <w:rsid w:val="00AE20CF"/>
    <w:rsid w:val="00AE2126"/>
    <w:rsid w:val="00AE2917"/>
    <w:rsid w:val="00AE2E34"/>
    <w:rsid w:val="00AE3333"/>
    <w:rsid w:val="00AE3508"/>
    <w:rsid w:val="00AE386B"/>
    <w:rsid w:val="00AE478B"/>
    <w:rsid w:val="00AE4B7E"/>
    <w:rsid w:val="00AE5461"/>
    <w:rsid w:val="00AE5514"/>
    <w:rsid w:val="00AE558B"/>
    <w:rsid w:val="00AE58C1"/>
    <w:rsid w:val="00AE5B23"/>
    <w:rsid w:val="00AE6319"/>
    <w:rsid w:val="00AE64B4"/>
    <w:rsid w:val="00AE6685"/>
    <w:rsid w:val="00AE6911"/>
    <w:rsid w:val="00AE6D1A"/>
    <w:rsid w:val="00AE7160"/>
    <w:rsid w:val="00AE7264"/>
    <w:rsid w:val="00AE7280"/>
    <w:rsid w:val="00AE75B3"/>
    <w:rsid w:val="00AF068D"/>
    <w:rsid w:val="00AF08FA"/>
    <w:rsid w:val="00AF096F"/>
    <w:rsid w:val="00AF0C94"/>
    <w:rsid w:val="00AF0D64"/>
    <w:rsid w:val="00AF0DE9"/>
    <w:rsid w:val="00AF0F87"/>
    <w:rsid w:val="00AF13CD"/>
    <w:rsid w:val="00AF1458"/>
    <w:rsid w:val="00AF1822"/>
    <w:rsid w:val="00AF18A7"/>
    <w:rsid w:val="00AF1DE0"/>
    <w:rsid w:val="00AF225F"/>
    <w:rsid w:val="00AF233E"/>
    <w:rsid w:val="00AF2A12"/>
    <w:rsid w:val="00AF2ABD"/>
    <w:rsid w:val="00AF2F66"/>
    <w:rsid w:val="00AF3141"/>
    <w:rsid w:val="00AF326C"/>
    <w:rsid w:val="00AF3740"/>
    <w:rsid w:val="00AF3A21"/>
    <w:rsid w:val="00AF576C"/>
    <w:rsid w:val="00AF5C10"/>
    <w:rsid w:val="00AF5D85"/>
    <w:rsid w:val="00AF5D98"/>
    <w:rsid w:val="00AF5F9C"/>
    <w:rsid w:val="00AF629C"/>
    <w:rsid w:val="00AF6383"/>
    <w:rsid w:val="00AF65D7"/>
    <w:rsid w:val="00AF6655"/>
    <w:rsid w:val="00AF7187"/>
    <w:rsid w:val="00AF760B"/>
    <w:rsid w:val="00AF7717"/>
    <w:rsid w:val="00AF794A"/>
    <w:rsid w:val="00AF7B4C"/>
    <w:rsid w:val="00AF7C36"/>
    <w:rsid w:val="00AF7E8E"/>
    <w:rsid w:val="00AF7FDB"/>
    <w:rsid w:val="00B00044"/>
    <w:rsid w:val="00B00194"/>
    <w:rsid w:val="00B00403"/>
    <w:rsid w:val="00B00846"/>
    <w:rsid w:val="00B00B88"/>
    <w:rsid w:val="00B00F2E"/>
    <w:rsid w:val="00B01149"/>
    <w:rsid w:val="00B016F7"/>
    <w:rsid w:val="00B02024"/>
    <w:rsid w:val="00B03169"/>
    <w:rsid w:val="00B03558"/>
    <w:rsid w:val="00B0374F"/>
    <w:rsid w:val="00B0380A"/>
    <w:rsid w:val="00B03DEB"/>
    <w:rsid w:val="00B03F22"/>
    <w:rsid w:val="00B052EB"/>
    <w:rsid w:val="00B05511"/>
    <w:rsid w:val="00B05C8E"/>
    <w:rsid w:val="00B05F8B"/>
    <w:rsid w:val="00B067A8"/>
    <w:rsid w:val="00B0685D"/>
    <w:rsid w:val="00B0698A"/>
    <w:rsid w:val="00B06A36"/>
    <w:rsid w:val="00B06ABE"/>
    <w:rsid w:val="00B06C92"/>
    <w:rsid w:val="00B0701F"/>
    <w:rsid w:val="00B07051"/>
    <w:rsid w:val="00B071D5"/>
    <w:rsid w:val="00B072BC"/>
    <w:rsid w:val="00B074C9"/>
    <w:rsid w:val="00B07619"/>
    <w:rsid w:val="00B07E5A"/>
    <w:rsid w:val="00B104DC"/>
    <w:rsid w:val="00B11447"/>
    <w:rsid w:val="00B115E8"/>
    <w:rsid w:val="00B11ECF"/>
    <w:rsid w:val="00B121A0"/>
    <w:rsid w:val="00B1245B"/>
    <w:rsid w:val="00B126DD"/>
    <w:rsid w:val="00B12866"/>
    <w:rsid w:val="00B12E42"/>
    <w:rsid w:val="00B130D1"/>
    <w:rsid w:val="00B1346A"/>
    <w:rsid w:val="00B134E9"/>
    <w:rsid w:val="00B13A46"/>
    <w:rsid w:val="00B13CE0"/>
    <w:rsid w:val="00B13F61"/>
    <w:rsid w:val="00B1425F"/>
    <w:rsid w:val="00B1431A"/>
    <w:rsid w:val="00B1449F"/>
    <w:rsid w:val="00B14600"/>
    <w:rsid w:val="00B147C1"/>
    <w:rsid w:val="00B14BC1"/>
    <w:rsid w:val="00B16608"/>
    <w:rsid w:val="00B16999"/>
    <w:rsid w:val="00B16AB9"/>
    <w:rsid w:val="00B16BF1"/>
    <w:rsid w:val="00B16FBC"/>
    <w:rsid w:val="00B170A8"/>
    <w:rsid w:val="00B172AD"/>
    <w:rsid w:val="00B1763E"/>
    <w:rsid w:val="00B17A8F"/>
    <w:rsid w:val="00B17D99"/>
    <w:rsid w:val="00B2001C"/>
    <w:rsid w:val="00B20E4C"/>
    <w:rsid w:val="00B2111E"/>
    <w:rsid w:val="00B211BE"/>
    <w:rsid w:val="00B21401"/>
    <w:rsid w:val="00B219DC"/>
    <w:rsid w:val="00B21A80"/>
    <w:rsid w:val="00B21F17"/>
    <w:rsid w:val="00B22152"/>
    <w:rsid w:val="00B22195"/>
    <w:rsid w:val="00B226AA"/>
    <w:rsid w:val="00B2270F"/>
    <w:rsid w:val="00B22C56"/>
    <w:rsid w:val="00B22CB3"/>
    <w:rsid w:val="00B22CBA"/>
    <w:rsid w:val="00B22E38"/>
    <w:rsid w:val="00B23112"/>
    <w:rsid w:val="00B23653"/>
    <w:rsid w:val="00B237AB"/>
    <w:rsid w:val="00B238EE"/>
    <w:rsid w:val="00B244D0"/>
    <w:rsid w:val="00B244EB"/>
    <w:rsid w:val="00B24681"/>
    <w:rsid w:val="00B248C0"/>
    <w:rsid w:val="00B25C34"/>
    <w:rsid w:val="00B26206"/>
    <w:rsid w:val="00B27814"/>
    <w:rsid w:val="00B27939"/>
    <w:rsid w:val="00B27BE5"/>
    <w:rsid w:val="00B27FFC"/>
    <w:rsid w:val="00B30294"/>
    <w:rsid w:val="00B30BA3"/>
    <w:rsid w:val="00B31298"/>
    <w:rsid w:val="00B319F1"/>
    <w:rsid w:val="00B31ACB"/>
    <w:rsid w:val="00B31D9F"/>
    <w:rsid w:val="00B31DB2"/>
    <w:rsid w:val="00B31F25"/>
    <w:rsid w:val="00B31FCF"/>
    <w:rsid w:val="00B32334"/>
    <w:rsid w:val="00B324B3"/>
    <w:rsid w:val="00B3271C"/>
    <w:rsid w:val="00B32B8F"/>
    <w:rsid w:val="00B32B97"/>
    <w:rsid w:val="00B32BB8"/>
    <w:rsid w:val="00B3314D"/>
    <w:rsid w:val="00B335E7"/>
    <w:rsid w:val="00B33A86"/>
    <w:rsid w:val="00B347BD"/>
    <w:rsid w:val="00B348FE"/>
    <w:rsid w:val="00B349D9"/>
    <w:rsid w:val="00B34C6D"/>
    <w:rsid w:val="00B34CF7"/>
    <w:rsid w:val="00B34F38"/>
    <w:rsid w:val="00B350F4"/>
    <w:rsid w:val="00B360EB"/>
    <w:rsid w:val="00B36927"/>
    <w:rsid w:val="00B36A71"/>
    <w:rsid w:val="00B36CEC"/>
    <w:rsid w:val="00B371A8"/>
    <w:rsid w:val="00B37D95"/>
    <w:rsid w:val="00B40054"/>
    <w:rsid w:val="00B40766"/>
    <w:rsid w:val="00B409FA"/>
    <w:rsid w:val="00B40B82"/>
    <w:rsid w:val="00B40E7F"/>
    <w:rsid w:val="00B410B7"/>
    <w:rsid w:val="00B41414"/>
    <w:rsid w:val="00B419BB"/>
    <w:rsid w:val="00B420C7"/>
    <w:rsid w:val="00B422A9"/>
    <w:rsid w:val="00B42426"/>
    <w:rsid w:val="00B42982"/>
    <w:rsid w:val="00B42ED5"/>
    <w:rsid w:val="00B43290"/>
    <w:rsid w:val="00B43E8F"/>
    <w:rsid w:val="00B440C2"/>
    <w:rsid w:val="00B440C7"/>
    <w:rsid w:val="00B440E3"/>
    <w:rsid w:val="00B44692"/>
    <w:rsid w:val="00B44B02"/>
    <w:rsid w:val="00B451CD"/>
    <w:rsid w:val="00B4549E"/>
    <w:rsid w:val="00B45885"/>
    <w:rsid w:val="00B45986"/>
    <w:rsid w:val="00B46402"/>
    <w:rsid w:val="00B4667D"/>
    <w:rsid w:val="00B46DAD"/>
    <w:rsid w:val="00B46E5D"/>
    <w:rsid w:val="00B471D7"/>
    <w:rsid w:val="00B4765C"/>
    <w:rsid w:val="00B47BCD"/>
    <w:rsid w:val="00B47DB5"/>
    <w:rsid w:val="00B50035"/>
    <w:rsid w:val="00B501ED"/>
    <w:rsid w:val="00B5021E"/>
    <w:rsid w:val="00B502C1"/>
    <w:rsid w:val="00B50B22"/>
    <w:rsid w:val="00B50CE1"/>
    <w:rsid w:val="00B513D5"/>
    <w:rsid w:val="00B51409"/>
    <w:rsid w:val="00B51627"/>
    <w:rsid w:val="00B518E4"/>
    <w:rsid w:val="00B51DAA"/>
    <w:rsid w:val="00B51EA6"/>
    <w:rsid w:val="00B5241D"/>
    <w:rsid w:val="00B5291E"/>
    <w:rsid w:val="00B52B73"/>
    <w:rsid w:val="00B52F36"/>
    <w:rsid w:val="00B530E6"/>
    <w:rsid w:val="00B534E3"/>
    <w:rsid w:val="00B53E08"/>
    <w:rsid w:val="00B540B9"/>
    <w:rsid w:val="00B540D1"/>
    <w:rsid w:val="00B543E0"/>
    <w:rsid w:val="00B54DC7"/>
    <w:rsid w:val="00B551D6"/>
    <w:rsid w:val="00B555D1"/>
    <w:rsid w:val="00B5597D"/>
    <w:rsid w:val="00B55C05"/>
    <w:rsid w:val="00B55FF7"/>
    <w:rsid w:val="00B56247"/>
    <w:rsid w:val="00B562E6"/>
    <w:rsid w:val="00B5634B"/>
    <w:rsid w:val="00B5642E"/>
    <w:rsid w:val="00B56A58"/>
    <w:rsid w:val="00B57145"/>
    <w:rsid w:val="00B571B1"/>
    <w:rsid w:val="00B578E8"/>
    <w:rsid w:val="00B579CF"/>
    <w:rsid w:val="00B57FDE"/>
    <w:rsid w:val="00B6034B"/>
    <w:rsid w:val="00B605C9"/>
    <w:rsid w:val="00B610D4"/>
    <w:rsid w:val="00B61B61"/>
    <w:rsid w:val="00B62982"/>
    <w:rsid w:val="00B62A29"/>
    <w:rsid w:val="00B62CED"/>
    <w:rsid w:val="00B62F2D"/>
    <w:rsid w:val="00B6354E"/>
    <w:rsid w:val="00B6394C"/>
    <w:rsid w:val="00B63EBE"/>
    <w:rsid w:val="00B64150"/>
    <w:rsid w:val="00B64A4B"/>
    <w:rsid w:val="00B652A6"/>
    <w:rsid w:val="00B655E6"/>
    <w:rsid w:val="00B65661"/>
    <w:rsid w:val="00B65E34"/>
    <w:rsid w:val="00B6655D"/>
    <w:rsid w:val="00B666FC"/>
    <w:rsid w:val="00B6679F"/>
    <w:rsid w:val="00B66FB5"/>
    <w:rsid w:val="00B67310"/>
    <w:rsid w:val="00B673C7"/>
    <w:rsid w:val="00B67E8D"/>
    <w:rsid w:val="00B70107"/>
    <w:rsid w:val="00B70563"/>
    <w:rsid w:val="00B705BB"/>
    <w:rsid w:val="00B70709"/>
    <w:rsid w:val="00B7081F"/>
    <w:rsid w:val="00B70A7F"/>
    <w:rsid w:val="00B70B18"/>
    <w:rsid w:val="00B70B32"/>
    <w:rsid w:val="00B70B8A"/>
    <w:rsid w:val="00B70EDA"/>
    <w:rsid w:val="00B7195B"/>
    <w:rsid w:val="00B719DB"/>
    <w:rsid w:val="00B71B96"/>
    <w:rsid w:val="00B71CCB"/>
    <w:rsid w:val="00B727D3"/>
    <w:rsid w:val="00B72FEB"/>
    <w:rsid w:val="00B73070"/>
    <w:rsid w:val="00B736C4"/>
    <w:rsid w:val="00B73BCF"/>
    <w:rsid w:val="00B749FB"/>
    <w:rsid w:val="00B74BAE"/>
    <w:rsid w:val="00B74FB8"/>
    <w:rsid w:val="00B753A9"/>
    <w:rsid w:val="00B75861"/>
    <w:rsid w:val="00B7600F"/>
    <w:rsid w:val="00B76301"/>
    <w:rsid w:val="00B763F1"/>
    <w:rsid w:val="00B764F3"/>
    <w:rsid w:val="00B76BA4"/>
    <w:rsid w:val="00B76C4E"/>
    <w:rsid w:val="00B77178"/>
    <w:rsid w:val="00B772B2"/>
    <w:rsid w:val="00B80007"/>
    <w:rsid w:val="00B8019C"/>
    <w:rsid w:val="00B80D93"/>
    <w:rsid w:val="00B80D97"/>
    <w:rsid w:val="00B81007"/>
    <w:rsid w:val="00B8128A"/>
    <w:rsid w:val="00B8139F"/>
    <w:rsid w:val="00B819BB"/>
    <w:rsid w:val="00B81D28"/>
    <w:rsid w:val="00B82171"/>
    <w:rsid w:val="00B825F0"/>
    <w:rsid w:val="00B82865"/>
    <w:rsid w:val="00B82983"/>
    <w:rsid w:val="00B82CF7"/>
    <w:rsid w:val="00B82E65"/>
    <w:rsid w:val="00B833DD"/>
    <w:rsid w:val="00B83B22"/>
    <w:rsid w:val="00B83D11"/>
    <w:rsid w:val="00B8409D"/>
    <w:rsid w:val="00B8451C"/>
    <w:rsid w:val="00B85108"/>
    <w:rsid w:val="00B85134"/>
    <w:rsid w:val="00B8523A"/>
    <w:rsid w:val="00B854B5"/>
    <w:rsid w:val="00B85A30"/>
    <w:rsid w:val="00B85B73"/>
    <w:rsid w:val="00B85BCB"/>
    <w:rsid w:val="00B8614C"/>
    <w:rsid w:val="00B86737"/>
    <w:rsid w:val="00B874C6"/>
    <w:rsid w:val="00B87512"/>
    <w:rsid w:val="00B8763C"/>
    <w:rsid w:val="00B878E3"/>
    <w:rsid w:val="00B87AFF"/>
    <w:rsid w:val="00B901FF"/>
    <w:rsid w:val="00B90386"/>
    <w:rsid w:val="00B90789"/>
    <w:rsid w:val="00B90A05"/>
    <w:rsid w:val="00B91600"/>
    <w:rsid w:val="00B916D1"/>
    <w:rsid w:val="00B91AC4"/>
    <w:rsid w:val="00B91DE1"/>
    <w:rsid w:val="00B92289"/>
    <w:rsid w:val="00B92596"/>
    <w:rsid w:val="00B93120"/>
    <w:rsid w:val="00B936F3"/>
    <w:rsid w:val="00B93CD2"/>
    <w:rsid w:val="00B940E3"/>
    <w:rsid w:val="00B94754"/>
    <w:rsid w:val="00B9494C"/>
    <w:rsid w:val="00B94B45"/>
    <w:rsid w:val="00B951A7"/>
    <w:rsid w:val="00B9576D"/>
    <w:rsid w:val="00B95AA2"/>
    <w:rsid w:val="00B965BB"/>
    <w:rsid w:val="00B96628"/>
    <w:rsid w:val="00B968E5"/>
    <w:rsid w:val="00B96905"/>
    <w:rsid w:val="00B97090"/>
    <w:rsid w:val="00B974A4"/>
    <w:rsid w:val="00B977EF"/>
    <w:rsid w:val="00B97DC5"/>
    <w:rsid w:val="00B97DFD"/>
    <w:rsid w:val="00B97ED7"/>
    <w:rsid w:val="00BA0381"/>
    <w:rsid w:val="00BA0509"/>
    <w:rsid w:val="00BA076E"/>
    <w:rsid w:val="00BA1633"/>
    <w:rsid w:val="00BA175D"/>
    <w:rsid w:val="00BA20B7"/>
    <w:rsid w:val="00BA21CE"/>
    <w:rsid w:val="00BA222B"/>
    <w:rsid w:val="00BA23BA"/>
    <w:rsid w:val="00BA24DF"/>
    <w:rsid w:val="00BA34B4"/>
    <w:rsid w:val="00BA37CF"/>
    <w:rsid w:val="00BA38A9"/>
    <w:rsid w:val="00BA39EF"/>
    <w:rsid w:val="00BA4408"/>
    <w:rsid w:val="00BA4485"/>
    <w:rsid w:val="00BA47F4"/>
    <w:rsid w:val="00BA4933"/>
    <w:rsid w:val="00BA4BC2"/>
    <w:rsid w:val="00BA4BF2"/>
    <w:rsid w:val="00BA5149"/>
    <w:rsid w:val="00BA55A0"/>
    <w:rsid w:val="00BA5691"/>
    <w:rsid w:val="00BA5F96"/>
    <w:rsid w:val="00BA6304"/>
    <w:rsid w:val="00BA6410"/>
    <w:rsid w:val="00BA6537"/>
    <w:rsid w:val="00BA6D86"/>
    <w:rsid w:val="00BA70A1"/>
    <w:rsid w:val="00BA7211"/>
    <w:rsid w:val="00BA76FE"/>
    <w:rsid w:val="00BA7919"/>
    <w:rsid w:val="00BA7EA6"/>
    <w:rsid w:val="00BA7FCD"/>
    <w:rsid w:val="00BB034E"/>
    <w:rsid w:val="00BB063C"/>
    <w:rsid w:val="00BB0A97"/>
    <w:rsid w:val="00BB0AE9"/>
    <w:rsid w:val="00BB0CF1"/>
    <w:rsid w:val="00BB1169"/>
    <w:rsid w:val="00BB15BA"/>
    <w:rsid w:val="00BB1C0D"/>
    <w:rsid w:val="00BB1F8E"/>
    <w:rsid w:val="00BB32C5"/>
    <w:rsid w:val="00BB35C9"/>
    <w:rsid w:val="00BB35ED"/>
    <w:rsid w:val="00BB48D2"/>
    <w:rsid w:val="00BB4A21"/>
    <w:rsid w:val="00BB5229"/>
    <w:rsid w:val="00BB547F"/>
    <w:rsid w:val="00BB558F"/>
    <w:rsid w:val="00BB5B97"/>
    <w:rsid w:val="00BB5FB8"/>
    <w:rsid w:val="00BB75CE"/>
    <w:rsid w:val="00BB76CA"/>
    <w:rsid w:val="00BB7796"/>
    <w:rsid w:val="00BB7A1A"/>
    <w:rsid w:val="00BB7C42"/>
    <w:rsid w:val="00BB7D27"/>
    <w:rsid w:val="00BC0680"/>
    <w:rsid w:val="00BC0C0E"/>
    <w:rsid w:val="00BC0FB6"/>
    <w:rsid w:val="00BC141B"/>
    <w:rsid w:val="00BC14F5"/>
    <w:rsid w:val="00BC15CE"/>
    <w:rsid w:val="00BC17F4"/>
    <w:rsid w:val="00BC1826"/>
    <w:rsid w:val="00BC1B40"/>
    <w:rsid w:val="00BC1EA6"/>
    <w:rsid w:val="00BC208C"/>
    <w:rsid w:val="00BC2629"/>
    <w:rsid w:val="00BC27EB"/>
    <w:rsid w:val="00BC31CF"/>
    <w:rsid w:val="00BC31D6"/>
    <w:rsid w:val="00BC32EF"/>
    <w:rsid w:val="00BC345E"/>
    <w:rsid w:val="00BC360F"/>
    <w:rsid w:val="00BC3D54"/>
    <w:rsid w:val="00BC43F6"/>
    <w:rsid w:val="00BC440B"/>
    <w:rsid w:val="00BC49E0"/>
    <w:rsid w:val="00BC4E15"/>
    <w:rsid w:val="00BC5224"/>
    <w:rsid w:val="00BC5643"/>
    <w:rsid w:val="00BC5B16"/>
    <w:rsid w:val="00BC5B36"/>
    <w:rsid w:val="00BC5C38"/>
    <w:rsid w:val="00BC6032"/>
    <w:rsid w:val="00BC624B"/>
    <w:rsid w:val="00BC62B8"/>
    <w:rsid w:val="00BC6C9C"/>
    <w:rsid w:val="00BC6F5E"/>
    <w:rsid w:val="00BC7501"/>
    <w:rsid w:val="00BC7796"/>
    <w:rsid w:val="00BC7AEE"/>
    <w:rsid w:val="00BC7BCA"/>
    <w:rsid w:val="00BC7F4B"/>
    <w:rsid w:val="00BD09D2"/>
    <w:rsid w:val="00BD0C7C"/>
    <w:rsid w:val="00BD1007"/>
    <w:rsid w:val="00BD1CBE"/>
    <w:rsid w:val="00BD30F3"/>
    <w:rsid w:val="00BD3CAA"/>
    <w:rsid w:val="00BD42BF"/>
    <w:rsid w:val="00BD4555"/>
    <w:rsid w:val="00BD4B75"/>
    <w:rsid w:val="00BD501A"/>
    <w:rsid w:val="00BD503B"/>
    <w:rsid w:val="00BD5918"/>
    <w:rsid w:val="00BD5C0C"/>
    <w:rsid w:val="00BD5D7A"/>
    <w:rsid w:val="00BD6113"/>
    <w:rsid w:val="00BD6A62"/>
    <w:rsid w:val="00BD6C58"/>
    <w:rsid w:val="00BD6D05"/>
    <w:rsid w:val="00BD6DBC"/>
    <w:rsid w:val="00BD7B0C"/>
    <w:rsid w:val="00BD7F36"/>
    <w:rsid w:val="00BE04D7"/>
    <w:rsid w:val="00BE0B0E"/>
    <w:rsid w:val="00BE0F85"/>
    <w:rsid w:val="00BE1042"/>
    <w:rsid w:val="00BE10FF"/>
    <w:rsid w:val="00BE11B6"/>
    <w:rsid w:val="00BE1621"/>
    <w:rsid w:val="00BE16D9"/>
    <w:rsid w:val="00BE1E03"/>
    <w:rsid w:val="00BE2465"/>
    <w:rsid w:val="00BE2704"/>
    <w:rsid w:val="00BE2C51"/>
    <w:rsid w:val="00BE2E78"/>
    <w:rsid w:val="00BE30AB"/>
    <w:rsid w:val="00BE3164"/>
    <w:rsid w:val="00BE3624"/>
    <w:rsid w:val="00BE3C93"/>
    <w:rsid w:val="00BE3CF4"/>
    <w:rsid w:val="00BE43C0"/>
    <w:rsid w:val="00BE441F"/>
    <w:rsid w:val="00BE536E"/>
    <w:rsid w:val="00BE6138"/>
    <w:rsid w:val="00BE673D"/>
    <w:rsid w:val="00BE678E"/>
    <w:rsid w:val="00BE7835"/>
    <w:rsid w:val="00BE7D28"/>
    <w:rsid w:val="00BE7F7B"/>
    <w:rsid w:val="00BF00E2"/>
    <w:rsid w:val="00BF07DD"/>
    <w:rsid w:val="00BF0865"/>
    <w:rsid w:val="00BF08BF"/>
    <w:rsid w:val="00BF0FD0"/>
    <w:rsid w:val="00BF19C3"/>
    <w:rsid w:val="00BF2140"/>
    <w:rsid w:val="00BF2788"/>
    <w:rsid w:val="00BF2F6C"/>
    <w:rsid w:val="00BF316B"/>
    <w:rsid w:val="00BF3927"/>
    <w:rsid w:val="00BF3C3D"/>
    <w:rsid w:val="00BF3E30"/>
    <w:rsid w:val="00BF42C6"/>
    <w:rsid w:val="00BF4797"/>
    <w:rsid w:val="00BF496B"/>
    <w:rsid w:val="00BF4F81"/>
    <w:rsid w:val="00BF529C"/>
    <w:rsid w:val="00BF52A3"/>
    <w:rsid w:val="00BF54EE"/>
    <w:rsid w:val="00BF5EE0"/>
    <w:rsid w:val="00BF65A3"/>
    <w:rsid w:val="00BF66A1"/>
    <w:rsid w:val="00BF6D6D"/>
    <w:rsid w:val="00BF6D9D"/>
    <w:rsid w:val="00BF6E08"/>
    <w:rsid w:val="00BF6E9E"/>
    <w:rsid w:val="00BF720A"/>
    <w:rsid w:val="00BF7551"/>
    <w:rsid w:val="00BF7696"/>
    <w:rsid w:val="00BF774B"/>
    <w:rsid w:val="00BF7940"/>
    <w:rsid w:val="00BF7B34"/>
    <w:rsid w:val="00C002A9"/>
    <w:rsid w:val="00C007CE"/>
    <w:rsid w:val="00C00813"/>
    <w:rsid w:val="00C00A6F"/>
    <w:rsid w:val="00C00D51"/>
    <w:rsid w:val="00C011E5"/>
    <w:rsid w:val="00C01376"/>
    <w:rsid w:val="00C01430"/>
    <w:rsid w:val="00C0143A"/>
    <w:rsid w:val="00C01808"/>
    <w:rsid w:val="00C01A33"/>
    <w:rsid w:val="00C01D89"/>
    <w:rsid w:val="00C01F9E"/>
    <w:rsid w:val="00C027CE"/>
    <w:rsid w:val="00C02AD6"/>
    <w:rsid w:val="00C02EF8"/>
    <w:rsid w:val="00C03248"/>
    <w:rsid w:val="00C03FB9"/>
    <w:rsid w:val="00C04754"/>
    <w:rsid w:val="00C04943"/>
    <w:rsid w:val="00C054E3"/>
    <w:rsid w:val="00C05BB8"/>
    <w:rsid w:val="00C06241"/>
    <w:rsid w:val="00C06258"/>
    <w:rsid w:val="00C0646B"/>
    <w:rsid w:val="00C072BC"/>
    <w:rsid w:val="00C074C4"/>
    <w:rsid w:val="00C07BF6"/>
    <w:rsid w:val="00C07CD0"/>
    <w:rsid w:val="00C107DD"/>
    <w:rsid w:val="00C107EC"/>
    <w:rsid w:val="00C10CFA"/>
    <w:rsid w:val="00C10E7A"/>
    <w:rsid w:val="00C11456"/>
    <w:rsid w:val="00C1184F"/>
    <w:rsid w:val="00C11A03"/>
    <w:rsid w:val="00C11BC8"/>
    <w:rsid w:val="00C12217"/>
    <w:rsid w:val="00C131A1"/>
    <w:rsid w:val="00C131AC"/>
    <w:rsid w:val="00C131E5"/>
    <w:rsid w:val="00C13767"/>
    <w:rsid w:val="00C13802"/>
    <w:rsid w:val="00C13889"/>
    <w:rsid w:val="00C142F0"/>
    <w:rsid w:val="00C14545"/>
    <w:rsid w:val="00C14686"/>
    <w:rsid w:val="00C14703"/>
    <w:rsid w:val="00C15188"/>
    <w:rsid w:val="00C15271"/>
    <w:rsid w:val="00C1557F"/>
    <w:rsid w:val="00C1565B"/>
    <w:rsid w:val="00C16058"/>
    <w:rsid w:val="00C16552"/>
    <w:rsid w:val="00C16717"/>
    <w:rsid w:val="00C16DD9"/>
    <w:rsid w:val="00C17462"/>
    <w:rsid w:val="00C17D82"/>
    <w:rsid w:val="00C17FDE"/>
    <w:rsid w:val="00C201B6"/>
    <w:rsid w:val="00C203B9"/>
    <w:rsid w:val="00C20563"/>
    <w:rsid w:val="00C20773"/>
    <w:rsid w:val="00C20D67"/>
    <w:rsid w:val="00C20DBF"/>
    <w:rsid w:val="00C210D6"/>
    <w:rsid w:val="00C211AB"/>
    <w:rsid w:val="00C212DD"/>
    <w:rsid w:val="00C21899"/>
    <w:rsid w:val="00C218F0"/>
    <w:rsid w:val="00C21A2E"/>
    <w:rsid w:val="00C21AB9"/>
    <w:rsid w:val="00C21B37"/>
    <w:rsid w:val="00C22899"/>
    <w:rsid w:val="00C2385A"/>
    <w:rsid w:val="00C23BF8"/>
    <w:rsid w:val="00C23C3F"/>
    <w:rsid w:val="00C23E40"/>
    <w:rsid w:val="00C25155"/>
    <w:rsid w:val="00C252BD"/>
    <w:rsid w:val="00C253FA"/>
    <w:rsid w:val="00C2581F"/>
    <w:rsid w:val="00C25FB3"/>
    <w:rsid w:val="00C2610B"/>
    <w:rsid w:val="00C262F5"/>
    <w:rsid w:val="00C26410"/>
    <w:rsid w:val="00C26548"/>
    <w:rsid w:val="00C268F5"/>
    <w:rsid w:val="00C26BE1"/>
    <w:rsid w:val="00C26F5D"/>
    <w:rsid w:val="00C274AD"/>
    <w:rsid w:val="00C274EC"/>
    <w:rsid w:val="00C27545"/>
    <w:rsid w:val="00C27A0C"/>
    <w:rsid w:val="00C27B3E"/>
    <w:rsid w:val="00C27CC1"/>
    <w:rsid w:val="00C3020B"/>
    <w:rsid w:val="00C30483"/>
    <w:rsid w:val="00C3053F"/>
    <w:rsid w:val="00C30A6B"/>
    <w:rsid w:val="00C30C0B"/>
    <w:rsid w:val="00C30D50"/>
    <w:rsid w:val="00C30E6C"/>
    <w:rsid w:val="00C31736"/>
    <w:rsid w:val="00C31BD9"/>
    <w:rsid w:val="00C31D53"/>
    <w:rsid w:val="00C31ECC"/>
    <w:rsid w:val="00C32520"/>
    <w:rsid w:val="00C32769"/>
    <w:rsid w:val="00C33367"/>
    <w:rsid w:val="00C34021"/>
    <w:rsid w:val="00C34E06"/>
    <w:rsid w:val="00C34E83"/>
    <w:rsid w:val="00C35001"/>
    <w:rsid w:val="00C352C6"/>
    <w:rsid w:val="00C353BC"/>
    <w:rsid w:val="00C35899"/>
    <w:rsid w:val="00C35AD4"/>
    <w:rsid w:val="00C360A9"/>
    <w:rsid w:val="00C3622A"/>
    <w:rsid w:val="00C363E5"/>
    <w:rsid w:val="00C3659D"/>
    <w:rsid w:val="00C3682C"/>
    <w:rsid w:val="00C36AF4"/>
    <w:rsid w:val="00C36C5B"/>
    <w:rsid w:val="00C370B5"/>
    <w:rsid w:val="00C3738D"/>
    <w:rsid w:val="00C37BE6"/>
    <w:rsid w:val="00C37C3D"/>
    <w:rsid w:val="00C37D10"/>
    <w:rsid w:val="00C37D8A"/>
    <w:rsid w:val="00C37E5E"/>
    <w:rsid w:val="00C37EB3"/>
    <w:rsid w:val="00C40501"/>
    <w:rsid w:val="00C40B6B"/>
    <w:rsid w:val="00C40CCB"/>
    <w:rsid w:val="00C40F08"/>
    <w:rsid w:val="00C411D3"/>
    <w:rsid w:val="00C413B2"/>
    <w:rsid w:val="00C41458"/>
    <w:rsid w:val="00C41896"/>
    <w:rsid w:val="00C41BD3"/>
    <w:rsid w:val="00C41C45"/>
    <w:rsid w:val="00C41D11"/>
    <w:rsid w:val="00C41D95"/>
    <w:rsid w:val="00C41DAE"/>
    <w:rsid w:val="00C41E17"/>
    <w:rsid w:val="00C41E7F"/>
    <w:rsid w:val="00C41F22"/>
    <w:rsid w:val="00C423CE"/>
    <w:rsid w:val="00C4290A"/>
    <w:rsid w:val="00C431DC"/>
    <w:rsid w:val="00C43248"/>
    <w:rsid w:val="00C438E4"/>
    <w:rsid w:val="00C43B16"/>
    <w:rsid w:val="00C44469"/>
    <w:rsid w:val="00C44511"/>
    <w:rsid w:val="00C4487F"/>
    <w:rsid w:val="00C44D4B"/>
    <w:rsid w:val="00C45613"/>
    <w:rsid w:val="00C4596B"/>
    <w:rsid w:val="00C45E1C"/>
    <w:rsid w:val="00C45F14"/>
    <w:rsid w:val="00C465BD"/>
    <w:rsid w:val="00C46808"/>
    <w:rsid w:val="00C46EC1"/>
    <w:rsid w:val="00C4792E"/>
    <w:rsid w:val="00C500F5"/>
    <w:rsid w:val="00C501C3"/>
    <w:rsid w:val="00C504B4"/>
    <w:rsid w:val="00C5072B"/>
    <w:rsid w:val="00C507D8"/>
    <w:rsid w:val="00C50D16"/>
    <w:rsid w:val="00C5122E"/>
    <w:rsid w:val="00C51E3C"/>
    <w:rsid w:val="00C51F28"/>
    <w:rsid w:val="00C521BE"/>
    <w:rsid w:val="00C52405"/>
    <w:rsid w:val="00C5268B"/>
    <w:rsid w:val="00C530F3"/>
    <w:rsid w:val="00C5386A"/>
    <w:rsid w:val="00C53FB1"/>
    <w:rsid w:val="00C542DD"/>
    <w:rsid w:val="00C54600"/>
    <w:rsid w:val="00C5462D"/>
    <w:rsid w:val="00C547FF"/>
    <w:rsid w:val="00C55522"/>
    <w:rsid w:val="00C5553D"/>
    <w:rsid w:val="00C5556A"/>
    <w:rsid w:val="00C557F8"/>
    <w:rsid w:val="00C55E54"/>
    <w:rsid w:val="00C55F31"/>
    <w:rsid w:val="00C5603A"/>
    <w:rsid w:val="00C56A52"/>
    <w:rsid w:val="00C56DBE"/>
    <w:rsid w:val="00C57187"/>
    <w:rsid w:val="00C5728E"/>
    <w:rsid w:val="00C573B7"/>
    <w:rsid w:val="00C57567"/>
    <w:rsid w:val="00C57950"/>
    <w:rsid w:val="00C57B54"/>
    <w:rsid w:val="00C601AC"/>
    <w:rsid w:val="00C604F0"/>
    <w:rsid w:val="00C60677"/>
    <w:rsid w:val="00C608A1"/>
    <w:rsid w:val="00C60D57"/>
    <w:rsid w:val="00C60E6F"/>
    <w:rsid w:val="00C615FB"/>
    <w:rsid w:val="00C61C0C"/>
    <w:rsid w:val="00C61F3B"/>
    <w:rsid w:val="00C6228E"/>
    <w:rsid w:val="00C6280C"/>
    <w:rsid w:val="00C63642"/>
    <w:rsid w:val="00C63710"/>
    <w:rsid w:val="00C6378F"/>
    <w:rsid w:val="00C63AC8"/>
    <w:rsid w:val="00C63E2A"/>
    <w:rsid w:val="00C63FCD"/>
    <w:rsid w:val="00C64245"/>
    <w:rsid w:val="00C642CB"/>
    <w:rsid w:val="00C647AE"/>
    <w:rsid w:val="00C64D35"/>
    <w:rsid w:val="00C64F2C"/>
    <w:rsid w:val="00C656B3"/>
    <w:rsid w:val="00C657BC"/>
    <w:rsid w:val="00C65855"/>
    <w:rsid w:val="00C65A4D"/>
    <w:rsid w:val="00C668C8"/>
    <w:rsid w:val="00C66B29"/>
    <w:rsid w:val="00C673E2"/>
    <w:rsid w:val="00C67462"/>
    <w:rsid w:val="00C70113"/>
    <w:rsid w:val="00C7027E"/>
    <w:rsid w:val="00C70952"/>
    <w:rsid w:val="00C70A69"/>
    <w:rsid w:val="00C70B98"/>
    <w:rsid w:val="00C70E73"/>
    <w:rsid w:val="00C7109C"/>
    <w:rsid w:val="00C710FD"/>
    <w:rsid w:val="00C71132"/>
    <w:rsid w:val="00C71472"/>
    <w:rsid w:val="00C715B9"/>
    <w:rsid w:val="00C71DE2"/>
    <w:rsid w:val="00C722D2"/>
    <w:rsid w:val="00C72521"/>
    <w:rsid w:val="00C72601"/>
    <w:rsid w:val="00C72A0D"/>
    <w:rsid w:val="00C72D69"/>
    <w:rsid w:val="00C73010"/>
    <w:rsid w:val="00C73080"/>
    <w:rsid w:val="00C73A07"/>
    <w:rsid w:val="00C73A30"/>
    <w:rsid w:val="00C73D2B"/>
    <w:rsid w:val="00C73F06"/>
    <w:rsid w:val="00C73F0A"/>
    <w:rsid w:val="00C73FF8"/>
    <w:rsid w:val="00C74870"/>
    <w:rsid w:val="00C74A99"/>
    <w:rsid w:val="00C754EA"/>
    <w:rsid w:val="00C75D26"/>
    <w:rsid w:val="00C7611B"/>
    <w:rsid w:val="00C7634C"/>
    <w:rsid w:val="00C7645A"/>
    <w:rsid w:val="00C7651B"/>
    <w:rsid w:val="00C766C4"/>
    <w:rsid w:val="00C7757A"/>
    <w:rsid w:val="00C77A6F"/>
    <w:rsid w:val="00C80839"/>
    <w:rsid w:val="00C813F0"/>
    <w:rsid w:val="00C81F09"/>
    <w:rsid w:val="00C82299"/>
    <w:rsid w:val="00C82409"/>
    <w:rsid w:val="00C82687"/>
    <w:rsid w:val="00C826E4"/>
    <w:rsid w:val="00C82B60"/>
    <w:rsid w:val="00C82F69"/>
    <w:rsid w:val="00C83400"/>
    <w:rsid w:val="00C837E6"/>
    <w:rsid w:val="00C85532"/>
    <w:rsid w:val="00C8556A"/>
    <w:rsid w:val="00C856BC"/>
    <w:rsid w:val="00C85717"/>
    <w:rsid w:val="00C8590C"/>
    <w:rsid w:val="00C866C1"/>
    <w:rsid w:val="00C866E8"/>
    <w:rsid w:val="00C8701C"/>
    <w:rsid w:val="00C87245"/>
    <w:rsid w:val="00C872A6"/>
    <w:rsid w:val="00C875F9"/>
    <w:rsid w:val="00C879C8"/>
    <w:rsid w:val="00C9017A"/>
    <w:rsid w:val="00C90269"/>
    <w:rsid w:val="00C9045E"/>
    <w:rsid w:val="00C90AE4"/>
    <w:rsid w:val="00C90C47"/>
    <w:rsid w:val="00C91048"/>
    <w:rsid w:val="00C91202"/>
    <w:rsid w:val="00C91805"/>
    <w:rsid w:val="00C91BAC"/>
    <w:rsid w:val="00C91E6C"/>
    <w:rsid w:val="00C91EA5"/>
    <w:rsid w:val="00C927CC"/>
    <w:rsid w:val="00C92CF9"/>
    <w:rsid w:val="00C92F46"/>
    <w:rsid w:val="00C933C3"/>
    <w:rsid w:val="00C934F0"/>
    <w:rsid w:val="00C939B8"/>
    <w:rsid w:val="00C93E5E"/>
    <w:rsid w:val="00C94037"/>
    <w:rsid w:val="00C94407"/>
    <w:rsid w:val="00C9457A"/>
    <w:rsid w:val="00C949E5"/>
    <w:rsid w:val="00C94BED"/>
    <w:rsid w:val="00C950A8"/>
    <w:rsid w:val="00C95240"/>
    <w:rsid w:val="00C95436"/>
    <w:rsid w:val="00C954BF"/>
    <w:rsid w:val="00C9666D"/>
    <w:rsid w:val="00C96678"/>
    <w:rsid w:val="00C96788"/>
    <w:rsid w:val="00C96870"/>
    <w:rsid w:val="00C96C05"/>
    <w:rsid w:val="00C97673"/>
    <w:rsid w:val="00C97AC9"/>
    <w:rsid w:val="00CA0424"/>
    <w:rsid w:val="00CA08BE"/>
    <w:rsid w:val="00CA0925"/>
    <w:rsid w:val="00CA09A3"/>
    <w:rsid w:val="00CA0EF2"/>
    <w:rsid w:val="00CA1193"/>
    <w:rsid w:val="00CA1412"/>
    <w:rsid w:val="00CA1872"/>
    <w:rsid w:val="00CA1ED8"/>
    <w:rsid w:val="00CA2BFB"/>
    <w:rsid w:val="00CA2ED9"/>
    <w:rsid w:val="00CA2F80"/>
    <w:rsid w:val="00CA361B"/>
    <w:rsid w:val="00CA3841"/>
    <w:rsid w:val="00CA3F01"/>
    <w:rsid w:val="00CA4045"/>
    <w:rsid w:val="00CA4077"/>
    <w:rsid w:val="00CA42BF"/>
    <w:rsid w:val="00CA45CF"/>
    <w:rsid w:val="00CA4889"/>
    <w:rsid w:val="00CA4B53"/>
    <w:rsid w:val="00CA52C6"/>
    <w:rsid w:val="00CA52F9"/>
    <w:rsid w:val="00CA539C"/>
    <w:rsid w:val="00CA55E3"/>
    <w:rsid w:val="00CA5737"/>
    <w:rsid w:val="00CA573F"/>
    <w:rsid w:val="00CA5B18"/>
    <w:rsid w:val="00CA5E94"/>
    <w:rsid w:val="00CA6280"/>
    <w:rsid w:val="00CA68A8"/>
    <w:rsid w:val="00CA6E68"/>
    <w:rsid w:val="00CA6F9D"/>
    <w:rsid w:val="00CB01B4"/>
    <w:rsid w:val="00CB0B30"/>
    <w:rsid w:val="00CB0E41"/>
    <w:rsid w:val="00CB0F39"/>
    <w:rsid w:val="00CB107A"/>
    <w:rsid w:val="00CB110E"/>
    <w:rsid w:val="00CB1C72"/>
    <w:rsid w:val="00CB309F"/>
    <w:rsid w:val="00CB3601"/>
    <w:rsid w:val="00CB38B6"/>
    <w:rsid w:val="00CB3BB5"/>
    <w:rsid w:val="00CB423E"/>
    <w:rsid w:val="00CB43F1"/>
    <w:rsid w:val="00CB4444"/>
    <w:rsid w:val="00CB4576"/>
    <w:rsid w:val="00CB47EC"/>
    <w:rsid w:val="00CB480E"/>
    <w:rsid w:val="00CB524D"/>
    <w:rsid w:val="00CB545C"/>
    <w:rsid w:val="00CB5798"/>
    <w:rsid w:val="00CB5B20"/>
    <w:rsid w:val="00CB5B5A"/>
    <w:rsid w:val="00CB5C70"/>
    <w:rsid w:val="00CB6439"/>
    <w:rsid w:val="00CB6456"/>
    <w:rsid w:val="00CB6623"/>
    <w:rsid w:val="00CB6AE0"/>
    <w:rsid w:val="00CB6E01"/>
    <w:rsid w:val="00CB6E83"/>
    <w:rsid w:val="00CB70A2"/>
    <w:rsid w:val="00CB739B"/>
    <w:rsid w:val="00CB73B2"/>
    <w:rsid w:val="00CB764D"/>
    <w:rsid w:val="00CB784F"/>
    <w:rsid w:val="00CB78C8"/>
    <w:rsid w:val="00CB7D70"/>
    <w:rsid w:val="00CC0404"/>
    <w:rsid w:val="00CC07D2"/>
    <w:rsid w:val="00CC0A66"/>
    <w:rsid w:val="00CC0B00"/>
    <w:rsid w:val="00CC0B11"/>
    <w:rsid w:val="00CC10C7"/>
    <w:rsid w:val="00CC1530"/>
    <w:rsid w:val="00CC2776"/>
    <w:rsid w:val="00CC2B48"/>
    <w:rsid w:val="00CC2D5F"/>
    <w:rsid w:val="00CC3829"/>
    <w:rsid w:val="00CC382B"/>
    <w:rsid w:val="00CC3C3F"/>
    <w:rsid w:val="00CC3EA0"/>
    <w:rsid w:val="00CC43A7"/>
    <w:rsid w:val="00CC4EDC"/>
    <w:rsid w:val="00CC4F96"/>
    <w:rsid w:val="00CC4FA2"/>
    <w:rsid w:val="00CC51FD"/>
    <w:rsid w:val="00CC574D"/>
    <w:rsid w:val="00CC5949"/>
    <w:rsid w:val="00CC5B54"/>
    <w:rsid w:val="00CC627C"/>
    <w:rsid w:val="00CC67C5"/>
    <w:rsid w:val="00CC697A"/>
    <w:rsid w:val="00CC6AE9"/>
    <w:rsid w:val="00CC6BDF"/>
    <w:rsid w:val="00CC6C28"/>
    <w:rsid w:val="00CC6CD8"/>
    <w:rsid w:val="00CC6DDC"/>
    <w:rsid w:val="00CC7A62"/>
    <w:rsid w:val="00CD0031"/>
    <w:rsid w:val="00CD0110"/>
    <w:rsid w:val="00CD0492"/>
    <w:rsid w:val="00CD0E4A"/>
    <w:rsid w:val="00CD10DE"/>
    <w:rsid w:val="00CD163D"/>
    <w:rsid w:val="00CD2010"/>
    <w:rsid w:val="00CD2238"/>
    <w:rsid w:val="00CD23C6"/>
    <w:rsid w:val="00CD2A08"/>
    <w:rsid w:val="00CD2E1C"/>
    <w:rsid w:val="00CD2ECF"/>
    <w:rsid w:val="00CD31C5"/>
    <w:rsid w:val="00CD3355"/>
    <w:rsid w:val="00CD4090"/>
    <w:rsid w:val="00CD41D6"/>
    <w:rsid w:val="00CD4563"/>
    <w:rsid w:val="00CD4C13"/>
    <w:rsid w:val="00CD4EC1"/>
    <w:rsid w:val="00CD50FD"/>
    <w:rsid w:val="00CD5288"/>
    <w:rsid w:val="00CD5412"/>
    <w:rsid w:val="00CD56A4"/>
    <w:rsid w:val="00CD57A5"/>
    <w:rsid w:val="00CD58BE"/>
    <w:rsid w:val="00CD5BF6"/>
    <w:rsid w:val="00CD5C7F"/>
    <w:rsid w:val="00CD6F56"/>
    <w:rsid w:val="00CD7039"/>
    <w:rsid w:val="00CD71F0"/>
    <w:rsid w:val="00CD72F0"/>
    <w:rsid w:val="00CD788E"/>
    <w:rsid w:val="00CD79B8"/>
    <w:rsid w:val="00CD7AE8"/>
    <w:rsid w:val="00CD7DE9"/>
    <w:rsid w:val="00CD7E49"/>
    <w:rsid w:val="00CD7F12"/>
    <w:rsid w:val="00CE0818"/>
    <w:rsid w:val="00CE0B12"/>
    <w:rsid w:val="00CE0DEA"/>
    <w:rsid w:val="00CE1120"/>
    <w:rsid w:val="00CE1356"/>
    <w:rsid w:val="00CE1BFA"/>
    <w:rsid w:val="00CE1D3A"/>
    <w:rsid w:val="00CE240C"/>
    <w:rsid w:val="00CE2420"/>
    <w:rsid w:val="00CE2619"/>
    <w:rsid w:val="00CE2FCD"/>
    <w:rsid w:val="00CE308E"/>
    <w:rsid w:val="00CE31D4"/>
    <w:rsid w:val="00CE3A22"/>
    <w:rsid w:val="00CE3AA2"/>
    <w:rsid w:val="00CE42A4"/>
    <w:rsid w:val="00CE43A3"/>
    <w:rsid w:val="00CE4F72"/>
    <w:rsid w:val="00CE50EA"/>
    <w:rsid w:val="00CE55F7"/>
    <w:rsid w:val="00CE6939"/>
    <w:rsid w:val="00CE7047"/>
    <w:rsid w:val="00CE71DA"/>
    <w:rsid w:val="00CE7384"/>
    <w:rsid w:val="00CE78C6"/>
    <w:rsid w:val="00CE7941"/>
    <w:rsid w:val="00CE79B3"/>
    <w:rsid w:val="00CE7E68"/>
    <w:rsid w:val="00CF02BD"/>
    <w:rsid w:val="00CF0D70"/>
    <w:rsid w:val="00CF0EBA"/>
    <w:rsid w:val="00CF0FCC"/>
    <w:rsid w:val="00CF10C5"/>
    <w:rsid w:val="00CF119A"/>
    <w:rsid w:val="00CF1263"/>
    <w:rsid w:val="00CF1538"/>
    <w:rsid w:val="00CF1EA2"/>
    <w:rsid w:val="00CF1F42"/>
    <w:rsid w:val="00CF2BF4"/>
    <w:rsid w:val="00CF2CF6"/>
    <w:rsid w:val="00CF31F6"/>
    <w:rsid w:val="00CF366F"/>
    <w:rsid w:val="00CF3AB1"/>
    <w:rsid w:val="00CF3C4F"/>
    <w:rsid w:val="00CF4773"/>
    <w:rsid w:val="00CF4C7D"/>
    <w:rsid w:val="00CF5015"/>
    <w:rsid w:val="00CF5306"/>
    <w:rsid w:val="00CF557D"/>
    <w:rsid w:val="00CF5ACB"/>
    <w:rsid w:val="00CF5CE9"/>
    <w:rsid w:val="00CF634D"/>
    <w:rsid w:val="00CF63AC"/>
    <w:rsid w:val="00CF6B84"/>
    <w:rsid w:val="00CF700B"/>
    <w:rsid w:val="00CF716E"/>
    <w:rsid w:val="00CF75E7"/>
    <w:rsid w:val="00CF770A"/>
    <w:rsid w:val="00D004AE"/>
    <w:rsid w:val="00D0080C"/>
    <w:rsid w:val="00D008BE"/>
    <w:rsid w:val="00D00F4E"/>
    <w:rsid w:val="00D01010"/>
    <w:rsid w:val="00D01CF7"/>
    <w:rsid w:val="00D0205C"/>
    <w:rsid w:val="00D02149"/>
    <w:rsid w:val="00D0228B"/>
    <w:rsid w:val="00D02940"/>
    <w:rsid w:val="00D02CA5"/>
    <w:rsid w:val="00D02D05"/>
    <w:rsid w:val="00D02EF1"/>
    <w:rsid w:val="00D02F04"/>
    <w:rsid w:val="00D02FBF"/>
    <w:rsid w:val="00D03708"/>
    <w:rsid w:val="00D03A14"/>
    <w:rsid w:val="00D04455"/>
    <w:rsid w:val="00D04921"/>
    <w:rsid w:val="00D04A02"/>
    <w:rsid w:val="00D04D16"/>
    <w:rsid w:val="00D04D52"/>
    <w:rsid w:val="00D04F04"/>
    <w:rsid w:val="00D053BE"/>
    <w:rsid w:val="00D053C5"/>
    <w:rsid w:val="00D0561C"/>
    <w:rsid w:val="00D05E7A"/>
    <w:rsid w:val="00D05E93"/>
    <w:rsid w:val="00D060AC"/>
    <w:rsid w:val="00D063BC"/>
    <w:rsid w:val="00D0686F"/>
    <w:rsid w:val="00D06C34"/>
    <w:rsid w:val="00D072B4"/>
    <w:rsid w:val="00D07439"/>
    <w:rsid w:val="00D074BC"/>
    <w:rsid w:val="00D07633"/>
    <w:rsid w:val="00D105AD"/>
    <w:rsid w:val="00D10E17"/>
    <w:rsid w:val="00D10E75"/>
    <w:rsid w:val="00D11302"/>
    <w:rsid w:val="00D11A11"/>
    <w:rsid w:val="00D11C97"/>
    <w:rsid w:val="00D125C9"/>
    <w:rsid w:val="00D127BC"/>
    <w:rsid w:val="00D12BB0"/>
    <w:rsid w:val="00D13524"/>
    <w:rsid w:val="00D136FB"/>
    <w:rsid w:val="00D138AF"/>
    <w:rsid w:val="00D13973"/>
    <w:rsid w:val="00D13CC3"/>
    <w:rsid w:val="00D14E84"/>
    <w:rsid w:val="00D156F2"/>
    <w:rsid w:val="00D15703"/>
    <w:rsid w:val="00D159EB"/>
    <w:rsid w:val="00D15F9C"/>
    <w:rsid w:val="00D16381"/>
    <w:rsid w:val="00D16C35"/>
    <w:rsid w:val="00D16D08"/>
    <w:rsid w:val="00D16F05"/>
    <w:rsid w:val="00D16F76"/>
    <w:rsid w:val="00D170B5"/>
    <w:rsid w:val="00D17B25"/>
    <w:rsid w:val="00D1F1DB"/>
    <w:rsid w:val="00D2000A"/>
    <w:rsid w:val="00D2037F"/>
    <w:rsid w:val="00D2064F"/>
    <w:rsid w:val="00D20F42"/>
    <w:rsid w:val="00D21306"/>
    <w:rsid w:val="00D21417"/>
    <w:rsid w:val="00D21644"/>
    <w:rsid w:val="00D21BC7"/>
    <w:rsid w:val="00D21D25"/>
    <w:rsid w:val="00D21E9F"/>
    <w:rsid w:val="00D22388"/>
    <w:rsid w:val="00D22596"/>
    <w:rsid w:val="00D22862"/>
    <w:rsid w:val="00D228BD"/>
    <w:rsid w:val="00D22CE0"/>
    <w:rsid w:val="00D2340A"/>
    <w:rsid w:val="00D2342D"/>
    <w:rsid w:val="00D23432"/>
    <w:rsid w:val="00D23C66"/>
    <w:rsid w:val="00D23F4A"/>
    <w:rsid w:val="00D243EC"/>
    <w:rsid w:val="00D24B0A"/>
    <w:rsid w:val="00D24F87"/>
    <w:rsid w:val="00D251E7"/>
    <w:rsid w:val="00D25485"/>
    <w:rsid w:val="00D25977"/>
    <w:rsid w:val="00D25B17"/>
    <w:rsid w:val="00D25EE2"/>
    <w:rsid w:val="00D2626F"/>
    <w:rsid w:val="00D2689E"/>
    <w:rsid w:val="00D26B28"/>
    <w:rsid w:val="00D26F68"/>
    <w:rsid w:val="00D27107"/>
    <w:rsid w:val="00D27508"/>
    <w:rsid w:val="00D2774A"/>
    <w:rsid w:val="00D27FAE"/>
    <w:rsid w:val="00D3057A"/>
    <w:rsid w:val="00D30D4E"/>
    <w:rsid w:val="00D31185"/>
    <w:rsid w:val="00D31443"/>
    <w:rsid w:val="00D31566"/>
    <w:rsid w:val="00D315D0"/>
    <w:rsid w:val="00D315FF"/>
    <w:rsid w:val="00D31A66"/>
    <w:rsid w:val="00D31AA1"/>
    <w:rsid w:val="00D31C29"/>
    <w:rsid w:val="00D31CD8"/>
    <w:rsid w:val="00D325AD"/>
    <w:rsid w:val="00D32CEE"/>
    <w:rsid w:val="00D32E7B"/>
    <w:rsid w:val="00D332B8"/>
    <w:rsid w:val="00D33C5E"/>
    <w:rsid w:val="00D33ED5"/>
    <w:rsid w:val="00D35043"/>
    <w:rsid w:val="00D353EC"/>
    <w:rsid w:val="00D35713"/>
    <w:rsid w:val="00D357F0"/>
    <w:rsid w:val="00D35C98"/>
    <w:rsid w:val="00D35CFB"/>
    <w:rsid w:val="00D35D9F"/>
    <w:rsid w:val="00D36165"/>
    <w:rsid w:val="00D36951"/>
    <w:rsid w:val="00D369CA"/>
    <w:rsid w:val="00D37088"/>
    <w:rsid w:val="00D37611"/>
    <w:rsid w:val="00D3797C"/>
    <w:rsid w:val="00D37998"/>
    <w:rsid w:val="00D37AAD"/>
    <w:rsid w:val="00D37BE6"/>
    <w:rsid w:val="00D37FC6"/>
    <w:rsid w:val="00D400D9"/>
    <w:rsid w:val="00D4011C"/>
    <w:rsid w:val="00D40719"/>
    <w:rsid w:val="00D40A31"/>
    <w:rsid w:val="00D40DA6"/>
    <w:rsid w:val="00D41247"/>
    <w:rsid w:val="00D4138A"/>
    <w:rsid w:val="00D41B49"/>
    <w:rsid w:val="00D41BF5"/>
    <w:rsid w:val="00D41E59"/>
    <w:rsid w:val="00D41E88"/>
    <w:rsid w:val="00D42831"/>
    <w:rsid w:val="00D42AF8"/>
    <w:rsid w:val="00D42F18"/>
    <w:rsid w:val="00D43AEE"/>
    <w:rsid w:val="00D43CD0"/>
    <w:rsid w:val="00D44092"/>
    <w:rsid w:val="00D44452"/>
    <w:rsid w:val="00D44EB7"/>
    <w:rsid w:val="00D451EE"/>
    <w:rsid w:val="00D45401"/>
    <w:rsid w:val="00D456C1"/>
    <w:rsid w:val="00D4600E"/>
    <w:rsid w:val="00D462A3"/>
    <w:rsid w:val="00D464E9"/>
    <w:rsid w:val="00D46A5F"/>
    <w:rsid w:val="00D46E30"/>
    <w:rsid w:val="00D46F9C"/>
    <w:rsid w:val="00D470AB"/>
    <w:rsid w:val="00D47622"/>
    <w:rsid w:val="00D504EB"/>
    <w:rsid w:val="00D5094F"/>
    <w:rsid w:val="00D50D33"/>
    <w:rsid w:val="00D50EF9"/>
    <w:rsid w:val="00D510AF"/>
    <w:rsid w:val="00D51905"/>
    <w:rsid w:val="00D51AD7"/>
    <w:rsid w:val="00D51AFA"/>
    <w:rsid w:val="00D51F83"/>
    <w:rsid w:val="00D521EF"/>
    <w:rsid w:val="00D52EF7"/>
    <w:rsid w:val="00D53147"/>
    <w:rsid w:val="00D533A0"/>
    <w:rsid w:val="00D5346E"/>
    <w:rsid w:val="00D537DD"/>
    <w:rsid w:val="00D53E73"/>
    <w:rsid w:val="00D54E81"/>
    <w:rsid w:val="00D55544"/>
    <w:rsid w:val="00D565B2"/>
    <w:rsid w:val="00D56677"/>
    <w:rsid w:val="00D568E8"/>
    <w:rsid w:val="00D56EC8"/>
    <w:rsid w:val="00D5743F"/>
    <w:rsid w:val="00D5753E"/>
    <w:rsid w:val="00D600CB"/>
    <w:rsid w:val="00D60529"/>
    <w:rsid w:val="00D605F5"/>
    <w:rsid w:val="00D60692"/>
    <w:rsid w:val="00D60871"/>
    <w:rsid w:val="00D60CC7"/>
    <w:rsid w:val="00D611BF"/>
    <w:rsid w:val="00D61C1F"/>
    <w:rsid w:val="00D61E44"/>
    <w:rsid w:val="00D622EA"/>
    <w:rsid w:val="00D62748"/>
    <w:rsid w:val="00D627AF"/>
    <w:rsid w:val="00D62B43"/>
    <w:rsid w:val="00D62C27"/>
    <w:rsid w:val="00D63661"/>
    <w:rsid w:val="00D63718"/>
    <w:rsid w:val="00D63EC5"/>
    <w:rsid w:val="00D641C9"/>
    <w:rsid w:val="00D643A1"/>
    <w:rsid w:val="00D64968"/>
    <w:rsid w:val="00D64B7D"/>
    <w:rsid w:val="00D64EC5"/>
    <w:rsid w:val="00D65139"/>
    <w:rsid w:val="00D65C02"/>
    <w:rsid w:val="00D65EDB"/>
    <w:rsid w:val="00D66224"/>
    <w:rsid w:val="00D667FD"/>
    <w:rsid w:val="00D66E0C"/>
    <w:rsid w:val="00D6727F"/>
    <w:rsid w:val="00D6744E"/>
    <w:rsid w:val="00D675AB"/>
    <w:rsid w:val="00D675BB"/>
    <w:rsid w:val="00D679B6"/>
    <w:rsid w:val="00D67CDA"/>
    <w:rsid w:val="00D67FDA"/>
    <w:rsid w:val="00D701E7"/>
    <w:rsid w:val="00D709B6"/>
    <w:rsid w:val="00D70CD2"/>
    <w:rsid w:val="00D70EA3"/>
    <w:rsid w:val="00D710D1"/>
    <w:rsid w:val="00D71638"/>
    <w:rsid w:val="00D7171F"/>
    <w:rsid w:val="00D71EBB"/>
    <w:rsid w:val="00D71EFB"/>
    <w:rsid w:val="00D7224E"/>
    <w:rsid w:val="00D7271A"/>
    <w:rsid w:val="00D72956"/>
    <w:rsid w:val="00D72972"/>
    <w:rsid w:val="00D729A5"/>
    <w:rsid w:val="00D735D0"/>
    <w:rsid w:val="00D73789"/>
    <w:rsid w:val="00D73D7D"/>
    <w:rsid w:val="00D742A8"/>
    <w:rsid w:val="00D743AD"/>
    <w:rsid w:val="00D74545"/>
    <w:rsid w:val="00D748C6"/>
    <w:rsid w:val="00D74C2C"/>
    <w:rsid w:val="00D74DC0"/>
    <w:rsid w:val="00D7503C"/>
    <w:rsid w:val="00D75701"/>
    <w:rsid w:val="00D7586A"/>
    <w:rsid w:val="00D7592D"/>
    <w:rsid w:val="00D75AAE"/>
    <w:rsid w:val="00D75DB3"/>
    <w:rsid w:val="00D75E93"/>
    <w:rsid w:val="00D76219"/>
    <w:rsid w:val="00D76259"/>
    <w:rsid w:val="00D762FC"/>
    <w:rsid w:val="00D76344"/>
    <w:rsid w:val="00D76469"/>
    <w:rsid w:val="00D76514"/>
    <w:rsid w:val="00D76B32"/>
    <w:rsid w:val="00D771AE"/>
    <w:rsid w:val="00D77364"/>
    <w:rsid w:val="00D803EF"/>
    <w:rsid w:val="00D804D7"/>
    <w:rsid w:val="00D8079A"/>
    <w:rsid w:val="00D807D9"/>
    <w:rsid w:val="00D80873"/>
    <w:rsid w:val="00D80926"/>
    <w:rsid w:val="00D81060"/>
    <w:rsid w:val="00D81A86"/>
    <w:rsid w:val="00D82537"/>
    <w:rsid w:val="00D82C0A"/>
    <w:rsid w:val="00D82C46"/>
    <w:rsid w:val="00D8316C"/>
    <w:rsid w:val="00D8333F"/>
    <w:rsid w:val="00D8368C"/>
    <w:rsid w:val="00D838BF"/>
    <w:rsid w:val="00D8395B"/>
    <w:rsid w:val="00D83C6B"/>
    <w:rsid w:val="00D84DDD"/>
    <w:rsid w:val="00D84F35"/>
    <w:rsid w:val="00D8526F"/>
    <w:rsid w:val="00D85305"/>
    <w:rsid w:val="00D853D6"/>
    <w:rsid w:val="00D85652"/>
    <w:rsid w:val="00D859C7"/>
    <w:rsid w:val="00D86771"/>
    <w:rsid w:val="00D86D0C"/>
    <w:rsid w:val="00D86EE5"/>
    <w:rsid w:val="00D87083"/>
    <w:rsid w:val="00D87514"/>
    <w:rsid w:val="00D87554"/>
    <w:rsid w:val="00D87968"/>
    <w:rsid w:val="00D8796E"/>
    <w:rsid w:val="00D87B49"/>
    <w:rsid w:val="00D87C6A"/>
    <w:rsid w:val="00D9019D"/>
    <w:rsid w:val="00D90211"/>
    <w:rsid w:val="00D912E8"/>
    <w:rsid w:val="00D91564"/>
    <w:rsid w:val="00D918BA"/>
    <w:rsid w:val="00D91F63"/>
    <w:rsid w:val="00D92164"/>
    <w:rsid w:val="00D9229A"/>
    <w:rsid w:val="00D9251D"/>
    <w:rsid w:val="00D9291F"/>
    <w:rsid w:val="00D9293C"/>
    <w:rsid w:val="00D92D06"/>
    <w:rsid w:val="00D92F9B"/>
    <w:rsid w:val="00D93127"/>
    <w:rsid w:val="00D935DC"/>
    <w:rsid w:val="00D93CAE"/>
    <w:rsid w:val="00D93D9D"/>
    <w:rsid w:val="00D94117"/>
    <w:rsid w:val="00D94380"/>
    <w:rsid w:val="00D9495E"/>
    <w:rsid w:val="00D95102"/>
    <w:rsid w:val="00D952D0"/>
    <w:rsid w:val="00D95358"/>
    <w:rsid w:val="00D9556D"/>
    <w:rsid w:val="00D95A04"/>
    <w:rsid w:val="00D96011"/>
    <w:rsid w:val="00D964FF"/>
    <w:rsid w:val="00D966C5"/>
    <w:rsid w:val="00D97048"/>
    <w:rsid w:val="00D97E46"/>
    <w:rsid w:val="00DA07F3"/>
    <w:rsid w:val="00DA09C6"/>
    <w:rsid w:val="00DA0D5E"/>
    <w:rsid w:val="00DA0E1C"/>
    <w:rsid w:val="00DA11EE"/>
    <w:rsid w:val="00DA171F"/>
    <w:rsid w:val="00DA1BC4"/>
    <w:rsid w:val="00DA1E6D"/>
    <w:rsid w:val="00DA232E"/>
    <w:rsid w:val="00DA2C70"/>
    <w:rsid w:val="00DA2C8E"/>
    <w:rsid w:val="00DA2EDE"/>
    <w:rsid w:val="00DA365D"/>
    <w:rsid w:val="00DA3AC7"/>
    <w:rsid w:val="00DA3E9E"/>
    <w:rsid w:val="00DA4505"/>
    <w:rsid w:val="00DA4A53"/>
    <w:rsid w:val="00DA4F12"/>
    <w:rsid w:val="00DA4F21"/>
    <w:rsid w:val="00DA5D13"/>
    <w:rsid w:val="00DA6203"/>
    <w:rsid w:val="00DA639C"/>
    <w:rsid w:val="00DA6A75"/>
    <w:rsid w:val="00DA6E52"/>
    <w:rsid w:val="00DA6F4A"/>
    <w:rsid w:val="00DA7232"/>
    <w:rsid w:val="00DA7378"/>
    <w:rsid w:val="00DA7766"/>
    <w:rsid w:val="00DA778C"/>
    <w:rsid w:val="00DB03E0"/>
    <w:rsid w:val="00DB0593"/>
    <w:rsid w:val="00DB0A83"/>
    <w:rsid w:val="00DB1689"/>
    <w:rsid w:val="00DB177F"/>
    <w:rsid w:val="00DB1B18"/>
    <w:rsid w:val="00DB1F46"/>
    <w:rsid w:val="00DB2166"/>
    <w:rsid w:val="00DB279A"/>
    <w:rsid w:val="00DB2985"/>
    <w:rsid w:val="00DB2A46"/>
    <w:rsid w:val="00DB2AA7"/>
    <w:rsid w:val="00DB370C"/>
    <w:rsid w:val="00DB3A8B"/>
    <w:rsid w:val="00DB3B30"/>
    <w:rsid w:val="00DB3DC0"/>
    <w:rsid w:val="00DB3E9D"/>
    <w:rsid w:val="00DB4000"/>
    <w:rsid w:val="00DB42E8"/>
    <w:rsid w:val="00DB43EA"/>
    <w:rsid w:val="00DB4586"/>
    <w:rsid w:val="00DB48CF"/>
    <w:rsid w:val="00DB4BEB"/>
    <w:rsid w:val="00DB4BF3"/>
    <w:rsid w:val="00DB4EB2"/>
    <w:rsid w:val="00DB511B"/>
    <w:rsid w:val="00DB571C"/>
    <w:rsid w:val="00DB58D6"/>
    <w:rsid w:val="00DB5BEE"/>
    <w:rsid w:val="00DB5C4E"/>
    <w:rsid w:val="00DB5CBA"/>
    <w:rsid w:val="00DB656E"/>
    <w:rsid w:val="00DB6906"/>
    <w:rsid w:val="00DB69D2"/>
    <w:rsid w:val="00DB71EA"/>
    <w:rsid w:val="00DB76AF"/>
    <w:rsid w:val="00DB77D6"/>
    <w:rsid w:val="00DB7AB5"/>
    <w:rsid w:val="00DC0357"/>
    <w:rsid w:val="00DC076D"/>
    <w:rsid w:val="00DC0A47"/>
    <w:rsid w:val="00DC165B"/>
    <w:rsid w:val="00DC19D2"/>
    <w:rsid w:val="00DC1AA0"/>
    <w:rsid w:val="00DC1CFC"/>
    <w:rsid w:val="00DC28ED"/>
    <w:rsid w:val="00DC2A87"/>
    <w:rsid w:val="00DC3283"/>
    <w:rsid w:val="00DC3696"/>
    <w:rsid w:val="00DC39DC"/>
    <w:rsid w:val="00DC3B99"/>
    <w:rsid w:val="00DC3D24"/>
    <w:rsid w:val="00DC40D7"/>
    <w:rsid w:val="00DC4468"/>
    <w:rsid w:val="00DC4614"/>
    <w:rsid w:val="00DC4AD0"/>
    <w:rsid w:val="00DC4E62"/>
    <w:rsid w:val="00DC52D6"/>
    <w:rsid w:val="00DC54C9"/>
    <w:rsid w:val="00DC561B"/>
    <w:rsid w:val="00DC5746"/>
    <w:rsid w:val="00DC584A"/>
    <w:rsid w:val="00DC5C0A"/>
    <w:rsid w:val="00DC6135"/>
    <w:rsid w:val="00DC6161"/>
    <w:rsid w:val="00DC6B09"/>
    <w:rsid w:val="00DC6E8E"/>
    <w:rsid w:val="00DC7321"/>
    <w:rsid w:val="00DC7643"/>
    <w:rsid w:val="00DC77CF"/>
    <w:rsid w:val="00DC7EFC"/>
    <w:rsid w:val="00DD00EE"/>
    <w:rsid w:val="00DD09D1"/>
    <w:rsid w:val="00DD0D83"/>
    <w:rsid w:val="00DD0DEB"/>
    <w:rsid w:val="00DD1236"/>
    <w:rsid w:val="00DD1251"/>
    <w:rsid w:val="00DD135C"/>
    <w:rsid w:val="00DD139D"/>
    <w:rsid w:val="00DD19ED"/>
    <w:rsid w:val="00DD1D01"/>
    <w:rsid w:val="00DD1E8A"/>
    <w:rsid w:val="00DD20CC"/>
    <w:rsid w:val="00DD23EC"/>
    <w:rsid w:val="00DD294A"/>
    <w:rsid w:val="00DD3021"/>
    <w:rsid w:val="00DD32A0"/>
    <w:rsid w:val="00DD32F6"/>
    <w:rsid w:val="00DD34C5"/>
    <w:rsid w:val="00DD3898"/>
    <w:rsid w:val="00DD38EA"/>
    <w:rsid w:val="00DD3AFF"/>
    <w:rsid w:val="00DD3BD7"/>
    <w:rsid w:val="00DD3CE5"/>
    <w:rsid w:val="00DD3CEE"/>
    <w:rsid w:val="00DD40FC"/>
    <w:rsid w:val="00DD4385"/>
    <w:rsid w:val="00DD43CA"/>
    <w:rsid w:val="00DD48D9"/>
    <w:rsid w:val="00DD4978"/>
    <w:rsid w:val="00DD4AE2"/>
    <w:rsid w:val="00DD4BBD"/>
    <w:rsid w:val="00DD4E02"/>
    <w:rsid w:val="00DD5049"/>
    <w:rsid w:val="00DD5348"/>
    <w:rsid w:val="00DD5530"/>
    <w:rsid w:val="00DD58AD"/>
    <w:rsid w:val="00DD5A95"/>
    <w:rsid w:val="00DD5FE4"/>
    <w:rsid w:val="00DD6136"/>
    <w:rsid w:val="00DD62C8"/>
    <w:rsid w:val="00DD6568"/>
    <w:rsid w:val="00DD6C9C"/>
    <w:rsid w:val="00DD7575"/>
    <w:rsid w:val="00DD7933"/>
    <w:rsid w:val="00DD79EE"/>
    <w:rsid w:val="00DD7E18"/>
    <w:rsid w:val="00DD7EA6"/>
    <w:rsid w:val="00DE00B4"/>
    <w:rsid w:val="00DE02B6"/>
    <w:rsid w:val="00DE02FB"/>
    <w:rsid w:val="00DE06D8"/>
    <w:rsid w:val="00DE07D2"/>
    <w:rsid w:val="00DE0F83"/>
    <w:rsid w:val="00DE1228"/>
    <w:rsid w:val="00DE136A"/>
    <w:rsid w:val="00DE16B9"/>
    <w:rsid w:val="00DE1ABB"/>
    <w:rsid w:val="00DE1D91"/>
    <w:rsid w:val="00DE2033"/>
    <w:rsid w:val="00DE265C"/>
    <w:rsid w:val="00DE2807"/>
    <w:rsid w:val="00DE2A74"/>
    <w:rsid w:val="00DE2DAC"/>
    <w:rsid w:val="00DE31AE"/>
    <w:rsid w:val="00DE3517"/>
    <w:rsid w:val="00DE40F8"/>
    <w:rsid w:val="00DE449F"/>
    <w:rsid w:val="00DE4A3B"/>
    <w:rsid w:val="00DE4C04"/>
    <w:rsid w:val="00DE4DA9"/>
    <w:rsid w:val="00DE4F34"/>
    <w:rsid w:val="00DE549F"/>
    <w:rsid w:val="00DE5554"/>
    <w:rsid w:val="00DE5A8C"/>
    <w:rsid w:val="00DE5BC6"/>
    <w:rsid w:val="00DE6268"/>
    <w:rsid w:val="00DE63E2"/>
    <w:rsid w:val="00DE65A5"/>
    <w:rsid w:val="00DE6C18"/>
    <w:rsid w:val="00DE6C6D"/>
    <w:rsid w:val="00DE700C"/>
    <w:rsid w:val="00DE7058"/>
    <w:rsid w:val="00DE71BC"/>
    <w:rsid w:val="00DE7405"/>
    <w:rsid w:val="00DE7F13"/>
    <w:rsid w:val="00DF0091"/>
    <w:rsid w:val="00DF0720"/>
    <w:rsid w:val="00DF0A0E"/>
    <w:rsid w:val="00DF0BF5"/>
    <w:rsid w:val="00DF0E86"/>
    <w:rsid w:val="00DF16A3"/>
    <w:rsid w:val="00DF18DC"/>
    <w:rsid w:val="00DF1CF6"/>
    <w:rsid w:val="00DF208A"/>
    <w:rsid w:val="00DF2252"/>
    <w:rsid w:val="00DF2E78"/>
    <w:rsid w:val="00DF2F46"/>
    <w:rsid w:val="00DF31D2"/>
    <w:rsid w:val="00DF33FB"/>
    <w:rsid w:val="00DF37E2"/>
    <w:rsid w:val="00DF3C0D"/>
    <w:rsid w:val="00DF3FB5"/>
    <w:rsid w:val="00DF40FE"/>
    <w:rsid w:val="00DF4613"/>
    <w:rsid w:val="00DF4A3A"/>
    <w:rsid w:val="00DF4F82"/>
    <w:rsid w:val="00DF575C"/>
    <w:rsid w:val="00DF590C"/>
    <w:rsid w:val="00DF599C"/>
    <w:rsid w:val="00DF5D0D"/>
    <w:rsid w:val="00DF5D3F"/>
    <w:rsid w:val="00DF6152"/>
    <w:rsid w:val="00DF6427"/>
    <w:rsid w:val="00DF6AAF"/>
    <w:rsid w:val="00DF6C14"/>
    <w:rsid w:val="00DF6F36"/>
    <w:rsid w:val="00DF702C"/>
    <w:rsid w:val="00DF7037"/>
    <w:rsid w:val="00DF712B"/>
    <w:rsid w:val="00DF7207"/>
    <w:rsid w:val="00DF74C0"/>
    <w:rsid w:val="00DF7900"/>
    <w:rsid w:val="00DF7F5A"/>
    <w:rsid w:val="00E005A9"/>
    <w:rsid w:val="00E0108D"/>
    <w:rsid w:val="00E01156"/>
    <w:rsid w:val="00E01397"/>
    <w:rsid w:val="00E01398"/>
    <w:rsid w:val="00E0154B"/>
    <w:rsid w:val="00E015F9"/>
    <w:rsid w:val="00E01689"/>
    <w:rsid w:val="00E02376"/>
    <w:rsid w:val="00E02462"/>
    <w:rsid w:val="00E0266A"/>
    <w:rsid w:val="00E027BA"/>
    <w:rsid w:val="00E02A4F"/>
    <w:rsid w:val="00E02AB0"/>
    <w:rsid w:val="00E02DA9"/>
    <w:rsid w:val="00E02E42"/>
    <w:rsid w:val="00E03100"/>
    <w:rsid w:val="00E0314D"/>
    <w:rsid w:val="00E03453"/>
    <w:rsid w:val="00E03C24"/>
    <w:rsid w:val="00E03F12"/>
    <w:rsid w:val="00E03F36"/>
    <w:rsid w:val="00E03FCB"/>
    <w:rsid w:val="00E040A1"/>
    <w:rsid w:val="00E045D0"/>
    <w:rsid w:val="00E048DC"/>
    <w:rsid w:val="00E04991"/>
    <w:rsid w:val="00E05BFD"/>
    <w:rsid w:val="00E05F30"/>
    <w:rsid w:val="00E05FF0"/>
    <w:rsid w:val="00E06022"/>
    <w:rsid w:val="00E06357"/>
    <w:rsid w:val="00E066AF"/>
    <w:rsid w:val="00E07759"/>
    <w:rsid w:val="00E077EF"/>
    <w:rsid w:val="00E07893"/>
    <w:rsid w:val="00E07F44"/>
    <w:rsid w:val="00E07F86"/>
    <w:rsid w:val="00E104C1"/>
    <w:rsid w:val="00E10ADA"/>
    <w:rsid w:val="00E10B78"/>
    <w:rsid w:val="00E11552"/>
    <w:rsid w:val="00E116FE"/>
    <w:rsid w:val="00E11C77"/>
    <w:rsid w:val="00E11D04"/>
    <w:rsid w:val="00E11E59"/>
    <w:rsid w:val="00E121C7"/>
    <w:rsid w:val="00E125B7"/>
    <w:rsid w:val="00E1286E"/>
    <w:rsid w:val="00E12A60"/>
    <w:rsid w:val="00E12DCA"/>
    <w:rsid w:val="00E12E37"/>
    <w:rsid w:val="00E12F17"/>
    <w:rsid w:val="00E133BA"/>
    <w:rsid w:val="00E133BF"/>
    <w:rsid w:val="00E134B9"/>
    <w:rsid w:val="00E14184"/>
    <w:rsid w:val="00E1434B"/>
    <w:rsid w:val="00E14762"/>
    <w:rsid w:val="00E14773"/>
    <w:rsid w:val="00E1497F"/>
    <w:rsid w:val="00E1514D"/>
    <w:rsid w:val="00E1560C"/>
    <w:rsid w:val="00E16025"/>
    <w:rsid w:val="00E16365"/>
    <w:rsid w:val="00E16529"/>
    <w:rsid w:val="00E1668B"/>
    <w:rsid w:val="00E17455"/>
    <w:rsid w:val="00E174D4"/>
    <w:rsid w:val="00E17FB2"/>
    <w:rsid w:val="00E203BE"/>
    <w:rsid w:val="00E20B72"/>
    <w:rsid w:val="00E20D2E"/>
    <w:rsid w:val="00E2149E"/>
    <w:rsid w:val="00E2150A"/>
    <w:rsid w:val="00E22058"/>
    <w:rsid w:val="00E22E28"/>
    <w:rsid w:val="00E234B1"/>
    <w:rsid w:val="00E235F8"/>
    <w:rsid w:val="00E237D9"/>
    <w:rsid w:val="00E23BB8"/>
    <w:rsid w:val="00E242BF"/>
    <w:rsid w:val="00E242F3"/>
    <w:rsid w:val="00E244DA"/>
    <w:rsid w:val="00E2454C"/>
    <w:rsid w:val="00E2469A"/>
    <w:rsid w:val="00E248AD"/>
    <w:rsid w:val="00E24B22"/>
    <w:rsid w:val="00E24CDA"/>
    <w:rsid w:val="00E24D21"/>
    <w:rsid w:val="00E24E2A"/>
    <w:rsid w:val="00E24EE4"/>
    <w:rsid w:val="00E2533D"/>
    <w:rsid w:val="00E254E7"/>
    <w:rsid w:val="00E25D5B"/>
    <w:rsid w:val="00E25F76"/>
    <w:rsid w:val="00E25FF3"/>
    <w:rsid w:val="00E26109"/>
    <w:rsid w:val="00E2625D"/>
    <w:rsid w:val="00E265F7"/>
    <w:rsid w:val="00E267BF"/>
    <w:rsid w:val="00E26901"/>
    <w:rsid w:val="00E26AAC"/>
    <w:rsid w:val="00E26C4D"/>
    <w:rsid w:val="00E2704D"/>
    <w:rsid w:val="00E270DC"/>
    <w:rsid w:val="00E273FC"/>
    <w:rsid w:val="00E27729"/>
    <w:rsid w:val="00E27C4B"/>
    <w:rsid w:val="00E305F5"/>
    <w:rsid w:val="00E30A8C"/>
    <w:rsid w:val="00E30D08"/>
    <w:rsid w:val="00E31101"/>
    <w:rsid w:val="00E3118A"/>
    <w:rsid w:val="00E314A2"/>
    <w:rsid w:val="00E31775"/>
    <w:rsid w:val="00E31BD7"/>
    <w:rsid w:val="00E31E4A"/>
    <w:rsid w:val="00E31EBE"/>
    <w:rsid w:val="00E31FA3"/>
    <w:rsid w:val="00E32134"/>
    <w:rsid w:val="00E3214C"/>
    <w:rsid w:val="00E323C1"/>
    <w:rsid w:val="00E324F0"/>
    <w:rsid w:val="00E32C73"/>
    <w:rsid w:val="00E32D38"/>
    <w:rsid w:val="00E32ECE"/>
    <w:rsid w:val="00E33078"/>
    <w:rsid w:val="00E3353E"/>
    <w:rsid w:val="00E3385E"/>
    <w:rsid w:val="00E33897"/>
    <w:rsid w:val="00E3421D"/>
    <w:rsid w:val="00E34236"/>
    <w:rsid w:val="00E34C00"/>
    <w:rsid w:val="00E34CC9"/>
    <w:rsid w:val="00E34DF6"/>
    <w:rsid w:val="00E3549B"/>
    <w:rsid w:val="00E35C2D"/>
    <w:rsid w:val="00E36065"/>
    <w:rsid w:val="00E3689B"/>
    <w:rsid w:val="00E3694A"/>
    <w:rsid w:val="00E36A29"/>
    <w:rsid w:val="00E37048"/>
    <w:rsid w:val="00E37560"/>
    <w:rsid w:val="00E379F0"/>
    <w:rsid w:val="00E37C18"/>
    <w:rsid w:val="00E37C29"/>
    <w:rsid w:val="00E37DC2"/>
    <w:rsid w:val="00E37EB7"/>
    <w:rsid w:val="00E37F23"/>
    <w:rsid w:val="00E40214"/>
    <w:rsid w:val="00E4076E"/>
    <w:rsid w:val="00E40DB8"/>
    <w:rsid w:val="00E414BD"/>
    <w:rsid w:val="00E416E9"/>
    <w:rsid w:val="00E417C7"/>
    <w:rsid w:val="00E41A6D"/>
    <w:rsid w:val="00E41BEA"/>
    <w:rsid w:val="00E41E6F"/>
    <w:rsid w:val="00E4235F"/>
    <w:rsid w:val="00E42569"/>
    <w:rsid w:val="00E427F9"/>
    <w:rsid w:val="00E428D4"/>
    <w:rsid w:val="00E42E1E"/>
    <w:rsid w:val="00E42EE6"/>
    <w:rsid w:val="00E433AF"/>
    <w:rsid w:val="00E43891"/>
    <w:rsid w:val="00E438D7"/>
    <w:rsid w:val="00E43C84"/>
    <w:rsid w:val="00E43FC4"/>
    <w:rsid w:val="00E44026"/>
    <w:rsid w:val="00E44034"/>
    <w:rsid w:val="00E4422F"/>
    <w:rsid w:val="00E444EC"/>
    <w:rsid w:val="00E45336"/>
    <w:rsid w:val="00E4582F"/>
    <w:rsid w:val="00E45B10"/>
    <w:rsid w:val="00E4623B"/>
    <w:rsid w:val="00E463EB"/>
    <w:rsid w:val="00E469D9"/>
    <w:rsid w:val="00E46A7D"/>
    <w:rsid w:val="00E46C59"/>
    <w:rsid w:val="00E46FA0"/>
    <w:rsid w:val="00E46FF5"/>
    <w:rsid w:val="00E4716F"/>
    <w:rsid w:val="00E471F0"/>
    <w:rsid w:val="00E472E7"/>
    <w:rsid w:val="00E478A9"/>
    <w:rsid w:val="00E47924"/>
    <w:rsid w:val="00E47B42"/>
    <w:rsid w:val="00E47FBA"/>
    <w:rsid w:val="00E47FED"/>
    <w:rsid w:val="00E50BF8"/>
    <w:rsid w:val="00E5132E"/>
    <w:rsid w:val="00E51564"/>
    <w:rsid w:val="00E51C67"/>
    <w:rsid w:val="00E52229"/>
    <w:rsid w:val="00E52D79"/>
    <w:rsid w:val="00E52DC8"/>
    <w:rsid w:val="00E5388D"/>
    <w:rsid w:val="00E53BEB"/>
    <w:rsid w:val="00E53CCE"/>
    <w:rsid w:val="00E5479B"/>
    <w:rsid w:val="00E54CAF"/>
    <w:rsid w:val="00E54E67"/>
    <w:rsid w:val="00E54FFA"/>
    <w:rsid w:val="00E554FE"/>
    <w:rsid w:val="00E5574E"/>
    <w:rsid w:val="00E55875"/>
    <w:rsid w:val="00E55C68"/>
    <w:rsid w:val="00E561B5"/>
    <w:rsid w:val="00E5637A"/>
    <w:rsid w:val="00E56498"/>
    <w:rsid w:val="00E565AB"/>
    <w:rsid w:val="00E566FC"/>
    <w:rsid w:val="00E56739"/>
    <w:rsid w:val="00E57D27"/>
    <w:rsid w:val="00E60DDD"/>
    <w:rsid w:val="00E60F1A"/>
    <w:rsid w:val="00E61729"/>
    <w:rsid w:val="00E61EE2"/>
    <w:rsid w:val="00E61F2C"/>
    <w:rsid w:val="00E6218B"/>
    <w:rsid w:val="00E6227E"/>
    <w:rsid w:val="00E628D3"/>
    <w:rsid w:val="00E62C42"/>
    <w:rsid w:val="00E64520"/>
    <w:rsid w:val="00E647D4"/>
    <w:rsid w:val="00E64B5B"/>
    <w:rsid w:val="00E64F25"/>
    <w:rsid w:val="00E65493"/>
    <w:rsid w:val="00E65F21"/>
    <w:rsid w:val="00E6711E"/>
    <w:rsid w:val="00E6755F"/>
    <w:rsid w:val="00E6786B"/>
    <w:rsid w:val="00E67EA5"/>
    <w:rsid w:val="00E701F8"/>
    <w:rsid w:val="00E7095F"/>
    <w:rsid w:val="00E709C5"/>
    <w:rsid w:val="00E70F86"/>
    <w:rsid w:val="00E71169"/>
    <w:rsid w:val="00E71587"/>
    <w:rsid w:val="00E7163F"/>
    <w:rsid w:val="00E71908"/>
    <w:rsid w:val="00E71A37"/>
    <w:rsid w:val="00E71D97"/>
    <w:rsid w:val="00E71F2C"/>
    <w:rsid w:val="00E72A55"/>
    <w:rsid w:val="00E72E68"/>
    <w:rsid w:val="00E73049"/>
    <w:rsid w:val="00E73371"/>
    <w:rsid w:val="00E734B7"/>
    <w:rsid w:val="00E73FFE"/>
    <w:rsid w:val="00E74501"/>
    <w:rsid w:val="00E74677"/>
    <w:rsid w:val="00E74709"/>
    <w:rsid w:val="00E74ACE"/>
    <w:rsid w:val="00E75137"/>
    <w:rsid w:val="00E75768"/>
    <w:rsid w:val="00E75825"/>
    <w:rsid w:val="00E759F1"/>
    <w:rsid w:val="00E75D86"/>
    <w:rsid w:val="00E75DC7"/>
    <w:rsid w:val="00E75FA8"/>
    <w:rsid w:val="00E768C6"/>
    <w:rsid w:val="00E769C0"/>
    <w:rsid w:val="00E76D89"/>
    <w:rsid w:val="00E76E5A"/>
    <w:rsid w:val="00E7712E"/>
    <w:rsid w:val="00E773C5"/>
    <w:rsid w:val="00E77816"/>
    <w:rsid w:val="00E778EC"/>
    <w:rsid w:val="00E77B87"/>
    <w:rsid w:val="00E77B8B"/>
    <w:rsid w:val="00E77C3A"/>
    <w:rsid w:val="00E77E4F"/>
    <w:rsid w:val="00E8005D"/>
    <w:rsid w:val="00E80269"/>
    <w:rsid w:val="00E802A5"/>
    <w:rsid w:val="00E802DB"/>
    <w:rsid w:val="00E803D5"/>
    <w:rsid w:val="00E80660"/>
    <w:rsid w:val="00E808D6"/>
    <w:rsid w:val="00E810D3"/>
    <w:rsid w:val="00E812A3"/>
    <w:rsid w:val="00E817B3"/>
    <w:rsid w:val="00E81938"/>
    <w:rsid w:val="00E81E64"/>
    <w:rsid w:val="00E8217A"/>
    <w:rsid w:val="00E824BA"/>
    <w:rsid w:val="00E82A4A"/>
    <w:rsid w:val="00E8344C"/>
    <w:rsid w:val="00E835A8"/>
    <w:rsid w:val="00E83C87"/>
    <w:rsid w:val="00E83D0C"/>
    <w:rsid w:val="00E83DD3"/>
    <w:rsid w:val="00E850BE"/>
    <w:rsid w:val="00E85211"/>
    <w:rsid w:val="00E854A4"/>
    <w:rsid w:val="00E8558B"/>
    <w:rsid w:val="00E862B3"/>
    <w:rsid w:val="00E8721A"/>
    <w:rsid w:val="00E872FF"/>
    <w:rsid w:val="00E904C7"/>
    <w:rsid w:val="00E917CF"/>
    <w:rsid w:val="00E91A47"/>
    <w:rsid w:val="00E91D6E"/>
    <w:rsid w:val="00E921B0"/>
    <w:rsid w:val="00E9241C"/>
    <w:rsid w:val="00E9253B"/>
    <w:rsid w:val="00E927E8"/>
    <w:rsid w:val="00E92BCD"/>
    <w:rsid w:val="00E92EF0"/>
    <w:rsid w:val="00E935E4"/>
    <w:rsid w:val="00E935FC"/>
    <w:rsid w:val="00E9376F"/>
    <w:rsid w:val="00E937CA"/>
    <w:rsid w:val="00E93837"/>
    <w:rsid w:val="00E93A36"/>
    <w:rsid w:val="00E93B48"/>
    <w:rsid w:val="00E9402E"/>
    <w:rsid w:val="00E946B8"/>
    <w:rsid w:val="00E949D2"/>
    <w:rsid w:val="00E94C0B"/>
    <w:rsid w:val="00E94E1E"/>
    <w:rsid w:val="00E95790"/>
    <w:rsid w:val="00E95B75"/>
    <w:rsid w:val="00E96508"/>
    <w:rsid w:val="00E96A5B"/>
    <w:rsid w:val="00E96ACD"/>
    <w:rsid w:val="00E96B98"/>
    <w:rsid w:val="00E96CCB"/>
    <w:rsid w:val="00E9701D"/>
    <w:rsid w:val="00E9752F"/>
    <w:rsid w:val="00E97779"/>
    <w:rsid w:val="00E977EA"/>
    <w:rsid w:val="00EA0035"/>
    <w:rsid w:val="00EA03FF"/>
    <w:rsid w:val="00EA09CB"/>
    <w:rsid w:val="00EA0AC1"/>
    <w:rsid w:val="00EA0C62"/>
    <w:rsid w:val="00EA0D61"/>
    <w:rsid w:val="00EA15AC"/>
    <w:rsid w:val="00EA17E0"/>
    <w:rsid w:val="00EA1898"/>
    <w:rsid w:val="00EA198E"/>
    <w:rsid w:val="00EA1ADE"/>
    <w:rsid w:val="00EA1B8F"/>
    <w:rsid w:val="00EA1BB8"/>
    <w:rsid w:val="00EA1F3B"/>
    <w:rsid w:val="00EA2B2C"/>
    <w:rsid w:val="00EA2C0C"/>
    <w:rsid w:val="00EA2DA5"/>
    <w:rsid w:val="00EA3248"/>
    <w:rsid w:val="00EA36C8"/>
    <w:rsid w:val="00EA3798"/>
    <w:rsid w:val="00EA5629"/>
    <w:rsid w:val="00EA573A"/>
    <w:rsid w:val="00EA59B9"/>
    <w:rsid w:val="00EA5FE9"/>
    <w:rsid w:val="00EA6129"/>
    <w:rsid w:val="00EA61AF"/>
    <w:rsid w:val="00EA672D"/>
    <w:rsid w:val="00EA6E5A"/>
    <w:rsid w:val="00EA72E0"/>
    <w:rsid w:val="00EA7459"/>
    <w:rsid w:val="00EA7521"/>
    <w:rsid w:val="00EA7B1B"/>
    <w:rsid w:val="00EA7FBA"/>
    <w:rsid w:val="00EB0348"/>
    <w:rsid w:val="00EB1283"/>
    <w:rsid w:val="00EB1780"/>
    <w:rsid w:val="00EB192B"/>
    <w:rsid w:val="00EB1C65"/>
    <w:rsid w:val="00EB1E5C"/>
    <w:rsid w:val="00EB25A3"/>
    <w:rsid w:val="00EB25DB"/>
    <w:rsid w:val="00EB2A27"/>
    <w:rsid w:val="00EB2DA6"/>
    <w:rsid w:val="00EB2E5D"/>
    <w:rsid w:val="00EB2FE0"/>
    <w:rsid w:val="00EB35A8"/>
    <w:rsid w:val="00EB3685"/>
    <w:rsid w:val="00EB39DE"/>
    <w:rsid w:val="00EB3A40"/>
    <w:rsid w:val="00EB3A5C"/>
    <w:rsid w:val="00EB3E1B"/>
    <w:rsid w:val="00EB3F06"/>
    <w:rsid w:val="00EB4086"/>
    <w:rsid w:val="00EB437D"/>
    <w:rsid w:val="00EB46C8"/>
    <w:rsid w:val="00EB49A1"/>
    <w:rsid w:val="00EB4E8F"/>
    <w:rsid w:val="00EB50B0"/>
    <w:rsid w:val="00EB524D"/>
    <w:rsid w:val="00EB53ED"/>
    <w:rsid w:val="00EB5619"/>
    <w:rsid w:val="00EB571E"/>
    <w:rsid w:val="00EB5851"/>
    <w:rsid w:val="00EB5C24"/>
    <w:rsid w:val="00EB5D0D"/>
    <w:rsid w:val="00EB6A4D"/>
    <w:rsid w:val="00EB6AFA"/>
    <w:rsid w:val="00EB7003"/>
    <w:rsid w:val="00EB71AF"/>
    <w:rsid w:val="00EB7495"/>
    <w:rsid w:val="00EB7A34"/>
    <w:rsid w:val="00EB7CC4"/>
    <w:rsid w:val="00EC04F5"/>
    <w:rsid w:val="00EC057F"/>
    <w:rsid w:val="00EC05E5"/>
    <w:rsid w:val="00EC11E7"/>
    <w:rsid w:val="00EC1945"/>
    <w:rsid w:val="00EC1BB6"/>
    <w:rsid w:val="00EC1E67"/>
    <w:rsid w:val="00EC2047"/>
    <w:rsid w:val="00EC2273"/>
    <w:rsid w:val="00EC2379"/>
    <w:rsid w:val="00EC26A6"/>
    <w:rsid w:val="00EC2AB8"/>
    <w:rsid w:val="00EC2D96"/>
    <w:rsid w:val="00EC2E92"/>
    <w:rsid w:val="00EC2EA4"/>
    <w:rsid w:val="00EC313E"/>
    <w:rsid w:val="00EC31F6"/>
    <w:rsid w:val="00EC3206"/>
    <w:rsid w:val="00EC334D"/>
    <w:rsid w:val="00EC354A"/>
    <w:rsid w:val="00EC3775"/>
    <w:rsid w:val="00EC4472"/>
    <w:rsid w:val="00EC47BC"/>
    <w:rsid w:val="00EC48FB"/>
    <w:rsid w:val="00EC4E63"/>
    <w:rsid w:val="00EC6900"/>
    <w:rsid w:val="00EC6A20"/>
    <w:rsid w:val="00EC7EBC"/>
    <w:rsid w:val="00ED08F8"/>
    <w:rsid w:val="00ED0C19"/>
    <w:rsid w:val="00ED0C8F"/>
    <w:rsid w:val="00ED18CD"/>
    <w:rsid w:val="00ED1D1D"/>
    <w:rsid w:val="00ED23FE"/>
    <w:rsid w:val="00ED2530"/>
    <w:rsid w:val="00ED295A"/>
    <w:rsid w:val="00ED2A9B"/>
    <w:rsid w:val="00ED3193"/>
    <w:rsid w:val="00ED3331"/>
    <w:rsid w:val="00ED3401"/>
    <w:rsid w:val="00ED355A"/>
    <w:rsid w:val="00ED40B6"/>
    <w:rsid w:val="00ED41D9"/>
    <w:rsid w:val="00ED4C5B"/>
    <w:rsid w:val="00ED4FB6"/>
    <w:rsid w:val="00ED52D9"/>
    <w:rsid w:val="00ED57E7"/>
    <w:rsid w:val="00ED59E0"/>
    <w:rsid w:val="00ED5E90"/>
    <w:rsid w:val="00ED5F6B"/>
    <w:rsid w:val="00ED65A6"/>
    <w:rsid w:val="00ED6AB9"/>
    <w:rsid w:val="00ED710F"/>
    <w:rsid w:val="00ED7150"/>
    <w:rsid w:val="00ED728C"/>
    <w:rsid w:val="00ED7307"/>
    <w:rsid w:val="00ED751B"/>
    <w:rsid w:val="00ED77C8"/>
    <w:rsid w:val="00ED792C"/>
    <w:rsid w:val="00ED7C3F"/>
    <w:rsid w:val="00EE061F"/>
    <w:rsid w:val="00EE0826"/>
    <w:rsid w:val="00EE1E3C"/>
    <w:rsid w:val="00EE2E92"/>
    <w:rsid w:val="00EE31FB"/>
    <w:rsid w:val="00EE3C69"/>
    <w:rsid w:val="00EE3DD4"/>
    <w:rsid w:val="00EE3F19"/>
    <w:rsid w:val="00EE4302"/>
    <w:rsid w:val="00EE45FD"/>
    <w:rsid w:val="00EE53AD"/>
    <w:rsid w:val="00EE6093"/>
    <w:rsid w:val="00EE6113"/>
    <w:rsid w:val="00EE6F1A"/>
    <w:rsid w:val="00EE78F2"/>
    <w:rsid w:val="00EF0112"/>
    <w:rsid w:val="00EF079A"/>
    <w:rsid w:val="00EF08EF"/>
    <w:rsid w:val="00EF0995"/>
    <w:rsid w:val="00EF1114"/>
    <w:rsid w:val="00EF11C5"/>
    <w:rsid w:val="00EF1624"/>
    <w:rsid w:val="00EF18BA"/>
    <w:rsid w:val="00EF21B2"/>
    <w:rsid w:val="00EF2294"/>
    <w:rsid w:val="00EF2442"/>
    <w:rsid w:val="00EF27C4"/>
    <w:rsid w:val="00EF30BB"/>
    <w:rsid w:val="00EF331D"/>
    <w:rsid w:val="00EF3745"/>
    <w:rsid w:val="00EF37C8"/>
    <w:rsid w:val="00EF3CBD"/>
    <w:rsid w:val="00EF443E"/>
    <w:rsid w:val="00EF468C"/>
    <w:rsid w:val="00EF4CA2"/>
    <w:rsid w:val="00EF4EB7"/>
    <w:rsid w:val="00EF4F56"/>
    <w:rsid w:val="00EF57DA"/>
    <w:rsid w:val="00EF5F6A"/>
    <w:rsid w:val="00EF6D39"/>
    <w:rsid w:val="00EF7186"/>
    <w:rsid w:val="00EF7624"/>
    <w:rsid w:val="00EF773B"/>
    <w:rsid w:val="00EF7A4F"/>
    <w:rsid w:val="00EF7C21"/>
    <w:rsid w:val="00EF7D16"/>
    <w:rsid w:val="00F009A3"/>
    <w:rsid w:val="00F00B6C"/>
    <w:rsid w:val="00F00BD4"/>
    <w:rsid w:val="00F00D13"/>
    <w:rsid w:val="00F0115F"/>
    <w:rsid w:val="00F012CE"/>
    <w:rsid w:val="00F013C5"/>
    <w:rsid w:val="00F0151C"/>
    <w:rsid w:val="00F01614"/>
    <w:rsid w:val="00F017A4"/>
    <w:rsid w:val="00F0193F"/>
    <w:rsid w:val="00F01C98"/>
    <w:rsid w:val="00F01E0A"/>
    <w:rsid w:val="00F0224D"/>
    <w:rsid w:val="00F02801"/>
    <w:rsid w:val="00F03CE1"/>
    <w:rsid w:val="00F03D7A"/>
    <w:rsid w:val="00F03F11"/>
    <w:rsid w:val="00F04004"/>
    <w:rsid w:val="00F040C5"/>
    <w:rsid w:val="00F044F1"/>
    <w:rsid w:val="00F0452A"/>
    <w:rsid w:val="00F04E33"/>
    <w:rsid w:val="00F05583"/>
    <w:rsid w:val="00F05972"/>
    <w:rsid w:val="00F05BA2"/>
    <w:rsid w:val="00F05CEE"/>
    <w:rsid w:val="00F05E23"/>
    <w:rsid w:val="00F0610D"/>
    <w:rsid w:val="00F0619D"/>
    <w:rsid w:val="00F06635"/>
    <w:rsid w:val="00F06D21"/>
    <w:rsid w:val="00F06D2C"/>
    <w:rsid w:val="00F06F5A"/>
    <w:rsid w:val="00F072D4"/>
    <w:rsid w:val="00F0769C"/>
    <w:rsid w:val="00F07D93"/>
    <w:rsid w:val="00F100DA"/>
    <w:rsid w:val="00F1018F"/>
    <w:rsid w:val="00F102FB"/>
    <w:rsid w:val="00F104E1"/>
    <w:rsid w:val="00F10810"/>
    <w:rsid w:val="00F10CE2"/>
    <w:rsid w:val="00F1134C"/>
    <w:rsid w:val="00F119BC"/>
    <w:rsid w:val="00F11DAA"/>
    <w:rsid w:val="00F11F0C"/>
    <w:rsid w:val="00F1205A"/>
    <w:rsid w:val="00F126B1"/>
    <w:rsid w:val="00F12A9F"/>
    <w:rsid w:val="00F12FB0"/>
    <w:rsid w:val="00F13318"/>
    <w:rsid w:val="00F13AB0"/>
    <w:rsid w:val="00F13F72"/>
    <w:rsid w:val="00F140E1"/>
    <w:rsid w:val="00F14176"/>
    <w:rsid w:val="00F1463F"/>
    <w:rsid w:val="00F14D0A"/>
    <w:rsid w:val="00F15090"/>
    <w:rsid w:val="00F15340"/>
    <w:rsid w:val="00F1584C"/>
    <w:rsid w:val="00F15B34"/>
    <w:rsid w:val="00F15CF3"/>
    <w:rsid w:val="00F15D82"/>
    <w:rsid w:val="00F16282"/>
    <w:rsid w:val="00F16F77"/>
    <w:rsid w:val="00F17084"/>
    <w:rsid w:val="00F174DF"/>
    <w:rsid w:val="00F175D0"/>
    <w:rsid w:val="00F1782F"/>
    <w:rsid w:val="00F17CF8"/>
    <w:rsid w:val="00F17E97"/>
    <w:rsid w:val="00F20345"/>
    <w:rsid w:val="00F21635"/>
    <w:rsid w:val="00F218BD"/>
    <w:rsid w:val="00F2193C"/>
    <w:rsid w:val="00F22509"/>
    <w:rsid w:val="00F22F56"/>
    <w:rsid w:val="00F23970"/>
    <w:rsid w:val="00F239F9"/>
    <w:rsid w:val="00F243AA"/>
    <w:rsid w:val="00F2446C"/>
    <w:rsid w:val="00F2481C"/>
    <w:rsid w:val="00F24A1D"/>
    <w:rsid w:val="00F2522B"/>
    <w:rsid w:val="00F2543E"/>
    <w:rsid w:val="00F25514"/>
    <w:rsid w:val="00F25550"/>
    <w:rsid w:val="00F26214"/>
    <w:rsid w:val="00F26C40"/>
    <w:rsid w:val="00F270F5"/>
    <w:rsid w:val="00F27820"/>
    <w:rsid w:val="00F279A4"/>
    <w:rsid w:val="00F304DB"/>
    <w:rsid w:val="00F308BF"/>
    <w:rsid w:val="00F310E0"/>
    <w:rsid w:val="00F311A1"/>
    <w:rsid w:val="00F3131E"/>
    <w:rsid w:val="00F316DC"/>
    <w:rsid w:val="00F31A87"/>
    <w:rsid w:val="00F31E49"/>
    <w:rsid w:val="00F32105"/>
    <w:rsid w:val="00F324B3"/>
    <w:rsid w:val="00F32517"/>
    <w:rsid w:val="00F325B6"/>
    <w:rsid w:val="00F32A1D"/>
    <w:rsid w:val="00F32B42"/>
    <w:rsid w:val="00F334CB"/>
    <w:rsid w:val="00F336B0"/>
    <w:rsid w:val="00F33C05"/>
    <w:rsid w:val="00F33CE8"/>
    <w:rsid w:val="00F3403C"/>
    <w:rsid w:val="00F348C1"/>
    <w:rsid w:val="00F34FF0"/>
    <w:rsid w:val="00F34FF8"/>
    <w:rsid w:val="00F350D5"/>
    <w:rsid w:val="00F3560A"/>
    <w:rsid w:val="00F3674C"/>
    <w:rsid w:val="00F36E0F"/>
    <w:rsid w:val="00F370A2"/>
    <w:rsid w:val="00F37EED"/>
    <w:rsid w:val="00F40486"/>
    <w:rsid w:val="00F408C7"/>
    <w:rsid w:val="00F40B46"/>
    <w:rsid w:val="00F40E26"/>
    <w:rsid w:val="00F40F0D"/>
    <w:rsid w:val="00F41281"/>
    <w:rsid w:val="00F41F6A"/>
    <w:rsid w:val="00F42002"/>
    <w:rsid w:val="00F4239E"/>
    <w:rsid w:val="00F429A3"/>
    <w:rsid w:val="00F42A81"/>
    <w:rsid w:val="00F42AAC"/>
    <w:rsid w:val="00F43099"/>
    <w:rsid w:val="00F43B01"/>
    <w:rsid w:val="00F43D8F"/>
    <w:rsid w:val="00F43E0A"/>
    <w:rsid w:val="00F44539"/>
    <w:rsid w:val="00F4497F"/>
    <w:rsid w:val="00F4498F"/>
    <w:rsid w:val="00F44990"/>
    <w:rsid w:val="00F44F01"/>
    <w:rsid w:val="00F45230"/>
    <w:rsid w:val="00F4526A"/>
    <w:rsid w:val="00F454A5"/>
    <w:rsid w:val="00F45542"/>
    <w:rsid w:val="00F457B4"/>
    <w:rsid w:val="00F458A5"/>
    <w:rsid w:val="00F45C19"/>
    <w:rsid w:val="00F45E05"/>
    <w:rsid w:val="00F46D73"/>
    <w:rsid w:val="00F46FCC"/>
    <w:rsid w:val="00F47BF9"/>
    <w:rsid w:val="00F47DA2"/>
    <w:rsid w:val="00F47DE9"/>
    <w:rsid w:val="00F501A3"/>
    <w:rsid w:val="00F50399"/>
    <w:rsid w:val="00F51DD8"/>
    <w:rsid w:val="00F5247F"/>
    <w:rsid w:val="00F52CEC"/>
    <w:rsid w:val="00F52E33"/>
    <w:rsid w:val="00F52FDB"/>
    <w:rsid w:val="00F53012"/>
    <w:rsid w:val="00F533BF"/>
    <w:rsid w:val="00F5344D"/>
    <w:rsid w:val="00F53EE5"/>
    <w:rsid w:val="00F541D5"/>
    <w:rsid w:val="00F54642"/>
    <w:rsid w:val="00F5499C"/>
    <w:rsid w:val="00F5514D"/>
    <w:rsid w:val="00F55179"/>
    <w:rsid w:val="00F557F2"/>
    <w:rsid w:val="00F55905"/>
    <w:rsid w:val="00F55AA3"/>
    <w:rsid w:val="00F55BCD"/>
    <w:rsid w:val="00F55EBC"/>
    <w:rsid w:val="00F55F64"/>
    <w:rsid w:val="00F560C2"/>
    <w:rsid w:val="00F565DD"/>
    <w:rsid w:val="00F56968"/>
    <w:rsid w:val="00F57085"/>
    <w:rsid w:val="00F5784E"/>
    <w:rsid w:val="00F57C77"/>
    <w:rsid w:val="00F57DF6"/>
    <w:rsid w:val="00F600BF"/>
    <w:rsid w:val="00F60254"/>
    <w:rsid w:val="00F6059B"/>
    <w:rsid w:val="00F60D17"/>
    <w:rsid w:val="00F6107B"/>
    <w:rsid w:val="00F61680"/>
    <w:rsid w:val="00F616A4"/>
    <w:rsid w:val="00F617A9"/>
    <w:rsid w:val="00F617D2"/>
    <w:rsid w:val="00F6198A"/>
    <w:rsid w:val="00F6305C"/>
    <w:rsid w:val="00F637A8"/>
    <w:rsid w:val="00F63A9C"/>
    <w:rsid w:val="00F63DF9"/>
    <w:rsid w:val="00F63F9A"/>
    <w:rsid w:val="00F6405A"/>
    <w:rsid w:val="00F647A9"/>
    <w:rsid w:val="00F647F8"/>
    <w:rsid w:val="00F6499A"/>
    <w:rsid w:val="00F64C1B"/>
    <w:rsid w:val="00F64F9B"/>
    <w:rsid w:val="00F65C8E"/>
    <w:rsid w:val="00F66058"/>
    <w:rsid w:val="00F66186"/>
    <w:rsid w:val="00F661E8"/>
    <w:rsid w:val="00F665A9"/>
    <w:rsid w:val="00F66656"/>
    <w:rsid w:val="00F66AC1"/>
    <w:rsid w:val="00F66D43"/>
    <w:rsid w:val="00F67FC9"/>
    <w:rsid w:val="00F700F7"/>
    <w:rsid w:val="00F704E0"/>
    <w:rsid w:val="00F70AC0"/>
    <w:rsid w:val="00F70B50"/>
    <w:rsid w:val="00F71824"/>
    <w:rsid w:val="00F719E4"/>
    <w:rsid w:val="00F72086"/>
    <w:rsid w:val="00F72765"/>
    <w:rsid w:val="00F72D5D"/>
    <w:rsid w:val="00F7303D"/>
    <w:rsid w:val="00F73140"/>
    <w:rsid w:val="00F7345C"/>
    <w:rsid w:val="00F73804"/>
    <w:rsid w:val="00F74283"/>
    <w:rsid w:val="00F74D2B"/>
    <w:rsid w:val="00F75268"/>
    <w:rsid w:val="00F7560D"/>
    <w:rsid w:val="00F75A09"/>
    <w:rsid w:val="00F75F18"/>
    <w:rsid w:val="00F7622E"/>
    <w:rsid w:val="00F76252"/>
    <w:rsid w:val="00F762C8"/>
    <w:rsid w:val="00F768B0"/>
    <w:rsid w:val="00F768E8"/>
    <w:rsid w:val="00F7692F"/>
    <w:rsid w:val="00F7777C"/>
    <w:rsid w:val="00F77C55"/>
    <w:rsid w:val="00F8023A"/>
    <w:rsid w:val="00F802A1"/>
    <w:rsid w:val="00F80FE2"/>
    <w:rsid w:val="00F8149C"/>
    <w:rsid w:val="00F814F1"/>
    <w:rsid w:val="00F8178F"/>
    <w:rsid w:val="00F81970"/>
    <w:rsid w:val="00F81A33"/>
    <w:rsid w:val="00F81D69"/>
    <w:rsid w:val="00F81EDF"/>
    <w:rsid w:val="00F82B5A"/>
    <w:rsid w:val="00F830E8"/>
    <w:rsid w:val="00F83322"/>
    <w:rsid w:val="00F8355F"/>
    <w:rsid w:val="00F83DA7"/>
    <w:rsid w:val="00F84136"/>
    <w:rsid w:val="00F84291"/>
    <w:rsid w:val="00F8429B"/>
    <w:rsid w:val="00F8454A"/>
    <w:rsid w:val="00F84939"/>
    <w:rsid w:val="00F84A96"/>
    <w:rsid w:val="00F84ACD"/>
    <w:rsid w:val="00F84EC0"/>
    <w:rsid w:val="00F853CE"/>
    <w:rsid w:val="00F85C2E"/>
    <w:rsid w:val="00F86D90"/>
    <w:rsid w:val="00F86F30"/>
    <w:rsid w:val="00F874A9"/>
    <w:rsid w:val="00F87779"/>
    <w:rsid w:val="00F90B5E"/>
    <w:rsid w:val="00F90CAD"/>
    <w:rsid w:val="00F912A0"/>
    <w:rsid w:val="00F91925"/>
    <w:rsid w:val="00F91D0E"/>
    <w:rsid w:val="00F91D89"/>
    <w:rsid w:val="00F92109"/>
    <w:rsid w:val="00F925A0"/>
    <w:rsid w:val="00F92720"/>
    <w:rsid w:val="00F93127"/>
    <w:rsid w:val="00F9364C"/>
    <w:rsid w:val="00F93A86"/>
    <w:rsid w:val="00F93FDD"/>
    <w:rsid w:val="00F94284"/>
    <w:rsid w:val="00F94452"/>
    <w:rsid w:val="00F94998"/>
    <w:rsid w:val="00F94B1E"/>
    <w:rsid w:val="00F94BD1"/>
    <w:rsid w:val="00F94D28"/>
    <w:rsid w:val="00F96135"/>
    <w:rsid w:val="00F961AD"/>
    <w:rsid w:val="00F962FA"/>
    <w:rsid w:val="00F963D8"/>
    <w:rsid w:val="00F965C4"/>
    <w:rsid w:val="00F965F6"/>
    <w:rsid w:val="00F96E1F"/>
    <w:rsid w:val="00F97286"/>
    <w:rsid w:val="00F97CC0"/>
    <w:rsid w:val="00F97F6D"/>
    <w:rsid w:val="00FA02CD"/>
    <w:rsid w:val="00FA0451"/>
    <w:rsid w:val="00FA05A4"/>
    <w:rsid w:val="00FA0E0E"/>
    <w:rsid w:val="00FA10F1"/>
    <w:rsid w:val="00FA10F4"/>
    <w:rsid w:val="00FA15E0"/>
    <w:rsid w:val="00FA1FF4"/>
    <w:rsid w:val="00FA1FFF"/>
    <w:rsid w:val="00FA24D6"/>
    <w:rsid w:val="00FA250A"/>
    <w:rsid w:val="00FA2D4E"/>
    <w:rsid w:val="00FA3121"/>
    <w:rsid w:val="00FA3679"/>
    <w:rsid w:val="00FA3A9C"/>
    <w:rsid w:val="00FA3E80"/>
    <w:rsid w:val="00FA4007"/>
    <w:rsid w:val="00FA4297"/>
    <w:rsid w:val="00FA4307"/>
    <w:rsid w:val="00FA4311"/>
    <w:rsid w:val="00FA43ED"/>
    <w:rsid w:val="00FA455C"/>
    <w:rsid w:val="00FA4910"/>
    <w:rsid w:val="00FA4C15"/>
    <w:rsid w:val="00FA4C68"/>
    <w:rsid w:val="00FA4F9F"/>
    <w:rsid w:val="00FA561D"/>
    <w:rsid w:val="00FA59A9"/>
    <w:rsid w:val="00FA59B4"/>
    <w:rsid w:val="00FA5EAB"/>
    <w:rsid w:val="00FA5EE1"/>
    <w:rsid w:val="00FA6012"/>
    <w:rsid w:val="00FA6314"/>
    <w:rsid w:val="00FA6735"/>
    <w:rsid w:val="00FA6956"/>
    <w:rsid w:val="00FA6DBA"/>
    <w:rsid w:val="00FA6DDC"/>
    <w:rsid w:val="00FA6FC3"/>
    <w:rsid w:val="00FA7468"/>
    <w:rsid w:val="00FA7CAE"/>
    <w:rsid w:val="00FA7DA9"/>
    <w:rsid w:val="00FB04BC"/>
    <w:rsid w:val="00FB0540"/>
    <w:rsid w:val="00FB09F2"/>
    <w:rsid w:val="00FB0ACC"/>
    <w:rsid w:val="00FB0C26"/>
    <w:rsid w:val="00FB1331"/>
    <w:rsid w:val="00FB1387"/>
    <w:rsid w:val="00FB1453"/>
    <w:rsid w:val="00FB18BD"/>
    <w:rsid w:val="00FB1971"/>
    <w:rsid w:val="00FB1AEE"/>
    <w:rsid w:val="00FB1CAA"/>
    <w:rsid w:val="00FB2107"/>
    <w:rsid w:val="00FB273B"/>
    <w:rsid w:val="00FB2B68"/>
    <w:rsid w:val="00FB2BE1"/>
    <w:rsid w:val="00FB33D4"/>
    <w:rsid w:val="00FB37A3"/>
    <w:rsid w:val="00FB3FB0"/>
    <w:rsid w:val="00FB42D8"/>
    <w:rsid w:val="00FB435A"/>
    <w:rsid w:val="00FB4839"/>
    <w:rsid w:val="00FB49A5"/>
    <w:rsid w:val="00FB49B6"/>
    <w:rsid w:val="00FB504F"/>
    <w:rsid w:val="00FB5118"/>
    <w:rsid w:val="00FB5EA6"/>
    <w:rsid w:val="00FB6B7D"/>
    <w:rsid w:val="00FB6D27"/>
    <w:rsid w:val="00FB6ECF"/>
    <w:rsid w:val="00FB70EE"/>
    <w:rsid w:val="00FB743D"/>
    <w:rsid w:val="00FB7660"/>
    <w:rsid w:val="00FB7873"/>
    <w:rsid w:val="00FB793F"/>
    <w:rsid w:val="00FB7C80"/>
    <w:rsid w:val="00FC0186"/>
    <w:rsid w:val="00FC060B"/>
    <w:rsid w:val="00FC088E"/>
    <w:rsid w:val="00FC0907"/>
    <w:rsid w:val="00FC0CFA"/>
    <w:rsid w:val="00FC11A3"/>
    <w:rsid w:val="00FC1724"/>
    <w:rsid w:val="00FC1CD5"/>
    <w:rsid w:val="00FC1CF6"/>
    <w:rsid w:val="00FC1DB8"/>
    <w:rsid w:val="00FC20E3"/>
    <w:rsid w:val="00FC21D3"/>
    <w:rsid w:val="00FC2270"/>
    <w:rsid w:val="00FC3065"/>
    <w:rsid w:val="00FC3AB6"/>
    <w:rsid w:val="00FC421B"/>
    <w:rsid w:val="00FC4745"/>
    <w:rsid w:val="00FC4A09"/>
    <w:rsid w:val="00FC50BC"/>
    <w:rsid w:val="00FC543D"/>
    <w:rsid w:val="00FC55F9"/>
    <w:rsid w:val="00FC5A32"/>
    <w:rsid w:val="00FC5FB8"/>
    <w:rsid w:val="00FC6334"/>
    <w:rsid w:val="00FC65B3"/>
    <w:rsid w:val="00FC67B2"/>
    <w:rsid w:val="00FC7378"/>
    <w:rsid w:val="00FD025D"/>
    <w:rsid w:val="00FD0445"/>
    <w:rsid w:val="00FD0491"/>
    <w:rsid w:val="00FD04CD"/>
    <w:rsid w:val="00FD0666"/>
    <w:rsid w:val="00FD0F2C"/>
    <w:rsid w:val="00FD0F4D"/>
    <w:rsid w:val="00FD0FBC"/>
    <w:rsid w:val="00FD1394"/>
    <w:rsid w:val="00FD18B6"/>
    <w:rsid w:val="00FD1A96"/>
    <w:rsid w:val="00FD1CDC"/>
    <w:rsid w:val="00FD1DA7"/>
    <w:rsid w:val="00FD2542"/>
    <w:rsid w:val="00FD2882"/>
    <w:rsid w:val="00FD2981"/>
    <w:rsid w:val="00FD2B74"/>
    <w:rsid w:val="00FD3277"/>
    <w:rsid w:val="00FD32CA"/>
    <w:rsid w:val="00FD336C"/>
    <w:rsid w:val="00FD3741"/>
    <w:rsid w:val="00FD37AF"/>
    <w:rsid w:val="00FD3DF5"/>
    <w:rsid w:val="00FD4335"/>
    <w:rsid w:val="00FD4701"/>
    <w:rsid w:val="00FD47BC"/>
    <w:rsid w:val="00FD4B38"/>
    <w:rsid w:val="00FD5792"/>
    <w:rsid w:val="00FD5C7E"/>
    <w:rsid w:val="00FD5EC9"/>
    <w:rsid w:val="00FD604F"/>
    <w:rsid w:val="00FD60BF"/>
    <w:rsid w:val="00FD61AE"/>
    <w:rsid w:val="00FD669A"/>
    <w:rsid w:val="00FD6CCA"/>
    <w:rsid w:val="00FD72AD"/>
    <w:rsid w:val="00FD730E"/>
    <w:rsid w:val="00FD740D"/>
    <w:rsid w:val="00FD76B9"/>
    <w:rsid w:val="00FD7F20"/>
    <w:rsid w:val="00FE000F"/>
    <w:rsid w:val="00FE0286"/>
    <w:rsid w:val="00FE1343"/>
    <w:rsid w:val="00FE1492"/>
    <w:rsid w:val="00FE1E1F"/>
    <w:rsid w:val="00FE2278"/>
    <w:rsid w:val="00FE25EF"/>
    <w:rsid w:val="00FE2619"/>
    <w:rsid w:val="00FE2911"/>
    <w:rsid w:val="00FE2961"/>
    <w:rsid w:val="00FE29EF"/>
    <w:rsid w:val="00FE2A3D"/>
    <w:rsid w:val="00FE2D4E"/>
    <w:rsid w:val="00FE37CC"/>
    <w:rsid w:val="00FE4522"/>
    <w:rsid w:val="00FE4931"/>
    <w:rsid w:val="00FE4C71"/>
    <w:rsid w:val="00FE4D7C"/>
    <w:rsid w:val="00FE4E0E"/>
    <w:rsid w:val="00FE502C"/>
    <w:rsid w:val="00FE50E5"/>
    <w:rsid w:val="00FE5388"/>
    <w:rsid w:val="00FE5E0A"/>
    <w:rsid w:val="00FE5EA6"/>
    <w:rsid w:val="00FE63F5"/>
    <w:rsid w:val="00FE658D"/>
    <w:rsid w:val="00FE65BF"/>
    <w:rsid w:val="00FE6698"/>
    <w:rsid w:val="00FE6A5D"/>
    <w:rsid w:val="00FE6C4D"/>
    <w:rsid w:val="00FE6FA5"/>
    <w:rsid w:val="00FE7540"/>
    <w:rsid w:val="00FE7580"/>
    <w:rsid w:val="00FE7DB7"/>
    <w:rsid w:val="00FE7F53"/>
    <w:rsid w:val="00FF00DD"/>
    <w:rsid w:val="00FF067B"/>
    <w:rsid w:val="00FF0D24"/>
    <w:rsid w:val="00FF0F6B"/>
    <w:rsid w:val="00FF0FE6"/>
    <w:rsid w:val="00FF128A"/>
    <w:rsid w:val="00FF14CF"/>
    <w:rsid w:val="00FF1763"/>
    <w:rsid w:val="00FF1A5E"/>
    <w:rsid w:val="00FF1C33"/>
    <w:rsid w:val="00FF1C3B"/>
    <w:rsid w:val="00FF2085"/>
    <w:rsid w:val="00FF2CCE"/>
    <w:rsid w:val="00FF30A1"/>
    <w:rsid w:val="00FF30CF"/>
    <w:rsid w:val="00FF35E9"/>
    <w:rsid w:val="00FF386B"/>
    <w:rsid w:val="00FF3B1E"/>
    <w:rsid w:val="00FF3B95"/>
    <w:rsid w:val="00FF3F23"/>
    <w:rsid w:val="00FF4069"/>
    <w:rsid w:val="00FF428B"/>
    <w:rsid w:val="00FF4296"/>
    <w:rsid w:val="00FF49BA"/>
    <w:rsid w:val="00FF4D33"/>
    <w:rsid w:val="00FF54F1"/>
    <w:rsid w:val="00FF55E0"/>
    <w:rsid w:val="00FF5878"/>
    <w:rsid w:val="00FF5C13"/>
    <w:rsid w:val="00FF5D9C"/>
    <w:rsid w:val="00FF670F"/>
    <w:rsid w:val="00FF673D"/>
    <w:rsid w:val="00FF6992"/>
    <w:rsid w:val="00FF6B11"/>
    <w:rsid w:val="00FF6B7E"/>
    <w:rsid w:val="00FF72D3"/>
    <w:rsid w:val="00FF7469"/>
    <w:rsid w:val="00FF749F"/>
    <w:rsid w:val="0117D277"/>
    <w:rsid w:val="01185441"/>
    <w:rsid w:val="012E3B7F"/>
    <w:rsid w:val="0148373A"/>
    <w:rsid w:val="015E90E2"/>
    <w:rsid w:val="01A72C22"/>
    <w:rsid w:val="01DB13E8"/>
    <w:rsid w:val="01F1CBFD"/>
    <w:rsid w:val="01F31998"/>
    <w:rsid w:val="025862AD"/>
    <w:rsid w:val="02931889"/>
    <w:rsid w:val="029603EE"/>
    <w:rsid w:val="02A96931"/>
    <w:rsid w:val="02B18BB4"/>
    <w:rsid w:val="02C859C9"/>
    <w:rsid w:val="02CB860E"/>
    <w:rsid w:val="02F10211"/>
    <w:rsid w:val="03161663"/>
    <w:rsid w:val="032269D1"/>
    <w:rsid w:val="032751E8"/>
    <w:rsid w:val="0352E33B"/>
    <w:rsid w:val="0363A795"/>
    <w:rsid w:val="0386ABF2"/>
    <w:rsid w:val="038B2BA8"/>
    <w:rsid w:val="038E33D6"/>
    <w:rsid w:val="03B08A56"/>
    <w:rsid w:val="03B8BD3C"/>
    <w:rsid w:val="04159605"/>
    <w:rsid w:val="0424212F"/>
    <w:rsid w:val="0429B32F"/>
    <w:rsid w:val="043D4146"/>
    <w:rsid w:val="044C8FA0"/>
    <w:rsid w:val="0469465D"/>
    <w:rsid w:val="048C01C4"/>
    <w:rsid w:val="048CAD00"/>
    <w:rsid w:val="04A66F4D"/>
    <w:rsid w:val="04B65E21"/>
    <w:rsid w:val="04BDF474"/>
    <w:rsid w:val="04EE090E"/>
    <w:rsid w:val="04F48C41"/>
    <w:rsid w:val="0550008E"/>
    <w:rsid w:val="055EA419"/>
    <w:rsid w:val="05697DCF"/>
    <w:rsid w:val="056B4193"/>
    <w:rsid w:val="0584D059"/>
    <w:rsid w:val="05C2AF9E"/>
    <w:rsid w:val="0663B959"/>
    <w:rsid w:val="06941AC0"/>
    <w:rsid w:val="069898CE"/>
    <w:rsid w:val="06AE9902"/>
    <w:rsid w:val="06B890BB"/>
    <w:rsid w:val="06BF2822"/>
    <w:rsid w:val="06CA5881"/>
    <w:rsid w:val="06CD4820"/>
    <w:rsid w:val="070D1626"/>
    <w:rsid w:val="073DAA24"/>
    <w:rsid w:val="0746F306"/>
    <w:rsid w:val="074C6D4A"/>
    <w:rsid w:val="076AAB01"/>
    <w:rsid w:val="076F057F"/>
    <w:rsid w:val="077D78E9"/>
    <w:rsid w:val="078708CE"/>
    <w:rsid w:val="0797CF3B"/>
    <w:rsid w:val="07C11F6F"/>
    <w:rsid w:val="07C85ECB"/>
    <w:rsid w:val="07E05F75"/>
    <w:rsid w:val="07F38C2E"/>
    <w:rsid w:val="081D6303"/>
    <w:rsid w:val="0828326D"/>
    <w:rsid w:val="0837F01E"/>
    <w:rsid w:val="083DBD2D"/>
    <w:rsid w:val="089C7E76"/>
    <w:rsid w:val="08BD09B4"/>
    <w:rsid w:val="0929D1AE"/>
    <w:rsid w:val="0930389F"/>
    <w:rsid w:val="0939159B"/>
    <w:rsid w:val="09459DFC"/>
    <w:rsid w:val="0947D407"/>
    <w:rsid w:val="097AE013"/>
    <w:rsid w:val="098782A9"/>
    <w:rsid w:val="09A6DDF2"/>
    <w:rsid w:val="09CF6C30"/>
    <w:rsid w:val="09E5C91A"/>
    <w:rsid w:val="09F11536"/>
    <w:rsid w:val="0A37C8B6"/>
    <w:rsid w:val="0A69A474"/>
    <w:rsid w:val="0AB2F23E"/>
    <w:rsid w:val="0ADE7AE5"/>
    <w:rsid w:val="0AFFDA9E"/>
    <w:rsid w:val="0B741994"/>
    <w:rsid w:val="0B8D6BC0"/>
    <w:rsid w:val="0B95920C"/>
    <w:rsid w:val="0B98C18D"/>
    <w:rsid w:val="0BE17F5E"/>
    <w:rsid w:val="0C0867CE"/>
    <w:rsid w:val="0C2C7BAB"/>
    <w:rsid w:val="0C547CA5"/>
    <w:rsid w:val="0C623E72"/>
    <w:rsid w:val="0C69D06E"/>
    <w:rsid w:val="0C88C01A"/>
    <w:rsid w:val="0CA0F593"/>
    <w:rsid w:val="0CC710F1"/>
    <w:rsid w:val="0CCD9F50"/>
    <w:rsid w:val="0CEBA3CC"/>
    <w:rsid w:val="0CFBF7F0"/>
    <w:rsid w:val="0D018036"/>
    <w:rsid w:val="0D0C207E"/>
    <w:rsid w:val="0D6DCD59"/>
    <w:rsid w:val="0D854E56"/>
    <w:rsid w:val="0DD3E498"/>
    <w:rsid w:val="0DD52B4F"/>
    <w:rsid w:val="0E0FC049"/>
    <w:rsid w:val="0E246E5F"/>
    <w:rsid w:val="0E379698"/>
    <w:rsid w:val="0E62E152"/>
    <w:rsid w:val="0EE286BF"/>
    <w:rsid w:val="0EF50D7B"/>
    <w:rsid w:val="0F1D6A23"/>
    <w:rsid w:val="0F621DF7"/>
    <w:rsid w:val="0F732C72"/>
    <w:rsid w:val="0F929DEF"/>
    <w:rsid w:val="0F9DFB46"/>
    <w:rsid w:val="0FB1C3CB"/>
    <w:rsid w:val="0FDF58C5"/>
    <w:rsid w:val="0FE7F8A3"/>
    <w:rsid w:val="0FEBF1A0"/>
    <w:rsid w:val="1052C9FB"/>
    <w:rsid w:val="10635DA0"/>
    <w:rsid w:val="1093B4E0"/>
    <w:rsid w:val="10B14459"/>
    <w:rsid w:val="10E71EF5"/>
    <w:rsid w:val="10F2FCF7"/>
    <w:rsid w:val="10FD9004"/>
    <w:rsid w:val="113BEBFF"/>
    <w:rsid w:val="11829A83"/>
    <w:rsid w:val="119852FC"/>
    <w:rsid w:val="11A08909"/>
    <w:rsid w:val="11E73F86"/>
    <w:rsid w:val="120976BF"/>
    <w:rsid w:val="120A14DC"/>
    <w:rsid w:val="125BDEEF"/>
    <w:rsid w:val="12773D47"/>
    <w:rsid w:val="1296D5D3"/>
    <w:rsid w:val="12D32CCF"/>
    <w:rsid w:val="13128EFE"/>
    <w:rsid w:val="133AC7AB"/>
    <w:rsid w:val="13A86B59"/>
    <w:rsid w:val="13C1166A"/>
    <w:rsid w:val="13C2326D"/>
    <w:rsid w:val="13C38CF0"/>
    <w:rsid w:val="1412C15F"/>
    <w:rsid w:val="1439AEC8"/>
    <w:rsid w:val="146DCE40"/>
    <w:rsid w:val="149FBCC1"/>
    <w:rsid w:val="14A4B090"/>
    <w:rsid w:val="14D9EE5B"/>
    <w:rsid w:val="14FDEC31"/>
    <w:rsid w:val="1535AD70"/>
    <w:rsid w:val="1593CA28"/>
    <w:rsid w:val="15B6B400"/>
    <w:rsid w:val="15FBC144"/>
    <w:rsid w:val="16655617"/>
    <w:rsid w:val="16DC6A6A"/>
    <w:rsid w:val="16F9EAEF"/>
    <w:rsid w:val="171F5EB5"/>
    <w:rsid w:val="17251D36"/>
    <w:rsid w:val="172A6A34"/>
    <w:rsid w:val="172D59EC"/>
    <w:rsid w:val="17386395"/>
    <w:rsid w:val="17BB6107"/>
    <w:rsid w:val="17E95A60"/>
    <w:rsid w:val="1808F8F2"/>
    <w:rsid w:val="1836039A"/>
    <w:rsid w:val="184BED92"/>
    <w:rsid w:val="186D7E58"/>
    <w:rsid w:val="187C1B1E"/>
    <w:rsid w:val="18E42AC2"/>
    <w:rsid w:val="18F4E437"/>
    <w:rsid w:val="1956DFA9"/>
    <w:rsid w:val="1985C1AF"/>
    <w:rsid w:val="199069DC"/>
    <w:rsid w:val="19D6B4F2"/>
    <w:rsid w:val="1A1A29BC"/>
    <w:rsid w:val="1A32E6F5"/>
    <w:rsid w:val="1AA0A8F1"/>
    <w:rsid w:val="1AA3E1AC"/>
    <w:rsid w:val="1AA8A553"/>
    <w:rsid w:val="1ADD99C0"/>
    <w:rsid w:val="1B146982"/>
    <w:rsid w:val="1B1A99C4"/>
    <w:rsid w:val="1B1E7FC4"/>
    <w:rsid w:val="1B56EF37"/>
    <w:rsid w:val="1B5D59D7"/>
    <w:rsid w:val="1BAC0F86"/>
    <w:rsid w:val="1BCA1EB9"/>
    <w:rsid w:val="1C2AD8D9"/>
    <w:rsid w:val="1C3E1B67"/>
    <w:rsid w:val="1C746B35"/>
    <w:rsid w:val="1C958DD5"/>
    <w:rsid w:val="1C9A048B"/>
    <w:rsid w:val="1CDD34BB"/>
    <w:rsid w:val="1D157A19"/>
    <w:rsid w:val="1D25F0DF"/>
    <w:rsid w:val="1D396797"/>
    <w:rsid w:val="1D5CB62D"/>
    <w:rsid w:val="1DB7D91F"/>
    <w:rsid w:val="1DC53960"/>
    <w:rsid w:val="1E18151D"/>
    <w:rsid w:val="1E7AF1AB"/>
    <w:rsid w:val="1E96AA89"/>
    <w:rsid w:val="1EC742FA"/>
    <w:rsid w:val="1EDBC3BD"/>
    <w:rsid w:val="1EE3B54A"/>
    <w:rsid w:val="1F2F97A3"/>
    <w:rsid w:val="1F9C7F93"/>
    <w:rsid w:val="1F9F3571"/>
    <w:rsid w:val="1FAC11D4"/>
    <w:rsid w:val="1FB32C4E"/>
    <w:rsid w:val="1FCC7568"/>
    <w:rsid w:val="1FE95832"/>
    <w:rsid w:val="1FF38C14"/>
    <w:rsid w:val="20469053"/>
    <w:rsid w:val="2051F0B1"/>
    <w:rsid w:val="2061EC1F"/>
    <w:rsid w:val="20ABC72C"/>
    <w:rsid w:val="20E5A200"/>
    <w:rsid w:val="20EE01C6"/>
    <w:rsid w:val="20F58D6C"/>
    <w:rsid w:val="2115E52E"/>
    <w:rsid w:val="21595CE8"/>
    <w:rsid w:val="2169E579"/>
    <w:rsid w:val="21850E91"/>
    <w:rsid w:val="2190393E"/>
    <w:rsid w:val="21D9A77B"/>
    <w:rsid w:val="22120898"/>
    <w:rsid w:val="2253BB48"/>
    <w:rsid w:val="227ECD2B"/>
    <w:rsid w:val="22939E6F"/>
    <w:rsid w:val="22A6DBA4"/>
    <w:rsid w:val="22C828E4"/>
    <w:rsid w:val="22D1404B"/>
    <w:rsid w:val="22D43B2A"/>
    <w:rsid w:val="22F54451"/>
    <w:rsid w:val="2303BE78"/>
    <w:rsid w:val="242710D5"/>
    <w:rsid w:val="24432EE1"/>
    <w:rsid w:val="246F8C7A"/>
    <w:rsid w:val="24EE7E8E"/>
    <w:rsid w:val="24F2F5DC"/>
    <w:rsid w:val="24FB107F"/>
    <w:rsid w:val="251F409B"/>
    <w:rsid w:val="2529C5B0"/>
    <w:rsid w:val="256B4FE0"/>
    <w:rsid w:val="25C0ACE1"/>
    <w:rsid w:val="25D93C9E"/>
    <w:rsid w:val="260A582D"/>
    <w:rsid w:val="267292F4"/>
    <w:rsid w:val="268DCD4D"/>
    <w:rsid w:val="26906431"/>
    <w:rsid w:val="26BB2D6F"/>
    <w:rsid w:val="26C72077"/>
    <w:rsid w:val="26CB579C"/>
    <w:rsid w:val="26D3F25D"/>
    <w:rsid w:val="26FEBE13"/>
    <w:rsid w:val="26FF7B1B"/>
    <w:rsid w:val="271FA487"/>
    <w:rsid w:val="2728F5A1"/>
    <w:rsid w:val="274C0BB9"/>
    <w:rsid w:val="2769E6B5"/>
    <w:rsid w:val="2789988A"/>
    <w:rsid w:val="27A78CB4"/>
    <w:rsid w:val="27B1D655"/>
    <w:rsid w:val="27D3AC0A"/>
    <w:rsid w:val="27FD8634"/>
    <w:rsid w:val="2841F3DA"/>
    <w:rsid w:val="289BBD08"/>
    <w:rsid w:val="28EC5646"/>
    <w:rsid w:val="29205C9A"/>
    <w:rsid w:val="2977EBA2"/>
    <w:rsid w:val="299C26B8"/>
    <w:rsid w:val="2A05530C"/>
    <w:rsid w:val="2A4A44F6"/>
    <w:rsid w:val="2A5B4832"/>
    <w:rsid w:val="2A6648D2"/>
    <w:rsid w:val="2A710FE3"/>
    <w:rsid w:val="2A7D29FC"/>
    <w:rsid w:val="2AC5A206"/>
    <w:rsid w:val="2AD28322"/>
    <w:rsid w:val="2AF82743"/>
    <w:rsid w:val="2B133576"/>
    <w:rsid w:val="2B55043C"/>
    <w:rsid w:val="2BB7E1F1"/>
    <w:rsid w:val="2C2B70ED"/>
    <w:rsid w:val="2C2F55C5"/>
    <w:rsid w:val="2C7DF6DA"/>
    <w:rsid w:val="2C8F1ACA"/>
    <w:rsid w:val="2D18514C"/>
    <w:rsid w:val="2D1F5A08"/>
    <w:rsid w:val="2D23770A"/>
    <w:rsid w:val="2D944A8E"/>
    <w:rsid w:val="2DF310B2"/>
    <w:rsid w:val="2DF332DA"/>
    <w:rsid w:val="2E008E51"/>
    <w:rsid w:val="2E0C7E97"/>
    <w:rsid w:val="2E2C963F"/>
    <w:rsid w:val="2E400760"/>
    <w:rsid w:val="2E754527"/>
    <w:rsid w:val="2E7877BE"/>
    <w:rsid w:val="2EAEE7F7"/>
    <w:rsid w:val="2EECC136"/>
    <w:rsid w:val="2F17C0D7"/>
    <w:rsid w:val="2F3FA7B2"/>
    <w:rsid w:val="2F4046A7"/>
    <w:rsid w:val="2F67C735"/>
    <w:rsid w:val="2FF08919"/>
    <w:rsid w:val="301788F3"/>
    <w:rsid w:val="302F8260"/>
    <w:rsid w:val="3042487E"/>
    <w:rsid w:val="306E26C0"/>
    <w:rsid w:val="309E4FD0"/>
    <w:rsid w:val="30A2AE28"/>
    <w:rsid w:val="30A3CB66"/>
    <w:rsid w:val="31281330"/>
    <w:rsid w:val="314C5326"/>
    <w:rsid w:val="31EDE429"/>
    <w:rsid w:val="3252E924"/>
    <w:rsid w:val="327A2868"/>
    <w:rsid w:val="32B16F8E"/>
    <w:rsid w:val="32E8B964"/>
    <w:rsid w:val="32FB7FBF"/>
    <w:rsid w:val="3305FD33"/>
    <w:rsid w:val="3306F715"/>
    <w:rsid w:val="3348E134"/>
    <w:rsid w:val="3382F7D9"/>
    <w:rsid w:val="338A9F87"/>
    <w:rsid w:val="3437709C"/>
    <w:rsid w:val="3464320A"/>
    <w:rsid w:val="34DF7D88"/>
    <w:rsid w:val="34E581A7"/>
    <w:rsid w:val="35375293"/>
    <w:rsid w:val="3539558D"/>
    <w:rsid w:val="357D0297"/>
    <w:rsid w:val="361449DF"/>
    <w:rsid w:val="36D47381"/>
    <w:rsid w:val="3701177A"/>
    <w:rsid w:val="370A47CE"/>
    <w:rsid w:val="3738A20F"/>
    <w:rsid w:val="374F4D49"/>
    <w:rsid w:val="37981582"/>
    <w:rsid w:val="37BFBD8F"/>
    <w:rsid w:val="37F15182"/>
    <w:rsid w:val="37FA3084"/>
    <w:rsid w:val="3801D2BC"/>
    <w:rsid w:val="381B294C"/>
    <w:rsid w:val="385D500B"/>
    <w:rsid w:val="386720C8"/>
    <w:rsid w:val="38DEB164"/>
    <w:rsid w:val="38E25348"/>
    <w:rsid w:val="39159382"/>
    <w:rsid w:val="394B9909"/>
    <w:rsid w:val="3953028D"/>
    <w:rsid w:val="3973C90A"/>
    <w:rsid w:val="399B3D4A"/>
    <w:rsid w:val="39C6F69C"/>
    <w:rsid w:val="39D41286"/>
    <w:rsid w:val="39DA1C82"/>
    <w:rsid w:val="39EC2CB8"/>
    <w:rsid w:val="3A06D871"/>
    <w:rsid w:val="3A12A4C1"/>
    <w:rsid w:val="3A1C1501"/>
    <w:rsid w:val="3A42D750"/>
    <w:rsid w:val="3A8C1B76"/>
    <w:rsid w:val="3AA6CFC5"/>
    <w:rsid w:val="3B4D9FEE"/>
    <w:rsid w:val="3B80DB6F"/>
    <w:rsid w:val="3B8819A1"/>
    <w:rsid w:val="3BB7345F"/>
    <w:rsid w:val="3BBF945F"/>
    <w:rsid w:val="3C3BDFDF"/>
    <w:rsid w:val="3C53CB26"/>
    <w:rsid w:val="3C6F98E2"/>
    <w:rsid w:val="3C7E11D1"/>
    <w:rsid w:val="3CA47E62"/>
    <w:rsid w:val="3CB6D711"/>
    <w:rsid w:val="3D287890"/>
    <w:rsid w:val="3D55CF74"/>
    <w:rsid w:val="3D5C05A0"/>
    <w:rsid w:val="3D78CF13"/>
    <w:rsid w:val="3DD551A4"/>
    <w:rsid w:val="3E0BE1DE"/>
    <w:rsid w:val="3E71C393"/>
    <w:rsid w:val="3E81184D"/>
    <w:rsid w:val="3EC5DA67"/>
    <w:rsid w:val="3EC78BF9"/>
    <w:rsid w:val="3ED2B02B"/>
    <w:rsid w:val="3ED357ED"/>
    <w:rsid w:val="3EE5B7A2"/>
    <w:rsid w:val="3EF591B3"/>
    <w:rsid w:val="3EF9B322"/>
    <w:rsid w:val="3EFE258D"/>
    <w:rsid w:val="3F1D2D88"/>
    <w:rsid w:val="3F57F2C2"/>
    <w:rsid w:val="3F8D6069"/>
    <w:rsid w:val="3FC3AF45"/>
    <w:rsid w:val="3FF8A637"/>
    <w:rsid w:val="400CF923"/>
    <w:rsid w:val="4012A68C"/>
    <w:rsid w:val="40231453"/>
    <w:rsid w:val="4032C3D9"/>
    <w:rsid w:val="405402E0"/>
    <w:rsid w:val="4086F4CB"/>
    <w:rsid w:val="4087C99C"/>
    <w:rsid w:val="408B7D9E"/>
    <w:rsid w:val="40EAD52A"/>
    <w:rsid w:val="41017B2A"/>
    <w:rsid w:val="411639FD"/>
    <w:rsid w:val="41174F67"/>
    <w:rsid w:val="411A67B1"/>
    <w:rsid w:val="413F902D"/>
    <w:rsid w:val="4176A09E"/>
    <w:rsid w:val="41A2BF12"/>
    <w:rsid w:val="41B30460"/>
    <w:rsid w:val="41F6523D"/>
    <w:rsid w:val="422DD9C4"/>
    <w:rsid w:val="4242F023"/>
    <w:rsid w:val="424AD6AD"/>
    <w:rsid w:val="430603D8"/>
    <w:rsid w:val="4338990A"/>
    <w:rsid w:val="4351B050"/>
    <w:rsid w:val="4355C52D"/>
    <w:rsid w:val="4396242C"/>
    <w:rsid w:val="43A9484F"/>
    <w:rsid w:val="43C5AC81"/>
    <w:rsid w:val="43CD8EFD"/>
    <w:rsid w:val="4404887F"/>
    <w:rsid w:val="44497F6E"/>
    <w:rsid w:val="447D4194"/>
    <w:rsid w:val="449DFCEE"/>
    <w:rsid w:val="44EA0DAA"/>
    <w:rsid w:val="44FB8EEC"/>
    <w:rsid w:val="4550B0BB"/>
    <w:rsid w:val="455C8286"/>
    <w:rsid w:val="455CF7F6"/>
    <w:rsid w:val="45ABC5E8"/>
    <w:rsid w:val="45C8604C"/>
    <w:rsid w:val="45D0E332"/>
    <w:rsid w:val="45E25B00"/>
    <w:rsid w:val="460BE28C"/>
    <w:rsid w:val="46475A58"/>
    <w:rsid w:val="467C3947"/>
    <w:rsid w:val="468EF361"/>
    <w:rsid w:val="46A0A9EE"/>
    <w:rsid w:val="46AACA60"/>
    <w:rsid w:val="46BC2127"/>
    <w:rsid w:val="46F983D6"/>
    <w:rsid w:val="47238765"/>
    <w:rsid w:val="47357DF5"/>
    <w:rsid w:val="47390D46"/>
    <w:rsid w:val="4752A74A"/>
    <w:rsid w:val="477A8DF6"/>
    <w:rsid w:val="478355F9"/>
    <w:rsid w:val="47835E89"/>
    <w:rsid w:val="48223F50"/>
    <w:rsid w:val="48310B4D"/>
    <w:rsid w:val="483F254E"/>
    <w:rsid w:val="48420C81"/>
    <w:rsid w:val="484BCE73"/>
    <w:rsid w:val="4851011C"/>
    <w:rsid w:val="4867AE04"/>
    <w:rsid w:val="4891C947"/>
    <w:rsid w:val="48922C9C"/>
    <w:rsid w:val="48B797CC"/>
    <w:rsid w:val="48EB2146"/>
    <w:rsid w:val="490C4C40"/>
    <w:rsid w:val="491BB1CA"/>
    <w:rsid w:val="495E7ECF"/>
    <w:rsid w:val="4962C8AA"/>
    <w:rsid w:val="49794896"/>
    <w:rsid w:val="499993FE"/>
    <w:rsid w:val="499D400C"/>
    <w:rsid w:val="49C57609"/>
    <w:rsid w:val="49CAB019"/>
    <w:rsid w:val="4A06EDC4"/>
    <w:rsid w:val="4A0F540F"/>
    <w:rsid w:val="4A17D1A3"/>
    <w:rsid w:val="4A2027F3"/>
    <w:rsid w:val="4A317F28"/>
    <w:rsid w:val="4A367DF2"/>
    <w:rsid w:val="4A3F16CE"/>
    <w:rsid w:val="4A99ACFA"/>
    <w:rsid w:val="4AA06B90"/>
    <w:rsid w:val="4AB15F16"/>
    <w:rsid w:val="4AEEDEF1"/>
    <w:rsid w:val="4AEF3F91"/>
    <w:rsid w:val="4B1DB84F"/>
    <w:rsid w:val="4B2377FA"/>
    <w:rsid w:val="4B3793F8"/>
    <w:rsid w:val="4B4A9B5B"/>
    <w:rsid w:val="4B7F5C44"/>
    <w:rsid w:val="4B95705B"/>
    <w:rsid w:val="4B9B91C5"/>
    <w:rsid w:val="4BD2340B"/>
    <w:rsid w:val="4BF2A9C4"/>
    <w:rsid w:val="4BF9FED7"/>
    <w:rsid w:val="4C51EA66"/>
    <w:rsid w:val="4C859A57"/>
    <w:rsid w:val="4C8DD4C8"/>
    <w:rsid w:val="4CA8238C"/>
    <w:rsid w:val="4CDC0105"/>
    <w:rsid w:val="4CE44150"/>
    <w:rsid w:val="4CE7EE3C"/>
    <w:rsid w:val="4D35C3F6"/>
    <w:rsid w:val="4D991E78"/>
    <w:rsid w:val="4DAF6793"/>
    <w:rsid w:val="4DC5DEB3"/>
    <w:rsid w:val="4DD75C51"/>
    <w:rsid w:val="4E200905"/>
    <w:rsid w:val="4E2B59EA"/>
    <w:rsid w:val="4E69088E"/>
    <w:rsid w:val="4E717937"/>
    <w:rsid w:val="4EC65376"/>
    <w:rsid w:val="4ECC79A5"/>
    <w:rsid w:val="4ED07D3E"/>
    <w:rsid w:val="4EE66958"/>
    <w:rsid w:val="4EE7885F"/>
    <w:rsid w:val="4EF39916"/>
    <w:rsid w:val="4F366FCE"/>
    <w:rsid w:val="4F74CDDB"/>
    <w:rsid w:val="4F995C07"/>
    <w:rsid w:val="4F9F257C"/>
    <w:rsid w:val="4FD205B5"/>
    <w:rsid w:val="5000AAC5"/>
    <w:rsid w:val="5018C8A2"/>
    <w:rsid w:val="501BCB33"/>
    <w:rsid w:val="508E6D58"/>
    <w:rsid w:val="50D197D0"/>
    <w:rsid w:val="51204CC3"/>
    <w:rsid w:val="5120A09A"/>
    <w:rsid w:val="51342598"/>
    <w:rsid w:val="51575DD8"/>
    <w:rsid w:val="516DD616"/>
    <w:rsid w:val="5179E856"/>
    <w:rsid w:val="517C0712"/>
    <w:rsid w:val="5191D78B"/>
    <w:rsid w:val="51BCF3E9"/>
    <w:rsid w:val="51CD37CD"/>
    <w:rsid w:val="51E920C7"/>
    <w:rsid w:val="51FB384C"/>
    <w:rsid w:val="521193E1"/>
    <w:rsid w:val="5275A9BC"/>
    <w:rsid w:val="52857E8E"/>
    <w:rsid w:val="52B47549"/>
    <w:rsid w:val="52B69AFA"/>
    <w:rsid w:val="52BC70FB"/>
    <w:rsid w:val="538C05E1"/>
    <w:rsid w:val="53DCC25B"/>
    <w:rsid w:val="53EC367F"/>
    <w:rsid w:val="53F57926"/>
    <w:rsid w:val="54020528"/>
    <w:rsid w:val="541B1357"/>
    <w:rsid w:val="5458415C"/>
    <w:rsid w:val="5492A9FB"/>
    <w:rsid w:val="5495EF06"/>
    <w:rsid w:val="54A2BD83"/>
    <w:rsid w:val="55147FAC"/>
    <w:rsid w:val="554B63AE"/>
    <w:rsid w:val="5563BD79"/>
    <w:rsid w:val="558545CC"/>
    <w:rsid w:val="55BE7ADF"/>
    <w:rsid w:val="55CED4EF"/>
    <w:rsid w:val="55DE5028"/>
    <w:rsid w:val="55E5D80C"/>
    <w:rsid w:val="560847F5"/>
    <w:rsid w:val="563BDD0F"/>
    <w:rsid w:val="565A2036"/>
    <w:rsid w:val="565DC0CA"/>
    <w:rsid w:val="5678946B"/>
    <w:rsid w:val="567BCAA7"/>
    <w:rsid w:val="568309D8"/>
    <w:rsid w:val="5726B14A"/>
    <w:rsid w:val="572DE6EF"/>
    <w:rsid w:val="574DA0F7"/>
    <w:rsid w:val="57688010"/>
    <w:rsid w:val="5773301D"/>
    <w:rsid w:val="57DDB3B1"/>
    <w:rsid w:val="57F8ABED"/>
    <w:rsid w:val="57FC08BA"/>
    <w:rsid w:val="58165603"/>
    <w:rsid w:val="58296F9C"/>
    <w:rsid w:val="58439A76"/>
    <w:rsid w:val="585504D1"/>
    <w:rsid w:val="58797482"/>
    <w:rsid w:val="587A9B72"/>
    <w:rsid w:val="58816F94"/>
    <w:rsid w:val="58C73731"/>
    <w:rsid w:val="58D7EA67"/>
    <w:rsid w:val="58D92CA1"/>
    <w:rsid w:val="58F33B34"/>
    <w:rsid w:val="5941EC18"/>
    <w:rsid w:val="59496861"/>
    <w:rsid w:val="596D225D"/>
    <w:rsid w:val="598B30FF"/>
    <w:rsid w:val="59A0D8A8"/>
    <w:rsid w:val="59E41EB8"/>
    <w:rsid w:val="5A0375B5"/>
    <w:rsid w:val="5A0E4669"/>
    <w:rsid w:val="5A533D58"/>
    <w:rsid w:val="5A5B3A9D"/>
    <w:rsid w:val="5A62DED3"/>
    <w:rsid w:val="5A65321B"/>
    <w:rsid w:val="5A8AFA92"/>
    <w:rsid w:val="5A9046DD"/>
    <w:rsid w:val="5AAF112C"/>
    <w:rsid w:val="5AC87F3F"/>
    <w:rsid w:val="5B0588C8"/>
    <w:rsid w:val="5B4EFC6D"/>
    <w:rsid w:val="5B848AF0"/>
    <w:rsid w:val="5BB47C4C"/>
    <w:rsid w:val="5BBB45D3"/>
    <w:rsid w:val="5BCF23A7"/>
    <w:rsid w:val="5BEB1015"/>
    <w:rsid w:val="5C0B3FBF"/>
    <w:rsid w:val="5C2D143C"/>
    <w:rsid w:val="5C4C67BE"/>
    <w:rsid w:val="5CC43F2F"/>
    <w:rsid w:val="5D83465F"/>
    <w:rsid w:val="5D8856F3"/>
    <w:rsid w:val="5D88CEA5"/>
    <w:rsid w:val="5DB8958D"/>
    <w:rsid w:val="5DC94944"/>
    <w:rsid w:val="5DD5A4DE"/>
    <w:rsid w:val="5E213FDD"/>
    <w:rsid w:val="5E31AA3A"/>
    <w:rsid w:val="5E3F343F"/>
    <w:rsid w:val="5E584AEA"/>
    <w:rsid w:val="5E869D2F"/>
    <w:rsid w:val="5EA73DD9"/>
    <w:rsid w:val="5F707E6C"/>
    <w:rsid w:val="5FA8F71F"/>
    <w:rsid w:val="5FD04A64"/>
    <w:rsid w:val="602178BB"/>
    <w:rsid w:val="6029947B"/>
    <w:rsid w:val="6029DC6E"/>
    <w:rsid w:val="602A90B8"/>
    <w:rsid w:val="6072D38B"/>
    <w:rsid w:val="60850FED"/>
    <w:rsid w:val="6095A66C"/>
    <w:rsid w:val="60C55CBA"/>
    <w:rsid w:val="60F8FD7B"/>
    <w:rsid w:val="61545945"/>
    <w:rsid w:val="615B4EB3"/>
    <w:rsid w:val="616413CF"/>
    <w:rsid w:val="619C0744"/>
    <w:rsid w:val="61B770BF"/>
    <w:rsid w:val="61BE3DF1"/>
    <w:rsid w:val="61D4349C"/>
    <w:rsid w:val="621C9036"/>
    <w:rsid w:val="624126D0"/>
    <w:rsid w:val="62542194"/>
    <w:rsid w:val="627ED4CD"/>
    <w:rsid w:val="62F6A8A2"/>
    <w:rsid w:val="631486B7"/>
    <w:rsid w:val="634EAF78"/>
    <w:rsid w:val="637186A4"/>
    <w:rsid w:val="63942F61"/>
    <w:rsid w:val="63C82EF0"/>
    <w:rsid w:val="6406BB4A"/>
    <w:rsid w:val="642766D2"/>
    <w:rsid w:val="64572AD9"/>
    <w:rsid w:val="646F0967"/>
    <w:rsid w:val="650FAD9C"/>
    <w:rsid w:val="65263743"/>
    <w:rsid w:val="654761B7"/>
    <w:rsid w:val="658744DE"/>
    <w:rsid w:val="65A95796"/>
    <w:rsid w:val="65EA60FB"/>
    <w:rsid w:val="6642FFE9"/>
    <w:rsid w:val="66978490"/>
    <w:rsid w:val="66BF1982"/>
    <w:rsid w:val="66DA2D80"/>
    <w:rsid w:val="673FBAEC"/>
    <w:rsid w:val="67573062"/>
    <w:rsid w:val="67656B16"/>
    <w:rsid w:val="67759111"/>
    <w:rsid w:val="6788FDC7"/>
    <w:rsid w:val="679B9575"/>
    <w:rsid w:val="679DFD2E"/>
    <w:rsid w:val="683154B6"/>
    <w:rsid w:val="6852CF40"/>
    <w:rsid w:val="686485F5"/>
    <w:rsid w:val="68738F42"/>
    <w:rsid w:val="6880A07E"/>
    <w:rsid w:val="6889C79C"/>
    <w:rsid w:val="68B88CAC"/>
    <w:rsid w:val="68D03C70"/>
    <w:rsid w:val="690E099C"/>
    <w:rsid w:val="69264CFE"/>
    <w:rsid w:val="69332AB8"/>
    <w:rsid w:val="69776853"/>
    <w:rsid w:val="6A03FE9B"/>
    <w:rsid w:val="6A0512F3"/>
    <w:rsid w:val="6A0E372E"/>
    <w:rsid w:val="6A0EBD98"/>
    <w:rsid w:val="6A5AB601"/>
    <w:rsid w:val="6A774808"/>
    <w:rsid w:val="6AAABD04"/>
    <w:rsid w:val="6ABBAA23"/>
    <w:rsid w:val="6ABD12C9"/>
    <w:rsid w:val="6AE59A39"/>
    <w:rsid w:val="6B2F3CC3"/>
    <w:rsid w:val="6B5DAC62"/>
    <w:rsid w:val="6B88AA23"/>
    <w:rsid w:val="6BCB01A2"/>
    <w:rsid w:val="6BE3D9F3"/>
    <w:rsid w:val="6BE80E12"/>
    <w:rsid w:val="6BEF95F6"/>
    <w:rsid w:val="6C0BC85E"/>
    <w:rsid w:val="6C310717"/>
    <w:rsid w:val="6C369641"/>
    <w:rsid w:val="6C3A053C"/>
    <w:rsid w:val="6C677EB4"/>
    <w:rsid w:val="6C6DC7D1"/>
    <w:rsid w:val="6C7F7952"/>
    <w:rsid w:val="6C98C6DD"/>
    <w:rsid w:val="6CBA2F59"/>
    <w:rsid w:val="6CC36D2C"/>
    <w:rsid w:val="6D306F34"/>
    <w:rsid w:val="6D345A5F"/>
    <w:rsid w:val="6D4CC85C"/>
    <w:rsid w:val="6DF0EB87"/>
    <w:rsid w:val="6E081EC2"/>
    <w:rsid w:val="6E136B2C"/>
    <w:rsid w:val="6E21D996"/>
    <w:rsid w:val="6E3B5F5D"/>
    <w:rsid w:val="6E62AEB7"/>
    <w:rsid w:val="6E736C1A"/>
    <w:rsid w:val="6E7D304B"/>
    <w:rsid w:val="6EB5439C"/>
    <w:rsid w:val="6EB9AE2F"/>
    <w:rsid w:val="6EBEA9DB"/>
    <w:rsid w:val="6EE8F1A9"/>
    <w:rsid w:val="6F398F74"/>
    <w:rsid w:val="6F6033B5"/>
    <w:rsid w:val="6F7AA617"/>
    <w:rsid w:val="6F8DBA80"/>
    <w:rsid w:val="6FCE540A"/>
    <w:rsid w:val="6FDD8AA0"/>
    <w:rsid w:val="7041434F"/>
    <w:rsid w:val="704C2DC4"/>
    <w:rsid w:val="7055DEDF"/>
    <w:rsid w:val="7091314D"/>
    <w:rsid w:val="7114C7CC"/>
    <w:rsid w:val="7129A1B7"/>
    <w:rsid w:val="713F40E0"/>
    <w:rsid w:val="7146FD15"/>
    <w:rsid w:val="715CC0DC"/>
    <w:rsid w:val="71736CAA"/>
    <w:rsid w:val="719F9ABF"/>
    <w:rsid w:val="71B283E3"/>
    <w:rsid w:val="71BC8011"/>
    <w:rsid w:val="72225120"/>
    <w:rsid w:val="722A62BA"/>
    <w:rsid w:val="72467F74"/>
    <w:rsid w:val="724BB4BF"/>
    <w:rsid w:val="7272C057"/>
    <w:rsid w:val="728E263D"/>
    <w:rsid w:val="72961351"/>
    <w:rsid w:val="72BDE18D"/>
    <w:rsid w:val="72FD126E"/>
    <w:rsid w:val="73021D5A"/>
    <w:rsid w:val="7327F0A1"/>
    <w:rsid w:val="7342C55E"/>
    <w:rsid w:val="7361CBAE"/>
    <w:rsid w:val="73933D90"/>
    <w:rsid w:val="73D25A81"/>
    <w:rsid w:val="73D3072E"/>
    <w:rsid w:val="73FCC0D9"/>
    <w:rsid w:val="74022894"/>
    <w:rsid w:val="744A3DD8"/>
    <w:rsid w:val="74726ED8"/>
    <w:rsid w:val="749DEDBB"/>
    <w:rsid w:val="74B3088F"/>
    <w:rsid w:val="74CD9A08"/>
    <w:rsid w:val="750B58B5"/>
    <w:rsid w:val="751B6850"/>
    <w:rsid w:val="7559CF4A"/>
    <w:rsid w:val="7588BAF5"/>
    <w:rsid w:val="759B7F76"/>
    <w:rsid w:val="75B07D31"/>
    <w:rsid w:val="75D893E8"/>
    <w:rsid w:val="7640918B"/>
    <w:rsid w:val="76712D0A"/>
    <w:rsid w:val="76BEC597"/>
    <w:rsid w:val="7702BB65"/>
    <w:rsid w:val="771681D8"/>
    <w:rsid w:val="77568F4B"/>
    <w:rsid w:val="7763180F"/>
    <w:rsid w:val="77D5FFED"/>
    <w:rsid w:val="77E8050D"/>
    <w:rsid w:val="77EF7474"/>
    <w:rsid w:val="77FE3D14"/>
    <w:rsid w:val="7818DFB3"/>
    <w:rsid w:val="784B90C5"/>
    <w:rsid w:val="786D2B1F"/>
    <w:rsid w:val="78BD49D8"/>
    <w:rsid w:val="78C3CF6C"/>
    <w:rsid w:val="78E07691"/>
    <w:rsid w:val="792D443B"/>
    <w:rsid w:val="7930662F"/>
    <w:rsid w:val="795E58CD"/>
    <w:rsid w:val="7984DB7A"/>
    <w:rsid w:val="798EE50D"/>
    <w:rsid w:val="79AFD6D1"/>
    <w:rsid w:val="79CE38C9"/>
    <w:rsid w:val="79DA3ED8"/>
    <w:rsid w:val="79E76126"/>
    <w:rsid w:val="79F9CDA5"/>
    <w:rsid w:val="7A316227"/>
    <w:rsid w:val="7A38349E"/>
    <w:rsid w:val="7A55670D"/>
    <w:rsid w:val="7A582777"/>
    <w:rsid w:val="7AB1D479"/>
    <w:rsid w:val="7ADA1768"/>
    <w:rsid w:val="7B1FC39C"/>
    <w:rsid w:val="7B36B3C3"/>
    <w:rsid w:val="7B3EF035"/>
    <w:rsid w:val="7B3EF8B0"/>
    <w:rsid w:val="7B67521B"/>
    <w:rsid w:val="7B89ADB5"/>
    <w:rsid w:val="7BA98E1E"/>
    <w:rsid w:val="7BDD819B"/>
    <w:rsid w:val="7C0A2807"/>
    <w:rsid w:val="7C433B1A"/>
    <w:rsid w:val="7C5E9259"/>
    <w:rsid w:val="7C85DFAE"/>
    <w:rsid w:val="7C946CFB"/>
    <w:rsid w:val="7C97F391"/>
    <w:rsid w:val="7CA1E92C"/>
    <w:rsid w:val="7CDE5BC8"/>
    <w:rsid w:val="7CE57536"/>
    <w:rsid w:val="7D14274F"/>
    <w:rsid w:val="7D1C46AB"/>
    <w:rsid w:val="7D3891A4"/>
    <w:rsid w:val="7D72AF5F"/>
    <w:rsid w:val="7D7DED3A"/>
    <w:rsid w:val="7D937599"/>
    <w:rsid w:val="7E151569"/>
    <w:rsid w:val="7E44D001"/>
    <w:rsid w:val="7E4BE417"/>
    <w:rsid w:val="7E4CCF63"/>
    <w:rsid w:val="7E822FE5"/>
    <w:rsid w:val="7F046F27"/>
    <w:rsid w:val="7F88E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6C4F"/>
  <w15:docId w15:val="{CB8F2872-619B-4B9C-9FF3-95C7B414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E2"/>
    <w:rPr>
      <w:rFonts w:eastAsia="SimSun" w:cs="Times New Roman"/>
      <w:szCs w:val="24"/>
      <w:lang w:eastAsia="zh-CN"/>
    </w:rPr>
  </w:style>
  <w:style w:type="paragraph" w:styleId="Heading1">
    <w:name w:val="heading 1"/>
    <w:basedOn w:val="Normal"/>
    <w:next w:val="Normal"/>
    <w:link w:val="Heading1Char"/>
    <w:uiPriority w:val="9"/>
    <w:qFormat/>
    <w:rsid w:val="000B16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D04A02"/>
    <w:pPr>
      <w:keepNext/>
      <w:outlineLvl w:val="3"/>
    </w:pPr>
    <w:rPr>
      <w:rFonts w:eastAsia="Times New Roman"/>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7E2"/>
    <w:rPr>
      <w:rFonts w:ascii="Tahoma" w:hAnsi="Tahoma" w:cs="Tahoma"/>
      <w:sz w:val="16"/>
      <w:szCs w:val="16"/>
    </w:rPr>
  </w:style>
  <w:style w:type="character" w:customStyle="1" w:styleId="BalloonTextChar">
    <w:name w:val="Balloon Text Char"/>
    <w:basedOn w:val="DefaultParagraphFont"/>
    <w:link w:val="BalloonText"/>
    <w:uiPriority w:val="99"/>
    <w:semiHidden/>
    <w:rsid w:val="00EF57E2"/>
    <w:rPr>
      <w:rFonts w:ascii="Tahoma" w:hAnsi="Tahoma" w:cs="Tahoma"/>
      <w:sz w:val="16"/>
      <w:szCs w:val="16"/>
    </w:rPr>
  </w:style>
  <w:style w:type="paragraph" w:styleId="BodyText">
    <w:name w:val="Body Text"/>
    <w:basedOn w:val="Normal"/>
    <w:link w:val="BodyTextChar"/>
    <w:rsid w:val="00575C5C"/>
    <w:pPr>
      <w:widowControl w:val="0"/>
      <w:spacing w:after="240"/>
      <w:ind w:firstLine="720"/>
    </w:pPr>
  </w:style>
  <w:style w:type="character" w:customStyle="1" w:styleId="BodyTextChar">
    <w:name w:val="Body Text Char"/>
    <w:basedOn w:val="DefaultParagraphFont"/>
    <w:link w:val="BodyText"/>
    <w:rsid w:val="00575C5C"/>
    <w:rPr>
      <w:rFonts w:eastAsia="Times New Roman" w:cs="Times New Roman"/>
      <w:szCs w:val="24"/>
    </w:rPr>
  </w:style>
  <w:style w:type="paragraph" w:customStyle="1" w:styleId="BodyTextContinued">
    <w:name w:val="Body Text Continued"/>
    <w:basedOn w:val="BodyText"/>
    <w:next w:val="BodyText"/>
    <w:rsid w:val="00575C5C"/>
  </w:style>
  <w:style w:type="paragraph" w:styleId="Quote">
    <w:name w:val="Quote"/>
    <w:basedOn w:val="Normal"/>
    <w:next w:val="BodyTextContinued"/>
    <w:link w:val="QuoteChar"/>
    <w:qFormat/>
    <w:rsid w:val="00575C5C"/>
    <w:pPr>
      <w:spacing w:after="240"/>
      <w:ind w:left="1440" w:right="1440"/>
    </w:pPr>
    <w:rPr>
      <w:szCs w:val="20"/>
    </w:rPr>
  </w:style>
  <w:style w:type="character" w:customStyle="1" w:styleId="QuoteChar">
    <w:name w:val="Quote Char"/>
    <w:basedOn w:val="DefaultParagraphFont"/>
    <w:link w:val="Quote"/>
    <w:rsid w:val="00575C5C"/>
    <w:rPr>
      <w:rFonts w:eastAsia="Times New Roman" w:cs="Times New Roman"/>
      <w:szCs w:val="20"/>
    </w:rPr>
  </w:style>
  <w:style w:type="paragraph" w:styleId="Header">
    <w:name w:val="header"/>
    <w:basedOn w:val="Normal"/>
    <w:link w:val="HeaderChar"/>
    <w:uiPriority w:val="99"/>
    <w:rsid w:val="00575C5C"/>
    <w:pPr>
      <w:tabs>
        <w:tab w:val="center" w:pos="4680"/>
        <w:tab w:val="right" w:pos="9360"/>
      </w:tabs>
    </w:pPr>
  </w:style>
  <w:style w:type="character" w:customStyle="1" w:styleId="HeaderChar">
    <w:name w:val="Header Char"/>
    <w:basedOn w:val="DefaultParagraphFont"/>
    <w:link w:val="Header"/>
    <w:uiPriority w:val="99"/>
    <w:rsid w:val="00575C5C"/>
    <w:rPr>
      <w:rFonts w:eastAsia="Times New Roman" w:cs="Times New Roman"/>
      <w:szCs w:val="24"/>
    </w:rPr>
  </w:style>
  <w:style w:type="paragraph" w:styleId="Footer">
    <w:name w:val="footer"/>
    <w:basedOn w:val="Normal"/>
    <w:link w:val="FooterChar"/>
    <w:rsid w:val="00575C5C"/>
    <w:pPr>
      <w:tabs>
        <w:tab w:val="center" w:pos="4680"/>
        <w:tab w:val="right" w:pos="9360"/>
      </w:tabs>
    </w:pPr>
  </w:style>
  <w:style w:type="character" w:customStyle="1" w:styleId="FooterChar">
    <w:name w:val="Footer Char"/>
    <w:basedOn w:val="DefaultParagraphFont"/>
    <w:link w:val="Footer"/>
    <w:rsid w:val="00575C5C"/>
    <w:rPr>
      <w:rFonts w:eastAsia="Times New Roman" w:cs="Times New Roman"/>
      <w:szCs w:val="24"/>
    </w:rPr>
  </w:style>
  <w:style w:type="character" w:styleId="PageNumber">
    <w:name w:val="page number"/>
    <w:basedOn w:val="DefaultParagraphFont"/>
    <w:rsid w:val="00575C5C"/>
  </w:style>
  <w:style w:type="paragraph" w:styleId="Title">
    <w:name w:val="Title"/>
    <w:basedOn w:val="Normal"/>
    <w:next w:val="BodyText"/>
    <w:link w:val="TitleChar"/>
    <w:qFormat/>
    <w:rsid w:val="003D5135"/>
    <w:pPr>
      <w:spacing w:before="240" w:after="120"/>
      <w:jc w:val="center"/>
      <w:outlineLvl w:val="0"/>
    </w:pPr>
    <w:rPr>
      <w:rFonts w:cs="Arial"/>
      <w:b/>
      <w:bCs/>
      <w:caps/>
      <w:kern w:val="28"/>
      <w:szCs w:val="32"/>
      <w:u w:val="single"/>
    </w:rPr>
  </w:style>
  <w:style w:type="character" w:customStyle="1" w:styleId="TitleChar">
    <w:name w:val="Title Char"/>
    <w:basedOn w:val="DefaultParagraphFont"/>
    <w:link w:val="Title"/>
    <w:rsid w:val="003D5135"/>
    <w:rPr>
      <w:rFonts w:eastAsia="SimSun" w:cs="Arial"/>
      <w:b/>
      <w:bCs/>
      <w:caps/>
      <w:kern w:val="28"/>
      <w:szCs w:val="32"/>
      <w:u w:val="single"/>
      <w:lang w:eastAsia="zh-CN"/>
    </w:rPr>
  </w:style>
  <w:style w:type="paragraph" w:customStyle="1" w:styleId="Question1">
    <w:name w:val="Question 1"/>
    <w:basedOn w:val="Normal"/>
    <w:next w:val="BodyText"/>
    <w:uiPriority w:val="99"/>
    <w:rsid w:val="003D5135"/>
    <w:pPr>
      <w:keepNext/>
      <w:numPr>
        <w:numId w:val="1"/>
      </w:numPr>
      <w:spacing w:after="240" w:line="360" w:lineRule="auto"/>
      <w:jc w:val="both"/>
      <w:outlineLvl w:val="0"/>
    </w:pPr>
    <w:rPr>
      <w:rFonts w:eastAsia="Times New Roman"/>
      <w:b/>
      <w:kern w:val="32"/>
      <w:lang w:eastAsia="en-US"/>
    </w:rPr>
  </w:style>
  <w:style w:type="paragraph" w:customStyle="1" w:styleId="Question2">
    <w:name w:val="Question 2"/>
    <w:basedOn w:val="Normal"/>
    <w:next w:val="BodyText"/>
    <w:uiPriority w:val="99"/>
    <w:rsid w:val="003D5135"/>
    <w:pPr>
      <w:keepNext/>
      <w:numPr>
        <w:ilvl w:val="1"/>
        <w:numId w:val="1"/>
      </w:numPr>
      <w:spacing w:before="240" w:after="60"/>
      <w:outlineLvl w:val="1"/>
    </w:pPr>
    <w:rPr>
      <w:rFonts w:ascii="Arial" w:eastAsia="Times New Roman" w:hAnsi="Arial" w:cs="Arial"/>
      <w:b/>
      <w:i/>
      <w:sz w:val="28"/>
      <w:lang w:eastAsia="en-US"/>
    </w:rPr>
  </w:style>
  <w:style w:type="paragraph" w:customStyle="1" w:styleId="Question3">
    <w:name w:val="Question 3"/>
    <w:basedOn w:val="Normal"/>
    <w:next w:val="BodyText"/>
    <w:uiPriority w:val="99"/>
    <w:rsid w:val="003D5135"/>
    <w:pPr>
      <w:keepNext/>
      <w:numPr>
        <w:ilvl w:val="2"/>
        <w:numId w:val="1"/>
      </w:numPr>
      <w:spacing w:before="240" w:after="60"/>
      <w:outlineLvl w:val="2"/>
    </w:pPr>
    <w:rPr>
      <w:rFonts w:ascii="Arial" w:eastAsia="Times New Roman" w:hAnsi="Arial" w:cs="Arial"/>
      <w:b/>
      <w:sz w:val="26"/>
      <w:lang w:eastAsia="en-US"/>
    </w:rPr>
  </w:style>
  <w:style w:type="paragraph" w:customStyle="1" w:styleId="Question4">
    <w:name w:val="Question 4"/>
    <w:basedOn w:val="Normal"/>
    <w:next w:val="BodyText"/>
    <w:uiPriority w:val="99"/>
    <w:rsid w:val="003D5135"/>
    <w:pPr>
      <w:keepNext/>
      <w:numPr>
        <w:ilvl w:val="3"/>
        <w:numId w:val="1"/>
      </w:numPr>
      <w:spacing w:before="240" w:after="60"/>
      <w:outlineLvl w:val="3"/>
    </w:pPr>
    <w:rPr>
      <w:rFonts w:eastAsia="Times New Roman"/>
      <w:b/>
      <w:sz w:val="28"/>
      <w:lang w:eastAsia="en-US"/>
    </w:rPr>
  </w:style>
  <w:style w:type="paragraph" w:customStyle="1" w:styleId="Question5">
    <w:name w:val="Question 5"/>
    <w:basedOn w:val="Normal"/>
    <w:next w:val="BodyText"/>
    <w:uiPriority w:val="99"/>
    <w:rsid w:val="003D5135"/>
    <w:pPr>
      <w:numPr>
        <w:ilvl w:val="4"/>
        <w:numId w:val="1"/>
      </w:numPr>
      <w:spacing w:before="240" w:after="60"/>
      <w:outlineLvl w:val="4"/>
    </w:pPr>
    <w:rPr>
      <w:rFonts w:eastAsia="Times New Roman"/>
      <w:b/>
      <w:i/>
      <w:sz w:val="26"/>
      <w:lang w:eastAsia="en-US"/>
    </w:rPr>
  </w:style>
  <w:style w:type="paragraph" w:customStyle="1" w:styleId="Question6">
    <w:name w:val="Question 6"/>
    <w:basedOn w:val="Normal"/>
    <w:next w:val="BodyText"/>
    <w:uiPriority w:val="99"/>
    <w:rsid w:val="003D5135"/>
    <w:pPr>
      <w:numPr>
        <w:ilvl w:val="5"/>
        <w:numId w:val="1"/>
      </w:numPr>
      <w:spacing w:before="240" w:after="60"/>
      <w:outlineLvl w:val="5"/>
    </w:pPr>
    <w:rPr>
      <w:rFonts w:eastAsia="Times New Roman"/>
      <w:b/>
      <w:sz w:val="22"/>
      <w:lang w:eastAsia="en-US"/>
    </w:rPr>
  </w:style>
  <w:style w:type="paragraph" w:customStyle="1" w:styleId="Question7">
    <w:name w:val="Question 7"/>
    <w:basedOn w:val="Normal"/>
    <w:next w:val="BodyText"/>
    <w:uiPriority w:val="99"/>
    <w:rsid w:val="003D5135"/>
    <w:pPr>
      <w:numPr>
        <w:ilvl w:val="6"/>
        <w:numId w:val="1"/>
      </w:numPr>
      <w:spacing w:before="240" w:after="60"/>
      <w:outlineLvl w:val="6"/>
    </w:pPr>
    <w:rPr>
      <w:rFonts w:eastAsia="Times New Roman"/>
      <w:lang w:eastAsia="en-US"/>
    </w:rPr>
  </w:style>
  <w:style w:type="paragraph" w:customStyle="1" w:styleId="Question8">
    <w:name w:val="Question 8"/>
    <w:basedOn w:val="Normal"/>
    <w:next w:val="BodyText"/>
    <w:uiPriority w:val="99"/>
    <w:rsid w:val="003D5135"/>
    <w:pPr>
      <w:numPr>
        <w:ilvl w:val="7"/>
        <w:numId w:val="1"/>
      </w:numPr>
      <w:spacing w:before="240" w:after="60"/>
      <w:outlineLvl w:val="7"/>
    </w:pPr>
    <w:rPr>
      <w:rFonts w:eastAsia="Times New Roman"/>
      <w:i/>
      <w:lang w:eastAsia="en-US"/>
    </w:rPr>
  </w:style>
  <w:style w:type="paragraph" w:customStyle="1" w:styleId="Question9">
    <w:name w:val="Question 9"/>
    <w:basedOn w:val="Normal"/>
    <w:next w:val="BodyText"/>
    <w:uiPriority w:val="99"/>
    <w:rsid w:val="003D5135"/>
    <w:pPr>
      <w:numPr>
        <w:ilvl w:val="8"/>
        <w:numId w:val="1"/>
      </w:numPr>
      <w:spacing w:before="240" w:after="60"/>
      <w:outlineLvl w:val="8"/>
    </w:pPr>
    <w:rPr>
      <w:rFonts w:ascii="Arial" w:eastAsia="Times New Roman" w:hAnsi="Arial" w:cs="Arial"/>
      <w:sz w:val="22"/>
      <w:lang w:eastAsia="en-US"/>
    </w:rPr>
  </w:style>
  <w:style w:type="paragraph" w:customStyle="1" w:styleId="Answer">
    <w:name w:val="Answer"/>
    <w:basedOn w:val="Answer1"/>
    <w:next w:val="Normal"/>
    <w:rsid w:val="003D5135"/>
    <w:rPr>
      <w:bCs/>
    </w:rPr>
  </w:style>
  <w:style w:type="paragraph" w:customStyle="1" w:styleId="Answer1">
    <w:name w:val="Answer 1"/>
    <w:basedOn w:val="Normal"/>
    <w:next w:val="BodyText"/>
    <w:link w:val="Answer1Char"/>
    <w:rsid w:val="003D5135"/>
    <w:pPr>
      <w:numPr>
        <w:numId w:val="2"/>
      </w:numPr>
      <w:spacing w:after="240" w:line="360" w:lineRule="auto"/>
      <w:ind w:left="720" w:hanging="720"/>
      <w:jc w:val="both"/>
      <w:outlineLvl w:val="0"/>
    </w:pPr>
    <w:rPr>
      <w:rFonts w:eastAsia="MS Mincho"/>
      <w:lang w:eastAsia="en-US"/>
    </w:rPr>
  </w:style>
  <w:style w:type="paragraph" w:customStyle="1" w:styleId="Indent">
    <w:name w:val="Indent"/>
    <w:basedOn w:val="Normal"/>
    <w:qFormat/>
    <w:rsid w:val="003D5135"/>
    <w:pPr>
      <w:spacing w:after="240" w:line="360" w:lineRule="auto"/>
      <w:ind w:left="720"/>
      <w:jc w:val="both"/>
    </w:pPr>
  </w:style>
  <w:style w:type="character" w:styleId="LineNumber">
    <w:name w:val="line number"/>
    <w:basedOn w:val="DefaultParagraphFont"/>
    <w:uiPriority w:val="99"/>
    <w:semiHidden/>
    <w:unhideWhenUsed/>
    <w:rsid w:val="003D5135"/>
  </w:style>
  <w:style w:type="character" w:customStyle="1" w:styleId="zzmpTrailerItem">
    <w:name w:val="zzmpTrailerItem"/>
    <w:basedOn w:val="DefaultParagraphFont"/>
    <w:rsid w:val="00DA7766"/>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link w:val="ListParagraphChar"/>
    <w:uiPriority w:val="34"/>
    <w:qFormat/>
    <w:rsid w:val="00C879D7"/>
    <w:pPr>
      <w:ind w:left="720"/>
    </w:pPr>
    <w:rPr>
      <w:rFonts w:eastAsia="Times New Roman"/>
      <w:lang w:eastAsia="en-US"/>
    </w:rPr>
  </w:style>
  <w:style w:type="paragraph" w:customStyle="1" w:styleId="Body1">
    <w:name w:val="Body 1"/>
    <w:rsid w:val="001A3280"/>
    <w:pPr>
      <w:outlineLvl w:val="0"/>
    </w:pPr>
    <w:rPr>
      <w:rFonts w:eastAsia="Arial Unicode MS" w:cs="Times New Roman"/>
      <w:color w:val="000000"/>
      <w:szCs w:val="20"/>
      <w:u w:color="000000"/>
    </w:rPr>
  </w:style>
  <w:style w:type="paragraph" w:styleId="NoSpacing">
    <w:name w:val="No Spacing"/>
    <w:link w:val="NoSpacingChar"/>
    <w:uiPriority w:val="1"/>
    <w:qFormat/>
    <w:rsid w:val="00BE549F"/>
    <w:rPr>
      <w:rFonts w:asciiTheme="minorHAnsi" w:eastAsiaTheme="minorHAnsi" w:hAnsiTheme="minorHAnsi"/>
      <w:sz w:val="22"/>
    </w:rPr>
  </w:style>
  <w:style w:type="character" w:customStyle="1" w:styleId="NoSpacingChar">
    <w:name w:val="No Spacing Char"/>
    <w:basedOn w:val="DefaultParagraphFont"/>
    <w:link w:val="NoSpacing"/>
    <w:uiPriority w:val="1"/>
    <w:rsid w:val="00BE549F"/>
    <w:rPr>
      <w:rFonts w:asciiTheme="minorHAnsi" w:eastAsiaTheme="minorHAnsi" w:hAnsiTheme="minorHAnsi"/>
      <w:sz w:val="22"/>
    </w:rPr>
  </w:style>
  <w:style w:type="table" w:customStyle="1" w:styleId="LightShading1">
    <w:name w:val="Light Shading1"/>
    <w:basedOn w:val="TableNormal"/>
    <w:uiPriority w:val="60"/>
    <w:rsid w:val="00BE549F"/>
    <w:rPr>
      <w:rFonts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11">
    <w:name w:val="Light Grid - Accent 11"/>
    <w:basedOn w:val="TableNormal"/>
    <w:uiPriority w:val="62"/>
    <w:rsid w:val="008B39AA"/>
    <w:rPr>
      <w:rFonts w:asciiTheme="minorHAnsi" w:eastAsia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915C73"/>
    <w:rPr>
      <w:sz w:val="16"/>
      <w:szCs w:val="16"/>
    </w:rPr>
  </w:style>
  <w:style w:type="paragraph" w:styleId="CommentText">
    <w:name w:val="annotation text"/>
    <w:basedOn w:val="Normal"/>
    <w:link w:val="CommentTextChar"/>
    <w:uiPriority w:val="99"/>
    <w:unhideWhenUsed/>
    <w:rsid w:val="00915C73"/>
    <w:rPr>
      <w:sz w:val="20"/>
      <w:szCs w:val="20"/>
    </w:rPr>
  </w:style>
  <w:style w:type="character" w:customStyle="1" w:styleId="CommentTextChar">
    <w:name w:val="Comment Text Char"/>
    <w:basedOn w:val="DefaultParagraphFont"/>
    <w:link w:val="CommentText"/>
    <w:uiPriority w:val="99"/>
    <w:rsid w:val="00915C73"/>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F1B79"/>
    <w:rPr>
      <w:b/>
      <w:bCs/>
    </w:rPr>
  </w:style>
  <w:style w:type="character" w:customStyle="1" w:styleId="CommentSubjectChar">
    <w:name w:val="Comment Subject Char"/>
    <w:basedOn w:val="CommentTextChar"/>
    <w:link w:val="CommentSubject"/>
    <w:uiPriority w:val="99"/>
    <w:semiHidden/>
    <w:rsid w:val="00BF1B79"/>
    <w:rPr>
      <w:rFonts w:eastAsia="SimSun" w:cs="Times New Roman"/>
      <w:b/>
      <w:bCs/>
      <w:sz w:val="20"/>
      <w:szCs w:val="20"/>
      <w:lang w:eastAsia="zh-CN"/>
    </w:rPr>
  </w:style>
  <w:style w:type="paragraph" w:styleId="Caption">
    <w:name w:val="caption"/>
    <w:basedOn w:val="Normal"/>
    <w:next w:val="Normal"/>
    <w:uiPriority w:val="35"/>
    <w:unhideWhenUsed/>
    <w:qFormat/>
    <w:rsid w:val="000067FB"/>
    <w:pPr>
      <w:spacing w:after="200"/>
    </w:pPr>
    <w:rPr>
      <w:b/>
      <w:bCs/>
      <w:color w:val="4F81BD" w:themeColor="accent1"/>
      <w:sz w:val="18"/>
      <w:szCs w:val="18"/>
    </w:rPr>
  </w:style>
  <w:style w:type="paragraph" w:customStyle="1" w:styleId="Body">
    <w:name w:val="Body"/>
    <w:rsid w:val="000D3DED"/>
    <w:pPr>
      <w:pBdr>
        <w:top w:val="nil"/>
        <w:left w:val="nil"/>
        <w:bottom w:val="nil"/>
        <w:right w:val="nil"/>
        <w:between w:val="nil"/>
        <w:bar w:val="nil"/>
      </w:pBdr>
    </w:pPr>
    <w:rPr>
      <w:rFonts w:ascii="Helvetica" w:eastAsia="Arial Unicode MS" w:hAnsi="Arial Unicode MS" w:cs="Arial Unicode MS"/>
      <w:color w:val="000000"/>
      <w:sz w:val="22"/>
      <w:bdr w:val="nil"/>
    </w:rPr>
  </w:style>
  <w:style w:type="paragraph" w:styleId="PlainText">
    <w:name w:val="Plain Text"/>
    <w:basedOn w:val="Normal"/>
    <w:link w:val="PlainTextChar"/>
    <w:uiPriority w:val="99"/>
    <w:unhideWhenUsed/>
    <w:rsid w:val="00F61B4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61B4A"/>
    <w:rPr>
      <w:rFonts w:ascii="Consolas" w:eastAsiaTheme="minorHAnsi" w:hAnsi="Consolas"/>
      <w:sz w:val="21"/>
      <w:szCs w:val="21"/>
    </w:rPr>
  </w:style>
  <w:style w:type="paragraph" w:styleId="Revision">
    <w:name w:val="Revision"/>
    <w:hidden/>
    <w:uiPriority w:val="99"/>
    <w:semiHidden/>
    <w:rsid w:val="007B7BF4"/>
    <w:rPr>
      <w:rFonts w:eastAsia="SimSun" w:cs="Times New Roman"/>
      <w:szCs w:val="24"/>
      <w:lang w:eastAsia="zh-CN"/>
    </w:rPr>
  </w:style>
  <w:style w:type="paragraph" w:customStyle="1" w:styleId="ColorfulList-Accent11">
    <w:name w:val="Colorful List - Accent 11"/>
    <w:basedOn w:val="Normal"/>
    <w:uiPriority w:val="34"/>
    <w:qFormat/>
    <w:rsid w:val="00245BD9"/>
    <w:pPr>
      <w:spacing w:after="200" w:line="276" w:lineRule="auto"/>
      <w:ind w:left="720"/>
    </w:pPr>
    <w:rPr>
      <w:rFonts w:ascii="Calibri" w:eastAsia="Calibri" w:hAnsi="Calibri" w:cs="Calibri"/>
      <w:sz w:val="22"/>
      <w:szCs w:val="22"/>
      <w:lang w:eastAsia="en-US"/>
    </w:rPr>
  </w:style>
  <w:style w:type="paragraph" w:customStyle="1" w:styleId="PSCQuestion">
    <w:name w:val="PSC Question"/>
    <w:basedOn w:val="BodyText"/>
    <w:link w:val="PSCQuestionChar"/>
    <w:qFormat/>
    <w:rsid w:val="000E4202"/>
    <w:pPr>
      <w:keepNext/>
      <w:keepLines/>
      <w:widowControl/>
      <w:spacing w:line="360" w:lineRule="auto"/>
      <w:ind w:left="720" w:hanging="720"/>
      <w:jc w:val="both"/>
    </w:pPr>
    <w:rPr>
      <w:rFonts w:ascii="Times New Roman Bold" w:eastAsia="MS Mincho" w:hAnsi="Times New Roman Bold"/>
      <w:b/>
      <w:caps/>
      <w:lang w:eastAsia="en-US"/>
    </w:rPr>
  </w:style>
  <w:style w:type="character" w:customStyle="1" w:styleId="PSCQuestionChar">
    <w:name w:val="PSC Question Char"/>
    <w:basedOn w:val="BodyTextChar"/>
    <w:link w:val="PSCQuestion"/>
    <w:rsid w:val="000E4202"/>
    <w:rPr>
      <w:rFonts w:ascii="Times New Roman Bold" w:eastAsia="MS Mincho" w:hAnsi="Times New Roman Bold" w:cs="Times New Roman"/>
      <w:b/>
      <w:caps/>
      <w:szCs w:val="24"/>
    </w:rPr>
  </w:style>
  <w:style w:type="table" w:styleId="TableGrid">
    <w:name w:val="Table Grid"/>
    <w:basedOn w:val="TableNormal"/>
    <w:uiPriority w:val="39"/>
    <w:rsid w:val="00D04A02"/>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04A02"/>
    <w:rPr>
      <w:rFonts w:cs="Times New Roman"/>
      <w:b/>
      <w:sz w:val="28"/>
      <w:szCs w:val="20"/>
    </w:rPr>
  </w:style>
  <w:style w:type="paragraph" w:styleId="NormalWeb">
    <w:name w:val="Normal (Web)"/>
    <w:basedOn w:val="Normal"/>
    <w:uiPriority w:val="99"/>
    <w:rsid w:val="0087498F"/>
    <w:pPr>
      <w:spacing w:before="100" w:beforeAutospacing="1" w:after="100" w:afterAutospacing="1"/>
    </w:pPr>
    <w:rPr>
      <w:rFonts w:eastAsia="Times New Roman"/>
      <w:lang w:eastAsia="en-US"/>
    </w:rPr>
  </w:style>
  <w:style w:type="paragraph" w:customStyle="1" w:styleId="PSCAnswer">
    <w:name w:val="PSC Answer"/>
    <w:basedOn w:val="Normal"/>
    <w:link w:val="PSCAnswerChar"/>
    <w:autoRedefine/>
    <w:qFormat/>
    <w:rsid w:val="00B37D95"/>
    <w:pPr>
      <w:tabs>
        <w:tab w:val="left" w:pos="0"/>
      </w:tabs>
      <w:spacing w:before="240" w:after="240" w:line="360" w:lineRule="auto"/>
      <w:ind w:left="720" w:hanging="720"/>
      <w:jc w:val="both"/>
    </w:pPr>
    <w:rPr>
      <w:rFonts w:eastAsia="MS Mincho"/>
      <w:bCs/>
      <w:lang w:eastAsia="en-US"/>
    </w:rPr>
  </w:style>
  <w:style w:type="character" w:customStyle="1" w:styleId="PSCAnswerChar">
    <w:name w:val="PSC Answer Char"/>
    <w:basedOn w:val="DefaultParagraphFont"/>
    <w:link w:val="PSCAnswer"/>
    <w:rsid w:val="00B37D95"/>
    <w:rPr>
      <w:rFonts w:eastAsia="MS Mincho" w:cs="Times New Roman"/>
      <w:bCs/>
      <w:szCs w:val="24"/>
    </w:rPr>
  </w:style>
  <w:style w:type="paragraph" w:customStyle="1" w:styleId="PSCHeader">
    <w:name w:val="PSC Header"/>
    <w:basedOn w:val="Heading1"/>
    <w:qFormat/>
    <w:rsid w:val="00F67FC9"/>
    <w:pPr>
      <w:numPr>
        <w:numId w:val="3"/>
      </w:numPr>
      <w:spacing w:before="0" w:after="240"/>
      <w:jc w:val="center"/>
    </w:pPr>
    <w:rPr>
      <w:rFonts w:ascii="Times New Roman Bold" w:hAnsi="Times New Roman Bold"/>
      <w:b/>
      <w:caps/>
      <w:color w:val="auto"/>
      <w:sz w:val="24"/>
      <w:u w:val="single"/>
    </w:rPr>
  </w:style>
  <w:style w:type="character" w:customStyle="1" w:styleId="Heading1Char">
    <w:name w:val="Heading 1 Char"/>
    <w:basedOn w:val="DefaultParagraphFont"/>
    <w:link w:val="Heading1"/>
    <w:uiPriority w:val="9"/>
    <w:rsid w:val="000B1628"/>
    <w:rPr>
      <w:rFonts w:asciiTheme="majorHAnsi" w:eastAsiaTheme="majorEastAsia" w:hAnsiTheme="majorHAnsi" w:cstheme="majorBidi"/>
      <w:color w:val="365F91" w:themeColor="accent1" w:themeShade="BF"/>
      <w:sz w:val="32"/>
      <w:szCs w:val="32"/>
      <w:lang w:eastAsia="zh-CN"/>
    </w:rPr>
  </w:style>
  <w:style w:type="paragraph" w:styleId="Bibliography">
    <w:name w:val="Bibliography"/>
    <w:basedOn w:val="Normal"/>
    <w:next w:val="Normal"/>
    <w:uiPriority w:val="37"/>
    <w:semiHidden/>
    <w:unhideWhenUsed/>
    <w:rsid w:val="003B48F5"/>
  </w:style>
  <w:style w:type="paragraph" w:customStyle="1" w:styleId="paragraph">
    <w:name w:val="paragraph"/>
    <w:basedOn w:val="Normal"/>
    <w:rsid w:val="003B48F5"/>
    <w:rPr>
      <w:rFonts w:eastAsia="Times New Roman"/>
      <w:lang w:eastAsia="en-US"/>
    </w:rPr>
  </w:style>
  <w:style w:type="character" w:customStyle="1" w:styleId="normaltextrun1">
    <w:name w:val="normaltextrun1"/>
    <w:basedOn w:val="DefaultParagraphFont"/>
    <w:rsid w:val="003B48F5"/>
  </w:style>
  <w:style w:type="character" w:customStyle="1" w:styleId="eop">
    <w:name w:val="eop"/>
    <w:basedOn w:val="DefaultParagraphFont"/>
    <w:rsid w:val="003B48F5"/>
  </w:style>
  <w:style w:type="character" w:customStyle="1" w:styleId="Answer1Char">
    <w:name w:val="Answer 1 Char"/>
    <w:basedOn w:val="DefaultParagraphFont"/>
    <w:link w:val="Answer1"/>
    <w:rsid w:val="00A5174C"/>
    <w:rPr>
      <w:rFonts w:eastAsia="MS Mincho" w:cs="Times New Roman"/>
      <w:szCs w:val="24"/>
    </w:rPr>
  </w:style>
  <w:style w:type="table" w:styleId="ListTable3">
    <w:name w:val="List Table 3"/>
    <w:basedOn w:val="TableNormal"/>
    <w:uiPriority w:val="48"/>
    <w:rsid w:val="009446A2"/>
    <w:rPr>
      <w:rFonts w:asciiTheme="minorHAnsi" w:eastAsiaTheme="minorHAnsi" w:hAnsiTheme="minorHAns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basedOn w:val="DefaultParagraphFont"/>
    <w:uiPriority w:val="99"/>
    <w:semiHidden/>
    <w:unhideWhenUsed/>
    <w:rsid w:val="00C00D51"/>
    <w:rPr>
      <w:color w:val="0000FF"/>
      <w:u w:val="single"/>
    </w:rPr>
  </w:style>
  <w:style w:type="paragraph" w:styleId="FootnoteText">
    <w:name w:val="footnote text"/>
    <w:basedOn w:val="Normal"/>
    <w:link w:val="FootnoteTextChar"/>
    <w:uiPriority w:val="99"/>
    <w:unhideWhenUsed/>
    <w:rsid w:val="001E504D"/>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E504D"/>
    <w:rPr>
      <w:rFonts w:ascii="Calibri" w:eastAsia="Calibri" w:hAnsi="Calibri" w:cs="Times New Roman"/>
      <w:sz w:val="20"/>
      <w:szCs w:val="20"/>
    </w:rPr>
  </w:style>
  <w:style w:type="character" w:styleId="FootnoteReference">
    <w:name w:val="footnote reference"/>
    <w:basedOn w:val="DefaultParagraphFont"/>
    <w:uiPriority w:val="99"/>
    <w:unhideWhenUsed/>
    <w:rsid w:val="001E504D"/>
    <w:rPr>
      <w:vertAlign w:val="superscript"/>
    </w:rPr>
  </w:style>
  <w:style w:type="table" w:customStyle="1" w:styleId="GridTable4-Accent11">
    <w:name w:val="Grid Table 4 - Accent 11"/>
    <w:basedOn w:val="TableNormal"/>
    <w:next w:val="GridTable4-Accent1"/>
    <w:uiPriority w:val="49"/>
    <w:rsid w:val="00802F50"/>
    <w:rPr>
      <w:rFonts w:ascii="Calibri" w:eastAsia="Calibri" w:hAnsi="Calibri"/>
      <w:sz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802F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2782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DefaultParagraphFont"/>
    <w:rsid w:val="00247929"/>
    <w:rPr>
      <w:rFonts w:ascii="Segoe UI" w:hAnsi="Segoe UI" w:cs="Segoe UI" w:hint="default"/>
      <w:sz w:val="18"/>
      <w:szCs w:val="18"/>
    </w:rPr>
  </w:style>
  <w:style w:type="table" w:customStyle="1" w:styleId="TableGrid1">
    <w:name w:val="Table Grid1"/>
    <w:basedOn w:val="TableNormal"/>
    <w:next w:val="TableGrid"/>
    <w:uiPriority w:val="39"/>
    <w:rsid w:val="00E3549B"/>
    <w:rPr>
      <w:rFonts w:asciiTheme="minorHAnsi" w:eastAsia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rPr>
        <w:rFonts w:ascii="Times New Roman" w:hAnsi="Times New Roman"/>
      </w:rPr>
      <w:tblPr/>
      <w:tcPr>
        <w:shd w:val="clear" w:color="auto" w:fill="B8CCE4" w:themeFill="accent1" w:themeFillTint="66"/>
      </w:tcPr>
    </w:tblStylePr>
  </w:style>
  <w:style w:type="paragraph" w:customStyle="1" w:styleId="OutlineL1">
    <w:name w:val="Outline_L1"/>
    <w:basedOn w:val="Normal"/>
    <w:next w:val="BodyText"/>
    <w:link w:val="OutlineL1Char"/>
    <w:rsid w:val="00AB552D"/>
    <w:pPr>
      <w:numPr>
        <w:numId w:val="4"/>
      </w:numPr>
      <w:spacing w:after="360"/>
      <w:jc w:val="center"/>
      <w:outlineLvl w:val="0"/>
    </w:pPr>
    <w:rPr>
      <w:rFonts w:eastAsia="Times New Roman"/>
      <w:b/>
      <w:szCs w:val="20"/>
      <w:u w:val="single"/>
      <w:lang w:eastAsia="en-US"/>
    </w:rPr>
  </w:style>
  <w:style w:type="character" w:customStyle="1" w:styleId="OutlineL1Char">
    <w:name w:val="Outline_L1 Char"/>
    <w:basedOn w:val="DefaultParagraphFont"/>
    <w:link w:val="OutlineL1"/>
    <w:rsid w:val="00AB552D"/>
    <w:rPr>
      <w:rFonts w:cs="Times New Roman"/>
      <w:b/>
      <w:szCs w:val="20"/>
      <w:u w:val="single"/>
    </w:rPr>
  </w:style>
  <w:style w:type="paragraph" w:customStyle="1" w:styleId="OutlineL2">
    <w:name w:val="Outline_L2"/>
    <w:basedOn w:val="OutlineL1"/>
    <w:next w:val="BodyText"/>
    <w:rsid w:val="00AB552D"/>
    <w:pPr>
      <w:numPr>
        <w:ilvl w:val="1"/>
      </w:numPr>
      <w:jc w:val="left"/>
      <w:outlineLvl w:val="1"/>
    </w:pPr>
  </w:style>
  <w:style w:type="paragraph" w:customStyle="1" w:styleId="OutlineL3">
    <w:name w:val="Outline_L3"/>
    <w:basedOn w:val="OutlineL2"/>
    <w:next w:val="BodyText"/>
    <w:rsid w:val="00AB552D"/>
    <w:pPr>
      <w:numPr>
        <w:ilvl w:val="2"/>
      </w:numPr>
      <w:outlineLvl w:val="2"/>
    </w:pPr>
  </w:style>
  <w:style w:type="paragraph" w:customStyle="1" w:styleId="OutlineL4">
    <w:name w:val="Outline_L4"/>
    <w:basedOn w:val="OutlineL3"/>
    <w:next w:val="BodyText"/>
    <w:rsid w:val="00AB552D"/>
    <w:pPr>
      <w:numPr>
        <w:ilvl w:val="3"/>
      </w:numPr>
      <w:outlineLvl w:val="3"/>
    </w:pPr>
  </w:style>
  <w:style w:type="paragraph" w:customStyle="1" w:styleId="OutlineL5">
    <w:name w:val="Outline_L5"/>
    <w:basedOn w:val="OutlineL4"/>
    <w:next w:val="BodyText"/>
    <w:rsid w:val="00AB552D"/>
    <w:pPr>
      <w:numPr>
        <w:ilvl w:val="4"/>
      </w:numPr>
      <w:outlineLvl w:val="4"/>
    </w:pPr>
  </w:style>
  <w:style w:type="paragraph" w:customStyle="1" w:styleId="OutlineL6">
    <w:name w:val="Outline_L6"/>
    <w:basedOn w:val="OutlineL5"/>
    <w:next w:val="BodyText"/>
    <w:rsid w:val="00AB552D"/>
    <w:pPr>
      <w:numPr>
        <w:ilvl w:val="5"/>
      </w:numPr>
      <w:outlineLvl w:val="5"/>
    </w:pPr>
  </w:style>
  <w:style w:type="paragraph" w:customStyle="1" w:styleId="OutlineL7">
    <w:name w:val="Outline_L7"/>
    <w:basedOn w:val="OutlineL6"/>
    <w:next w:val="BodyText"/>
    <w:rsid w:val="00AB552D"/>
    <w:pPr>
      <w:numPr>
        <w:ilvl w:val="6"/>
      </w:numPr>
      <w:outlineLvl w:val="6"/>
    </w:pPr>
  </w:style>
  <w:style w:type="paragraph" w:customStyle="1" w:styleId="OutlineL8">
    <w:name w:val="Outline_L8"/>
    <w:basedOn w:val="OutlineL7"/>
    <w:next w:val="BodyText"/>
    <w:rsid w:val="00AB552D"/>
    <w:pPr>
      <w:numPr>
        <w:ilvl w:val="7"/>
      </w:numPr>
      <w:outlineLvl w:val="7"/>
    </w:pPr>
  </w:style>
  <w:style w:type="paragraph" w:customStyle="1" w:styleId="OutlineL9">
    <w:name w:val="Outline_L9"/>
    <w:basedOn w:val="OutlineL8"/>
    <w:next w:val="BodyText"/>
    <w:rsid w:val="00AB552D"/>
    <w:pPr>
      <w:numPr>
        <w:ilvl w:val="8"/>
      </w:numPr>
      <w:outlineLvl w:val="8"/>
    </w:pPr>
  </w:style>
  <w:style w:type="character" w:customStyle="1" w:styleId="ListParagraphChar">
    <w:name w:val="List Paragraph Char"/>
    <w:basedOn w:val="DefaultParagraphFont"/>
    <w:link w:val="ListParagraph"/>
    <w:uiPriority w:val="34"/>
    <w:rsid w:val="0007711C"/>
    <w:rPr>
      <w:rFonts w:cs="Times New Roman"/>
      <w:szCs w:val="24"/>
    </w:rPr>
  </w:style>
  <w:style w:type="character" w:styleId="Mention">
    <w:name w:val="Mention"/>
    <w:basedOn w:val="DefaultParagraphFont"/>
    <w:uiPriority w:val="99"/>
    <w:unhideWhenUsed/>
    <w:rsid w:val="00801708"/>
    <w:rPr>
      <w:color w:val="2B579A"/>
      <w:shd w:val="clear" w:color="auto" w:fill="E1DFDD"/>
    </w:rPr>
  </w:style>
  <w:style w:type="character" w:customStyle="1" w:styleId="normaltextrun">
    <w:name w:val="normaltextrun"/>
    <w:basedOn w:val="DefaultParagraphFont"/>
    <w:rsid w:val="00EA2B2C"/>
  </w:style>
  <w:style w:type="paragraph" w:customStyle="1" w:styleId="SSBodyText">
    <w:name w:val="SS Body Text"/>
    <w:basedOn w:val="Normal"/>
    <w:qFormat/>
    <w:rsid w:val="00C500F5"/>
    <w:pPr>
      <w:ind w:firstLine="720"/>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280">
      <w:bodyDiv w:val="1"/>
      <w:marLeft w:val="0"/>
      <w:marRight w:val="0"/>
      <w:marTop w:val="0"/>
      <w:marBottom w:val="0"/>
      <w:divBdr>
        <w:top w:val="none" w:sz="0" w:space="0" w:color="auto"/>
        <w:left w:val="none" w:sz="0" w:space="0" w:color="auto"/>
        <w:bottom w:val="none" w:sz="0" w:space="0" w:color="auto"/>
        <w:right w:val="none" w:sz="0" w:space="0" w:color="auto"/>
      </w:divBdr>
    </w:div>
    <w:div w:id="42601361">
      <w:bodyDiv w:val="1"/>
      <w:marLeft w:val="0"/>
      <w:marRight w:val="0"/>
      <w:marTop w:val="0"/>
      <w:marBottom w:val="0"/>
      <w:divBdr>
        <w:top w:val="none" w:sz="0" w:space="0" w:color="auto"/>
        <w:left w:val="none" w:sz="0" w:space="0" w:color="auto"/>
        <w:bottom w:val="none" w:sz="0" w:space="0" w:color="auto"/>
        <w:right w:val="none" w:sz="0" w:space="0" w:color="auto"/>
      </w:divBdr>
    </w:div>
    <w:div w:id="66878374">
      <w:bodyDiv w:val="1"/>
      <w:marLeft w:val="0"/>
      <w:marRight w:val="0"/>
      <w:marTop w:val="0"/>
      <w:marBottom w:val="0"/>
      <w:divBdr>
        <w:top w:val="none" w:sz="0" w:space="0" w:color="auto"/>
        <w:left w:val="none" w:sz="0" w:space="0" w:color="auto"/>
        <w:bottom w:val="none" w:sz="0" w:space="0" w:color="auto"/>
        <w:right w:val="none" w:sz="0" w:space="0" w:color="auto"/>
      </w:divBdr>
    </w:div>
    <w:div w:id="127014821">
      <w:bodyDiv w:val="1"/>
      <w:marLeft w:val="0"/>
      <w:marRight w:val="0"/>
      <w:marTop w:val="0"/>
      <w:marBottom w:val="0"/>
      <w:divBdr>
        <w:top w:val="none" w:sz="0" w:space="0" w:color="auto"/>
        <w:left w:val="none" w:sz="0" w:space="0" w:color="auto"/>
        <w:bottom w:val="none" w:sz="0" w:space="0" w:color="auto"/>
        <w:right w:val="none" w:sz="0" w:space="0" w:color="auto"/>
      </w:divBdr>
    </w:div>
    <w:div w:id="196747870">
      <w:bodyDiv w:val="1"/>
      <w:marLeft w:val="0"/>
      <w:marRight w:val="0"/>
      <w:marTop w:val="0"/>
      <w:marBottom w:val="0"/>
      <w:divBdr>
        <w:top w:val="none" w:sz="0" w:space="0" w:color="auto"/>
        <w:left w:val="none" w:sz="0" w:space="0" w:color="auto"/>
        <w:bottom w:val="none" w:sz="0" w:space="0" w:color="auto"/>
        <w:right w:val="none" w:sz="0" w:space="0" w:color="auto"/>
      </w:divBdr>
    </w:div>
    <w:div w:id="224727152">
      <w:bodyDiv w:val="1"/>
      <w:marLeft w:val="0"/>
      <w:marRight w:val="0"/>
      <w:marTop w:val="0"/>
      <w:marBottom w:val="0"/>
      <w:divBdr>
        <w:top w:val="none" w:sz="0" w:space="0" w:color="auto"/>
        <w:left w:val="none" w:sz="0" w:space="0" w:color="auto"/>
        <w:bottom w:val="none" w:sz="0" w:space="0" w:color="auto"/>
        <w:right w:val="none" w:sz="0" w:space="0" w:color="auto"/>
      </w:divBdr>
    </w:div>
    <w:div w:id="243035853">
      <w:bodyDiv w:val="1"/>
      <w:marLeft w:val="0"/>
      <w:marRight w:val="0"/>
      <w:marTop w:val="0"/>
      <w:marBottom w:val="0"/>
      <w:divBdr>
        <w:top w:val="none" w:sz="0" w:space="0" w:color="auto"/>
        <w:left w:val="none" w:sz="0" w:space="0" w:color="auto"/>
        <w:bottom w:val="none" w:sz="0" w:space="0" w:color="auto"/>
        <w:right w:val="none" w:sz="0" w:space="0" w:color="auto"/>
      </w:divBdr>
    </w:div>
    <w:div w:id="320158807">
      <w:bodyDiv w:val="1"/>
      <w:marLeft w:val="0"/>
      <w:marRight w:val="0"/>
      <w:marTop w:val="0"/>
      <w:marBottom w:val="0"/>
      <w:divBdr>
        <w:top w:val="none" w:sz="0" w:space="0" w:color="auto"/>
        <w:left w:val="none" w:sz="0" w:space="0" w:color="auto"/>
        <w:bottom w:val="none" w:sz="0" w:space="0" w:color="auto"/>
        <w:right w:val="none" w:sz="0" w:space="0" w:color="auto"/>
      </w:divBdr>
    </w:div>
    <w:div w:id="328994109">
      <w:bodyDiv w:val="1"/>
      <w:marLeft w:val="0"/>
      <w:marRight w:val="0"/>
      <w:marTop w:val="0"/>
      <w:marBottom w:val="0"/>
      <w:divBdr>
        <w:top w:val="none" w:sz="0" w:space="0" w:color="auto"/>
        <w:left w:val="none" w:sz="0" w:space="0" w:color="auto"/>
        <w:bottom w:val="none" w:sz="0" w:space="0" w:color="auto"/>
        <w:right w:val="none" w:sz="0" w:space="0" w:color="auto"/>
      </w:divBdr>
    </w:div>
    <w:div w:id="444428224">
      <w:bodyDiv w:val="1"/>
      <w:marLeft w:val="0"/>
      <w:marRight w:val="0"/>
      <w:marTop w:val="0"/>
      <w:marBottom w:val="0"/>
      <w:divBdr>
        <w:top w:val="none" w:sz="0" w:space="0" w:color="auto"/>
        <w:left w:val="none" w:sz="0" w:space="0" w:color="auto"/>
        <w:bottom w:val="none" w:sz="0" w:space="0" w:color="auto"/>
        <w:right w:val="none" w:sz="0" w:space="0" w:color="auto"/>
      </w:divBdr>
    </w:div>
    <w:div w:id="467361343">
      <w:bodyDiv w:val="1"/>
      <w:marLeft w:val="0"/>
      <w:marRight w:val="0"/>
      <w:marTop w:val="0"/>
      <w:marBottom w:val="0"/>
      <w:divBdr>
        <w:top w:val="none" w:sz="0" w:space="0" w:color="auto"/>
        <w:left w:val="none" w:sz="0" w:space="0" w:color="auto"/>
        <w:bottom w:val="none" w:sz="0" w:space="0" w:color="auto"/>
        <w:right w:val="none" w:sz="0" w:space="0" w:color="auto"/>
      </w:divBdr>
    </w:div>
    <w:div w:id="471021666">
      <w:bodyDiv w:val="1"/>
      <w:marLeft w:val="0"/>
      <w:marRight w:val="0"/>
      <w:marTop w:val="0"/>
      <w:marBottom w:val="0"/>
      <w:divBdr>
        <w:top w:val="none" w:sz="0" w:space="0" w:color="auto"/>
        <w:left w:val="none" w:sz="0" w:space="0" w:color="auto"/>
        <w:bottom w:val="none" w:sz="0" w:space="0" w:color="auto"/>
        <w:right w:val="none" w:sz="0" w:space="0" w:color="auto"/>
      </w:divBdr>
    </w:div>
    <w:div w:id="622002501">
      <w:bodyDiv w:val="1"/>
      <w:marLeft w:val="0"/>
      <w:marRight w:val="0"/>
      <w:marTop w:val="0"/>
      <w:marBottom w:val="0"/>
      <w:divBdr>
        <w:top w:val="none" w:sz="0" w:space="0" w:color="auto"/>
        <w:left w:val="none" w:sz="0" w:space="0" w:color="auto"/>
        <w:bottom w:val="none" w:sz="0" w:space="0" w:color="auto"/>
        <w:right w:val="none" w:sz="0" w:space="0" w:color="auto"/>
      </w:divBdr>
    </w:div>
    <w:div w:id="628705884">
      <w:bodyDiv w:val="1"/>
      <w:marLeft w:val="0"/>
      <w:marRight w:val="0"/>
      <w:marTop w:val="0"/>
      <w:marBottom w:val="0"/>
      <w:divBdr>
        <w:top w:val="none" w:sz="0" w:space="0" w:color="auto"/>
        <w:left w:val="none" w:sz="0" w:space="0" w:color="auto"/>
        <w:bottom w:val="none" w:sz="0" w:space="0" w:color="auto"/>
        <w:right w:val="none" w:sz="0" w:space="0" w:color="auto"/>
      </w:divBdr>
    </w:div>
    <w:div w:id="664867950">
      <w:bodyDiv w:val="1"/>
      <w:marLeft w:val="0"/>
      <w:marRight w:val="0"/>
      <w:marTop w:val="0"/>
      <w:marBottom w:val="0"/>
      <w:divBdr>
        <w:top w:val="none" w:sz="0" w:space="0" w:color="auto"/>
        <w:left w:val="none" w:sz="0" w:space="0" w:color="auto"/>
        <w:bottom w:val="none" w:sz="0" w:space="0" w:color="auto"/>
        <w:right w:val="none" w:sz="0" w:space="0" w:color="auto"/>
      </w:divBdr>
    </w:div>
    <w:div w:id="685399828">
      <w:bodyDiv w:val="1"/>
      <w:marLeft w:val="0"/>
      <w:marRight w:val="0"/>
      <w:marTop w:val="0"/>
      <w:marBottom w:val="0"/>
      <w:divBdr>
        <w:top w:val="none" w:sz="0" w:space="0" w:color="auto"/>
        <w:left w:val="none" w:sz="0" w:space="0" w:color="auto"/>
        <w:bottom w:val="none" w:sz="0" w:space="0" w:color="auto"/>
        <w:right w:val="none" w:sz="0" w:space="0" w:color="auto"/>
      </w:divBdr>
    </w:div>
    <w:div w:id="726488381">
      <w:bodyDiv w:val="1"/>
      <w:marLeft w:val="0"/>
      <w:marRight w:val="0"/>
      <w:marTop w:val="0"/>
      <w:marBottom w:val="0"/>
      <w:divBdr>
        <w:top w:val="none" w:sz="0" w:space="0" w:color="auto"/>
        <w:left w:val="none" w:sz="0" w:space="0" w:color="auto"/>
        <w:bottom w:val="none" w:sz="0" w:space="0" w:color="auto"/>
        <w:right w:val="none" w:sz="0" w:space="0" w:color="auto"/>
      </w:divBdr>
    </w:div>
    <w:div w:id="728768786">
      <w:bodyDiv w:val="1"/>
      <w:marLeft w:val="0"/>
      <w:marRight w:val="0"/>
      <w:marTop w:val="0"/>
      <w:marBottom w:val="0"/>
      <w:divBdr>
        <w:top w:val="none" w:sz="0" w:space="0" w:color="auto"/>
        <w:left w:val="none" w:sz="0" w:space="0" w:color="auto"/>
        <w:bottom w:val="none" w:sz="0" w:space="0" w:color="auto"/>
        <w:right w:val="none" w:sz="0" w:space="0" w:color="auto"/>
      </w:divBdr>
    </w:div>
    <w:div w:id="746923154">
      <w:bodyDiv w:val="1"/>
      <w:marLeft w:val="0"/>
      <w:marRight w:val="0"/>
      <w:marTop w:val="0"/>
      <w:marBottom w:val="0"/>
      <w:divBdr>
        <w:top w:val="none" w:sz="0" w:space="0" w:color="auto"/>
        <w:left w:val="none" w:sz="0" w:space="0" w:color="auto"/>
        <w:bottom w:val="none" w:sz="0" w:space="0" w:color="auto"/>
        <w:right w:val="none" w:sz="0" w:space="0" w:color="auto"/>
      </w:divBdr>
    </w:div>
    <w:div w:id="761680020">
      <w:bodyDiv w:val="1"/>
      <w:marLeft w:val="0"/>
      <w:marRight w:val="0"/>
      <w:marTop w:val="0"/>
      <w:marBottom w:val="0"/>
      <w:divBdr>
        <w:top w:val="none" w:sz="0" w:space="0" w:color="auto"/>
        <w:left w:val="none" w:sz="0" w:space="0" w:color="auto"/>
        <w:bottom w:val="none" w:sz="0" w:space="0" w:color="auto"/>
        <w:right w:val="none" w:sz="0" w:space="0" w:color="auto"/>
      </w:divBdr>
    </w:div>
    <w:div w:id="777484879">
      <w:bodyDiv w:val="1"/>
      <w:marLeft w:val="0"/>
      <w:marRight w:val="0"/>
      <w:marTop w:val="0"/>
      <w:marBottom w:val="0"/>
      <w:divBdr>
        <w:top w:val="none" w:sz="0" w:space="0" w:color="auto"/>
        <w:left w:val="none" w:sz="0" w:space="0" w:color="auto"/>
        <w:bottom w:val="none" w:sz="0" w:space="0" w:color="auto"/>
        <w:right w:val="none" w:sz="0" w:space="0" w:color="auto"/>
      </w:divBdr>
    </w:div>
    <w:div w:id="779685539">
      <w:bodyDiv w:val="1"/>
      <w:marLeft w:val="0"/>
      <w:marRight w:val="0"/>
      <w:marTop w:val="0"/>
      <w:marBottom w:val="0"/>
      <w:divBdr>
        <w:top w:val="none" w:sz="0" w:space="0" w:color="auto"/>
        <w:left w:val="none" w:sz="0" w:space="0" w:color="auto"/>
        <w:bottom w:val="none" w:sz="0" w:space="0" w:color="auto"/>
        <w:right w:val="none" w:sz="0" w:space="0" w:color="auto"/>
      </w:divBdr>
    </w:div>
    <w:div w:id="781926090">
      <w:bodyDiv w:val="1"/>
      <w:marLeft w:val="0"/>
      <w:marRight w:val="0"/>
      <w:marTop w:val="0"/>
      <w:marBottom w:val="0"/>
      <w:divBdr>
        <w:top w:val="none" w:sz="0" w:space="0" w:color="auto"/>
        <w:left w:val="none" w:sz="0" w:space="0" w:color="auto"/>
        <w:bottom w:val="none" w:sz="0" w:space="0" w:color="auto"/>
        <w:right w:val="none" w:sz="0" w:space="0" w:color="auto"/>
      </w:divBdr>
    </w:div>
    <w:div w:id="789402320">
      <w:bodyDiv w:val="1"/>
      <w:marLeft w:val="0"/>
      <w:marRight w:val="0"/>
      <w:marTop w:val="0"/>
      <w:marBottom w:val="0"/>
      <w:divBdr>
        <w:top w:val="none" w:sz="0" w:space="0" w:color="auto"/>
        <w:left w:val="none" w:sz="0" w:space="0" w:color="auto"/>
        <w:bottom w:val="none" w:sz="0" w:space="0" w:color="auto"/>
        <w:right w:val="none" w:sz="0" w:space="0" w:color="auto"/>
      </w:divBdr>
    </w:div>
    <w:div w:id="994989626">
      <w:bodyDiv w:val="1"/>
      <w:marLeft w:val="0"/>
      <w:marRight w:val="0"/>
      <w:marTop w:val="0"/>
      <w:marBottom w:val="0"/>
      <w:divBdr>
        <w:top w:val="none" w:sz="0" w:space="0" w:color="auto"/>
        <w:left w:val="none" w:sz="0" w:space="0" w:color="auto"/>
        <w:bottom w:val="none" w:sz="0" w:space="0" w:color="auto"/>
        <w:right w:val="none" w:sz="0" w:space="0" w:color="auto"/>
      </w:divBdr>
    </w:div>
    <w:div w:id="1011644509">
      <w:bodyDiv w:val="1"/>
      <w:marLeft w:val="0"/>
      <w:marRight w:val="0"/>
      <w:marTop w:val="0"/>
      <w:marBottom w:val="0"/>
      <w:divBdr>
        <w:top w:val="none" w:sz="0" w:space="0" w:color="auto"/>
        <w:left w:val="none" w:sz="0" w:space="0" w:color="auto"/>
        <w:bottom w:val="none" w:sz="0" w:space="0" w:color="auto"/>
        <w:right w:val="none" w:sz="0" w:space="0" w:color="auto"/>
      </w:divBdr>
    </w:div>
    <w:div w:id="1017384454">
      <w:bodyDiv w:val="1"/>
      <w:marLeft w:val="0"/>
      <w:marRight w:val="0"/>
      <w:marTop w:val="0"/>
      <w:marBottom w:val="0"/>
      <w:divBdr>
        <w:top w:val="none" w:sz="0" w:space="0" w:color="auto"/>
        <w:left w:val="none" w:sz="0" w:space="0" w:color="auto"/>
        <w:bottom w:val="none" w:sz="0" w:space="0" w:color="auto"/>
        <w:right w:val="none" w:sz="0" w:space="0" w:color="auto"/>
      </w:divBdr>
    </w:div>
    <w:div w:id="1047801857">
      <w:bodyDiv w:val="1"/>
      <w:marLeft w:val="0"/>
      <w:marRight w:val="0"/>
      <w:marTop w:val="0"/>
      <w:marBottom w:val="0"/>
      <w:divBdr>
        <w:top w:val="none" w:sz="0" w:space="0" w:color="auto"/>
        <w:left w:val="none" w:sz="0" w:space="0" w:color="auto"/>
        <w:bottom w:val="none" w:sz="0" w:space="0" w:color="auto"/>
        <w:right w:val="none" w:sz="0" w:space="0" w:color="auto"/>
      </w:divBdr>
    </w:div>
    <w:div w:id="1092241813">
      <w:bodyDiv w:val="1"/>
      <w:marLeft w:val="0"/>
      <w:marRight w:val="0"/>
      <w:marTop w:val="0"/>
      <w:marBottom w:val="0"/>
      <w:divBdr>
        <w:top w:val="none" w:sz="0" w:space="0" w:color="auto"/>
        <w:left w:val="none" w:sz="0" w:space="0" w:color="auto"/>
        <w:bottom w:val="none" w:sz="0" w:space="0" w:color="auto"/>
        <w:right w:val="none" w:sz="0" w:space="0" w:color="auto"/>
      </w:divBdr>
    </w:div>
    <w:div w:id="1189104681">
      <w:bodyDiv w:val="1"/>
      <w:marLeft w:val="0"/>
      <w:marRight w:val="0"/>
      <w:marTop w:val="0"/>
      <w:marBottom w:val="0"/>
      <w:divBdr>
        <w:top w:val="none" w:sz="0" w:space="0" w:color="auto"/>
        <w:left w:val="none" w:sz="0" w:space="0" w:color="auto"/>
        <w:bottom w:val="none" w:sz="0" w:space="0" w:color="auto"/>
        <w:right w:val="none" w:sz="0" w:space="0" w:color="auto"/>
      </w:divBdr>
    </w:div>
    <w:div w:id="1265071217">
      <w:bodyDiv w:val="1"/>
      <w:marLeft w:val="0"/>
      <w:marRight w:val="0"/>
      <w:marTop w:val="0"/>
      <w:marBottom w:val="0"/>
      <w:divBdr>
        <w:top w:val="none" w:sz="0" w:space="0" w:color="auto"/>
        <w:left w:val="none" w:sz="0" w:space="0" w:color="auto"/>
        <w:bottom w:val="none" w:sz="0" w:space="0" w:color="auto"/>
        <w:right w:val="none" w:sz="0" w:space="0" w:color="auto"/>
      </w:divBdr>
    </w:div>
    <w:div w:id="1282104813">
      <w:bodyDiv w:val="1"/>
      <w:marLeft w:val="0"/>
      <w:marRight w:val="0"/>
      <w:marTop w:val="0"/>
      <w:marBottom w:val="0"/>
      <w:divBdr>
        <w:top w:val="none" w:sz="0" w:space="0" w:color="auto"/>
        <w:left w:val="none" w:sz="0" w:space="0" w:color="auto"/>
        <w:bottom w:val="none" w:sz="0" w:space="0" w:color="auto"/>
        <w:right w:val="none" w:sz="0" w:space="0" w:color="auto"/>
      </w:divBdr>
    </w:div>
    <w:div w:id="1289045759">
      <w:bodyDiv w:val="1"/>
      <w:marLeft w:val="0"/>
      <w:marRight w:val="0"/>
      <w:marTop w:val="0"/>
      <w:marBottom w:val="0"/>
      <w:divBdr>
        <w:top w:val="none" w:sz="0" w:space="0" w:color="auto"/>
        <w:left w:val="none" w:sz="0" w:space="0" w:color="auto"/>
        <w:bottom w:val="none" w:sz="0" w:space="0" w:color="auto"/>
        <w:right w:val="none" w:sz="0" w:space="0" w:color="auto"/>
      </w:divBdr>
    </w:div>
    <w:div w:id="1295599222">
      <w:bodyDiv w:val="1"/>
      <w:marLeft w:val="0"/>
      <w:marRight w:val="0"/>
      <w:marTop w:val="0"/>
      <w:marBottom w:val="0"/>
      <w:divBdr>
        <w:top w:val="none" w:sz="0" w:space="0" w:color="auto"/>
        <w:left w:val="none" w:sz="0" w:space="0" w:color="auto"/>
        <w:bottom w:val="none" w:sz="0" w:space="0" w:color="auto"/>
        <w:right w:val="none" w:sz="0" w:space="0" w:color="auto"/>
      </w:divBdr>
    </w:div>
    <w:div w:id="1434545024">
      <w:bodyDiv w:val="1"/>
      <w:marLeft w:val="0"/>
      <w:marRight w:val="0"/>
      <w:marTop w:val="0"/>
      <w:marBottom w:val="0"/>
      <w:divBdr>
        <w:top w:val="none" w:sz="0" w:space="0" w:color="auto"/>
        <w:left w:val="none" w:sz="0" w:space="0" w:color="auto"/>
        <w:bottom w:val="none" w:sz="0" w:space="0" w:color="auto"/>
        <w:right w:val="none" w:sz="0" w:space="0" w:color="auto"/>
      </w:divBdr>
    </w:div>
    <w:div w:id="1438912186">
      <w:bodyDiv w:val="1"/>
      <w:marLeft w:val="0"/>
      <w:marRight w:val="0"/>
      <w:marTop w:val="0"/>
      <w:marBottom w:val="0"/>
      <w:divBdr>
        <w:top w:val="none" w:sz="0" w:space="0" w:color="auto"/>
        <w:left w:val="none" w:sz="0" w:space="0" w:color="auto"/>
        <w:bottom w:val="none" w:sz="0" w:space="0" w:color="auto"/>
        <w:right w:val="none" w:sz="0" w:space="0" w:color="auto"/>
      </w:divBdr>
    </w:div>
    <w:div w:id="1521428134">
      <w:bodyDiv w:val="1"/>
      <w:marLeft w:val="0"/>
      <w:marRight w:val="0"/>
      <w:marTop w:val="0"/>
      <w:marBottom w:val="0"/>
      <w:divBdr>
        <w:top w:val="none" w:sz="0" w:space="0" w:color="auto"/>
        <w:left w:val="none" w:sz="0" w:space="0" w:color="auto"/>
        <w:bottom w:val="none" w:sz="0" w:space="0" w:color="auto"/>
        <w:right w:val="none" w:sz="0" w:space="0" w:color="auto"/>
      </w:divBdr>
    </w:div>
    <w:div w:id="1542859404">
      <w:bodyDiv w:val="1"/>
      <w:marLeft w:val="0"/>
      <w:marRight w:val="0"/>
      <w:marTop w:val="0"/>
      <w:marBottom w:val="0"/>
      <w:divBdr>
        <w:top w:val="none" w:sz="0" w:space="0" w:color="auto"/>
        <w:left w:val="none" w:sz="0" w:space="0" w:color="auto"/>
        <w:bottom w:val="none" w:sz="0" w:space="0" w:color="auto"/>
        <w:right w:val="none" w:sz="0" w:space="0" w:color="auto"/>
      </w:divBdr>
    </w:div>
    <w:div w:id="1559706246">
      <w:bodyDiv w:val="1"/>
      <w:marLeft w:val="0"/>
      <w:marRight w:val="0"/>
      <w:marTop w:val="0"/>
      <w:marBottom w:val="0"/>
      <w:divBdr>
        <w:top w:val="none" w:sz="0" w:space="0" w:color="auto"/>
        <w:left w:val="none" w:sz="0" w:space="0" w:color="auto"/>
        <w:bottom w:val="none" w:sz="0" w:space="0" w:color="auto"/>
        <w:right w:val="none" w:sz="0" w:space="0" w:color="auto"/>
      </w:divBdr>
    </w:div>
    <w:div w:id="1563831800">
      <w:bodyDiv w:val="1"/>
      <w:marLeft w:val="0"/>
      <w:marRight w:val="0"/>
      <w:marTop w:val="0"/>
      <w:marBottom w:val="0"/>
      <w:divBdr>
        <w:top w:val="none" w:sz="0" w:space="0" w:color="auto"/>
        <w:left w:val="none" w:sz="0" w:space="0" w:color="auto"/>
        <w:bottom w:val="none" w:sz="0" w:space="0" w:color="auto"/>
        <w:right w:val="none" w:sz="0" w:space="0" w:color="auto"/>
      </w:divBdr>
    </w:div>
    <w:div w:id="1590918545">
      <w:bodyDiv w:val="1"/>
      <w:marLeft w:val="0"/>
      <w:marRight w:val="0"/>
      <w:marTop w:val="0"/>
      <w:marBottom w:val="0"/>
      <w:divBdr>
        <w:top w:val="none" w:sz="0" w:space="0" w:color="auto"/>
        <w:left w:val="none" w:sz="0" w:space="0" w:color="auto"/>
        <w:bottom w:val="none" w:sz="0" w:space="0" w:color="auto"/>
        <w:right w:val="none" w:sz="0" w:space="0" w:color="auto"/>
      </w:divBdr>
    </w:div>
    <w:div w:id="1603536528">
      <w:bodyDiv w:val="1"/>
      <w:marLeft w:val="0"/>
      <w:marRight w:val="0"/>
      <w:marTop w:val="0"/>
      <w:marBottom w:val="0"/>
      <w:divBdr>
        <w:top w:val="none" w:sz="0" w:space="0" w:color="auto"/>
        <w:left w:val="none" w:sz="0" w:space="0" w:color="auto"/>
        <w:bottom w:val="none" w:sz="0" w:space="0" w:color="auto"/>
        <w:right w:val="none" w:sz="0" w:space="0" w:color="auto"/>
      </w:divBdr>
    </w:div>
    <w:div w:id="1618223033">
      <w:bodyDiv w:val="1"/>
      <w:marLeft w:val="0"/>
      <w:marRight w:val="0"/>
      <w:marTop w:val="0"/>
      <w:marBottom w:val="0"/>
      <w:divBdr>
        <w:top w:val="none" w:sz="0" w:space="0" w:color="auto"/>
        <w:left w:val="none" w:sz="0" w:space="0" w:color="auto"/>
        <w:bottom w:val="none" w:sz="0" w:space="0" w:color="auto"/>
        <w:right w:val="none" w:sz="0" w:space="0" w:color="auto"/>
      </w:divBdr>
    </w:div>
    <w:div w:id="1671062056">
      <w:bodyDiv w:val="1"/>
      <w:marLeft w:val="0"/>
      <w:marRight w:val="0"/>
      <w:marTop w:val="0"/>
      <w:marBottom w:val="0"/>
      <w:divBdr>
        <w:top w:val="none" w:sz="0" w:space="0" w:color="auto"/>
        <w:left w:val="none" w:sz="0" w:space="0" w:color="auto"/>
        <w:bottom w:val="none" w:sz="0" w:space="0" w:color="auto"/>
        <w:right w:val="none" w:sz="0" w:space="0" w:color="auto"/>
      </w:divBdr>
    </w:div>
    <w:div w:id="1701318104">
      <w:bodyDiv w:val="1"/>
      <w:marLeft w:val="0"/>
      <w:marRight w:val="0"/>
      <w:marTop w:val="0"/>
      <w:marBottom w:val="0"/>
      <w:divBdr>
        <w:top w:val="none" w:sz="0" w:space="0" w:color="auto"/>
        <w:left w:val="none" w:sz="0" w:space="0" w:color="auto"/>
        <w:bottom w:val="none" w:sz="0" w:space="0" w:color="auto"/>
        <w:right w:val="none" w:sz="0" w:space="0" w:color="auto"/>
      </w:divBdr>
    </w:div>
    <w:div w:id="1707174196">
      <w:bodyDiv w:val="1"/>
      <w:marLeft w:val="0"/>
      <w:marRight w:val="0"/>
      <w:marTop w:val="0"/>
      <w:marBottom w:val="0"/>
      <w:divBdr>
        <w:top w:val="none" w:sz="0" w:space="0" w:color="auto"/>
        <w:left w:val="none" w:sz="0" w:space="0" w:color="auto"/>
        <w:bottom w:val="none" w:sz="0" w:space="0" w:color="auto"/>
        <w:right w:val="none" w:sz="0" w:space="0" w:color="auto"/>
      </w:divBdr>
    </w:div>
    <w:div w:id="1708136596">
      <w:bodyDiv w:val="1"/>
      <w:marLeft w:val="0"/>
      <w:marRight w:val="0"/>
      <w:marTop w:val="0"/>
      <w:marBottom w:val="0"/>
      <w:divBdr>
        <w:top w:val="none" w:sz="0" w:space="0" w:color="auto"/>
        <w:left w:val="none" w:sz="0" w:space="0" w:color="auto"/>
        <w:bottom w:val="none" w:sz="0" w:space="0" w:color="auto"/>
        <w:right w:val="none" w:sz="0" w:space="0" w:color="auto"/>
      </w:divBdr>
    </w:div>
    <w:div w:id="1729457687">
      <w:bodyDiv w:val="1"/>
      <w:marLeft w:val="0"/>
      <w:marRight w:val="0"/>
      <w:marTop w:val="0"/>
      <w:marBottom w:val="0"/>
      <w:divBdr>
        <w:top w:val="none" w:sz="0" w:space="0" w:color="auto"/>
        <w:left w:val="none" w:sz="0" w:space="0" w:color="auto"/>
        <w:bottom w:val="none" w:sz="0" w:space="0" w:color="auto"/>
        <w:right w:val="none" w:sz="0" w:space="0" w:color="auto"/>
      </w:divBdr>
    </w:div>
    <w:div w:id="1776825862">
      <w:bodyDiv w:val="1"/>
      <w:marLeft w:val="0"/>
      <w:marRight w:val="0"/>
      <w:marTop w:val="0"/>
      <w:marBottom w:val="0"/>
      <w:divBdr>
        <w:top w:val="none" w:sz="0" w:space="0" w:color="auto"/>
        <w:left w:val="none" w:sz="0" w:space="0" w:color="auto"/>
        <w:bottom w:val="none" w:sz="0" w:space="0" w:color="auto"/>
        <w:right w:val="none" w:sz="0" w:space="0" w:color="auto"/>
      </w:divBdr>
    </w:div>
    <w:div w:id="1813600502">
      <w:bodyDiv w:val="1"/>
      <w:marLeft w:val="0"/>
      <w:marRight w:val="0"/>
      <w:marTop w:val="0"/>
      <w:marBottom w:val="0"/>
      <w:divBdr>
        <w:top w:val="none" w:sz="0" w:space="0" w:color="auto"/>
        <w:left w:val="none" w:sz="0" w:space="0" w:color="auto"/>
        <w:bottom w:val="none" w:sz="0" w:space="0" w:color="auto"/>
        <w:right w:val="none" w:sz="0" w:space="0" w:color="auto"/>
      </w:divBdr>
    </w:div>
    <w:div w:id="1881093006">
      <w:bodyDiv w:val="1"/>
      <w:marLeft w:val="0"/>
      <w:marRight w:val="0"/>
      <w:marTop w:val="0"/>
      <w:marBottom w:val="0"/>
      <w:divBdr>
        <w:top w:val="none" w:sz="0" w:space="0" w:color="auto"/>
        <w:left w:val="none" w:sz="0" w:space="0" w:color="auto"/>
        <w:bottom w:val="none" w:sz="0" w:space="0" w:color="auto"/>
        <w:right w:val="none" w:sz="0" w:space="0" w:color="auto"/>
      </w:divBdr>
    </w:div>
    <w:div w:id="1917279262">
      <w:bodyDiv w:val="1"/>
      <w:marLeft w:val="0"/>
      <w:marRight w:val="0"/>
      <w:marTop w:val="0"/>
      <w:marBottom w:val="0"/>
      <w:divBdr>
        <w:top w:val="none" w:sz="0" w:space="0" w:color="auto"/>
        <w:left w:val="none" w:sz="0" w:space="0" w:color="auto"/>
        <w:bottom w:val="none" w:sz="0" w:space="0" w:color="auto"/>
        <w:right w:val="none" w:sz="0" w:space="0" w:color="auto"/>
      </w:divBdr>
    </w:div>
    <w:div w:id="1928726755">
      <w:bodyDiv w:val="1"/>
      <w:marLeft w:val="0"/>
      <w:marRight w:val="0"/>
      <w:marTop w:val="0"/>
      <w:marBottom w:val="0"/>
      <w:divBdr>
        <w:top w:val="none" w:sz="0" w:space="0" w:color="auto"/>
        <w:left w:val="none" w:sz="0" w:space="0" w:color="auto"/>
        <w:bottom w:val="none" w:sz="0" w:space="0" w:color="auto"/>
        <w:right w:val="none" w:sz="0" w:space="0" w:color="auto"/>
      </w:divBdr>
    </w:div>
    <w:div w:id="1968505678">
      <w:bodyDiv w:val="1"/>
      <w:marLeft w:val="0"/>
      <w:marRight w:val="0"/>
      <w:marTop w:val="0"/>
      <w:marBottom w:val="0"/>
      <w:divBdr>
        <w:top w:val="none" w:sz="0" w:space="0" w:color="auto"/>
        <w:left w:val="none" w:sz="0" w:space="0" w:color="auto"/>
        <w:bottom w:val="none" w:sz="0" w:space="0" w:color="auto"/>
        <w:right w:val="none" w:sz="0" w:space="0" w:color="auto"/>
      </w:divBdr>
    </w:div>
    <w:div w:id="1992714034">
      <w:bodyDiv w:val="1"/>
      <w:marLeft w:val="0"/>
      <w:marRight w:val="0"/>
      <w:marTop w:val="0"/>
      <w:marBottom w:val="0"/>
      <w:divBdr>
        <w:top w:val="none" w:sz="0" w:space="0" w:color="auto"/>
        <w:left w:val="none" w:sz="0" w:space="0" w:color="auto"/>
        <w:bottom w:val="none" w:sz="0" w:space="0" w:color="auto"/>
        <w:right w:val="none" w:sz="0" w:space="0" w:color="auto"/>
      </w:divBdr>
    </w:div>
    <w:div w:id="1995179742">
      <w:bodyDiv w:val="1"/>
      <w:marLeft w:val="0"/>
      <w:marRight w:val="0"/>
      <w:marTop w:val="0"/>
      <w:marBottom w:val="0"/>
      <w:divBdr>
        <w:top w:val="none" w:sz="0" w:space="0" w:color="auto"/>
        <w:left w:val="none" w:sz="0" w:space="0" w:color="auto"/>
        <w:bottom w:val="none" w:sz="0" w:space="0" w:color="auto"/>
        <w:right w:val="none" w:sz="0" w:space="0" w:color="auto"/>
      </w:divBdr>
    </w:div>
    <w:div w:id="1995210634">
      <w:bodyDiv w:val="1"/>
      <w:marLeft w:val="0"/>
      <w:marRight w:val="0"/>
      <w:marTop w:val="0"/>
      <w:marBottom w:val="0"/>
      <w:divBdr>
        <w:top w:val="none" w:sz="0" w:space="0" w:color="auto"/>
        <w:left w:val="none" w:sz="0" w:space="0" w:color="auto"/>
        <w:bottom w:val="none" w:sz="0" w:space="0" w:color="auto"/>
        <w:right w:val="none" w:sz="0" w:space="0" w:color="auto"/>
      </w:divBdr>
    </w:div>
    <w:div w:id="2036342169">
      <w:bodyDiv w:val="1"/>
      <w:marLeft w:val="0"/>
      <w:marRight w:val="0"/>
      <w:marTop w:val="0"/>
      <w:marBottom w:val="0"/>
      <w:divBdr>
        <w:top w:val="none" w:sz="0" w:space="0" w:color="auto"/>
        <w:left w:val="none" w:sz="0" w:space="0" w:color="auto"/>
        <w:bottom w:val="none" w:sz="0" w:space="0" w:color="auto"/>
        <w:right w:val="none" w:sz="0" w:space="0" w:color="auto"/>
      </w:divBdr>
    </w:div>
    <w:div w:id="2083214042">
      <w:bodyDiv w:val="1"/>
      <w:marLeft w:val="0"/>
      <w:marRight w:val="0"/>
      <w:marTop w:val="0"/>
      <w:marBottom w:val="0"/>
      <w:divBdr>
        <w:top w:val="none" w:sz="0" w:space="0" w:color="auto"/>
        <w:left w:val="none" w:sz="0" w:space="0" w:color="auto"/>
        <w:bottom w:val="none" w:sz="0" w:space="0" w:color="auto"/>
        <w:right w:val="none" w:sz="0" w:space="0" w:color="auto"/>
      </w:divBdr>
    </w:div>
    <w:div w:id="21189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100726C93DF41B61E9363BB30E363" ma:contentTypeVersion="11" ma:contentTypeDescription="Create a new document." ma:contentTypeScope="" ma:versionID="23ade35a69630175ad2d833b8d515c4a">
  <xsd:schema xmlns:xsd="http://www.w3.org/2001/XMLSchema" xmlns:xs="http://www.w3.org/2001/XMLSchema" xmlns:p="http://schemas.microsoft.com/office/2006/metadata/properties" xmlns:ns2="c63f3325-93d4-4fef-a68e-16d66f0ed15d" xmlns:ns3="f8a95c53-bc35-4144-8b4f-a8678eadac39" targetNamespace="http://schemas.microsoft.com/office/2006/metadata/properties" ma:root="true" ma:fieldsID="db70c70eebacf77caf8ba77a45e4ed1e" ns2:_="" ns3:_="">
    <xsd:import namespace="c63f3325-93d4-4fef-a68e-16d66f0ed15d"/>
    <xsd:import namespace="f8a95c53-bc35-4144-8b4f-a8678eadac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f3325-93d4-4fef-a68e-16d66f0ed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c0b944-1297-42fa-b789-cd23fa32fe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95c53-bc35-4144-8b4f-a8678eadac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6d1071-4fde-4497-88f7-b2fe3faaab0f}" ma:internalName="TaxCatchAll" ma:showField="CatchAllData" ma:web="f8a95c53-bc35-4144-8b4f-a8678eada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8a95c53-bc35-4144-8b4f-a8678eadac39" xsi:nil="true"/>
    <lcf76f155ced4ddcb4097134ff3c332f xmlns="c63f3325-93d4-4fef-a68e-16d66f0ed15d">
      <Terms xmlns="http://schemas.microsoft.com/office/infopath/2007/PartnerControls"/>
    </lcf76f155ced4ddcb4097134ff3c332f>
    <SharedWithUsers xmlns="f8a95c53-bc35-4144-8b4f-a8678eadac39">
      <UserInfo>
        <DisplayName>Sutlive, Charles E.</DisplayName>
        <AccountId>42</AccountId>
        <AccountType/>
      </UserInfo>
      <UserInfo>
        <DisplayName>Robertson, Mayra</DisplayName>
        <AccountId>51</AccountId>
        <AccountType/>
      </UserInfo>
      <UserInfo>
        <DisplayName>Perkins, Shannon P.</DisplayName>
        <AccountId>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34721-15B3-4637-AE6E-A9DE4F093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f3325-93d4-4fef-a68e-16d66f0ed15d"/>
    <ds:schemaRef ds:uri="f8a95c53-bc35-4144-8b4f-a8678eada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A6478-1331-4FDA-AF45-6FACF97085AE}">
  <ds:schemaRefs>
    <ds:schemaRef ds:uri="http://schemas.openxmlformats.org/officeDocument/2006/bibliography"/>
  </ds:schemaRefs>
</ds:datastoreItem>
</file>

<file path=customXml/itemProps3.xml><?xml version="1.0" encoding="utf-8"?>
<ds:datastoreItem xmlns:ds="http://schemas.openxmlformats.org/officeDocument/2006/customXml" ds:itemID="{B690A687-11F2-4347-B574-1879E40C06DA}">
  <ds:schemaRefs>
    <ds:schemaRef ds:uri="http://purl.org/dc/terms/"/>
    <ds:schemaRef ds:uri="c63f3325-93d4-4fef-a68e-16d66f0ed15d"/>
    <ds:schemaRef ds:uri="http://schemas.microsoft.com/office/2006/documentManagement/types"/>
    <ds:schemaRef ds:uri="http://schemas.microsoft.com/office/infopath/2007/PartnerControls"/>
    <ds:schemaRef ds:uri="http://purl.org/dc/elements/1.1/"/>
    <ds:schemaRef ds:uri="http://schemas.microsoft.com/office/2006/metadata/properties"/>
    <ds:schemaRef ds:uri="f8a95c53-bc35-4144-8b4f-a8678eadac3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F88D4E3-6A7D-4CC3-9581-6F476FE34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12078</Words>
  <Characters>68845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Brittingham, John M.</dc:creator>
  <cp:keywords/>
  <cp:lastModifiedBy>Defnall, Chris T.</cp:lastModifiedBy>
  <cp:revision>2</cp:revision>
  <cp:lastPrinted>2023-05-05T19:56:00Z</cp:lastPrinted>
  <dcterms:created xsi:type="dcterms:W3CDTF">2023-09-12T17:10:00Z</dcterms:created>
  <dcterms:modified xsi:type="dcterms:W3CDTF">2023-09-12T17:10:00Z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iv2dXva1WTOGqlaJg+umyi+GeKJLLqT3PRkuOK6S045OPuYxliyQFidfqBq
dJoa9ktl0GU7Xq3v42LGw+ylihdPOxAFAnQM1s5AOE/qRgQsP3Pft5FsoJk=</vt:lpwstr>
  </property>
  <property fmtid="{D5CDD505-2E9C-101B-9397-08002B2CF9AE}" pid="3" name="RESPONSE_SENDER_NAME">
    <vt:lpwstr>sAAAGYoQX4c3X/JYhhSk+4P57/2FKfnspJ6ujfwXkh8/678=</vt:lpwstr>
  </property>
  <property fmtid="{D5CDD505-2E9C-101B-9397-08002B2CF9AE}" pid="4" name="MAIL_MSG_ID1">
    <vt:lpwstr>0FAAcuWl1SbNzhHxS8poJqGmIfCxhXXPVPLJ1ZA7nedDEcW/MZ2/vP3LhaH8p7qamnmrAHJl8Yqz/T3Y
YOKFGuhNzT00V2U7IEe5mXB4HFsy1emQt2q8NcuF6W1XFOiR/dNKw9b41qJfGbyvYTyPqW9WQaGq
qWGK4eQsP0h7i/gwIJq/Q6aDyM/lxDEKng1RjHaJGZOkHGDrXqpW3NQ0RKmYI1Rogij+rufej/I8
G3bCajY1Pl6oC5owD</vt:lpwstr>
  </property>
  <property fmtid="{D5CDD505-2E9C-101B-9397-08002B2CF9AE}" pid="5" name="EMAIL_OWNER_ADDRESS">
    <vt:lpwstr>MBAAmdSkHYIBgFti72CLMkaXIgA9lnHjPKe1ckK/l9JF1i9POxAFAnQM1s5AOE/qRgQsh1kCsLX7uMM=</vt:lpwstr>
  </property>
  <property fmtid="{D5CDD505-2E9C-101B-9397-08002B2CF9AE}" pid="6" name="_NewReviewCycle">
    <vt:lpwstr/>
  </property>
  <property fmtid="{D5CDD505-2E9C-101B-9397-08002B2CF9AE}" pid="7" name="ContentTypeId">
    <vt:lpwstr>0x010100616100726C93DF41B61E9363BB30E363</vt:lpwstr>
  </property>
  <property fmtid="{D5CDD505-2E9C-101B-9397-08002B2CF9AE}" pid="8" name="MSIP_Label_ed3826ce-7c18-471d-9596-93de5bae332e_Enabled">
    <vt:lpwstr>true</vt:lpwstr>
  </property>
  <property fmtid="{D5CDD505-2E9C-101B-9397-08002B2CF9AE}" pid="9" name="MSIP_Label_ed3826ce-7c18-471d-9596-93de5bae332e_SetDate">
    <vt:lpwstr>2022-10-04T13:45:50Z</vt:lpwstr>
  </property>
  <property fmtid="{D5CDD505-2E9C-101B-9397-08002B2CF9AE}" pid="10" name="MSIP_Label_ed3826ce-7c18-471d-9596-93de5bae332e_Method">
    <vt:lpwstr>Standard</vt:lpwstr>
  </property>
  <property fmtid="{D5CDD505-2E9C-101B-9397-08002B2CF9AE}" pid="11" name="MSIP_Label_ed3826ce-7c18-471d-9596-93de5bae332e_Name">
    <vt:lpwstr>Internal</vt:lpwstr>
  </property>
  <property fmtid="{D5CDD505-2E9C-101B-9397-08002B2CF9AE}" pid="12" name="MSIP_Label_ed3826ce-7c18-471d-9596-93de5bae332e_SiteId">
    <vt:lpwstr>c0a02e2d-1186-410a-8895-0a4a252ebf17</vt:lpwstr>
  </property>
  <property fmtid="{D5CDD505-2E9C-101B-9397-08002B2CF9AE}" pid="13" name="MSIP_Label_ed3826ce-7c18-471d-9596-93de5bae332e_ActionId">
    <vt:lpwstr>62da5ad4-705f-493a-8559-56f072528f70</vt:lpwstr>
  </property>
  <property fmtid="{D5CDD505-2E9C-101B-9397-08002B2CF9AE}" pid="14" name="MSIP_Label_ed3826ce-7c18-471d-9596-93de5bae332e_ContentBits">
    <vt:lpwstr>0</vt:lpwstr>
  </property>
  <property fmtid="{D5CDD505-2E9C-101B-9397-08002B2CF9AE}" pid="15" name="iManageFooter">
    <vt:lpwstr>#159489155v3&lt;ACTIVE&gt; - Draft Prudency Hearing Direct Testimony of Abramovitz, Haswel...docx</vt:lpwstr>
  </property>
  <property fmtid="{D5CDD505-2E9C-101B-9397-08002B2CF9AE}" pid="16" name="MediaServiceImageTags">
    <vt:lpwstr/>
  </property>
</Properties>
</file>