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32DE4" w14:textId="77777777" w:rsidR="00B3403F" w:rsidRPr="00211846" w:rsidRDefault="00B3403F" w:rsidP="00B3403F">
      <w:pPr>
        <w:jc w:val="center"/>
        <w:rPr>
          <w:b/>
          <w:sz w:val="24"/>
          <w:szCs w:val="24"/>
        </w:rPr>
      </w:pPr>
      <w:r w:rsidRPr="00211846">
        <w:rPr>
          <w:b/>
          <w:sz w:val="24"/>
          <w:szCs w:val="24"/>
        </w:rPr>
        <w:t xml:space="preserve">Docket No. </w:t>
      </w:r>
      <w:r>
        <w:rPr>
          <w:b/>
          <w:sz w:val="24"/>
          <w:szCs w:val="24"/>
        </w:rPr>
        <w:t>35701</w:t>
      </w:r>
    </w:p>
    <w:p w14:paraId="77643F51" w14:textId="77777777" w:rsidR="00B3403F" w:rsidRPr="00211846" w:rsidRDefault="00B3403F" w:rsidP="00B3403F">
      <w:pPr>
        <w:rPr>
          <w:sz w:val="24"/>
          <w:szCs w:val="24"/>
        </w:rPr>
      </w:pPr>
    </w:p>
    <w:p w14:paraId="5BDE0F2B" w14:textId="77777777" w:rsidR="00B3403F" w:rsidRPr="00211846" w:rsidRDefault="00B3403F" w:rsidP="00B3403F">
      <w:pPr>
        <w:ind w:left="1440" w:hanging="1440"/>
        <w:rPr>
          <w:sz w:val="24"/>
          <w:szCs w:val="24"/>
        </w:rPr>
      </w:pPr>
      <w:r w:rsidRPr="00211846">
        <w:rPr>
          <w:sz w:val="24"/>
          <w:szCs w:val="24"/>
        </w:rPr>
        <w:t>In Re:</w:t>
      </w:r>
      <w:r w:rsidRPr="00211846">
        <w:rPr>
          <w:sz w:val="24"/>
          <w:szCs w:val="24"/>
        </w:rPr>
        <w:tab/>
      </w:r>
      <w:r w:rsidRPr="00206CA1">
        <w:rPr>
          <w:bCs/>
          <w:sz w:val="24"/>
          <w:szCs w:val="24"/>
        </w:rPr>
        <w:t xml:space="preserve">Application of Boomerang Wireless, LLC d/b/a </w:t>
      </w:r>
      <w:proofErr w:type="spellStart"/>
      <w:r w:rsidRPr="00206CA1">
        <w:rPr>
          <w:bCs/>
          <w:sz w:val="24"/>
          <w:szCs w:val="24"/>
        </w:rPr>
        <w:t>enTouch</w:t>
      </w:r>
      <w:proofErr w:type="spellEnd"/>
      <w:r w:rsidRPr="00206CA1">
        <w:rPr>
          <w:bCs/>
          <w:sz w:val="24"/>
          <w:szCs w:val="24"/>
        </w:rPr>
        <w:t xml:space="preserve"> Wireless for Designation as an Eligible Telecommunications Carrier on a Wireless Basis</w:t>
      </w:r>
    </w:p>
    <w:p w14:paraId="70F8D17D" w14:textId="77777777" w:rsidR="00B3403F" w:rsidRPr="00211846" w:rsidRDefault="00B3403F" w:rsidP="00B3403F">
      <w:pPr>
        <w:ind w:left="1440" w:hanging="1440"/>
        <w:rPr>
          <w:sz w:val="24"/>
          <w:szCs w:val="24"/>
        </w:rPr>
      </w:pPr>
    </w:p>
    <w:p w14:paraId="1489A5B1" w14:textId="77777777" w:rsidR="00B3403F" w:rsidRPr="00211846" w:rsidRDefault="00B3403F" w:rsidP="00B3403F">
      <w:pPr>
        <w:jc w:val="center"/>
        <w:rPr>
          <w:b/>
          <w:sz w:val="24"/>
          <w:szCs w:val="24"/>
          <w:u w:val="single"/>
        </w:rPr>
      </w:pPr>
      <w:r w:rsidRPr="00211846">
        <w:rPr>
          <w:b/>
          <w:sz w:val="24"/>
          <w:szCs w:val="24"/>
          <w:u w:val="single"/>
        </w:rPr>
        <w:t>ORDER AMENDING ETC DESIGNATION</w:t>
      </w:r>
    </w:p>
    <w:p w14:paraId="7FA645BF" w14:textId="77777777" w:rsidR="00B3403F" w:rsidRPr="00211846" w:rsidRDefault="00B3403F" w:rsidP="00B3403F">
      <w:pPr>
        <w:rPr>
          <w:b/>
          <w:sz w:val="24"/>
          <w:szCs w:val="24"/>
          <w:u w:val="single"/>
        </w:rPr>
      </w:pPr>
    </w:p>
    <w:p w14:paraId="28CEB769" w14:textId="77777777" w:rsidR="00B3403F" w:rsidRPr="00211846" w:rsidRDefault="00B3403F" w:rsidP="00B3403F">
      <w:pPr>
        <w:numPr>
          <w:ilvl w:val="0"/>
          <w:numId w:val="2"/>
        </w:numPr>
        <w:ind w:left="0" w:firstLine="0"/>
        <w:jc w:val="both"/>
        <w:rPr>
          <w:b/>
          <w:sz w:val="24"/>
        </w:rPr>
      </w:pPr>
      <w:r w:rsidRPr="00211846">
        <w:rPr>
          <w:b/>
          <w:sz w:val="24"/>
        </w:rPr>
        <w:t>Background</w:t>
      </w:r>
    </w:p>
    <w:p w14:paraId="1D5EF6E9" w14:textId="77777777" w:rsidR="00B3403F" w:rsidRPr="00211846" w:rsidRDefault="00B3403F" w:rsidP="00B3403F">
      <w:pPr>
        <w:jc w:val="both"/>
        <w:rPr>
          <w:b/>
          <w:sz w:val="24"/>
        </w:rPr>
      </w:pPr>
    </w:p>
    <w:p w14:paraId="5F331239" w14:textId="77777777" w:rsidR="00B3403F" w:rsidRDefault="00B3403F" w:rsidP="00B3403F">
      <w:pPr>
        <w:ind w:firstLine="720"/>
        <w:jc w:val="both"/>
        <w:rPr>
          <w:sz w:val="24"/>
        </w:rPr>
      </w:pPr>
      <w:r w:rsidRPr="00211846">
        <w:rPr>
          <w:sz w:val="24"/>
        </w:rPr>
        <w:t xml:space="preserve">On </w:t>
      </w:r>
      <w:r>
        <w:rPr>
          <w:sz w:val="24"/>
        </w:rPr>
        <w:t>December 4, 2014</w:t>
      </w:r>
      <w:r w:rsidRPr="00211846">
        <w:rPr>
          <w:sz w:val="24"/>
        </w:rPr>
        <w:t xml:space="preserve">, the Georgia Public Service Commission designated </w:t>
      </w:r>
      <w:r>
        <w:rPr>
          <w:sz w:val="24"/>
          <w:szCs w:val="24"/>
        </w:rPr>
        <w:t xml:space="preserve">Boomerang, LLC d/b/a Boomerang Wireless d/b/a </w:t>
      </w:r>
      <w:proofErr w:type="spellStart"/>
      <w:r>
        <w:rPr>
          <w:sz w:val="24"/>
          <w:szCs w:val="24"/>
        </w:rPr>
        <w:t>enTouch</w:t>
      </w:r>
      <w:proofErr w:type="spellEnd"/>
      <w:r>
        <w:rPr>
          <w:sz w:val="24"/>
          <w:szCs w:val="24"/>
        </w:rPr>
        <w:t xml:space="preserve"> Wireless (“Boomerang”)</w:t>
      </w:r>
      <w:r w:rsidRPr="00211846">
        <w:rPr>
          <w:sz w:val="24"/>
        </w:rPr>
        <w:t xml:space="preserve"> as an Eligible Telecommunications Carrier (“ETC”).</w:t>
      </w:r>
    </w:p>
    <w:p w14:paraId="454EFCC8" w14:textId="77777777" w:rsidR="00B3403F" w:rsidRDefault="00B3403F" w:rsidP="00B3403F">
      <w:pPr>
        <w:ind w:firstLine="720"/>
        <w:jc w:val="both"/>
        <w:rPr>
          <w:sz w:val="24"/>
        </w:rPr>
      </w:pPr>
    </w:p>
    <w:p w14:paraId="024469F7" w14:textId="77777777" w:rsidR="00B3403F" w:rsidRDefault="00B3403F" w:rsidP="00B3403F">
      <w:pPr>
        <w:ind w:firstLine="720"/>
        <w:jc w:val="both"/>
        <w:rPr>
          <w:sz w:val="24"/>
        </w:rPr>
      </w:pPr>
      <w:r>
        <w:rPr>
          <w:sz w:val="24"/>
        </w:rPr>
        <w:t>On May 21, 2015, the Commission amended Boomerang’s ETC designation to include a reporting requirement.</w:t>
      </w:r>
    </w:p>
    <w:p w14:paraId="15A1CC06" w14:textId="77777777" w:rsidR="00B3403F" w:rsidRDefault="00B3403F" w:rsidP="00B3403F">
      <w:pPr>
        <w:ind w:firstLine="720"/>
        <w:jc w:val="both"/>
        <w:rPr>
          <w:sz w:val="24"/>
        </w:rPr>
      </w:pPr>
    </w:p>
    <w:p w14:paraId="7B1CCADC" w14:textId="77777777" w:rsidR="00B3403F" w:rsidRDefault="00B3403F" w:rsidP="00B3403F">
      <w:pPr>
        <w:ind w:firstLine="720"/>
        <w:jc w:val="both"/>
        <w:rPr>
          <w:sz w:val="24"/>
        </w:rPr>
      </w:pPr>
      <w:r>
        <w:rPr>
          <w:sz w:val="24"/>
        </w:rPr>
        <w:t>On August 17, 2016, the Commission approved Boomerang’s request to amend its ETC designation to include the AT&amp;T Mobility wire centers subject to the condition that Boomerang use AT&amp;T Mobility as its underlying carrier for all customers located within the additional wire centers served by AT&amp;T Mobility but not by Boomerang’s other underlying carrier, Sprint.</w:t>
      </w:r>
    </w:p>
    <w:p w14:paraId="1A9F521C" w14:textId="77777777" w:rsidR="00B3403F" w:rsidRDefault="00B3403F" w:rsidP="00B3403F">
      <w:pPr>
        <w:ind w:firstLine="720"/>
        <w:jc w:val="both"/>
        <w:rPr>
          <w:sz w:val="24"/>
        </w:rPr>
      </w:pPr>
    </w:p>
    <w:p w14:paraId="6D1DBD22" w14:textId="0BEE5712" w:rsidR="00B3403F" w:rsidRDefault="00B3403F" w:rsidP="00B3403F">
      <w:pPr>
        <w:ind w:firstLine="720"/>
        <w:jc w:val="both"/>
        <w:rPr>
          <w:sz w:val="24"/>
        </w:rPr>
      </w:pPr>
      <w:r>
        <w:rPr>
          <w:sz w:val="24"/>
        </w:rPr>
        <w:t>On March 8, 2017, the Commission granted a request by Boomerang to continue serving certain former customers of Budget Prepay, Inc. d/b/a Budget Mobile</w:t>
      </w:r>
      <w:r w:rsidR="008948A8">
        <w:rPr>
          <w:sz w:val="24"/>
        </w:rPr>
        <w:t xml:space="preserve"> (“Budget Prepay”).</w:t>
      </w:r>
    </w:p>
    <w:p w14:paraId="28EDADB3" w14:textId="77777777" w:rsidR="00B3403F" w:rsidRDefault="00B3403F" w:rsidP="00B3403F">
      <w:pPr>
        <w:ind w:firstLine="720"/>
        <w:jc w:val="both"/>
        <w:rPr>
          <w:sz w:val="24"/>
        </w:rPr>
      </w:pPr>
    </w:p>
    <w:p w14:paraId="412D78AE" w14:textId="539260C2" w:rsidR="00B3403F" w:rsidRPr="008948A8" w:rsidRDefault="00B3403F" w:rsidP="008948A8">
      <w:pPr>
        <w:ind w:firstLine="720"/>
        <w:jc w:val="both"/>
        <w:rPr>
          <w:sz w:val="24"/>
          <w:szCs w:val="24"/>
        </w:rPr>
      </w:pPr>
      <w:r>
        <w:rPr>
          <w:sz w:val="24"/>
        </w:rPr>
        <w:t xml:space="preserve">On July 1, 2022, Boomerang filed an </w:t>
      </w:r>
      <w:proofErr w:type="gramStart"/>
      <w:r>
        <w:rPr>
          <w:sz w:val="24"/>
        </w:rPr>
        <w:t>Application</w:t>
      </w:r>
      <w:proofErr w:type="gramEnd"/>
      <w:r>
        <w:rPr>
          <w:sz w:val="24"/>
        </w:rPr>
        <w:t xml:space="preserve"> to Expand Eligible Telecommunications Carrier Service Area</w:t>
      </w:r>
      <w:r w:rsidR="007146A1">
        <w:rPr>
          <w:sz w:val="24"/>
        </w:rPr>
        <w:t>,</w:t>
      </w:r>
      <w:r>
        <w:rPr>
          <w:sz w:val="24"/>
        </w:rPr>
        <w:t xml:space="preserve"> in which it request</w:t>
      </w:r>
      <w:r w:rsidR="008948A8">
        <w:rPr>
          <w:sz w:val="24"/>
        </w:rPr>
        <w:t>ed</w:t>
      </w:r>
      <w:r>
        <w:rPr>
          <w:sz w:val="24"/>
        </w:rPr>
        <w:t xml:space="preserve"> that the Commission expand Boomerang’s previously authorized service area to include the wire centers in which T-Mobile </w:t>
      </w:r>
      <w:r w:rsidR="000549C0">
        <w:rPr>
          <w:sz w:val="24"/>
        </w:rPr>
        <w:t xml:space="preserve">South LLC (“T-Mobile”) </w:t>
      </w:r>
      <w:r>
        <w:rPr>
          <w:sz w:val="24"/>
        </w:rPr>
        <w:t>was found to have sufficient coverage in Docket No. 32967</w:t>
      </w:r>
      <w:r>
        <w:rPr>
          <w:rStyle w:val="FootnoteReference"/>
          <w:sz w:val="24"/>
        </w:rPr>
        <w:footnoteReference w:id="1"/>
      </w:r>
      <w:r>
        <w:rPr>
          <w:sz w:val="24"/>
        </w:rPr>
        <w:t xml:space="preserve">.  </w:t>
      </w:r>
      <w:r w:rsidR="008948A8">
        <w:rPr>
          <w:sz w:val="24"/>
        </w:rPr>
        <w:t xml:space="preserve">The Application to Expand </w:t>
      </w:r>
      <w:r w:rsidR="007146A1">
        <w:rPr>
          <w:sz w:val="24"/>
        </w:rPr>
        <w:t xml:space="preserve">Eligible Telecommunications Carrier Service Area </w:t>
      </w:r>
      <w:r w:rsidR="008948A8">
        <w:rPr>
          <w:sz w:val="24"/>
        </w:rPr>
        <w:t xml:space="preserve">was approved by the Commission on </w:t>
      </w:r>
      <w:r w:rsidR="00866BE1">
        <w:rPr>
          <w:sz w:val="24"/>
        </w:rPr>
        <w:t xml:space="preserve">August 22, </w:t>
      </w:r>
      <w:proofErr w:type="gramStart"/>
      <w:r w:rsidR="00866BE1">
        <w:rPr>
          <w:sz w:val="24"/>
        </w:rPr>
        <w:t>2022</w:t>
      </w:r>
      <w:proofErr w:type="gramEnd"/>
      <w:r w:rsidR="008948A8">
        <w:rPr>
          <w:sz w:val="24"/>
        </w:rPr>
        <w:t xml:space="preserve"> subject to the condition that Boomerang use T-Mobile as its underlying carrier for all customers located within the wire centers served by T-Mobile but not by Boomerang’s other underlying carriers, Sprint and AT&amp;T Mobility.</w:t>
      </w:r>
    </w:p>
    <w:p w14:paraId="478F5539" w14:textId="77777777" w:rsidR="008948A8" w:rsidRDefault="008948A8" w:rsidP="00B3403F">
      <w:pPr>
        <w:ind w:firstLine="720"/>
        <w:jc w:val="both"/>
        <w:rPr>
          <w:sz w:val="24"/>
        </w:rPr>
      </w:pPr>
    </w:p>
    <w:p w14:paraId="0B23BC5F" w14:textId="47E1C33D" w:rsidR="008948A8" w:rsidRDefault="008948A8" w:rsidP="00B3403F">
      <w:pPr>
        <w:ind w:firstLine="720"/>
        <w:jc w:val="both"/>
        <w:rPr>
          <w:i/>
          <w:iCs/>
          <w:sz w:val="24"/>
        </w:rPr>
      </w:pPr>
      <w:r>
        <w:rPr>
          <w:sz w:val="24"/>
        </w:rPr>
        <w:lastRenderedPageBreak/>
        <w:t>On July 18, 2023, Boomerang filed its Application Seeking Partial Relinquishment of Designation as an Eligible Telecommunications Carrier on a Wireless Basis (Low-Income Only) in a Certain Service Area Previously Served by Underlying Carrier Verizon Wireless and Removal of AT&amp;T Mobility as an Underlying Carrier (“</w:t>
      </w:r>
      <w:r w:rsidRPr="008948A8">
        <w:rPr>
          <w:sz w:val="24"/>
        </w:rPr>
        <w:t>Application</w:t>
      </w:r>
      <w:r>
        <w:rPr>
          <w:sz w:val="24"/>
        </w:rPr>
        <w:t xml:space="preserve">”).  </w:t>
      </w:r>
      <w:r w:rsidR="00D45EFC">
        <w:rPr>
          <w:sz w:val="24"/>
        </w:rPr>
        <w:t xml:space="preserve">Boomerang states that, “As a result of a new MVNE arrangement, Boomerang no longer utilizes the Verizon Wireless and AT&amp;T Mobility networks as underlying carriers.”  </w:t>
      </w:r>
      <w:r w:rsidR="00D45EFC">
        <w:rPr>
          <w:i/>
          <w:iCs/>
          <w:sz w:val="24"/>
        </w:rPr>
        <w:t>Application, p. 3.</w:t>
      </w:r>
      <w:r w:rsidR="00D45EFC">
        <w:rPr>
          <w:sz w:val="24"/>
        </w:rPr>
        <w:t xml:space="preserve"> </w:t>
      </w:r>
      <w:r>
        <w:rPr>
          <w:sz w:val="24"/>
        </w:rPr>
        <w:t xml:space="preserve">As noted above, the Commission granted Boomerang the authority to continue to serve </w:t>
      </w:r>
      <w:r w:rsidR="0047238F">
        <w:rPr>
          <w:sz w:val="24"/>
        </w:rPr>
        <w:t xml:space="preserve">8,317 former customers of Budget Prepay on the Verizon Wireless network.  </w:t>
      </w:r>
      <w:r w:rsidR="00D45EFC">
        <w:rPr>
          <w:sz w:val="24"/>
        </w:rPr>
        <w:t xml:space="preserve">Boomerang states that only 28 customers currently remain on the Verizon Wireless platform and that there are currently no subscribers on the AT&amp;T Mobility platform.  </w:t>
      </w:r>
      <w:r w:rsidR="00D45EFC">
        <w:rPr>
          <w:i/>
          <w:iCs/>
          <w:sz w:val="24"/>
        </w:rPr>
        <w:t xml:space="preserve">Id. at 3.  </w:t>
      </w:r>
      <w:r w:rsidR="00D45EFC">
        <w:rPr>
          <w:sz w:val="24"/>
        </w:rPr>
        <w:t>Boomerang</w:t>
      </w:r>
      <w:r w:rsidR="00395FAE">
        <w:rPr>
          <w:sz w:val="24"/>
        </w:rPr>
        <w:t xml:space="preserve"> therefore requests partial relinquishment of its ETC designation to eliminate the authority granted in the March 8, </w:t>
      </w:r>
      <w:proofErr w:type="gramStart"/>
      <w:r w:rsidR="00395FAE">
        <w:rPr>
          <w:sz w:val="24"/>
        </w:rPr>
        <w:t>2017</w:t>
      </w:r>
      <w:proofErr w:type="gramEnd"/>
      <w:r w:rsidR="00395FAE">
        <w:rPr>
          <w:sz w:val="24"/>
        </w:rPr>
        <w:t xml:space="preserve"> order to serve certain customers using Verizon Wireless and also to eliminate AT&amp;T Mobility as an underlying carrier.  Boomerang</w:t>
      </w:r>
      <w:r w:rsidR="00D45EFC">
        <w:rPr>
          <w:sz w:val="24"/>
        </w:rPr>
        <w:t xml:space="preserve"> states that “The effect of this proposed relinquishment will be to allow the remaining customers on the Verizon Wireless platform to transfer to a platform served by Boomerang’s other underlying carrier, T-Mobile, or to another qualified ETC in the state of Georgia.” </w:t>
      </w:r>
      <w:r w:rsidR="00D45EFC">
        <w:rPr>
          <w:i/>
          <w:iCs/>
          <w:sz w:val="24"/>
        </w:rPr>
        <w:t xml:space="preserve">Id. </w:t>
      </w:r>
      <w:r w:rsidR="00D45EFC" w:rsidRPr="00D45EFC">
        <w:rPr>
          <w:i/>
          <w:iCs/>
          <w:sz w:val="24"/>
        </w:rPr>
        <w:t>at</w:t>
      </w:r>
      <w:r w:rsidR="00D45EFC">
        <w:rPr>
          <w:i/>
          <w:iCs/>
          <w:sz w:val="24"/>
        </w:rPr>
        <w:t xml:space="preserve"> 2.</w:t>
      </w:r>
    </w:p>
    <w:p w14:paraId="4D790F62" w14:textId="77777777" w:rsidR="007146A1" w:rsidRDefault="007146A1" w:rsidP="00B3403F">
      <w:pPr>
        <w:ind w:firstLine="720"/>
        <w:jc w:val="both"/>
        <w:rPr>
          <w:i/>
          <w:iCs/>
          <w:sz w:val="24"/>
        </w:rPr>
      </w:pPr>
    </w:p>
    <w:p w14:paraId="6EA2D795" w14:textId="6464284D" w:rsidR="007146A1" w:rsidRPr="002D04F3" w:rsidRDefault="007146A1" w:rsidP="00B3403F">
      <w:pPr>
        <w:ind w:firstLine="720"/>
        <w:jc w:val="both"/>
        <w:rPr>
          <w:i/>
          <w:iCs/>
          <w:sz w:val="24"/>
        </w:rPr>
      </w:pPr>
      <w:r>
        <w:rPr>
          <w:sz w:val="24"/>
        </w:rPr>
        <w:t>Boomerang provided evidence that it meets the requirements for relinquishment of an ETC designation set forth in 47 U.S.C. Section 214(e)(4).</w:t>
      </w:r>
      <w:r w:rsidR="002D04F3">
        <w:rPr>
          <w:sz w:val="24"/>
        </w:rPr>
        <w:t xml:space="preserve">  </w:t>
      </w:r>
      <w:r w:rsidR="002D04F3">
        <w:rPr>
          <w:i/>
          <w:iCs/>
          <w:sz w:val="24"/>
        </w:rPr>
        <w:t>Id. at 3-5.</w:t>
      </w:r>
      <w:r>
        <w:rPr>
          <w:sz w:val="24"/>
        </w:rPr>
        <w:t xml:space="preserve">  Boomerang also provided </w:t>
      </w:r>
      <w:r w:rsidR="002D04F3">
        <w:rPr>
          <w:sz w:val="24"/>
        </w:rPr>
        <w:t>draft notices tha</w:t>
      </w:r>
      <w:r>
        <w:rPr>
          <w:sz w:val="24"/>
        </w:rPr>
        <w:t>t affected customers will receive</w:t>
      </w:r>
      <w:r w:rsidR="002D04F3">
        <w:rPr>
          <w:sz w:val="24"/>
        </w:rPr>
        <w:t xml:space="preserve"> 60 days, 45 days, 30 days, 15 days, and 5 days in advance of its preferred relinquishment date of October 8</w:t>
      </w:r>
      <w:r w:rsidR="00A86042">
        <w:rPr>
          <w:sz w:val="24"/>
        </w:rPr>
        <w:t>.</w:t>
      </w:r>
      <w:r w:rsidR="002D04F3">
        <w:rPr>
          <w:sz w:val="24"/>
        </w:rPr>
        <w:t xml:space="preserve">  </w:t>
      </w:r>
      <w:r w:rsidR="002D04F3">
        <w:rPr>
          <w:i/>
          <w:iCs/>
          <w:sz w:val="24"/>
        </w:rPr>
        <w:t>Id. at 6.</w:t>
      </w:r>
    </w:p>
    <w:p w14:paraId="087B7E16" w14:textId="77777777" w:rsidR="00B3403F" w:rsidRDefault="00B3403F" w:rsidP="00B3403F">
      <w:pPr>
        <w:jc w:val="both"/>
        <w:rPr>
          <w:sz w:val="24"/>
        </w:rPr>
      </w:pPr>
    </w:p>
    <w:p w14:paraId="04A0C16D" w14:textId="77777777" w:rsidR="00B3403F" w:rsidRPr="00211846" w:rsidRDefault="00B3403F" w:rsidP="00B3403F">
      <w:pPr>
        <w:tabs>
          <w:tab w:val="left" w:pos="-720"/>
        </w:tabs>
        <w:suppressAutoHyphens/>
        <w:jc w:val="both"/>
        <w:rPr>
          <w:b/>
          <w:sz w:val="24"/>
        </w:rPr>
      </w:pPr>
    </w:p>
    <w:p w14:paraId="26292540" w14:textId="77777777" w:rsidR="00B3403F" w:rsidRPr="00211846" w:rsidRDefault="00B3403F" w:rsidP="00B3403F">
      <w:pPr>
        <w:numPr>
          <w:ilvl w:val="0"/>
          <w:numId w:val="2"/>
        </w:numPr>
        <w:ind w:left="0" w:firstLine="0"/>
        <w:jc w:val="both"/>
        <w:rPr>
          <w:b/>
          <w:sz w:val="24"/>
        </w:rPr>
      </w:pPr>
      <w:r w:rsidRPr="00211846">
        <w:rPr>
          <w:b/>
          <w:sz w:val="24"/>
        </w:rPr>
        <w:t>Staff Recommendation</w:t>
      </w:r>
    </w:p>
    <w:p w14:paraId="1386DA00" w14:textId="77777777" w:rsidR="00B3403F" w:rsidRDefault="00B3403F" w:rsidP="00B3403F">
      <w:pPr>
        <w:jc w:val="both"/>
        <w:rPr>
          <w:sz w:val="24"/>
        </w:rPr>
      </w:pPr>
    </w:p>
    <w:p w14:paraId="3765EBFF" w14:textId="63BDE9CF" w:rsidR="00B3403F" w:rsidRPr="00DA1A5C" w:rsidRDefault="00B3403F" w:rsidP="00B3403F">
      <w:pPr>
        <w:ind w:firstLine="720"/>
        <w:jc w:val="both"/>
        <w:rPr>
          <w:sz w:val="24"/>
          <w:szCs w:val="24"/>
        </w:rPr>
      </w:pPr>
      <w:r>
        <w:rPr>
          <w:sz w:val="24"/>
        </w:rPr>
        <w:t xml:space="preserve">The Staff reviewed </w:t>
      </w:r>
      <w:r w:rsidR="00A86042">
        <w:rPr>
          <w:sz w:val="24"/>
        </w:rPr>
        <w:t>the</w:t>
      </w:r>
      <w:r>
        <w:rPr>
          <w:sz w:val="24"/>
        </w:rPr>
        <w:t xml:space="preserve"> Application </w:t>
      </w:r>
      <w:r w:rsidR="00A86042">
        <w:rPr>
          <w:sz w:val="24"/>
        </w:rPr>
        <w:t>and recommended that the Commission grant Boomerang’s request to relinquish its authority to serve the former customers of Budget Mobile using the Verizon Wireless platform</w:t>
      </w:r>
      <w:r w:rsidR="002D04F3">
        <w:rPr>
          <w:sz w:val="24"/>
        </w:rPr>
        <w:t xml:space="preserve"> effective October 8, 2023</w:t>
      </w:r>
      <w:r w:rsidR="00A86042">
        <w:rPr>
          <w:sz w:val="24"/>
        </w:rPr>
        <w:t>.  Staff further recommends that the Commission grant Boomerang’s request to remove Verizon Wireless and AT&amp;T Mobility as underlying carriers</w:t>
      </w:r>
      <w:r w:rsidR="002D04F3">
        <w:rPr>
          <w:sz w:val="24"/>
        </w:rPr>
        <w:t xml:space="preserve"> effective October 8, 2023</w:t>
      </w:r>
      <w:r w:rsidR="00A86042">
        <w:rPr>
          <w:sz w:val="24"/>
        </w:rPr>
        <w:t>.</w:t>
      </w:r>
    </w:p>
    <w:p w14:paraId="5C1B5FBD" w14:textId="77777777" w:rsidR="00B3403F" w:rsidRDefault="00B3403F" w:rsidP="00B3403F">
      <w:pPr>
        <w:rPr>
          <w:sz w:val="24"/>
        </w:rPr>
      </w:pPr>
      <w:r>
        <w:rPr>
          <w:sz w:val="24"/>
          <w:szCs w:val="24"/>
        </w:rPr>
        <w:t xml:space="preserve"> </w:t>
      </w:r>
    </w:p>
    <w:p w14:paraId="2134C827" w14:textId="77777777" w:rsidR="00B3403F" w:rsidRPr="00211846" w:rsidRDefault="00B3403F" w:rsidP="00B3403F">
      <w:pPr>
        <w:rPr>
          <w:b/>
          <w:sz w:val="24"/>
          <w:szCs w:val="24"/>
        </w:rPr>
      </w:pPr>
    </w:p>
    <w:p w14:paraId="00EF48A1" w14:textId="77777777" w:rsidR="00B3403F" w:rsidRPr="00211846" w:rsidRDefault="00B3403F" w:rsidP="00B3403F">
      <w:pPr>
        <w:jc w:val="both"/>
        <w:rPr>
          <w:b/>
          <w:sz w:val="24"/>
        </w:rPr>
      </w:pPr>
      <w:r w:rsidRPr="00211846">
        <w:rPr>
          <w:b/>
          <w:sz w:val="24"/>
        </w:rPr>
        <w:t>III.</w:t>
      </w:r>
      <w:r w:rsidRPr="00211846">
        <w:rPr>
          <w:b/>
          <w:sz w:val="24"/>
        </w:rPr>
        <w:tab/>
        <w:t>Commission Decision</w:t>
      </w:r>
    </w:p>
    <w:p w14:paraId="76C1EE66" w14:textId="77777777" w:rsidR="00B3403F" w:rsidRPr="00211846" w:rsidRDefault="00B3403F" w:rsidP="00B3403F">
      <w:pPr>
        <w:jc w:val="both"/>
        <w:rPr>
          <w:sz w:val="24"/>
        </w:rPr>
      </w:pPr>
    </w:p>
    <w:p w14:paraId="08E3BBD1" w14:textId="77777777" w:rsidR="00B3403F" w:rsidRPr="00211846" w:rsidRDefault="00B3403F" w:rsidP="00B3403F">
      <w:pPr>
        <w:jc w:val="both"/>
        <w:rPr>
          <w:sz w:val="24"/>
        </w:rPr>
      </w:pPr>
      <w:r w:rsidRPr="00211846">
        <w:rPr>
          <w:sz w:val="24"/>
        </w:rPr>
        <w:tab/>
        <w:t xml:space="preserve">The Commission </w:t>
      </w:r>
      <w:r>
        <w:rPr>
          <w:sz w:val="24"/>
        </w:rPr>
        <w:t>finds</w:t>
      </w:r>
      <w:r w:rsidRPr="00211846">
        <w:rPr>
          <w:sz w:val="24"/>
        </w:rPr>
        <w:t xml:space="preserve"> the Staff’s recommendation</w:t>
      </w:r>
      <w:r>
        <w:rPr>
          <w:sz w:val="24"/>
        </w:rPr>
        <w:t xml:space="preserve"> reasonable and hereby adopts it.</w:t>
      </w:r>
    </w:p>
    <w:p w14:paraId="23A8EA37" w14:textId="77777777" w:rsidR="00B3403F" w:rsidRPr="00211846" w:rsidRDefault="00B3403F" w:rsidP="00B3403F">
      <w:pPr>
        <w:pStyle w:val="BodyTextIndent3"/>
        <w:tabs>
          <w:tab w:val="left" w:pos="0"/>
        </w:tabs>
        <w:spacing w:before="0" w:beforeAutospacing="0" w:after="0" w:afterAutospacing="0"/>
        <w:outlineLvl w:val="0"/>
        <w:rPr>
          <w:b/>
        </w:rPr>
      </w:pPr>
    </w:p>
    <w:p w14:paraId="222DF6AE" w14:textId="77777777" w:rsidR="00B3403F" w:rsidRPr="00211846" w:rsidRDefault="00B3403F" w:rsidP="00B3403F">
      <w:pPr>
        <w:pStyle w:val="BodyTextIndent3"/>
        <w:tabs>
          <w:tab w:val="left" w:pos="0"/>
        </w:tabs>
        <w:spacing w:before="0" w:beforeAutospacing="0" w:after="0" w:afterAutospacing="0"/>
        <w:outlineLvl w:val="0"/>
        <w:rPr>
          <w:b/>
        </w:rPr>
      </w:pPr>
    </w:p>
    <w:p w14:paraId="585D3B9D" w14:textId="77777777" w:rsidR="00B3403F" w:rsidRPr="00211846" w:rsidRDefault="00B3403F" w:rsidP="00B3403F">
      <w:pPr>
        <w:jc w:val="center"/>
      </w:pPr>
      <w:r w:rsidRPr="00211846">
        <w:t>*</w:t>
      </w:r>
      <w:r w:rsidRPr="00211846">
        <w:tab/>
        <w:t>*</w:t>
      </w:r>
      <w:r w:rsidRPr="00211846">
        <w:tab/>
        <w:t>*</w:t>
      </w:r>
      <w:r w:rsidRPr="00211846">
        <w:tab/>
        <w:t>*</w:t>
      </w:r>
      <w:r w:rsidRPr="00211846">
        <w:tab/>
        <w:t>*</w:t>
      </w:r>
    </w:p>
    <w:p w14:paraId="0BC4DE0A" w14:textId="77777777" w:rsidR="00B3403F" w:rsidRPr="00211846" w:rsidRDefault="00B3403F" w:rsidP="00B3403F">
      <w:pPr>
        <w:jc w:val="center"/>
      </w:pPr>
    </w:p>
    <w:p w14:paraId="1A86DD9B" w14:textId="77777777" w:rsidR="00B3403F" w:rsidRPr="00211846" w:rsidRDefault="00B3403F" w:rsidP="00B3403F">
      <w:pPr>
        <w:jc w:val="center"/>
      </w:pPr>
    </w:p>
    <w:p w14:paraId="42F05116" w14:textId="77777777" w:rsidR="00B3403F" w:rsidRPr="00211846" w:rsidRDefault="00B3403F" w:rsidP="00B3403F">
      <w:pPr>
        <w:pStyle w:val="BodyTextIndent3"/>
        <w:tabs>
          <w:tab w:val="left" w:pos="0"/>
        </w:tabs>
        <w:spacing w:before="0" w:beforeAutospacing="0" w:after="0" w:afterAutospacing="0"/>
        <w:outlineLvl w:val="0"/>
        <w:rPr>
          <w:b/>
        </w:rPr>
      </w:pPr>
      <w:r w:rsidRPr="00211846">
        <w:rPr>
          <w:b/>
        </w:rPr>
        <w:t>WHEREFORE, it is</w:t>
      </w:r>
    </w:p>
    <w:p w14:paraId="1863814D" w14:textId="77777777" w:rsidR="00B3403F" w:rsidRPr="00211846" w:rsidRDefault="00B3403F" w:rsidP="00B3403F">
      <w:pPr>
        <w:pStyle w:val="BodyTextIndent3"/>
        <w:tabs>
          <w:tab w:val="left" w:pos="0"/>
        </w:tabs>
        <w:spacing w:before="0" w:beforeAutospacing="0" w:after="0" w:afterAutospacing="0"/>
        <w:rPr>
          <w:b/>
        </w:rPr>
      </w:pPr>
    </w:p>
    <w:p w14:paraId="3C642550" w14:textId="6B29BB14" w:rsidR="00B3403F" w:rsidRDefault="00B3403F" w:rsidP="00B3403F">
      <w:pPr>
        <w:jc w:val="both"/>
        <w:rPr>
          <w:sz w:val="24"/>
        </w:rPr>
      </w:pPr>
      <w:r>
        <w:rPr>
          <w:b/>
          <w:sz w:val="24"/>
          <w:szCs w:val="24"/>
        </w:rPr>
        <w:tab/>
      </w:r>
      <w:r w:rsidRPr="00554D56">
        <w:rPr>
          <w:b/>
          <w:sz w:val="24"/>
          <w:szCs w:val="24"/>
        </w:rPr>
        <w:t>ORDERED</w:t>
      </w:r>
      <w:r w:rsidRPr="00554D56">
        <w:rPr>
          <w:sz w:val="24"/>
          <w:szCs w:val="24"/>
        </w:rPr>
        <w:t>,</w:t>
      </w:r>
      <w:r>
        <w:rPr>
          <w:sz w:val="24"/>
          <w:szCs w:val="24"/>
        </w:rPr>
        <w:t xml:space="preserve"> that</w:t>
      </w:r>
      <w:r w:rsidR="002D04F3">
        <w:rPr>
          <w:sz w:val="24"/>
          <w:szCs w:val="24"/>
        </w:rPr>
        <w:t xml:space="preserve">, effective October 8, 2023, </w:t>
      </w:r>
      <w:r w:rsidR="00A86042">
        <w:rPr>
          <w:sz w:val="24"/>
        </w:rPr>
        <w:t>Boomerang’s request to relinquish its authority to serve the former customers of Budget Mobile using the Verizon Wireless platform</w:t>
      </w:r>
      <w:r w:rsidR="00A86042">
        <w:rPr>
          <w:sz w:val="24"/>
          <w:szCs w:val="24"/>
        </w:rPr>
        <w:t xml:space="preserve"> is granted</w:t>
      </w:r>
      <w:r>
        <w:rPr>
          <w:sz w:val="24"/>
        </w:rPr>
        <w:t xml:space="preserve">. </w:t>
      </w:r>
    </w:p>
    <w:p w14:paraId="68F84CB2" w14:textId="77777777" w:rsidR="00B3403F" w:rsidRDefault="00B3403F" w:rsidP="00B3403F">
      <w:pPr>
        <w:jc w:val="both"/>
        <w:rPr>
          <w:sz w:val="24"/>
        </w:rPr>
      </w:pPr>
    </w:p>
    <w:p w14:paraId="18A33251" w14:textId="01440CEF" w:rsidR="00B3403F" w:rsidRPr="00BF065F" w:rsidRDefault="00B3403F" w:rsidP="00B3403F">
      <w:pPr>
        <w:jc w:val="both"/>
        <w:rPr>
          <w:sz w:val="24"/>
          <w:szCs w:val="24"/>
        </w:rPr>
      </w:pPr>
      <w:r>
        <w:rPr>
          <w:sz w:val="24"/>
        </w:rPr>
        <w:lastRenderedPageBreak/>
        <w:tab/>
      </w:r>
      <w:r>
        <w:rPr>
          <w:b/>
          <w:sz w:val="24"/>
        </w:rPr>
        <w:t>ORDERED FURTHER</w:t>
      </w:r>
      <w:r w:rsidRPr="0070608E">
        <w:rPr>
          <w:sz w:val="24"/>
        </w:rPr>
        <w:t>,</w:t>
      </w:r>
      <w:r w:rsidRPr="00A86042">
        <w:rPr>
          <w:bCs/>
          <w:sz w:val="24"/>
        </w:rPr>
        <w:t xml:space="preserve"> </w:t>
      </w:r>
      <w:r w:rsidR="00A86042" w:rsidRPr="00A86042">
        <w:rPr>
          <w:bCs/>
          <w:sz w:val="24"/>
        </w:rPr>
        <w:t>that</w:t>
      </w:r>
      <w:r w:rsidR="002D04F3">
        <w:rPr>
          <w:bCs/>
          <w:sz w:val="24"/>
        </w:rPr>
        <w:t>, effective October 8, 2023,</w:t>
      </w:r>
      <w:r w:rsidR="00A86042" w:rsidRPr="00A86042">
        <w:rPr>
          <w:bCs/>
          <w:sz w:val="24"/>
        </w:rPr>
        <w:t xml:space="preserve"> </w:t>
      </w:r>
      <w:r w:rsidR="00A86042">
        <w:rPr>
          <w:sz w:val="24"/>
        </w:rPr>
        <w:t>Boomerang’s request to remove Verizon Wireless and AT&amp;T Mobility as underlying carriers is granted</w:t>
      </w:r>
      <w:r>
        <w:rPr>
          <w:sz w:val="24"/>
        </w:rPr>
        <w:t>.</w:t>
      </w:r>
    </w:p>
    <w:p w14:paraId="47CE053F" w14:textId="77777777" w:rsidR="00B3403F" w:rsidRPr="00554D56" w:rsidRDefault="00B3403F" w:rsidP="00B3403F">
      <w:pPr>
        <w:rPr>
          <w:b/>
          <w:sz w:val="24"/>
          <w:szCs w:val="24"/>
        </w:rPr>
      </w:pPr>
    </w:p>
    <w:p w14:paraId="45AC2817" w14:textId="77777777" w:rsidR="00B3403F" w:rsidRPr="00554D56" w:rsidRDefault="00B3403F" w:rsidP="00B3403F">
      <w:pPr>
        <w:tabs>
          <w:tab w:val="left" w:pos="0"/>
        </w:tabs>
        <w:jc w:val="both"/>
        <w:rPr>
          <w:sz w:val="24"/>
          <w:szCs w:val="24"/>
        </w:rPr>
      </w:pPr>
      <w:r w:rsidRPr="00554D56">
        <w:rPr>
          <w:b/>
          <w:sz w:val="24"/>
          <w:szCs w:val="24"/>
        </w:rPr>
        <w:tab/>
        <w:t>ORDERED FURTHER</w:t>
      </w:r>
      <w:r w:rsidRPr="00554D56">
        <w:rPr>
          <w:sz w:val="24"/>
          <w:szCs w:val="24"/>
        </w:rPr>
        <w:t>, that a motion for reconsideration, rehearing, oral argument, or any other motion shall not stay the effective date of this Order, unless otherwise ordered by the Commission.</w:t>
      </w:r>
    </w:p>
    <w:p w14:paraId="788ACAE6" w14:textId="77777777" w:rsidR="00B3403F" w:rsidRPr="00554D56" w:rsidRDefault="00B3403F" w:rsidP="00B3403F">
      <w:pPr>
        <w:tabs>
          <w:tab w:val="left" w:pos="0"/>
        </w:tabs>
        <w:jc w:val="both"/>
        <w:rPr>
          <w:sz w:val="24"/>
          <w:szCs w:val="24"/>
        </w:rPr>
      </w:pPr>
    </w:p>
    <w:p w14:paraId="7F96E3DE" w14:textId="77777777" w:rsidR="00B3403F" w:rsidRDefault="00B3403F" w:rsidP="00B3403F">
      <w:pPr>
        <w:tabs>
          <w:tab w:val="left" w:pos="0"/>
        </w:tabs>
        <w:jc w:val="both"/>
        <w:rPr>
          <w:sz w:val="24"/>
          <w:szCs w:val="24"/>
        </w:rPr>
      </w:pPr>
      <w:r w:rsidRPr="00554D56">
        <w:rPr>
          <w:b/>
          <w:sz w:val="24"/>
          <w:szCs w:val="24"/>
        </w:rPr>
        <w:tab/>
        <w:t>ORDERED FURTHER</w:t>
      </w:r>
      <w:r w:rsidRPr="00554D56">
        <w:rPr>
          <w:sz w:val="24"/>
          <w:szCs w:val="24"/>
        </w:rPr>
        <w:t>, that jurisdiction over this matter is expressly retained for the purpose of entering such further Order(s) as this Commission may deem just and proper.</w:t>
      </w:r>
    </w:p>
    <w:p w14:paraId="0365D7A5" w14:textId="77777777" w:rsidR="007146A1" w:rsidRDefault="007146A1" w:rsidP="007146A1">
      <w:pPr>
        <w:spacing w:after="200" w:line="276" w:lineRule="auto"/>
        <w:rPr>
          <w:sz w:val="24"/>
          <w:szCs w:val="24"/>
        </w:rPr>
      </w:pPr>
    </w:p>
    <w:p w14:paraId="4AEF5740" w14:textId="70575ECE" w:rsidR="00B3403F" w:rsidRPr="00554D56" w:rsidRDefault="00B3403F" w:rsidP="007146A1">
      <w:pPr>
        <w:spacing w:after="200" w:line="276" w:lineRule="auto"/>
        <w:rPr>
          <w:sz w:val="24"/>
          <w:szCs w:val="24"/>
        </w:rPr>
      </w:pPr>
      <w:r w:rsidRPr="00554D56">
        <w:rPr>
          <w:sz w:val="24"/>
          <w:szCs w:val="24"/>
        </w:rPr>
        <w:tab/>
        <w:t>The ab</w:t>
      </w:r>
      <w:r w:rsidRPr="009E09E1">
        <w:rPr>
          <w:sz w:val="24"/>
          <w:szCs w:val="24"/>
        </w:rPr>
        <w:t>ove by action of the Commission in Administrative Session on the </w:t>
      </w:r>
      <w:r w:rsidR="002D04F3">
        <w:rPr>
          <w:sz w:val="24"/>
          <w:szCs w:val="24"/>
        </w:rPr>
        <w:t>5</w:t>
      </w:r>
      <w:r w:rsidR="002D04F3" w:rsidRPr="002D04F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Pr="009E09E1">
        <w:rPr>
          <w:sz w:val="24"/>
          <w:szCs w:val="24"/>
        </w:rPr>
        <w:t xml:space="preserve">day of </w:t>
      </w:r>
      <w:r w:rsidR="002D04F3">
        <w:rPr>
          <w:sz w:val="24"/>
          <w:szCs w:val="24"/>
        </w:rPr>
        <w:t>September 2023</w:t>
      </w:r>
      <w:r w:rsidRPr="00554D56">
        <w:rPr>
          <w:sz w:val="24"/>
          <w:szCs w:val="24"/>
        </w:rPr>
        <w:t>.</w:t>
      </w:r>
    </w:p>
    <w:p w14:paraId="5AF30B6A" w14:textId="77777777" w:rsidR="00B3403F" w:rsidRPr="00211846" w:rsidRDefault="00B3403F" w:rsidP="00B3403F">
      <w:pPr>
        <w:tabs>
          <w:tab w:val="left" w:pos="0"/>
        </w:tabs>
        <w:jc w:val="both"/>
        <w:rPr>
          <w:sz w:val="24"/>
          <w:szCs w:val="24"/>
        </w:rPr>
      </w:pPr>
    </w:p>
    <w:p w14:paraId="3909C131" w14:textId="77777777" w:rsidR="00B3403F" w:rsidRPr="00211846" w:rsidRDefault="00B3403F" w:rsidP="00B3403F">
      <w:pPr>
        <w:tabs>
          <w:tab w:val="left" w:pos="0"/>
        </w:tabs>
        <w:jc w:val="both"/>
        <w:rPr>
          <w:sz w:val="24"/>
          <w:szCs w:val="24"/>
        </w:rPr>
      </w:pPr>
    </w:p>
    <w:p w14:paraId="46454CEB" w14:textId="77777777" w:rsidR="00B3403F" w:rsidRPr="00211846" w:rsidRDefault="00B3403F" w:rsidP="00B3403F">
      <w:pPr>
        <w:tabs>
          <w:tab w:val="left" w:pos="0"/>
        </w:tabs>
        <w:jc w:val="both"/>
        <w:rPr>
          <w:sz w:val="24"/>
          <w:szCs w:val="24"/>
        </w:rPr>
      </w:pPr>
    </w:p>
    <w:p w14:paraId="6BA49E39" w14:textId="77777777" w:rsidR="00B3403F" w:rsidRPr="00211846" w:rsidRDefault="00B3403F" w:rsidP="00B3403F">
      <w:pPr>
        <w:tabs>
          <w:tab w:val="left" w:pos="0"/>
        </w:tabs>
        <w:jc w:val="both"/>
        <w:rPr>
          <w:sz w:val="24"/>
          <w:szCs w:val="24"/>
        </w:rPr>
      </w:pPr>
      <w:r w:rsidRPr="00211846">
        <w:rPr>
          <w:sz w:val="24"/>
          <w:szCs w:val="24"/>
        </w:rPr>
        <w:t>____________________________</w:t>
      </w:r>
      <w:r w:rsidRPr="00211846">
        <w:rPr>
          <w:sz w:val="24"/>
          <w:szCs w:val="24"/>
        </w:rPr>
        <w:tab/>
      </w:r>
      <w:r w:rsidRPr="00211846">
        <w:rPr>
          <w:sz w:val="24"/>
          <w:szCs w:val="24"/>
        </w:rPr>
        <w:tab/>
      </w:r>
      <w:r w:rsidRPr="00211846">
        <w:rPr>
          <w:sz w:val="24"/>
          <w:szCs w:val="24"/>
        </w:rPr>
        <w:tab/>
        <w:t>____________________________</w:t>
      </w:r>
    </w:p>
    <w:p w14:paraId="2556DC28" w14:textId="3763D7EE" w:rsidR="00B3403F" w:rsidRPr="00211846" w:rsidRDefault="00B3403F" w:rsidP="00B3403F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Sallie Tanner</w:t>
      </w:r>
      <w:r>
        <w:rPr>
          <w:sz w:val="24"/>
          <w:szCs w:val="24"/>
        </w:rPr>
        <w:tab/>
      </w:r>
      <w:r w:rsidRPr="00211846">
        <w:rPr>
          <w:sz w:val="24"/>
          <w:szCs w:val="24"/>
        </w:rPr>
        <w:tab/>
      </w:r>
      <w:r w:rsidRPr="00211846">
        <w:rPr>
          <w:sz w:val="24"/>
          <w:szCs w:val="24"/>
        </w:rPr>
        <w:tab/>
      </w:r>
      <w:r w:rsidRPr="00211846">
        <w:rPr>
          <w:sz w:val="24"/>
          <w:szCs w:val="24"/>
        </w:rPr>
        <w:tab/>
      </w:r>
      <w:r w:rsidRPr="00211846">
        <w:rPr>
          <w:sz w:val="24"/>
          <w:szCs w:val="24"/>
        </w:rPr>
        <w:tab/>
      </w:r>
      <w:r w:rsidRPr="00211846">
        <w:rPr>
          <w:sz w:val="24"/>
          <w:szCs w:val="24"/>
        </w:rPr>
        <w:tab/>
      </w:r>
      <w:r w:rsidR="007146A1">
        <w:rPr>
          <w:sz w:val="24"/>
          <w:szCs w:val="24"/>
        </w:rPr>
        <w:t>Jason Shaw</w:t>
      </w:r>
    </w:p>
    <w:p w14:paraId="1048B04B" w14:textId="77777777" w:rsidR="00B3403F" w:rsidRPr="00211846" w:rsidRDefault="00B3403F" w:rsidP="00B3403F">
      <w:pPr>
        <w:tabs>
          <w:tab w:val="left" w:pos="0"/>
        </w:tabs>
        <w:jc w:val="both"/>
        <w:rPr>
          <w:sz w:val="24"/>
          <w:szCs w:val="24"/>
        </w:rPr>
      </w:pPr>
      <w:r w:rsidRPr="00211846">
        <w:rPr>
          <w:sz w:val="24"/>
          <w:szCs w:val="24"/>
        </w:rPr>
        <w:t>Executive Secretary</w:t>
      </w:r>
      <w:r w:rsidRPr="00211846">
        <w:rPr>
          <w:sz w:val="24"/>
          <w:szCs w:val="24"/>
        </w:rPr>
        <w:tab/>
      </w:r>
      <w:r w:rsidRPr="00211846">
        <w:rPr>
          <w:sz w:val="24"/>
          <w:szCs w:val="24"/>
        </w:rPr>
        <w:tab/>
      </w:r>
      <w:r w:rsidRPr="00211846">
        <w:rPr>
          <w:sz w:val="24"/>
          <w:szCs w:val="24"/>
        </w:rPr>
        <w:tab/>
      </w:r>
      <w:r w:rsidRPr="00211846">
        <w:rPr>
          <w:sz w:val="24"/>
          <w:szCs w:val="24"/>
        </w:rPr>
        <w:tab/>
      </w:r>
      <w:r w:rsidRPr="00211846">
        <w:rPr>
          <w:sz w:val="24"/>
          <w:szCs w:val="24"/>
        </w:rPr>
        <w:tab/>
        <w:t>Chairman</w:t>
      </w:r>
    </w:p>
    <w:p w14:paraId="4F9FE4D8" w14:textId="77777777" w:rsidR="00B3403F" w:rsidRPr="00211846" w:rsidRDefault="00B3403F" w:rsidP="00B3403F">
      <w:pPr>
        <w:tabs>
          <w:tab w:val="left" w:pos="0"/>
        </w:tabs>
        <w:jc w:val="both"/>
        <w:rPr>
          <w:sz w:val="24"/>
          <w:szCs w:val="24"/>
        </w:rPr>
      </w:pPr>
    </w:p>
    <w:p w14:paraId="441B03C4" w14:textId="77777777" w:rsidR="00B3403F" w:rsidRPr="00211846" w:rsidRDefault="00B3403F" w:rsidP="00B3403F">
      <w:pPr>
        <w:tabs>
          <w:tab w:val="left" w:pos="0"/>
        </w:tabs>
        <w:jc w:val="both"/>
        <w:rPr>
          <w:sz w:val="24"/>
          <w:szCs w:val="24"/>
        </w:rPr>
      </w:pPr>
    </w:p>
    <w:p w14:paraId="5B6C531D" w14:textId="77777777" w:rsidR="00B3403F" w:rsidRPr="00211846" w:rsidRDefault="00B3403F" w:rsidP="00B3403F">
      <w:pPr>
        <w:tabs>
          <w:tab w:val="left" w:pos="0"/>
        </w:tabs>
        <w:jc w:val="both"/>
        <w:rPr>
          <w:sz w:val="24"/>
          <w:szCs w:val="24"/>
        </w:rPr>
      </w:pPr>
      <w:r w:rsidRPr="00211846">
        <w:rPr>
          <w:sz w:val="24"/>
          <w:szCs w:val="24"/>
        </w:rPr>
        <w:t>____________________________</w:t>
      </w:r>
      <w:r w:rsidRPr="00211846">
        <w:rPr>
          <w:sz w:val="24"/>
          <w:szCs w:val="24"/>
        </w:rPr>
        <w:tab/>
      </w:r>
      <w:r w:rsidRPr="00211846">
        <w:rPr>
          <w:sz w:val="24"/>
          <w:szCs w:val="24"/>
        </w:rPr>
        <w:tab/>
      </w:r>
      <w:r w:rsidRPr="00211846">
        <w:rPr>
          <w:sz w:val="24"/>
          <w:szCs w:val="24"/>
        </w:rPr>
        <w:tab/>
        <w:t>____________________________</w:t>
      </w:r>
    </w:p>
    <w:p w14:paraId="65BD625D" w14:textId="77777777" w:rsidR="00B3403F" w:rsidRPr="00554D56" w:rsidRDefault="00B3403F" w:rsidP="00B3403F">
      <w:pPr>
        <w:tabs>
          <w:tab w:val="left" w:pos="0"/>
        </w:tabs>
        <w:jc w:val="both"/>
        <w:rPr>
          <w:sz w:val="24"/>
          <w:szCs w:val="24"/>
        </w:rPr>
      </w:pPr>
      <w:r w:rsidRPr="00211846">
        <w:rPr>
          <w:sz w:val="24"/>
          <w:szCs w:val="24"/>
        </w:rPr>
        <w:t>DATE</w:t>
      </w:r>
      <w:r w:rsidRPr="00211846">
        <w:rPr>
          <w:sz w:val="24"/>
          <w:szCs w:val="24"/>
        </w:rPr>
        <w:tab/>
      </w:r>
      <w:r w:rsidRPr="00211846">
        <w:rPr>
          <w:sz w:val="24"/>
          <w:szCs w:val="24"/>
        </w:rPr>
        <w:tab/>
      </w:r>
      <w:r w:rsidRPr="00211846">
        <w:rPr>
          <w:sz w:val="24"/>
          <w:szCs w:val="24"/>
        </w:rPr>
        <w:tab/>
      </w:r>
      <w:r w:rsidRPr="00211846">
        <w:rPr>
          <w:sz w:val="24"/>
          <w:szCs w:val="24"/>
        </w:rPr>
        <w:tab/>
      </w:r>
      <w:r w:rsidRPr="00211846">
        <w:rPr>
          <w:sz w:val="24"/>
          <w:szCs w:val="24"/>
        </w:rPr>
        <w:tab/>
      </w:r>
      <w:r w:rsidRPr="00211846">
        <w:rPr>
          <w:sz w:val="24"/>
          <w:szCs w:val="24"/>
        </w:rPr>
        <w:tab/>
      </w:r>
      <w:r w:rsidRPr="00211846">
        <w:rPr>
          <w:sz w:val="24"/>
          <w:szCs w:val="24"/>
        </w:rPr>
        <w:tab/>
        <w:t>DATE</w:t>
      </w:r>
    </w:p>
    <w:p w14:paraId="2D737A07" w14:textId="77777777" w:rsidR="00B3403F" w:rsidRPr="00554D56" w:rsidRDefault="00B3403F" w:rsidP="00B3403F">
      <w:pPr>
        <w:jc w:val="both"/>
        <w:rPr>
          <w:sz w:val="24"/>
          <w:szCs w:val="24"/>
        </w:rPr>
      </w:pPr>
    </w:p>
    <w:p w14:paraId="71C39826" w14:textId="77777777" w:rsidR="003F2763" w:rsidRPr="00A958CB" w:rsidRDefault="003F2763" w:rsidP="00352252">
      <w:pPr>
        <w:pStyle w:val="Heading1"/>
        <w:jc w:val="left"/>
      </w:pPr>
    </w:p>
    <w:sectPr w:rsidR="003F2763" w:rsidRPr="00A958CB" w:rsidSect="00F40698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C2773" w14:textId="77777777" w:rsidR="005A38B2" w:rsidRDefault="005A38B2" w:rsidP="00010488">
      <w:r>
        <w:separator/>
      </w:r>
    </w:p>
  </w:endnote>
  <w:endnote w:type="continuationSeparator" w:id="0">
    <w:p w14:paraId="23261A58" w14:textId="77777777" w:rsidR="005A38B2" w:rsidRDefault="005A38B2" w:rsidP="00010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ld English Text MT">
    <w:panose1 w:val="020B06040202020202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2D7DB" w14:textId="77777777" w:rsidR="00B3403F" w:rsidRDefault="00B3403F" w:rsidP="00B3403F">
    <w:pPr>
      <w:pStyle w:val="Footer"/>
      <w:jc w:val="center"/>
    </w:pPr>
  </w:p>
  <w:p w14:paraId="44A36A89" w14:textId="6BD0B955" w:rsidR="00B3403F" w:rsidRPr="00CA7DA6" w:rsidRDefault="00B3403F" w:rsidP="00B3403F">
    <w:pPr>
      <w:pStyle w:val="Footer"/>
      <w:jc w:val="center"/>
    </w:pPr>
    <w:r>
      <w:t>Order Amending ETC Designation</w:t>
    </w:r>
  </w:p>
  <w:p w14:paraId="4C3AD047" w14:textId="77777777" w:rsidR="00B3403F" w:rsidRDefault="00B3403F" w:rsidP="00B3403F">
    <w:pPr>
      <w:pStyle w:val="Footer"/>
      <w:jc w:val="center"/>
    </w:pPr>
    <w:r>
      <w:t>Docket No. 35701</w:t>
    </w:r>
  </w:p>
  <w:p w14:paraId="10D619C1" w14:textId="6488B691" w:rsidR="00B3403F" w:rsidRDefault="00B3403F">
    <w:pPr>
      <w:pStyle w:val="Footer"/>
    </w:pPr>
    <w:r>
      <w:tab/>
    </w:r>
    <w:r w:rsidRPr="00BB7A4E">
      <w:t xml:space="preserve">Page </w:t>
    </w:r>
    <w:r w:rsidRPr="00BB7A4E">
      <w:fldChar w:fldCharType="begin"/>
    </w:r>
    <w:r w:rsidRPr="00BB7A4E">
      <w:instrText xml:space="preserve"> PAGE </w:instrText>
    </w:r>
    <w:r w:rsidRPr="00BB7A4E">
      <w:fldChar w:fldCharType="separate"/>
    </w:r>
    <w:r>
      <w:t>1</w:t>
    </w:r>
    <w:r w:rsidRPr="00BB7A4E">
      <w:fldChar w:fldCharType="end"/>
    </w:r>
    <w:r w:rsidRPr="00BB7A4E">
      <w:t xml:space="preserve"> of </w:t>
    </w:r>
    <w:fldSimple w:instr=" NUMPAGES ">
      <w:r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1462F" w14:textId="77777777" w:rsidR="00B3403F" w:rsidRDefault="00B3403F" w:rsidP="00B3403F">
    <w:pPr>
      <w:pStyle w:val="Footer"/>
      <w:jc w:val="center"/>
    </w:pPr>
  </w:p>
  <w:p w14:paraId="3CEF8692" w14:textId="2CE332D1" w:rsidR="00B3403F" w:rsidRPr="00CA7DA6" w:rsidRDefault="00B3403F" w:rsidP="00B3403F">
    <w:pPr>
      <w:pStyle w:val="Footer"/>
      <w:jc w:val="center"/>
    </w:pPr>
    <w:r>
      <w:t>Order Amending ETC Designation</w:t>
    </w:r>
  </w:p>
  <w:p w14:paraId="4C0A686E" w14:textId="77777777" w:rsidR="00B3403F" w:rsidRDefault="00B3403F" w:rsidP="00B3403F">
    <w:pPr>
      <w:pStyle w:val="Footer"/>
      <w:jc w:val="center"/>
    </w:pPr>
    <w:r>
      <w:t>Docket No. 35701</w:t>
    </w:r>
  </w:p>
  <w:p w14:paraId="3447AE1E" w14:textId="7F20EAF8" w:rsidR="00B3403F" w:rsidRDefault="00B3403F">
    <w:pPr>
      <w:pStyle w:val="Footer"/>
    </w:pPr>
    <w:r>
      <w:tab/>
    </w:r>
    <w:r w:rsidRPr="00BB7A4E">
      <w:t xml:space="preserve">Page </w:t>
    </w:r>
    <w:r w:rsidRPr="00BB7A4E">
      <w:fldChar w:fldCharType="begin"/>
    </w:r>
    <w:r w:rsidRPr="00BB7A4E">
      <w:instrText xml:space="preserve"> PAGE </w:instrText>
    </w:r>
    <w:r w:rsidRPr="00BB7A4E">
      <w:fldChar w:fldCharType="separate"/>
    </w:r>
    <w:r>
      <w:t>3</w:t>
    </w:r>
    <w:r w:rsidRPr="00BB7A4E">
      <w:fldChar w:fldCharType="end"/>
    </w:r>
    <w:r w:rsidRPr="00BB7A4E">
      <w:t xml:space="preserve"> of </w:t>
    </w:r>
    <w:fldSimple w:instr=" NUMPAGES ">
      <w: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2C69F" w14:textId="77777777" w:rsidR="005A38B2" w:rsidRDefault="005A38B2" w:rsidP="00010488">
      <w:r>
        <w:separator/>
      </w:r>
    </w:p>
  </w:footnote>
  <w:footnote w:type="continuationSeparator" w:id="0">
    <w:p w14:paraId="1EDD293D" w14:textId="77777777" w:rsidR="005A38B2" w:rsidRDefault="005A38B2" w:rsidP="00010488">
      <w:r>
        <w:continuationSeparator/>
      </w:r>
    </w:p>
  </w:footnote>
  <w:footnote w:id="1">
    <w:p w14:paraId="421D3C21" w14:textId="77777777" w:rsidR="00B3403F" w:rsidRDefault="00B3403F" w:rsidP="00B3403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  <w:szCs w:val="24"/>
        </w:rPr>
        <w:t>Application of T-Mobile South LLC for Designation as an Eligible Telecommunications Carrier pursuant to Section 214(e)(2) of the Communications Act of 1934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55" w:type="dxa"/>
      <w:jc w:val="center"/>
      <w:tblLayout w:type="fixed"/>
      <w:tblCellMar>
        <w:left w:w="84" w:type="dxa"/>
        <w:right w:w="84" w:type="dxa"/>
      </w:tblCellMar>
      <w:tblLook w:val="04A0" w:firstRow="1" w:lastRow="0" w:firstColumn="1" w:lastColumn="0" w:noHBand="0" w:noVBand="1"/>
    </w:tblPr>
    <w:tblGrid>
      <w:gridCol w:w="4357"/>
      <w:gridCol w:w="2970"/>
      <w:gridCol w:w="3728"/>
    </w:tblGrid>
    <w:tr w:rsidR="007146A1" w:rsidRPr="00611A1D" w14:paraId="7655F4AD" w14:textId="77777777" w:rsidTr="00EB5DED">
      <w:trPr>
        <w:trHeight w:val="1681"/>
        <w:jc w:val="center"/>
      </w:trPr>
      <w:tc>
        <w:tcPr>
          <w:tcW w:w="4358" w:type="dxa"/>
          <w:hideMark/>
        </w:tcPr>
        <w:p w14:paraId="218D371D" w14:textId="77777777" w:rsidR="007146A1" w:rsidRPr="00611A1D" w:rsidRDefault="007146A1" w:rsidP="007146A1">
          <w:pPr>
            <w:spacing w:line="276" w:lineRule="auto"/>
            <w:rPr>
              <w:rStyle w:val="Strong"/>
            </w:rPr>
          </w:pPr>
          <w:r w:rsidRPr="00611A1D">
            <w:rPr>
              <w:b/>
            </w:rPr>
            <w:fldChar w:fldCharType="begin"/>
          </w:r>
          <w:r w:rsidRPr="00611A1D">
            <w:rPr>
              <w:b/>
            </w:rPr>
            <w:instrText>PRIVATE</w:instrText>
          </w:r>
          <w:r w:rsidRPr="00611A1D">
            <w:rPr>
              <w:b/>
            </w:rPr>
            <w:fldChar w:fldCharType="end"/>
          </w:r>
          <w:r w:rsidRPr="00611A1D">
            <w:rPr>
              <w:rStyle w:val="Strong"/>
            </w:rPr>
            <w:t>COMMISSIONERS:</w:t>
          </w:r>
        </w:p>
        <w:p w14:paraId="4188286E" w14:textId="77777777" w:rsidR="007146A1" w:rsidRPr="00611A1D" w:rsidRDefault="007146A1" w:rsidP="007146A1">
          <w:pPr>
            <w:spacing w:line="276" w:lineRule="auto"/>
            <w:rPr>
              <w:rStyle w:val="Strong"/>
            </w:rPr>
          </w:pPr>
        </w:p>
        <w:p w14:paraId="1F83D616" w14:textId="77777777" w:rsidR="007146A1" w:rsidRPr="00611A1D" w:rsidRDefault="007146A1" w:rsidP="007146A1">
          <w:pPr>
            <w:spacing w:line="276" w:lineRule="auto"/>
            <w:rPr>
              <w:rStyle w:val="Strong"/>
            </w:rPr>
          </w:pPr>
          <w:r>
            <w:rPr>
              <w:rStyle w:val="Strong"/>
            </w:rPr>
            <w:t>JASON SHAW</w:t>
          </w:r>
          <w:r w:rsidRPr="00611A1D">
            <w:rPr>
              <w:rStyle w:val="Strong"/>
            </w:rPr>
            <w:t xml:space="preserve">, Chairman </w:t>
          </w:r>
        </w:p>
        <w:p w14:paraId="1FB8C078" w14:textId="77777777" w:rsidR="007146A1" w:rsidRPr="00611A1D" w:rsidRDefault="007146A1" w:rsidP="007146A1">
          <w:pPr>
            <w:tabs>
              <w:tab w:val="right" w:pos="4189"/>
            </w:tabs>
            <w:spacing w:line="276" w:lineRule="auto"/>
            <w:rPr>
              <w:rStyle w:val="Strong"/>
            </w:rPr>
          </w:pPr>
          <w:r w:rsidRPr="00611A1D">
            <w:rPr>
              <w:rStyle w:val="Strong"/>
            </w:rPr>
            <w:t>TIM G. ECHOLS, Vice-Chairman</w:t>
          </w:r>
          <w:r>
            <w:rPr>
              <w:rStyle w:val="Strong"/>
            </w:rPr>
            <w:tab/>
            <w:t xml:space="preserve">   </w:t>
          </w:r>
        </w:p>
        <w:p w14:paraId="0DBC7119" w14:textId="77777777" w:rsidR="007146A1" w:rsidRPr="00611A1D" w:rsidRDefault="007146A1" w:rsidP="007146A1">
          <w:pPr>
            <w:spacing w:line="276" w:lineRule="auto"/>
            <w:rPr>
              <w:rStyle w:val="Strong"/>
            </w:rPr>
          </w:pPr>
          <w:r w:rsidRPr="00611A1D">
            <w:rPr>
              <w:rStyle w:val="Strong"/>
            </w:rPr>
            <w:t xml:space="preserve">FITZ JOHNSON </w:t>
          </w:r>
        </w:p>
        <w:p w14:paraId="114B73B9" w14:textId="77777777" w:rsidR="007146A1" w:rsidRDefault="007146A1" w:rsidP="007146A1">
          <w:pPr>
            <w:spacing w:line="276" w:lineRule="auto"/>
          </w:pPr>
          <w:r w:rsidRPr="00611A1D">
            <w:rPr>
              <w:rStyle w:val="Strong"/>
            </w:rPr>
            <w:t xml:space="preserve">LAUREN “BUBBA” </w:t>
          </w:r>
          <w:proofErr w:type="spellStart"/>
          <w:r w:rsidRPr="00611A1D">
            <w:rPr>
              <w:rStyle w:val="Strong"/>
            </w:rPr>
            <w:t>McDONALD</w:t>
          </w:r>
          <w:proofErr w:type="spellEnd"/>
          <w:r w:rsidRPr="00611A1D">
            <w:rPr>
              <w:rStyle w:val="Strong"/>
            </w:rPr>
            <w:t xml:space="preserve">                                  </w:t>
          </w:r>
          <w:r w:rsidRPr="00611A1D">
            <w:rPr>
              <w:b/>
            </w:rPr>
            <w:br/>
          </w:r>
          <w:r>
            <w:rPr>
              <w:rStyle w:val="Strong"/>
            </w:rPr>
            <w:t>TRICIA PRIDEMORE</w:t>
          </w:r>
          <w:r>
            <w:rPr>
              <w:rStyle w:val="Strong"/>
              <w:rFonts w:ascii="Arial Black" w:hAnsi="Arial Black"/>
              <w:sz w:val="16"/>
              <w:szCs w:val="16"/>
            </w:rPr>
            <w:t xml:space="preserve">                          </w:t>
          </w:r>
          <w:r>
            <w:rPr>
              <w:rFonts w:ascii="Arial Black" w:hAnsi="Arial Black"/>
              <w:b/>
              <w:sz w:val="16"/>
              <w:szCs w:val="16"/>
            </w:rPr>
            <w:br/>
          </w:r>
        </w:p>
      </w:tc>
      <w:tc>
        <w:tcPr>
          <w:tcW w:w="2970" w:type="dxa"/>
          <w:hideMark/>
        </w:tcPr>
        <w:p w14:paraId="16A3370F" w14:textId="77777777" w:rsidR="007146A1" w:rsidRDefault="007146A1" w:rsidP="007146A1">
          <w:pPr>
            <w:tabs>
              <w:tab w:val="left" w:pos="1410"/>
            </w:tabs>
            <w:spacing w:line="276" w:lineRule="auto"/>
          </w:pPr>
          <w:r>
            <w:t xml:space="preserve">    </w:t>
          </w:r>
          <w:r w:rsidRPr="00A958CB">
            <w:rPr>
              <w:noProof/>
            </w:rPr>
            <w:drawing>
              <wp:inline distT="0" distB="0" distL="0" distR="0" wp14:anchorId="20359470" wp14:editId="428C52F8">
                <wp:extent cx="1226190" cy="1179830"/>
                <wp:effectExtent l="0" t="0" r="0" b="1270"/>
                <wp:docPr id="6" name="Picture 6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Logo&#10;&#10;Description automatically generated"/>
                        <pic:cNvPicPr/>
                      </pic:nvPicPr>
                      <pic:blipFill>
                        <a:blip r:embed="rId1" cstate="print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artisticCement/>
                                  </a14:imgEffect>
                                  <a14:imgEffect>
                                    <a14:colorTemperature colorTemp="5900"/>
                                  </a14:imgEffect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5843" cy="12179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28" w:type="dxa"/>
          <w:hideMark/>
        </w:tcPr>
        <w:p w14:paraId="0E83EC6E" w14:textId="77777777" w:rsidR="007146A1" w:rsidRPr="00611A1D" w:rsidRDefault="007146A1" w:rsidP="007146A1">
          <w:pPr>
            <w:spacing w:line="276" w:lineRule="auto"/>
            <w:rPr>
              <w:b/>
            </w:rPr>
          </w:pPr>
        </w:p>
        <w:p w14:paraId="7611F15A" w14:textId="77777777" w:rsidR="007146A1" w:rsidRPr="00611A1D" w:rsidRDefault="007146A1" w:rsidP="007146A1">
          <w:pPr>
            <w:spacing w:line="276" w:lineRule="auto"/>
            <w:jc w:val="right"/>
            <w:rPr>
              <w:b/>
            </w:rPr>
          </w:pPr>
          <w:r w:rsidRPr="00611A1D">
            <w:rPr>
              <w:b/>
            </w:rPr>
            <w:t xml:space="preserve">REECE </w:t>
          </w:r>
          <w:proofErr w:type="spellStart"/>
          <w:r w:rsidRPr="00611A1D">
            <w:rPr>
              <w:b/>
            </w:rPr>
            <w:t>McALISTER</w:t>
          </w:r>
          <w:proofErr w:type="spellEnd"/>
          <w:r w:rsidRPr="00611A1D">
            <w:rPr>
              <w:b/>
            </w:rPr>
            <w:t> </w:t>
          </w:r>
        </w:p>
        <w:p w14:paraId="29650F25" w14:textId="77777777" w:rsidR="007146A1" w:rsidRPr="00611A1D" w:rsidRDefault="007146A1" w:rsidP="007146A1">
          <w:pPr>
            <w:spacing w:line="276" w:lineRule="auto"/>
            <w:jc w:val="right"/>
            <w:rPr>
              <w:b/>
            </w:rPr>
          </w:pPr>
          <w:r w:rsidRPr="00611A1D">
            <w:rPr>
              <w:b/>
            </w:rPr>
            <w:t>EXECUTIVE DIRECTOR</w:t>
          </w:r>
        </w:p>
        <w:p w14:paraId="2502C540" w14:textId="77777777" w:rsidR="007146A1" w:rsidRPr="00611A1D" w:rsidRDefault="007146A1" w:rsidP="007146A1">
          <w:pPr>
            <w:spacing w:line="276" w:lineRule="auto"/>
            <w:jc w:val="right"/>
          </w:pPr>
          <w:r w:rsidRPr="00611A1D">
            <w:rPr>
              <w:b/>
            </w:rPr>
            <w:t xml:space="preserve"> </w:t>
          </w:r>
          <w:r w:rsidRPr="00611A1D">
            <w:rPr>
              <w:b/>
            </w:rPr>
            <w:br/>
            <w:t>SALLIE TANNER</w:t>
          </w:r>
          <w:r w:rsidRPr="00611A1D">
            <w:rPr>
              <w:b/>
            </w:rPr>
            <w:br/>
            <w:t>EXECUTIVE SECRETARY</w:t>
          </w:r>
        </w:p>
      </w:tc>
    </w:tr>
    <w:tr w:rsidR="007146A1" w14:paraId="25D42195" w14:textId="77777777" w:rsidTr="00EB5DED">
      <w:trPr>
        <w:trHeight w:val="772"/>
        <w:jc w:val="center"/>
      </w:trPr>
      <w:tc>
        <w:tcPr>
          <w:tcW w:w="11056" w:type="dxa"/>
          <w:gridSpan w:val="3"/>
          <w:hideMark/>
        </w:tcPr>
        <w:p w14:paraId="5A98752D" w14:textId="77777777" w:rsidR="007146A1" w:rsidRDefault="007146A1" w:rsidP="007146A1">
          <w:pPr>
            <w:pStyle w:val="Heading1"/>
            <w:tabs>
              <w:tab w:val="left" w:pos="1410"/>
              <w:tab w:val="left" w:pos="5772"/>
            </w:tabs>
            <w:spacing w:line="276" w:lineRule="auto"/>
            <w:rPr>
              <w:rFonts w:ascii="Old English Text MT" w:hAnsi="Old English Text MT"/>
              <w:sz w:val="42"/>
            </w:rPr>
          </w:pPr>
          <w:r>
            <w:rPr>
              <w:rFonts w:ascii="Old English Text MT" w:hAnsi="Old English Text MT"/>
              <w:sz w:val="42"/>
            </w:rPr>
            <w:t xml:space="preserve">       Georgia Public Service Commission</w:t>
          </w:r>
        </w:p>
      </w:tc>
    </w:tr>
    <w:tr w:rsidR="007146A1" w14:paraId="61048F61" w14:textId="77777777" w:rsidTr="00EB5DED">
      <w:trPr>
        <w:jc w:val="center"/>
      </w:trPr>
      <w:tc>
        <w:tcPr>
          <w:tcW w:w="4358" w:type="dxa"/>
          <w:hideMark/>
        </w:tcPr>
        <w:p w14:paraId="561909A0" w14:textId="77777777" w:rsidR="007146A1" w:rsidRDefault="007146A1" w:rsidP="007146A1">
          <w:pPr>
            <w:spacing w:line="276" w:lineRule="auto"/>
            <w:rPr>
              <w:rFonts w:cs="Arial"/>
              <w:b/>
              <w:bCs/>
              <w:sz w:val="17"/>
              <w:szCs w:val="17"/>
            </w:rPr>
          </w:pPr>
          <w:r>
            <w:rPr>
              <w:rFonts w:cs="Arial"/>
              <w:b/>
              <w:bCs/>
              <w:sz w:val="17"/>
              <w:szCs w:val="17"/>
            </w:rPr>
            <w:t>(404) 656-4501</w:t>
          </w:r>
        </w:p>
        <w:p w14:paraId="19931751" w14:textId="77777777" w:rsidR="007146A1" w:rsidRDefault="007146A1" w:rsidP="007146A1">
          <w:pPr>
            <w:spacing w:line="276" w:lineRule="auto"/>
            <w:rPr>
              <w:rFonts w:cs="Arial"/>
              <w:b/>
              <w:bCs/>
            </w:rPr>
          </w:pPr>
          <w:r>
            <w:rPr>
              <w:rFonts w:cs="Arial"/>
              <w:b/>
              <w:bCs/>
              <w:sz w:val="17"/>
              <w:szCs w:val="17"/>
            </w:rPr>
            <w:t>(800) 282-5813</w:t>
          </w:r>
        </w:p>
      </w:tc>
      <w:tc>
        <w:tcPr>
          <w:tcW w:w="2970" w:type="dxa"/>
          <w:hideMark/>
        </w:tcPr>
        <w:p w14:paraId="3AF25040" w14:textId="77777777" w:rsidR="007146A1" w:rsidRDefault="007146A1" w:rsidP="007146A1">
          <w:pPr>
            <w:tabs>
              <w:tab w:val="left" w:pos="1410"/>
            </w:tabs>
            <w:spacing w:line="276" w:lineRule="auto"/>
            <w:rPr>
              <w:rFonts w:cs="Arial"/>
              <w:b/>
              <w:sz w:val="17"/>
              <w:szCs w:val="17"/>
            </w:rPr>
          </w:pPr>
          <w:r>
            <w:rPr>
              <w:rFonts w:cs="Arial"/>
              <w:b/>
              <w:sz w:val="17"/>
              <w:szCs w:val="17"/>
            </w:rPr>
            <w:t>244 WASHINGTON STREET, SW</w:t>
          </w:r>
          <w:r>
            <w:rPr>
              <w:rFonts w:cs="Arial"/>
              <w:b/>
              <w:sz w:val="17"/>
              <w:szCs w:val="17"/>
            </w:rPr>
            <w:br/>
            <w:t>ATLANTA, GEORGIA 30334-5701</w:t>
          </w:r>
        </w:p>
      </w:tc>
      <w:tc>
        <w:tcPr>
          <w:tcW w:w="3728" w:type="dxa"/>
          <w:hideMark/>
        </w:tcPr>
        <w:p w14:paraId="7CFD6836" w14:textId="77777777" w:rsidR="007146A1" w:rsidRDefault="007146A1" w:rsidP="007146A1">
          <w:pPr>
            <w:spacing w:line="276" w:lineRule="auto"/>
            <w:jc w:val="right"/>
            <w:rPr>
              <w:rFonts w:cs="Arial"/>
              <w:b/>
              <w:bCs/>
              <w:sz w:val="17"/>
              <w:szCs w:val="17"/>
            </w:rPr>
          </w:pPr>
          <w:r>
            <w:rPr>
              <w:rFonts w:cs="Arial"/>
              <w:b/>
              <w:bCs/>
              <w:sz w:val="17"/>
              <w:szCs w:val="17"/>
            </w:rPr>
            <w:t xml:space="preserve">FAX: (404) 656-2341                   </w:t>
          </w:r>
        </w:p>
        <w:p w14:paraId="2093CBF7" w14:textId="77777777" w:rsidR="007146A1" w:rsidRDefault="007146A1" w:rsidP="007146A1">
          <w:pPr>
            <w:spacing w:line="276" w:lineRule="auto"/>
            <w:jc w:val="right"/>
            <w:rPr>
              <w:rFonts w:cs="Arial"/>
              <w:b/>
              <w:bCs/>
            </w:rPr>
          </w:pPr>
          <w:r>
            <w:rPr>
              <w:rFonts w:cs="Arial"/>
              <w:b/>
              <w:bCs/>
              <w:sz w:val="17"/>
              <w:szCs w:val="17"/>
            </w:rPr>
            <w:t>psc.ga.gov</w:t>
          </w:r>
        </w:p>
      </w:tc>
    </w:tr>
    <w:tr w:rsidR="007146A1" w14:paraId="2CC2CEF4" w14:textId="77777777" w:rsidTr="00EB5DED">
      <w:trPr>
        <w:jc w:val="center"/>
      </w:trPr>
      <w:tc>
        <w:tcPr>
          <w:tcW w:w="4358" w:type="dxa"/>
        </w:tcPr>
        <w:p w14:paraId="06FD757A" w14:textId="77777777" w:rsidR="007146A1" w:rsidRDefault="007146A1" w:rsidP="007146A1">
          <w:pPr>
            <w:spacing w:line="276" w:lineRule="auto"/>
            <w:rPr>
              <w:rFonts w:cs="Arial"/>
              <w:b/>
              <w:bCs/>
              <w:sz w:val="17"/>
              <w:szCs w:val="17"/>
            </w:rPr>
          </w:pPr>
        </w:p>
      </w:tc>
      <w:tc>
        <w:tcPr>
          <w:tcW w:w="2970" w:type="dxa"/>
        </w:tcPr>
        <w:p w14:paraId="449078C0" w14:textId="77777777" w:rsidR="007146A1" w:rsidRDefault="007146A1" w:rsidP="007146A1">
          <w:pPr>
            <w:tabs>
              <w:tab w:val="left" w:pos="1410"/>
            </w:tabs>
            <w:spacing w:line="276" w:lineRule="auto"/>
            <w:jc w:val="center"/>
            <w:rPr>
              <w:rFonts w:cs="Arial"/>
              <w:b/>
              <w:sz w:val="17"/>
              <w:szCs w:val="17"/>
            </w:rPr>
          </w:pPr>
        </w:p>
      </w:tc>
      <w:tc>
        <w:tcPr>
          <w:tcW w:w="3728" w:type="dxa"/>
        </w:tcPr>
        <w:p w14:paraId="757536C3" w14:textId="77777777" w:rsidR="007146A1" w:rsidRDefault="007146A1" w:rsidP="007146A1">
          <w:pPr>
            <w:spacing w:line="276" w:lineRule="auto"/>
            <w:jc w:val="right"/>
            <w:rPr>
              <w:rFonts w:cs="Arial"/>
              <w:b/>
              <w:bCs/>
              <w:sz w:val="17"/>
              <w:szCs w:val="17"/>
            </w:rPr>
          </w:pPr>
        </w:p>
      </w:tc>
    </w:tr>
  </w:tbl>
  <w:p w14:paraId="7D8E2227" w14:textId="79BAD29C" w:rsidR="00F40698" w:rsidRPr="007146A1" w:rsidRDefault="00F40698" w:rsidP="007146A1">
    <w:pPr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24355"/>
    <w:multiLevelType w:val="hybridMultilevel"/>
    <w:tmpl w:val="6C02FCAE"/>
    <w:lvl w:ilvl="0" w:tplc="D58E5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81C94"/>
    <w:multiLevelType w:val="hybridMultilevel"/>
    <w:tmpl w:val="73E69E3C"/>
    <w:lvl w:ilvl="0" w:tplc="4B4ADA6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930494">
    <w:abstractNumId w:val="1"/>
  </w:num>
  <w:num w:numId="2" w16cid:durableId="1402286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03F"/>
    <w:rsid w:val="00010488"/>
    <w:rsid w:val="000112CB"/>
    <w:rsid w:val="0005442F"/>
    <w:rsid w:val="000549C0"/>
    <w:rsid w:val="0006325A"/>
    <w:rsid w:val="0010753E"/>
    <w:rsid w:val="001078BC"/>
    <w:rsid w:val="0011770D"/>
    <w:rsid w:val="001704C0"/>
    <w:rsid w:val="001C4F42"/>
    <w:rsid w:val="001D0747"/>
    <w:rsid w:val="001F00F3"/>
    <w:rsid w:val="00237B30"/>
    <w:rsid w:val="00291C03"/>
    <w:rsid w:val="00294639"/>
    <w:rsid w:val="002A3D95"/>
    <w:rsid w:val="002A61FE"/>
    <w:rsid w:val="002B5184"/>
    <w:rsid w:val="002C6DD1"/>
    <w:rsid w:val="002D04F3"/>
    <w:rsid w:val="0034189A"/>
    <w:rsid w:val="00352252"/>
    <w:rsid w:val="00395FAE"/>
    <w:rsid w:val="003B1182"/>
    <w:rsid w:val="003F2763"/>
    <w:rsid w:val="00467B71"/>
    <w:rsid w:val="0047238F"/>
    <w:rsid w:val="00476AA2"/>
    <w:rsid w:val="0048564B"/>
    <w:rsid w:val="00494A05"/>
    <w:rsid w:val="004D75CE"/>
    <w:rsid w:val="004D7BC6"/>
    <w:rsid w:val="00521687"/>
    <w:rsid w:val="00525B80"/>
    <w:rsid w:val="005529E4"/>
    <w:rsid w:val="005639B1"/>
    <w:rsid w:val="00596382"/>
    <w:rsid w:val="005A38B2"/>
    <w:rsid w:val="005F2927"/>
    <w:rsid w:val="005F4F23"/>
    <w:rsid w:val="005F7054"/>
    <w:rsid w:val="00611A1D"/>
    <w:rsid w:val="006465C2"/>
    <w:rsid w:val="00670AF6"/>
    <w:rsid w:val="00673564"/>
    <w:rsid w:val="006862E4"/>
    <w:rsid w:val="006952CD"/>
    <w:rsid w:val="006A4919"/>
    <w:rsid w:val="006A5FC2"/>
    <w:rsid w:val="006D6992"/>
    <w:rsid w:val="006D7400"/>
    <w:rsid w:val="006E65D8"/>
    <w:rsid w:val="007146A1"/>
    <w:rsid w:val="00761035"/>
    <w:rsid w:val="00765D9C"/>
    <w:rsid w:val="007C40EE"/>
    <w:rsid w:val="007D1A4F"/>
    <w:rsid w:val="00810B63"/>
    <w:rsid w:val="00866BE1"/>
    <w:rsid w:val="00886BED"/>
    <w:rsid w:val="008948A8"/>
    <w:rsid w:val="00897E9B"/>
    <w:rsid w:val="008F38EF"/>
    <w:rsid w:val="00945A5F"/>
    <w:rsid w:val="009572C5"/>
    <w:rsid w:val="00994AB6"/>
    <w:rsid w:val="009A4D99"/>
    <w:rsid w:val="009A6D98"/>
    <w:rsid w:val="00A86042"/>
    <w:rsid w:val="00A958CB"/>
    <w:rsid w:val="00AF7496"/>
    <w:rsid w:val="00B11BEB"/>
    <w:rsid w:val="00B17029"/>
    <w:rsid w:val="00B3403F"/>
    <w:rsid w:val="00BA2A06"/>
    <w:rsid w:val="00BC27C0"/>
    <w:rsid w:val="00BD2F2B"/>
    <w:rsid w:val="00C36999"/>
    <w:rsid w:val="00C64FB2"/>
    <w:rsid w:val="00D45EFC"/>
    <w:rsid w:val="00DC7E18"/>
    <w:rsid w:val="00DE40A2"/>
    <w:rsid w:val="00E112AD"/>
    <w:rsid w:val="00E87C44"/>
    <w:rsid w:val="00E92FA4"/>
    <w:rsid w:val="00EA6E6A"/>
    <w:rsid w:val="00EC6B4D"/>
    <w:rsid w:val="00F40698"/>
    <w:rsid w:val="00F45EA9"/>
    <w:rsid w:val="00F721DF"/>
    <w:rsid w:val="00FD3B63"/>
    <w:rsid w:val="00FD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9A45F"/>
  <w15:docId w15:val="{44D70051-45CC-4747-806C-22496269D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0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3F2763"/>
    <w:pPr>
      <w:keepNext/>
      <w:widowControl w:val="0"/>
      <w:tabs>
        <w:tab w:val="center" w:pos="4680"/>
      </w:tabs>
      <w:autoSpaceDE w:val="0"/>
      <w:autoSpaceDN w:val="0"/>
      <w:adjustRightInd w:val="0"/>
      <w:jc w:val="center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F2763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3F2763"/>
    <w:rPr>
      <w:b/>
      <w:bCs w:val="0"/>
    </w:rPr>
  </w:style>
  <w:style w:type="paragraph" w:styleId="Title">
    <w:name w:val="Title"/>
    <w:basedOn w:val="Normal"/>
    <w:link w:val="TitleChar"/>
    <w:qFormat/>
    <w:rsid w:val="003F2763"/>
    <w:pPr>
      <w:widowControl w:val="0"/>
      <w:tabs>
        <w:tab w:val="center" w:pos="4680"/>
      </w:tabs>
      <w:autoSpaceDE w:val="0"/>
      <w:autoSpaceDN w:val="0"/>
      <w:adjustRightInd w:val="0"/>
      <w:jc w:val="center"/>
    </w:pPr>
  </w:style>
  <w:style w:type="character" w:customStyle="1" w:styleId="TitleChar">
    <w:name w:val="Title Char"/>
    <w:basedOn w:val="DefaultParagraphFont"/>
    <w:link w:val="Title"/>
    <w:rsid w:val="003F276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7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76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rsid w:val="00AF749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F7496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semiHidden/>
    <w:unhideWhenUsed/>
    <w:rsid w:val="0010753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10753E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104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048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0104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0488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B3403F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B3403F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rsid w:val="00B3403F"/>
  </w:style>
  <w:style w:type="character" w:customStyle="1" w:styleId="FootnoteTextChar">
    <w:name w:val="Footnote Text Char"/>
    <w:basedOn w:val="DefaultParagraphFont"/>
    <w:link w:val="FootnoteText"/>
    <w:rsid w:val="00B3403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B340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patrickr/Documents/PSC%20Letterhead%20Official%20(Letterhead%20-%20first%20pag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PSC Letterhead Official (Letterhead - first page).dotx</Template>
  <TotalTime>0</TotalTime>
  <Pages>3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Patrick Reinhardt</cp:lastModifiedBy>
  <cp:revision>2</cp:revision>
  <cp:lastPrinted>2022-08-02T15:56:00Z</cp:lastPrinted>
  <dcterms:created xsi:type="dcterms:W3CDTF">2023-09-05T19:48:00Z</dcterms:created>
  <dcterms:modified xsi:type="dcterms:W3CDTF">2023-09-05T19:48:00Z</dcterms:modified>
</cp:coreProperties>
</file>