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084829" w:rsidRPr="00611A1D" w:rsidTr="00DC2AC2">
        <w:trPr>
          <w:trHeight w:val="1681"/>
          <w:jc w:val="center"/>
        </w:trPr>
        <w:tc>
          <w:tcPr>
            <w:tcW w:w="4358" w:type="dxa"/>
            <w:hideMark/>
          </w:tcPr>
          <w:p w:rsidR="00084829" w:rsidRPr="00611A1D" w:rsidRDefault="00084829" w:rsidP="00DC2AC2">
            <w:pPr>
              <w:spacing w:line="276" w:lineRule="auto"/>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rsidR="00084829" w:rsidRPr="00611A1D" w:rsidRDefault="00084829" w:rsidP="00DC2AC2">
            <w:pPr>
              <w:spacing w:line="276" w:lineRule="auto"/>
              <w:rPr>
                <w:rStyle w:val="Strong"/>
                <w:sz w:val="20"/>
                <w:szCs w:val="20"/>
              </w:rPr>
            </w:pPr>
          </w:p>
          <w:p w:rsidR="00084829" w:rsidRPr="00611A1D" w:rsidRDefault="00084829" w:rsidP="00DC2AC2">
            <w:pPr>
              <w:spacing w:line="276" w:lineRule="auto"/>
              <w:rPr>
                <w:rStyle w:val="Strong"/>
                <w:sz w:val="20"/>
                <w:szCs w:val="20"/>
              </w:rPr>
            </w:pPr>
            <w:r>
              <w:rPr>
                <w:rStyle w:val="Strong"/>
                <w:sz w:val="20"/>
                <w:szCs w:val="20"/>
              </w:rPr>
              <w:t>JASON SHAW</w:t>
            </w:r>
            <w:r w:rsidRPr="00611A1D">
              <w:rPr>
                <w:rStyle w:val="Strong"/>
                <w:sz w:val="20"/>
                <w:szCs w:val="20"/>
              </w:rPr>
              <w:t xml:space="preserve">, Chairman </w:t>
            </w:r>
          </w:p>
          <w:p w:rsidR="00084829" w:rsidRPr="00611A1D" w:rsidRDefault="00084829" w:rsidP="00DC2AC2">
            <w:pPr>
              <w:tabs>
                <w:tab w:val="right" w:pos="4189"/>
              </w:tabs>
              <w:spacing w:line="276" w:lineRule="auto"/>
              <w:rPr>
                <w:rStyle w:val="Strong"/>
                <w:sz w:val="20"/>
                <w:szCs w:val="20"/>
              </w:rPr>
            </w:pPr>
            <w:r w:rsidRPr="00611A1D">
              <w:rPr>
                <w:rStyle w:val="Strong"/>
                <w:sz w:val="20"/>
                <w:szCs w:val="20"/>
              </w:rPr>
              <w:t>TIM G. ECHOLS, Vice-Chairman</w:t>
            </w:r>
            <w:r>
              <w:rPr>
                <w:rStyle w:val="Strong"/>
                <w:sz w:val="20"/>
                <w:szCs w:val="20"/>
              </w:rPr>
              <w:tab/>
              <w:t xml:space="preserve">   </w:t>
            </w:r>
          </w:p>
          <w:p w:rsidR="00084829" w:rsidRPr="00611A1D" w:rsidRDefault="00084829" w:rsidP="00DC2AC2">
            <w:pPr>
              <w:spacing w:line="276" w:lineRule="auto"/>
              <w:rPr>
                <w:rStyle w:val="Strong"/>
                <w:sz w:val="20"/>
                <w:szCs w:val="20"/>
              </w:rPr>
            </w:pPr>
            <w:r w:rsidRPr="00611A1D">
              <w:rPr>
                <w:rStyle w:val="Strong"/>
                <w:sz w:val="20"/>
                <w:szCs w:val="20"/>
              </w:rPr>
              <w:t xml:space="preserve">FITZ JOHNSON </w:t>
            </w:r>
          </w:p>
          <w:p w:rsidR="00084829" w:rsidRDefault="00084829" w:rsidP="00DC2AC2">
            <w:pPr>
              <w:spacing w:line="276" w:lineRule="auto"/>
            </w:pPr>
            <w:r w:rsidRPr="00611A1D">
              <w:rPr>
                <w:rStyle w:val="Strong"/>
                <w:sz w:val="20"/>
                <w:szCs w:val="20"/>
              </w:rPr>
              <w:t xml:space="preserve">LAUREN “BUBBA” McDONALD                                  </w:t>
            </w:r>
            <w:r w:rsidRPr="00611A1D">
              <w:rPr>
                <w:b/>
                <w:sz w:val="20"/>
                <w:szCs w:val="20"/>
              </w:rPr>
              <w:br/>
            </w:r>
            <w:r>
              <w:rPr>
                <w:rStyle w:val="Strong"/>
                <w:sz w:val="20"/>
                <w:szCs w:val="20"/>
              </w:rPr>
              <w:t>TRICIA PRIDEMORE</w:t>
            </w:r>
            <w:r>
              <w:rPr>
                <w:rStyle w:val="Strong"/>
                <w:rFonts w:ascii="Arial Black" w:hAnsi="Arial Black"/>
                <w:sz w:val="16"/>
                <w:szCs w:val="16"/>
              </w:rPr>
              <w:t xml:space="preserve">                          </w:t>
            </w:r>
            <w:r>
              <w:rPr>
                <w:rFonts w:ascii="Arial Black" w:hAnsi="Arial Black"/>
                <w:b/>
                <w:sz w:val="16"/>
                <w:szCs w:val="16"/>
              </w:rPr>
              <w:br/>
            </w:r>
          </w:p>
        </w:tc>
        <w:tc>
          <w:tcPr>
            <w:tcW w:w="2970" w:type="dxa"/>
            <w:hideMark/>
          </w:tcPr>
          <w:p w:rsidR="00084829" w:rsidRDefault="00084829" w:rsidP="00DC2AC2">
            <w:pPr>
              <w:tabs>
                <w:tab w:val="left" w:pos="1410"/>
              </w:tabs>
              <w:spacing w:line="276" w:lineRule="auto"/>
            </w:pPr>
            <w:r>
              <w:t xml:space="preserve">    </w:t>
            </w:r>
            <w:r w:rsidRPr="00A958CB">
              <w:rPr>
                <w:noProof/>
              </w:rPr>
              <w:drawing>
                <wp:inline distT="0" distB="0" distL="0" distR="0" wp14:anchorId="62CC5872" wp14:editId="546A091F">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5" cstate="print">
                            <a:biLevel thresh="75000"/>
                            <a:extLst>
                              <a:ext uri="{BEBA8EAE-BF5A-486C-A8C5-ECC9F3942E4B}">
                                <a14:imgProps xmlns:a14="http://schemas.microsoft.com/office/drawing/2010/main">
                                  <a14:imgLayer r:embed="rId6">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rsidR="00084829" w:rsidRPr="00611A1D" w:rsidRDefault="00084829" w:rsidP="00DC2AC2">
            <w:pPr>
              <w:spacing w:line="276" w:lineRule="auto"/>
              <w:rPr>
                <w:b/>
                <w:sz w:val="20"/>
                <w:szCs w:val="20"/>
              </w:rPr>
            </w:pPr>
          </w:p>
          <w:p w:rsidR="00084829" w:rsidRPr="00611A1D" w:rsidRDefault="00084829" w:rsidP="00DC2AC2">
            <w:pPr>
              <w:spacing w:line="276" w:lineRule="auto"/>
              <w:jc w:val="right"/>
              <w:rPr>
                <w:b/>
                <w:sz w:val="20"/>
                <w:szCs w:val="20"/>
              </w:rPr>
            </w:pPr>
            <w:r w:rsidRPr="00611A1D">
              <w:rPr>
                <w:b/>
                <w:sz w:val="20"/>
                <w:szCs w:val="20"/>
              </w:rPr>
              <w:t>REECE McALISTER </w:t>
            </w:r>
          </w:p>
          <w:p w:rsidR="00084829" w:rsidRPr="00611A1D" w:rsidRDefault="00084829" w:rsidP="00DC2AC2">
            <w:pPr>
              <w:spacing w:line="276" w:lineRule="auto"/>
              <w:jc w:val="right"/>
              <w:rPr>
                <w:b/>
                <w:sz w:val="20"/>
                <w:szCs w:val="20"/>
              </w:rPr>
            </w:pPr>
            <w:r w:rsidRPr="00611A1D">
              <w:rPr>
                <w:b/>
                <w:sz w:val="20"/>
                <w:szCs w:val="20"/>
              </w:rPr>
              <w:t>EXECUTIVE DIRECTOR</w:t>
            </w:r>
          </w:p>
          <w:p w:rsidR="00084829" w:rsidRPr="00611A1D" w:rsidRDefault="00084829" w:rsidP="00DC2AC2">
            <w:pPr>
              <w:spacing w:line="276" w:lineRule="auto"/>
              <w:jc w:val="right"/>
              <w:rPr>
                <w:sz w:val="20"/>
                <w:szCs w:val="20"/>
              </w:rPr>
            </w:pPr>
            <w:r w:rsidRPr="00611A1D">
              <w:rPr>
                <w:b/>
                <w:sz w:val="20"/>
                <w:szCs w:val="20"/>
              </w:rPr>
              <w:t xml:space="preserve"> </w:t>
            </w:r>
            <w:r w:rsidRPr="00611A1D">
              <w:rPr>
                <w:b/>
                <w:sz w:val="20"/>
                <w:szCs w:val="20"/>
              </w:rPr>
              <w:br/>
              <w:t>SALLIE TANNER</w:t>
            </w:r>
            <w:r w:rsidRPr="00611A1D">
              <w:rPr>
                <w:b/>
                <w:sz w:val="20"/>
                <w:szCs w:val="20"/>
              </w:rPr>
              <w:br/>
              <w:t>EXECUTIVE SECRETARY</w:t>
            </w:r>
          </w:p>
        </w:tc>
      </w:tr>
      <w:tr w:rsidR="00084829" w:rsidTr="00DC2AC2">
        <w:trPr>
          <w:trHeight w:val="772"/>
          <w:jc w:val="center"/>
        </w:trPr>
        <w:tc>
          <w:tcPr>
            <w:tcW w:w="11056" w:type="dxa"/>
            <w:gridSpan w:val="3"/>
            <w:hideMark/>
          </w:tcPr>
          <w:p w:rsidR="00084829" w:rsidRDefault="00084829" w:rsidP="00DC2AC2">
            <w:pPr>
              <w:pStyle w:val="Heading1"/>
              <w:tabs>
                <w:tab w:val="left" w:pos="1410"/>
                <w:tab w:val="left" w:pos="5772"/>
              </w:tabs>
              <w:spacing w:line="276" w:lineRule="auto"/>
              <w:rPr>
                <w:rFonts w:ascii="Old English Text MT" w:hAnsi="Old English Text MT"/>
                <w:sz w:val="42"/>
              </w:rPr>
            </w:pPr>
            <w:r>
              <w:rPr>
                <w:rFonts w:ascii="Old English Text MT" w:hAnsi="Old English Text MT"/>
                <w:sz w:val="42"/>
              </w:rPr>
              <w:t xml:space="preserve">       Georgia Public Service Commission</w:t>
            </w:r>
          </w:p>
        </w:tc>
      </w:tr>
      <w:tr w:rsidR="00084829" w:rsidTr="00DC2AC2">
        <w:trPr>
          <w:jc w:val="center"/>
        </w:trPr>
        <w:tc>
          <w:tcPr>
            <w:tcW w:w="4358" w:type="dxa"/>
            <w:hideMark/>
          </w:tcPr>
          <w:p w:rsidR="00084829" w:rsidRDefault="00084829" w:rsidP="00DC2AC2">
            <w:pPr>
              <w:spacing w:line="276" w:lineRule="auto"/>
              <w:rPr>
                <w:rFonts w:cs="Arial"/>
                <w:b/>
                <w:bCs/>
                <w:sz w:val="17"/>
                <w:szCs w:val="17"/>
              </w:rPr>
            </w:pPr>
            <w:r>
              <w:rPr>
                <w:rFonts w:cs="Arial"/>
                <w:b/>
                <w:bCs/>
                <w:sz w:val="17"/>
                <w:szCs w:val="17"/>
              </w:rPr>
              <w:t>(404) 656-4501</w:t>
            </w:r>
          </w:p>
          <w:p w:rsidR="00084829" w:rsidRDefault="00084829" w:rsidP="00DC2AC2">
            <w:pPr>
              <w:spacing w:line="276" w:lineRule="auto"/>
              <w:rPr>
                <w:rFonts w:cs="Arial"/>
                <w:b/>
                <w:bCs/>
              </w:rPr>
            </w:pPr>
            <w:r>
              <w:rPr>
                <w:rFonts w:cs="Arial"/>
                <w:b/>
                <w:bCs/>
                <w:sz w:val="17"/>
                <w:szCs w:val="17"/>
              </w:rPr>
              <w:t>(800) 282-5813</w:t>
            </w:r>
          </w:p>
        </w:tc>
        <w:tc>
          <w:tcPr>
            <w:tcW w:w="2970" w:type="dxa"/>
            <w:hideMark/>
          </w:tcPr>
          <w:p w:rsidR="00084829" w:rsidRDefault="00084829" w:rsidP="00DC2AC2">
            <w:pPr>
              <w:tabs>
                <w:tab w:val="left" w:pos="1410"/>
              </w:tabs>
              <w:spacing w:line="276" w:lineRule="auto"/>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728" w:type="dxa"/>
            <w:hideMark/>
          </w:tcPr>
          <w:p w:rsidR="00084829" w:rsidRDefault="00084829" w:rsidP="00DC2AC2">
            <w:pPr>
              <w:spacing w:line="276" w:lineRule="auto"/>
              <w:jc w:val="right"/>
              <w:rPr>
                <w:rFonts w:cs="Arial"/>
                <w:b/>
                <w:bCs/>
                <w:sz w:val="17"/>
                <w:szCs w:val="17"/>
              </w:rPr>
            </w:pPr>
            <w:r>
              <w:rPr>
                <w:rFonts w:cs="Arial"/>
                <w:b/>
                <w:bCs/>
                <w:sz w:val="17"/>
                <w:szCs w:val="17"/>
              </w:rPr>
              <w:t xml:space="preserve">FAX: (404) 656-2341                   </w:t>
            </w:r>
          </w:p>
          <w:p w:rsidR="00084829" w:rsidRDefault="00084829" w:rsidP="00DC2AC2">
            <w:pPr>
              <w:spacing w:line="276" w:lineRule="auto"/>
              <w:jc w:val="right"/>
              <w:rPr>
                <w:rFonts w:cs="Arial"/>
                <w:b/>
                <w:bCs/>
              </w:rPr>
            </w:pPr>
            <w:r>
              <w:rPr>
                <w:rFonts w:cs="Arial"/>
                <w:b/>
                <w:bCs/>
                <w:sz w:val="17"/>
                <w:szCs w:val="17"/>
              </w:rPr>
              <w:t>psc.ga.gov</w:t>
            </w:r>
          </w:p>
        </w:tc>
      </w:tr>
      <w:tr w:rsidR="00084829" w:rsidTr="00DC2AC2">
        <w:trPr>
          <w:jc w:val="center"/>
        </w:trPr>
        <w:tc>
          <w:tcPr>
            <w:tcW w:w="4358" w:type="dxa"/>
          </w:tcPr>
          <w:p w:rsidR="00084829" w:rsidRDefault="00084829" w:rsidP="00DC2AC2">
            <w:pPr>
              <w:spacing w:line="276" w:lineRule="auto"/>
              <w:rPr>
                <w:rFonts w:cs="Arial"/>
                <w:b/>
                <w:bCs/>
                <w:sz w:val="17"/>
                <w:szCs w:val="17"/>
              </w:rPr>
            </w:pPr>
          </w:p>
        </w:tc>
        <w:tc>
          <w:tcPr>
            <w:tcW w:w="2970" w:type="dxa"/>
          </w:tcPr>
          <w:p w:rsidR="00084829" w:rsidRDefault="00084829" w:rsidP="00DC2AC2">
            <w:pPr>
              <w:tabs>
                <w:tab w:val="left" w:pos="1410"/>
              </w:tabs>
              <w:spacing w:line="276" w:lineRule="auto"/>
              <w:jc w:val="center"/>
              <w:rPr>
                <w:rFonts w:cs="Arial"/>
                <w:b/>
                <w:sz w:val="17"/>
                <w:szCs w:val="17"/>
              </w:rPr>
            </w:pPr>
          </w:p>
        </w:tc>
        <w:tc>
          <w:tcPr>
            <w:tcW w:w="3728" w:type="dxa"/>
          </w:tcPr>
          <w:p w:rsidR="00084829" w:rsidRDefault="00084829" w:rsidP="00DC2AC2">
            <w:pPr>
              <w:spacing w:line="276" w:lineRule="auto"/>
              <w:jc w:val="right"/>
              <w:rPr>
                <w:rFonts w:cs="Arial"/>
                <w:b/>
                <w:bCs/>
                <w:sz w:val="17"/>
                <w:szCs w:val="17"/>
              </w:rPr>
            </w:pPr>
          </w:p>
        </w:tc>
      </w:tr>
    </w:tbl>
    <w:p w:rsidR="00084829" w:rsidRDefault="00084829" w:rsidP="00084829">
      <w:pPr>
        <w:rPr>
          <w:color w:val="FF0000"/>
        </w:rPr>
      </w:pPr>
    </w:p>
    <w:p w:rsidR="00084829" w:rsidRDefault="00084829" w:rsidP="00084829">
      <w:pPr>
        <w:jc w:val="center"/>
        <w:rPr>
          <w:b/>
          <w:bCs/>
        </w:rPr>
      </w:pPr>
      <w:r>
        <w:rPr>
          <w:b/>
          <w:bCs/>
        </w:rPr>
        <w:t>DOCKET NO. 44280</w:t>
      </w:r>
    </w:p>
    <w:p w:rsidR="00084829" w:rsidRDefault="00084829" w:rsidP="00084829">
      <w:pPr>
        <w:rPr>
          <w:b/>
          <w:bCs/>
        </w:rPr>
      </w:pPr>
    </w:p>
    <w:p w:rsidR="00084829" w:rsidRDefault="00084829" w:rsidP="00084829">
      <w:pPr>
        <w:ind w:left="1440" w:hanging="1440"/>
        <w:rPr>
          <w:b/>
          <w:bCs/>
        </w:rPr>
      </w:pPr>
      <w:r>
        <w:rPr>
          <w:b/>
          <w:bCs/>
        </w:rPr>
        <w:t xml:space="preserve">IN RE: </w:t>
      </w:r>
      <w:r>
        <w:rPr>
          <w:b/>
          <w:bCs/>
        </w:rPr>
        <w:tab/>
        <w:t xml:space="preserve">GEORGIA POWER COMPANY’S 2022 RATE CASE.  </w:t>
      </w:r>
    </w:p>
    <w:p w:rsidR="00084829" w:rsidRDefault="00084829" w:rsidP="00084829">
      <w:pPr>
        <w:rPr>
          <w:b/>
          <w:bCs/>
        </w:rPr>
      </w:pPr>
    </w:p>
    <w:p w:rsidR="00084829" w:rsidRDefault="00084829" w:rsidP="00084829">
      <w:pPr>
        <w:jc w:val="center"/>
        <w:rPr>
          <w:b/>
          <w:bCs/>
          <w:u w:val="single"/>
        </w:rPr>
      </w:pPr>
      <w:r>
        <w:rPr>
          <w:b/>
          <w:bCs/>
          <w:u w:val="single"/>
        </w:rPr>
        <w:t>ORDER APPROVING STAFF’S RECOMMENDATION FOR THE 2023 COMMUNITY CHARGER PLAN</w:t>
      </w:r>
    </w:p>
    <w:p w:rsidR="00084829" w:rsidRDefault="00084829" w:rsidP="00084829">
      <w:pPr>
        <w:jc w:val="center"/>
        <w:rPr>
          <w:b/>
          <w:bCs/>
          <w:u w:val="single"/>
        </w:rPr>
      </w:pPr>
    </w:p>
    <w:p w:rsidR="00084829" w:rsidRDefault="00084829" w:rsidP="00084829">
      <w:pPr>
        <w:spacing w:line="360" w:lineRule="auto"/>
        <w:ind w:firstLine="360"/>
      </w:pPr>
      <w:r>
        <w:t xml:space="preserve">On May 8, 2023, the Company filed its first Plan, identifying eleven (11) locations for the placement of electric vehicle (“EV”) charging stations as part of Georgia Power’s Community Charging Program in accordance with Docket 44280 Georgia Power Company’s (“GPC” or “Company”) 2022 Rate Case. The Electric Transportation Term Sheet (“Term Sheet”) attached to the Stipulation in Georgia Power’s 2022 Rate Case and approved by the Commission on December 30, 2022, allowed interested parties to comment on the Plan within thirty (30) days of filing. </w:t>
      </w:r>
    </w:p>
    <w:p w:rsidR="00084829" w:rsidRDefault="00084829" w:rsidP="00084829"/>
    <w:p w:rsidR="00084829" w:rsidRDefault="00084829" w:rsidP="00084829">
      <w:pPr>
        <w:jc w:val="center"/>
      </w:pPr>
      <w:r>
        <w:t>Figure 1. Original Eleven (11) Proposed EV Charging Stations</w:t>
      </w:r>
    </w:p>
    <w:p w:rsidR="00084829" w:rsidRDefault="00084829" w:rsidP="00084829">
      <w:pPr>
        <w:jc w:val="center"/>
      </w:pPr>
    </w:p>
    <w:tbl>
      <w:tblPr>
        <w:tblStyle w:val="TableGrid"/>
        <w:tblW w:w="0" w:type="auto"/>
        <w:tblLook w:val="04A0" w:firstRow="1" w:lastRow="0" w:firstColumn="1" w:lastColumn="0" w:noHBand="0" w:noVBand="1"/>
      </w:tblPr>
      <w:tblGrid>
        <w:gridCol w:w="1345"/>
        <w:gridCol w:w="3150"/>
        <w:gridCol w:w="1890"/>
        <w:gridCol w:w="1530"/>
        <w:gridCol w:w="1435"/>
      </w:tblGrid>
      <w:tr w:rsidR="00084829" w:rsidRPr="00587CF6" w:rsidTr="00DC2AC2">
        <w:trPr>
          <w:trHeight w:val="288"/>
        </w:trPr>
        <w:tc>
          <w:tcPr>
            <w:tcW w:w="1345" w:type="dxa"/>
          </w:tcPr>
          <w:p w:rsidR="00084829" w:rsidRPr="00587CF6" w:rsidRDefault="00084829" w:rsidP="00DC2AC2">
            <w:pPr>
              <w:jc w:val="center"/>
              <w:rPr>
                <w:b/>
                <w:color w:val="000000"/>
              </w:rPr>
            </w:pPr>
            <w:r>
              <w:rPr>
                <w:b/>
                <w:color w:val="000000"/>
              </w:rPr>
              <w:t>Number</w:t>
            </w:r>
          </w:p>
        </w:tc>
        <w:tc>
          <w:tcPr>
            <w:tcW w:w="3150" w:type="dxa"/>
            <w:noWrap/>
            <w:hideMark/>
          </w:tcPr>
          <w:p w:rsidR="00084829" w:rsidRPr="00587CF6" w:rsidRDefault="00084829" w:rsidP="00DC2AC2">
            <w:pPr>
              <w:jc w:val="center"/>
              <w:rPr>
                <w:b/>
                <w:color w:val="000000"/>
              </w:rPr>
            </w:pPr>
            <w:r w:rsidRPr="00587CF6">
              <w:rPr>
                <w:b/>
                <w:color w:val="000000"/>
              </w:rPr>
              <w:t>Proposed Location</w:t>
            </w:r>
          </w:p>
        </w:tc>
        <w:tc>
          <w:tcPr>
            <w:tcW w:w="1890" w:type="dxa"/>
            <w:noWrap/>
            <w:hideMark/>
          </w:tcPr>
          <w:p w:rsidR="00084829" w:rsidRPr="00587CF6" w:rsidRDefault="00084829" w:rsidP="00DC2AC2">
            <w:pPr>
              <w:jc w:val="center"/>
              <w:rPr>
                <w:b/>
                <w:color w:val="000000"/>
              </w:rPr>
            </w:pPr>
            <w:r w:rsidRPr="00587CF6">
              <w:rPr>
                <w:b/>
                <w:color w:val="000000"/>
              </w:rPr>
              <w:t>City</w:t>
            </w:r>
          </w:p>
        </w:tc>
        <w:tc>
          <w:tcPr>
            <w:tcW w:w="1530" w:type="dxa"/>
            <w:noWrap/>
            <w:hideMark/>
          </w:tcPr>
          <w:p w:rsidR="00084829" w:rsidRPr="00587CF6" w:rsidRDefault="00084829" w:rsidP="00DC2AC2">
            <w:pPr>
              <w:jc w:val="center"/>
              <w:rPr>
                <w:b/>
                <w:color w:val="000000"/>
              </w:rPr>
            </w:pPr>
            <w:r w:rsidRPr="00587CF6">
              <w:rPr>
                <w:b/>
                <w:color w:val="000000"/>
              </w:rPr>
              <w:t>County</w:t>
            </w:r>
          </w:p>
        </w:tc>
        <w:tc>
          <w:tcPr>
            <w:tcW w:w="1435" w:type="dxa"/>
            <w:noWrap/>
            <w:hideMark/>
          </w:tcPr>
          <w:p w:rsidR="00084829" w:rsidRPr="00587CF6" w:rsidRDefault="00084829" w:rsidP="00DC2AC2">
            <w:pPr>
              <w:jc w:val="center"/>
              <w:rPr>
                <w:b/>
                <w:color w:val="000000"/>
              </w:rPr>
            </w:pPr>
            <w:r w:rsidRPr="00587CF6">
              <w:rPr>
                <w:b/>
                <w:color w:val="000000"/>
              </w:rPr>
              <w:t>Zip Code</w:t>
            </w:r>
          </w:p>
        </w:tc>
      </w:tr>
      <w:tr w:rsidR="00084829" w:rsidRPr="00587CF6" w:rsidTr="00DC2AC2">
        <w:trPr>
          <w:trHeight w:val="288"/>
        </w:trPr>
        <w:tc>
          <w:tcPr>
            <w:tcW w:w="1345" w:type="dxa"/>
          </w:tcPr>
          <w:p w:rsidR="00084829" w:rsidRPr="00587CF6" w:rsidRDefault="00084829" w:rsidP="00DC2AC2">
            <w:pPr>
              <w:jc w:val="center"/>
              <w:rPr>
                <w:color w:val="000000"/>
              </w:rPr>
            </w:pPr>
            <w:r>
              <w:rPr>
                <w:color w:val="000000"/>
              </w:rPr>
              <w:t>1</w:t>
            </w:r>
          </w:p>
        </w:tc>
        <w:tc>
          <w:tcPr>
            <w:tcW w:w="3150" w:type="dxa"/>
            <w:noWrap/>
            <w:hideMark/>
          </w:tcPr>
          <w:p w:rsidR="00084829" w:rsidRPr="00587CF6" w:rsidRDefault="00084829" w:rsidP="00DC2AC2">
            <w:pPr>
              <w:jc w:val="center"/>
              <w:rPr>
                <w:color w:val="000000"/>
              </w:rPr>
            </w:pPr>
            <w:r w:rsidRPr="00587CF6">
              <w:rPr>
                <w:color w:val="000000"/>
              </w:rPr>
              <w:t>US84 &amp; S Tennille Ave</w:t>
            </w:r>
          </w:p>
        </w:tc>
        <w:tc>
          <w:tcPr>
            <w:tcW w:w="1890" w:type="dxa"/>
            <w:noWrap/>
            <w:hideMark/>
          </w:tcPr>
          <w:p w:rsidR="00084829" w:rsidRPr="00587CF6" w:rsidRDefault="00084829" w:rsidP="00DC2AC2">
            <w:pPr>
              <w:jc w:val="center"/>
              <w:rPr>
                <w:color w:val="000000"/>
              </w:rPr>
            </w:pPr>
            <w:r w:rsidRPr="00587CF6">
              <w:rPr>
                <w:color w:val="000000"/>
              </w:rPr>
              <w:t>Donalsonville</w:t>
            </w:r>
          </w:p>
        </w:tc>
        <w:tc>
          <w:tcPr>
            <w:tcW w:w="1530" w:type="dxa"/>
            <w:noWrap/>
            <w:hideMark/>
          </w:tcPr>
          <w:p w:rsidR="00084829" w:rsidRPr="00587CF6" w:rsidRDefault="00084829" w:rsidP="00DC2AC2">
            <w:pPr>
              <w:jc w:val="center"/>
              <w:rPr>
                <w:color w:val="000000"/>
              </w:rPr>
            </w:pPr>
            <w:r>
              <w:rPr>
                <w:color w:val="000000"/>
              </w:rPr>
              <w:t>Seminole</w:t>
            </w:r>
          </w:p>
        </w:tc>
        <w:tc>
          <w:tcPr>
            <w:tcW w:w="1435" w:type="dxa"/>
            <w:noWrap/>
            <w:hideMark/>
          </w:tcPr>
          <w:p w:rsidR="00084829" w:rsidRPr="00587CF6" w:rsidRDefault="00084829" w:rsidP="00DC2AC2">
            <w:pPr>
              <w:jc w:val="center"/>
              <w:rPr>
                <w:color w:val="000000"/>
              </w:rPr>
            </w:pPr>
            <w:r w:rsidRPr="00587CF6">
              <w:rPr>
                <w:color w:val="000000"/>
              </w:rPr>
              <w:t>39845</w:t>
            </w:r>
          </w:p>
        </w:tc>
      </w:tr>
      <w:tr w:rsidR="00084829" w:rsidRPr="00587CF6" w:rsidTr="00DC2AC2">
        <w:trPr>
          <w:trHeight w:val="288"/>
        </w:trPr>
        <w:tc>
          <w:tcPr>
            <w:tcW w:w="1345" w:type="dxa"/>
          </w:tcPr>
          <w:p w:rsidR="00084829" w:rsidRPr="00587CF6" w:rsidRDefault="00084829" w:rsidP="00DC2AC2">
            <w:pPr>
              <w:jc w:val="center"/>
              <w:rPr>
                <w:color w:val="000000"/>
              </w:rPr>
            </w:pPr>
            <w:r>
              <w:rPr>
                <w:color w:val="000000"/>
              </w:rPr>
              <w:t>2</w:t>
            </w:r>
          </w:p>
        </w:tc>
        <w:tc>
          <w:tcPr>
            <w:tcW w:w="3150" w:type="dxa"/>
            <w:noWrap/>
            <w:hideMark/>
          </w:tcPr>
          <w:p w:rsidR="00084829" w:rsidRPr="00587CF6" w:rsidRDefault="00084829" w:rsidP="00DC2AC2">
            <w:pPr>
              <w:jc w:val="center"/>
              <w:rPr>
                <w:color w:val="000000"/>
              </w:rPr>
            </w:pPr>
            <w:r w:rsidRPr="00587CF6">
              <w:rPr>
                <w:color w:val="000000"/>
              </w:rPr>
              <w:t>Blakely Street &amp; Central Street</w:t>
            </w:r>
          </w:p>
        </w:tc>
        <w:tc>
          <w:tcPr>
            <w:tcW w:w="1890" w:type="dxa"/>
            <w:noWrap/>
            <w:hideMark/>
          </w:tcPr>
          <w:p w:rsidR="00084829" w:rsidRPr="00587CF6" w:rsidRDefault="00084829" w:rsidP="00DC2AC2">
            <w:pPr>
              <w:jc w:val="center"/>
              <w:rPr>
                <w:color w:val="000000"/>
              </w:rPr>
            </w:pPr>
            <w:r w:rsidRPr="00587CF6">
              <w:rPr>
                <w:color w:val="000000"/>
              </w:rPr>
              <w:t>Cuthbert</w:t>
            </w:r>
          </w:p>
        </w:tc>
        <w:tc>
          <w:tcPr>
            <w:tcW w:w="1530" w:type="dxa"/>
            <w:noWrap/>
            <w:hideMark/>
          </w:tcPr>
          <w:p w:rsidR="00084829" w:rsidRPr="00587CF6" w:rsidRDefault="00084829" w:rsidP="00DC2AC2">
            <w:pPr>
              <w:jc w:val="center"/>
              <w:rPr>
                <w:color w:val="000000"/>
              </w:rPr>
            </w:pPr>
            <w:r>
              <w:rPr>
                <w:color w:val="000000"/>
              </w:rPr>
              <w:t>Randolph</w:t>
            </w:r>
          </w:p>
        </w:tc>
        <w:tc>
          <w:tcPr>
            <w:tcW w:w="1435" w:type="dxa"/>
            <w:noWrap/>
            <w:hideMark/>
          </w:tcPr>
          <w:p w:rsidR="00084829" w:rsidRPr="00587CF6" w:rsidRDefault="00084829" w:rsidP="00DC2AC2">
            <w:pPr>
              <w:jc w:val="center"/>
              <w:rPr>
                <w:color w:val="000000"/>
              </w:rPr>
            </w:pPr>
            <w:r w:rsidRPr="00587CF6">
              <w:rPr>
                <w:color w:val="000000"/>
              </w:rPr>
              <w:t>39840</w:t>
            </w:r>
          </w:p>
        </w:tc>
      </w:tr>
      <w:tr w:rsidR="00084829" w:rsidRPr="00587CF6" w:rsidTr="00DC2AC2">
        <w:trPr>
          <w:trHeight w:val="288"/>
        </w:trPr>
        <w:tc>
          <w:tcPr>
            <w:tcW w:w="1345" w:type="dxa"/>
          </w:tcPr>
          <w:p w:rsidR="00084829" w:rsidRPr="00587CF6" w:rsidRDefault="00084829" w:rsidP="00DC2AC2">
            <w:pPr>
              <w:jc w:val="center"/>
              <w:rPr>
                <w:color w:val="000000"/>
              </w:rPr>
            </w:pPr>
            <w:r>
              <w:rPr>
                <w:color w:val="000000"/>
              </w:rPr>
              <w:t>3</w:t>
            </w:r>
          </w:p>
        </w:tc>
        <w:tc>
          <w:tcPr>
            <w:tcW w:w="3150" w:type="dxa"/>
            <w:noWrap/>
            <w:hideMark/>
          </w:tcPr>
          <w:p w:rsidR="00084829" w:rsidRPr="00587CF6" w:rsidRDefault="00084829" w:rsidP="00DC2AC2">
            <w:pPr>
              <w:jc w:val="center"/>
              <w:rPr>
                <w:color w:val="000000"/>
              </w:rPr>
            </w:pPr>
            <w:r w:rsidRPr="00587CF6">
              <w:rPr>
                <w:color w:val="000000"/>
              </w:rPr>
              <w:t>US 280 &amp; Broad St</w:t>
            </w:r>
          </w:p>
        </w:tc>
        <w:tc>
          <w:tcPr>
            <w:tcW w:w="1890" w:type="dxa"/>
            <w:noWrap/>
            <w:hideMark/>
          </w:tcPr>
          <w:p w:rsidR="00084829" w:rsidRPr="00587CF6" w:rsidRDefault="00084829" w:rsidP="00DC2AC2">
            <w:pPr>
              <w:jc w:val="center"/>
              <w:rPr>
                <w:color w:val="000000"/>
              </w:rPr>
            </w:pPr>
            <w:r w:rsidRPr="00587CF6">
              <w:rPr>
                <w:color w:val="000000"/>
              </w:rPr>
              <w:t>Richland</w:t>
            </w:r>
          </w:p>
        </w:tc>
        <w:tc>
          <w:tcPr>
            <w:tcW w:w="1530" w:type="dxa"/>
            <w:noWrap/>
            <w:hideMark/>
          </w:tcPr>
          <w:p w:rsidR="00084829" w:rsidRPr="00587CF6" w:rsidRDefault="00084829" w:rsidP="00DC2AC2">
            <w:pPr>
              <w:jc w:val="center"/>
              <w:rPr>
                <w:color w:val="000000"/>
              </w:rPr>
            </w:pPr>
            <w:r>
              <w:rPr>
                <w:color w:val="000000"/>
              </w:rPr>
              <w:t>Stewart</w:t>
            </w:r>
          </w:p>
        </w:tc>
        <w:tc>
          <w:tcPr>
            <w:tcW w:w="1435" w:type="dxa"/>
            <w:noWrap/>
            <w:hideMark/>
          </w:tcPr>
          <w:p w:rsidR="00084829" w:rsidRPr="00587CF6" w:rsidRDefault="00084829" w:rsidP="00DC2AC2">
            <w:pPr>
              <w:jc w:val="center"/>
              <w:rPr>
                <w:color w:val="000000"/>
              </w:rPr>
            </w:pPr>
            <w:r w:rsidRPr="00587CF6">
              <w:rPr>
                <w:color w:val="000000"/>
              </w:rPr>
              <w:t>31825</w:t>
            </w:r>
          </w:p>
        </w:tc>
      </w:tr>
      <w:tr w:rsidR="00084829" w:rsidRPr="00587CF6" w:rsidTr="00DC2AC2">
        <w:trPr>
          <w:trHeight w:val="288"/>
        </w:trPr>
        <w:tc>
          <w:tcPr>
            <w:tcW w:w="1345" w:type="dxa"/>
          </w:tcPr>
          <w:p w:rsidR="00084829" w:rsidRPr="00587CF6" w:rsidRDefault="00084829" w:rsidP="00DC2AC2">
            <w:pPr>
              <w:jc w:val="center"/>
              <w:rPr>
                <w:color w:val="000000"/>
              </w:rPr>
            </w:pPr>
            <w:r>
              <w:rPr>
                <w:color w:val="000000"/>
              </w:rPr>
              <w:t>4</w:t>
            </w:r>
          </w:p>
        </w:tc>
        <w:tc>
          <w:tcPr>
            <w:tcW w:w="3150" w:type="dxa"/>
            <w:noWrap/>
            <w:hideMark/>
          </w:tcPr>
          <w:p w:rsidR="00084829" w:rsidRPr="00587CF6" w:rsidRDefault="00084829" w:rsidP="00DC2AC2">
            <w:pPr>
              <w:jc w:val="center"/>
              <w:rPr>
                <w:color w:val="000000"/>
              </w:rPr>
            </w:pPr>
            <w:r w:rsidRPr="00587CF6">
              <w:rPr>
                <w:color w:val="000000"/>
              </w:rPr>
              <w:t>US 82 &amp; Main St</w:t>
            </w:r>
          </w:p>
        </w:tc>
        <w:tc>
          <w:tcPr>
            <w:tcW w:w="1890" w:type="dxa"/>
            <w:noWrap/>
            <w:hideMark/>
          </w:tcPr>
          <w:p w:rsidR="00084829" w:rsidRPr="00587CF6" w:rsidRDefault="00084829" w:rsidP="00DC2AC2">
            <w:pPr>
              <w:jc w:val="center"/>
              <w:rPr>
                <w:color w:val="000000"/>
              </w:rPr>
            </w:pPr>
            <w:r w:rsidRPr="00587CF6">
              <w:rPr>
                <w:color w:val="000000"/>
              </w:rPr>
              <w:t>Georgetown</w:t>
            </w:r>
          </w:p>
        </w:tc>
        <w:tc>
          <w:tcPr>
            <w:tcW w:w="1530" w:type="dxa"/>
            <w:noWrap/>
            <w:hideMark/>
          </w:tcPr>
          <w:p w:rsidR="00084829" w:rsidRPr="00587CF6" w:rsidRDefault="00084829" w:rsidP="00DC2AC2">
            <w:pPr>
              <w:jc w:val="center"/>
              <w:rPr>
                <w:color w:val="000000"/>
              </w:rPr>
            </w:pPr>
            <w:r>
              <w:rPr>
                <w:color w:val="000000"/>
              </w:rPr>
              <w:t>Quitman</w:t>
            </w:r>
          </w:p>
        </w:tc>
        <w:tc>
          <w:tcPr>
            <w:tcW w:w="1435" w:type="dxa"/>
            <w:noWrap/>
            <w:hideMark/>
          </w:tcPr>
          <w:p w:rsidR="00084829" w:rsidRPr="00587CF6" w:rsidRDefault="00084829" w:rsidP="00DC2AC2">
            <w:pPr>
              <w:jc w:val="center"/>
              <w:rPr>
                <w:color w:val="000000"/>
              </w:rPr>
            </w:pPr>
            <w:r w:rsidRPr="00587CF6">
              <w:rPr>
                <w:color w:val="000000"/>
              </w:rPr>
              <w:t>39854</w:t>
            </w:r>
          </w:p>
        </w:tc>
      </w:tr>
      <w:tr w:rsidR="00084829" w:rsidRPr="00587CF6" w:rsidTr="00DC2AC2">
        <w:trPr>
          <w:trHeight w:val="288"/>
        </w:trPr>
        <w:tc>
          <w:tcPr>
            <w:tcW w:w="1345" w:type="dxa"/>
          </w:tcPr>
          <w:p w:rsidR="00084829" w:rsidRPr="00587CF6" w:rsidRDefault="00084829" w:rsidP="00DC2AC2">
            <w:pPr>
              <w:jc w:val="center"/>
              <w:rPr>
                <w:color w:val="000000"/>
              </w:rPr>
            </w:pPr>
            <w:r>
              <w:rPr>
                <w:color w:val="000000"/>
              </w:rPr>
              <w:t>5</w:t>
            </w:r>
          </w:p>
        </w:tc>
        <w:tc>
          <w:tcPr>
            <w:tcW w:w="3150" w:type="dxa"/>
            <w:noWrap/>
            <w:hideMark/>
          </w:tcPr>
          <w:p w:rsidR="00084829" w:rsidRPr="00587CF6" w:rsidRDefault="00084829" w:rsidP="00DC2AC2">
            <w:pPr>
              <w:jc w:val="center"/>
              <w:rPr>
                <w:color w:val="000000"/>
              </w:rPr>
            </w:pPr>
            <w:r w:rsidRPr="00587CF6">
              <w:rPr>
                <w:color w:val="000000"/>
              </w:rPr>
              <w:t>E Washington &amp; US 27</w:t>
            </w:r>
          </w:p>
        </w:tc>
        <w:tc>
          <w:tcPr>
            <w:tcW w:w="1890" w:type="dxa"/>
            <w:noWrap/>
            <w:hideMark/>
          </w:tcPr>
          <w:p w:rsidR="00084829" w:rsidRPr="00587CF6" w:rsidRDefault="00084829" w:rsidP="00DC2AC2">
            <w:pPr>
              <w:jc w:val="center"/>
              <w:rPr>
                <w:color w:val="000000"/>
              </w:rPr>
            </w:pPr>
            <w:r w:rsidRPr="00587CF6">
              <w:rPr>
                <w:color w:val="000000"/>
              </w:rPr>
              <w:t>Summerville</w:t>
            </w:r>
          </w:p>
        </w:tc>
        <w:tc>
          <w:tcPr>
            <w:tcW w:w="1530" w:type="dxa"/>
            <w:noWrap/>
            <w:hideMark/>
          </w:tcPr>
          <w:p w:rsidR="00084829" w:rsidRPr="00587CF6" w:rsidRDefault="00084829" w:rsidP="00DC2AC2">
            <w:pPr>
              <w:jc w:val="center"/>
              <w:rPr>
                <w:color w:val="000000"/>
              </w:rPr>
            </w:pPr>
            <w:r>
              <w:rPr>
                <w:color w:val="000000"/>
              </w:rPr>
              <w:t>Chattooga</w:t>
            </w:r>
          </w:p>
        </w:tc>
        <w:tc>
          <w:tcPr>
            <w:tcW w:w="1435" w:type="dxa"/>
            <w:noWrap/>
            <w:hideMark/>
          </w:tcPr>
          <w:p w:rsidR="00084829" w:rsidRPr="00587CF6" w:rsidRDefault="00084829" w:rsidP="00DC2AC2">
            <w:pPr>
              <w:jc w:val="center"/>
              <w:rPr>
                <w:color w:val="000000"/>
              </w:rPr>
            </w:pPr>
            <w:r w:rsidRPr="00587CF6">
              <w:rPr>
                <w:color w:val="000000"/>
              </w:rPr>
              <w:t>30747</w:t>
            </w:r>
          </w:p>
        </w:tc>
      </w:tr>
      <w:tr w:rsidR="00084829" w:rsidRPr="00587CF6" w:rsidTr="00DC2AC2">
        <w:trPr>
          <w:trHeight w:val="288"/>
        </w:trPr>
        <w:tc>
          <w:tcPr>
            <w:tcW w:w="1345" w:type="dxa"/>
          </w:tcPr>
          <w:p w:rsidR="00084829" w:rsidRPr="00587CF6" w:rsidRDefault="00084829" w:rsidP="00DC2AC2">
            <w:pPr>
              <w:jc w:val="center"/>
              <w:rPr>
                <w:color w:val="000000"/>
              </w:rPr>
            </w:pPr>
            <w:r>
              <w:rPr>
                <w:color w:val="000000"/>
              </w:rPr>
              <w:t>6</w:t>
            </w:r>
          </w:p>
        </w:tc>
        <w:tc>
          <w:tcPr>
            <w:tcW w:w="3150" w:type="dxa"/>
            <w:noWrap/>
            <w:hideMark/>
          </w:tcPr>
          <w:p w:rsidR="00084829" w:rsidRPr="00587CF6" w:rsidRDefault="00084829" w:rsidP="00DC2AC2">
            <w:pPr>
              <w:jc w:val="center"/>
              <w:rPr>
                <w:color w:val="000000"/>
              </w:rPr>
            </w:pPr>
            <w:r w:rsidRPr="00587CF6">
              <w:rPr>
                <w:color w:val="000000"/>
              </w:rPr>
              <w:t>US 19 &amp; US41</w:t>
            </w:r>
          </w:p>
        </w:tc>
        <w:tc>
          <w:tcPr>
            <w:tcW w:w="1890" w:type="dxa"/>
            <w:noWrap/>
            <w:hideMark/>
          </w:tcPr>
          <w:p w:rsidR="00084829" w:rsidRPr="00587CF6" w:rsidRDefault="00084829" w:rsidP="00DC2AC2">
            <w:pPr>
              <w:jc w:val="center"/>
              <w:rPr>
                <w:color w:val="000000"/>
              </w:rPr>
            </w:pPr>
            <w:r w:rsidRPr="00587CF6">
              <w:rPr>
                <w:color w:val="000000"/>
              </w:rPr>
              <w:t>Griffin</w:t>
            </w:r>
          </w:p>
        </w:tc>
        <w:tc>
          <w:tcPr>
            <w:tcW w:w="1530" w:type="dxa"/>
            <w:noWrap/>
            <w:hideMark/>
          </w:tcPr>
          <w:p w:rsidR="00084829" w:rsidRPr="00587CF6" w:rsidRDefault="00084829" w:rsidP="00DC2AC2">
            <w:pPr>
              <w:jc w:val="center"/>
              <w:rPr>
                <w:color w:val="000000"/>
              </w:rPr>
            </w:pPr>
            <w:r>
              <w:rPr>
                <w:color w:val="000000"/>
              </w:rPr>
              <w:t>Spalding</w:t>
            </w:r>
          </w:p>
        </w:tc>
        <w:tc>
          <w:tcPr>
            <w:tcW w:w="1435" w:type="dxa"/>
            <w:noWrap/>
            <w:hideMark/>
          </w:tcPr>
          <w:p w:rsidR="00084829" w:rsidRPr="00587CF6" w:rsidRDefault="00084829" w:rsidP="00DC2AC2">
            <w:pPr>
              <w:jc w:val="center"/>
              <w:rPr>
                <w:color w:val="000000"/>
              </w:rPr>
            </w:pPr>
            <w:r w:rsidRPr="00587CF6">
              <w:rPr>
                <w:color w:val="000000"/>
              </w:rPr>
              <w:t>30223</w:t>
            </w:r>
          </w:p>
        </w:tc>
      </w:tr>
      <w:tr w:rsidR="00084829" w:rsidRPr="00587CF6" w:rsidTr="00DC2AC2">
        <w:trPr>
          <w:trHeight w:val="288"/>
        </w:trPr>
        <w:tc>
          <w:tcPr>
            <w:tcW w:w="1345" w:type="dxa"/>
          </w:tcPr>
          <w:p w:rsidR="00084829" w:rsidRPr="00587CF6" w:rsidRDefault="00084829" w:rsidP="00DC2AC2">
            <w:pPr>
              <w:jc w:val="center"/>
              <w:rPr>
                <w:color w:val="000000"/>
              </w:rPr>
            </w:pPr>
            <w:r>
              <w:rPr>
                <w:color w:val="000000"/>
              </w:rPr>
              <w:t>7</w:t>
            </w:r>
          </w:p>
        </w:tc>
        <w:tc>
          <w:tcPr>
            <w:tcW w:w="3150" w:type="dxa"/>
            <w:noWrap/>
            <w:hideMark/>
          </w:tcPr>
          <w:p w:rsidR="00084829" w:rsidRPr="00587CF6" w:rsidRDefault="00084829" w:rsidP="00DC2AC2">
            <w:pPr>
              <w:jc w:val="center"/>
              <w:rPr>
                <w:color w:val="000000"/>
              </w:rPr>
            </w:pPr>
            <w:r w:rsidRPr="00587CF6">
              <w:rPr>
                <w:color w:val="000000"/>
              </w:rPr>
              <w:t>US 19 &amp; Adderton St</w:t>
            </w:r>
          </w:p>
        </w:tc>
        <w:tc>
          <w:tcPr>
            <w:tcW w:w="1890" w:type="dxa"/>
            <w:noWrap/>
            <w:hideMark/>
          </w:tcPr>
          <w:p w:rsidR="00084829" w:rsidRPr="00587CF6" w:rsidRDefault="00084829" w:rsidP="00DC2AC2">
            <w:pPr>
              <w:jc w:val="center"/>
              <w:rPr>
                <w:color w:val="000000"/>
              </w:rPr>
            </w:pPr>
            <w:r w:rsidRPr="00587CF6">
              <w:rPr>
                <w:color w:val="000000"/>
              </w:rPr>
              <w:t>Americus</w:t>
            </w:r>
          </w:p>
        </w:tc>
        <w:tc>
          <w:tcPr>
            <w:tcW w:w="1530" w:type="dxa"/>
            <w:noWrap/>
            <w:hideMark/>
          </w:tcPr>
          <w:p w:rsidR="00084829" w:rsidRPr="00587CF6" w:rsidRDefault="00084829" w:rsidP="00DC2AC2">
            <w:pPr>
              <w:jc w:val="center"/>
              <w:rPr>
                <w:color w:val="000000"/>
              </w:rPr>
            </w:pPr>
            <w:r>
              <w:rPr>
                <w:color w:val="000000"/>
              </w:rPr>
              <w:t>Sumter</w:t>
            </w:r>
          </w:p>
        </w:tc>
        <w:tc>
          <w:tcPr>
            <w:tcW w:w="1435" w:type="dxa"/>
            <w:noWrap/>
            <w:hideMark/>
          </w:tcPr>
          <w:p w:rsidR="00084829" w:rsidRPr="00587CF6" w:rsidRDefault="00084829" w:rsidP="00DC2AC2">
            <w:pPr>
              <w:jc w:val="center"/>
              <w:rPr>
                <w:color w:val="000000"/>
              </w:rPr>
            </w:pPr>
            <w:r w:rsidRPr="00587CF6">
              <w:rPr>
                <w:color w:val="000000"/>
              </w:rPr>
              <w:t>31719</w:t>
            </w:r>
          </w:p>
        </w:tc>
      </w:tr>
      <w:tr w:rsidR="00084829" w:rsidRPr="00587CF6" w:rsidTr="00DC2AC2">
        <w:trPr>
          <w:trHeight w:val="288"/>
        </w:trPr>
        <w:tc>
          <w:tcPr>
            <w:tcW w:w="1345" w:type="dxa"/>
          </w:tcPr>
          <w:p w:rsidR="00084829" w:rsidRPr="00587CF6" w:rsidRDefault="00084829" w:rsidP="00DC2AC2">
            <w:pPr>
              <w:jc w:val="center"/>
              <w:rPr>
                <w:color w:val="000000"/>
              </w:rPr>
            </w:pPr>
            <w:r>
              <w:rPr>
                <w:color w:val="000000"/>
              </w:rPr>
              <w:t>8</w:t>
            </w:r>
          </w:p>
        </w:tc>
        <w:tc>
          <w:tcPr>
            <w:tcW w:w="3150" w:type="dxa"/>
            <w:noWrap/>
            <w:hideMark/>
          </w:tcPr>
          <w:p w:rsidR="00084829" w:rsidRPr="00587CF6" w:rsidRDefault="00084829" w:rsidP="00DC2AC2">
            <w:pPr>
              <w:jc w:val="center"/>
              <w:rPr>
                <w:color w:val="000000"/>
              </w:rPr>
            </w:pPr>
            <w:r w:rsidRPr="00587CF6">
              <w:rPr>
                <w:color w:val="000000"/>
              </w:rPr>
              <w:t>US 341 &amp; Hwy 280</w:t>
            </w:r>
          </w:p>
        </w:tc>
        <w:tc>
          <w:tcPr>
            <w:tcW w:w="1890" w:type="dxa"/>
            <w:noWrap/>
            <w:hideMark/>
          </w:tcPr>
          <w:p w:rsidR="00084829" w:rsidRPr="00587CF6" w:rsidRDefault="00084829" w:rsidP="00DC2AC2">
            <w:pPr>
              <w:jc w:val="center"/>
              <w:rPr>
                <w:color w:val="000000"/>
              </w:rPr>
            </w:pPr>
            <w:r w:rsidRPr="00587CF6">
              <w:rPr>
                <w:color w:val="000000"/>
              </w:rPr>
              <w:t>McRae-Helena</w:t>
            </w:r>
          </w:p>
        </w:tc>
        <w:tc>
          <w:tcPr>
            <w:tcW w:w="1530" w:type="dxa"/>
            <w:noWrap/>
            <w:hideMark/>
          </w:tcPr>
          <w:p w:rsidR="00084829" w:rsidRPr="00587CF6" w:rsidRDefault="00084829" w:rsidP="00DC2AC2">
            <w:pPr>
              <w:jc w:val="center"/>
              <w:rPr>
                <w:color w:val="000000"/>
              </w:rPr>
            </w:pPr>
            <w:r>
              <w:rPr>
                <w:color w:val="000000"/>
              </w:rPr>
              <w:t>Telfair</w:t>
            </w:r>
          </w:p>
        </w:tc>
        <w:tc>
          <w:tcPr>
            <w:tcW w:w="1435" w:type="dxa"/>
            <w:noWrap/>
            <w:hideMark/>
          </w:tcPr>
          <w:p w:rsidR="00084829" w:rsidRPr="00587CF6" w:rsidRDefault="00084829" w:rsidP="00DC2AC2">
            <w:pPr>
              <w:jc w:val="center"/>
              <w:rPr>
                <w:color w:val="000000"/>
              </w:rPr>
            </w:pPr>
            <w:r w:rsidRPr="00587CF6">
              <w:rPr>
                <w:color w:val="000000"/>
              </w:rPr>
              <w:t>31055</w:t>
            </w:r>
          </w:p>
        </w:tc>
      </w:tr>
      <w:tr w:rsidR="00084829" w:rsidRPr="00587CF6" w:rsidTr="00DC2AC2">
        <w:trPr>
          <w:trHeight w:val="288"/>
        </w:trPr>
        <w:tc>
          <w:tcPr>
            <w:tcW w:w="1345" w:type="dxa"/>
          </w:tcPr>
          <w:p w:rsidR="00084829" w:rsidRPr="00587CF6" w:rsidRDefault="00084829" w:rsidP="00DC2AC2">
            <w:pPr>
              <w:jc w:val="center"/>
              <w:rPr>
                <w:color w:val="000000"/>
              </w:rPr>
            </w:pPr>
            <w:r>
              <w:rPr>
                <w:color w:val="000000"/>
              </w:rPr>
              <w:t>9</w:t>
            </w:r>
          </w:p>
        </w:tc>
        <w:tc>
          <w:tcPr>
            <w:tcW w:w="3150" w:type="dxa"/>
            <w:noWrap/>
            <w:hideMark/>
          </w:tcPr>
          <w:p w:rsidR="00084829" w:rsidRPr="00587CF6" w:rsidRDefault="00084829" w:rsidP="00DC2AC2">
            <w:pPr>
              <w:jc w:val="center"/>
              <w:rPr>
                <w:color w:val="000000"/>
              </w:rPr>
            </w:pPr>
            <w:r w:rsidRPr="00587CF6">
              <w:rPr>
                <w:color w:val="000000"/>
              </w:rPr>
              <w:t>US 341 &amp; Houston St</w:t>
            </w:r>
          </w:p>
        </w:tc>
        <w:tc>
          <w:tcPr>
            <w:tcW w:w="1890" w:type="dxa"/>
            <w:noWrap/>
            <w:hideMark/>
          </w:tcPr>
          <w:p w:rsidR="00084829" w:rsidRPr="00587CF6" w:rsidRDefault="00084829" w:rsidP="00DC2AC2">
            <w:pPr>
              <w:jc w:val="center"/>
              <w:rPr>
                <w:color w:val="000000"/>
              </w:rPr>
            </w:pPr>
            <w:r w:rsidRPr="00587CF6">
              <w:rPr>
                <w:color w:val="000000"/>
              </w:rPr>
              <w:t>Hawkinsville</w:t>
            </w:r>
          </w:p>
        </w:tc>
        <w:tc>
          <w:tcPr>
            <w:tcW w:w="1530" w:type="dxa"/>
            <w:noWrap/>
            <w:hideMark/>
          </w:tcPr>
          <w:p w:rsidR="00084829" w:rsidRPr="00587CF6" w:rsidRDefault="00084829" w:rsidP="00DC2AC2">
            <w:pPr>
              <w:jc w:val="center"/>
              <w:rPr>
                <w:color w:val="000000"/>
              </w:rPr>
            </w:pPr>
            <w:r>
              <w:rPr>
                <w:color w:val="000000"/>
              </w:rPr>
              <w:t>Pulaski</w:t>
            </w:r>
          </w:p>
        </w:tc>
        <w:tc>
          <w:tcPr>
            <w:tcW w:w="1435" w:type="dxa"/>
            <w:noWrap/>
            <w:hideMark/>
          </w:tcPr>
          <w:p w:rsidR="00084829" w:rsidRPr="00587CF6" w:rsidRDefault="00084829" w:rsidP="00DC2AC2">
            <w:pPr>
              <w:jc w:val="center"/>
              <w:rPr>
                <w:color w:val="000000"/>
              </w:rPr>
            </w:pPr>
            <w:r w:rsidRPr="00587CF6">
              <w:rPr>
                <w:color w:val="000000"/>
              </w:rPr>
              <w:t>31036</w:t>
            </w:r>
          </w:p>
        </w:tc>
      </w:tr>
      <w:tr w:rsidR="00084829" w:rsidRPr="00587CF6" w:rsidTr="00DC2AC2">
        <w:trPr>
          <w:trHeight w:val="288"/>
        </w:trPr>
        <w:tc>
          <w:tcPr>
            <w:tcW w:w="1345" w:type="dxa"/>
          </w:tcPr>
          <w:p w:rsidR="00084829" w:rsidRPr="00587CF6" w:rsidRDefault="00084829" w:rsidP="00DC2AC2">
            <w:pPr>
              <w:jc w:val="center"/>
              <w:rPr>
                <w:color w:val="000000"/>
              </w:rPr>
            </w:pPr>
            <w:r>
              <w:rPr>
                <w:color w:val="000000"/>
              </w:rPr>
              <w:t>10</w:t>
            </w:r>
          </w:p>
        </w:tc>
        <w:tc>
          <w:tcPr>
            <w:tcW w:w="3150" w:type="dxa"/>
            <w:noWrap/>
            <w:hideMark/>
          </w:tcPr>
          <w:p w:rsidR="00084829" w:rsidRPr="00587CF6" w:rsidRDefault="00084829" w:rsidP="00DC2AC2">
            <w:pPr>
              <w:jc w:val="center"/>
              <w:rPr>
                <w:color w:val="000000"/>
              </w:rPr>
            </w:pPr>
            <w:r w:rsidRPr="00587CF6">
              <w:rPr>
                <w:color w:val="000000"/>
              </w:rPr>
              <w:t>Peach St &amp; US 84</w:t>
            </w:r>
          </w:p>
        </w:tc>
        <w:tc>
          <w:tcPr>
            <w:tcW w:w="1890" w:type="dxa"/>
            <w:noWrap/>
            <w:hideMark/>
          </w:tcPr>
          <w:p w:rsidR="00084829" w:rsidRPr="00587CF6" w:rsidRDefault="00084829" w:rsidP="00DC2AC2">
            <w:pPr>
              <w:jc w:val="center"/>
              <w:rPr>
                <w:color w:val="000000"/>
              </w:rPr>
            </w:pPr>
            <w:r w:rsidRPr="00587CF6">
              <w:rPr>
                <w:color w:val="000000"/>
              </w:rPr>
              <w:t>Homerville</w:t>
            </w:r>
          </w:p>
        </w:tc>
        <w:tc>
          <w:tcPr>
            <w:tcW w:w="1530" w:type="dxa"/>
            <w:noWrap/>
            <w:hideMark/>
          </w:tcPr>
          <w:p w:rsidR="00084829" w:rsidRPr="00587CF6" w:rsidRDefault="00084829" w:rsidP="00DC2AC2">
            <w:pPr>
              <w:jc w:val="center"/>
              <w:rPr>
                <w:color w:val="000000"/>
              </w:rPr>
            </w:pPr>
            <w:r>
              <w:rPr>
                <w:color w:val="000000"/>
              </w:rPr>
              <w:t>Clinch</w:t>
            </w:r>
          </w:p>
        </w:tc>
        <w:tc>
          <w:tcPr>
            <w:tcW w:w="1435" w:type="dxa"/>
            <w:noWrap/>
            <w:hideMark/>
          </w:tcPr>
          <w:p w:rsidR="00084829" w:rsidRPr="00587CF6" w:rsidRDefault="00084829" w:rsidP="00DC2AC2">
            <w:pPr>
              <w:jc w:val="center"/>
              <w:rPr>
                <w:color w:val="000000"/>
              </w:rPr>
            </w:pPr>
            <w:r w:rsidRPr="00587CF6">
              <w:rPr>
                <w:color w:val="000000"/>
              </w:rPr>
              <w:t>31634</w:t>
            </w:r>
          </w:p>
        </w:tc>
      </w:tr>
      <w:tr w:rsidR="00084829" w:rsidRPr="00587CF6" w:rsidTr="00DC2AC2">
        <w:trPr>
          <w:trHeight w:val="288"/>
        </w:trPr>
        <w:tc>
          <w:tcPr>
            <w:tcW w:w="1345" w:type="dxa"/>
          </w:tcPr>
          <w:p w:rsidR="00084829" w:rsidRPr="00587CF6" w:rsidRDefault="00084829" w:rsidP="00DC2AC2">
            <w:pPr>
              <w:jc w:val="center"/>
              <w:rPr>
                <w:color w:val="000000"/>
              </w:rPr>
            </w:pPr>
            <w:r>
              <w:rPr>
                <w:color w:val="000000"/>
              </w:rPr>
              <w:lastRenderedPageBreak/>
              <w:t>11</w:t>
            </w:r>
          </w:p>
        </w:tc>
        <w:tc>
          <w:tcPr>
            <w:tcW w:w="3150" w:type="dxa"/>
            <w:noWrap/>
            <w:hideMark/>
          </w:tcPr>
          <w:p w:rsidR="00084829" w:rsidRPr="00587CF6" w:rsidRDefault="00084829" w:rsidP="00DC2AC2">
            <w:pPr>
              <w:jc w:val="center"/>
              <w:rPr>
                <w:color w:val="000000"/>
              </w:rPr>
            </w:pPr>
            <w:r w:rsidRPr="00587CF6">
              <w:rPr>
                <w:color w:val="000000"/>
              </w:rPr>
              <w:t>US 84 &amp; Main St</w:t>
            </w:r>
          </w:p>
        </w:tc>
        <w:tc>
          <w:tcPr>
            <w:tcW w:w="1890" w:type="dxa"/>
            <w:noWrap/>
            <w:hideMark/>
          </w:tcPr>
          <w:p w:rsidR="00084829" w:rsidRPr="00587CF6" w:rsidRDefault="00084829" w:rsidP="00DC2AC2">
            <w:pPr>
              <w:jc w:val="center"/>
              <w:rPr>
                <w:color w:val="000000"/>
              </w:rPr>
            </w:pPr>
            <w:r w:rsidRPr="00587CF6">
              <w:rPr>
                <w:color w:val="000000"/>
              </w:rPr>
              <w:t>Blackshear</w:t>
            </w:r>
          </w:p>
        </w:tc>
        <w:tc>
          <w:tcPr>
            <w:tcW w:w="1530" w:type="dxa"/>
            <w:noWrap/>
            <w:hideMark/>
          </w:tcPr>
          <w:p w:rsidR="00084829" w:rsidRPr="00587CF6" w:rsidRDefault="00084829" w:rsidP="00DC2AC2">
            <w:pPr>
              <w:jc w:val="center"/>
              <w:rPr>
                <w:color w:val="000000"/>
              </w:rPr>
            </w:pPr>
            <w:r>
              <w:rPr>
                <w:color w:val="000000"/>
              </w:rPr>
              <w:t>Pierce</w:t>
            </w:r>
          </w:p>
        </w:tc>
        <w:tc>
          <w:tcPr>
            <w:tcW w:w="1435" w:type="dxa"/>
            <w:noWrap/>
            <w:hideMark/>
          </w:tcPr>
          <w:p w:rsidR="00084829" w:rsidRPr="00587CF6" w:rsidRDefault="00084829" w:rsidP="00DC2AC2">
            <w:pPr>
              <w:jc w:val="center"/>
              <w:rPr>
                <w:color w:val="000000"/>
              </w:rPr>
            </w:pPr>
            <w:r w:rsidRPr="00587CF6">
              <w:rPr>
                <w:color w:val="000000"/>
              </w:rPr>
              <w:t>31516</w:t>
            </w:r>
          </w:p>
        </w:tc>
      </w:tr>
    </w:tbl>
    <w:p w:rsidR="00084829" w:rsidRDefault="00084829" w:rsidP="00084829"/>
    <w:p w:rsidR="00084829" w:rsidRDefault="00084829" w:rsidP="00084829">
      <w:pPr>
        <w:spacing w:line="360" w:lineRule="auto"/>
      </w:pPr>
      <w:r>
        <w:t>On June 7, 2023, American’s for Affordable Clean Energy (“AACE”) filed Comments on the Company’s Plan. The Company’s Plan and Term Sheet set forth general parameters of the Program’s operation, and AACE’s comments identified certain issues concerning implementation. On July 10, 2023 the Company filed a response to AACE’s Comments. The issues addressed in the Comments include:</w:t>
      </w:r>
    </w:p>
    <w:p w:rsidR="00131CA8" w:rsidRDefault="00131CA8" w:rsidP="00084829">
      <w:pPr>
        <w:spacing w:line="360" w:lineRule="auto"/>
      </w:pPr>
    </w:p>
    <w:p w:rsidR="00084829" w:rsidRDefault="00084829" w:rsidP="00084829">
      <w:pPr>
        <w:pStyle w:val="ListParagraph"/>
        <w:numPr>
          <w:ilvl w:val="0"/>
          <w:numId w:val="1"/>
        </w:numPr>
        <w:spacing w:line="360" w:lineRule="auto"/>
      </w:pPr>
      <w:r w:rsidRPr="00575288">
        <w:rPr>
          <w:b/>
        </w:rPr>
        <w:t>Replacement locations</w:t>
      </w:r>
      <w:r>
        <w:t xml:space="preserve"> – The Term Sheet provides an annual budget of $3 million for the program, and a stipulation that any proposed location is subject to a 60-day Right of First Refusal (“ROFR”) process. </w:t>
      </w:r>
    </w:p>
    <w:p w:rsidR="00084829" w:rsidRDefault="00084829" w:rsidP="00084829">
      <w:pPr>
        <w:pStyle w:val="ListParagraph"/>
        <w:spacing w:line="360" w:lineRule="auto"/>
      </w:pPr>
    </w:p>
    <w:p w:rsidR="00084829" w:rsidRDefault="00084829" w:rsidP="00084829">
      <w:pPr>
        <w:pStyle w:val="ListParagraph"/>
        <w:numPr>
          <w:ilvl w:val="0"/>
          <w:numId w:val="1"/>
        </w:numPr>
        <w:spacing w:line="360" w:lineRule="auto"/>
      </w:pPr>
      <w:r w:rsidRPr="00575288">
        <w:rPr>
          <w:b/>
        </w:rPr>
        <w:t>Eligibility</w:t>
      </w:r>
      <w:r>
        <w:t xml:space="preserve"> – AACE noted that proposed Location 11 (Blackshear) in Pierce County is a Tier 3 Tax Credit county according to the </w:t>
      </w:r>
      <w:r w:rsidRPr="009734BB">
        <w:t>Georgia Department of Community Affairs (“DCA”) 2022 Job Tax Credit Tier map (“2022 DCA Map”)</w:t>
      </w:r>
      <w:r>
        <w:t xml:space="preserve">. This is true, however, according to updated maps by the DCA, Pierce County is now defined as a Tier 2 county in accordance with </w:t>
      </w:r>
      <w:r w:rsidRPr="009734BB">
        <w:t>the DCA 2023 Job Tax Credit Tier map (“2023 DCA Map”)</w:t>
      </w:r>
      <w:r>
        <w:t xml:space="preserve">. </w:t>
      </w:r>
    </w:p>
    <w:p w:rsidR="00084829" w:rsidRDefault="00084829" w:rsidP="00084829">
      <w:pPr>
        <w:pStyle w:val="ListParagraph"/>
        <w:spacing w:line="360" w:lineRule="auto"/>
      </w:pPr>
    </w:p>
    <w:p w:rsidR="00084829" w:rsidRDefault="00084829" w:rsidP="00084829">
      <w:pPr>
        <w:pStyle w:val="ListParagraph"/>
        <w:numPr>
          <w:ilvl w:val="0"/>
          <w:numId w:val="1"/>
        </w:numPr>
        <w:spacing w:line="360" w:lineRule="auto"/>
      </w:pPr>
      <w:r w:rsidRPr="00575288">
        <w:rPr>
          <w:b/>
        </w:rPr>
        <w:t>15-mile restriction</w:t>
      </w:r>
      <w:r>
        <w:t xml:space="preserve"> – The Company supported AACE’s recommendation to measure the Program’s ROFR area limit to a 15-mile radius around the Company’s proposed location.</w:t>
      </w:r>
    </w:p>
    <w:p w:rsidR="00084829" w:rsidRDefault="00084829" w:rsidP="00084829">
      <w:pPr>
        <w:spacing w:line="360" w:lineRule="auto"/>
      </w:pPr>
    </w:p>
    <w:p w:rsidR="00084829" w:rsidRDefault="00084829" w:rsidP="00084829">
      <w:pPr>
        <w:spacing w:line="360" w:lineRule="auto"/>
        <w:ind w:firstLine="360"/>
      </w:pPr>
      <w:r>
        <w:t xml:space="preserve">Using the criteria above two (2) proposed locations had been selected under ROFR. The Blackshear location had been selected by </w:t>
      </w:r>
      <w:r w:rsidRPr="00B07C00">
        <w:t>Friendly Express Inc.</w:t>
      </w:r>
      <w:r>
        <w:t xml:space="preserve"> The Griffin Location had two proposed ROFRs, one is by Geo. H. Green Inc., filed April 29, 2023, and is beyond the 15-mile radius from GPC’s proposed location and located at 1552 Highway 85 South, Fayetteville, Georgia. The second location was by Silver Comet Energy filed on July 6, 2023 and is within a 15-mile radius from GPC’s proposed Location 6 and located at 1638 US Hwy 41, Griffin, GA 30224. These ROFR’s are shown in Figure 2 below. </w:t>
      </w:r>
    </w:p>
    <w:p w:rsidR="00084829" w:rsidRDefault="00084829" w:rsidP="00084829">
      <w:pPr>
        <w:spacing w:line="360" w:lineRule="auto"/>
        <w:ind w:firstLine="360"/>
      </w:pPr>
    </w:p>
    <w:p w:rsidR="00084829" w:rsidRDefault="00084829" w:rsidP="00084829">
      <w:pPr>
        <w:spacing w:line="360" w:lineRule="auto"/>
        <w:ind w:firstLine="360"/>
      </w:pPr>
    </w:p>
    <w:p w:rsidR="00084829" w:rsidRDefault="00084829" w:rsidP="00084829">
      <w:pPr>
        <w:spacing w:line="360" w:lineRule="auto"/>
        <w:ind w:firstLine="360"/>
      </w:pPr>
    </w:p>
    <w:p w:rsidR="005502C2" w:rsidRDefault="005502C2" w:rsidP="00084829">
      <w:pPr>
        <w:spacing w:line="360" w:lineRule="auto"/>
        <w:ind w:firstLine="360"/>
      </w:pPr>
      <w:bookmarkStart w:id="0" w:name="_GoBack"/>
      <w:bookmarkEnd w:id="0"/>
    </w:p>
    <w:p w:rsidR="00084829" w:rsidRDefault="00084829" w:rsidP="00084829">
      <w:pPr>
        <w:jc w:val="center"/>
      </w:pPr>
      <w:r>
        <w:lastRenderedPageBreak/>
        <w:t xml:space="preserve">Figure 2. ROFR Locations </w:t>
      </w:r>
    </w:p>
    <w:p w:rsidR="00084829" w:rsidRDefault="00084829" w:rsidP="00084829"/>
    <w:tbl>
      <w:tblPr>
        <w:tblStyle w:val="TableGrid"/>
        <w:tblW w:w="0" w:type="auto"/>
        <w:tblLook w:val="04A0" w:firstRow="1" w:lastRow="0" w:firstColumn="1" w:lastColumn="0" w:noHBand="0" w:noVBand="1"/>
      </w:tblPr>
      <w:tblGrid>
        <w:gridCol w:w="1070"/>
        <w:gridCol w:w="1445"/>
        <w:gridCol w:w="2970"/>
        <w:gridCol w:w="1530"/>
        <w:gridCol w:w="1260"/>
        <w:gridCol w:w="1075"/>
      </w:tblGrid>
      <w:tr w:rsidR="00084829" w:rsidRPr="00587CF6" w:rsidTr="00DC2AC2">
        <w:trPr>
          <w:trHeight w:val="288"/>
        </w:trPr>
        <w:tc>
          <w:tcPr>
            <w:tcW w:w="983" w:type="dxa"/>
          </w:tcPr>
          <w:p w:rsidR="00084829" w:rsidRPr="00587CF6" w:rsidRDefault="00084829" w:rsidP="00DC2AC2">
            <w:pPr>
              <w:jc w:val="center"/>
              <w:rPr>
                <w:b/>
                <w:color w:val="000000"/>
              </w:rPr>
            </w:pPr>
            <w:r>
              <w:rPr>
                <w:b/>
                <w:color w:val="000000"/>
              </w:rPr>
              <w:t>Number</w:t>
            </w:r>
          </w:p>
        </w:tc>
        <w:tc>
          <w:tcPr>
            <w:tcW w:w="1532" w:type="dxa"/>
          </w:tcPr>
          <w:p w:rsidR="00084829" w:rsidRPr="00587CF6" w:rsidRDefault="00084829" w:rsidP="00DC2AC2">
            <w:pPr>
              <w:jc w:val="center"/>
              <w:rPr>
                <w:b/>
                <w:color w:val="000000"/>
              </w:rPr>
            </w:pPr>
            <w:r>
              <w:rPr>
                <w:b/>
                <w:color w:val="000000"/>
              </w:rPr>
              <w:t>ROFR (Y/N)</w:t>
            </w:r>
          </w:p>
        </w:tc>
        <w:tc>
          <w:tcPr>
            <w:tcW w:w="2970" w:type="dxa"/>
            <w:noWrap/>
            <w:hideMark/>
          </w:tcPr>
          <w:p w:rsidR="00084829" w:rsidRPr="00587CF6" w:rsidRDefault="00084829" w:rsidP="00DC2AC2">
            <w:pPr>
              <w:jc w:val="center"/>
              <w:rPr>
                <w:b/>
                <w:color w:val="000000"/>
              </w:rPr>
            </w:pPr>
            <w:r w:rsidRPr="00587CF6">
              <w:rPr>
                <w:b/>
                <w:color w:val="000000"/>
              </w:rPr>
              <w:t>Proposed Location</w:t>
            </w:r>
          </w:p>
        </w:tc>
        <w:tc>
          <w:tcPr>
            <w:tcW w:w="1530" w:type="dxa"/>
            <w:noWrap/>
            <w:hideMark/>
          </w:tcPr>
          <w:p w:rsidR="00084829" w:rsidRPr="00587CF6" w:rsidRDefault="00084829" w:rsidP="00DC2AC2">
            <w:pPr>
              <w:jc w:val="center"/>
              <w:rPr>
                <w:b/>
                <w:color w:val="000000"/>
              </w:rPr>
            </w:pPr>
            <w:r w:rsidRPr="00587CF6">
              <w:rPr>
                <w:b/>
                <w:color w:val="000000"/>
              </w:rPr>
              <w:t>City</w:t>
            </w:r>
          </w:p>
        </w:tc>
        <w:tc>
          <w:tcPr>
            <w:tcW w:w="1260" w:type="dxa"/>
            <w:noWrap/>
            <w:hideMark/>
          </w:tcPr>
          <w:p w:rsidR="00084829" w:rsidRPr="00587CF6" w:rsidRDefault="00084829" w:rsidP="00DC2AC2">
            <w:pPr>
              <w:jc w:val="center"/>
              <w:rPr>
                <w:b/>
                <w:color w:val="000000"/>
              </w:rPr>
            </w:pPr>
            <w:r w:rsidRPr="00587CF6">
              <w:rPr>
                <w:b/>
                <w:color w:val="000000"/>
              </w:rPr>
              <w:t>County</w:t>
            </w:r>
          </w:p>
        </w:tc>
        <w:tc>
          <w:tcPr>
            <w:tcW w:w="1075" w:type="dxa"/>
            <w:noWrap/>
            <w:hideMark/>
          </w:tcPr>
          <w:p w:rsidR="00084829" w:rsidRPr="00587CF6" w:rsidRDefault="00084829" w:rsidP="00DC2AC2">
            <w:pPr>
              <w:jc w:val="center"/>
              <w:rPr>
                <w:b/>
                <w:color w:val="000000"/>
              </w:rPr>
            </w:pPr>
            <w:r w:rsidRPr="00587CF6">
              <w:rPr>
                <w:b/>
                <w:color w:val="000000"/>
              </w:rPr>
              <w:t>Zip Code</w:t>
            </w:r>
          </w:p>
        </w:tc>
      </w:tr>
      <w:tr w:rsidR="00084829" w:rsidRPr="00587CF6" w:rsidTr="00DC2AC2">
        <w:trPr>
          <w:trHeight w:val="288"/>
        </w:trPr>
        <w:tc>
          <w:tcPr>
            <w:tcW w:w="983" w:type="dxa"/>
          </w:tcPr>
          <w:p w:rsidR="00084829" w:rsidRPr="00587CF6" w:rsidRDefault="00084829" w:rsidP="00DC2AC2">
            <w:pPr>
              <w:jc w:val="center"/>
              <w:rPr>
                <w:color w:val="000000"/>
              </w:rPr>
            </w:pPr>
            <w:r>
              <w:rPr>
                <w:color w:val="000000"/>
              </w:rPr>
              <w:t>6</w:t>
            </w:r>
          </w:p>
        </w:tc>
        <w:tc>
          <w:tcPr>
            <w:tcW w:w="1532" w:type="dxa"/>
          </w:tcPr>
          <w:p w:rsidR="00084829" w:rsidRPr="00587CF6" w:rsidRDefault="00084829" w:rsidP="00DC2AC2">
            <w:pPr>
              <w:jc w:val="center"/>
              <w:rPr>
                <w:color w:val="000000"/>
              </w:rPr>
            </w:pPr>
            <w:r>
              <w:rPr>
                <w:color w:val="000000"/>
              </w:rPr>
              <w:t>Y</w:t>
            </w:r>
          </w:p>
        </w:tc>
        <w:tc>
          <w:tcPr>
            <w:tcW w:w="2970" w:type="dxa"/>
            <w:noWrap/>
            <w:hideMark/>
          </w:tcPr>
          <w:p w:rsidR="00084829" w:rsidRPr="00587CF6" w:rsidRDefault="00084829" w:rsidP="00DC2AC2">
            <w:pPr>
              <w:jc w:val="center"/>
              <w:rPr>
                <w:color w:val="000000"/>
              </w:rPr>
            </w:pPr>
            <w:r w:rsidRPr="00587CF6">
              <w:rPr>
                <w:color w:val="000000"/>
              </w:rPr>
              <w:t>US 19 &amp; US41</w:t>
            </w:r>
          </w:p>
        </w:tc>
        <w:tc>
          <w:tcPr>
            <w:tcW w:w="1530" w:type="dxa"/>
            <w:noWrap/>
            <w:hideMark/>
          </w:tcPr>
          <w:p w:rsidR="00084829" w:rsidRPr="00587CF6" w:rsidRDefault="00084829" w:rsidP="00DC2AC2">
            <w:pPr>
              <w:jc w:val="center"/>
              <w:rPr>
                <w:color w:val="000000"/>
              </w:rPr>
            </w:pPr>
            <w:r w:rsidRPr="00587CF6">
              <w:rPr>
                <w:color w:val="000000"/>
              </w:rPr>
              <w:t>Griffin</w:t>
            </w:r>
          </w:p>
        </w:tc>
        <w:tc>
          <w:tcPr>
            <w:tcW w:w="1260" w:type="dxa"/>
            <w:noWrap/>
            <w:hideMark/>
          </w:tcPr>
          <w:p w:rsidR="00084829" w:rsidRPr="00587CF6" w:rsidRDefault="00084829" w:rsidP="00DC2AC2">
            <w:pPr>
              <w:jc w:val="center"/>
              <w:rPr>
                <w:color w:val="000000"/>
              </w:rPr>
            </w:pPr>
            <w:r>
              <w:rPr>
                <w:color w:val="000000"/>
              </w:rPr>
              <w:t>Spalding</w:t>
            </w:r>
          </w:p>
        </w:tc>
        <w:tc>
          <w:tcPr>
            <w:tcW w:w="1075" w:type="dxa"/>
            <w:noWrap/>
            <w:hideMark/>
          </w:tcPr>
          <w:p w:rsidR="00084829" w:rsidRPr="00587CF6" w:rsidRDefault="00084829" w:rsidP="00DC2AC2">
            <w:pPr>
              <w:jc w:val="center"/>
              <w:rPr>
                <w:color w:val="000000"/>
              </w:rPr>
            </w:pPr>
            <w:r w:rsidRPr="00587CF6">
              <w:rPr>
                <w:color w:val="000000"/>
              </w:rPr>
              <w:t>30223</w:t>
            </w:r>
          </w:p>
        </w:tc>
      </w:tr>
      <w:tr w:rsidR="00084829" w:rsidRPr="00587CF6" w:rsidTr="00DC2AC2">
        <w:trPr>
          <w:trHeight w:val="288"/>
        </w:trPr>
        <w:tc>
          <w:tcPr>
            <w:tcW w:w="983" w:type="dxa"/>
          </w:tcPr>
          <w:p w:rsidR="00084829" w:rsidRPr="00587CF6" w:rsidRDefault="00084829" w:rsidP="00DC2AC2">
            <w:pPr>
              <w:jc w:val="center"/>
              <w:rPr>
                <w:color w:val="000000"/>
              </w:rPr>
            </w:pPr>
            <w:r>
              <w:rPr>
                <w:color w:val="000000"/>
              </w:rPr>
              <w:t>11</w:t>
            </w:r>
          </w:p>
        </w:tc>
        <w:tc>
          <w:tcPr>
            <w:tcW w:w="1532" w:type="dxa"/>
          </w:tcPr>
          <w:p w:rsidR="00084829" w:rsidRPr="00587CF6" w:rsidRDefault="00084829" w:rsidP="00DC2AC2">
            <w:pPr>
              <w:jc w:val="center"/>
              <w:rPr>
                <w:color w:val="000000"/>
              </w:rPr>
            </w:pPr>
            <w:r>
              <w:rPr>
                <w:color w:val="000000"/>
              </w:rPr>
              <w:t>Y</w:t>
            </w:r>
          </w:p>
        </w:tc>
        <w:tc>
          <w:tcPr>
            <w:tcW w:w="2970" w:type="dxa"/>
            <w:noWrap/>
            <w:hideMark/>
          </w:tcPr>
          <w:p w:rsidR="00084829" w:rsidRPr="00587CF6" w:rsidRDefault="00084829" w:rsidP="00DC2AC2">
            <w:pPr>
              <w:jc w:val="center"/>
              <w:rPr>
                <w:color w:val="000000"/>
              </w:rPr>
            </w:pPr>
            <w:r w:rsidRPr="00587CF6">
              <w:rPr>
                <w:color w:val="000000"/>
              </w:rPr>
              <w:t>US 84 &amp; Main St</w:t>
            </w:r>
          </w:p>
        </w:tc>
        <w:tc>
          <w:tcPr>
            <w:tcW w:w="1530" w:type="dxa"/>
            <w:noWrap/>
            <w:hideMark/>
          </w:tcPr>
          <w:p w:rsidR="00084829" w:rsidRPr="00587CF6" w:rsidRDefault="00084829" w:rsidP="00DC2AC2">
            <w:pPr>
              <w:jc w:val="center"/>
              <w:rPr>
                <w:color w:val="000000"/>
              </w:rPr>
            </w:pPr>
            <w:r w:rsidRPr="00587CF6">
              <w:rPr>
                <w:color w:val="000000"/>
              </w:rPr>
              <w:t>Blackshear</w:t>
            </w:r>
          </w:p>
        </w:tc>
        <w:tc>
          <w:tcPr>
            <w:tcW w:w="1260" w:type="dxa"/>
            <w:noWrap/>
            <w:hideMark/>
          </w:tcPr>
          <w:p w:rsidR="00084829" w:rsidRPr="00587CF6" w:rsidRDefault="00084829" w:rsidP="00DC2AC2">
            <w:pPr>
              <w:jc w:val="center"/>
              <w:rPr>
                <w:color w:val="000000"/>
              </w:rPr>
            </w:pPr>
            <w:r>
              <w:rPr>
                <w:color w:val="000000"/>
              </w:rPr>
              <w:t>Pierce</w:t>
            </w:r>
          </w:p>
        </w:tc>
        <w:tc>
          <w:tcPr>
            <w:tcW w:w="1075" w:type="dxa"/>
            <w:noWrap/>
            <w:hideMark/>
          </w:tcPr>
          <w:p w:rsidR="00084829" w:rsidRPr="00587CF6" w:rsidRDefault="00084829" w:rsidP="00DC2AC2">
            <w:pPr>
              <w:jc w:val="center"/>
              <w:rPr>
                <w:color w:val="000000"/>
              </w:rPr>
            </w:pPr>
            <w:r w:rsidRPr="00587CF6">
              <w:rPr>
                <w:color w:val="000000"/>
              </w:rPr>
              <w:t>31516</w:t>
            </w:r>
          </w:p>
        </w:tc>
      </w:tr>
    </w:tbl>
    <w:p w:rsidR="00084829" w:rsidRDefault="00084829" w:rsidP="00084829"/>
    <w:p w:rsidR="00084829" w:rsidRDefault="00084829" w:rsidP="00084829">
      <w:pPr>
        <w:spacing w:line="360" w:lineRule="auto"/>
        <w:ind w:firstLine="360"/>
      </w:pPr>
      <w:r>
        <w:t xml:space="preserve">In its response, the Company acknowledged the </w:t>
      </w:r>
      <w:r w:rsidRPr="00486829">
        <w:t xml:space="preserve">Term Sheet does not set forth a process to replace proposed charging locations </w:t>
      </w:r>
      <w:r>
        <w:t xml:space="preserve">selected under the </w:t>
      </w:r>
      <w:r w:rsidRPr="00486829">
        <w:t>ROFR</w:t>
      </w:r>
      <w:r>
        <w:t xml:space="preserve"> process. Since the</w:t>
      </w:r>
      <w:r w:rsidRPr="00486829">
        <w:t xml:space="preserve"> term sheet provides a $3 million annual budget for the Program</w:t>
      </w:r>
      <w:r>
        <w:t>, and is sufficient</w:t>
      </w:r>
      <w:r w:rsidRPr="00486829">
        <w:t xml:space="preserve"> for eleven (11) locations</w:t>
      </w:r>
      <w:r>
        <w:t xml:space="preserve">, </w:t>
      </w:r>
      <w:r w:rsidRPr="00486829">
        <w:t>Georgia Power</w:t>
      </w:r>
      <w:r>
        <w:t xml:space="preserve"> desires to</w:t>
      </w:r>
      <w:r w:rsidRPr="00486829">
        <w:t xml:space="preserve"> reserve the right to provide replacement locations for sites claimed by the market through a ROFR to utilize the complete budget</w:t>
      </w:r>
      <w:r>
        <w:t>. In such a scenario, the Company agreed that</w:t>
      </w:r>
      <w:r w:rsidRPr="00486829">
        <w:t xml:space="preserve"> proposed replacement locations will also be subject to all </w:t>
      </w:r>
      <w:r>
        <w:t xml:space="preserve">of </w:t>
      </w:r>
      <w:r w:rsidRPr="00486829">
        <w:t xml:space="preserve">the other requirements of the Term Sheet including a new 60-day ROFR process.  Due to the timing of this year’s filing, Georgia Power </w:t>
      </w:r>
      <w:r>
        <w:t>had informed Staff that it will not</w:t>
      </w:r>
      <w:r w:rsidRPr="00486829">
        <w:t xml:space="preserve"> recommend additional locations in 2023, but may </w:t>
      </w:r>
      <w:r>
        <w:t>propose</w:t>
      </w:r>
      <w:r w:rsidRPr="00486829">
        <w:t xml:space="preserve"> replacement Community Charging Program locations in 2024 and 2025 based on conditions at that time. </w:t>
      </w:r>
      <w:r w:rsidRPr="00CC1FBD">
        <w:t xml:space="preserve">Staff reserves its rights to challenge </w:t>
      </w:r>
      <w:r>
        <w:t>whether the Term Sheet contemplates or allows replacement locations. Although a budget for Community Charging stations has been approved, only t</w:t>
      </w:r>
      <w:r w:rsidRPr="00D7769A">
        <w:t>he Company’s actual costs incurred to own, operate and maintain approved community charging equipment may be recovered in its rates for retail electric service. GPC is not obligated to spend the full budget</w:t>
      </w:r>
      <w:r>
        <w:t xml:space="preserve">. </w:t>
      </w:r>
    </w:p>
    <w:p w:rsidR="00084829" w:rsidRDefault="00084829" w:rsidP="00084829">
      <w:pPr>
        <w:spacing w:line="360" w:lineRule="auto"/>
        <w:ind w:firstLine="360"/>
      </w:pPr>
    </w:p>
    <w:p w:rsidR="00084829" w:rsidRDefault="00084829" w:rsidP="00084829">
      <w:pPr>
        <w:spacing w:line="360" w:lineRule="auto"/>
        <w:ind w:firstLine="360"/>
      </w:pPr>
      <w:r>
        <w:t xml:space="preserve">On July 27, 2023 Staff recommended the Commission issue an order to approve the nine (9) remaining Community Charging locations presented in GPC’s Plan for the year 2023, to confirm that the most current DCA Maps will be used going forward, and to define the 15-miles restriction as the radius measured from GPC’s proposed locations. </w:t>
      </w:r>
    </w:p>
    <w:p w:rsidR="00084829" w:rsidRDefault="00084829" w:rsidP="00084829">
      <w:pPr>
        <w:spacing w:line="360" w:lineRule="auto"/>
        <w:ind w:firstLine="360"/>
      </w:pPr>
    </w:p>
    <w:p w:rsidR="00084829" w:rsidRDefault="00084829" w:rsidP="00084829">
      <w:pPr>
        <w:spacing w:line="360" w:lineRule="auto"/>
        <w:ind w:firstLine="360"/>
      </w:pPr>
      <w:r>
        <w:t xml:space="preserve">The Commission unanimously approved Staff’s recommendation at the August 1, 2023 Administrative Session. </w:t>
      </w:r>
    </w:p>
    <w:p w:rsidR="00084829" w:rsidRDefault="00084829" w:rsidP="00084829">
      <w:pPr>
        <w:spacing w:line="360" w:lineRule="auto"/>
        <w:ind w:firstLine="360"/>
      </w:pPr>
    </w:p>
    <w:p w:rsidR="00084829" w:rsidRDefault="00084829" w:rsidP="00084829">
      <w:pPr>
        <w:spacing w:line="360" w:lineRule="auto"/>
        <w:ind w:firstLine="360"/>
      </w:pPr>
    </w:p>
    <w:p w:rsidR="00084829" w:rsidRDefault="00084829" w:rsidP="00084829">
      <w:pPr>
        <w:spacing w:line="360" w:lineRule="auto"/>
        <w:ind w:firstLine="360"/>
      </w:pPr>
    </w:p>
    <w:p w:rsidR="00084829" w:rsidRDefault="00084829" w:rsidP="00084829">
      <w:pPr>
        <w:spacing w:line="360" w:lineRule="auto"/>
        <w:ind w:firstLine="360"/>
      </w:pPr>
    </w:p>
    <w:p w:rsidR="00084829" w:rsidRDefault="00084829" w:rsidP="00084829">
      <w:pPr>
        <w:spacing w:line="360" w:lineRule="auto"/>
        <w:ind w:right="720"/>
        <w:jc w:val="center"/>
      </w:pPr>
      <w:r>
        <w:lastRenderedPageBreak/>
        <w:t>* * * * * * * * * * * * *</w:t>
      </w:r>
    </w:p>
    <w:p w:rsidR="00084829" w:rsidRDefault="00084829" w:rsidP="00084829">
      <w:pPr>
        <w:spacing w:line="360" w:lineRule="auto"/>
        <w:ind w:right="720"/>
        <w:jc w:val="center"/>
      </w:pPr>
    </w:p>
    <w:p w:rsidR="00084829" w:rsidRDefault="00084829" w:rsidP="00084829">
      <w:pPr>
        <w:pStyle w:val="BodyText"/>
        <w:spacing w:after="360" w:line="360" w:lineRule="auto"/>
        <w:ind w:firstLine="720"/>
        <w:jc w:val="both"/>
        <w:rPr>
          <w:szCs w:val="24"/>
        </w:rPr>
      </w:pPr>
      <w:r>
        <w:rPr>
          <w:rFonts w:cs="Arial"/>
          <w:b/>
          <w:szCs w:val="24"/>
        </w:rPr>
        <w:t>WHEREFORE IT IS ORDERED</w:t>
      </w:r>
      <w:r>
        <w:rPr>
          <w:rFonts w:cs="Arial"/>
          <w:szCs w:val="24"/>
        </w:rPr>
        <w:t xml:space="preserve"> that Georgia Power Company’s nine (9) remaining Community Charging locations for the year 2023, are hereby approved. </w:t>
      </w:r>
    </w:p>
    <w:p w:rsidR="00084829" w:rsidRDefault="00084829" w:rsidP="00084829">
      <w:pPr>
        <w:spacing w:after="360" w:line="360" w:lineRule="auto"/>
        <w:ind w:firstLine="720"/>
        <w:jc w:val="both"/>
        <w:rPr>
          <w:rFonts w:cs="Arial"/>
        </w:rPr>
      </w:pPr>
      <w:r>
        <w:rPr>
          <w:rFonts w:cs="Arial"/>
          <w:b/>
        </w:rPr>
        <w:t>ORDERED FURTHER</w:t>
      </w:r>
      <w:r>
        <w:rPr>
          <w:rFonts w:cs="Arial"/>
        </w:rPr>
        <w:t>, that the most current Georgia Department of Community Affairs Job Tax Credit Tier maps for eligibility consideration in the Community Charging program are hereby adopted.</w:t>
      </w:r>
    </w:p>
    <w:p w:rsidR="00084829" w:rsidRDefault="00084829" w:rsidP="00084829">
      <w:pPr>
        <w:spacing w:after="360" w:line="360" w:lineRule="auto"/>
        <w:ind w:firstLine="720"/>
        <w:jc w:val="both"/>
        <w:rPr>
          <w:rFonts w:cs="Arial"/>
          <w:szCs w:val="22"/>
        </w:rPr>
      </w:pPr>
      <w:r>
        <w:rPr>
          <w:rFonts w:cs="Arial"/>
          <w:b/>
          <w:szCs w:val="22"/>
        </w:rPr>
        <w:t>ORDERED FURTHER</w:t>
      </w:r>
      <w:r>
        <w:rPr>
          <w:rFonts w:cs="Arial"/>
          <w:szCs w:val="22"/>
        </w:rPr>
        <w:t xml:space="preserve">, that a 15-mile radius restriction as measured around Georgia Power Company’s proposed locations for </w:t>
      </w:r>
      <w:r>
        <w:rPr>
          <w:rFonts w:cs="Arial"/>
        </w:rPr>
        <w:t>eligibility consideration in the Community Charging program</w:t>
      </w:r>
      <w:r>
        <w:rPr>
          <w:rFonts w:cs="Arial"/>
          <w:szCs w:val="22"/>
        </w:rPr>
        <w:t xml:space="preserve"> is hereby adopted.</w:t>
      </w:r>
    </w:p>
    <w:p w:rsidR="00084829" w:rsidRPr="0011160F" w:rsidRDefault="00084829" w:rsidP="00084829">
      <w:pPr>
        <w:spacing w:after="360" w:line="360" w:lineRule="auto"/>
        <w:ind w:firstLine="720"/>
        <w:jc w:val="both"/>
        <w:rPr>
          <w:rFonts w:cs="Arial"/>
          <w:b/>
          <w:szCs w:val="22"/>
        </w:rPr>
      </w:pPr>
      <w:r w:rsidRPr="0011160F">
        <w:rPr>
          <w:rFonts w:cs="Arial"/>
          <w:b/>
          <w:szCs w:val="22"/>
        </w:rPr>
        <w:t xml:space="preserve">ORDERED FURTHER, </w:t>
      </w:r>
      <w:r w:rsidRPr="00084829">
        <w:rPr>
          <w:rFonts w:cs="Arial"/>
          <w:szCs w:val="22"/>
        </w:rPr>
        <w:t>that a motion for reconsideration, rehearing, or oral argument or any other motion shall not stay the effective date of this Order, unless otherwise ordered by the Commission.</w:t>
      </w:r>
      <w:r>
        <w:rPr>
          <w:rFonts w:cs="Arial"/>
          <w:b/>
          <w:szCs w:val="22"/>
        </w:rPr>
        <w:t xml:space="preserve">  </w:t>
      </w:r>
    </w:p>
    <w:p w:rsidR="00084829" w:rsidRDefault="00084829" w:rsidP="00084829">
      <w:pPr>
        <w:spacing w:after="360" w:line="360" w:lineRule="auto"/>
        <w:ind w:firstLine="720"/>
        <w:jc w:val="both"/>
        <w:rPr>
          <w:rFonts w:cs="Arial"/>
          <w:b/>
          <w:szCs w:val="22"/>
        </w:rPr>
      </w:pPr>
      <w:r w:rsidRPr="0011160F">
        <w:rPr>
          <w:rFonts w:cs="Arial"/>
          <w:b/>
          <w:szCs w:val="22"/>
        </w:rPr>
        <w:t xml:space="preserve">ORDERED FURTHER, </w:t>
      </w:r>
      <w:r w:rsidRPr="00084829">
        <w:rPr>
          <w:rFonts w:cs="Arial"/>
          <w:szCs w:val="22"/>
        </w:rPr>
        <w:t>that jurisdiction over this matter is expressly retained for the purpose of entering such further Order or Orders as this Commission may deem just and proper.</w:t>
      </w:r>
    </w:p>
    <w:p w:rsidR="00084829" w:rsidRDefault="00084829" w:rsidP="00084829">
      <w:pPr>
        <w:spacing w:after="360" w:line="360" w:lineRule="auto"/>
        <w:ind w:firstLine="720"/>
        <w:jc w:val="both"/>
        <w:rPr>
          <w:rFonts w:cs="Arial"/>
          <w:szCs w:val="22"/>
        </w:rPr>
      </w:pPr>
      <w:r>
        <w:rPr>
          <w:rFonts w:cs="Arial"/>
          <w:szCs w:val="22"/>
        </w:rPr>
        <w:t>The above by action of the Commission in Administrative Session on the 1st</w:t>
      </w:r>
      <w:r>
        <w:rPr>
          <w:rFonts w:cs="Arial"/>
          <w:szCs w:val="22"/>
          <w:vertAlign w:val="superscript"/>
        </w:rPr>
        <w:t xml:space="preserve"> </w:t>
      </w:r>
      <w:r>
        <w:rPr>
          <w:rFonts w:cs="Arial"/>
          <w:szCs w:val="22"/>
        </w:rPr>
        <w:t>day of August, 2023.</w:t>
      </w:r>
    </w:p>
    <w:p w:rsidR="00084829" w:rsidRDefault="00084829" w:rsidP="00084829">
      <w:pPr>
        <w:jc w:val="both"/>
        <w:rPr>
          <w:rFonts w:cs="Arial"/>
          <w:szCs w:val="22"/>
        </w:rPr>
      </w:pPr>
    </w:p>
    <w:p w:rsidR="00084829" w:rsidRDefault="00084829" w:rsidP="00084829">
      <w:pPr>
        <w:jc w:val="both"/>
        <w:rPr>
          <w:rFonts w:cs="Arial"/>
          <w:szCs w:val="22"/>
        </w:rPr>
      </w:pPr>
    </w:p>
    <w:p w:rsidR="00084829" w:rsidRDefault="00084829" w:rsidP="00084829">
      <w:pPr>
        <w:jc w:val="both"/>
        <w:rPr>
          <w:rFonts w:cs="Arial"/>
          <w:szCs w:val="22"/>
        </w:rPr>
      </w:pPr>
      <w:r>
        <w:rPr>
          <w:rFonts w:cs="Arial"/>
          <w:szCs w:val="22"/>
        </w:rPr>
        <w:t>_________________________</w:t>
      </w:r>
      <w:r>
        <w:rPr>
          <w:rFonts w:cs="Arial"/>
          <w:szCs w:val="22"/>
        </w:rPr>
        <w:tab/>
      </w:r>
      <w:r>
        <w:rPr>
          <w:rFonts w:cs="Arial"/>
          <w:szCs w:val="22"/>
        </w:rPr>
        <w:tab/>
      </w:r>
      <w:r>
        <w:rPr>
          <w:rFonts w:cs="Arial"/>
          <w:szCs w:val="22"/>
        </w:rPr>
        <w:tab/>
        <w:t>_________________________</w:t>
      </w:r>
    </w:p>
    <w:p w:rsidR="00084829" w:rsidRDefault="00084829" w:rsidP="00084829">
      <w:pPr>
        <w:jc w:val="both"/>
        <w:rPr>
          <w:rFonts w:cs="Arial"/>
          <w:szCs w:val="22"/>
        </w:rPr>
      </w:pPr>
      <w:r>
        <w:rPr>
          <w:rFonts w:cs="Arial"/>
          <w:szCs w:val="22"/>
        </w:rPr>
        <w:t>Sallie Tanner</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Jason Shaw</w:t>
      </w:r>
    </w:p>
    <w:p w:rsidR="00084829" w:rsidRDefault="00084829" w:rsidP="00084829">
      <w:pPr>
        <w:jc w:val="both"/>
        <w:rPr>
          <w:rFonts w:cs="Arial"/>
          <w:szCs w:val="22"/>
        </w:rPr>
      </w:pPr>
      <w:r>
        <w:rPr>
          <w:rFonts w:cs="Arial"/>
          <w:szCs w:val="22"/>
        </w:rPr>
        <w:t>Executive Secretary</w:t>
      </w:r>
      <w:r>
        <w:rPr>
          <w:rFonts w:cs="Arial"/>
          <w:szCs w:val="22"/>
        </w:rPr>
        <w:tab/>
      </w:r>
      <w:r>
        <w:rPr>
          <w:rFonts w:cs="Arial"/>
          <w:szCs w:val="22"/>
        </w:rPr>
        <w:tab/>
      </w:r>
      <w:r>
        <w:rPr>
          <w:rFonts w:cs="Arial"/>
          <w:szCs w:val="22"/>
        </w:rPr>
        <w:tab/>
      </w:r>
      <w:r>
        <w:rPr>
          <w:rFonts w:cs="Arial"/>
          <w:szCs w:val="22"/>
        </w:rPr>
        <w:tab/>
      </w:r>
      <w:r>
        <w:rPr>
          <w:rFonts w:cs="Arial"/>
          <w:szCs w:val="22"/>
        </w:rPr>
        <w:tab/>
        <w:t>Chairman</w:t>
      </w:r>
    </w:p>
    <w:p w:rsidR="00084829" w:rsidRDefault="00084829" w:rsidP="00084829">
      <w:pPr>
        <w:jc w:val="both"/>
        <w:rPr>
          <w:rFonts w:cs="Arial"/>
          <w:szCs w:val="22"/>
        </w:rPr>
      </w:pPr>
    </w:p>
    <w:p w:rsidR="00084829" w:rsidRDefault="00084829" w:rsidP="00084829">
      <w:pPr>
        <w:jc w:val="both"/>
        <w:rPr>
          <w:rFonts w:cs="Arial"/>
          <w:szCs w:val="22"/>
        </w:rPr>
      </w:pPr>
    </w:p>
    <w:p w:rsidR="00084829" w:rsidRDefault="00084829" w:rsidP="00084829">
      <w:pPr>
        <w:jc w:val="both"/>
        <w:rPr>
          <w:rFonts w:cs="Arial"/>
          <w:szCs w:val="22"/>
        </w:rPr>
      </w:pPr>
    </w:p>
    <w:p w:rsidR="00084829" w:rsidRDefault="00084829" w:rsidP="00084829">
      <w:pPr>
        <w:jc w:val="both"/>
        <w:rPr>
          <w:rFonts w:cs="Arial"/>
          <w:szCs w:val="22"/>
        </w:rPr>
      </w:pPr>
      <w:r>
        <w:rPr>
          <w:rFonts w:cs="Arial"/>
          <w:szCs w:val="22"/>
        </w:rPr>
        <w:t>_________________________</w:t>
      </w:r>
      <w:r>
        <w:rPr>
          <w:rFonts w:cs="Arial"/>
          <w:szCs w:val="22"/>
        </w:rPr>
        <w:tab/>
      </w:r>
      <w:r>
        <w:rPr>
          <w:rFonts w:cs="Arial"/>
          <w:szCs w:val="22"/>
        </w:rPr>
        <w:tab/>
      </w:r>
      <w:r>
        <w:rPr>
          <w:rFonts w:cs="Arial"/>
          <w:szCs w:val="22"/>
        </w:rPr>
        <w:tab/>
        <w:t>__________________________</w:t>
      </w:r>
    </w:p>
    <w:p w:rsidR="00084829" w:rsidRDefault="00084829" w:rsidP="00084829">
      <w:pPr>
        <w:jc w:val="both"/>
        <w:rPr>
          <w:rFonts w:cs="Arial"/>
          <w:szCs w:val="22"/>
        </w:rPr>
      </w:pPr>
      <w:r>
        <w:rPr>
          <w:rFonts w:cs="Arial"/>
          <w:szCs w:val="22"/>
        </w:rPr>
        <w:t>Date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Date</w:t>
      </w:r>
    </w:p>
    <w:p w:rsidR="00084829" w:rsidRDefault="00084829" w:rsidP="00084829">
      <w:pPr>
        <w:spacing w:line="360" w:lineRule="auto"/>
        <w:ind w:firstLine="360"/>
      </w:pPr>
    </w:p>
    <w:p w:rsidR="00084829" w:rsidRDefault="00084829" w:rsidP="00084829">
      <w:pPr>
        <w:spacing w:line="360" w:lineRule="auto"/>
      </w:pPr>
    </w:p>
    <w:sectPr w:rsidR="00084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53D39"/>
    <w:multiLevelType w:val="hybridMultilevel"/>
    <w:tmpl w:val="C9B83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29"/>
    <w:rsid w:val="00084829"/>
    <w:rsid w:val="00131CA8"/>
    <w:rsid w:val="003944FB"/>
    <w:rsid w:val="005502C2"/>
    <w:rsid w:val="006D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0FF7509"/>
  <w15:chartTrackingRefBased/>
  <w15:docId w15:val="{0195C7DC-7EA2-45A7-B58E-F71A2100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8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4829"/>
    <w:pPr>
      <w:keepNext/>
      <w:widowControl w:val="0"/>
      <w:tabs>
        <w:tab w:val="center" w:pos="4680"/>
      </w:tabs>
      <w:autoSpaceDE w:val="0"/>
      <w:autoSpaceDN w:val="0"/>
      <w:adjustRightInd w:val="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829"/>
    <w:rPr>
      <w:rFonts w:ascii="Times New Roman" w:eastAsia="Times New Roman" w:hAnsi="Times New Roman" w:cs="Times New Roman"/>
      <w:sz w:val="24"/>
      <w:szCs w:val="24"/>
    </w:rPr>
  </w:style>
  <w:style w:type="character" w:styleId="Strong">
    <w:name w:val="Strong"/>
    <w:qFormat/>
    <w:rsid w:val="00084829"/>
    <w:rPr>
      <w:b/>
      <w:bCs w:val="0"/>
    </w:rPr>
  </w:style>
  <w:style w:type="paragraph" w:styleId="ListParagraph">
    <w:name w:val="List Paragraph"/>
    <w:basedOn w:val="Normal"/>
    <w:uiPriority w:val="34"/>
    <w:qFormat/>
    <w:rsid w:val="00084829"/>
    <w:pPr>
      <w:ind w:left="720"/>
    </w:pPr>
    <w:rPr>
      <w:rFonts w:ascii="Calibri" w:eastAsiaTheme="minorHAnsi" w:hAnsi="Calibri" w:cs="Calibri"/>
      <w:sz w:val="22"/>
      <w:szCs w:val="22"/>
    </w:rPr>
  </w:style>
  <w:style w:type="table" w:styleId="TableGrid">
    <w:name w:val="Table Grid"/>
    <w:basedOn w:val="TableNormal"/>
    <w:uiPriority w:val="39"/>
    <w:rsid w:val="00084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084829"/>
    <w:pPr>
      <w:spacing w:after="120"/>
    </w:pPr>
    <w:rPr>
      <w:szCs w:val="20"/>
    </w:rPr>
  </w:style>
  <w:style w:type="character" w:customStyle="1" w:styleId="BodyTextChar">
    <w:name w:val="Body Text Char"/>
    <w:basedOn w:val="DefaultParagraphFont"/>
    <w:link w:val="BodyText"/>
    <w:uiPriority w:val="99"/>
    <w:semiHidden/>
    <w:rsid w:val="0008482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Threatt</dc:creator>
  <cp:keywords/>
  <dc:description/>
  <cp:lastModifiedBy>William Threatt</cp:lastModifiedBy>
  <cp:revision>4</cp:revision>
  <dcterms:created xsi:type="dcterms:W3CDTF">2023-08-03T20:05:00Z</dcterms:created>
  <dcterms:modified xsi:type="dcterms:W3CDTF">2023-08-03T20:25:00Z</dcterms:modified>
</cp:coreProperties>
</file>