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3F2763" w:rsidRPr="00611A1D" w14:paraId="53BD6692" w14:textId="77777777" w:rsidTr="008065F6">
        <w:trPr>
          <w:trHeight w:val="1681"/>
          <w:jc w:val="center"/>
        </w:trPr>
        <w:tc>
          <w:tcPr>
            <w:tcW w:w="4358" w:type="dxa"/>
            <w:hideMark/>
          </w:tcPr>
          <w:p w14:paraId="7C825C5E" w14:textId="77777777" w:rsidR="003F2763" w:rsidRPr="00611A1D" w:rsidRDefault="003F2763" w:rsidP="008065F6">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301E7132" w14:textId="77777777" w:rsidR="00BA2A06" w:rsidRPr="00611A1D" w:rsidRDefault="00BA2A06" w:rsidP="008065F6">
            <w:pPr>
              <w:spacing w:line="276" w:lineRule="auto"/>
              <w:rPr>
                <w:rStyle w:val="Strong"/>
                <w:sz w:val="20"/>
                <w:szCs w:val="20"/>
              </w:rPr>
            </w:pPr>
          </w:p>
          <w:p w14:paraId="1AE94623" w14:textId="108492D5" w:rsidR="00E92FA4" w:rsidRPr="00611A1D" w:rsidRDefault="003A0D04" w:rsidP="008065F6">
            <w:pPr>
              <w:spacing w:line="276" w:lineRule="auto"/>
              <w:rPr>
                <w:rStyle w:val="Strong"/>
                <w:sz w:val="20"/>
                <w:szCs w:val="20"/>
              </w:rPr>
            </w:pPr>
            <w:r>
              <w:rPr>
                <w:rStyle w:val="Strong"/>
                <w:sz w:val="20"/>
                <w:szCs w:val="20"/>
              </w:rPr>
              <w:t>JASON SHAW</w:t>
            </w:r>
            <w:r w:rsidR="00994AB6" w:rsidRPr="00611A1D">
              <w:rPr>
                <w:rStyle w:val="Strong"/>
                <w:sz w:val="20"/>
                <w:szCs w:val="20"/>
              </w:rPr>
              <w:t xml:space="preserve">, Chairman </w:t>
            </w:r>
          </w:p>
          <w:p w14:paraId="02345E52" w14:textId="77777777" w:rsidR="001D0747" w:rsidRPr="00611A1D" w:rsidRDefault="00E92FA4" w:rsidP="0006325A">
            <w:pPr>
              <w:tabs>
                <w:tab w:val="right" w:pos="4189"/>
              </w:tabs>
              <w:spacing w:line="276" w:lineRule="auto"/>
              <w:rPr>
                <w:rStyle w:val="Strong"/>
                <w:sz w:val="20"/>
                <w:szCs w:val="20"/>
              </w:rPr>
            </w:pPr>
            <w:r w:rsidRPr="00611A1D">
              <w:rPr>
                <w:rStyle w:val="Strong"/>
                <w:sz w:val="20"/>
                <w:szCs w:val="20"/>
              </w:rPr>
              <w:t>TIM G. ECHOLS, Vice-Chairman</w:t>
            </w:r>
            <w:r w:rsidR="0006325A">
              <w:rPr>
                <w:rStyle w:val="Strong"/>
                <w:sz w:val="20"/>
                <w:szCs w:val="20"/>
              </w:rPr>
              <w:tab/>
              <w:t xml:space="preserve">   </w:t>
            </w:r>
          </w:p>
          <w:p w14:paraId="2E132CB5" w14:textId="77777777" w:rsidR="006862E4" w:rsidRPr="00611A1D" w:rsidRDefault="001D0747" w:rsidP="008065F6">
            <w:pPr>
              <w:spacing w:line="276" w:lineRule="auto"/>
              <w:rPr>
                <w:rStyle w:val="Strong"/>
                <w:sz w:val="20"/>
                <w:szCs w:val="20"/>
              </w:rPr>
            </w:pPr>
            <w:r w:rsidRPr="00611A1D">
              <w:rPr>
                <w:rStyle w:val="Strong"/>
                <w:sz w:val="20"/>
                <w:szCs w:val="20"/>
              </w:rPr>
              <w:t>FITZ JOHNSON</w:t>
            </w:r>
            <w:r w:rsidR="00994AB6" w:rsidRPr="00611A1D">
              <w:rPr>
                <w:rStyle w:val="Strong"/>
                <w:sz w:val="20"/>
                <w:szCs w:val="20"/>
              </w:rPr>
              <w:t xml:space="preserve"> </w:t>
            </w:r>
          </w:p>
          <w:p w14:paraId="30A6E915" w14:textId="1515A1A7" w:rsidR="003F2763" w:rsidRDefault="003F2763" w:rsidP="006862E4">
            <w:pPr>
              <w:spacing w:line="276" w:lineRule="auto"/>
            </w:pPr>
            <w:r w:rsidRPr="00611A1D">
              <w:rPr>
                <w:rStyle w:val="Strong"/>
                <w:sz w:val="20"/>
                <w:szCs w:val="20"/>
              </w:rPr>
              <w:t>LAU</w:t>
            </w:r>
            <w:r w:rsidR="00994AB6" w:rsidRPr="00611A1D">
              <w:rPr>
                <w:rStyle w:val="Strong"/>
                <w:sz w:val="20"/>
                <w:szCs w:val="20"/>
              </w:rPr>
              <w:t>REN “BUBBA” McDONALD</w:t>
            </w:r>
            <w:r w:rsidRPr="00611A1D">
              <w:rPr>
                <w:rStyle w:val="Strong"/>
                <w:sz w:val="20"/>
                <w:szCs w:val="20"/>
              </w:rPr>
              <w:t xml:space="preserve">                                  </w:t>
            </w:r>
            <w:r w:rsidRPr="00611A1D">
              <w:rPr>
                <w:b/>
                <w:sz w:val="20"/>
                <w:szCs w:val="20"/>
              </w:rPr>
              <w:br/>
            </w:r>
            <w:r w:rsidR="003A0D04">
              <w:rPr>
                <w:rStyle w:val="Strong"/>
                <w:sz w:val="20"/>
                <w:szCs w:val="20"/>
              </w:rPr>
              <w:t>TRICIA PRIDEMORE</w:t>
            </w:r>
            <w:r>
              <w:rPr>
                <w:rStyle w:val="Strong"/>
                <w:rFonts w:ascii="Arial Black" w:hAnsi="Arial Black"/>
                <w:sz w:val="16"/>
                <w:szCs w:val="16"/>
              </w:rPr>
              <w:t xml:space="preserve">                          </w:t>
            </w:r>
            <w:r>
              <w:rPr>
                <w:rFonts w:ascii="Arial Black" w:hAnsi="Arial Black"/>
                <w:b/>
                <w:sz w:val="16"/>
                <w:szCs w:val="16"/>
              </w:rPr>
              <w:br/>
            </w:r>
          </w:p>
        </w:tc>
        <w:tc>
          <w:tcPr>
            <w:tcW w:w="2970" w:type="dxa"/>
            <w:hideMark/>
          </w:tcPr>
          <w:p w14:paraId="0E48A67F" w14:textId="77777777" w:rsidR="003F2763" w:rsidRDefault="008F38EF" w:rsidP="001C4F42">
            <w:pPr>
              <w:tabs>
                <w:tab w:val="left" w:pos="1410"/>
              </w:tabs>
              <w:spacing w:line="276" w:lineRule="auto"/>
            </w:pPr>
            <w:r>
              <w:t xml:space="preserve"> </w:t>
            </w:r>
            <w:r w:rsidR="0006325A">
              <w:t xml:space="preserve">   </w:t>
            </w:r>
            <w:r w:rsidR="001F00F3" w:rsidRPr="00A958CB">
              <w:rPr>
                <w:noProof/>
              </w:rPr>
              <w:drawing>
                <wp:inline distT="0" distB="0" distL="0" distR="0" wp14:anchorId="6258780E" wp14:editId="7702A765">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5" cstate="print">
                            <a:biLevel thresh="75000"/>
                            <a:extLst>
                              <a:ext uri="{BEBA8EAE-BF5A-486C-A8C5-ECC9F3942E4B}">
                                <a14:imgProps xmlns:a14="http://schemas.microsoft.com/office/drawing/2010/main">
                                  <a14:imgLayer r:embed="rId6">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1427FDC7" w14:textId="77777777" w:rsidR="00BA2A06" w:rsidRPr="00611A1D" w:rsidRDefault="00BA2A06" w:rsidP="00611A1D">
            <w:pPr>
              <w:spacing w:line="276" w:lineRule="auto"/>
              <w:rPr>
                <w:b/>
                <w:sz w:val="20"/>
                <w:szCs w:val="20"/>
              </w:rPr>
            </w:pPr>
          </w:p>
          <w:p w14:paraId="5D3F7224" w14:textId="77777777" w:rsidR="003F2763" w:rsidRPr="00611A1D" w:rsidRDefault="00467B71" w:rsidP="008065F6">
            <w:pPr>
              <w:spacing w:line="276" w:lineRule="auto"/>
              <w:jc w:val="right"/>
              <w:rPr>
                <w:b/>
                <w:sz w:val="20"/>
                <w:szCs w:val="20"/>
              </w:rPr>
            </w:pPr>
            <w:r w:rsidRPr="00611A1D">
              <w:rPr>
                <w:b/>
                <w:sz w:val="20"/>
                <w:szCs w:val="20"/>
              </w:rPr>
              <w:t>REECE McALISTER</w:t>
            </w:r>
            <w:r w:rsidR="003F2763" w:rsidRPr="00611A1D">
              <w:rPr>
                <w:b/>
                <w:sz w:val="20"/>
                <w:szCs w:val="20"/>
              </w:rPr>
              <w:t> </w:t>
            </w:r>
          </w:p>
          <w:p w14:paraId="660AA76B" w14:textId="77777777" w:rsidR="005529E4" w:rsidRPr="00611A1D" w:rsidRDefault="00467B71" w:rsidP="008065F6">
            <w:pPr>
              <w:spacing w:line="276" w:lineRule="auto"/>
              <w:jc w:val="right"/>
              <w:rPr>
                <w:b/>
                <w:sz w:val="20"/>
                <w:szCs w:val="20"/>
              </w:rPr>
            </w:pPr>
            <w:r w:rsidRPr="00611A1D">
              <w:rPr>
                <w:b/>
                <w:sz w:val="20"/>
                <w:szCs w:val="20"/>
              </w:rPr>
              <w:t>EXECUTIVE DIRECTOR</w:t>
            </w:r>
          </w:p>
          <w:p w14:paraId="41C593A1" w14:textId="77777777" w:rsidR="003F2763" w:rsidRPr="00611A1D" w:rsidRDefault="003F2763" w:rsidP="00467B71">
            <w:pPr>
              <w:spacing w:line="276" w:lineRule="auto"/>
              <w:jc w:val="right"/>
              <w:rPr>
                <w:sz w:val="20"/>
                <w:szCs w:val="20"/>
              </w:rPr>
            </w:pPr>
            <w:r w:rsidRPr="00611A1D">
              <w:rPr>
                <w:b/>
                <w:sz w:val="20"/>
                <w:szCs w:val="20"/>
              </w:rPr>
              <w:t xml:space="preserve"> </w:t>
            </w:r>
            <w:r w:rsidRPr="00611A1D">
              <w:rPr>
                <w:b/>
                <w:sz w:val="20"/>
                <w:szCs w:val="20"/>
              </w:rPr>
              <w:br/>
            </w:r>
            <w:r w:rsidR="00467B71" w:rsidRPr="00611A1D">
              <w:rPr>
                <w:b/>
                <w:sz w:val="20"/>
                <w:szCs w:val="20"/>
              </w:rPr>
              <w:t>SALLIE TANNER</w:t>
            </w:r>
            <w:r w:rsidRPr="00611A1D">
              <w:rPr>
                <w:b/>
                <w:sz w:val="20"/>
                <w:szCs w:val="20"/>
              </w:rPr>
              <w:br/>
              <w:t>EXECUTIVE SECRETARY</w:t>
            </w:r>
          </w:p>
        </w:tc>
      </w:tr>
      <w:tr w:rsidR="003F2763" w14:paraId="4F4DF02C" w14:textId="77777777" w:rsidTr="008065F6">
        <w:trPr>
          <w:trHeight w:val="772"/>
          <w:jc w:val="center"/>
        </w:trPr>
        <w:tc>
          <w:tcPr>
            <w:tcW w:w="11056" w:type="dxa"/>
            <w:gridSpan w:val="3"/>
            <w:hideMark/>
          </w:tcPr>
          <w:p w14:paraId="2414DC23" w14:textId="77777777" w:rsidR="003F2763" w:rsidRDefault="00897E9B" w:rsidP="0048564B">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w:t>
            </w:r>
            <w:r w:rsidR="003F2763">
              <w:rPr>
                <w:rFonts w:ascii="Old English Text MT" w:hAnsi="Old English Text MT"/>
                <w:sz w:val="42"/>
              </w:rPr>
              <w:t>Georgia Public Service Commission</w:t>
            </w:r>
          </w:p>
        </w:tc>
      </w:tr>
      <w:tr w:rsidR="003F2763" w14:paraId="112B004E" w14:textId="77777777" w:rsidTr="008065F6">
        <w:trPr>
          <w:jc w:val="center"/>
        </w:trPr>
        <w:tc>
          <w:tcPr>
            <w:tcW w:w="4358" w:type="dxa"/>
            <w:hideMark/>
          </w:tcPr>
          <w:p w14:paraId="7C03B06E" w14:textId="77777777" w:rsidR="003F2763" w:rsidRDefault="003F2763" w:rsidP="008065F6">
            <w:pPr>
              <w:spacing w:line="276" w:lineRule="auto"/>
              <w:rPr>
                <w:rFonts w:cs="Arial"/>
                <w:b/>
                <w:bCs/>
                <w:sz w:val="17"/>
                <w:szCs w:val="17"/>
              </w:rPr>
            </w:pPr>
            <w:r>
              <w:rPr>
                <w:rFonts w:cs="Arial"/>
                <w:b/>
                <w:bCs/>
                <w:sz w:val="17"/>
                <w:szCs w:val="17"/>
              </w:rPr>
              <w:t>(404) 656-4501</w:t>
            </w:r>
          </w:p>
          <w:p w14:paraId="3494741B" w14:textId="77777777" w:rsidR="003F2763" w:rsidRDefault="003F2763" w:rsidP="008065F6">
            <w:pPr>
              <w:spacing w:line="276" w:lineRule="auto"/>
              <w:rPr>
                <w:rFonts w:cs="Arial"/>
                <w:b/>
                <w:bCs/>
              </w:rPr>
            </w:pPr>
            <w:r>
              <w:rPr>
                <w:rFonts w:cs="Arial"/>
                <w:b/>
                <w:bCs/>
                <w:sz w:val="17"/>
                <w:szCs w:val="17"/>
              </w:rPr>
              <w:t>(800) 282-5813</w:t>
            </w:r>
          </w:p>
        </w:tc>
        <w:tc>
          <w:tcPr>
            <w:tcW w:w="2970" w:type="dxa"/>
            <w:hideMark/>
          </w:tcPr>
          <w:p w14:paraId="3E370B4C" w14:textId="77777777" w:rsidR="003F2763" w:rsidRDefault="003F2763" w:rsidP="0048564B">
            <w:pPr>
              <w:tabs>
                <w:tab w:val="left" w:pos="1410"/>
              </w:tabs>
              <w:spacing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60B93421" w14:textId="77777777" w:rsidR="0011770D" w:rsidRDefault="0011770D" w:rsidP="0011770D">
            <w:pPr>
              <w:spacing w:line="276" w:lineRule="auto"/>
              <w:jc w:val="right"/>
              <w:rPr>
                <w:rFonts w:cs="Arial"/>
                <w:b/>
                <w:bCs/>
                <w:sz w:val="17"/>
                <w:szCs w:val="17"/>
              </w:rPr>
            </w:pPr>
            <w:r>
              <w:rPr>
                <w:rFonts w:cs="Arial"/>
                <w:b/>
                <w:bCs/>
                <w:sz w:val="17"/>
                <w:szCs w:val="17"/>
              </w:rPr>
              <w:t xml:space="preserve">FAX: </w:t>
            </w:r>
            <w:r w:rsidR="003F2763">
              <w:rPr>
                <w:rFonts w:cs="Arial"/>
                <w:b/>
                <w:bCs/>
                <w:sz w:val="17"/>
                <w:szCs w:val="17"/>
              </w:rPr>
              <w:t xml:space="preserve">(404) 656-2341                   </w:t>
            </w:r>
          </w:p>
          <w:p w14:paraId="3C11C7CE" w14:textId="77777777" w:rsidR="003F2763" w:rsidRDefault="003F2763" w:rsidP="0011770D">
            <w:pPr>
              <w:spacing w:line="276" w:lineRule="auto"/>
              <w:jc w:val="right"/>
              <w:rPr>
                <w:rFonts w:cs="Arial"/>
                <w:b/>
                <w:bCs/>
              </w:rPr>
            </w:pPr>
            <w:r>
              <w:rPr>
                <w:rFonts w:cs="Arial"/>
                <w:b/>
                <w:bCs/>
                <w:sz w:val="17"/>
                <w:szCs w:val="17"/>
              </w:rPr>
              <w:t>psc.ga.</w:t>
            </w:r>
            <w:r w:rsidR="0011770D">
              <w:rPr>
                <w:rFonts w:cs="Arial"/>
                <w:b/>
                <w:bCs/>
                <w:sz w:val="17"/>
                <w:szCs w:val="17"/>
              </w:rPr>
              <w:t>gov</w:t>
            </w:r>
          </w:p>
        </w:tc>
      </w:tr>
      <w:tr w:rsidR="0011770D" w14:paraId="4CC70E55" w14:textId="77777777" w:rsidTr="008065F6">
        <w:trPr>
          <w:jc w:val="center"/>
        </w:trPr>
        <w:tc>
          <w:tcPr>
            <w:tcW w:w="4358" w:type="dxa"/>
          </w:tcPr>
          <w:p w14:paraId="39B77B57" w14:textId="77777777" w:rsidR="0011770D" w:rsidRDefault="0011770D" w:rsidP="008065F6">
            <w:pPr>
              <w:spacing w:line="276" w:lineRule="auto"/>
              <w:rPr>
                <w:rFonts w:cs="Arial"/>
                <w:b/>
                <w:bCs/>
                <w:sz w:val="17"/>
                <w:szCs w:val="17"/>
              </w:rPr>
            </w:pPr>
          </w:p>
        </w:tc>
        <w:tc>
          <w:tcPr>
            <w:tcW w:w="2970" w:type="dxa"/>
          </w:tcPr>
          <w:p w14:paraId="4F038BA0" w14:textId="77777777" w:rsidR="0011770D" w:rsidRDefault="0011770D" w:rsidP="0048564B">
            <w:pPr>
              <w:tabs>
                <w:tab w:val="left" w:pos="1410"/>
              </w:tabs>
              <w:spacing w:line="276" w:lineRule="auto"/>
              <w:jc w:val="center"/>
              <w:rPr>
                <w:rFonts w:cs="Arial"/>
                <w:b/>
                <w:sz w:val="17"/>
                <w:szCs w:val="17"/>
              </w:rPr>
            </w:pPr>
          </w:p>
        </w:tc>
        <w:tc>
          <w:tcPr>
            <w:tcW w:w="3728" w:type="dxa"/>
          </w:tcPr>
          <w:p w14:paraId="56105CDB" w14:textId="77777777" w:rsidR="0011770D" w:rsidRDefault="0011770D" w:rsidP="0011770D">
            <w:pPr>
              <w:spacing w:line="276" w:lineRule="auto"/>
              <w:jc w:val="right"/>
              <w:rPr>
                <w:rFonts w:cs="Arial"/>
                <w:b/>
                <w:bCs/>
                <w:sz w:val="17"/>
                <w:szCs w:val="17"/>
              </w:rPr>
            </w:pPr>
          </w:p>
        </w:tc>
      </w:tr>
    </w:tbl>
    <w:p w14:paraId="0B7DA561" w14:textId="77777777" w:rsidR="003F2763" w:rsidRDefault="003F2763" w:rsidP="003F2763">
      <w:pPr>
        <w:rPr>
          <w:color w:val="FF0000"/>
        </w:rPr>
      </w:pPr>
    </w:p>
    <w:p w14:paraId="6E3E2D30" w14:textId="77777777" w:rsidR="003F2763" w:rsidRDefault="003F2763" w:rsidP="003F2763">
      <w:pPr>
        <w:pStyle w:val="Heading1"/>
      </w:pPr>
    </w:p>
    <w:p w14:paraId="36F3E9F4" w14:textId="77777777" w:rsidR="002C645A" w:rsidRPr="002C645A" w:rsidRDefault="002C645A" w:rsidP="002C645A">
      <w:pPr>
        <w:widowControl w:val="0"/>
        <w:tabs>
          <w:tab w:val="center" w:pos="4680"/>
        </w:tabs>
        <w:autoSpaceDE w:val="0"/>
        <w:autoSpaceDN w:val="0"/>
        <w:adjustRightInd w:val="0"/>
        <w:jc w:val="center"/>
        <w:rPr>
          <w:b/>
        </w:rPr>
      </w:pPr>
      <w:r w:rsidRPr="002C645A">
        <w:rPr>
          <w:b/>
        </w:rPr>
        <w:t>Docket No. 42516</w:t>
      </w:r>
    </w:p>
    <w:p w14:paraId="46631387" w14:textId="77777777" w:rsidR="002C645A" w:rsidRPr="002C645A" w:rsidRDefault="002C645A" w:rsidP="002C645A">
      <w:pPr>
        <w:widowControl w:val="0"/>
        <w:tabs>
          <w:tab w:val="center" w:pos="4680"/>
        </w:tabs>
        <w:autoSpaceDE w:val="0"/>
        <w:autoSpaceDN w:val="0"/>
        <w:adjustRightInd w:val="0"/>
        <w:jc w:val="center"/>
        <w:rPr>
          <w:b/>
        </w:rPr>
      </w:pPr>
      <w:r w:rsidRPr="002C645A">
        <w:rPr>
          <w:b/>
        </w:rPr>
        <w:t>In Re: Georgia Power Company’s 2019 Rate Case</w:t>
      </w:r>
    </w:p>
    <w:p w14:paraId="61F0EC5F" w14:textId="77777777" w:rsidR="002C645A" w:rsidRPr="002C645A" w:rsidRDefault="002C645A" w:rsidP="002C645A">
      <w:pPr>
        <w:jc w:val="center"/>
        <w:rPr>
          <w:b/>
          <w:bCs/>
        </w:rPr>
      </w:pPr>
    </w:p>
    <w:p w14:paraId="72A8D98B" w14:textId="77777777" w:rsidR="002C645A" w:rsidRPr="002C645A" w:rsidRDefault="002C645A" w:rsidP="002C645A">
      <w:pPr>
        <w:jc w:val="center"/>
        <w:rPr>
          <w:b/>
          <w:bCs/>
        </w:rPr>
      </w:pPr>
      <w:r w:rsidRPr="002C645A">
        <w:rPr>
          <w:b/>
          <w:bCs/>
        </w:rPr>
        <w:t>Order on Georgia Power Company’s</w:t>
      </w:r>
    </w:p>
    <w:p w14:paraId="52AE8BF3" w14:textId="77777777" w:rsidR="002C645A" w:rsidRPr="002C645A" w:rsidRDefault="002C645A" w:rsidP="002C645A">
      <w:pPr>
        <w:jc w:val="center"/>
        <w:rPr>
          <w:b/>
          <w:bCs/>
        </w:rPr>
      </w:pPr>
      <w:r w:rsidRPr="002C645A">
        <w:rPr>
          <w:b/>
          <w:bCs/>
        </w:rPr>
        <w:t>2022 Annual Surveillance Report</w:t>
      </w:r>
    </w:p>
    <w:p w14:paraId="0D3BDD32" w14:textId="77777777" w:rsidR="002C645A" w:rsidRPr="002C645A" w:rsidRDefault="002C645A" w:rsidP="002C645A">
      <w:pPr>
        <w:rPr>
          <w:rFonts w:ascii="Arial" w:eastAsia="Calibri" w:hAnsi="Arial" w:cs="Arial"/>
          <w:color w:val="000000"/>
          <w:sz w:val="20"/>
          <w:szCs w:val="20"/>
        </w:rPr>
      </w:pPr>
    </w:p>
    <w:p w14:paraId="4CA17A90" w14:textId="77777777" w:rsidR="002C645A" w:rsidRPr="002C645A" w:rsidRDefault="002C645A" w:rsidP="002C645A">
      <w:pPr>
        <w:jc w:val="both"/>
        <w:rPr>
          <w:rFonts w:eastAsia="Calibri"/>
        </w:rPr>
      </w:pPr>
    </w:p>
    <w:p w14:paraId="69E7D761" w14:textId="77777777" w:rsidR="002C645A" w:rsidRPr="002C645A" w:rsidRDefault="002C645A" w:rsidP="002C645A">
      <w:pPr>
        <w:numPr>
          <w:ilvl w:val="0"/>
          <w:numId w:val="2"/>
        </w:numPr>
        <w:ind w:left="360"/>
        <w:jc w:val="center"/>
        <w:rPr>
          <w:rFonts w:eastAsia="Calibri"/>
          <w:b/>
          <w:u w:val="single"/>
        </w:rPr>
      </w:pPr>
      <w:r w:rsidRPr="002C645A">
        <w:rPr>
          <w:rFonts w:eastAsia="Calibri"/>
          <w:b/>
          <w:u w:val="single"/>
        </w:rPr>
        <w:t>BACKGROUND</w:t>
      </w:r>
    </w:p>
    <w:p w14:paraId="7E3E81BF" w14:textId="77777777" w:rsidR="002C645A" w:rsidRPr="002C645A" w:rsidRDefault="002C645A" w:rsidP="002C645A">
      <w:pPr>
        <w:jc w:val="both"/>
        <w:rPr>
          <w:rFonts w:eastAsia="Calibri"/>
        </w:rPr>
      </w:pPr>
    </w:p>
    <w:p w14:paraId="3F04709A" w14:textId="77777777" w:rsidR="002C645A" w:rsidRPr="002C645A" w:rsidRDefault="002C645A" w:rsidP="002C645A">
      <w:pPr>
        <w:ind w:firstLine="360"/>
        <w:jc w:val="both"/>
      </w:pPr>
      <w:r w:rsidRPr="002C645A">
        <w:rPr>
          <w:rFonts w:eastAsia="Calibri"/>
        </w:rPr>
        <w:t xml:space="preserve">The Georgia Public Service Commission’s (“Commission”) Short Order Adopting Settlement Agreement as Modified in Docket No. 42516, dated December 17, 2019 (“December 17, </w:t>
      </w:r>
      <w:proofErr w:type="gramStart"/>
      <w:r w:rsidRPr="002C645A">
        <w:rPr>
          <w:rFonts w:eastAsia="Calibri"/>
        </w:rPr>
        <w:t>2019</w:t>
      </w:r>
      <w:proofErr w:type="gramEnd"/>
      <w:r w:rsidRPr="002C645A">
        <w:rPr>
          <w:rFonts w:eastAsia="Calibri"/>
        </w:rPr>
        <w:t xml:space="preserve"> Short Order”), provided that rates would be set using a 10.5% return on equity (“ROE”) with an earnings dead band between 9.5% and 12.00% retail ROE.</w:t>
      </w:r>
      <w:r w:rsidRPr="002C645A">
        <w:rPr>
          <w:rFonts w:eastAsia="Calibri"/>
          <w:color w:val="C00000"/>
        </w:rPr>
        <w:t xml:space="preserve">  </w:t>
      </w:r>
      <w:r w:rsidRPr="002C645A">
        <w:t xml:space="preserve">The December 17, </w:t>
      </w:r>
      <w:proofErr w:type="gramStart"/>
      <w:r w:rsidRPr="002C645A">
        <w:t>2019</w:t>
      </w:r>
      <w:proofErr w:type="gramEnd"/>
      <w:r w:rsidRPr="002C645A">
        <w:t xml:space="preserve"> Short Order, adopted a Settlement Agreement among Georgia Power Company (“Georgia Power”, "GPC", or “Company”), the City of Atlanta, Commercial Group, Georgia Industrial Group, Georgia Association of Manufacturers, Metropolitan Atlanta Transit Authority, and Kroger Company, which, established a three-year Alternative Rate Plan with rates that became effective on January 1, 2020 and set to continue through December 31, 2022.</w:t>
      </w:r>
    </w:p>
    <w:p w14:paraId="2860934C" w14:textId="77777777" w:rsidR="002C645A" w:rsidRPr="002C645A" w:rsidRDefault="002C645A" w:rsidP="002C645A">
      <w:pPr>
        <w:ind w:firstLine="720"/>
        <w:jc w:val="both"/>
      </w:pPr>
    </w:p>
    <w:p w14:paraId="1BFF8BCD" w14:textId="77777777" w:rsidR="002C645A" w:rsidRPr="002C645A" w:rsidRDefault="002C645A" w:rsidP="002C645A">
      <w:pPr>
        <w:ind w:firstLine="720"/>
        <w:jc w:val="both"/>
      </w:pPr>
      <w:r w:rsidRPr="002C645A">
        <w:t xml:space="preserve">The Company makes its Annual Surveillance Report (“ASR”) filings </w:t>
      </w:r>
      <w:proofErr w:type="gramStart"/>
      <w:r w:rsidRPr="002C645A">
        <w:t>in order to</w:t>
      </w:r>
      <w:proofErr w:type="gramEnd"/>
      <w:r w:rsidRPr="002C645A">
        <w:t xml:space="preserve"> determine its earned ROE and to address the return of excess amounts above the 12.00% upper end of the earnings dead band.  Pursuant to the </w:t>
      </w:r>
      <w:r w:rsidRPr="002C645A">
        <w:rPr>
          <w:rFonts w:eastAsia="Calibri"/>
        </w:rPr>
        <w:t xml:space="preserve">December 17, </w:t>
      </w:r>
      <w:proofErr w:type="gramStart"/>
      <w:r w:rsidRPr="002C645A">
        <w:rPr>
          <w:rFonts w:eastAsia="Calibri"/>
        </w:rPr>
        <w:t>2019</w:t>
      </w:r>
      <w:proofErr w:type="gramEnd"/>
      <w:r w:rsidRPr="002C645A">
        <w:rPr>
          <w:rFonts w:eastAsia="Calibri"/>
        </w:rPr>
        <w:t xml:space="preserve"> Short Order</w:t>
      </w:r>
      <w:r w:rsidRPr="002C645A">
        <w:t>, earnings above the 12.00% retail ROE are to be shared, with 40% being applied to regulatory assets, 40% being directly refunded to customers and 20% retained by the Company.  For the twelve months ended December 31, 2022, the Company reported earnings of 13.69% ROE, with excess revenues of $292.798 million.</w:t>
      </w:r>
      <w:r w:rsidRPr="002C645A">
        <w:rPr>
          <w:rFonts w:eastAsia="Calibri"/>
        </w:rPr>
        <w:t xml:space="preserve">  </w:t>
      </w:r>
      <w:r w:rsidRPr="002C645A">
        <w:t xml:space="preserve">In according with the December 17, </w:t>
      </w:r>
      <w:proofErr w:type="gramStart"/>
      <w:r w:rsidRPr="002C645A">
        <w:t>2019</w:t>
      </w:r>
      <w:proofErr w:type="gramEnd"/>
      <w:r w:rsidRPr="002C645A">
        <w:t xml:space="preserve"> Short Order; 40% or approximately $117.119 million shall be applied to regulatory assets related to combustion coal residuals and asset retirement obligations (“CCR ARO”), 40% or approximately $117.119 million shall be directly refunded to ratepayers and the remaining 20% or approximately $58.560 million shall be retained by the Company.</w:t>
      </w:r>
    </w:p>
    <w:p w14:paraId="35A2EC00" w14:textId="77777777" w:rsidR="002C645A" w:rsidRPr="002C645A" w:rsidRDefault="002C645A" w:rsidP="002C645A">
      <w:pPr>
        <w:ind w:firstLine="360"/>
        <w:jc w:val="both"/>
        <w:rPr>
          <w:rFonts w:eastAsia="Calibri"/>
        </w:rPr>
      </w:pPr>
    </w:p>
    <w:p w14:paraId="46447C23" w14:textId="77777777" w:rsidR="002C645A" w:rsidRPr="002C645A" w:rsidRDefault="002C645A" w:rsidP="002C645A">
      <w:pPr>
        <w:jc w:val="both"/>
      </w:pPr>
    </w:p>
    <w:p w14:paraId="4C5B3723" w14:textId="77777777" w:rsidR="002C645A" w:rsidRPr="002C645A" w:rsidRDefault="002C645A" w:rsidP="002C645A">
      <w:pPr>
        <w:numPr>
          <w:ilvl w:val="0"/>
          <w:numId w:val="2"/>
        </w:numPr>
        <w:ind w:left="360"/>
        <w:contextualSpacing/>
        <w:jc w:val="center"/>
        <w:rPr>
          <w:b/>
        </w:rPr>
      </w:pPr>
      <w:r w:rsidRPr="002C645A">
        <w:rPr>
          <w:b/>
          <w:u w:val="single"/>
        </w:rPr>
        <w:lastRenderedPageBreak/>
        <w:t>FINDINGS OF FACT</w:t>
      </w:r>
    </w:p>
    <w:p w14:paraId="625F0D2F" w14:textId="77777777" w:rsidR="002C645A" w:rsidRPr="002C645A" w:rsidRDefault="002C645A" w:rsidP="002C645A">
      <w:pPr>
        <w:spacing w:before="240" w:after="240"/>
        <w:ind w:firstLine="360"/>
        <w:jc w:val="both"/>
        <w:rPr>
          <w:rFonts w:eastAsia="Calibri"/>
        </w:rPr>
      </w:pPr>
      <w:r w:rsidRPr="002C645A">
        <w:rPr>
          <w:rFonts w:eastAsia="Calibri"/>
        </w:rPr>
        <w:t>The Commission’s Public Interest Advocacy Staff (“Staff”) conducted an extensive review of the Company’s 2022 ASR filing in order to: (i) replicate and verify the Company’s return on equity calculation, (ii</w:t>
      </w:r>
      <w:proofErr w:type="gramStart"/>
      <w:r w:rsidRPr="002C645A">
        <w:rPr>
          <w:rFonts w:eastAsia="Calibri"/>
        </w:rPr>
        <w:t>)  ensure</w:t>
      </w:r>
      <w:proofErr w:type="gramEnd"/>
      <w:r w:rsidRPr="002C645A">
        <w:rPr>
          <w:rFonts w:eastAsia="Calibri"/>
        </w:rPr>
        <w:t xml:space="preserve"> the Company’s regulatory adjustments were made in compliance with Commission orders, and (iii)  identify any issue(s) and/or adjustment(s) needed to the Company’s filing.  On July 10, 2023, Staff filed its Summary Report on Georgia Power Company’s 2022 Annual Retail Surveillance Report (“Summary Report”).  Staff’s Summary Report included the following issues and recommendations:  </w:t>
      </w:r>
    </w:p>
    <w:p w14:paraId="7389AB3F" w14:textId="77777777" w:rsidR="002C645A" w:rsidRPr="002C645A" w:rsidRDefault="002C645A" w:rsidP="002C645A">
      <w:pPr>
        <w:spacing w:before="240" w:after="240"/>
        <w:ind w:firstLine="360"/>
        <w:jc w:val="both"/>
        <w:rPr>
          <w:rFonts w:eastAsia="Calibri"/>
        </w:rPr>
      </w:pPr>
      <w:r w:rsidRPr="002C645A">
        <w:rPr>
          <w:rFonts w:eastAsia="Calibri"/>
        </w:rPr>
        <w:t>Staff recommends that $117.119 million be applied to regulatory assets related to CCR ARO obligations, $117.119 million be refunded to ratepayers and $58.560 million be retained by the company, in agreement with the Short Order Adopting Settlement Agreement as Modified in Docket No. 42516.</w:t>
      </w:r>
    </w:p>
    <w:p w14:paraId="037B94AA" w14:textId="77777777" w:rsidR="002C645A" w:rsidRPr="002C645A" w:rsidRDefault="002C645A" w:rsidP="002C645A">
      <w:pPr>
        <w:spacing w:before="240" w:after="240"/>
        <w:ind w:firstLine="360"/>
        <w:jc w:val="center"/>
        <w:rPr>
          <w:rFonts w:eastAsia="Calibri"/>
          <w:b/>
        </w:rPr>
      </w:pPr>
      <w:r w:rsidRPr="002C645A">
        <w:rPr>
          <w:rFonts w:eastAsia="Calibri"/>
          <w:b/>
        </w:rPr>
        <w:t xml:space="preserve">Plant Held </w:t>
      </w:r>
      <w:proofErr w:type="gramStart"/>
      <w:r w:rsidRPr="002C645A">
        <w:rPr>
          <w:rFonts w:eastAsia="Calibri"/>
          <w:b/>
        </w:rPr>
        <w:t>For</w:t>
      </w:r>
      <w:proofErr w:type="gramEnd"/>
      <w:r w:rsidRPr="002C645A">
        <w:rPr>
          <w:rFonts w:eastAsia="Calibri"/>
          <w:b/>
        </w:rPr>
        <w:t xml:space="preserve"> Future Use</w:t>
      </w:r>
    </w:p>
    <w:p w14:paraId="3702EC24" w14:textId="77777777" w:rsidR="002C645A" w:rsidRPr="002C645A" w:rsidRDefault="002C645A" w:rsidP="002C645A">
      <w:pPr>
        <w:spacing w:before="240" w:after="240"/>
        <w:ind w:firstLine="360"/>
        <w:jc w:val="both"/>
        <w:rPr>
          <w:rFonts w:eastAsia="Calibri"/>
        </w:rPr>
      </w:pPr>
      <w:r w:rsidRPr="002C645A">
        <w:rPr>
          <w:rFonts w:eastAsia="Calibri"/>
        </w:rPr>
        <w:t>Staff recommends that the Company continue to review land held in the PHFFU account through quarterly meetings and reclassification of land with no intended use into non-utility property.</w:t>
      </w:r>
    </w:p>
    <w:p w14:paraId="0629E544" w14:textId="77777777" w:rsidR="002C645A" w:rsidRPr="002C645A" w:rsidRDefault="002C645A" w:rsidP="002C645A">
      <w:pPr>
        <w:spacing w:before="240" w:after="240"/>
        <w:ind w:firstLine="360"/>
        <w:jc w:val="center"/>
        <w:rPr>
          <w:rFonts w:eastAsia="Calibri"/>
          <w:b/>
        </w:rPr>
      </w:pPr>
      <w:r w:rsidRPr="002C645A">
        <w:rPr>
          <w:rFonts w:eastAsia="Calibri"/>
          <w:b/>
        </w:rPr>
        <w:t>Research &amp; Experimentation Tax Credit</w:t>
      </w:r>
    </w:p>
    <w:p w14:paraId="104D206C" w14:textId="77777777" w:rsidR="002C645A" w:rsidRPr="002C645A" w:rsidRDefault="002C645A" w:rsidP="002C645A">
      <w:pPr>
        <w:spacing w:before="240" w:after="240"/>
        <w:ind w:firstLine="360"/>
        <w:jc w:val="both"/>
        <w:rPr>
          <w:rFonts w:eastAsia="Calibri"/>
        </w:rPr>
      </w:pPr>
      <w:r w:rsidRPr="002C645A">
        <w:rPr>
          <w:rFonts w:eastAsia="Calibri"/>
        </w:rPr>
        <w:t xml:space="preserve">In lieu of recommending a specific adjustment, Staff recommends a conditional adjustment whereby if the Company’s final 2022 federal income tax return results in additional earnings for calendar year 2022 due to the impact of R&amp;E credits, then those additional earnings should be applied to the benefit of ratepayers.      </w:t>
      </w:r>
    </w:p>
    <w:p w14:paraId="79E183FB" w14:textId="77777777" w:rsidR="002C645A" w:rsidRPr="002C645A" w:rsidRDefault="002C645A" w:rsidP="002C645A">
      <w:pPr>
        <w:numPr>
          <w:ilvl w:val="0"/>
          <w:numId w:val="2"/>
        </w:numPr>
        <w:spacing w:after="200" w:line="276" w:lineRule="auto"/>
        <w:ind w:left="360"/>
        <w:contextualSpacing/>
        <w:jc w:val="center"/>
        <w:rPr>
          <w:rFonts w:eastAsia="Calibri"/>
          <w:b/>
          <w:u w:val="single"/>
        </w:rPr>
      </w:pPr>
      <w:r w:rsidRPr="002C645A">
        <w:rPr>
          <w:rFonts w:eastAsia="Calibri"/>
          <w:b/>
          <w:u w:val="single"/>
        </w:rPr>
        <w:t>SUMMARY</w:t>
      </w:r>
    </w:p>
    <w:p w14:paraId="5B912F97" w14:textId="77777777" w:rsidR="002C645A" w:rsidRPr="002C645A" w:rsidRDefault="002C645A" w:rsidP="002C645A">
      <w:pPr>
        <w:ind w:firstLine="360"/>
        <w:jc w:val="both"/>
        <w:rPr>
          <w:rFonts w:eastAsia="Calibri"/>
          <w:lang w:eastAsia="x-none"/>
        </w:rPr>
      </w:pPr>
      <w:r w:rsidRPr="002C645A">
        <w:rPr>
          <w:rFonts w:eastAsia="Calibri"/>
          <w:lang w:eastAsia="x-none"/>
        </w:rPr>
        <w:t xml:space="preserve">At the Commission’s July 13, </w:t>
      </w:r>
      <w:proofErr w:type="gramStart"/>
      <w:r w:rsidRPr="002C645A">
        <w:rPr>
          <w:rFonts w:eastAsia="Calibri"/>
          <w:lang w:eastAsia="x-none"/>
        </w:rPr>
        <w:t>2023</w:t>
      </w:r>
      <w:proofErr w:type="gramEnd"/>
      <w:r w:rsidRPr="002C645A">
        <w:rPr>
          <w:rFonts w:eastAsia="Calibri"/>
          <w:lang w:eastAsia="x-none"/>
        </w:rPr>
        <w:t xml:space="preserve"> Energy Committee meeting, Staff recommended the Commission approve the recommendations identified in the 2022 ASR Summary Report as a fair resolution of the issues presented in the 2022 ASR Summary Report.</w:t>
      </w:r>
    </w:p>
    <w:p w14:paraId="6BDB93FC" w14:textId="77777777" w:rsidR="002C645A" w:rsidRPr="002C645A" w:rsidRDefault="002C645A" w:rsidP="002C645A">
      <w:pPr>
        <w:ind w:firstLine="720"/>
        <w:jc w:val="both"/>
        <w:rPr>
          <w:rFonts w:eastAsia="Calibri"/>
          <w:lang w:eastAsia="x-none"/>
        </w:rPr>
      </w:pPr>
    </w:p>
    <w:p w14:paraId="61C92C79" w14:textId="77777777" w:rsidR="002C645A" w:rsidRPr="002C645A" w:rsidRDefault="002C645A" w:rsidP="002C645A">
      <w:pPr>
        <w:ind w:firstLine="360"/>
        <w:jc w:val="both"/>
        <w:rPr>
          <w:color w:val="FF0000"/>
        </w:rPr>
      </w:pPr>
      <w:r w:rsidRPr="002C645A">
        <w:t xml:space="preserve">The Commission hereby approves Staff’s Summary Report on the 2022 ASR.    </w:t>
      </w:r>
    </w:p>
    <w:p w14:paraId="7DBBF698" w14:textId="77777777" w:rsidR="002C645A" w:rsidRPr="002C645A" w:rsidRDefault="002C645A" w:rsidP="002C645A">
      <w:pPr>
        <w:jc w:val="both"/>
        <w:rPr>
          <w:color w:val="FF0000"/>
        </w:rPr>
      </w:pPr>
    </w:p>
    <w:p w14:paraId="2EF020DA" w14:textId="77777777" w:rsidR="002C645A" w:rsidRPr="002C645A" w:rsidRDefault="002C645A" w:rsidP="002C645A">
      <w:pPr>
        <w:widowControl w:val="0"/>
        <w:jc w:val="center"/>
        <w:rPr>
          <w:rFonts w:eastAsia="Calibri"/>
        </w:rPr>
      </w:pPr>
      <w:r w:rsidRPr="002C645A">
        <w:rPr>
          <w:rFonts w:eastAsia="Calibri"/>
        </w:rPr>
        <w:t>*     *     *     *     *</w:t>
      </w:r>
    </w:p>
    <w:p w14:paraId="4D2919F2" w14:textId="77777777" w:rsidR="002C645A" w:rsidRPr="002C645A" w:rsidRDefault="002C645A" w:rsidP="002C645A">
      <w:pPr>
        <w:widowControl w:val="0"/>
        <w:jc w:val="both"/>
        <w:rPr>
          <w:rFonts w:eastAsia="Calibri"/>
        </w:rPr>
      </w:pPr>
    </w:p>
    <w:p w14:paraId="3CD52F15" w14:textId="77777777" w:rsidR="002C645A" w:rsidRPr="002C645A" w:rsidRDefault="002C645A" w:rsidP="002C645A">
      <w:pPr>
        <w:ind w:firstLine="720"/>
        <w:jc w:val="both"/>
      </w:pPr>
      <w:r w:rsidRPr="002C645A">
        <w:rPr>
          <w:b/>
          <w:bCs/>
        </w:rPr>
        <w:t>WHEREFORE IT IS</w:t>
      </w:r>
      <w:r w:rsidRPr="002C645A">
        <w:t xml:space="preserve"> </w:t>
      </w:r>
      <w:proofErr w:type="gramStart"/>
      <w:r w:rsidRPr="002C645A">
        <w:rPr>
          <w:b/>
          <w:bCs/>
        </w:rPr>
        <w:t>ORDERED</w:t>
      </w:r>
      <w:r w:rsidRPr="002C645A">
        <w:t>,</w:t>
      </w:r>
      <w:proofErr w:type="gramEnd"/>
      <w:r w:rsidRPr="002C645A">
        <w:t xml:space="preserve"> that Staff’s Summary Report on Georgia Power Company’s Annual Retail Surveillance for calendar year 2022, including Staff’s recommendations</w:t>
      </w:r>
      <w:r w:rsidRPr="002C645A">
        <w:rPr>
          <w:rFonts w:eastAsia="Calibri"/>
          <w:lang w:eastAsia="x-none"/>
        </w:rPr>
        <w:t>,</w:t>
      </w:r>
      <w:r w:rsidRPr="002C645A">
        <w:t xml:space="preserve"> are hereby adopted.  </w:t>
      </w:r>
    </w:p>
    <w:p w14:paraId="597C0E1F" w14:textId="77777777" w:rsidR="002C645A" w:rsidRPr="002C645A" w:rsidRDefault="002C645A" w:rsidP="002C645A">
      <w:pPr>
        <w:ind w:firstLine="720"/>
        <w:jc w:val="both"/>
      </w:pPr>
    </w:p>
    <w:p w14:paraId="07369EC5" w14:textId="77777777" w:rsidR="002C645A" w:rsidRPr="002C645A" w:rsidRDefault="002C645A" w:rsidP="002C645A">
      <w:pPr>
        <w:ind w:firstLine="720"/>
        <w:jc w:val="both"/>
      </w:pPr>
      <w:r w:rsidRPr="002C645A">
        <w:rPr>
          <w:b/>
        </w:rPr>
        <w:t>ORDERED FURTHER,</w:t>
      </w:r>
      <w:r w:rsidRPr="002C645A">
        <w:t xml:space="preserve"> that the Commission finds Georgia Power’s Retail Return on Equity for 2022 was 13.69%. </w:t>
      </w:r>
    </w:p>
    <w:p w14:paraId="5575A76F" w14:textId="77777777" w:rsidR="002C645A" w:rsidRPr="002C645A" w:rsidRDefault="002C645A" w:rsidP="002C645A">
      <w:pPr>
        <w:ind w:firstLine="720"/>
        <w:jc w:val="both"/>
        <w:rPr>
          <w:lang w:val="x-none" w:eastAsia="x-none"/>
        </w:rPr>
      </w:pPr>
    </w:p>
    <w:p w14:paraId="1DA52C30" w14:textId="77777777" w:rsidR="002C645A" w:rsidRPr="002C645A" w:rsidRDefault="002C645A" w:rsidP="002C645A">
      <w:pPr>
        <w:ind w:firstLine="720"/>
        <w:jc w:val="both"/>
        <w:rPr>
          <w:rFonts w:eastAsia="Calibri"/>
          <w:b/>
          <w:bCs/>
          <w:lang w:val="x-none" w:eastAsia="x-none"/>
        </w:rPr>
      </w:pPr>
      <w:r w:rsidRPr="002C645A">
        <w:rPr>
          <w:rFonts w:eastAsia="Calibri"/>
          <w:b/>
        </w:rPr>
        <w:t>ORDERED FURTHER</w:t>
      </w:r>
      <w:r w:rsidRPr="002C645A">
        <w:rPr>
          <w:rFonts w:eastAsia="Calibri"/>
          <w:b/>
          <w:bCs/>
        </w:rPr>
        <w:t>,</w:t>
      </w:r>
      <w:r w:rsidRPr="002C645A">
        <w:rPr>
          <w:rFonts w:eastAsia="Calibri"/>
          <w:bCs/>
        </w:rPr>
        <w:t xml:space="preserve"> that Georgia Power shall document compliance within 90 days of this Order.</w:t>
      </w:r>
    </w:p>
    <w:p w14:paraId="649CDF43" w14:textId="77777777" w:rsidR="002C645A" w:rsidRPr="002C645A" w:rsidRDefault="002C645A" w:rsidP="002C645A">
      <w:pPr>
        <w:jc w:val="both"/>
        <w:rPr>
          <w:rFonts w:eastAsia="Calibri"/>
        </w:rPr>
      </w:pPr>
      <w:r w:rsidRPr="002C645A">
        <w:rPr>
          <w:rFonts w:eastAsia="Calibri"/>
          <w:bCs/>
        </w:rPr>
        <w:t xml:space="preserve">   </w:t>
      </w:r>
    </w:p>
    <w:p w14:paraId="712E0586" w14:textId="77777777" w:rsidR="002C645A" w:rsidRPr="002C645A" w:rsidRDefault="002C645A" w:rsidP="002C645A">
      <w:pPr>
        <w:ind w:firstLine="720"/>
        <w:jc w:val="both"/>
        <w:rPr>
          <w:rFonts w:eastAsia="Calibri"/>
        </w:rPr>
      </w:pPr>
      <w:r w:rsidRPr="002C645A">
        <w:rPr>
          <w:rFonts w:eastAsia="Calibri"/>
          <w:b/>
          <w:bCs/>
        </w:rPr>
        <w:lastRenderedPageBreak/>
        <w:t>ORDERED FURTHER</w:t>
      </w:r>
      <w:r w:rsidRPr="002C645A">
        <w:rPr>
          <w:rFonts w:eastAsia="Calibri"/>
        </w:rPr>
        <w:t>, that a motion for reconsideration, rehearing or oral argument or any other motion shall not stay the effective date of this Order, unless otherwise ordered by the Commission.</w:t>
      </w:r>
    </w:p>
    <w:p w14:paraId="0D96CD02" w14:textId="77777777" w:rsidR="002C645A" w:rsidRPr="002C645A" w:rsidRDefault="002C645A" w:rsidP="002C645A">
      <w:pPr>
        <w:ind w:firstLine="720"/>
        <w:jc w:val="both"/>
        <w:rPr>
          <w:rFonts w:eastAsia="Calibri"/>
        </w:rPr>
      </w:pPr>
    </w:p>
    <w:p w14:paraId="6D438BC8" w14:textId="77777777" w:rsidR="002C645A" w:rsidRPr="002C645A" w:rsidRDefault="002C645A" w:rsidP="002C645A">
      <w:pPr>
        <w:jc w:val="both"/>
        <w:rPr>
          <w:rFonts w:eastAsia="Calibri"/>
        </w:rPr>
      </w:pPr>
      <w:r w:rsidRPr="002C645A">
        <w:rPr>
          <w:rFonts w:eastAsia="Calibri"/>
        </w:rPr>
        <w:tab/>
      </w:r>
      <w:r w:rsidRPr="002C645A">
        <w:rPr>
          <w:rFonts w:eastAsia="Calibri"/>
          <w:b/>
          <w:bCs/>
        </w:rPr>
        <w:t>ORDERED FURTHER</w:t>
      </w:r>
      <w:r w:rsidRPr="002C645A">
        <w:rPr>
          <w:rFonts w:eastAsia="Calibri"/>
        </w:rPr>
        <w:t>, that jurisdiction over this matter is expressly retained for the purpose of entering such further Order or Orders as this Commission may deem just and proper.</w:t>
      </w:r>
    </w:p>
    <w:p w14:paraId="5356717D" w14:textId="77777777" w:rsidR="002C645A" w:rsidRPr="002C645A" w:rsidRDefault="002C645A" w:rsidP="002C645A">
      <w:pPr>
        <w:jc w:val="both"/>
        <w:rPr>
          <w:rFonts w:eastAsia="Calibri"/>
        </w:rPr>
      </w:pPr>
    </w:p>
    <w:p w14:paraId="364CAFBD" w14:textId="77777777" w:rsidR="002C645A" w:rsidRPr="002C645A" w:rsidRDefault="002C645A" w:rsidP="002C645A">
      <w:pPr>
        <w:jc w:val="both"/>
        <w:rPr>
          <w:rFonts w:eastAsia="Calibri"/>
        </w:rPr>
      </w:pPr>
      <w:r w:rsidRPr="002C645A">
        <w:rPr>
          <w:rFonts w:eastAsia="Calibri"/>
        </w:rPr>
        <w:t>The above by the action of the Commission in Administrative Session on the 20th day of July 2023.</w:t>
      </w:r>
    </w:p>
    <w:p w14:paraId="36FEABA5" w14:textId="77777777" w:rsidR="002C645A" w:rsidRPr="002C645A" w:rsidRDefault="002C645A" w:rsidP="002C645A">
      <w:pPr>
        <w:jc w:val="both"/>
        <w:rPr>
          <w:rFonts w:eastAsia="Calibri"/>
          <w:u w:val="single"/>
        </w:rPr>
      </w:pPr>
    </w:p>
    <w:p w14:paraId="630BA571" w14:textId="77777777" w:rsidR="002C645A" w:rsidRPr="002C645A" w:rsidRDefault="002C645A" w:rsidP="002C645A">
      <w:pPr>
        <w:jc w:val="both"/>
        <w:rPr>
          <w:rFonts w:eastAsia="Calibri"/>
          <w:u w:val="single"/>
        </w:rPr>
      </w:pPr>
      <w:r w:rsidRPr="002C645A">
        <w:rPr>
          <w:rFonts w:eastAsia="Calibri"/>
          <w:u w:val="single"/>
        </w:rPr>
        <w:tab/>
      </w:r>
      <w:r w:rsidRPr="002C645A">
        <w:rPr>
          <w:rFonts w:eastAsia="Calibri"/>
          <w:u w:val="single"/>
        </w:rPr>
        <w:tab/>
      </w:r>
      <w:r w:rsidRPr="002C645A">
        <w:rPr>
          <w:rFonts w:eastAsia="Calibri"/>
          <w:u w:val="single"/>
        </w:rPr>
        <w:tab/>
      </w:r>
      <w:r w:rsidRPr="002C645A">
        <w:rPr>
          <w:rFonts w:eastAsia="Calibri"/>
          <w:u w:val="single"/>
        </w:rPr>
        <w:tab/>
      </w:r>
      <w:r w:rsidRPr="002C645A">
        <w:rPr>
          <w:rFonts w:eastAsia="Calibri"/>
        </w:rPr>
        <w:tab/>
      </w:r>
      <w:r w:rsidRPr="002C645A">
        <w:rPr>
          <w:rFonts w:eastAsia="Calibri"/>
        </w:rPr>
        <w:tab/>
      </w:r>
      <w:r w:rsidRPr="002C645A">
        <w:rPr>
          <w:rFonts w:eastAsia="Calibri"/>
        </w:rPr>
        <w:tab/>
      </w:r>
      <w:r w:rsidRPr="002C645A">
        <w:rPr>
          <w:rFonts w:eastAsia="Calibri"/>
          <w:u w:val="single"/>
        </w:rPr>
        <w:tab/>
      </w:r>
      <w:r w:rsidRPr="002C645A">
        <w:rPr>
          <w:rFonts w:eastAsia="Calibri"/>
          <w:u w:val="single"/>
        </w:rPr>
        <w:tab/>
      </w:r>
      <w:r w:rsidRPr="002C645A">
        <w:rPr>
          <w:rFonts w:eastAsia="Calibri"/>
          <w:u w:val="single"/>
        </w:rPr>
        <w:tab/>
      </w:r>
      <w:r w:rsidRPr="002C645A">
        <w:rPr>
          <w:rFonts w:eastAsia="Calibri"/>
          <w:u w:val="single"/>
        </w:rPr>
        <w:tab/>
      </w:r>
      <w:r w:rsidRPr="002C645A">
        <w:rPr>
          <w:rFonts w:eastAsia="Calibri"/>
          <w:u w:val="single"/>
        </w:rPr>
        <w:tab/>
      </w:r>
    </w:p>
    <w:p w14:paraId="50D6CB59" w14:textId="77777777" w:rsidR="002C645A" w:rsidRPr="002C645A" w:rsidRDefault="002C645A" w:rsidP="002C645A">
      <w:pPr>
        <w:jc w:val="both"/>
        <w:rPr>
          <w:rFonts w:eastAsia="Calibri"/>
        </w:rPr>
      </w:pPr>
      <w:r w:rsidRPr="002C645A">
        <w:rPr>
          <w:rFonts w:eastAsia="Calibri"/>
        </w:rPr>
        <w:t>Sallie Tanner</w:t>
      </w:r>
      <w:r w:rsidRPr="002C645A">
        <w:rPr>
          <w:rFonts w:eastAsia="Calibri"/>
        </w:rPr>
        <w:tab/>
      </w:r>
      <w:r w:rsidRPr="002C645A">
        <w:rPr>
          <w:rFonts w:eastAsia="Calibri"/>
        </w:rPr>
        <w:tab/>
      </w:r>
      <w:r w:rsidRPr="002C645A">
        <w:rPr>
          <w:rFonts w:eastAsia="Calibri"/>
        </w:rPr>
        <w:tab/>
      </w:r>
      <w:r w:rsidRPr="002C645A">
        <w:rPr>
          <w:rFonts w:eastAsia="Calibri"/>
        </w:rPr>
        <w:tab/>
      </w:r>
      <w:r w:rsidRPr="002C645A">
        <w:rPr>
          <w:rFonts w:eastAsia="Calibri"/>
        </w:rPr>
        <w:tab/>
        <w:t xml:space="preserve">            Jason Shaw</w:t>
      </w:r>
    </w:p>
    <w:p w14:paraId="5B43F35E" w14:textId="77777777" w:rsidR="002C645A" w:rsidRPr="002C645A" w:rsidRDefault="002C645A" w:rsidP="002C645A">
      <w:pPr>
        <w:jc w:val="both"/>
        <w:rPr>
          <w:rFonts w:eastAsia="Calibri"/>
        </w:rPr>
      </w:pPr>
      <w:r w:rsidRPr="002C645A">
        <w:rPr>
          <w:rFonts w:eastAsia="Calibri"/>
        </w:rPr>
        <w:t>Executive Secretary</w:t>
      </w:r>
      <w:r w:rsidRPr="002C645A">
        <w:rPr>
          <w:rFonts w:eastAsia="Calibri"/>
        </w:rPr>
        <w:tab/>
      </w:r>
      <w:r w:rsidRPr="002C645A">
        <w:rPr>
          <w:rFonts w:eastAsia="Calibri"/>
        </w:rPr>
        <w:tab/>
      </w:r>
      <w:r w:rsidRPr="002C645A">
        <w:rPr>
          <w:rFonts w:eastAsia="Calibri"/>
        </w:rPr>
        <w:tab/>
      </w:r>
      <w:r w:rsidRPr="002C645A">
        <w:rPr>
          <w:rFonts w:eastAsia="Calibri"/>
        </w:rPr>
        <w:tab/>
      </w:r>
      <w:r w:rsidRPr="002C645A">
        <w:rPr>
          <w:rFonts w:eastAsia="Calibri"/>
        </w:rPr>
        <w:tab/>
        <w:t>Chairman</w:t>
      </w:r>
    </w:p>
    <w:p w14:paraId="58DC356A" w14:textId="77777777" w:rsidR="002C645A" w:rsidRPr="002C645A" w:rsidRDefault="002C645A" w:rsidP="002C645A">
      <w:pPr>
        <w:jc w:val="both"/>
        <w:rPr>
          <w:rFonts w:eastAsia="Calibri"/>
        </w:rPr>
      </w:pPr>
    </w:p>
    <w:p w14:paraId="12F9FC4D" w14:textId="77777777" w:rsidR="002C645A" w:rsidRPr="002C645A" w:rsidRDefault="002C645A" w:rsidP="002C645A">
      <w:pPr>
        <w:jc w:val="both"/>
        <w:rPr>
          <w:rFonts w:eastAsia="Calibri"/>
          <w:u w:val="single"/>
        </w:rPr>
      </w:pPr>
      <w:r w:rsidRPr="002C645A">
        <w:rPr>
          <w:rFonts w:eastAsia="Calibri"/>
          <w:u w:val="single"/>
        </w:rPr>
        <w:tab/>
      </w:r>
      <w:r w:rsidRPr="002C645A">
        <w:rPr>
          <w:rFonts w:eastAsia="Calibri"/>
          <w:u w:val="single"/>
        </w:rPr>
        <w:tab/>
      </w:r>
      <w:r w:rsidRPr="002C645A">
        <w:rPr>
          <w:rFonts w:eastAsia="Calibri"/>
          <w:u w:val="single"/>
        </w:rPr>
        <w:tab/>
      </w:r>
      <w:r w:rsidRPr="002C645A">
        <w:rPr>
          <w:rFonts w:eastAsia="Calibri"/>
          <w:u w:val="single"/>
        </w:rPr>
        <w:tab/>
      </w:r>
      <w:r w:rsidRPr="002C645A">
        <w:rPr>
          <w:rFonts w:eastAsia="Calibri"/>
        </w:rPr>
        <w:tab/>
      </w:r>
      <w:r w:rsidRPr="002C645A">
        <w:rPr>
          <w:rFonts w:eastAsia="Calibri"/>
        </w:rPr>
        <w:tab/>
      </w:r>
      <w:r w:rsidRPr="002C645A">
        <w:rPr>
          <w:rFonts w:eastAsia="Calibri"/>
        </w:rPr>
        <w:tab/>
      </w:r>
      <w:r w:rsidRPr="002C645A">
        <w:rPr>
          <w:rFonts w:eastAsia="Calibri"/>
          <w:u w:val="single"/>
        </w:rPr>
        <w:tab/>
      </w:r>
      <w:r w:rsidRPr="002C645A">
        <w:rPr>
          <w:rFonts w:eastAsia="Calibri"/>
          <w:u w:val="single"/>
        </w:rPr>
        <w:tab/>
      </w:r>
      <w:r w:rsidRPr="002C645A">
        <w:rPr>
          <w:rFonts w:eastAsia="Calibri"/>
          <w:u w:val="single"/>
        </w:rPr>
        <w:tab/>
      </w:r>
      <w:r w:rsidRPr="002C645A">
        <w:rPr>
          <w:rFonts w:eastAsia="Calibri"/>
          <w:u w:val="single"/>
        </w:rPr>
        <w:tab/>
      </w:r>
      <w:r w:rsidRPr="002C645A">
        <w:rPr>
          <w:rFonts w:eastAsia="Calibri"/>
          <w:u w:val="single"/>
        </w:rPr>
        <w:tab/>
      </w:r>
    </w:p>
    <w:p w14:paraId="1B50D2D1" w14:textId="77777777" w:rsidR="002C645A" w:rsidRPr="002C645A" w:rsidRDefault="002C645A" w:rsidP="002C645A">
      <w:pPr>
        <w:jc w:val="both"/>
      </w:pPr>
      <w:r w:rsidRPr="002C645A">
        <w:t>Date</w:t>
      </w:r>
      <w:r w:rsidRPr="002C645A">
        <w:tab/>
      </w:r>
      <w:r w:rsidRPr="002C645A">
        <w:tab/>
      </w:r>
      <w:r w:rsidRPr="002C645A">
        <w:tab/>
      </w:r>
      <w:r w:rsidRPr="002C645A">
        <w:tab/>
      </w:r>
      <w:r w:rsidRPr="002C645A">
        <w:tab/>
      </w:r>
      <w:r w:rsidRPr="002C645A">
        <w:tab/>
      </w:r>
      <w:r w:rsidRPr="002C645A">
        <w:tab/>
      </w:r>
      <w:proofErr w:type="spellStart"/>
      <w:r w:rsidRPr="002C645A">
        <w:t>Date</w:t>
      </w:r>
      <w:proofErr w:type="spellEnd"/>
    </w:p>
    <w:p w14:paraId="06B4624A" w14:textId="77777777" w:rsidR="002C645A" w:rsidRPr="002C645A" w:rsidRDefault="002C645A" w:rsidP="002C645A">
      <w:pPr>
        <w:keepNext/>
        <w:widowControl w:val="0"/>
        <w:tabs>
          <w:tab w:val="center" w:pos="4680"/>
        </w:tabs>
        <w:autoSpaceDE w:val="0"/>
        <w:autoSpaceDN w:val="0"/>
        <w:adjustRightInd w:val="0"/>
        <w:jc w:val="center"/>
        <w:outlineLvl w:val="0"/>
      </w:pPr>
    </w:p>
    <w:p w14:paraId="512B5380" w14:textId="77777777" w:rsidR="002C645A" w:rsidRPr="002C645A" w:rsidRDefault="002C645A" w:rsidP="002C645A"/>
    <w:p w14:paraId="062F2C32" w14:textId="77777777" w:rsidR="002C645A" w:rsidRPr="002C645A" w:rsidRDefault="002C645A" w:rsidP="002C645A"/>
    <w:p w14:paraId="4FA364AD" w14:textId="77777777" w:rsidR="009E6D0D" w:rsidRDefault="009E6D0D" w:rsidP="009E6D0D">
      <w:pPr>
        <w:rPr>
          <w:rFonts w:ascii="Arial" w:hAnsi="Arial"/>
          <w:b/>
        </w:rPr>
      </w:pPr>
    </w:p>
    <w:p w14:paraId="4A5A2F24" w14:textId="77777777" w:rsidR="009E6D0D" w:rsidRDefault="009E6D0D" w:rsidP="009E6D0D">
      <w:pPr>
        <w:rPr>
          <w:rFonts w:ascii="Arial" w:hAnsi="Arial"/>
        </w:rPr>
      </w:pPr>
      <w:r>
        <w:rPr>
          <w:rFonts w:ascii="Arial" w:hAnsi="Arial"/>
        </w:rPr>
        <w:tab/>
      </w:r>
    </w:p>
    <w:p w14:paraId="39660166" w14:textId="77777777" w:rsidR="009E6D0D" w:rsidRPr="009E6D0D" w:rsidRDefault="009E6D0D" w:rsidP="009E6D0D"/>
    <w:sectPr w:rsidR="009E6D0D" w:rsidRPr="009E6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ld English Text MT">
    <w:altName w:val="Urdu Typesetting"/>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0F7"/>
    <w:multiLevelType w:val="hybridMultilevel"/>
    <w:tmpl w:val="4DB0B7D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1381C94"/>
    <w:multiLevelType w:val="hybridMultilevel"/>
    <w:tmpl w:val="73E69E3C"/>
    <w:lvl w:ilvl="0" w:tplc="4B4AD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8377376">
    <w:abstractNumId w:val="1"/>
  </w:num>
  <w:num w:numId="2" w16cid:durableId="10202073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112CB"/>
    <w:rsid w:val="0005442F"/>
    <w:rsid w:val="0006325A"/>
    <w:rsid w:val="0010753E"/>
    <w:rsid w:val="001078BC"/>
    <w:rsid w:val="0011770D"/>
    <w:rsid w:val="001704C0"/>
    <w:rsid w:val="001C4F42"/>
    <w:rsid w:val="001D0747"/>
    <w:rsid w:val="001F00F3"/>
    <w:rsid w:val="00237B30"/>
    <w:rsid w:val="00291C03"/>
    <w:rsid w:val="002A3D95"/>
    <w:rsid w:val="002A61FE"/>
    <w:rsid w:val="002B5184"/>
    <w:rsid w:val="002C645A"/>
    <w:rsid w:val="002C6DD1"/>
    <w:rsid w:val="003A0D04"/>
    <w:rsid w:val="003B1182"/>
    <w:rsid w:val="003F2763"/>
    <w:rsid w:val="00467B71"/>
    <w:rsid w:val="00476AA2"/>
    <w:rsid w:val="0048564B"/>
    <w:rsid w:val="00494A05"/>
    <w:rsid w:val="004C622C"/>
    <w:rsid w:val="004D75CE"/>
    <w:rsid w:val="004D7BC6"/>
    <w:rsid w:val="00521687"/>
    <w:rsid w:val="00521FEE"/>
    <w:rsid w:val="005529E4"/>
    <w:rsid w:val="005F2927"/>
    <w:rsid w:val="005F7054"/>
    <w:rsid w:val="00611A1D"/>
    <w:rsid w:val="006465C2"/>
    <w:rsid w:val="00670AF6"/>
    <w:rsid w:val="00673564"/>
    <w:rsid w:val="006862E4"/>
    <w:rsid w:val="006952CD"/>
    <w:rsid w:val="006A4919"/>
    <w:rsid w:val="006A5FC2"/>
    <w:rsid w:val="006D6992"/>
    <w:rsid w:val="006E65D8"/>
    <w:rsid w:val="00761035"/>
    <w:rsid w:val="007C40EE"/>
    <w:rsid w:val="007D1A4F"/>
    <w:rsid w:val="00810B63"/>
    <w:rsid w:val="00886BED"/>
    <w:rsid w:val="00897E9B"/>
    <w:rsid w:val="008F38EF"/>
    <w:rsid w:val="00945A5F"/>
    <w:rsid w:val="009572C5"/>
    <w:rsid w:val="00994AB6"/>
    <w:rsid w:val="009A4D99"/>
    <w:rsid w:val="009A6D98"/>
    <w:rsid w:val="009E6D0D"/>
    <w:rsid w:val="00A958CB"/>
    <w:rsid w:val="00AF7496"/>
    <w:rsid w:val="00B11BEB"/>
    <w:rsid w:val="00BA2A06"/>
    <w:rsid w:val="00BC27C0"/>
    <w:rsid w:val="00BD2F2B"/>
    <w:rsid w:val="00C36999"/>
    <w:rsid w:val="00DC7E18"/>
    <w:rsid w:val="00DE40A2"/>
    <w:rsid w:val="00E112AD"/>
    <w:rsid w:val="00E87C44"/>
    <w:rsid w:val="00E92FA4"/>
    <w:rsid w:val="00F721DF"/>
    <w:rsid w:val="00FD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1FBCC88F"/>
  <w15:docId w15:val="{6AC64586-1549-401E-9C68-F294999F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semiHidden/>
    <w:rsid w:val="00AF749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0753E"/>
    <w:pPr>
      <w:spacing w:after="120" w:line="480" w:lineRule="auto"/>
    </w:pPr>
  </w:style>
  <w:style w:type="character" w:customStyle="1" w:styleId="BodyText2Char">
    <w:name w:val="Body Text 2 Char"/>
    <w:basedOn w:val="DefaultParagraphFont"/>
    <w:link w:val="BodyText2"/>
    <w:semiHidden/>
    <w:rsid w:val="0010753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2C645A"/>
    <w:pPr>
      <w:spacing w:after="120"/>
      <w:ind w:left="360"/>
    </w:pPr>
  </w:style>
  <w:style w:type="character" w:customStyle="1" w:styleId="BodyTextIndentChar">
    <w:name w:val="Body Text Indent Char"/>
    <w:basedOn w:val="DefaultParagraphFont"/>
    <w:link w:val="BodyTextIndent"/>
    <w:uiPriority w:val="99"/>
    <w:semiHidden/>
    <w:rsid w:val="002C645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Brown</dc:creator>
  <cp:lastModifiedBy>Sallie Tanner</cp:lastModifiedBy>
  <cp:revision>2</cp:revision>
  <cp:lastPrinted>2023-07-19T17:45:00Z</cp:lastPrinted>
  <dcterms:created xsi:type="dcterms:W3CDTF">2023-07-28T17:42:00Z</dcterms:created>
  <dcterms:modified xsi:type="dcterms:W3CDTF">2023-07-28T17:42:00Z</dcterms:modified>
</cp:coreProperties>
</file>