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B46D" w14:textId="77777777" w:rsidR="00BC0A1E" w:rsidRPr="00EE4D0B" w:rsidRDefault="00BC0A1E" w:rsidP="00391D40">
      <w:pPr>
        <w:jc w:val="center"/>
        <w:rPr>
          <w:sz w:val="28"/>
          <w:szCs w:val="28"/>
        </w:rPr>
      </w:pPr>
    </w:p>
    <w:p w14:paraId="6E4A9622" w14:textId="4EC2F1EB"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2CF379F1" w:rsidR="00BC0A1E" w:rsidRPr="00437279" w:rsidRDefault="00BC0A1E" w:rsidP="005C234A">
            <w:pPr>
              <w:tabs>
                <w:tab w:val="left" w:pos="6930"/>
              </w:tabs>
              <w:jc w:val="left"/>
              <w:rPr>
                <w:b/>
                <w:bCs/>
              </w:rPr>
            </w:pPr>
            <w:r w:rsidRPr="00437279">
              <w:rPr>
                <w:b/>
                <w:bCs/>
              </w:rPr>
              <w:t xml:space="preserve">IN THE MATTER OF: GEORGIA POWER COMPANY’S </w:t>
            </w:r>
            <w:r w:rsidR="00B70416">
              <w:rPr>
                <w:b/>
                <w:bCs/>
              </w:rPr>
              <w:t>TWENTY-</w:t>
            </w:r>
            <w:r w:rsidR="00D07862">
              <w:rPr>
                <w:b/>
                <w:bCs/>
              </w:rPr>
              <w:t xml:space="preserve">EIGHTH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5B8AA868" w:rsidR="00BC0A1E" w:rsidRPr="00EE4D0B" w:rsidRDefault="00D07862" w:rsidP="007957D7">
            <w:pPr>
              <w:ind w:left="-46"/>
              <w:jc w:val="center"/>
              <w:rPr>
                <w:b/>
                <w:bCs/>
                <w:sz w:val="28"/>
                <w:szCs w:val="28"/>
              </w:rPr>
            </w:pPr>
            <w:r>
              <w:rPr>
                <w:b/>
                <w:bCs/>
                <w:sz w:val="28"/>
                <w:szCs w:val="28"/>
              </w:rPr>
              <w:t xml:space="preserve">June </w:t>
            </w:r>
            <w:r w:rsidR="007957D7">
              <w:rPr>
                <w:b/>
                <w:bCs/>
                <w:sz w:val="28"/>
                <w:szCs w:val="28"/>
              </w:rPr>
              <w:t>22</w:t>
            </w:r>
            <w:r w:rsidR="00E2757B">
              <w:rPr>
                <w:b/>
                <w:bCs/>
                <w:sz w:val="28"/>
                <w:szCs w:val="28"/>
              </w:rPr>
              <w:t xml:space="preserve">, </w:t>
            </w:r>
            <w:r w:rsidR="005C234A">
              <w:rPr>
                <w:b/>
                <w:bCs/>
                <w:sz w:val="28"/>
                <w:szCs w:val="28"/>
              </w:rPr>
              <w:t>2023</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6209A0B3"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D261D7">
          <w:pPr>
            <w:pStyle w:val="TOC1"/>
          </w:pPr>
        </w:p>
        <w:p w14:paraId="2E4E8E40" w14:textId="2C4A1E89" w:rsidR="00D261D7" w:rsidRDefault="00AD69F6">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8321000" w:history="1">
            <w:r w:rsidR="00D261D7" w:rsidRPr="008D4E39">
              <w:rPr>
                <w:rStyle w:val="Hyperlink"/>
                <w:noProof/>
              </w:rPr>
              <w:t>I.</w:t>
            </w:r>
            <w:r w:rsidR="00D261D7">
              <w:rPr>
                <w:rFonts w:asciiTheme="minorHAnsi" w:eastAsiaTheme="minorEastAsia" w:hAnsiTheme="minorHAnsi" w:cstheme="minorBidi"/>
                <w:noProof/>
                <w:kern w:val="2"/>
                <w:sz w:val="22"/>
                <w:szCs w:val="22"/>
                <w14:ligatures w14:val="standardContextual"/>
              </w:rPr>
              <w:tab/>
            </w:r>
            <w:r w:rsidR="00D261D7" w:rsidRPr="008D4E39">
              <w:rPr>
                <w:rStyle w:val="Hyperlink"/>
                <w:noProof/>
              </w:rPr>
              <w:t>INTRODUCTION</w:t>
            </w:r>
            <w:r w:rsidR="00D261D7">
              <w:rPr>
                <w:noProof/>
                <w:webHidden/>
              </w:rPr>
              <w:tab/>
            </w:r>
            <w:r w:rsidR="00D261D7">
              <w:rPr>
                <w:noProof/>
                <w:webHidden/>
              </w:rPr>
              <w:fldChar w:fldCharType="begin"/>
            </w:r>
            <w:r w:rsidR="00D261D7">
              <w:rPr>
                <w:noProof/>
                <w:webHidden/>
              </w:rPr>
              <w:instrText xml:space="preserve"> PAGEREF _Toc138321000 \h </w:instrText>
            </w:r>
            <w:r w:rsidR="00D261D7">
              <w:rPr>
                <w:noProof/>
                <w:webHidden/>
              </w:rPr>
            </w:r>
            <w:r w:rsidR="00D261D7">
              <w:rPr>
                <w:noProof/>
                <w:webHidden/>
              </w:rPr>
              <w:fldChar w:fldCharType="separate"/>
            </w:r>
            <w:r w:rsidR="00D261D7">
              <w:rPr>
                <w:noProof/>
                <w:webHidden/>
              </w:rPr>
              <w:t>1</w:t>
            </w:r>
            <w:r w:rsidR="00D261D7">
              <w:rPr>
                <w:noProof/>
                <w:webHidden/>
              </w:rPr>
              <w:fldChar w:fldCharType="end"/>
            </w:r>
          </w:hyperlink>
        </w:p>
        <w:p w14:paraId="16B40525" w14:textId="22932A3C" w:rsidR="00D261D7" w:rsidRDefault="00D261D7">
          <w:pPr>
            <w:pStyle w:val="TOC1"/>
            <w:rPr>
              <w:rFonts w:asciiTheme="minorHAnsi" w:eastAsiaTheme="minorEastAsia" w:hAnsiTheme="minorHAnsi" w:cstheme="minorBidi"/>
              <w:noProof/>
              <w:kern w:val="2"/>
              <w:sz w:val="22"/>
              <w:szCs w:val="22"/>
              <w14:ligatures w14:val="standardContextual"/>
            </w:rPr>
          </w:pPr>
          <w:hyperlink w:anchor="_Toc138321001" w:history="1">
            <w:r w:rsidRPr="008D4E39">
              <w:rPr>
                <w:rStyle w:val="Hyperlink"/>
                <w:noProof/>
              </w:rPr>
              <w:t>II.</w:t>
            </w:r>
            <w:r>
              <w:rPr>
                <w:rFonts w:asciiTheme="minorHAnsi" w:eastAsiaTheme="minorEastAsia" w:hAnsiTheme="minorHAnsi" w:cstheme="minorBidi"/>
                <w:noProof/>
                <w:kern w:val="2"/>
                <w:sz w:val="22"/>
                <w:szCs w:val="22"/>
                <w14:ligatures w14:val="standardContextual"/>
              </w:rPr>
              <w:tab/>
            </w:r>
            <w:r w:rsidRPr="008D4E39">
              <w:rPr>
                <w:rStyle w:val="Hyperlink"/>
                <w:noProof/>
              </w:rPr>
              <w:t>REVIEW OF GEORGIA POWER COMPANY’S VCM 28 REPORT</w:t>
            </w:r>
            <w:r>
              <w:rPr>
                <w:noProof/>
                <w:webHidden/>
              </w:rPr>
              <w:tab/>
            </w:r>
            <w:r>
              <w:rPr>
                <w:noProof/>
                <w:webHidden/>
              </w:rPr>
              <w:fldChar w:fldCharType="begin"/>
            </w:r>
            <w:r>
              <w:rPr>
                <w:noProof/>
                <w:webHidden/>
              </w:rPr>
              <w:instrText xml:space="preserve"> PAGEREF _Toc138321001 \h </w:instrText>
            </w:r>
            <w:r>
              <w:rPr>
                <w:noProof/>
                <w:webHidden/>
              </w:rPr>
            </w:r>
            <w:r>
              <w:rPr>
                <w:noProof/>
                <w:webHidden/>
              </w:rPr>
              <w:fldChar w:fldCharType="separate"/>
            </w:r>
            <w:r>
              <w:rPr>
                <w:noProof/>
                <w:webHidden/>
              </w:rPr>
              <w:t>2</w:t>
            </w:r>
            <w:r>
              <w:rPr>
                <w:noProof/>
                <w:webHidden/>
              </w:rPr>
              <w:fldChar w:fldCharType="end"/>
            </w:r>
          </w:hyperlink>
        </w:p>
        <w:p w14:paraId="13361265" w14:textId="37D3FF2A" w:rsidR="00D261D7" w:rsidRDefault="00D261D7">
          <w:pPr>
            <w:pStyle w:val="TOC1"/>
            <w:rPr>
              <w:rFonts w:asciiTheme="minorHAnsi" w:eastAsiaTheme="minorEastAsia" w:hAnsiTheme="minorHAnsi" w:cstheme="minorBidi"/>
              <w:noProof/>
              <w:kern w:val="2"/>
              <w:sz w:val="22"/>
              <w:szCs w:val="22"/>
              <w14:ligatures w14:val="standardContextual"/>
            </w:rPr>
          </w:pPr>
          <w:hyperlink w:anchor="_Toc138321002" w:history="1">
            <w:r w:rsidRPr="008D4E39">
              <w:rPr>
                <w:rStyle w:val="Hyperlink"/>
                <w:noProof/>
              </w:rPr>
              <w:t>III.</w:t>
            </w:r>
            <w:r>
              <w:rPr>
                <w:rFonts w:asciiTheme="minorHAnsi" w:eastAsiaTheme="minorEastAsia" w:hAnsiTheme="minorHAnsi" w:cstheme="minorBidi"/>
                <w:noProof/>
                <w:kern w:val="2"/>
                <w:sz w:val="22"/>
                <w:szCs w:val="22"/>
                <w14:ligatures w14:val="standardContextual"/>
              </w:rPr>
              <w:tab/>
            </w:r>
            <w:r w:rsidRPr="008D4E39">
              <w:rPr>
                <w:rStyle w:val="Hyperlink"/>
                <w:noProof/>
              </w:rPr>
              <w:t>STAFF ECONOMIC ANALYSES</w:t>
            </w:r>
            <w:r>
              <w:rPr>
                <w:noProof/>
                <w:webHidden/>
              </w:rPr>
              <w:tab/>
            </w:r>
            <w:r>
              <w:rPr>
                <w:noProof/>
                <w:webHidden/>
              </w:rPr>
              <w:fldChar w:fldCharType="begin"/>
            </w:r>
            <w:r>
              <w:rPr>
                <w:noProof/>
                <w:webHidden/>
              </w:rPr>
              <w:instrText xml:space="preserve"> PAGEREF _Toc138321002 \h </w:instrText>
            </w:r>
            <w:r>
              <w:rPr>
                <w:noProof/>
                <w:webHidden/>
              </w:rPr>
            </w:r>
            <w:r>
              <w:rPr>
                <w:noProof/>
                <w:webHidden/>
              </w:rPr>
              <w:fldChar w:fldCharType="separate"/>
            </w:r>
            <w:r>
              <w:rPr>
                <w:noProof/>
                <w:webHidden/>
              </w:rPr>
              <w:t>5</w:t>
            </w:r>
            <w:r>
              <w:rPr>
                <w:noProof/>
                <w:webHidden/>
              </w:rPr>
              <w:fldChar w:fldCharType="end"/>
            </w:r>
          </w:hyperlink>
        </w:p>
        <w:p w14:paraId="1C6C57C7" w14:textId="27121E5E" w:rsidR="00D261D7" w:rsidRDefault="00D261D7" w:rsidP="00D261D7">
          <w:pPr>
            <w:pStyle w:val="TOC2"/>
            <w:rPr>
              <w:rFonts w:asciiTheme="minorHAnsi" w:eastAsiaTheme="minorEastAsia" w:hAnsiTheme="minorHAnsi" w:cstheme="minorBidi"/>
              <w:kern w:val="2"/>
              <w:sz w:val="22"/>
              <w:szCs w:val="22"/>
              <w14:ligatures w14:val="standardContextual"/>
            </w:rPr>
          </w:pPr>
          <w:r>
            <w:rPr>
              <w:rStyle w:val="Hyperlink"/>
              <w:u w:val="none"/>
            </w:rPr>
            <w:t xml:space="preserve">   </w:t>
          </w:r>
          <w:hyperlink w:anchor="_Toc138321003" w:history="1">
            <w:r w:rsidRPr="008D4E39">
              <w:rPr>
                <w:rStyle w:val="Hyperlink"/>
              </w:rPr>
              <w:t>Vogtle 3 And 4 Lifecycle Costs vs. Alternative Combined Cycle</w:t>
            </w:r>
            <w:r>
              <w:rPr>
                <w:webHidden/>
              </w:rPr>
              <w:tab/>
            </w:r>
            <w:r>
              <w:rPr>
                <w:webHidden/>
              </w:rPr>
              <w:fldChar w:fldCharType="begin"/>
            </w:r>
            <w:r>
              <w:rPr>
                <w:webHidden/>
              </w:rPr>
              <w:instrText xml:space="preserve"> PAGEREF _Toc138321003 \h </w:instrText>
            </w:r>
            <w:r>
              <w:rPr>
                <w:webHidden/>
              </w:rPr>
            </w:r>
            <w:r>
              <w:rPr>
                <w:webHidden/>
              </w:rPr>
              <w:fldChar w:fldCharType="separate"/>
            </w:r>
            <w:r>
              <w:rPr>
                <w:webHidden/>
              </w:rPr>
              <w:t>6</w:t>
            </w:r>
            <w:r>
              <w:rPr>
                <w:webHidden/>
              </w:rPr>
              <w:fldChar w:fldCharType="end"/>
            </w:r>
          </w:hyperlink>
        </w:p>
        <w:p w14:paraId="037031C8" w14:textId="54AAE428" w:rsidR="00D261D7" w:rsidRDefault="00D261D7" w:rsidP="00D261D7">
          <w:pPr>
            <w:pStyle w:val="TOC2"/>
            <w:rPr>
              <w:rFonts w:asciiTheme="minorHAnsi" w:eastAsiaTheme="minorEastAsia" w:hAnsiTheme="minorHAnsi" w:cstheme="minorBidi"/>
              <w:kern w:val="2"/>
              <w:sz w:val="22"/>
              <w:szCs w:val="22"/>
              <w14:ligatures w14:val="standardContextual"/>
            </w:rPr>
          </w:pPr>
          <w:r>
            <w:rPr>
              <w:rStyle w:val="Hyperlink"/>
              <w:u w:val="none"/>
            </w:rPr>
            <w:t xml:space="preserve">   </w:t>
          </w:r>
          <w:hyperlink w:anchor="_Toc138321004" w:history="1">
            <w:r w:rsidRPr="008D4E39">
              <w:rPr>
                <w:rStyle w:val="Hyperlink"/>
              </w:rPr>
              <w:t>Rate Impact</w:t>
            </w:r>
            <w:r>
              <w:rPr>
                <w:webHidden/>
              </w:rPr>
              <w:tab/>
            </w:r>
            <w:r>
              <w:rPr>
                <w:webHidden/>
              </w:rPr>
              <w:fldChar w:fldCharType="begin"/>
            </w:r>
            <w:r>
              <w:rPr>
                <w:webHidden/>
              </w:rPr>
              <w:instrText xml:space="preserve"> PAGEREF _Toc138321004 \h </w:instrText>
            </w:r>
            <w:r>
              <w:rPr>
                <w:webHidden/>
              </w:rPr>
            </w:r>
            <w:r>
              <w:rPr>
                <w:webHidden/>
              </w:rPr>
              <w:fldChar w:fldCharType="separate"/>
            </w:r>
            <w:r>
              <w:rPr>
                <w:webHidden/>
              </w:rPr>
              <w:t>8</w:t>
            </w:r>
            <w:r>
              <w:rPr>
                <w:webHidden/>
              </w:rPr>
              <w:fldChar w:fldCharType="end"/>
            </w:r>
          </w:hyperlink>
        </w:p>
        <w:p w14:paraId="023279E3" w14:textId="7AB9B5FF" w:rsidR="00D261D7" w:rsidRDefault="00D261D7" w:rsidP="00D261D7">
          <w:pPr>
            <w:pStyle w:val="TOC2"/>
            <w:rPr>
              <w:rFonts w:asciiTheme="minorHAnsi" w:eastAsiaTheme="minorEastAsia" w:hAnsiTheme="minorHAnsi" w:cstheme="minorBidi"/>
              <w:kern w:val="2"/>
              <w:sz w:val="22"/>
              <w:szCs w:val="22"/>
              <w14:ligatures w14:val="standardContextual"/>
            </w:rPr>
          </w:pPr>
          <w:r>
            <w:rPr>
              <w:rStyle w:val="Hyperlink"/>
              <w:u w:val="none"/>
            </w:rPr>
            <w:t xml:space="preserve">   </w:t>
          </w:r>
          <w:hyperlink w:anchor="_Toc138321005" w:history="1">
            <w:r w:rsidRPr="008D4E39">
              <w:rPr>
                <w:rStyle w:val="Hyperlink"/>
              </w:rPr>
              <w:t>Replacement Power Costs And Other Costs/Benefits</w:t>
            </w:r>
            <w:r>
              <w:rPr>
                <w:webHidden/>
              </w:rPr>
              <w:tab/>
            </w:r>
            <w:r>
              <w:rPr>
                <w:webHidden/>
              </w:rPr>
              <w:fldChar w:fldCharType="begin"/>
            </w:r>
            <w:r>
              <w:rPr>
                <w:webHidden/>
              </w:rPr>
              <w:instrText xml:space="preserve"> PAGEREF _Toc138321005 \h </w:instrText>
            </w:r>
            <w:r>
              <w:rPr>
                <w:webHidden/>
              </w:rPr>
            </w:r>
            <w:r>
              <w:rPr>
                <w:webHidden/>
              </w:rPr>
              <w:fldChar w:fldCharType="separate"/>
            </w:r>
            <w:r>
              <w:rPr>
                <w:webHidden/>
              </w:rPr>
              <w:t>9</w:t>
            </w:r>
            <w:r>
              <w:rPr>
                <w:webHidden/>
              </w:rPr>
              <w:fldChar w:fldCharType="end"/>
            </w:r>
          </w:hyperlink>
        </w:p>
        <w:p w14:paraId="657A9DBA" w14:textId="5122CD5F" w:rsidR="00D261D7" w:rsidRDefault="00D261D7">
          <w:pPr>
            <w:pStyle w:val="TOC1"/>
            <w:rPr>
              <w:rFonts w:asciiTheme="minorHAnsi" w:eastAsiaTheme="minorEastAsia" w:hAnsiTheme="minorHAnsi" w:cstheme="minorBidi"/>
              <w:noProof/>
              <w:kern w:val="2"/>
              <w:sz w:val="22"/>
              <w:szCs w:val="22"/>
              <w14:ligatures w14:val="standardContextual"/>
            </w:rPr>
          </w:pPr>
          <w:hyperlink w:anchor="_Toc138321006" w:history="1">
            <w:r w:rsidRPr="008D4E39">
              <w:rPr>
                <w:rStyle w:val="Hyperlink"/>
                <w:noProof/>
              </w:rPr>
              <w:t>IV.</w:t>
            </w:r>
            <w:r>
              <w:rPr>
                <w:rFonts w:asciiTheme="minorHAnsi" w:eastAsiaTheme="minorEastAsia" w:hAnsiTheme="minorHAnsi" w:cstheme="minorBidi"/>
                <w:noProof/>
                <w:kern w:val="2"/>
                <w:sz w:val="22"/>
                <w:szCs w:val="22"/>
                <w14:ligatures w14:val="standardContextual"/>
              </w:rPr>
              <w:tab/>
            </w:r>
            <w:r w:rsidRPr="008D4E39">
              <w:rPr>
                <w:rStyle w:val="Hyperlink"/>
                <w:noProof/>
              </w:rPr>
              <w:t>RATEMAKING ISSUES</w:t>
            </w:r>
            <w:r>
              <w:rPr>
                <w:noProof/>
                <w:webHidden/>
              </w:rPr>
              <w:tab/>
            </w:r>
            <w:r>
              <w:rPr>
                <w:noProof/>
                <w:webHidden/>
              </w:rPr>
              <w:fldChar w:fldCharType="begin"/>
            </w:r>
            <w:r>
              <w:rPr>
                <w:noProof/>
                <w:webHidden/>
              </w:rPr>
              <w:instrText xml:space="preserve"> PAGEREF _Toc138321006 \h </w:instrText>
            </w:r>
            <w:r>
              <w:rPr>
                <w:noProof/>
                <w:webHidden/>
              </w:rPr>
            </w:r>
            <w:r>
              <w:rPr>
                <w:noProof/>
                <w:webHidden/>
              </w:rPr>
              <w:fldChar w:fldCharType="separate"/>
            </w:r>
            <w:r>
              <w:rPr>
                <w:noProof/>
                <w:webHidden/>
              </w:rPr>
              <w:t>10</w:t>
            </w:r>
            <w:r>
              <w:rPr>
                <w:noProof/>
                <w:webHidden/>
              </w:rPr>
              <w:fldChar w:fldCharType="end"/>
            </w:r>
          </w:hyperlink>
        </w:p>
        <w:p w14:paraId="33B7A5C7" w14:textId="2C01E57B"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0" w:name="_Toc434845175"/>
      <w:bookmarkStart w:id="1" w:name="_Toc434413366"/>
      <w:bookmarkStart w:id="2" w:name="_Toc138321000"/>
      <w:bookmarkEnd w:id="0"/>
      <w:r w:rsidRPr="00D55F56">
        <w:rPr>
          <w:sz w:val="24"/>
          <w:szCs w:val="24"/>
        </w:rPr>
        <w:t>INTRO</w:t>
      </w:r>
      <w:r w:rsidR="00CD26DE">
        <w:rPr>
          <w:sz w:val="24"/>
          <w:szCs w:val="24"/>
        </w:rPr>
        <w:t>DUCTION</w:t>
      </w:r>
      <w:bookmarkEnd w:id="2"/>
    </w:p>
    <w:bookmarkEnd w:id="1"/>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3"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3"/>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914D9E2"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w:t>
      </w:r>
      <w:r w:rsidRPr="00250136">
        <w:t>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4"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s, and testimony 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4"/>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5" w:name="_Hlk498508000"/>
      <w:r>
        <w:rPr>
          <w:b/>
        </w:rPr>
        <w:t>Q.</w:t>
      </w:r>
      <w:r>
        <w:rPr>
          <w:b/>
        </w:rPr>
        <w:tab/>
        <w:t>WHAT IS THE PURPOSE OF YOUR TESTIMONY?</w:t>
      </w:r>
    </w:p>
    <w:p w14:paraId="228FED3F" w14:textId="3B9AE9E5" w:rsidR="00934A08" w:rsidRDefault="00AC6CA8" w:rsidP="00415952">
      <w:pPr>
        <w:spacing w:after="120" w:line="360" w:lineRule="auto"/>
        <w:ind w:left="720" w:hanging="720"/>
        <w:rPr>
          <w:bCs/>
        </w:rPr>
      </w:pPr>
      <w:r w:rsidRPr="0064701C">
        <w:rPr>
          <w:bCs/>
        </w:rPr>
        <w:t>A.</w:t>
      </w:r>
      <w:r w:rsidRPr="0064701C">
        <w:rPr>
          <w:bCs/>
        </w:rPr>
        <w:tab/>
      </w:r>
      <w:bookmarkStart w:id="6" w:name="_Hlk39839882"/>
      <w:r w:rsidRPr="0064701C">
        <w:rPr>
          <w:bCs/>
        </w:rPr>
        <w:t xml:space="preserve">The purpose of our testimony is to </w:t>
      </w:r>
      <w:r w:rsidR="009A786B">
        <w:rPr>
          <w:bCs/>
        </w:rPr>
        <w:t>address</w:t>
      </w:r>
      <w:r w:rsidRPr="0064701C">
        <w:rPr>
          <w:bCs/>
        </w:rPr>
        <w:t xml:space="preserve"> economic </w:t>
      </w:r>
      <w:r w:rsidR="009A786B">
        <w:rPr>
          <w:bCs/>
        </w:rPr>
        <w:t xml:space="preserve">and other analyses </w:t>
      </w:r>
      <w:r w:rsidR="00BC182B">
        <w:rPr>
          <w:bCs/>
        </w:rPr>
        <w:t>related</w:t>
      </w:r>
      <w:r w:rsidR="00C41C9C">
        <w:rPr>
          <w:bCs/>
        </w:rPr>
        <w:t xml:space="preserve"> </w:t>
      </w:r>
      <w:r w:rsidR="00BC182B">
        <w:rPr>
          <w:bCs/>
        </w:rPr>
        <w:t xml:space="preserve">to the </w:t>
      </w:r>
      <w:r w:rsidR="007129BD">
        <w:rPr>
          <w:bCs/>
        </w:rPr>
        <w:t>Georgia Power Company’s (“</w:t>
      </w:r>
      <w:r w:rsidR="00BC182B">
        <w:rPr>
          <w:bCs/>
        </w:rPr>
        <w:t>Company’s</w:t>
      </w:r>
      <w:r w:rsidR="007129BD">
        <w:rPr>
          <w:bCs/>
        </w:rPr>
        <w:t>”)</w:t>
      </w:r>
      <w:r w:rsidR="009A786B">
        <w:rPr>
          <w:bCs/>
        </w:rPr>
        <w:t xml:space="preserve"> VCM </w:t>
      </w:r>
      <w:r w:rsidR="00D07862">
        <w:rPr>
          <w:bCs/>
        </w:rPr>
        <w:t xml:space="preserve">28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D70F91">
        <w:rPr>
          <w:bCs/>
        </w:rPr>
        <w:t xml:space="preserve">rate impacts </w:t>
      </w:r>
      <w:r w:rsidR="009A786B">
        <w:rPr>
          <w:bCs/>
        </w:rPr>
        <w:t>of</w:t>
      </w:r>
      <w:r w:rsidR="00C41C9C">
        <w:rPr>
          <w:bCs/>
        </w:rPr>
        <w:t xml:space="preserve"> </w:t>
      </w:r>
      <w:r w:rsidR="009A786B">
        <w:rPr>
          <w:bCs/>
        </w:rPr>
        <w:t xml:space="preserve">Vogtle 3 </w:t>
      </w:r>
      <w:r w:rsidR="009917EE">
        <w:rPr>
          <w:bCs/>
        </w:rPr>
        <w:t>and</w:t>
      </w:r>
      <w:r w:rsidR="009A786B">
        <w:rPr>
          <w:bCs/>
        </w:rPr>
        <w:t xml:space="preserve"> 4 (“the Project</w:t>
      </w:r>
      <w:r w:rsidR="00A31A1A">
        <w:rPr>
          <w:bCs/>
        </w:rPr>
        <w:t>”</w:t>
      </w:r>
      <w:r w:rsidR="009A786B">
        <w:rPr>
          <w:bCs/>
        </w:rPr>
        <w:t xml:space="preserve"> or “the Units”)</w:t>
      </w:r>
      <w:bookmarkEnd w:id="6"/>
      <w:r w:rsidR="00F55A73">
        <w:rPr>
          <w:bCs/>
        </w:rPr>
        <w:t>.</w:t>
      </w:r>
    </w:p>
    <w:p w14:paraId="068D47C8" w14:textId="77777777" w:rsidR="00CD26DE" w:rsidRDefault="00CD26DE" w:rsidP="00415952">
      <w:pPr>
        <w:spacing w:after="120" w:line="360" w:lineRule="auto"/>
        <w:ind w:left="720" w:hanging="720"/>
        <w:rPr>
          <w:b/>
        </w:rPr>
      </w:pPr>
    </w:p>
    <w:p w14:paraId="7507787A" w14:textId="7E25BEAB" w:rsidR="00CD26DE" w:rsidRDefault="00CD26DE" w:rsidP="00CD26DE">
      <w:pPr>
        <w:pStyle w:val="Heading1"/>
        <w:numPr>
          <w:ilvl w:val="0"/>
          <w:numId w:val="17"/>
        </w:numPr>
        <w:spacing w:line="480" w:lineRule="auto"/>
        <w:rPr>
          <w:sz w:val="24"/>
          <w:szCs w:val="24"/>
        </w:rPr>
      </w:pPr>
      <w:bookmarkStart w:id="7" w:name="_Toc138321001"/>
      <w:r>
        <w:rPr>
          <w:sz w:val="24"/>
          <w:szCs w:val="24"/>
        </w:rPr>
        <w:t xml:space="preserve">REVIEW OF GEORGIA POWER COMPANY’S VCM </w:t>
      </w:r>
      <w:r w:rsidR="0041542D">
        <w:rPr>
          <w:sz w:val="24"/>
          <w:szCs w:val="24"/>
        </w:rPr>
        <w:t xml:space="preserve">28 </w:t>
      </w:r>
      <w:r>
        <w:rPr>
          <w:sz w:val="24"/>
          <w:szCs w:val="24"/>
        </w:rPr>
        <w:t>REPORT</w:t>
      </w:r>
      <w:bookmarkEnd w:id="7"/>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20D9CFE0" w14:textId="60BCD5FD" w:rsidR="0020618C" w:rsidRDefault="008D4987" w:rsidP="009758ED">
      <w:pPr>
        <w:spacing w:after="120" w:line="360" w:lineRule="auto"/>
        <w:ind w:left="720" w:hanging="720"/>
      </w:pPr>
      <w:r w:rsidRPr="00250136">
        <w:t>A.</w:t>
      </w:r>
      <w:r w:rsidRPr="00250136">
        <w:tab/>
      </w:r>
      <w:r w:rsidR="004A4F63">
        <w:t xml:space="preserve">In the </w:t>
      </w:r>
      <w:r w:rsidR="00FE273D">
        <w:t xml:space="preserve">VCM </w:t>
      </w:r>
      <w:r w:rsidR="00D07862">
        <w:t xml:space="preserve">28 </w:t>
      </w:r>
      <w:r w:rsidR="00FE273D">
        <w:t>Report, t</w:t>
      </w:r>
      <w:r w:rsidR="00AA6C6B">
        <w:t xml:space="preserve">he Company </w:t>
      </w:r>
      <w:r w:rsidR="004A4F63">
        <w:t xml:space="preserve">reported that the </w:t>
      </w:r>
      <w:r w:rsidR="00AA6C6B">
        <w:t>commercial operation dates</w:t>
      </w:r>
      <w:r w:rsidR="004A4F63">
        <w:t xml:space="preserve"> (“COD”) for Vogtle Units 3 and 4 </w:t>
      </w:r>
      <w:r w:rsidR="00A1187C">
        <w:t xml:space="preserve">were delayed until </w:t>
      </w:r>
      <w:r w:rsidR="00744F62">
        <w:t xml:space="preserve">May or June </w:t>
      </w:r>
      <w:r w:rsidR="004D4173">
        <w:t xml:space="preserve">2023 </w:t>
      </w:r>
      <w:r w:rsidR="00151AA7">
        <w:t xml:space="preserve">and </w:t>
      </w:r>
      <w:r w:rsidR="00A1187C">
        <w:t xml:space="preserve">the </w:t>
      </w:r>
      <w:r w:rsidR="00E26C99">
        <w:t>f</w:t>
      </w:r>
      <w:r w:rsidR="00744F62">
        <w:t xml:space="preserve">irst </w:t>
      </w:r>
      <w:r w:rsidR="00E26C99">
        <w:t>q</w:t>
      </w:r>
      <w:r w:rsidR="00744F62">
        <w:t>uarter 2024</w:t>
      </w:r>
      <w:r w:rsidR="00151AA7">
        <w:t>, respectively.</w:t>
      </w:r>
      <w:r w:rsidR="007D4693">
        <w:rPr>
          <w:rStyle w:val="FootnoteReference"/>
        </w:rPr>
        <w:footnoteReference w:id="2"/>
      </w:r>
      <w:r w:rsidR="00151AA7">
        <w:t xml:space="preserve">  </w:t>
      </w:r>
      <w:r w:rsidR="00AA6C6B">
        <w:t xml:space="preserve">These revised commercial operation dates </w:t>
      </w:r>
      <w:r w:rsidR="00F021E1">
        <w:t>represent 87</w:t>
      </w:r>
      <w:r w:rsidR="00865E4D">
        <w:t>-</w:t>
      </w:r>
      <w:r w:rsidR="00EB6943">
        <w:t xml:space="preserve">month and </w:t>
      </w:r>
      <w:r w:rsidR="00744F62">
        <w:t>84</w:t>
      </w:r>
      <w:r w:rsidR="00A1187C">
        <w:t>-</w:t>
      </w:r>
      <w:r w:rsidR="00EB6943">
        <w:t>month</w:t>
      </w:r>
      <w:r w:rsidR="00865E4D">
        <w:t xml:space="preserve"> </w:t>
      </w:r>
      <w:r w:rsidR="00EB6943">
        <w:t xml:space="preserve">delays </w:t>
      </w:r>
      <w:r w:rsidR="00A1187C">
        <w:t xml:space="preserve">compared to the CODs approved in the certification proceeding </w:t>
      </w:r>
      <w:r w:rsidR="00EB6943">
        <w:t xml:space="preserve">for </w:t>
      </w:r>
      <w:r w:rsidR="00965A3F">
        <w:t xml:space="preserve">Vogtle </w:t>
      </w:r>
      <w:r w:rsidR="00EB6943">
        <w:t>Unit</w:t>
      </w:r>
      <w:r w:rsidR="00A1187C">
        <w:t>s</w:t>
      </w:r>
      <w:r w:rsidR="00EB6943">
        <w:t xml:space="preserve"> 3 and 4, respectively.</w:t>
      </w:r>
      <w:r>
        <w:t xml:space="preserve"> </w:t>
      </w:r>
      <w:r w:rsidR="00FE273D">
        <w:t xml:space="preserve"> </w:t>
      </w:r>
    </w:p>
    <w:p w14:paraId="308BF9F6" w14:textId="583A70AB" w:rsidR="003B3396" w:rsidRDefault="0069158F" w:rsidP="005D1B26">
      <w:pPr>
        <w:spacing w:after="120" w:line="360" w:lineRule="auto"/>
        <w:ind w:left="720"/>
      </w:pPr>
      <w:r>
        <w:t xml:space="preserve">In </w:t>
      </w:r>
      <w:r w:rsidR="007A2BF7">
        <w:t>Table 1.1</w:t>
      </w:r>
      <w:r w:rsidR="00EB52D1">
        <w:t xml:space="preserve"> of the VCM </w:t>
      </w:r>
      <w:r w:rsidR="00744F62">
        <w:t xml:space="preserve">28 </w:t>
      </w:r>
      <w:r w:rsidR="00EB52D1">
        <w:t>Report</w:t>
      </w:r>
      <w:r w:rsidR="00FE273D">
        <w:t>, t</w:t>
      </w:r>
      <w:r w:rsidR="00B248F5">
        <w:t xml:space="preserve">he </w:t>
      </w:r>
      <w:r w:rsidR="00F021E1">
        <w:t>Company</w:t>
      </w:r>
      <w:r w:rsidR="00965A3F">
        <w:t xml:space="preserve"> </w:t>
      </w:r>
      <w:r w:rsidR="00F021E1">
        <w:t xml:space="preserve">forecasts total </w:t>
      </w:r>
      <w:r w:rsidR="00B73934">
        <w:t>construction</w:t>
      </w:r>
      <w:r w:rsidR="006A1E87">
        <w:t xml:space="preserve"> </w:t>
      </w:r>
      <w:r w:rsidR="00B73934">
        <w:t xml:space="preserve">/ </w:t>
      </w:r>
      <w:r w:rsidR="00F021E1">
        <w:t>capital cost</w:t>
      </w:r>
      <w:r w:rsidR="007A3AB6">
        <w:t>s</w:t>
      </w:r>
      <w:r w:rsidR="00F021E1">
        <w:t xml:space="preserve"> of $11.</w:t>
      </w:r>
      <w:r w:rsidR="003B3396">
        <w:t>646</w:t>
      </w:r>
      <w:r w:rsidR="00F021E1">
        <w:t xml:space="preserve"> billion and </w:t>
      </w:r>
      <w:r w:rsidR="003B3396">
        <w:t>$</w:t>
      </w:r>
      <w:r w:rsidR="00F021E1">
        <w:t>3.504 billion in financing cost</w:t>
      </w:r>
      <w:r w:rsidR="007A3AB6">
        <w:t>s</w:t>
      </w:r>
      <w:r w:rsidR="00F021E1">
        <w:t xml:space="preserve"> </w:t>
      </w:r>
      <w:r w:rsidR="003B3396">
        <w:t xml:space="preserve">for </w:t>
      </w:r>
      <w:r w:rsidR="00F021E1">
        <w:t xml:space="preserve">its 45.7 percent share of the Project. </w:t>
      </w:r>
      <w:r w:rsidR="003B3396">
        <w:t>This result</w:t>
      </w:r>
      <w:r w:rsidR="007A3AB6">
        <w:t>s</w:t>
      </w:r>
      <w:r w:rsidR="003B3396">
        <w:t xml:space="preserve"> in a $9.0 billion overrun </w:t>
      </w:r>
      <w:r w:rsidR="007A3AB6">
        <w:t>compared to</w:t>
      </w:r>
      <w:r w:rsidR="00965A3F">
        <w:t xml:space="preserve"> the</w:t>
      </w:r>
      <w:r w:rsidR="007A3AB6">
        <w:t xml:space="preserve"> certification</w:t>
      </w:r>
      <w:r w:rsidR="00D261D7">
        <w:t xml:space="preserve"> </w:t>
      </w:r>
      <w:r w:rsidR="00965A3F">
        <w:t xml:space="preserve">construction/capital and financing costs </w:t>
      </w:r>
      <w:r w:rsidR="007A3AB6">
        <w:t xml:space="preserve">shown </w:t>
      </w:r>
      <w:r w:rsidR="003B3396">
        <w:t>in the table below.</w:t>
      </w:r>
      <w:r w:rsidR="0041542D">
        <w:rPr>
          <w:rStyle w:val="FootnoteReference"/>
        </w:rPr>
        <w:footnoteReference w:id="3"/>
      </w:r>
    </w:p>
    <w:p w14:paraId="582BDFB5" w14:textId="77777777" w:rsidR="007D226E" w:rsidRDefault="007D226E">
      <w:pPr>
        <w:widowControl/>
        <w:jc w:val="left"/>
        <w:rPr>
          <w:b/>
          <w:bCs/>
        </w:rPr>
      </w:pPr>
      <w:r>
        <w:rPr>
          <w:b/>
          <w:bCs/>
        </w:rPr>
        <w:br w:type="page"/>
      </w:r>
    </w:p>
    <w:p w14:paraId="799729BB" w14:textId="30195DAF" w:rsidR="005D1B26" w:rsidRPr="0067438A" w:rsidRDefault="005D1B26" w:rsidP="0067438A">
      <w:pPr>
        <w:spacing w:after="120" w:line="360" w:lineRule="auto"/>
        <w:ind w:left="720"/>
        <w:jc w:val="center"/>
        <w:rPr>
          <w:b/>
          <w:bCs/>
        </w:rPr>
      </w:pPr>
      <w:r w:rsidRPr="0067438A">
        <w:rPr>
          <w:b/>
          <w:bCs/>
        </w:rPr>
        <w:t>Table 1</w:t>
      </w:r>
    </w:p>
    <w:tbl>
      <w:tblPr>
        <w:tblW w:w="7740" w:type="dxa"/>
        <w:tblInd w:w="774" w:type="dxa"/>
        <w:tblLook w:val="04A0" w:firstRow="1" w:lastRow="0" w:firstColumn="1" w:lastColumn="0" w:noHBand="0" w:noVBand="1"/>
      </w:tblPr>
      <w:tblGrid>
        <w:gridCol w:w="2380"/>
        <w:gridCol w:w="1340"/>
        <w:gridCol w:w="1340"/>
        <w:gridCol w:w="1340"/>
        <w:gridCol w:w="1340"/>
      </w:tblGrid>
      <w:tr w:rsidR="003B3396" w:rsidRPr="005D1B26" w14:paraId="1702545C" w14:textId="77777777" w:rsidTr="0067438A">
        <w:trPr>
          <w:trHeight w:val="300"/>
        </w:trPr>
        <w:tc>
          <w:tcPr>
            <w:tcW w:w="2380" w:type="dxa"/>
            <w:tcBorders>
              <w:top w:val="single" w:sz="4" w:space="0" w:color="auto"/>
              <w:left w:val="single" w:sz="4" w:space="0" w:color="auto"/>
              <w:bottom w:val="nil"/>
              <w:right w:val="nil"/>
            </w:tcBorders>
            <w:shd w:val="clear" w:color="auto" w:fill="auto"/>
            <w:noWrap/>
            <w:vAlign w:val="bottom"/>
            <w:hideMark/>
          </w:tcPr>
          <w:p w14:paraId="49FA25F4" w14:textId="77777777" w:rsidR="003B3396" w:rsidRPr="005D1B26" w:rsidRDefault="003B3396" w:rsidP="003B3396">
            <w:pPr>
              <w:widowControl/>
              <w:jc w:val="left"/>
              <w:rPr>
                <w:rFonts w:eastAsia="Times New Roman"/>
                <w:sz w:val="20"/>
                <w:szCs w:val="20"/>
              </w:rPr>
            </w:pPr>
          </w:p>
        </w:tc>
        <w:tc>
          <w:tcPr>
            <w:tcW w:w="1340" w:type="dxa"/>
            <w:tcBorders>
              <w:top w:val="single" w:sz="4" w:space="0" w:color="auto"/>
              <w:left w:val="nil"/>
              <w:bottom w:val="nil"/>
              <w:right w:val="nil"/>
            </w:tcBorders>
            <w:shd w:val="clear" w:color="auto" w:fill="auto"/>
            <w:noWrap/>
            <w:vAlign w:val="center"/>
            <w:hideMark/>
          </w:tcPr>
          <w:p w14:paraId="1C8ED87C"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Certification</w:t>
            </w:r>
          </w:p>
        </w:tc>
        <w:tc>
          <w:tcPr>
            <w:tcW w:w="1340" w:type="dxa"/>
            <w:tcBorders>
              <w:top w:val="single" w:sz="4" w:space="0" w:color="auto"/>
              <w:left w:val="nil"/>
              <w:bottom w:val="nil"/>
              <w:right w:val="nil"/>
            </w:tcBorders>
            <w:shd w:val="clear" w:color="auto" w:fill="auto"/>
            <w:noWrap/>
            <w:vAlign w:val="center"/>
            <w:hideMark/>
          </w:tcPr>
          <w:p w14:paraId="2F13D488"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VCM 28</w:t>
            </w:r>
          </w:p>
        </w:tc>
        <w:tc>
          <w:tcPr>
            <w:tcW w:w="1340" w:type="dxa"/>
            <w:tcBorders>
              <w:top w:val="single" w:sz="4" w:space="0" w:color="auto"/>
              <w:left w:val="nil"/>
              <w:bottom w:val="nil"/>
              <w:right w:val="nil"/>
            </w:tcBorders>
            <w:shd w:val="clear" w:color="auto" w:fill="auto"/>
            <w:noWrap/>
            <w:vAlign w:val="center"/>
            <w:hideMark/>
          </w:tcPr>
          <w:p w14:paraId="26CD23D3"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Overrun</w:t>
            </w:r>
          </w:p>
        </w:tc>
        <w:tc>
          <w:tcPr>
            <w:tcW w:w="1340" w:type="dxa"/>
            <w:tcBorders>
              <w:top w:val="single" w:sz="4" w:space="0" w:color="auto"/>
              <w:left w:val="nil"/>
              <w:bottom w:val="nil"/>
              <w:right w:val="single" w:sz="4" w:space="0" w:color="auto"/>
            </w:tcBorders>
            <w:shd w:val="clear" w:color="auto" w:fill="auto"/>
            <w:noWrap/>
            <w:vAlign w:val="center"/>
            <w:hideMark/>
          </w:tcPr>
          <w:p w14:paraId="26E414E5"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Overrun</w:t>
            </w:r>
          </w:p>
        </w:tc>
      </w:tr>
      <w:tr w:rsidR="003B3396" w:rsidRPr="005D1B26" w14:paraId="4B9608E9" w14:textId="77777777" w:rsidTr="0067438A">
        <w:trPr>
          <w:trHeight w:val="300"/>
        </w:trPr>
        <w:tc>
          <w:tcPr>
            <w:tcW w:w="2380" w:type="dxa"/>
            <w:tcBorders>
              <w:top w:val="nil"/>
              <w:left w:val="single" w:sz="4" w:space="0" w:color="auto"/>
              <w:bottom w:val="nil"/>
              <w:right w:val="nil"/>
            </w:tcBorders>
            <w:shd w:val="clear" w:color="auto" w:fill="auto"/>
            <w:noWrap/>
            <w:vAlign w:val="bottom"/>
            <w:hideMark/>
          </w:tcPr>
          <w:p w14:paraId="4F6B059E" w14:textId="77777777" w:rsidR="003B3396" w:rsidRPr="005D1B26" w:rsidRDefault="003B3396" w:rsidP="003B3396">
            <w:pPr>
              <w:widowControl/>
              <w:jc w:val="center"/>
              <w:rPr>
                <w:rFonts w:eastAsia="Times New Roman"/>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57C36114"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nil"/>
            </w:tcBorders>
            <w:shd w:val="clear" w:color="auto" w:fill="auto"/>
            <w:noWrap/>
            <w:vAlign w:val="center"/>
            <w:hideMark/>
          </w:tcPr>
          <w:p w14:paraId="7D701E91"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nil"/>
            </w:tcBorders>
            <w:shd w:val="clear" w:color="auto" w:fill="auto"/>
            <w:noWrap/>
            <w:vAlign w:val="center"/>
            <w:hideMark/>
          </w:tcPr>
          <w:p w14:paraId="5151ACDE"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single" w:sz="4" w:space="0" w:color="auto"/>
            </w:tcBorders>
            <w:shd w:val="clear" w:color="auto" w:fill="auto"/>
            <w:noWrap/>
            <w:vAlign w:val="center"/>
            <w:hideMark/>
          </w:tcPr>
          <w:p w14:paraId="456194CB"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Percent</w:t>
            </w:r>
          </w:p>
        </w:tc>
      </w:tr>
      <w:tr w:rsidR="003B3396" w:rsidRPr="005D1B26" w14:paraId="24771682" w14:textId="77777777" w:rsidTr="0067438A">
        <w:trPr>
          <w:trHeight w:val="300"/>
        </w:trPr>
        <w:tc>
          <w:tcPr>
            <w:tcW w:w="2380" w:type="dxa"/>
            <w:tcBorders>
              <w:top w:val="nil"/>
              <w:left w:val="single" w:sz="4" w:space="0" w:color="auto"/>
              <w:right w:val="nil"/>
            </w:tcBorders>
            <w:shd w:val="clear" w:color="auto" w:fill="auto"/>
            <w:noWrap/>
            <w:vAlign w:val="bottom"/>
            <w:hideMark/>
          </w:tcPr>
          <w:p w14:paraId="55E0B254" w14:textId="77777777" w:rsidR="003B3396" w:rsidRPr="005D1B26" w:rsidRDefault="003B3396" w:rsidP="003B3396">
            <w:pPr>
              <w:widowControl/>
              <w:jc w:val="center"/>
              <w:rPr>
                <w:rFonts w:eastAsia="Times New Roman"/>
                <w:color w:val="000000"/>
                <w:sz w:val="22"/>
                <w:szCs w:val="22"/>
              </w:rPr>
            </w:pPr>
            <w:r w:rsidRPr="005D1B26">
              <w:rPr>
                <w:rFonts w:eastAsia="Times New Roman"/>
                <w:color w:val="000000"/>
                <w:sz w:val="22"/>
                <w:szCs w:val="22"/>
              </w:rPr>
              <w:t>Construction / Capital</w:t>
            </w:r>
          </w:p>
        </w:tc>
        <w:tc>
          <w:tcPr>
            <w:tcW w:w="1340" w:type="dxa"/>
            <w:tcBorders>
              <w:top w:val="nil"/>
              <w:left w:val="nil"/>
              <w:bottom w:val="nil"/>
              <w:right w:val="nil"/>
            </w:tcBorders>
            <w:shd w:val="clear" w:color="auto" w:fill="auto"/>
            <w:noWrap/>
            <w:vAlign w:val="center"/>
            <w:hideMark/>
          </w:tcPr>
          <w:p w14:paraId="282618A2"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$4.418</w:t>
            </w:r>
          </w:p>
        </w:tc>
        <w:tc>
          <w:tcPr>
            <w:tcW w:w="1340" w:type="dxa"/>
            <w:tcBorders>
              <w:top w:val="nil"/>
              <w:left w:val="nil"/>
              <w:bottom w:val="nil"/>
              <w:right w:val="nil"/>
            </w:tcBorders>
            <w:shd w:val="clear" w:color="auto" w:fill="auto"/>
            <w:noWrap/>
            <w:vAlign w:val="center"/>
            <w:hideMark/>
          </w:tcPr>
          <w:p w14:paraId="588BC9B4"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$11.646</w:t>
            </w:r>
          </w:p>
        </w:tc>
        <w:tc>
          <w:tcPr>
            <w:tcW w:w="1340" w:type="dxa"/>
            <w:tcBorders>
              <w:top w:val="nil"/>
              <w:left w:val="nil"/>
              <w:bottom w:val="nil"/>
              <w:right w:val="nil"/>
            </w:tcBorders>
            <w:shd w:val="clear" w:color="auto" w:fill="auto"/>
            <w:noWrap/>
            <w:vAlign w:val="center"/>
            <w:hideMark/>
          </w:tcPr>
          <w:p w14:paraId="05C5E9D7"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$7.228</w:t>
            </w:r>
          </w:p>
        </w:tc>
        <w:tc>
          <w:tcPr>
            <w:tcW w:w="1340" w:type="dxa"/>
            <w:tcBorders>
              <w:top w:val="nil"/>
              <w:left w:val="nil"/>
              <w:right w:val="single" w:sz="4" w:space="0" w:color="auto"/>
            </w:tcBorders>
            <w:shd w:val="clear" w:color="auto" w:fill="auto"/>
            <w:noWrap/>
            <w:vAlign w:val="center"/>
            <w:hideMark/>
          </w:tcPr>
          <w:p w14:paraId="14A8A2B8"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164%</w:t>
            </w:r>
          </w:p>
        </w:tc>
      </w:tr>
      <w:tr w:rsidR="003B3396" w:rsidRPr="005D1B26" w14:paraId="2CB37C05" w14:textId="77777777" w:rsidTr="0067438A">
        <w:trPr>
          <w:trHeight w:val="300"/>
        </w:trPr>
        <w:tc>
          <w:tcPr>
            <w:tcW w:w="2380" w:type="dxa"/>
            <w:tcBorders>
              <w:top w:val="nil"/>
              <w:left w:val="single" w:sz="4" w:space="0" w:color="auto"/>
              <w:bottom w:val="single" w:sz="4" w:space="0" w:color="auto"/>
              <w:right w:val="nil"/>
            </w:tcBorders>
            <w:shd w:val="clear" w:color="auto" w:fill="auto"/>
            <w:noWrap/>
            <w:vAlign w:val="bottom"/>
            <w:hideMark/>
          </w:tcPr>
          <w:p w14:paraId="07A72C68" w14:textId="77777777" w:rsidR="003B3396" w:rsidRPr="005D1B26" w:rsidRDefault="003B3396" w:rsidP="003B3396">
            <w:pPr>
              <w:widowControl/>
              <w:jc w:val="center"/>
              <w:rPr>
                <w:rFonts w:eastAsia="Times New Roman"/>
                <w:color w:val="000000"/>
                <w:sz w:val="22"/>
                <w:szCs w:val="22"/>
              </w:rPr>
            </w:pPr>
            <w:r w:rsidRPr="005D1B26">
              <w:rPr>
                <w:rFonts w:eastAsia="Times New Roman"/>
                <w:color w:val="000000"/>
                <w:sz w:val="22"/>
                <w:szCs w:val="22"/>
              </w:rPr>
              <w:t>Financing</w:t>
            </w:r>
          </w:p>
        </w:tc>
        <w:tc>
          <w:tcPr>
            <w:tcW w:w="1340" w:type="dxa"/>
            <w:tcBorders>
              <w:top w:val="nil"/>
              <w:left w:val="nil"/>
              <w:bottom w:val="single" w:sz="4" w:space="0" w:color="auto"/>
              <w:right w:val="nil"/>
            </w:tcBorders>
            <w:shd w:val="clear" w:color="auto" w:fill="auto"/>
            <w:noWrap/>
            <w:vAlign w:val="center"/>
            <w:hideMark/>
          </w:tcPr>
          <w:p w14:paraId="335F4795"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$1.695</w:t>
            </w:r>
          </w:p>
        </w:tc>
        <w:tc>
          <w:tcPr>
            <w:tcW w:w="1340" w:type="dxa"/>
            <w:tcBorders>
              <w:top w:val="nil"/>
              <w:left w:val="nil"/>
              <w:bottom w:val="single" w:sz="4" w:space="0" w:color="auto"/>
              <w:right w:val="nil"/>
            </w:tcBorders>
            <w:shd w:val="clear" w:color="auto" w:fill="auto"/>
            <w:noWrap/>
            <w:vAlign w:val="center"/>
            <w:hideMark/>
          </w:tcPr>
          <w:p w14:paraId="6949E2A3"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$3.504</w:t>
            </w:r>
          </w:p>
        </w:tc>
        <w:tc>
          <w:tcPr>
            <w:tcW w:w="1340" w:type="dxa"/>
            <w:tcBorders>
              <w:top w:val="nil"/>
              <w:left w:val="nil"/>
              <w:bottom w:val="single" w:sz="4" w:space="0" w:color="auto"/>
              <w:right w:val="nil"/>
            </w:tcBorders>
            <w:shd w:val="clear" w:color="auto" w:fill="auto"/>
            <w:noWrap/>
            <w:vAlign w:val="center"/>
            <w:hideMark/>
          </w:tcPr>
          <w:p w14:paraId="52887A4E"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$1.809</w:t>
            </w:r>
          </w:p>
        </w:tc>
        <w:tc>
          <w:tcPr>
            <w:tcW w:w="1340" w:type="dxa"/>
            <w:tcBorders>
              <w:top w:val="nil"/>
              <w:left w:val="nil"/>
              <w:bottom w:val="single" w:sz="4" w:space="0" w:color="auto"/>
              <w:right w:val="single" w:sz="4" w:space="0" w:color="auto"/>
            </w:tcBorders>
            <w:shd w:val="clear" w:color="auto" w:fill="auto"/>
            <w:noWrap/>
            <w:vAlign w:val="center"/>
            <w:hideMark/>
          </w:tcPr>
          <w:p w14:paraId="58C8DC2C"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107%</w:t>
            </w:r>
          </w:p>
        </w:tc>
      </w:tr>
      <w:tr w:rsidR="003B3396" w:rsidRPr="005D1B26" w14:paraId="69DC2018" w14:textId="77777777" w:rsidTr="0067438A">
        <w:trPr>
          <w:trHeight w:val="300"/>
        </w:trPr>
        <w:tc>
          <w:tcPr>
            <w:tcW w:w="2380" w:type="dxa"/>
            <w:tcBorders>
              <w:top w:val="single" w:sz="4" w:space="0" w:color="auto"/>
              <w:left w:val="single" w:sz="4" w:space="0" w:color="auto"/>
              <w:bottom w:val="single" w:sz="4" w:space="0" w:color="auto"/>
              <w:right w:val="nil"/>
            </w:tcBorders>
            <w:shd w:val="clear" w:color="auto" w:fill="auto"/>
            <w:noWrap/>
            <w:vAlign w:val="bottom"/>
            <w:hideMark/>
          </w:tcPr>
          <w:p w14:paraId="7CA9A534" w14:textId="77777777" w:rsidR="003B3396" w:rsidRPr="005D1B26" w:rsidRDefault="003B3396" w:rsidP="003B3396">
            <w:pPr>
              <w:widowControl/>
              <w:jc w:val="center"/>
              <w:rPr>
                <w:rFonts w:eastAsia="Times New Roman"/>
                <w:color w:val="000000"/>
                <w:sz w:val="22"/>
                <w:szCs w:val="22"/>
              </w:rPr>
            </w:pPr>
            <w:r w:rsidRPr="005D1B26">
              <w:rPr>
                <w:rFonts w:eastAsia="Times New Roman"/>
                <w:color w:val="000000"/>
                <w:sz w:val="22"/>
                <w:szCs w:val="22"/>
              </w:rPr>
              <w:t>Total</w:t>
            </w:r>
          </w:p>
        </w:tc>
        <w:tc>
          <w:tcPr>
            <w:tcW w:w="1340" w:type="dxa"/>
            <w:tcBorders>
              <w:top w:val="nil"/>
              <w:left w:val="nil"/>
              <w:bottom w:val="single" w:sz="4" w:space="0" w:color="auto"/>
              <w:right w:val="nil"/>
            </w:tcBorders>
            <w:shd w:val="clear" w:color="auto" w:fill="auto"/>
            <w:noWrap/>
            <w:vAlign w:val="center"/>
            <w:hideMark/>
          </w:tcPr>
          <w:p w14:paraId="1333B07B"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$6.113</w:t>
            </w:r>
          </w:p>
        </w:tc>
        <w:tc>
          <w:tcPr>
            <w:tcW w:w="1340" w:type="dxa"/>
            <w:tcBorders>
              <w:top w:val="nil"/>
              <w:left w:val="nil"/>
              <w:bottom w:val="single" w:sz="4" w:space="0" w:color="auto"/>
              <w:right w:val="nil"/>
            </w:tcBorders>
            <w:shd w:val="clear" w:color="auto" w:fill="auto"/>
            <w:noWrap/>
            <w:vAlign w:val="center"/>
            <w:hideMark/>
          </w:tcPr>
          <w:p w14:paraId="41062A70"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$15.150</w:t>
            </w:r>
          </w:p>
        </w:tc>
        <w:tc>
          <w:tcPr>
            <w:tcW w:w="1340" w:type="dxa"/>
            <w:tcBorders>
              <w:top w:val="nil"/>
              <w:left w:val="nil"/>
              <w:bottom w:val="single" w:sz="4" w:space="0" w:color="auto"/>
              <w:right w:val="nil"/>
            </w:tcBorders>
            <w:shd w:val="clear" w:color="auto" w:fill="auto"/>
            <w:noWrap/>
            <w:vAlign w:val="center"/>
            <w:hideMark/>
          </w:tcPr>
          <w:p w14:paraId="2496D6AB"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$9.037</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9B618A4" w14:textId="77777777" w:rsidR="003B3396" w:rsidRPr="005D1B26" w:rsidRDefault="003B3396" w:rsidP="005D1B26">
            <w:pPr>
              <w:widowControl/>
              <w:jc w:val="right"/>
              <w:rPr>
                <w:rFonts w:eastAsia="Times New Roman"/>
                <w:color w:val="000000"/>
                <w:sz w:val="22"/>
                <w:szCs w:val="22"/>
              </w:rPr>
            </w:pPr>
            <w:r w:rsidRPr="005D1B26">
              <w:rPr>
                <w:rFonts w:eastAsia="Times New Roman"/>
                <w:color w:val="000000"/>
                <w:sz w:val="22"/>
                <w:szCs w:val="22"/>
              </w:rPr>
              <w:t>148%</w:t>
            </w:r>
          </w:p>
        </w:tc>
      </w:tr>
    </w:tbl>
    <w:p w14:paraId="7E5747C0" w14:textId="77777777" w:rsidR="003B3396" w:rsidRDefault="003B3396" w:rsidP="008730B0">
      <w:pPr>
        <w:spacing w:after="120" w:line="360" w:lineRule="auto"/>
        <w:ind w:left="720"/>
      </w:pPr>
    </w:p>
    <w:p w14:paraId="6209F29A" w14:textId="5C2F7EE5" w:rsidR="003B3396" w:rsidRPr="00250136" w:rsidRDefault="003B3396" w:rsidP="003B3396">
      <w:pPr>
        <w:spacing w:after="120" w:line="360" w:lineRule="auto"/>
        <w:ind w:left="720" w:hanging="720"/>
        <w:rPr>
          <w:b/>
          <w:bCs/>
        </w:rPr>
      </w:pPr>
      <w:r w:rsidRPr="00250136">
        <w:rPr>
          <w:b/>
          <w:bCs/>
        </w:rPr>
        <w:t>Q.</w:t>
      </w:r>
      <w:r w:rsidRPr="00250136">
        <w:rPr>
          <w:b/>
          <w:bCs/>
        </w:rPr>
        <w:tab/>
      </w:r>
      <w:r w:rsidR="0041542D">
        <w:rPr>
          <w:b/>
          <w:bCs/>
        </w:rPr>
        <w:t xml:space="preserve">HOW </w:t>
      </w:r>
      <w:r w:rsidR="00097087">
        <w:rPr>
          <w:b/>
          <w:bCs/>
        </w:rPr>
        <w:t xml:space="preserve">MIGHT THE </w:t>
      </w:r>
      <w:r w:rsidR="0041542D">
        <w:rPr>
          <w:b/>
          <w:bCs/>
        </w:rPr>
        <w:t>CONSTRUCTION/CAPITAL COST</w:t>
      </w:r>
      <w:r w:rsidR="003036F4">
        <w:rPr>
          <w:b/>
          <w:bCs/>
        </w:rPr>
        <w:t>S</w:t>
      </w:r>
      <w:r w:rsidR="0041542D">
        <w:rPr>
          <w:b/>
          <w:bCs/>
        </w:rPr>
        <w:t xml:space="preserve"> AND FINANCING COST</w:t>
      </w:r>
      <w:r w:rsidR="003036F4">
        <w:rPr>
          <w:b/>
          <w:bCs/>
        </w:rPr>
        <w:t>S</w:t>
      </w:r>
      <w:r w:rsidR="0041542D">
        <w:rPr>
          <w:b/>
          <w:bCs/>
        </w:rPr>
        <w:t xml:space="preserve"> BE ALLOCATED TO RATEPAYERS</w:t>
      </w:r>
      <w:r w:rsidR="009D04ED">
        <w:rPr>
          <w:b/>
          <w:bCs/>
        </w:rPr>
        <w:t xml:space="preserve"> TAKING INTO ACCOUNT THE $694 MILLION THE COMPANY HAS AGREED TO ABSORB</w:t>
      </w:r>
      <w:r w:rsidRPr="00C867DC">
        <w:rPr>
          <w:b/>
          <w:bCs/>
        </w:rPr>
        <w:t>?</w:t>
      </w:r>
    </w:p>
    <w:p w14:paraId="19F21528" w14:textId="0FDA4984" w:rsidR="00162D7E" w:rsidRDefault="003B3396" w:rsidP="0067438A">
      <w:pPr>
        <w:spacing w:after="120" w:line="360" w:lineRule="auto"/>
        <w:ind w:left="720" w:hanging="720"/>
        <w:rPr>
          <w:bCs/>
        </w:rPr>
      </w:pPr>
      <w:r>
        <w:rPr>
          <w:bCs/>
        </w:rPr>
        <w:t>A.</w:t>
      </w:r>
      <w:r>
        <w:rPr>
          <w:bCs/>
        </w:rPr>
        <w:tab/>
      </w:r>
      <w:r w:rsidR="00965A3F">
        <w:rPr>
          <w:bCs/>
        </w:rPr>
        <w:t xml:space="preserve">In all VCM proceedings since VCM 17, including this proceeding, the Company calculated the rate impacts based on construction/capital costs of $7.3 billion plus the financing costs on that amount through the forecast CODs, which continue to increase with every schedule delay.  In all VCM proceedings since VCM 17, including this proceeding, the Company has made no commitment to limit its actual rate request to the construction/capital costs of $7.3 billion plus financing costs on that amount.  Instead, the Company has consistently reserved the right to seek recovery of the entirety of costs incurred, excluding the $0.694 billion that it has agreed to absorb.  If the Company seeks recovery of the entirety of its construction/capital costs, excluding the $0.694 billion, then the Company might seek to recover as much as $12.964 billion or more in construction/capital and financing costs from ratepayers as shown on the following table.  </w:t>
      </w:r>
    </w:p>
    <w:p w14:paraId="6F903FB5" w14:textId="06C5CD89" w:rsidR="005D1B26" w:rsidRDefault="005D1B26" w:rsidP="00965A3F">
      <w:pPr>
        <w:pStyle w:val="CommentText"/>
        <w:jc w:val="center"/>
        <w:rPr>
          <w:b/>
          <w:sz w:val="24"/>
          <w:szCs w:val="24"/>
        </w:rPr>
      </w:pPr>
      <w:r w:rsidRPr="00965A3F">
        <w:rPr>
          <w:b/>
          <w:sz w:val="24"/>
          <w:szCs w:val="24"/>
        </w:rPr>
        <w:t xml:space="preserve">Table </w:t>
      </w:r>
      <w:r w:rsidR="00097087" w:rsidRPr="00965A3F">
        <w:rPr>
          <w:b/>
          <w:sz w:val="24"/>
          <w:szCs w:val="24"/>
        </w:rPr>
        <w:t>2</w:t>
      </w:r>
    </w:p>
    <w:p w14:paraId="276C0007" w14:textId="77777777" w:rsidR="00965A3F" w:rsidRPr="00965A3F" w:rsidRDefault="00965A3F" w:rsidP="00965A3F">
      <w:pPr>
        <w:pStyle w:val="CommentText"/>
        <w:jc w:val="center"/>
        <w:rPr>
          <w:sz w:val="24"/>
          <w:szCs w:val="24"/>
        </w:rPr>
      </w:pPr>
    </w:p>
    <w:tbl>
      <w:tblPr>
        <w:tblW w:w="7740" w:type="dxa"/>
        <w:tblInd w:w="883" w:type="dxa"/>
        <w:tblLook w:val="04A0" w:firstRow="1" w:lastRow="0" w:firstColumn="1" w:lastColumn="0" w:noHBand="0" w:noVBand="1"/>
      </w:tblPr>
      <w:tblGrid>
        <w:gridCol w:w="2380"/>
        <w:gridCol w:w="1340"/>
        <w:gridCol w:w="1340"/>
        <w:gridCol w:w="1340"/>
        <w:gridCol w:w="1340"/>
      </w:tblGrid>
      <w:tr w:rsidR="00097087" w:rsidRPr="005D1B26" w14:paraId="3214B855" w14:textId="77777777" w:rsidTr="00965A3F">
        <w:trPr>
          <w:trHeight w:val="300"/>
        </w:trPr>
        <w:tc>
          <w:tcPr>
            <w:tcW w:w="2380" w:type="dxa"/>
            <w:tcBorders>
              <w:top w:val="single" w:sz="4" w:space="0" w:color="auto"/>
              <w:left w:val="single" w:sz="4" w:space="0" w:color="auto"/>
              <w:bottom w:val="nil"/>
              <w:right w:val="nil"/>
            </w:tcBorders>
            <w:shd w:val="clear" w:color="auto" w:fill="auto"/>
            <w:noWrap/>
            <w:vAlign w:val="center"/>
          </w:tcPr>
          <w:p w14:paraId="7F8BFEDC" w14:textId="77777777" w:rsidR="00097087" w:rsidRPr="005D1B26" w:rsidRDefault="00097087" w:rsidP="00097087">
            <w:pPr>
              <w:widowControl/>
              <w:jc w:val="right"/>
              <w:rPr>
                <w:rFonts w:eastAsia="Times New Roman"/>
                <w:sz w:val="20"/>
                <w:szCs w:val="20"/>
              </w:rPr>
            </w:pPr>
          </w:p>
        </w:tc>
        <w:tc>
          <w:tcPr>
            <w:tcW w:w="1340" w:type="dxa"/>
            <w:tcBorders>
              <w:top w:val="single" w:sz="4" w:space="0" w:color="auto"/>
              <w:left w:val="nil"/>
              <w:bottom w:val="nil"/>
              <w:right w:val="nil"/>
            </w:tcBorders>
            <w:shd w:val="clear" w:color="auto" w:fill="auto"/>
            <w:noWrap/>
            <w:vAlign w:val="center"/>
          </w:tcPr>
          <w:p w14:paraId="38BD44A5" w14:textId="41388C81" w:rsidR="00097087" w:rsidRPr="005D1B26" w:rsidRDefault="00097087" w:rsidP="00262B8B">
            <w:pPr>
              <w:widowControl/>
              <w:jc w:val="center"/>
              <w:rPr>
                <w:rFonts w:eastAsia="Times New Roman"/>
                <w:color w:val="000000"/>
                <w:sz w:val="22"/>
                <w:szCs w:val="22"/>
              </w:rPr>
            </w:pPr>
            <w:r>
              <w:rPr>
                <w:rFonts w:eastAsia="Times New Roman"/>
                <w:color w:val="000000"/>
                <w:sz w:val="22"/>
                <w:szCs w:val="22"/>
              </w:rPr>
              <w:t>A</w:t>
            </w:r>
          </w:p>
        </w:tc>
        <w:tc>
          <w:tcPr>
            <w:tcW w:w="1340" w:type="dxa"/>
            <w:tcBorders>
              <w:top w:val="single" w:sz="4" w:space="0" w:color="auto"/>
              <w:left w:val="nil"/>
              <w:bottom w:val="nil"/>
              <w:right w:val="nil"/>
            </w:tcBorders>
            <w:shd w:val="clear" w:color="auto" w:fill="auto"/>
            <w:noWrap/>
            <w:vAlign w:val="center"/>
          </w:tcPr>
          <w:p w14:paraId="0D1BB03B" w14:textId="31730349" w:rsidR="00097087" w:rsidRPr="005D1B26" w:rsidRDefault="00097087" w:rsidP="00262B8B">
            <w:pPr>
              <w:widowControl/>
              <w:jc w:val="center"/>
              <w:rPr>
                <w:rFonts w:eastAsia="Times New Roman"/>
                <w:color w:val="000000"/>
                <w:sz w:val="22"/>
                <w:szCs w:val="22"/>
              </w:rPr>
            </w:pPr>
            <w:r>
              <w:rPr>
                <w:rFonts w:eastAsia="Times New Roman"/>
                <w:color w:val="000000"/>
                <w:sz w:val="22"/>
                <w:szCs w:val="22"/>
              </w:rPr>
              <w:t>B</w:t>
            </w:r>
          </w:p>
        </w:tc>
        <w:tc>
          <w:tcPr>
            <w:tcW w:w="1340" w:type="dxa"/>
            <w:tcBorders>
              <w:top w:val="single" w:sz="4" w:space="0" w:color="auto"/>
              <w:left w:val="nil"/>
              <w:bottom w:val="nil"/>
              <w:right w:val="nil"/>
            </w:tcBorders>
            <w:vAlign w:val="center"/>
          </w:tcPr>
          <w:p w14:paraId="1FEADF3D" w14:textId="53D9FDB2" w:rsidR="00097087" w:rsidDel="00097087" w:rsidRDefault="00097087" w:rsidP="00262B8B">
            <w:pPr>
              <w:widowControl/>
              <w:jc w:val="center"/>
              <w:rPr>
                <w:rFonts w:eastAsia="Times New Roman"/>
                <w:color w:val="000000"/>
                <w:sz w:val="22"/>
                <w:szCs w:val="22"/>
              </w:rPr>
            </w:pPr>
            <w:r>
              <w:rPr>
                <w:rFonts w:eastAsia="Times New Roman"/>
                <w:color w:val="000000"/>
                <w:sz w:val="22"/>
                <w:szCs w:val="22"/>
              </w:rPr>
              <w:t>C</w:t>
            </w:r>
          </w:p>
        </w:tc>
        <w:tc>
          <w:tcPr>
            <w:tcW w:w="1340" w:type="dxa"/>
            <w:tcBorders>
              <w:top w:val="single" w:sz="4" w:space="0" w:color="auto"/>
              <w:left w:val="nil"/>
              <w:bottom w:val="nil"/>
              <w:right w:val="single" w:sz="4" w:space="0" w:color="auto"/>
            </w:tcBorders>
            <w:vAlign w:val="center"/>
          </w:tcPr>
          <w:p w14:paraId="6105B225" w14:textId="58F5D051" w:rsidR="00097087" w:rsidRDefault="00097087" w:rsidP="00262B8B">
            <w:pPr>
              <w:widowControl/>
              <w:jc w:val="center"/>
              <w:rPr>
                <w:rFonts w:eastAsia="Times New Roman"/>
                <w:color w:val="000000"/>
                <w:sz w:val="22"/>
                <w:szCs w:val="22"/>
              </w:rPr>
            </w:pPr>
            <w:r w:rsidDel="00097087">
              <w:rPr>
                <w:rFonts w:eastAsia="Times New Roman"/>
                <w:color w:val="000000"/>
                <w:sz w:val="22"/>
                <w:szCs w:val="22"/>
              </w:rPr>
              <w:t>A</w:t>
            </w:r>
            <w:r>
              <w:rPr>
                <w:rFonts w:eastAsia="Times New Roman"/>
                <w:color w:val="000000"/>
                <w:sz w:val="22"/>
                <w:szCs w:val="22"/>
              </w:rPr>
              <w:t>-B-C</w:t>
            </w:r>
          </w:p>
        </w:tc>
      </w:tr>
      <w:tr w:rsidR="00097087" w:rsidRPr="005D1B26" w14:paraId="109D5371" w14:textId="77777777" w:rsidTr="00965A3F">
        <w:trPr>
          <w:trHeight w:val="300"/>
        </w:trPr>
        <w:tc>
          <w:tcPr>
            <w:tcW w:w="2380" w:type="dxa"/>
            <w:tcBorders>
              <w:top w:val="single" w:sz="4" w:space="0" w:color="auto"/>
              <w:left w:val="single" w:sz="4" w:space="0" w:color="auto"/>
              <w:bottom w:val="nil"/>
              <w:right w:val="nil"/>
            </w:tcBorders>
            <w:shd w:val="clear" w:color="auto" w:fill="auto"/>
            <w:noWrap/>
            <w:vAlign w:val="center"/>
            <w:hideMark/>
          </w:tcPr>
          <w:p w14:paraId="6A451439" w14:textId="77777777" w:rsidR="00097087" w:rsidRPr="005D1B26" w:rsidRDefault="00097087" w:rsidP="00965A3F">
            <w:pPr>
              <w:widowControl/>
              <w:jc w:val="left"/>
              <w:rPr>
                <w:rFonts w:eastAsia="Times New Roman"/>
                <w:sz w:val="20"/>
                <w:szCs w:val="20"/>
              </w:rPr>
            </w:pPr>
          </w:p>
        </w:tc>
        <w:tc>
          <w:tcPr>
            <w:tcW w:w="1340" w:type="dxa"/>
            <w:tcBorders>
              <w:top w:val="single" w:sz="4" w:space="0" w:color="auto"/>
              <w:left w:val="nil"/>
              <w:bottom w:val="nil"/>
              <w:right w:val="nil"/>
            </w:tcBorders>
            <w:shd w:val="clear" w:color="auto" w:fill="auto"/>
            <w:noWrap/>
            <w:vAlign w:val="center"/>
            <w:hideMark/>
          </w:tcPr>
          <w:p w14:paraId="7725C9F6"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VCM 28</w:t>
            </w:r>
          </w:p>
        </w:tc>
        <w:tc>
          <w:tcPr>
            <w:tcW w:w="1340" w:type="dxa"/>
            <w:tcBorders>
              <w:top w:val="single" w:sz="4" w:space="0" w:color="auto"/>
              <w:left w:val="nil"/>
              <w:bottom w:val="nil"/>
              <w:right w:val="nil"/>
            </w:tcBorders>
            <w:shd w:val="clear" w:color="auto" w:fill="auto"/>
            <w:noWrap/>
            <w:vAlign w:val="center"/>
            <w:hideMark/>
          </w:tcPr>
          <w:p w14:paraId="4AF5BA08"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Company</w:t>
            </w:r>
          </w:p>
        </w:tc>
        <w:tc>
          <w:tcPr>
            <w:tcW w:w="1340" w:type="dxa"/>
            <w:tcBorders>
              <w:top w:val="single" w:sz="4" w:space="0" w:color="auto"/>
              <w:left w:val="nil"/>
              <w:bottom w:val="nil"/>
              <w:right w:val="nil"/>
            </w:tcBorders>
            <w:vAlign w:val="center"/>
          </w:tcPr>
          <w:p w14:paraId="0A322C8D" w14:textId="6CE66802"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Toshiba PG</w:t>
            </w:r>
          </w:p>
        </w:tc>
        <w:tc>
          <w:tcPr>
            <w:tcW w:w="1340" w:type="dxa"/>
            <w:tcBorders>
              <w:top w:val="single" w:sz="4" w:space="0" w:color="auto"/>
              <w:left w:val="nil"/>
              <w:bottom w:val="nil"/>
              <w:right w:val="single" w:sz="4" w:space="0" w:color="auto"/>
            </w:tcBorders>
            <w:vAlign w:val="center"/>
          </w:tcPr>
          <w:p w14:paraId="5FE59DF1" w14:textId="1082EFB2"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Ratepayer</w:t>
            </w:r>
          </w:p>
        </w:tc>
      </w:tr>
      <w:tr w:rsidR="00097087" w:rsidRPr="005D1B26" w14:paraId="25FD77D0" w14:textId="77777777" w:rsidTr="00965A3F">
        <w:trPr>
          <w:trHeight w:val="300"/>
        </w:trPr>
        <w:tc>
          <w:tcPr>
            <w:tcW w:w="2380" w:type="dxa"/>
            <w:tcBorders>
              <w:top w:val="nil"/>
              <w:left w:val="single" w:sz="4" w:space="0" w:color="auto"/>
              <w:bottom w:val="nil"/>
              <w:right w:val="nil"/>
            </w:tcBorders>
            <w:shd w:val="clear" w:color="auto" w:fill="auto"/>
            <w:noWrap/>
            <w:vAlign w:val="center"/>
            <w:hideMark/>
          </w:tcPr>
          <w:p w14:paraId="7E96C8C6" w14:textId="77777777" w:rsidR="00097087" w:rsidRPr="005D1B26" w:rsidRDefault="00097087" w:rsidP="00965A3F">
            <w:pPr>
              <w:widowControl/>
              <w:jc w:val="left"/>
              <w:rPr>
                <w:rFonts w:eastAsia="Times New Roman"/>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79A15301"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nil"/>
            </w:tcBorders>
            <w:shd w:val="clear" w:color="auto" w:fill="auto"/>
            <w:noWrap/>
            <w:vAlign w:val="center"/>
            <w:hideMark/>
          </w:tcPr>
          <w:p w14:paraId="69DA8148"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nil"/>
            </w:tcBorders>
            <w:vAlign w:val="center"/>
          </w:tcPr>
          <w:p w14:paraId="5AA7E1C3" w14:textId="5E3106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 billion)</w:t>
            </w:r>
          </w:p>
        </w:tc>
        <w:tc>
          <w:tcPr>
            <w:tcW w:w="1340" w:type="dxa"/>
            <w:tcBorders>
              <w:top w:val="nil"/>
              <w:left w:val="nil"/>
              <w:bottom w:val="single" w:sz="4" w:space="0" w:color="auto"/>
              <w:right w:val="single" w:sz="4" w:space="0" w:color="auto"/>
            </w:tcBorders>
            <w:vAlign w:val="center"/>
          </w:tcPr>
          <w:p w14:paraId="35F434A7" w14:textId="41E3C921"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 billion)</w:t>
            </w:r>
          </w:p>
        </w:tc>
      </w:tr>
      <w:tr w:rsidR="00097087" w:rsidRPr="005D1B26" w14:paraId="39A1C436" w14:textId="77777777" w:rsidTr="00965A3F">
        <w:trPr>
          <w:trHeight w:val="300"/>
        </w:trPr>
        <w:tc>
          <w:tcPr>
            <w:tcW w:w="2380" w:type="dxa"/>
            <w:tcBorders>
              <w:top w:val="nil"/>
              <w:left w:val="single" w:sz="4" w:space="0" w:color="auto"/>
              <w:right w:val="nil"/>
            </w:tcBorders>
            <w:shd w:val="clear" w:color="auto" w:fill="auto"/>
            <w:noWrap/>
            <w:vAlign w:val="center"/>
            <w:hideMark/>
          </w:tcPr>
          <w:p w14:paraId="07EA352B" w14:textId="731FE506" w:rsidR="00097087" w:rsidRPr="005D1B26" w:rsidRDefault="00097087" w:rsidP="00965A3F">
            <w:pPr>
              <w:widowControl/>
              <w:jc w:val="left"/>
              <w:rPr>
                <w:rFonts w:eastAsia="Times New Roman"/>
                <w:color w:val="000000"/>
                <w:sz w:val="22"/>
                <w:szCs w:val="22"/>
              </w:rPr>
            </w:pPr>
            <w:r w:rsidRPr="005D1B26">
              <w:rPr>
                <w:rFonts w:eastAsia="Times New Roman"/>
                <w:color w:val="000000"/>
                <w:sz w:val="22"/>
                <w:szCs w:val="22"/>
              </w:rPr>
              <w:t>Construction/Capital</w:t>
            </w:r>
          </w:p>
        </w:tc>
        <w:tc>
          <w:tcPr>
            <w:tcW w:w="1340" w:type="dxa"/>
            <w:tcBorders>
              <w:top w:val="nil"/>
              <w:left w:val="nil"/>
              <w:bottom w:val="nil"/>
              <w:right w:val="nil"/>
            </w:tcBorders>
            <w:shd w:val="clear" w:color="auto" w:fill="auto"/>
            <w:noWrap/>
            <w:vAlign w:val="center"/>
            <w:hideMark/>
          </w:tcPr>
          <w:p w14:paraId="3F06547D"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$11.646</w:t>
            </w:r>
          </w:p>
        </w:tc>
        <w:tc>
          <w:tcPr>
            <w:tcW w:w="1340" w:type="dxa"/>
            <w:tcBorders>
              <w:top w:val="nil"/>
              <w:left w:val="nil"/>
              <w:bottom w:val="nil"/>
              <w:right w:val="nil"/>
            </w:tcBorders>
            <w:shd w:val="clear" w:color="auto" w:fill="auto"/>
            <w:noWrap/>
            <w:vAlign w:val="center"/>
            <w:hideMark/>
          </w:tcPr>
          <w:p w14:paraId="7A3EF732" w14:textId="76F484BB"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$0.694</w:t>
            </w:r>
          </w:p>
        </w:tc>
        <w:tc>
          <w:tcPr>
            <w:tcW w:w="1340" w:type="dxa"/>
            <w:tcBorders>
              <w:top w:val="nil"/>
              <w:left w:val="nil"/>
              <w:bottom w:val="nil"/>
              <w:right w:val="nil"/>
            </w:tcBorders>
            <w:vAlign w:val="center"/>
          </w:tcPr>
          <w:p w14:paraId="3519829E" w14:textId="19D1F93F"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$1.492</w:t>
            </w:r>
          </w:p>
        </w:tc>
        <w:tc>
          <w:tcPr>
            <w:tcW w:w="1340" w:type="dxa"/>
            <w:tcBorders>
              <w:top w:val="nil"/>
              <w:left w:val="nil"/>
              <w:bottom w:val="nil"/>
              <w:right w:val="single" w:sz="4" w:space="0" w:color="auto"/>
            </w:tcBorders>
            <w:vAlign w:val="center"/>
          </w:tcPr>
          <w:p w14:paraId="09E1C54D" w14:textId="758CC975"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$9.460</w:t>
            </w:r>
          </w:p>
        </w:tc>
      </w:tr>
      <w:tr w:rsidR="00097087" w:rsidRPr="005D1B26" w14:paraId="5C164BA5" w14:textId="77777777" w:rsidTr="00965A3F">
        <w:trPr>
          <w:trHeight w:val="300"/>
        </w:trPr>
        <w:tc>
          <w:tcPr>
            <w:tcW w:w="2380" w:type="dxa"/>
            <w:tcBorders>
              <w:top w:val="nil"/>
              <w:left w:val="single" w:sz="4" w:space="0" w:color="auto"/>
              <w:bottom w:val="single" w:sz="4" w:space="0" w:color="auto"/>
              <w:right w:val="nil"/>
            </w:tcBorders>
            <w:shd w:val="clear" w:color="auto" w:fill="auto"/>
            <w:noWrap/>
            <w:vAlign w:val="center"/>
            <w:hideMark/>
          </w:tcPr>
          <w:p w14:paraId="0DF11ECA" w14:textId="77777777" w:rsidR="00097087" w:rsidRPr="005D1B26" w:rsidRDefault="00097087" w:rsidP="00965A3F">
            <w:pPr>
              <w:widowControl/>
              <w:jc w:val="left"/>
              <w:rPr>
                <w:rFonts w:eastAsia="Times New Roman"/>
                <w:color w:val="000000"/>
                <w:sz w:val="22"/>
                <w:szCs w:val="22"/>
              </w:rPr>
            </w:pPr>
            <w:r w:rsidRPr="005D1B26">
              <w:rPr>
                <w:rFonts w:eastAsia="Times New Roman"/>
                <w:color w:val="000000"/>
                <w:sz w:val="22"/>
                <w:szCs w:val="22"/>
              </w:rPr>
              <w:t>Financing</w:t>
            </w:r>
          </w:p>
        </w:tc>
        <w:tc>
          <w:tcPr>
            <w:tcW w:w="1340" w:type="dxa"/>
            <w:tcBorders>
              <w:top w:val="nil"/>
              <w:left w:val="nil"/>
              <w:bottom w:val="single" w:sz="4" w:space="0" w:color="auto"/>
              <w:right w:val="nil"/>
            </w:tcBorders>
            <w:shd w:val="clear" w:color="auto" w:fill="auto"/>
            <w:noWrap/>
            <w:vAlign w:val="center"/>
            <w:hideMark/>
          </w:tcPr>
          <w:p w14:paraId="7636F6AF"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$3.504</w:t>
            </w:r>
          </w:p>
        </w:tc>
        <w:tc>
          <w:tcPr>
            <w:tcW w:w="1340" w:type="dxa"/>
            <w:tcBorders>
              <w:top w:val="nil"/>
              <w:left w:val="nil"/>
              <w:bottom w:val="single" w:sz="4" w:space="0" w:color="auto"/>
              <w:right w:val="nil"/>
            </w:tcBorders>
            <w:shd w:val="clear" w:color="auto" w:fill="auto"/>
            <w:noWrap/>
            <w:vAlign w:val="center"/>
            <w:hideMark/>
          </w:tcPr>
          <w:p w14:paraId="370D7CD7"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$0.000</w:t>
            </w:r>
          </w:p>
        </w:tc>
        <w:tc>
          <w:tcPr>
            <w:tcW w:w="1340" w:type="dxa"/>
            <w:tcBorders>
              <w:top w:val="nil"/>
              <w:left w:val="nil"/>
              <w:bottom w:val="single" w:sz="4" w:space="0" w:color="auto"/>
              <w:right w:val="nil"/>
            </w:tcBorders>
            <w:vAlign w:val="center"/>
          </w:tcPr>
          <w:p w14:paraId="66DC190A" w14:textId="27539C96"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$0.000</w:t>
            </w:r>
          </w:p>
        </w:tc>
        <w:tc>
          <w:tcPr>
            <w:tcW w:w="1340" w:type="dxa"/>
            <w:tcBorders>
              <w:top w:val="nil"/>
              <w:left w:val="nil"/>
              <w:bottom w:val="single" w:sz="4" w:space="0" w:color="auto"/>
              <w:right w:val="single" w:sz="4" w:space="0" w:color="auto"/>
            </w:tcBorders>
            <w:vAlign w:val="center"/>
          </w:tcPr>
          <w:p w14:paraId="759DFB3E" w14:textId="2EB4BDA4"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$3.504</w:t>
            </w:r>
          </w:p>
        </w:tc>
      </w:tr>
      <w:tr w:rsidR="00097087" w:rsidRPr="005D1B26" w14:paraId="37181706" w14:textId="77777777" w:rsidTr="00965A3F">
        <w:trPr>
          <w:trHeight w:val="300"/>
        </w:trPr>
        <w:tc>
          <w:tcPr>
            <w:tcW w:w="2380" w:type="dxa"/>
            <w:tcBorders>
              <w:top w:val="single" w:sz="4" w:space="0" w:color="auto"/>
              <w:left w:val="single" w:sz="4" w:space="0" w:color="auto"/>
              <w:bottom w:val="single" w:sz="4" w:space="0" w:color="auto"/>
              <w:right w:val="nil"/>
            </w:tcBorders>
            <w:shd w:val="clear" w:color="auto" w:fill="auto"/>
            <w:noWrap/>
            <w:vAlign w:val="center"/>
            <w:hideMark/>
          </w:tcPr>
          <w:p w14:paraId="5E60F2EC" w14:textId="77777777" w:rsidR="00097087" w:rsidRPr="005D1B26" w:rsidRDefault="00097087" w:rsidP="00965A3F">
            <w:pPr>
              <w:widowControl/>
              <w:jc w:val="left"/>
              <w:rPr>
                <w:rFonts w:eastAsia="Times New Roman"/>
                <w:color w:val="000000"/>
                <w:sz w:val="22"/>
                <w:szCs w:val="22"/>
              </w:rPr>
            </w:pPr>
            <w:r w:rsidRPr="005D1B26">
              <w:rPr>
                <w:rFonts w:eastAsia="Times New Roman"/>
                <w:color w:val="000000"/>
                <w:sz w:val="22"/>
                <w:szCs w:val="22"/>
              </w:rPr>
              <w:t>Total</w:t>
            </w:r>
          </w:p>
        </w:tc>
        <w:tc>
          <w:tcPr>
            <w:tcW w:w="1340" w:type="dxa"/>
            <w:tcBorders>
              <w:top w:val="nil"/>
              <w:left w:val="nil"/>
              <w:bottom w:val="single" w:sz="4" w:space="0" w:color="auto"/>
              <w:right w:val="nil"/>
            </w:tcBorders>
            <w:shd w:val="clear" w:color="auto" w:fill="auto"/>
            <w:noWrap/>
            <w:vAlign w:val="center"/>
            <w:hideMark/>
          </w:tcPr>
          <w:p w14:paraId="48543CD9" w14:textId="77777777"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$15.150</w:t>
            </w:r>
          </w:p>
        </w:tc>
        <w:tc>
          <w:tcPr>
            <w:tcW w:w="1340" w:type="dxa"/>
            <w:tcBorders>
              <w:top w:val="nil"/>
              <w:left w:val="nil"/>
              <w:bottom w:val="single" w:sz="4" w:space="0" w:color="auto"/>
              <w:right w:val="nil"/>
            </w:tcBorders>
            <w:shd w:val="clear" w:color="auto" w:fill="auto"/>
            <w:noWrap/>
            <w:vAlign w:val="center"/>
            <w:hideMark/>
          </w:tcPr>
          <w:p w14:paraId="7478007E" w14:textId="14FD5D61"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$0.694</w:t>
            </w:r>
          </w:p>
        </w:tc>
        <w:tc>
          <w:tcPr>
            <w:tcW w:w="1340" w:type="dxa"/>
            <w:tcBorders>
              <w:top w:val="nil"/>
              <w:left w:val="nil"/>
              <w:bottom w:val="single" w:sz="4" w:space="0" w:color="auto"/>
              <w:right w:val="nil"/>
            </w:tcBorders>
            <w:vAlign w:val="center"/>
          </w:tcPr>
          <w:p w14:paraId="79A4A00E" w14:textId="4DAAF0E5"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$1.492</w:t>
            </w:r>
          </w:p>
        </w:tc>
        <w:tc>
          <w:tcPr>
            <w:tcW w:w="1340" w:type="dxa"/>
            <w:tcBorders>
              <w:top w:val="nil"/>
              <w:left w:val="nil"/>
              <w:bottom w:val="single" w:sz="4" w:space="0" w:color="auto"/>
              <w:right w:val="single" w:sz="4" w:space="0" w:color="auto"/>
            </w:tcBorders>
            <w:vAlign w:val="center"/>
          </w:tcPr>
          <w:p w14:paraId="002C769E" w14:textId="24B97405" w:rsidR="00097087" w:rsidRPr="005D1B26" w:rsidRDefault="00097087" w:rsidP="00965A3F">
            <w:pPr>
              <w:widowControl/>
              <w:jc w:val="center"/>
              <w:rPr>
                <w:rFonts w:eastAsia="Times New Roman"/>
                <w:color w:val="000000"/>
                <w:sz w:val="22"/>
                <w:szCs w:val="22"/>
              </w:rPr>
            </w:pPr>
            <w:r w:rsidRPr="005D1B26">
              <w:rPr>
                <w:rFonts w:eastAsia="Times New Roman"/>
                <w:color w:val="000000"/>
                <w:sz w:val="22"/>
                <w:szCs w:val="22"/>
              </w:rPr>
              <w:t>$12.964</w:t>
            </w:r>
          </w:p>
        </w:tc>
      </w:tr>
    </w:tbl>
    <w:p w14:paraId="70CB8D11" w14:textId="77777777" w:rsidR="00162D7E" w:rsidRDefault="00162D7E" w:rsidP="00162D7E">
      <w:pPr>
        <w:spacing w:after="120" w:line="360" w:lineRule="auto"/>
      </w:pPr>
    </w:p>
    <w:p w14:paraId="5C2F842E" w14:textId="3BCD3461" w:rsidR="00162D7E" w:rsidRPr="00250136" w:rsidRDefault="00162D7E" w:rsidP="00162D7E">
      <w:pPr>
        <w:spacing w:after="120" w:line="360" w:lineRule="auto"/>
        <w:ind w:left="720" w:hanging="720"/>
        <w:rPr>
          <w:b/>
          <w:bCs/>
        </w:rPr>
      </w:pPr>
      <w:r w:rsidRPr="00250136">
        <w:rPr>
          <w:b/>
          <w:bCs/>
        </w:rPr>
        <w:t>Q.</w:t>
      </w:r>
      <w:r w:rsidRPr="00250136">
        <w:rPr>
          <w:b/>
          <w:bCs/>
        </w:rPr>
        <w:tab/>
      </w:r>
      <w:r w:rsidR="00D252A7">
        <w:rPr>
          <w:b/>
          <w:bCs/>
        </w:rPr>
        <w:t xml:space="preserve">ABOVE YOU MENTIONED THE TOTAL PROJECT OVERRUN IS PROJECTED TO BE $9.0 BILLION. HOW MIGHT THE </w:t>
      </w:r>
      <w:r>
        <w:rPr>
          <w:b/>
          <w:bCs/>
        </w:rPr>
        <w:t xml:space="preserve">OVERRUN </w:t>
      </w:r>
      <w:r w:rsidR="00D252A7">
        <w:rPr>
          <w:b/>
          <w:bCs/>
        </w:rPr>
        <w:t xml:space="preserve">AMOUNT </w:t>
      </w:r>
      <w:r>
        <w:rPr>
          <w:b/>
          <w:bCs/>
        </w:rPr>
        <w:t>BE ALLOCATED TO RATEPAYERS</w:t>
      </w:r>
      <w:r w:rsidRPr="00C867DC">
        <w:rPr>
          <w:b/>
          <w:bCs/>
        </w:rPr>
        <w:t>?</w:t>
      </w:r>
    </w:p>
    <w:p w14:paraId="2D05E361" w14:textId="1773A492" w:rsidR="00162D7E" w:rsidRDefault="00162D7E" w:rsidP="000C3E80">
      <w:pPr>
        <w:spacing w:after="120" w:line="360" w:lineRule="auto"/>
        <w:ind w:left="720" w:hanging="720"/>
        <w:rPr>
          <w:bCs/>
        </w:rPr>
      </w:pPr>
      <w:r>
        <w:rPr>
          <w:bCs/>
        </w:rPr>
        <w:t>A.</w:t>
      </w:r>
      <w:r>
        <w:rPr>
          <w:bCs/>
        </w:rPr>
        <w:tab/>
      </w:r>
      <w:r w:rsidR="00327F84">
        <w:rPr>
          <w:bCs/>
        </w:rPr>
        <w:t>If the Company seeks recovery of the entirety of its construction</w:t>
      </w:r>
      <w:r w:rsidR="00B73934">
        <w:rPr>
          <w:bCs/>
        </w:rPr>
        <w:t>/capital</w:t>
      </w:r>
      <w:r w:rsidR="00327F84">
        <w:rPr>
          <w:bCs/>
        </w:rPr>
        <w:t xml:space="preserve"> costs, excluding the $0.694 billion, then </w:t>
      </w:r>
      <w:r w:rsidR="002B588C">
        <w:rPr>
          <w:bCs/>
        </w:rPr>
        <w:t xml:space="preserve">the Company might allocate </w:t>
      </w:r>
      <w:r w:rsidR="00327F84">
        <w:rPr>
          <w:bCs/>
        </w:rPr>
        <w:t>$6.851 billion of the $9.0 billion overrun in construction</w:t>
      </w:r>
      <w:r w:rsidR="00B73934">
        <w:rPr>
          <w:bCs/>
        </w:rPr>
        <w:t>/capital</w:t>
      </w:r>
      <w:r w:rsidR="00327F84">
        <w:rPr>
          <w:bCs/>
        </w:rPr>
        <w:t xml:space="preserve"> and financing costs to ratepayers as shown on the following table.</w:t>
      </w:r>
    </w:p>
    <w:p w14:paraId="39248AD5" w14:textId="77777777" w:rsidR="002B588C" w:rsidRPr="0067438A" w:rsidRDefault="002B588C" w:rsidP="002B588C">
      <w:pPr>
        <w:spacing w:after="120" w:line="360" w:lineRule="auto"/>
        <w:ind w:left="720" w:hanging="720"/>
        <w:jc w:val="center"/>
        <w:rPr>
          <w:b/>
          <w:bCs/>
        </w:rPr>
      </w:pPr>
      <w:r w:rsidRPr="0067438A">
        <w:rPr>
          <w:b/>
          <w:bCs/>
        </w:rPr>
        <w:t>Table 3</w:t>
      </w:r>
    </w:p>
    <w:tbl>
      <w:tblPr>
        <w:tblW w:w="7599" w:type="dxa"/>
        <w:jc w:val="center"/>
        <w:tblLook w:val="04A0" w:firstRow="1" w:lastRow="0" w:firstColumn="1" w:lastColumn="0" w:noHBand="0" w:noVBand="1"/>
      </w:tblPr>
      <w:tblGrid>
        <w:gridCol w:w="2199"/>
        <w:gridCol w:w="1350"/>
        <w:gridCol w:w="1350"/>
        <w:gridCol w:w="1350"/>
        <w:gridCol w:w="1350"/>
      </w:tblGrid>
      <w:tr w:rsidR="00B44159" w:rsidRPr="00C27FA8" w14:paraId="30637368" w14:textId="0386129B" w:rsidTr="000C3E80">
        <w:trPr>
          <w:trHeight w:val="300"/>
          <w:jc w:val="center"/>
        </w:trPr>
        <w:tc>
          <w:tcPr>
            <w:tcW w:w="2199" w:type="dxa"/>
            <w:tcBorders>
              <w:top w:val="single" w:sz="4" w:space="0" w:color="auto"/>
              <w:left w:val="single" w:sz="4" w:space="0" w:color="auto"/>
              <w:bottom w:val="nil"/>
              <w:right w:val="nil"/>
            </w:tcBorders>
            <w:shd w:val="clear" w:color="auto" w:fill="auto"/>
            <w:noWrap/>
            <w:vAlign w:val="center"/>
          </w:tcPr>
          <w:p w14:paraId="7BD7C7D7" w14:textId="3BCB9257" w:rsidR="00B44159" w:rsidRPr="005D1B26" w:rsidRDefault="00B44159" w:rsidP="00262B8B">
            <w:pPr>
              <w:widowControl/>
              <w:jc w:val="center"/>
              <w:rPr>
                <w:rFonts w:eastAsia="Times New Roman"/>
                <w:sz w:val="20"/>
                <w:szCs w:val="20"/>
              </w:rPr>
            </w:pPr>
          </w:p>
        </w:tc>
        <w:tc>
          <w:tcPr>
            <w:tcW w:w="1350" w:type="dxa"/>
            <w:tcBorders>
              <w:top w:val="single" w:sz="4" w:space="0" w:color="auto"/>
              <w:left w:val="nil"/>
              <w:bottom w:val="nil"/>
              <w:right w:val="nil"/>
            </w:tcBorders>
            <w:shd w:val="clear" w:color="auto" w:fill="auto"/>
            <w:noWrap/>
            <w:vAlign w:val="center"/>
          </w:tcPr>
          <w:p w14:paraId="201A79CB" w14:textId="3DAA158E" w:rsidR="00B44159" w:rsidRPr="005D1B26" w:rsidRDefault="00B44159" w:rsidP="00262B8B">
            <w:pPr>
              <w:widowControl/>
              <w:jc w:val="center"/>
              <w:rPr>
                <w:rFonts w:eastAsia="Times New Roman"/>
                <w:color w:val="000000"/>
                <w:sz w:val="22"/>
                <w:szCs w:val="22"/>
              </w:rPr>
            </w:pPr>
            <w:r>
              <w:rPr>
                <w:rFonts w:eastAsia="Times New Roman"/>
                <w:color w:val="000000"/>
                <w:sz w:val="22"/>
                <w:szCs w:val="22"/>
              </w:rPr>
              <w:t>A</w:t>
            </w:r>
          </w:p>
        </w:tc>
        <w:tc>
          <w:tcPr>
            <w:tcW w:w="1350" w:type="dxa"/>
            <w:tcBorders>
              <w:top w:val="single" w:sz="4" w:space="0" w:color="auto"/>
              <w:left w:val="nil"/>
              <w:bottom w:val="nil"/>
              <w:right w:val="nil"/>
            </w:tcBorders>
            <w:shd w:val="clear" w:color="auto" w:fill="auto"/>
            <w:noWrap/>
            <w:vAlign w:val="center"/>
          </w:tcPr>
          <w:p w14:paraId="32BF2FCC" w14:textId="7C573DB7" w:rsidR="00B44159" w:rsidRPr="005D1B26" w:rsidRDefault="00262B8B" w:rsidP="00262B8B">
            <w:pPr>
              <w:widowControl/>
              <w:jc w:val="center"/>
              <w:rPr>
                <w:rFonts w:eastAsia="Times New Roman"/>
                <w:color w:val="000000"/>
                <w:sz w:val="22"/>
                <w:szCs w:val="22"/>
              </w:rPr>
            </w:pPr>
            <w:r>
              <w:rPr>
                <w:rFonts w:eastAsia="Times New Roman"/>
                <w:color w:val="000000"/>
                <w:sz w:val="22"/>
                <w:szCs w:val="22"/>
              </w:rPr>
              <w:t>B</w:t>
            </w:r>
          </w:p>
        </w:tc>
        <w:tc>
          <w:tcPr>
            <w:tcW w:w="1350" w:type="dxa"/>
            <w:tcBorders>
              <w:top w:val="single" w:sz="4" w:space="0" w:color="auto"/>
              <w:left w:val="nil"/>
              <w:bottom w:val="nil"/>
              <w:right w:val="nil"/>
            </w:tcBorders>
            <w:shd w:val="clear" w:color="auto" w:fill="auto"/>
            <w:noWrap/>
            <w:vAlign w:val="center"/>
          </w:tcPr>
          <w:p w14:paraId="6B9970C9" w14:textId="2574FC38" w:rsidR="00B44159" w:rsidRPr="005D1B26" w:rsidRDefault="00262B8B" w:rsidP="00262B8B">
            <w:pPr>
              <w:widowControl/>
              <w:jc w:val="center"/>
              <w:rPr>
                <w:rFonts w:eastAsia="Times New Roman"/>
                <w:color w:val="000000"/>
                <w:sz w:val="22"/>
                <w:szCs w:val="22"/>
              </w:rPr>
            </w:pPr>
            <w:r>
              <w:rPr>
                <w:rFonts w:eastAsia="Times New Roman"/>
                <w:color w:val="000000"/>
                <w:sz w:val="22"/>
                <w:szCs w:val="22"/>
              </w:rPr>
              <w:t>C</w:t>
            </w:r>
          </w:p>
        </w:tc>
        <w:tc>
          <w:tcPr>
            <w:tcW w:w="1350" w:type="dxa"/>
            <w:tcBorders>
              <w:top w:val="single" w:sz="4" w:space="0" w:color="auto"/>
              <w:left w:val="nil"/>
              <w:bottom w:val="nil"/>
              <w:right w:val="single" w:sz="4" w:space="0" w:color="auto"/>
            </w:tcBorders>
            <w:shd w:val="clear" w:color="auto" w:fill="auto"/>
            <w:noWrap/>
            <w:vAlign w:val="center"/>
          </w:tcPr>
          <w:p w14:paraId="7888BA63" w14:textId="5B4AD487" w:rsidR="00B44159" w:rsidRPr="005D1B26" w:rsidRDefault="00262B8B" w:rsidP="00262B8B">
            <w:pPr>
              <w:widowControl/>
              <w:jc w:val="center"/>
              <w:rPr>
                <w:rFonts w:eastAsia="Times New Roman"/>
                <w:color w:val="000000"/>
                <w:sz w:val="22"/>
                <w:szCs w:val="22"/>
              </w:rPr>
            </w:pPr>
            <w:r>
              <w:rPr>
                <w:rFonts w:eastAsia="Times New Roman"/>
                <w:color w:val="000000"/>
                <w:sz w:val="22"/>
                <w:szCs w:val="22"/>
              </w:rPr>
              <w:t>A-B-</w:t>
            </w:r>
            <w:r w:rsidR="00B44159">
              <w:rPr>
                <w:rFonts w:eastAsia="Times New Roman"/>
                <w:color w:val="000000"/>
                <w:sz w:val="22"/>
                <w:szCs w:val="22"/>
              </w:rPr>
              <w:t>C</w:t>
            </w:r>
          </w:p>
        </w:tc>
      </w:tr>
      <w:tr w:rsidR="00C27FA8" w:rsidRPr="00C27FA8" w14:paraId="59B7E83A" w14:textId="420D3F25" w:rsidTr="000C3E80">
        <w:trPr>
          <w:trHeight w:val="300"/>
          <w:jc w:val="center"/>
        </w:trPr>
        <w:tc>
          <w:tcPr>
            <w:tcW w:w="2199" w:type="dxa"/>
            <w:tcBorders>
              <w:top w:val="single" w:sz="4" w:space="0" w:color="auto"/>
              <w:left w:val="single" w:sz="4" w:space="0" w:color="auto"/>
              <w:bottom w:val="nil"/>
              <w:right w:val="nil"/>
            </w:tcBorders>
            <w:shd w:val="clear" w:color="auto" w:fill="auto"/>
            <w:noWrap/>
            <w:vAlign w:val="center"/>
            <w:hideMark/>
          </w:tcPr>
          <w:p w14:paraId="4AF7F8CD" w14:textId="498467C0" w:rsidR="00C27FA8" w:rsidRPr="005D1B26" w:rsidRDefault="00C27FA8" w:rsidP="00262B8B">
            <w:pPr>
              <w:widowControl/>
              <w:jc w:val="center"/>
              <w:rPr>
                <w:rFonts w:eastAsia="Times New Roman"/>
                <w:sz w:val="20"/>
                <w:szCs w:val="20"/>
              </w:rPr>
            </w:pPr>
          </w:p>
        </w:tc>
        <w:tc>
          <w:tcPr>
            <w:tcW w:w="1350" w:type="dxa"/>
            <w:tcBorders>
              <w:top w:val="single" w:sz="4" w:space="0" w:color="auto"/>
              <w:left w:val="nil"/>
              <w:bottom w:val="nil"/>
              <w:right w:val="nil"/>
            </w:tcBorders>
            <w:shd w:val="clear" w:color="auto" w:fill="auto"/>
            <w:noWrap/>
            <w:vAlign w:val="bottom"/>
            <w:hideMark/>
          </w:tcPr>
          <w:p w14:paraId="2610B8C6" w14:textId="78607A16" w:rsidR="00C27FA8" w:rsidRPr="005D1B26" w:rsidRDefault="00C27FA8" w:rsidP="000C3E80">
            <w:pPr>
              <w:widowControl/>
              <w:jc w:val="center"/>
              <w:rPr>
                <w:rFonts w:eastAsia="Times New Roman"/>
                <w:color w:val="000000"/>
                <w:sz w:val="22"/>
                <w:szCs w:val="22"/>
              </w:rPr>
            </w:pPr>
            <w:r w:rsidRPr="005D1B26">
              <w:rPr>
                <w:rFonts w:eastAsia="Times New Roman"/>
                <w:color w:val="000000"/>
                <w:sz w:val="22"/>
                <w:szCs w:val="22"/>
              </w:rPr>
              <w:t>Overrun</w:t>
            </w:r>
          </w:p>
        </w:tc>
        <w:tc>
          <w:tcPr>
            <w:tcW w:w="1350" w:type="dxa"/>
            <w:tcBorders>
              <w:top w:val="single" w:sz="4" w:space="0" w:color="auto"/>
              <w:left w:val="nil"/>
              <w:bottom w:val="nil"/>
              <w:right w:val="nil"/>
            </w:tcBorders>
            <w:shd w:val="clear" w:color="auto" w:fill="auto"/>
            <w:noWrap/>
            <w:vAlign w:val="bottom"/>
            <w:hideMark/>
          </w:tcPr>
          <w:p w14:paraId="6A8D57C6" w14:textId="15FB7223" w:rsidR="00C27FA8" w:rsidRPr="005D1B26" w:rsidRDefault="00262B8B" w:rsidP="000C3E80">
            <w:pPr>
              <w:widowControl/>
              <w:jc w:val="center"/>
              <w:rPr>
                <w:rFonts w:eastAsia="Times New Roman"/>
                <w:color w:val="000000"/>
                <w:sz w:val="22"/>
                <w:szCs w:val="22"/>
              </w:rPr>
            </w:pPr>
            <w:r>
              <w:rPr>
                <w:rFonts w:eastAsia="Times New Roman"/>
                <w:color w:val="000000"/>
                <w:sz w:val="22"/>
                <w:szCs w:val="22"/>
              </w:rPr>
              <w:t>Toshiba PG</w:t>
            </w:r>
          </w:p>
        </w:tc>
        <w:tc>
          <w:tcPr>
            <w:tcW w:w="1350" w:type="dxa"/>
            <w:tcBorders>
              <w:top w:val="single" w:sz="4" w:space="0" w:color="auto"/>
              <w:left w:val="nil"/>
              <w:bottom w:val="nil"/>
              <w:right w:val="nil"/>
            </w:tcBorders>
            <w:shd w:val="clear" w:color="auto" w:fill="auto"/>
            <w:noWrap/>
            <w:vAlign w:val="bottom"/>
            <w:hideMark/>
          </w:tcPr>
          <w:p w14:paraId="4B6D2A95" w14:textId="70666C0C" w:rsidR="00C27FA8" w:rsidRPr="005D1B26" w:rsidRDefault="00262B8B" w:rsidP="000C3E80">
            <w:pPr>
              <w:widowControl/>
              <w:jc w:val="center"/>
              <w:rPr>
                <w:rFonts w:eastAsia="Times New Roman"/>
                <w:color w:val="000000"/>
                <w:sz w:val="22"/>
                <w:szCs w:val="22"/>
              </w:rPr>
            </w:pPr>
            <w:r>
              <w:rPr>
                <w:rFonts w:eastAsia="Times New Roman"/>
                <w:color w:val="000000"/>
                <w:sz w:val="22"/>
                <w:szCs w:val="22"/>
              </w:rPr>
              <w:t xml:space="preserve">Absorbed by </w:t>
            </w:r>
            <w:r w:rsidR="00C27FA8" w:rsidRPr="005D1B26">
              <w:rPr>
                <w:rFonts w:eastAsia="Times New Roman"/>
                <w:color w:val="000000"/>
                <w:sz w:val="22"/>
                <w:szCs w:val="22"/>
              </w:rPr>
              <w:t>Company</w:t>
            </w:r>
          </w:p>
        </w:tc>
        <w:tc>
          <w:tcPr>
            <w:tcW w:w="1350" w:type="dxa"/>
            <w:tcBorders>
              <w:top w:val="single" w:sz="4" w:space="0" w:color="auto"/>
              <w:left w:val="nil"/>
              <w:bottom w:val="nil"/>
              <w:right w:val="single" w:sz="4" w:space="0" w:color="auto"/>
            </w:tcBorders>
            <w:shd w:val="clear" w:color="auto" w:fill="auto"/>
            <w:noWrap/>
            <w:vAlign w:val="bottom"/>
            <w:hideMark/>
          </w:tcPr>
          <w:p w14:paraId="3607864C" w14:textId="1A904B1D" w:rsidR="00C27FA8" w:rsidRPr="005D1B26" w:rsidRDefault="00262B8B" w:rsidP="000C3E80">
            <w:pPr>
              <w:widowControl/>
              <w:jc w:val="center"/>
              <w:rPr>
                <w:rFonts w:eastAsia="Times New Roman"/>
                <w:color w:val="000000"/>
                <w:sz w:val="22"/>
                <w:szCs w:val="22"/>
              </w:rPr>
            </w:pPr>
            <w:r>
              <w:rPr>
                <w:rFonts w:eastAsia="Times New Roman"/>
                <w:color w:val="000000"/>
                <w:sz w:val="22"/>
                <w:szCs w:val="22"/>
              </w:rPr>
              <w:t>Absorbed by Ratepayer</w:t>
            </w:r>
          </w:p>
        </w:tc>
      </w:tr>
      <w:tr w:rsidR="00C27FA8" w:rsidRPr="00C27FA8" w14:paraId="1D383A22" w14:textId="39C69085" w:rsidTr="000C3E80">
        <w:trPr>
          <w:trHeight w:val="300"/>
          <w:jc w:val="center"/>
        </w:trPr>
        <w:tc>
          <w:tcPr>
            <w:tcW w:w="2199" w:type="dxa"/>
            <w:tcBorders>
              <w:top w:val="nil"/>
              <w:left w:val="single" w:sz="4" w:space="0" w:color="auto"/>
              <w:bottom w:val="nil"/>
              <w:right w:val="nil"/>
            </w:tcBorders>
            <w:shd w:val="clear" w:color="auto" w:fill="auto"/>
            <w:noWrap/>
            <w:vAlign w:val="center"/>
            <w:hideMark/>
          </w:tcPr>
          <w:p w14:paraId="7F54D202" w14:textId="113C3D0B" w:rsidR="00C27FA8" w:rsidRPr="005D1B26" w:rsidRDefault="00C27FA8" w:rsidP="00262B8B">
            <w:pPr>
              <w:widowControl/>
              <w:jc w:val="left"/>
              <w:rPr>
                <w:rFonts w:eastAsia="Times New Roman"/>
                <w:color w:val="000000"/>
                <w:sz w:val="22"/>
                <w:szCs w:val="22"/>
              </w:rPr>
            </w:pPr>
          </w:p>
        </w:tc>
        <w:tc>
          <w:tcPr>
            <w:tcW w:w="1350" w:type="dxa"/>
            <w:tcBorders>
              <w:top w:val="nil"/>
              <w:left w:val="nil"/>
              <w:bottom w:val="single" w:sz="4" w:space="0" w:color="auto"/>
              <w:right w:val="nil"/>
            </w:tcBorders>
            <w:shd w:val="clear" w:color="auto" w:fill="auto"/>
            <w:noWrap/>
            <w:vAlign w:val="center"/>
            <w:hideMark/>
          </w:tcPr>
          <w:p w14:paraId="740987DE" w14:textId="17FC69CF"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 billion)</w:t>
            </w:r>
          </w:p>
        </w:tc>
        <w:tc>
          <w:tcPr>
            <w:tcW w:w="1350" w:type="dxa"/>
            <w:tcBorders>
              <w:top w:val="nil"/>
              <w:left w:val="nil"/>
              <w:bottom w:val="single" w:sz="4" w:space="0" w:color="auto"/>
              <w:right w:val="nil"/>
            </w:tcBorders>
            <w:shd w:val="clear" w:color="auto" w:fill="auto"/>
            <w:noWrap/>
            <w:vAlign w:val="center"/>
            <w:hideMark/>
          </w:tcPr>
          <w:p w14:paraId="2CAE3447" w14:textId="7E621820"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 billion)</w:t>
            </w:r>
          </w:p>
        </w:tc>
        <w:tc>
          <w:tcPr>
            <w:tcW w:w="1350" w:type="dxa"/>
            <w:tcBorders>
              <w:top w:val="nil"/>
              <w:left w:val="nil"/>
              <w:bottom w:val="single" w:sz="4" w:space="0" w:color="auto"/>
              <w:right w:val="nil"/>
            </w:tcBorders>
            <w:shd w:val="clear" w:color="auto" w:fill="auto"/>
            <w:noWrap/>
            <w:vAlign w:val="center"/>
            <w:hideMark/>
          </w:tcPr>
          <w:p w14:paraId="32185F89" w14:textId="24B0001C"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 billion)</w:t>
            </w:r>
          </w:p>
        </w:tc>
        <w:tc>
          <w:tcPr>
            <w:tcW w:w="1350" w:type="dxa"/>
            <w:tcBorders>
              <w:top w:val="nil"/>
              <w:left w:val="nil"/>
              <w:bottom w:val="single" w:sz="4" w:space="0" w:color="auto"/>
              <w:right w:val="single" w:sz="4" w:space="0" w:color="auto"/>
            </w:tcBorders>
            <w:shd w:val="clear" w:color="auto" w:fill="auto"/>
            <w:noWrap/>
            <w:vAlign w:val="center"/>
            <w:hideMark/>
          </w:tcPr>
          <w:p w14:paraId="6C15D924" w14:textId="348A5408"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 billion)</w:t>
            </w:r>
          </w:p>
        </w:tc>
      </w:tr>
      <w:tr w:rsidR="00C27FA8" w:rsidRPr="00C27FA8" w14:paraId="2F4FFBE0" w14:textId="6AFF817B" w:rsidTr="000C3E80">
        <w:trPr>
          <w:trHeight w:val="300"/>
          <w:jc w:val="center"/>
        </w:trPr>
        <w:tc>
          <w:tcPr>
            <w:tcW w:w="2199" w:type="dxa"/>
            <w:tcBorders>
              <w:top w:val="nil"/>
              <w:left w:val="single" w:sz="4" w:space="0" w:color="auto"/>
              <w:right w:val="nil"/>
            </w:tcBorders>
            <w:shd w:val="clear" w:color="auto" w:fill="auto"/>
            <w:noWrap/>
            <w:vAlign w:val="center"/>
            <w:hideMark/>
          </w:tcPr>
          <w:p w14:paraId="111AEE2A" w14:textId="7B2ACD85" w:rsidR="00C27FA8" w:rsidRPr="005D1B26" w:rsidRDefault="00C27FA8" w:rsidP="00262B8B">
            <w:pPr>
              <w:widowControl/>
              <w:jc w:val="left"/>
              <w:rPr>
                <w:rFonts w:eastAsia="Times New Roman"/>
                <w:color w:val="000000"/>
                <w:sz w:val="22"/>
                <w:szCs w:val="22"/>
              </w:rPr>
            </w:pPr>
            <w:r w:rsidRPr="005D1B26">
              <w:rPr>
                <w:rFonts w:eastAsia="Times New Roman"/>
                <w:color w:val="000000"/>
                <w:sz w:val="22"/>
                <w:szCs w:val="22"/>
              </w:rPr>
              <w:t>Construction / Capital</w:t>
            </w:r>
          </w:p>
        </w:tc>
        <w:tc>
          <w:tcPr>
            <w:tcW w:w="1350" w:type="dxa"/>
            <w:tcBorders>
              <w:top w:val="nil"/>
              <w:left w:val="nil"/>
              <w:bottom w:val="nil"/>
              <w:right w:val="nil"/>
            </w:tcBorders>
            <w:shd w:val="clear" w:color="auto" w:fill="auto"/>
            <w:noWrap/>
            <w:vAlign w:val="center"/>
            <w:hideMark/>
          </w:tcPr>
          <w:p w14:paraId="512F837E" w14:textId="1BCF1A83"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$7.228</w:t>
            </w:r>
          </w:p>
        </w:tc>
        <w:tc>
          <w:tcPr>
            <w:tcW w:w="1350" w:type="dxa"/>
            <w:tcBorders>
              <w:top w:val="nil"/>
              <w:left w:val="nil"/>
              <w:bottom w:val="nil"/>
              <w:right w:val="nil"/>
            </w:tcBorders>
            <w:shd w:val="clear" w:color="auto" w:fill="auto"/>
            <w:noWrap/>
            <w:vAlign w:val="center"/>
            <w:hideMark/>
          </w:tcPr>
          <w:p w14:paraId="26D4687E" w14:textId="3CC26871" w:rsidR="00C27FA8" w:rsidRPr="005D1B26" w:rsidRDefault="000E085D"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1.492</w:t>
            </w:r>
          </w:p>
        </w:tc>
        <w:tc>
          <w:tcPr>
            <w:tcW w:w="1350" w:type="dxa"/>
            <w:tcBorders>
              <w:top w:val="nil"/>
              <w:left w:val="nil"/>
              <w:bottom w:val="nil"/>
              <w:right w:val="nil"/>
            </w:tcBorders>
            <w:shd w:val="clear" w:color="auto" w:fill="auto"/>
            <w:noWrap/>
            <w:vAlign w:val="center"/>
            <w:hideMark/>
          </w:tcPr>
          <w:p w14:paraId="3DB97CF2" w14:textId="15EBA267" w:rsidR="00C27FA8" w:rsidRPr="005D1B26" w:rsidRDefault="000E085D" w:rsidP="00262B8B">
            <w:pPr>
              <w:widowControl/>
              <w:jc w:val="center"/>
              <w:rPr>
                <w:rFonts w:eastAsia="Times New Roman"/>
                <w:color w:val="000000"/>
                <w:sz w:val="22"/>
                <w:szCs w:val="22"/>
              </w:rPr>
            </w:pPr>
            <w:r w:rsidRPr="005D1B26">
              <w:rPr>
                <w:rFonts w:eastAsia="Times New Roman"/>
                <w:color w:val="000000"/>
                <w:sz w:val="22"/>
                <w:szCs w:val="22"/>
              </w:rPr>
              <w:t>$0.694</w:t>
            </w:r>
          </w:p>
        </w:tc>
        <w:tc>
          <w:tcPr>
            <w:tcW w:w="1350" w:type="dxa"/>
            <w:tcBorders>
              <w:top w:val="nil"/>
              <w:left w:val="nil"/>
              <w:bottom w:val="nil"/>
              <w:right w:val="single" w:sz="4" w:space="0" w:color="auto"/>
            </w:tcBorders>
            <w:shd w:val="clear" w:color="auto" w:fill="auto"/>
            <w:noWrap/>
            <w:vAlign w:val="center"/>
            <w:hideMark/>
          </w:tcPr>
          <w:p w14:paraId="0FFB1B38" w14:textId="6EBBC677"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5.0</w:t>
            </w:r>
            <w:r w:rsidRPr="005D1B26">
              <w:rPr>
                <w:rFonts w:eastAsia="Times New Roman"/>
                <w:color w:val="000000"/>
                <w:sz w:val="22"/>
                <w:szCs w:val="22"/>
              </w:rPr>
              <w:t>42</w:t>
            </w:r>
          </w:p>
        </w:tc>
      </w:tr>
      <w:tr w:rsidR="00C27FA8" w:rsidRPr="00C27FA8" w14:paraId="130C1E29" w14:textId="2A2FB33D" w:rsidTr="000C3E80">
        <w:trPr>
          <w:trHeight w:val="300"/>
          <w:jc w:val="center"/>
        </w:trPr>
        <w:tc>
          <w:tcPr>
            <w:tcW w:w="2199" w:type="dxa"/>
            <w:tcBorders>
              <w:top w:val="nil"/>
              <w:left w:val="single" w:sz="4" w:space="0" w:color="auto"/>
              <w:bottom w:val="single" w:sz="4" w:space="0" w:color="auto"/>
              <w:right w:val="nil"/>
            </w:tcBorders>
            <w:shd w:val="clear" w:color="auto" w:fill="auto"/>
            <w:noWrap/>
            <w:vAlign w:val="center"/>
            <w:hideMark/>
          </w:tcPr>
          <w:p w14:paraId="2A7E939F" w14:textId="01B90CCF" w:rsidR="00C27FA8" w:rsidRPr="005D1B26" w:rsidRDefault="00C27FA8" w:rsidP="00262B8B">
            <w:pPr>
              <w:widowControl/>
              <w:jc w:val="left"/>
              <w:rPr>
                <w:rFonts w:eastAsia="Times New Roman"/>
                <w:color w:val="000000"/>
                <w:sz w:val="22"/>
                <w:szCs w:val="22"/>
              </w:rPr>
            </w:pPr>
            <w:r w:rsidRPr="005D1B26">
              <w:rPr>
                <w:rFonts w:eastAsia="Times New Roman"/>
                <w:color w:val="000000"/>
                <w:sz w:val="22"/>
                <w:szCs w:val="22"/>
              </w:rPr>
              <w:t>Financing</w:t>
            </w:r>
          </w:p>
        </w:tc>
        <w:tc>
          <w:tcPr>
            <w:tcW w:w="1350" w:type="dxa"/>
            <w:tcBorders>
              <w:top w:val="nil"/>
              <w:left w:val="nil"/>
              <w:bottom w:val="single" w:sz="4" w:space="0" w:color="auto"/>
              <w:right w:val="nil"/>
            </w:tcBorders>
            <w:shd w:val="clear" w:color="auto" w:fill="auto"/>
            <w:noWrap/>
            <w:vAlign w:val="center"/>
            <w:hideMark/>
          </w:tcPr>
          <w:p w14:paraId="54F20D08" w14:textId="6176B9EE"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$1.809</w:t>
            </w:r>
          </w:p>
        </w:tc>
        <w:tc>
          <w:tcPr>
            <w:tcW w:w="1350" w:type="dxa"/>
            <w:tcBorders>
              <w:top w:val="nil"/>
              <w:left w:val="nil"/>
              <w:bottom w:val="single" w:sz="4" w:space="0" w:color="auto"/>
              <w:right w:val="nil"/>
            </w:tcBorders>
            <w:shd w:val="clear" w:color="auto" w:fill="auto"/>
            <w:noWrap/>
            <w:vAlign w:val="center"/>
            <w:hideMark/>
          </w:tcPr>
          <w:p w14:paraId="64EAD6AD" w14:textId="6F3CB8F7"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0.000</w:t>
            </w:r>
          </w:p>
        </w:tc>
        <w:tc>
          <w:tcPr>
            <w:tcW w:w="1350" w:type="dxa"/>
            <w:tcBorders>
              <w:top w:val="nil"/>
              <w:left w:val="nil"/>
              <w:bottom w:val="single" w:sz="4" w:space="0" w:color="auto"/>
              <w:right w:val="nil"/>
            </w:tcBorders>
            <w:shd w:val="clear" w:color="auto" w:fill="auto"/>
            <w:noWrap/>
            <w:vAlign w:val="center"/>
            <w:hideMark/>
          </w:tcPr>
          <w:p w14:paraId="203AA4D5" w14:textId="1814055A"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$0.000</w:t>
            </w:r>
          </w:p>
        </w:tc>
        <w:tc>
          <w:tcPr>
            <w:tcW w:w="1350" w:type="dxa"/>
            <w:tcBorders>
              <w:top w:val="nil"/>
              <w:left w:val="nil"/>
              <w:bottom w:val="single" w:sz="4" w:space="0" w:color="auto"/>
              <w:right w:val="single" w:sz="4" w:space="0" w:color="auto"/>
            </w:tcBorders>
            <w:shd w:val="clear" w:color="auto" w:fill="auto"/>
            <w:noWrap/>
            <w:vAlign w:val="center"/>
            <w:hideMark/>
          </w:tcPr>
          <w:p w14:paraId="04D24E22" w14:textId="29170C7B"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1.809</w:t>
            </w:r>
          </w:p>
        </w:tc>
      </w:tr>
      <w:tr w:rsidR="00C27FA8" w:rsidRPr="00C27FA8" w14:paraId="57A9CE61" w14:textId="7B4E26EA" w:rsidTr="000C3E80">
        <w:trPr>
          <w:trHeight w:val="300"/>
          <w:jc w:val="center"/>
        </w:trPr>
        <w:tc>
          <w:tcPr>
            <w:tcW w:w="2199" w:type="dxa"/>
            <w:tcBorders>
              <w:top w:val="single" w:sz="4" w:space="0" w:color="auto"/>
              <w:left w:val="single" w:sz="4" w:space="0" w:color="auto"/>
              <w:bottom w:val="single" w:sz="4" w:space="0" w:color="auto"/>
              <w:right w:val="nil"/>
            </w:tcBorders>
            <w:shd w:val="clear" w:color="auto" w:fill="auto"/>
            <w:noWrap/>
            <w:vAlign w:val="center"/>
            <w:hideMark/>
          </w:tcPr>
          <w:p w14:paraId="52EDBA06" w14:textId="1692A29E" w:rsidR="00C27FA8" w:rsidRPr="005D1B26" w:rsidRDefault="00C27FA8" w:rsidP="00262B8B">
            <w:pPr>
              <w:widowControl/>
              <w:jc w:val="left"/>
              <w:rPr>
                <w:rFonts w:eastAsia="Times New Roman"/>
                <w:color w:val="000000"/>
                <w:sz w:val="22"/>
                <w:szCs w:val="22"/>
              </w:rPr>
            </w:pPr>
            <w:r w:rsidRPr="005D1B26">
              <w:rPr>
                <w:rFonts w:eastAsia="Times New Roman"/>
                <w:color w:val="000000"/>
                <w:sz w:val="22"/>
                <w:szCs w:val="22"/>
              </w:rPr>
              <w:t>Total</w:t>
            </w:r>
          </w:p>
        </w:tc>
        <w:tc>
          <w:tcPr>
            <w:tcW w:w="1350" w:type="dxa"/>
            <w:tcBorders>
              <w:top w:val="nil"/>
              <w:left w:val="nil"/>
              <w:bottom w:val="single" w:sz="4" w:space="0" w:color="auto"/>
              <w:right w:val="nil"/>
            </w:tcBorders>
            <w:shd w:val="clear" w:color="auto" w:fill="auto"/>
            <w:noWrap/>
            <w:vAlign w:val="center"/>
            <w:hideMark/>
          </w:tcPr>
          <w:p w14:paraId="05065BB0" w14:textId="39600985"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$9.037</w:t>
            </w:r>
          </w:p>
        </w:tc>
        <w:tc>
          <w:tcPr>
            <w:tcW w:w="1350" w:type="dxa"/>
            <w:tcBorders>
              <w:top w:val="nil"/>
              <w:left w:val="nil"/>
              <w:bottom w:val="single" w:sz="4" w:space="0" w:color="auto"/>
              <w:right w:val="nil"/>
            </w:tcBorders>
            <w:shd w:val="clear" w:color="auto" w:fill="auto"/>
            <w:noWrap/>
            <w:vAlign w:val="center"/>
            <w:hideMark/>
          </w:tcPr>
          <w:p w14:paraId="5FF82ACE" w14:textId="7DE87E0D" w:rsidR="00C27FA8" w:rsidRPr="005D1B26" w:rsidRDefault="000E085D"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1.492</w:t>
            </w:r>
          </w:p>
        </w:tc>
        <w:tc>
          <w:tcPr>
            <w:tcW w:w="1350" w:type="dxa"/>
            <w:tcBorders>
              <w:top w:val="nil"/>
              <w:left w:val="nil"/>
              <w:bottom w:val="single" w:sz="4" w:space="0" w:color="auto"/>
              <w:right w:val="nil"/>
            </w:tcBorders>
            <w:shd w:val="clear" w:color="auto" w:fill="auto"/>
            <w:noWrap/>
            <w:vAlign w:val="center"/>
            <w:hideMark/>
          </w:tcPr>
          <w:p w14:paraId="4E8EFFB2" w14:textId="64EA04C1" w:rsidR="00C27FA8" w:rsidRPr="005D1B26" w:rsidRDefault="000E085D" w:rsidP="00262B8B">
            <w:pPr>
              <w:widowControl/>
              <w:jc w:val="center"/>
              <w:rPr>
                <w:rFonts w:eastAsia="Times New Roman"/>
                <w:color w:val="000000"/>
                <w:sz w:val="22"/>
                <w:szCs w:val="22"/>
              </w:rPr>
            </w:pPr>
            <w:r w:rsidRPr="005D1B26">
              <w:rPr>
                <w:rFonts w:eastAsia="Times New Roman"/>
                <w:color w:val="000000"/>
                <w:sz w:val="22"/>
                <w:szCs w:val="22"/>
              </w:rPr>
              <w:t>$0.694</w:t>
            </w:r>
          </w:p>
        </w:tc>
        <w:tc>
          <w:tcPr>
            <w:tcW w:w="1350" w:type="dxa"/>
            <w:tcBorders>
              <w:top w:val="nil"/>
              <w:left w:val="nil"/>
              <w:bottom w:val="single" w:sz="4" w:space="0" w:color="auto"/>
              <w:right w:val="single" w:sz="4" w:space="0" w:color="auto"/>
            </w:tcBorders>
            <w:shd w:val="clear" w:color="auto" w:fill="auto"/>
            <w:noWrap/>
            <w:vAlign w:val="center"/>
            <w:hideMark/>
          </w:tcPr>
          <w:p w14:paraId="5EF427DA" w14:textId="2202FA1C" w:rsidR="00C27FA8" w:rsidRPr="005D1B26" w:rsidRDefault="00C27FA8" w:rsidP="00262B8B">
            <w:pPr>
              <w:widowControl/>
              <w:jc w:val="center"/>
              <w:rPr>
                <w:rFonts w:eastAsia="Times New Roman"/>
                <w:color w:val="000000"/>
                <w:sz w:val="22"/>
                <w:szCs w:val="22"/>
              </w:rPr>
            </w:pPr>
            <w:r w:rsidRPr="005D1B26">
              <w:rPr>
                <w:rFonts w:eastAsia="Times New Roman"/>
                <w:color w:val="000000"/>
                <w:sz w:val="22"/>
                <w:szCs w:val="22"/>
              </w:rPr>
              <w:t>$</w:t>
            </w:r>
            <w:r w:rsidR="00262B8B">
              <w:rPr>
                <w:rFonts w:eastAsia="Times New Roman"/>
                <w:color w:val="000000"/>
                <w:sz w:val="22"/>
                <w:szCs w:val="22"/>
              </w:rPr>
              <w:t>6.851</w:t>
            </w:r>
          </w:p>
        </w:tc>
      </w:tr>
    </w:tbl>
    <w:p w14:paraId="10F09CEB" w14:textId="77777777" w:rsidR="000C3E80" w:rsidRDefault="000C3E80" w:rsidP="00E756EF">
      <w:pPr>
        <w:spacing w:after="120" w:line="360" w:lineRule="auto"/>
        <w:ind w:left="720"/>
        <w:rPr>
          <w:bCs/>
        </w:rPr>
      </w:pPr>
    </w:p>
    <w:p w14:paraId="62A64401" w14:textId="72A67A77" w:rsidR="00F82AED" w:rsidRDefault="006A1E87" w:rsidP="00686893">
      <w:pPr>
        <w:spacing w:after="120" w:line="360" w:lineRule="auto"/>
        <w:ind w:left="720"/>
        <w:rPr>
          <w:bCs/>
        </w:rPr>
      </w:pPr>
      <w:r>
        <w:rPr>
          <w:bCs/>
        </w:rPr>
        <w:t xml:space="preserve">Table 3 does not include the </w:t>
      </w:r>
      <w:r w:rsidR="00E756EF">
        <w:rPr>
          <w:bCs/>
        </w:rPr>
        <w:t xml:space="preserve">$1.4 billion of </w:t>
      </w:r>
      <w:r>
        <w:rPr>
          <w:bCs/>
        </w:rPr>
        <w:t>additional fuel replacement cost</w:t>
      </w:r>
      <w:r w:rsidR="00E756EF">
        <w:rPr>
          <w:bCs/>
        </w:rPr>
        <w:t xml:space="preserve"> </w:t>
      </w:r>
      <w:r w:rsidR="003036F4">
        <w:rPr>
          <w:bCs/>
        </w:rPr>
        <w:t xml:space="preserve">and other costs </w:t>
      </w:r>
      <w:r w:rsidR="00E756EF">
        <w:rPr>
          <w:bCs/>
        </w:rPr>
        <w:t>that ha</w:t>
      </w:r>
      <w:r w:rsidR="003036F4">
        <w:rPr>
          <w:bCs/>
        </w:rPr>
        <w:t>ve</w:t>
      </w:r>
      <w:r w:rsidR="00E756EF">
        <w:rPr>
          <w:bCs/>
        </w:rPr>
        <w:t xml:space="preserve"> been incurred by Georgia Power due to the </w:t>
      </w:r>
      <w:r w:rsidR="003036F4">
        <w:rPr>
          <w:bCs/>
        </w:rPr>
        <w:t xml:space="preserve">repeated schedule </w:t>
      </w:r>
      <w:r w:rsidR="00E756EF">
        <w:rPr>
          <w:bCs/>
        </w:rPr>
        <w:t>delays.</w:t>
      </w:r>
    </w:p>
    <w:p w14:paraId="1E3B65B5" w14:textId="32649F73"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w:t>
      </w:r>
      <w:r w:rsidR="00E756EF" w:rsidRPr="00C867DC">
        <w:rPr>
          <w:b/>
          <w:bCs/>
        </w:rPr>
        <w:t>HAS BEEN</w:t>
      </w:r>
      <w:r w:rsidRPr="00C867DC">
        <w:rPr>
          <w:b/>
          <w:bCs/>
        </w:rPr>
        <w:t xml:space="preserve"> SPENT ON THE PROJECT THROUGH THE END OF THE VCM </w:t>
      </w:r>
      <w:r w:rsidR="00D07862">
        <w:rPr>
          <w:b/>
          <w:bCs/>
        </w:rPr>
        <w:t>28</w:t>
      </w:r>
      <w:r w:rsidR="00D07862" w:rsidRPr="00C867DC">
        <w:rPr>
          <w:b/>
          <w:bCs/>
        </w:rPr>
        <w:t xml:space="preserve"> </w:t>
      </w:r>
      <w:r w:rsidRPr="00C867DC">
        <w:rPr>
          <w:b/>
          <w:bCs/>
        </w:rPr>
        <w:t>PERIOD?</w:t>
      </w:r>
    </w:p>
    <w:p w14:paraId="67B9A0A0" w14:textId="725F428F" w:rsidR="008D4987" w:rsidRDefault="008D4987" w:rsidP="005C234A">
      <w:pPr>
        <w:spacing w:after="120" w:line="360" w:lineRule="auto"/>
        <w:ind w:left="720" w:hanging="720"/>
        <w:rPr>
          <w:bCs/>
        </w:rPr>
      </w:pPr>
      <w:r>
        <w:rPr>
          <w:bCs/>
        </w:rPr>
        <w:t>A.</w:t>
      </w:r>
      <w:r>
        <w:rPr>
          <w:bCs/>
        </w:rPr>
        <w:tab/>
      </w:r>
      <w:r w:rsidR="009758ED">
        <w:rPr>
          <w:bCs/>
        </w:rPr>
        <w:t>Through</w:t>
      </w:r>
      <w:r>
        <w:rPr>
          <w:bCs/>
        </w:rPr>
        <w:t xml:space="preserve"> </w:t>
      </w:r>
      <w:r w:rsidR="006E4AEA">
        <w:rPr>
          <w:bCs/>
        </w:rPr>
        <w:t>December 31,</w:t>
      </w:r>
      <w:r w:rsidR="002222A4">
        <w:rPr>
          <w:bCs/>
        </w:rPr>
        <w:t xml:space="preserve"> 202</w:t>
      </w:r>
      <w:r w:rsidR="005C234A">
        <w:rPr>
          <w:bCs/>
        </w:rPr>
        <w:t>2</w:t>
      </w:r>
      <w:r>
        <w:rPr>
          <w:bCs/>
        </w:rPr>
        <w:t>, the Company incurred $</w:t>
      </w:r>
      <w:r w:rsidR="007C232B">
        <w:rPr>
          <w:bCs/>
        </w:rPr>
        <w:t>10.9</w:t>
      </w:r>
      <w:r w:rsidR="006E4AEA">
        <w:rPr>
          <w:bCs/>
        </w:rPr>
        <w:t xml:space="preserve"> </w:t>
      </w:r>
      <w:r>
        <w:rPr>
          <w:bCs/>
        </w:rPr>
        <w:t xml:space="preserve">billion </w:t>
      </w:r>
      <w:r w:rsidR="00327F84">
        <w:rPr>
          <w:bCs/>
        </w:rPr>
        <w:t>in</w:t>
      </w:r>
      <w:r>
        <w:rPr>
          <w:bCs/>
        </w:rPr>
        <w:t xml:space="preserve"> construction</w:t>
      </w:r>
      <w:r w:rsidR="00A06F50">
        <w:rPr>
          <w:bCs/>
        </w:rPr>
        <w:t>/capital</w:t>
      </w:r>
      <w:r>
        <w:rPr>
          <w:bCs/>
        </w:rPr>
        <w:t xml:space="preserve"> cost</w:t>
      </w:r>
      <w:r w:rsidR="00A1187C">
        <w:rPr>
          <w:bCs/>
        </w:rPr>
        <w:t>s</w:t>
      </w:r>
      <w:r w:rsidR="009758ED">
        <w:rPr>
          <w:bCs/>
        </w:rPr>
        <w:t>,</w:t>
      </w:r>
      <w:r>
        <w:rPr>
          <w:bCs/>
        </w:rPr>
        <w:t xml:space="preserve"> </w:t>
      </w:r>
      <w:r w:rsidR="009758ED">
        <w:rPr>
          <w:bCs/>
        </w:rPr>
        <w:t xml:space="preserve">plus </w:t>
      </w:r>
      <w:r>
        <w:rPr>
          <w:bCs/>
        </w:rPr>
        <w:t>$</w:t>
      </w:r>
      <w:r w:rsidR="007A62B1">
        <w:rPr>
          <w:bCs/>
        </w:rPr>
        <w:t>3.</w:t>
      </w:r>
      <w:r w:rsidR="006E4AEA">
        <w:rPr>
          <w:bCs/>
        </w:rPr>
        <w:t>2</w:t>
      </w:r>
      <w:r w:rsidR="0091548D">
        <w:rPr>
          <w:bCs/>
        </w:rPr>
        <w:t xml:space="preserve"> </w:t>
      </w:r>
      <w:r>
        <w:rPr>
          <w:bCs/>
        </w:rPr>
        <w:t xml:space="preserve">billion </w:t>
      </w:r>
      <w:r w:rsidR="004B5360">
        <w:rPr>
          <w:bCs/>
        </w:rPr>
        <w:t>in</w:t>
      </w:r>
      <w:r>
        <w:rPr>
          <w:bCs/>
        </w:rPr>
        <w:t xml:space="preserve"> financing cost</w:t>
      </w:r>
      <w:r w:rsidR="00327F84">
        <w:rPr>
          <w:bCs/>
        </w:rPr>
        <w:t>s</w:t>
      </w:r>
      <w:r w:rsidR="009758ED">
        <w:rPr>
          <w:bCs/>
        </w:rPr>
        <w:t xml:space="preserve">, </w:t>
      </w:r>
      <w:r w:rsidR="00E675C7">
        <w:rPr>
          <w:bCs/>
        </w:rPr>
        <w:t>f</w:t>
      </w:r>
      <w:r>
        <w:rPr>
          <w:bCs/>
        </w:rPr>
        <w:t>or a</w:t>
      </w:r>
      <w:r w:rsidR="004B5360">
        <w:rPr>
          <w:bCs/>
        </w:rPr>
        <w:t>n actual</w:t>
      </w:r>
      <w:r>
        <w:rPr>
          <w:bCs/>
        </w:rPr>
        <w:t xml:space="preserve"> total </w:t>
      </w:r>
      <w:r w:rsidR="00327F84">
        <w:rPr>
          <w:bCs/>
        </w:rPr>
        <w:t xml:space="preserve">in </w:t>
      </w:r>
      <w:r w:rsidR="004B5360">
        <w:rPr>
          <w:bCs/>
        </w:rPr>
        <w:t>construction</w:t>
      </w:r>
      <w:r w:rsidR="00A06F50">
        <w:rPr>
          <w:bCs/>
        </w:rPr>
        <w:t>/capital</w:t>
      </w:r>
      <w:r w:rsidR="004B5360">
        <w:rPr>
          <w:bCs/>
        </w:rPr>
        <w:t xml:space="preserve"> and financing cost</w:t>
      </w:r>
      <w:r w:rsidR="00327F84">
        <w:rPr>
          <w:bCs/>
        </w:rPr>
        <w:t>s</w:t>
      </w:r>
      <w:r>
        <w:rPr>
          <w:bCs/>
        </w:rPr>
        <w:t xml:space="preserve"> of $</w:t>
      </w:r>
      <w:r w:rsidR="007C232B">
        <w:rPr>
          <w:bCs/>
        </w:rPr>
        <w:t>14.1</w:t>
      </w:r>
      <w:r w:rsidR="006E4AEA">
        <w:rPr>
          <w:bCs/>
        </w:rPr>
        <w:t xml:space="preserve"> </w:t>
      </w:r>
      <w:r>
        <w:rPr>
          <w:bCs/>
        </w:rPr>
        <w:t>billion</w:t>
      </w:r>
      <w:r w:rsidR="00D5338B">
        <w:rPr>
          <w:bCs/>
        </w:rPr>
        <w:t xml:space="preserve"> (rounded)</w:t>
      </w:r>
      <w:r>
        <w:rPr>
          <w:bCs/>
        </w:rPr>
        <w:t>.</w:t>
      </w:r>
      <w:r>
        <w:rPr>
          <w:rStyle w:val="FootnoteReference"/>
          <w:bCs/>
        </w:rPr>
        <w:footnoteReference w:id="4"/>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8" w:name="_Toc138321002"/>
      <w:r>
        <w:rPr>
          <w:sz w:val="24"/>
          <w:szCs w:val="24"/>
        </w:rPr>
        <w:t>STAFF ECONOMIC ANALYSES</w:t>
      </w:r>
      <w:bookmarkEnd w:id="8"/>
    </w:p>
    <w:p w14:paraId="135D8BF4" w14:textId="5EDB8046" w:rsidR="00C141AC" w:rsidRPr="00250136" w:rsidRDefault="00C141AC" w:rsidP="00686893">
      <w:pPr>
        <w:spacing w:after="120" w:line="360" w:lineRule="auto"/>
        <w:ind w:left="720" w:hanging="720"/>
        <w:rPr>
          <w:b/>
          <w:bCs/>
        </w:rPr>
      </w:pPr>
      <w:bookmarkStart w:id="9" w:name="_Hlk39756416"/>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000733EA">
        <w:rPr>
          <w:b/>
          <w:bCs/>
        </w:rPr>
        <w:t xml:space="preserve"> DURING THE CONSTRUCTION PERIOD</w:t>
      </w:r>
      <w:r>
        <w:rPr>
          <w:b/>
          <w:bCs/>
        </w:rPr>
        <w:t>.</w:t>
      </w:r>
      <w:r w:rsidRPr="00250136">
        <w:rPr>
          <w:b/>
          <w:bCs/>
        </w:rPr>
        <w:t xml:space="preserve">  </w:t>
      </w:r>
    </w:p>
    <w:p w14:paraId="06CEC0A6" w14:textId="2957E517" w:rsidR="00C141AC" w:rsidRDefault="00C141AC" w:rsidP="00686893">
      <w:pPr>
        <w:spacing w:after="120" w:line="360" w:lineRule="auto"/>
        <w:ind w:left="720" w:hanging="720"/>
      </w:pPr>
      <w:r w:rsidRPr="00250136">
        <w:rPr>
          <w:bCs/>
        </w:rPr>
        <w:t xml:space="preserve">A. </w:t>
      </w:r>
      <w:r w:rsidRPr="00250136">
        <w:rPr>
          <w:bCs/>
        </w:rPr>
        <w:tab/>
      </w:r>
      <w:r w:rsidR="00152444" w:rsidRPr="005C234A">
        <w:rPr>
          <w:bCs/>
        </w:rPr>
        <w:t>During the construction period</w:t>
      </w:r>
      <w:r w:rsidR="003E339F" w:rsidRPr="005C234A">
        <w:rPr>
          <w:bCs/>
        </w:rPr>
        <w:t>,</w:t>
      </w:r>
      <w:r w:rsidR="00152444" w:rsidRPr="005C234A">
        <w:rPr>
          <w:bCs/>
        </w:rPr>
        <w:t xml:space="preserve"> t</w:t>
      </w:r>
      <w:r w:rsidRPr="005C234A">
        <w:rPr>
          <w:bCs/>
        </w:rPr>
        <w:t>he Company is currently expected to recover approximately $</w:t>
      </w:r>
      <w:r w:rsidR="003479E9" w:rsidRPr="005C234A">
        <w:rPr>
          <w:bCs/>
        </w:rPr>
        <w:t>4.</w:t>
      </w:r>
      <w:r w:rsidR="00031786">
        <w:rPr>
          <w:bCs/>
        </w:rPr>
        <w:t>2</w:t>
      </w:r>
      <w:r w:rsidR="00881410" w:rsidRPr="005C234A">
        <w:rPr>
          <w:bCs/>
        </w:rPr>
        <w:t xml:space="preserve"> </w:t>
      </w:r>
      <w:r w:rsidRPr="005C234A">
        <w:rPr>
          <w:bCs/>
        </w:rPr>
        <w:t xml:space="preserve">billion under the </w:t>
      </w:r>
      <w:r w:rsidR="00EC56C7" w:rsidRPr="005C234A">
        <w:rPr>
          <w:bCs/>
        </w:rPr>
        <w:t>N</w:t>
      </w:r>
      <w:r w:rsidR="00E37F08" w:rsidRPr="005C234A">
        <w:rPr>
          <w:bCs/>
        </w:rPr>
        <w:t xml:space="preserve">uclear Construction </w:t>
      </w:r>
      <w:r w:rsidR="00EC56C7" w:rsidRPr="005C234A">
        <w:rPr>
          <w:bCs/>
        </w:rPr>
        <w:t>C</w:t>
      </w:r>
      <w:r w:rsidR="00E37F08" w:rsidRPr="005C234A">
        <w:rPr>
          <w:bCs/>
        </w:rPr>
        <w:t xml:space="preserve">ost </w:t>
      </w:r>
      <w:r w:rsidR="00EC56C7" w:rsidRPr="005C234A">
        <w:rPr>
          <w:bCs/>
        </w:rPr>
        <w:t>R</w:t>
      </w:r>
      <w:r w:rsidR="00E37F08" w:rsidRPr="005C234A">
        <w:rPr>
          <w:bCs/>
        </w:rPr>
        <w:t>ecovery (“NCCR”)</w:t>
      </w:r>
      <w:r w:rsidR="00EC56C7" w:rsidRPr="005C234A">
        <w:rPr>
          <w:bCs/>
        </w:rPr>
        <w:t xml:space="preserve"> </w:t>
      </w:r>
      <w:r w:rsidRPr="005C234A">
        <w:rPr>
          <w:bCs/>
        </w:rPr>
        <w:t>tariff from customers</w:t>
      </w:r>
      <w:r w:rsidR="00A06F50">
        <w:rPr>
          <w:bCs/>
        </w:rPr>
        <w:t xml:space="preserve"> prior to commercial operation of the Units</w:t>
      </w:r>
      <w:r w:rsidRPr="005C234A">
        <w:rPr>
          <w:bCs/>
        </w:rPr>
        <w:t>.</w:t>
      </w:r>
      <w:r w:rsidR="000C3E80">
        <w:rPr>
          <w:rStyle w:val="FootnoteReference"/>
          <w:bCs/>
        </w:rPr>
        <w:footnoteReference w:id="5"/>
      </w:r>
      <w:r w:rsidRPr="005C234A">
        <w:rPr>
          <w:bCs/>
        </w:rPr>
        <w:t xml:space="preserve"> This is </w:t>
      </w:r>
      <w:r w:rsidR="009A04D5">
        <w:rPr>
          <w:bCs/>
        </w:rPr>
        <w:t>approximately</w:t>
      </w:r>
      <w:r w:rsidR="009A04D5" w:rsidRPr="005C234A">
        <w:rPr>
          <w:bCs/>
        </w:rPr>
        <w:t xml:space="preserve"> </w:t>
      </w:r>
      <w:r w:rsidRPr="005C234A">
        <w:rPr>
          <w:bCs/>
        </w:rPr>
        <w:t xml:space="preserve">double the $2.1 billion the Company would have collected if the Units had </w:t>
      </w:r>
      <w:r w:rsidR="00E62472">
        <w:rPr>
          <w:bCs/>
        </w:rPr>
        <w:t xml:space="preserve">achieved their </w:t>
      </w:r>
      <w:r w:rsidR="00152444" w:rsidRPr="005C234A">
        <w:rPr>
          <w:bCs/>
        </w:rPr>
        <w:t>April 2016 and 2017</w:t>
      </w:r>
      <w:r w:rsidR="00E62472">
        <w:rPr>
          <w:bCs/>
        </w:rPr>
        <w:t xml:space="preserve"> certification CODs, respectively</w:t>
      </w:r>
      <w:r w:rsidRPr="005C234A">
        <w:rPr>
          <w:bCs/>
        </w:rPr>
        <w:t>.</w:t>
      </w:r>
      <w:r w:rsidR="008173CD" w:rsidRPr="005C234A">
        <w:rPr>
          <w:bCs/>
        </w:rPr>
        <w:t xml:space="preserve"> </w:t>
      </w:r>
      <w:r w:rsidR="008173CD" w:rsidRPr="005C234A">
        <w:t xml:space="preserve">For the entire delay period through </w:t>
      </w:r>
      <w:r w:rsidR="00E62472">
        <w:t xml:space="preserve">the most recent forecast COD for Vogtle 4 of </w:t>
      </w:r>
      <w:r w:rsidR="0011186F">
        <w:t>March 2024</w:t>
      </w:r>
      <w:r w:rsidR="00E62472">
        <w:t>,</w:t>
      </w:r>
      <w:r w:rsidR="0011186F">
        <w:t xml:space="preserve"> </w:t>
      </w:r>
      <w:r w:rsidR="008173CD" w:rsidRPr="005C234A">
        <w:t>ratepayers will pay an additional $</w:t>
      </w:r>
      <w:r w:rsidR="00881410" w:rsidRPr="005C234A">
        <w:t>2</w:t>
      </w:r>
      <w:r w:rsidR="00031786">
        <w:t>.1</w:t>
      </w:r>
      <w:r w:rsidR="008173CD" w:rsidRPr="005C234A">
        <w:t xml:space="preserve"> billion in NCCR revenue requirement due to the </w:t>
      </w:r>
      <w:r w:rsidR="00E62472">
        <w:t xml:space="preserve">cost overruns and </w:t>
      </w:r>
      <w:r w:rsidR="008173CD" w:rsidRPr="005C234A">
        <w:t>delays.</w:t>
      </w:r>
      <w:r w:rsidR="008173CD" w:rsidRPr="005C234A">
        <w:rPr>
          <w:rStyle w:val="FootnoteReference"/>
        </w:rPr>
        <w:footnoteReference w:id="6"/>
      </w:r>
      <w:r w:rsidR="008173CD" w:rsidRPr="005C234A">
        <w:t xml:space="preserve">  </w:t>
      </w:r>
      <w:r w:rsidR="00AE2A19" w:rsidRPr="005C234A">
        <w:t>Staff estimate</w:t>
      </w:r>
      <w:r w:rsidR="00E62472">
        <w:t>s</w:t>
      </w:r>
      <w:r w:rsidR="00AE2A19" w:rsidRPr="005C234A">
        <w:t xml:space="preserve"> </w:t>
      </w:r>
      <w:r w:rsidR="00E62472">
        <w:t xml:space="preserve">that a typical residential customer will pay </w:t>
      </w:r>
      <w:r w:rsidR="00AE2A19" w:rsidRPr="005C234A">
        <w:t>$</w:t>
      </w:r>
      <w:r w:rsidR="007F16E8" w:rsidRPr="005C234A">
        <w:t>9</w:t>
      </w:r>
      <w:r w:rsidR="007F16E8">
        <w:t>26</w:t>
      </w:r>
      <w:r w:rsidR="007F16E8" w:rsidRPr="005C234A">
        <w:t xml:space="preserve"> </w:t>
      </w:r>
      <w:r w:rsidR="008173CD" w:rsidRPr="005C234A">
        <w:t xml:space="preserve">through the NCCR tariff </w:t>
      </w:r>
      <w:r w:rsidR="00AE2A19" w:rsidRPr="005C234A">
        <w:t>over the construction period</w:t>
      </w:r>
      <w:r w:rsidR="00E62472">
        <w:t>, assuming the Company’s forecast CODs in this proceeding</w:t>
      </w:r>
      <w:r w:rsidR="00AE2A19" w:rsidRPr="005C234A">
        <w:t xml:space="preserve">. This </w:t>
      </w:r>
      <w:r w:rsidR="003B375D" w:rsidRPr="005C234A">
        <w:t>$</w:t>
      </w:r>
      <w:r w:rsidR="007F16E8" w:rsidRPr="005C234A">
        <w:t>9</w:t>
      </w:r>
      <w:r w:rsidR="007F16E8">
        <w:t>26</w:t>
      </w:r>
      <w:r w:rsidR="00C73A16">
        <w:t xml:space="preserve"> </w:t>
      </w:r>
      <w:r w:rsidR="00AE2A19" w:rsidRPr="005C234A">
        <w:t>re</w:t>
      </w:r>
      <w:r w:rsidR="00E62472">
        <w:t>flects</w:t>
      </w:r>
      <w:r w:rsidR="00AE2A19" w:rsidRPr="005C234A">
        <w:t xml:space="preserve"> an additional </w:t>
      </w:r>
      <w:r w:rsidR="008173CD" w:rsidRPr="005C234A">
        <w:t>$</w:t>
      </w:r>
      <w:r w:rsidR="007F16E8" w:rsidRPr="005C234A">
        <w:t>4</w:t>
      </w:r>
      <w:r w:rsidR="007F16E8">
        <w:t>78</w:t>
      </w:r>
      <w:r w:rsidR="007F16E8" w:rsidRPr="005C234A">
        <w:t xml:space="preserve"> </w:t>
      </w:r>
      <w:r w:rsidR="008173CD" w:rsidRPr="005C234A">
        <w:t>during the construction period</w:t>
      </w:r>
      <w:r w:rsidR="00AE2A19" w:rsidRPr="005C234A">
        <w:t xml:space="preserve"> </w:t>
      </w:r>
      <w:r w:rsidR="000C3E80">
        <w:t xml:space="preserve">over the </w:t>
      </w:r>
      <w:r w:rsidR="00AE2A19" w:rsidRPr="005C234A">
        <w:t>$448</w:t>
      </w:r>
      <w:r w:rsidR="000C3E80">
        <w:t xml:space="preserve"> that would have been paid</w:t>
      </w:r>
      <w:r w:rsidR="00AE2A19" w:rsidRPr="005C234A">
        <w:t xml:space="preserve"> had the Units been completed on </w:t>
      </w:r>
      <w:r w:rsidR="004A2268">
        <w:t xml:space="preserve">the </w:t>
      </w:r>
      <w:r w:rsidR="00AE2A19" w:rsidRPr="005C234A">
        <w:t>original certification schedule of April 2016 / 2017</w:t>
      </w:r>
      <w:r w:rsidR="008173CD" w:rsidRPr="00C4776B">
        <w:t>.</w:t>
      </w:r>
    </w:p>
    <w:p w14:paraId="41AC15DA" w14:textId="0331ADD0" w:rsidR="000733EA" w:rsidRDefault="000733EA" w:rsidP="00686893">
      <w:pPr>
        <w:spacing w:after="120" w:line="360" w:lineRule="auto"/>
        <w:ind w:left="720" w:hanging="720"/>
        <w:rPr>
          <w:bCs/>
        </w:rPr>
      </w:pPr>
      <w:bookmarkStart w:id="10" w:name="_Hlk73091698"/>
      <w:r w:rsidRPr="00250136">
        <w:rPr>
          <w:b/>
          <w:bCs/>
        </w:rPr>
        <w:t>Q.</w:t>
      </w:r>
      <w:r w:rsidRPr="00250136">
        <w:rPr>
          <w:b/>
          <w:bCs/>
        </w:rPr>
        <w:tab/>
      </w:r>
      <w:r>
        <w:rPr>
          <w:b/>
          <w:bCs/>
        </w:rPr>
        <w:t>PLEASE SUMMARIZE THE FINANCIAL IMPACT</w:t>
      </w:r>
      <w:r w:rsidR="00E7165C">
        <w:rPr>
          <w:b/>
          <w:bCs/>
        </w:rPr>
        <w:t xml:space="preserve"> OF</w:t>
      </w:r>
      <w:r>
        <w:rPr>
          <w:b/>
          <w:bCs/>
        </w:rPr>
        <w:t xml:space="preserve"> </w:t>
      </w:r>
      <w:r w:rsidR="00E02D83">
        <w:rPr>
          <w:b/>
          <w:bCs/>
        </w:rPr>
        <w:t xml:space="preserve">THE DELAYS AND COST OVERRUNS </w:t>
      </w:r>
      <w:r>
        <w:rPr>
          <w:b/>
          <w:bCs/>
        </w:rPr>
        <w:t xml:space="preserve">ON RATEPAYERS ONCE THE UNITS ARE PLACED IN </w:t>
      </w:r>
      <w:r w:rsidR="007B6D8B">
        <w:rPr>
          <w:b/>
          <w:bCs/>
        </w:rPr>
        <w:t>COMMERCIAL</w:t>
      </w:r>
      <w:r>
        <w:rPr>
          <w:b/>
          <w:bCs/>
        </w:rPr>
        <w:t xml:space="preserve"> OPERATION.</w:t>
      </w:r>
    </w:p>
    <w:p w14:paraId="03A52E2A" w14:textId="672B5BB4" w:rsidR="00160D33" w:rsidRDefault="00C141AC" w:rsidP="00686893">
      <w:pPr>
        <w:spacing w:after="120" w:line="360" w:lineRule="auto"/>
        <w:ind w:left="720" w:hanging="720"/>
        <w:rPr>
          <w:bCs/>
        </w:rPr>
      </w:pPr>
      <w:r>
        <w:rPr>
          <w:bCs/>
        </w:rPr>
        <w:tab/>
      </w:r>
      <w:r w:rsidR="0055755D">
        <w:rPr>
          <w:bCs/>
        </w:rPr>
        <w:t>Assuming the CODs in the Company’s forecast</w:t>
      </w:r>
      <w:r w:rsidR="003036F4">
        <w:rPr>
          <w:bCs/>
        </w:rPr>
        <w:t xml:space="preserve"> in this proceeding</w:t>
      </w:r>
      <w:r w:rsidR="0055755D">
        <w:rPr>
          <w:bCs/>
        </w:rPr>
        <w:t xml:space="preserve">, </w:t>
      </w:r>
      <w:r w:rsidR="008A4C75">
        <w:rPr>
          <w:bCs/>
        </w:rPr>
        <w:t>o</w:t>
      </w:r>
      <w:r w:rsidR="00152444">
        <w:rPr>
          <w:bCs/>
        </w:rPr>
        <w:t>nce Units 3 and 4 are in commercial service</w:t>
      </w:r>
      <w:r w:rsidR="003E339F">
        <w:rPr>
          <w:bCs/>
        </w:rPr>
        <w:t>,</w:t>
      </w:r>
      <w:r w:rsidR="00152444">
        <w:rPr>
          <w:bCs/>
        </w:rPr>
        <w:t xml:space="preserve"> t</w:t>
      </w:r>
      <w:r>
        <w:rPr>
          <w:bCs/>
        </w:rPr>
        <w:t xml:space="preserve">he Company </w:t>
      </w:r>
      <w:r w:rsidR="00D50AAE">
        <w:rPr>
          <w:bCs/>
        </w:rPr>
        <w:t xml:space="preserve">may </w:t>
      </w:r>
      <w:r w:rsidR="00BC7336">
        <w:rPr>
          <w:bCs/>
        </w:rPr>
        <w:t xml:space="preserve">seek </w:t>
      </w:r>
      <w:r w:rsidR="00D50AAE">
        <w:rPr>
          <w:bCs/>
        </w:rPr>
        <w:t xml:space="preserve">to </w:t>
      </w:r>
      <w:r w:rsidR="00BC7336">
        <w:rPr>
          <w:bCs/>
        </w:rPr>
        <w:t xml:space="preserve">include </w:t>
      </w:r>
      <w:r w:rsidR="00E62472">
        <w:rPr>
          <w:bCs/>
        </w:rPr>
        <w:t xml:space="preserve">as much as </w:t>
      </w:r>
      <w:r>
        <w:rPr>
          <w:bCs/>
        </w:rPr>
        <w:t>$</w:t>
      </w:r>
      <w:r w:rsidR="00D83A22">
        <w:rPr>
          <w:bCs/>
        </w:rPr>
        <w:t>10.0</w:t>
      </w:r>
      <w:r w:rsidR="005533BD">
        <w:rPr>
          <w:bCs/>
        </w:rPr>
        <w:t xml:space="preserve"> </w:t>
      </w:r>
      <w:r>
        <w:rPr>
          <w:bCs/>
        </w:rPr>
        <w:t xml:space="preserve">billion </w:t>
      </w:r>
      <w:r w:rsidR="00BC7336">
        <w:rPr>
          <w:bCs/>
        </w:rPr>
        <w:t>in</w:t>
      </w:r>
      <w:r w:rsidR="00D50AAE">
        <w:rPr>
          <w:bCs/>
        </w:rPr>
        <w:t xml:space="preserve"> </w:t>
      </w:r>
      <w:r w:rsidR="00BC7336">
        <w:rPr>
          <w:bCs/>
        </w:rPr>
        <w:t>the</w:t>
      </w:r>
      <w:r w:rsidR="00D50AAE">
        <w:rPr>
          <w:bCs/>
        </w:rPr>
        <w:t xml:space="preserve"> </w:t>
      </w:r>
      <w:r>
        <w:rPr>
          <w:bCs/>
        </w:rPr>
        <w:t>rate base</w:t>
      </w:r>
      <w:r w:rsidR="00BC7336">
        <w:rPr>
          <w:bCs/>
        </w:rPr>
        <w:t xml:space="preserve"> used to calculate the revenue requirement</w:t>
      </w:r>
      <w:r w:rsidR="00E62472">
        <w:rPr>
          <w:bCs/>
        </w:rPr>
        <w:t xml:space="preserve">, based on </w:t>
      </w:r>
      <w:r w:rsidR="00D83A22">
        <w:rPr>
          <w:bCs/>
        </w:rPr>
        <w:t xml:space="preserve">Staff’s </w:t>
      </w:r>
      <w:r w:rsidR="00E62472">
        <w:rPr>
          <w:bCs/>
        </w:rPr>
        <w:t>estimated construction</w:t>
      </w:r>
      <w:r w:rsidR="00A06F50">
        <w:rPr>
          <w:bCs/>
        </w:rPr>
        <w:t>/capital</w:t>
      </w:r>
      <w:r w:rsidR="00E62472">
        <w:rPr>
          <w:bCs/>
        </w:rPr>
        <w:t xml:space="preserve"> and financing costs</w:t>
      </w:r>
      <w:r>
        <w:rPr>
          <w:bCs/>
        </w:rPr>
        <w:t>.</w:t>
      </w:r>
      <w:r>
        <w:rPr>
          <w:rStyle w:val="FootnoteReference"/>
          <w:bCs/>
        </w:rPr>
        <w:footnoteReference w:id="7"/>
      </w:r>
      <w:r>
        <w:rPr>
          <w:bCs/>
        </w:rPr>
        <w:t xml:space="preserve"> </w:t>
      </w:r>
      <w:bookmarkStart w:id="11" w:name="_Hlk73091445"/>
      <w:r w:rsidR="00E62472">
        <w:rPr>
          <w:bCs/>
        </w:rPr>
        <w:t xml:space="preserve"> </w:t>
      </w:r>
      <w:r w:rsidR="008A4C75">
        <w:rPr>
          <w:bCs/>
        </w:rPr>
        <w:t>Additionally, t</w:t>
      </w:r>
      <w:r w:rsidR="00E62472">
        <w:rPr>
          <w:bCs/>
        </w:rPr>
        <w:t>here will be related expenses, including depreciation and ad valorem taxes, based on the amount allowed in the rate base.</w:t>
      </w:r>
    </w:p>
    <w:bookmarkEnd w:id="11"/>
    <w:p w14:paraId="47E17818" w14:textId="37233C36" w:rsidR="000E6510" w:rsidRPr="00694C9C" w:rsidRDefault="00CC3A95" w:rsidP="00160D33">
      <w:pPr>
        <w:spacing w:after="120" w:line="360" w:lineRule="auto"/>
        <w:ind w:left="720"/>
        <w:rPr>
          <w:bCs/>
        </w:rPr>
      </w:pPr>
      <w:r>
        <w:rPr>
          <w:bCs/>
        </w:rPr>
        <w:t>I</w:t>
      </w:r>
      <w:r w:rsidR="00A5101B" w:rsidRPr="005C234A">
        <w:rPr>
          <w:bCs/>
        </w:rPr>
        <w:t xml:space="preserve">f </w:t>
      </w:r>
      <w:r w:rsidR="00BA57C7">
        <w:rPr>
          <w:bCs/>
        </w:rPr>
        <w:t xml:space="preserve">the Company </w:t>
      </w:r>
      <w:r w:rsidR="0049505B">
        <w:rPr>
          <w:bCs/>
        </w:rPr>
        <w:t xml:space="preserve">only </w:t>
      </w:r>
      <w:r w:rsidR="00BA57C7">
        <w:rPr>
          <w:bCs/>
        </w:rPr>
        <w:t xml:space="preserve">seeks to include </w:t>
      </w:r>
      <w:r w:rsidR="00A5101B" w:rsidRPr="005C234A">
        <w:rPr>
          <w:bCs/>
        </w:rPr>
        <w:t xml:space="preserve">the </w:t>
      </w:r>
      <w:r w:rsidR="0049505B">
        <w:rPr>
          <w:bCs/>
        </w:rPr>
        <w:t>7.7</w:t>
      </w:r>
      <w:r w:rsidR="00C37756" w:rsidRPr="005C234A">
        <w:rPr>
          <w:bCs/>
        </w:rPr>
        <w:t xml:space="preserve"> </w:t>
      </w:r>
      <w:r w:rsidR="007341F3" w:rsidRPr="005C234A">
        <w:rPr>
          <w:bCs/>
        </w:rPr>
        <w:t xml:space="preserve">billion </w:t>
      </w:r>
      <w:r w:rsidR="00A5101B" w:rsidRPr="005C234A">
        <w:rPr>
          <w:bCs/>
        </w:rPr>
        <w:t>in</w:t>
      </w:r>
      <w:r w:rsidR="007341F3" w:rsidRPr="005C234A">
        <w:rPr>
          <w:bCs/>
        </w:rPr>
        <w:t xml:space="preserve"> rate base</w:t>
      </w:r>
      <w:r w:rsidR="0049505B">
        <w:rPr>
          <w:bCs/>
        </w:rPr>
        <w:t xml:space="preserve"> </w:t>
      </w:r>
      <w:r w:rsidR="00004398">
        <w:rPr>
          <w:bCs/>
        </w:rPr>
        <w:t xml:space="preserve">as </w:t>
      </w:r>
      <w:r w:rsidR="0049505B">
        <w:rPr>
          <w:bCs/>
        </w:rPr>
        <w:t>it is modeling</w:t>
      </w:r>
      <w:r w:rsidR="007341F3" w:rsidRPr="005C234A">
        <w:rPr>
          <w:bCs/>
        </w:rPr>
        <w:t xml:space="preserve">, </w:t>
      </w:r>
      <w:r w:rsidR="00A5101B" w:rsidRPr="005C234A">
        <w:rPr>
          <w:bCs/>
        </w:rPr>
        <w:t xml:space="preserve">it will </w:t>
      </w:r>
      <w:r w:rsidR="007341F3" w:rsidRPr="005C234A">
        <w:rPr>
          <w:bCs/>
        </w:rPr>
        <w:t xml:space="preserve">represent an </w:t>
      </w:r>
      <w:r w:rsidR="00A5101B" w:rsidRPr="005C234A">
        <w:rPr>
          <w:bCs/>
        </w:rPr>
        <w:t xml:space="preserve">increase of </w:t>
      </w:r>
      <w:r w:rsidR="00C141AC" w:rsidRPr="005C234A">
        <w:rPr>
          <w:bCs/>
        </w:rPr>
        <w:t>$</w:t>
      </w:r>
      <w:r w:rsidR="0049505B">
        <w:rPr>
          <w:bCs/>
        </w:rPr>
        <w:t xml:space="preserve">3.3 </w:t>
      </w:r>
      <w:r w:rsidR="00C141AC" w:rsidRPr="005C234A">
        <w:rPr>
          <w:bCs/>
        </w:rPr>
        <w:t>billion</w:t>
      </w:r>
      <w:r w:rsidR="007341F3" w:rsidRPr="005C234A">
        <w:rPr>
          <w:bCs/>
        </w:rPr>
        <w:t xml:space="preserve">, or </w:t>
      </w:r>
      <w:r w:rsidR="0049505B">
        <w:rPr>
          <w:bCs/>
        </w:rPr>
        <w:t>75</w:t>
      </w:r>
      <w:r w:rsidR="007341F3" w:rsidRPr="005C234A">
        <w:rPr>
          <w:bCs/>
        </w:rPr>
        <w:t>%</w:t>
      </w:r>
      <w:r w:rsidR="00A5101B" w:rsidRPr="005C234A">
        <w:rPr>
          <w:bCs/>
        </w:rPr>
        <w:t>,</w:t>
      </w:r>
      <w:r w:rsidR="007341F3" w:rsidRPr="005C234A">
        <w:rPr>
          <w:bCs/>
        </w:rPr>
        <w:t xml:space="preserve"> compared to the $4.4 billion </w:t>
      </w:r>
      <w:r w:rsidR="00A06F50">
        <w:rPr>
          <w:bCs/>
        </w:rPr>
        <w:t>approved</w:t>
      </w:r>
      <w:r w:rsidR="007341F3" w:rsidRPr="005C234A">
        <w:rPr>
          <w:bCs/>
        </w:rPr>
        <w:t xml:space="preserve"> at certification, and </w:t>
      </w:r>
      <w:r w:rsidR="00C141AC" w:rsidRPr="005C234A">
        <w:rPr>
          <w:bCs/>
        </w:rPr>
        <w:t>w</w:t>
      </w:r>
      <w:r w:rsidR="008C6CDE" w:rsidRPr="005C234A">
        <w:rPr>
          <w:bCs/>
        </w:rPr>
        <w:t>ill</w:t>
      </w:r>
      <w:r w:rsidR="00C141AC" w:rsidRPr="005C234A">
        <w:rPr>
          <w:bCs/>
        </w:rPr>
        <w:t xml:space="preserve"> increase ratepayer revenue requirements by approximately</w:t>
      </w:r>
      <w:r w:rsidR="0016043C">
        <w:rPr>
          <w:bCs/>
        </w:rPr>
        <w:t xml:space="preserve"> an additional</w:t>
      </w:r>
      <w:r w:rsidR="00C141AC" w:rsidRPr="005C234A">
        <w:rPr>
          <w:bCs/>
        </w:rPr>
        <w:t xml:space="preserve"> $</w:t>
      </w:r>
      <w:r w:rsidR="0049505B">
        <w:rPr>
          <w:bCs/>
        </w:rPr>
        <w:t>10.9</w:t>
      </w:r>
      <w:r w:rsidR="001229DD" w:rsidRPr="005C234A">
        <w:rPr>
          <w:bCs/>
        </w:rPr>
        <w:t xml:space="preserve"> </w:t>
      </w:r>
      <w:r w:rsidR="00C141AC" w:rsidRPr="005C234A">
        <w:rPr>
          <w:bCs/>
        </w:rPr>
        <w:t>billion over the 60-year life of the Units</w:t>
      </w:r>
      <w:r w:rsidR="007341F3" w:rsidRPr="00694C9C">
        <w:rPr>
          <w:bCs/>
        </w:rPr>
        <w:t xml:space="preserve">.  </w:t>
      </w:r>
      <w:r w:rsidR="00E756EF">
        <w:rPr>
          <w:bCs/>
        </w:rPr>
        <w:t>Approximately $</w:t>
      </w:r>
      <w:r w:rsidR="00D252A7">
        <w:rPr>
          <w:bCs/>
        </w:rPr>
        <w:t>6.3</w:t>
      </w:r>
      <w:r w:rsidR="00E756EF">
        <w:rPr>
          <w:bCs/>
        </w:rPr>
        <w:t xml:space="preserve"> billion </w:t>
      </w:r>
      <w:r w:rsidR="0049505B">
        <w:rPr>
          <w:bCs/>
        </w:rPr>
        <w:t>o</w:t>
      </w:r>
      <w:r w:rsidR="00B379A0">
        <w:rPr>
          <w:bCs/>
        </w:rPr>
        <w:t xml:space="preserve">f the </w:t>
      </w:r>
      <w:r w:rsidR="001975E4">
        <w:rPr>
          <w:bCs/>
        </w:rPr>
        <w:t>$</w:t>
      </w:r>
      <w:r w:rsidR="0049505B">
        <w:rPr>
          <w:bCs/>
        </w:rPr>
        <w:t>10.9</w:t>
      </w:r>
      <w:r w:rsidR="00B379A0">
        <w:rPr>
          <w:bCs/>
        </w:rPr>
        <w:t xml:space="preserve"> billion </w:t>
      </w:r>
      <w:r w:rsidR="00E756EF">
        <w:rPr>
          <w:bCs/>
        </w:rPr>
        <w:t xml:space="preserve">is pretax </w:t>
      </w:r>
      <w:r w:rsidR="00446BE6">
        <w:rPr>
          <w:bCs/>
        </w:rPr>
        <w:t>earnings on equity</w:t>
      </w:r>
      <w:r w:rsidR="00E756EF">
        <w:rPr>
          <w:bCs/>
        </w:rPr>
        <w:t>.</w:t>
      </w:r>
      <w:r w:rsidR="005467FB">
        <w:rPr>
          <w:rStyle w:val="FootnoteReference"/>
          <w:bCs/>
        </w:rPr>
        <w:footnoteReference w:id="8"/>
      </w:r>
      <w:r w:rsidR="00E756EF">
        <w:rPr>
          <w:bCs/>
        </w:rPr>
        <w:t xml:space="preserve"> </w:t>
      </w:r>
      <w:r w:rsidR="007341F3" w:rsidRPr="00694C9C">
        <w:rPr>
          <w:bCs/>
        </w:rPr>
        <w:t xml:space="preserve">This will result in an </w:t>
      </w:r>
      <w:r w:rsidR="00C141AC" w:rsidRPr="00694C9C">
        <w:rPr>
          <w:bCs/>
        </w:rPr>
        <w:t xml:space="preserve">increase </w:t>
      </w:r>
      <w:r w:rsidR="007341F3" w:rsidRPr="00694C9C">
        <w:rPr>
          <w:bCs/>
        </w:rPr>
        <w:t xml:space="preserve">in </w:t>
      </w:r>
      <w:r w:rsidR="00C141AC" w:rsidRPr="00694C9C">
        <w:rPr>
          <w:bCs/>
        </w:rPr>
        <w:t xml:space="preserve">annual revenue requirements </w:t>
      </w:r>
      <w:r w:rsidR="00887B58" w:rsidRPr="00694C9C">
        <w:rPr>
          <w:bCs/>
        </w:rPr>
        <w:t>of approximately</w:t>
      </w:r>
      <w:r w:rsidR="00FA0E81" w:rsidRPr="00694C9C">
        <w:rPr>
          <w:bCs/>
        </w:rPr>
        <w:t xml:space="preserve"> </w:t>
      </w:r>
      <w:r w:rsidR="00C141AC" w:rsidRPr="001B28D6">
        <w:rPr>
          <w:bCs/>
        </w:rPr>
        <w:t>$</w:t>
      </w:r>
      <w:r w:rsidR="0049505B">
        <w:rPr>
          <w:bCs/>
        </w:rPr>
        <w:t>340</w:t>
      </w:r>
      <w:r w:rsidR="000C1C95" w:rsidRPr="00694C9C">
        <w:rPr>
          <w:bCs/>
        </w:rPr>
        <w:t xml:space="preserve"> </w:t>
      </w:r>
      <w:r w:rsidR="00C141AC" w:rsidRPr="00694C9C">
        <w:rPr>
          <w:bCs/>
        </w:rPr>
        <w:t>million and $</w:t>
      </w:r>
      <w:r w:rsidR="0049505B">
        <w:rPr>
          <w:bCs/>
        </w:rPr>
        <w:t>320</w:t>
      </w:r>
      <w:r w:rsidR="000C1C95" w:rsidRPr="00694C9C">
        <w:rPr>
          <w:bCs/>
        </w:rPr>
        <w:t xml:space="preserve"> </w:t>
      </w:r>
      <w:r w:rsidR="00C141AC" w:rsidRPr="00694C9C">
        <w:rPr>
          <w:bCs/>
        </w:rPr>
        <w:t>million during the first five and ten years in operation, respectively.</w:t>
      </w:r>
    </w:p>
    <w:p w14:paraId="44C14BD7" w14:textId="0E35565B" w:rsidR="00C141AC" w:rsidRDefault="000E6510" w:rsidP="00160D33">
      <w:pPr>
        <w:spacing w:after="120" w:line="360" w:lineRule="auto"/>
        <w:ind w:left="720"/>
        <w:rPr>
          <w:bCs/>
        </w:rPr>
      </w:pPr>
      <w:r w:rsidRPr="005C234A">
        <w:rPr>
          <w:bCs/>
        </w:rPr>
        <w:t xml:space="preserve">The impact on residential customers will be </w:t>
      </w:r>
      <w:r w:rsidR="00C357D1" w:rsidRPr="005C234A">
        <w:rPr>
          <w:bCs/>
        </w:rPr>
        <w:t>approximately</w:t>
      </w:r>
      <w:r w:rsidRPr="005C234A">
        <w:rPr>
          <w:bCs/>
        </w:rPr>
        <w:t xml:space="preserve"> $</w:t>
      </w:r>
      <w:r w:rsidR="0049505B">
        <w:rPr>
          <w:bCs/>
        </w:rPr>
        <w:t>14.10</w:t>
      </w:r>
      <w:r w:rsidR="000C1C95" w:rsidRPr="005C234A">
        <w:rPr>
          <w:bCs/>
        </w:rPr>
        <w:t xml:space="preserve"> </w:t>
      </w:r>
      <w:r w:rsidRPr="005C234A">
        <w:rPr>
          <w:bCs/>
        </w:rPr>
        <w:t>per month and $</w:t>
      </w:r>
      <w:r w:rsidR="0049505B">
        <w:rPr>
          <w:bCs/>
        </w:rPr>
        <w:t>13.20</w:t>
      </w:r>
      <w:r w:rsidRPr="005C234A">
        <w:rPr>
          <w:bCs/>
        </w:rPr>
        <w:t xml:space="preserve"> per month during the first five and ten years in operation, respectively.</w:t>
      </w:r>
      <w:r w:rsidRPr="005C234A">
        <w:rPr>
          <w:rStyle w:val="FootnoteReference"/>
          <w:bCs/>
        </w:rPr>
        <w:footnoteReference w:id="9"/>
      </w:r>
      <w:r w:rsidRPr="005C234A">
        <w:rPr>
          <w:bCs/>
        </w:rPr>
        <w:t xml:space="preserve"> These values are significantly larger than the $9.60 per month </w:t>
      </w:r>
      <w:r w:rsidR="002B588C">
        <w:rPr>
          <w:bCs/>
        </w:rPr>
        <w:t xml:space="preserve">impact </w:t>
      </w:r>
      <w:r w:rsidRPr="005C234A">
        <w:rPr>
          <w:bCs/>
        </w:rPr>
        <w:t>tha</w:t>
      </w:r>
      <w:r w:rsidR="0013435D" w:rsidRPr="005C234A">
        <w:rPr>
          <w:bCs/>
        </w:rPr>
        <w:t>t</w:t>
      </w:r>
      <w:r w:rsidRPr="005C234A">
        <w:rPr>
          <w:bCs/>
        </w:rPr>
        <w:t xml:space="preserve"> the Company claimed at certification</w:t>
      </w:r>
      <w:r w:rsidRPr="00694C9C">
        <w:rPr>
          <w:bCs/>
        </w:rPr>
        <w:t>.</w:t>
      </w:r>
      <w:r w:rsidRPr="00694C9C">
        <w:rPr>
          <w:rStyle w:val="FootnoteReference"/>
          <w:bCs/>
        </w:rPr>
        <w:footnoteReference w:id="10"/>
      </w:r>
      <w:r w:rsidRPr="00694C9C">
        <w:rPr>
          <w:bCs/>
        </w:rPr>
        <w:t xml:space="preserve"> </w:t>
      </w:r>
    </w:p>
    <w:bookmarkEnd w:id="10"/>
    <w:p w14:paraId="46873F09" w14:textId="669C996E"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20B7009B" w14:textId="56FF7673" w:rsidR="003F0E75" w:rsidRDefault="00440709" w:rsidP="003F0E75">
      <w:pPr>
        <w:pStyle w:val="Heading2"/>
        <w:numPr>
          <w:ilvl w:val="0"/>
          <w:numId w:val="0"/>
        </w:numPr>
        <w:ind w:left="720" w:hanging="720"/>
      </w:pPr>
      <w:bookmarkStart w:id="12" w:name="_Toc138321003"/>
      <w:r>
        <w:t xml:space="preserve">Vogtle 3 And 4 </w:t>
      </w:r>
      <w:r w:rsidR="003F0E75">
        <w:t>Lifecycle Costs vs. Alternative Combined Cycle</w:t>
      </w:r>
      <w:bookmarkEnd w:id="12"/>
    </w:p>
    <w:p w14:paraId="7A70F926" w14:textId="77777777" w:rsidR="003F0E75" w:rsidRPr="003F0E75" w:rsidRDefault="003F0E75" w:rsidP="003F0E75"/>
    <w:p w14:paraId="4D8A247F" w14:textId="323D9E98"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 CAPITAL AND FINA</w:t>
      </w:r>
      <w:r w:rsidR="00D50AAE">
        <w:rPr>
          <w:b/>
        </w:rPr>
        <w:t>N</w:t>
      </w:r>
      <w:r>
        <w:rPr>
          <w:b/>
        </w:rPr>
        <w:t>CI</w:t>
      </w:r>
      <w:r w:rsidR="00D50AAE">
        <w:rPr>
          <w:b/>
        </w:rPr>
        <w:t>NG</w:t>
      </w:r>
      <w:r>
        <w:rPr>
          <w:b/>
        </w:rPr>
        <w:t xml:space="preserve"> COST INCREASES </w:t>
      </w:r>
      <w:r w:rsidR="00446BE6">
        <w:rPr>
          <w:b/>
        </w:rPr>
        <w:t xml:space="preserve">SINCE CERTIFICATION </w:t>
      </w:r>
      <w:r>
        <w:rPr>
          <w:b/>
        </w:rPr>
        <w:t>IMPACTED THE ECONOMIC BENEFIT OF THE UNITS FOR RATEPAYERS?</w:t>
      </w:r>
    </w:p>
    <w:p w14:paraId="47CE5A57" w14:textId="4AAB92BC" w:rsidR="00B056E2" w:rsidRDefault="00D13E53" w:rsidP="00B056E2">
      <w:pPr>
        <w:spacing w:after="120" w:line="360" w:lineRule="auto"/>
        <w:ind w:left="720" w:hanging="720"/>
      </w:pPr>
      <w:r w:rsidRPr="00277F7C">
        <w:t>A.</w:t>
      </w:r>
      <w:r w:rsidRPr="00277F7C">
        <w:tab/>
      </w:r>
      <w:r>
        <w:t>The cost increase</w:t>
      </w:r>
      <w:r w:rsidR="00292ED4">
        <w:t>s</w:t>
      </w:r>
      <w:r w:rsidR="00B379A0">
        <w:t xml:space="preserve"> and schedule delays</w:t>
      </w:r>
      <w:r>
        <w:t xml:space="preserve"> </w:t>
      </w:r>
      <w:r w:rsidR="00575B37">
        <w:t xml:space="preserve">have </w:t>
      </w:r>
      <w:r w:rsidR="00E902BE">
        <w:t xml:space="preserve">completely eliminated </w:t>
      </w:r>
      <w:r w:rsidR="009061E3">
        <w:t>any</w:t>
      </w:r>
      <w:r w:rsidR="00E902BE">
        <w:t xml:space="preserve"> benefit on a life-cycle cost basis</w:t>
      </w:r>
      <w:r>
        <w:t xml:space="preserve">. </w:t>
      </w:r>
      <w:r w:rsidR="00D50AAE">
        <w:t xml:space="preserve">The </w:t>
      </w:r>
      <w:r>
        <w:t xml:space="preserve">figure below </w:t>
      </w:r>
      <w:r w:rsidR="00D07862">
        <w:t xml:space="preserve">is </w:t>
      </w:r>
      <w:r w:rsidR="00996C58">
        <w:t xml:space="preserve">based on </w:t>
      </w:r>
      <w:r w:rsidR="00D07862">
        <w:t>VCM</w:t>
      </w:r>
      <w:r w:rsidR="00996C58">
        <w:t xml:space="preserve"> </w:t>
      </w:r>
      <w:r w:rsidR="00CC3A95">
        <w:t xml:space="preserve">27 </w:t>
      </w:r>
      <w:r w:rsidR="00996C58">
        <w:t xml:space="preserve">assumptions </w:t>
      </w:r>
      <w:r w:rsidR="00D50AAE">
        <w:t xml:space="preserve">and </w:t>
      </w:r>
      <w:r>
        <w:t>provide</w:t>
      </w:r>
      <w:r w:rsidR="00D07862">
        <w:t>s</w:t>
      </w:r>
      <w:r>
        <w:t xml:space="preserve"> a comparison of </w:t>
      </w:r>
      <w:r w:rsidR="00EC56C7">
        <w:t xml:space="preserve">the </w:t>
      </w:r>
      <w:r>
        <w:t xml:space="preserve">cumulative revenue requirements </w:t>
      </w:r>
      <w:r w:rsidR="00D50AAE">
        <w:t>of Vogtle 3 and 4</w:t>
      </w:r>
      <w:r w:rsidR="006863C6" w:rsidRPr="006863C6">
        <w:rPr>
          <w:bCs/>
        </w:rPr>
        <w:t xml:space="preserve"> </w:t>
      </w:r>
      <w:r w:rsidR="006863C6">
        <w:rPr>
          <w:bCs/>
        </w:rPr>
        <w:t>with different in-service capital costs</w:t>
      </w:r>
      <w:r w:rsidR="00D50AAE">
        <w:t xml:space="preserve"> </w:t>
      </w:r>
      <w:r>
        <w:t xml:space="preserve">versus natural gas combined cycle units under different assumptions about natural gas prices and carbon dioxide </w:t>
      </w:r>
      <w:r w:rsidR="00D14B6C">
        <w:t>(“CO</w:t>
      </w:r>
      <w:r w:rsidR="00D14B6C" w:rsidRPr="008D6FF5">
        <w:rPr>
          <w:vertAlign w:val="subscript"/>
        </w:rPr>
        <w:t>2</w:t>
      </w:r>
      <w:r w:rsidR="00D14B6C">
        <w:t xml:space="preserve">”) </w:t>
      </w:r>
      <w:r>
        <w:t>emission costs.</w:t>
      </w:r>
      <w:r w:rsidR="003D42D5">
        <w:rPr>
          <w:rStyle w:val="FootnoteReference"/>
        </w:rPr>
        <w:footnoteReference w:id="11"/>
      </w:r>
      <w:r w:rsidR="00292ED4">
        <w:t xml:space="preserve"> Nominal revenue requirements are used in this analysis to indicate the impact on ratepayer bills.</w:t>
      </w:r>
    </w:p>
    <w:p w14:paraId="311B5C8D" w14:textId="1D0F9C1F" w:rsidR="006F2D00" w:rsidRDefault="00D07862" w:rsidP="00DB208B">
      <w:pPr>
        <w:spacing w:after="120" w:line="360" w:lineRule="auto"/>
        <w:ind w:left="720" w:hanging="720"/>
        <w:jc w:val="center"/>
        <w:rPr>
          <w:b/>
        </w:rPr>
      </w:pPr>
      <w:r>
        <w:rPr>
          <w:b/>
        </w:rPr>
        <w:t xml:space="preserve">Figure </w:t>
      </w:r>
      <w:r w:rsidR="003C6B97">
        <w:rPr>
          <w:b/>
        </w:rPr>
        <w:t>1</w:t>
      </w:r>
      <w:r>
        <w:rPr>
          <w:rStyle w:val="FootnoteReference"/>
          <w:b/>
        </w:rPr>
        <w:footnoteReference w:id="12"/>
      </w:r>
    </w:p>
    <w:p w14:paraId="0F0E07A4" w14:textId="53E8BD32" w:rsidR="00D07862" w:rsidRDefault="00D07862" w:rsidP="00DB208B">
      <w:pPr>
        <w:spacing w:after="120" w:line="360" w:lineRule="auto"/>
        <w:ind w:left="720" w:hanging="720"/>
        <w:jc w:val="center"/>
        <w:rPr>
          <w:b/>
        </w:rPr>
      </w:pPr>
      <w:r>
        <w:rPr>
          <w:b/>
          <w:noProof/>
        </w:rPr>
        <w:drawing>
          <wp:inline distT="0" distB="0" distL="0" distR="0" wp14:anchorId="7533104F" wp14:editId="767258DE">
            <wp:extent cx="5634685" cy="427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6360" cy="4277996"/>
                    </a:xfrm>
                    <a:prstGeom prst="rect">
                      <a:avLst/>
                    </a:prstGeom>
                    <a:noFill/>
                  </pic:spPr>
                </pic:pic>
              </a:graphicData>
            </a:graphic>
          </wp:inline>
        </w:drawing>
      </w:r>
    </w:p>
    <w:p w14:paraId="77E1B130" w14:textId="712D82A8" w:rsidR="008D4987" w:rsidRPr="00463ADA" w:rsidRDefault="008D4987" w:rsidP="00686893">
      <w:pPr>
        <w:spacing w:after="120" w:line="360" w:lineRule="auto"/>
        <w:ind w:left="720" w:hanging="720"/>
        <w:rPr>
          <w:b/>
        </w:rPr>
      </w:pPr>
      <w:r w:rsidRPr="00463ADA">
        <w:rPr>
          <w:b/>
        </w:rPr>
        <w:t>Q.</w:t>
      </w:r>
      <w:r w:rsidRPr="00463ADA">
        <w:rPr>
          <w:b/>
        </w:rPr>
        <w:tab/>
      </w:r>
      <w:r>
        <w:rPr>
          <w:b/>
        </w:rPr>
        <w:t xml:space="preserve">PLEASE SUMMARIZE THE RESULTS OF </w:t>
      </w:r>
      <w:r w:rsidR="00D07862">
        <w:rPr>
          <w:b/>
        </w:rPr>
        <w:t xml:space="preserve">THE </w:t>
      </w:r>
      <w:r w:rsidR="004B5360">
        <w:rPr>
          <w:b/>
        </w:rPr>
        <w:t xml:space="preserve">PRECEDING </w:t>
      </w:r>
      <w:r w:rsidR="00D07862">
        <w:rPr>
          <w:b/>
        </w:rPr>
        <w:t>FIGURE</w:t>
      </w:r>
      <w:r>
        <w:rPr>
          <w:b/>
        </w:rPr>
        <w:t>.</w:t>
      </w:r>
    </w:p>
    <w:p w14:paraId="365CD92F" w14:textId="5D0952AE" w:rsidR="007E2FE4" w:rsidRDefault="008D4987" w:rsidP="00BB21B1">
      <w:pPr>
        <w:spacing w:after="120" w:line="360" w:lineRule="auto"/>
        <w:ind w:left="720" w:hanging="720"/>
      </w:pPr>
      <w:r w:rsidRPr="00B10924">
        <w:t>A.</w:t>
      </w:r>
      <w:r w:rsidRPr="00B10924">
        <w:tab/>
      </w:r>
      <w:r w:rsidR="003C02EB">
        <w:t xml:space="preserve">The </w:t>
      </w:r>
      <w:r w:rsidR="00B379A0">
        <w:t xml:space="preserve">cumulative </w:t>
      </w:r>
      <w:r w:rsidR="003C02EB">
        <w:t>revenue requirement</w:t>
      </w:r>
      <w:r w:rsidR="00F55F52">
        <w:t>s</w:t>
      </w:r>
      <w:r w:rsidR="003C02EB">
        <w:t xml:space="preserve"> of </w:t>
      </w:r>
      <w:r>
        <w:t>Vogtle 3</w:t>
      </w:r>
      <w:r w:rsidR="003C02EB">
        <w:t xml:space="preserve"> </w:t>
      </w:r>
      <w:r w:rsidR="00FA4A0C">
        <w:t>and</w:t>
      </w:r>
      <w:r w:rsidR="003C02EB">
        <w:t xml:space="preserve"> </w:t>
      </w:r>
      <w:r>
        <w:t xml:space="preserve">4 </w:t>
      </w:r>
      <w:r w:rsidR="00F55F52">
        <w:t>in nominal dollars</w:t>
      </w:r>
      <w:r w:rsidR="0000323D">
        <w:t xml:space="preserve">, for the $7.7 </w:t>
      </w:r>
      <w:r w:rsidR="004B5360">
        <w:t>billion</w:t>
      </w:r>
      <w:r w:rsidR="0000323D">
        <w:t xml:space="preserve"> </w:t>
      </w:r>
      <w:r w:rsidR="0016043C">
        <w:t xml:space="preserve">in-service </w:t>
      </w:r>
      <w:r w:rsidR="00446BE6">
        <w:t>construction/</w:t>
      </w:r>
      <w:r w:rsidR="004B5360">
        <w:t xml:space="preserve">capital cost </w:t>
      </w:r>
      <w:r w:rsidR="00D07862">
        <w:t>case</w:t>
      </w:r>
      <w:r w:rsidR="002B588C">
        <w:t>,</w:t>
      </w:r>
      <w:r w:rsidR="00480DB7">
        <w:rPr>
          <w:rStyle w:val="FootnoteReference"/>
        </w:rPr>
        <w:footnoteReference w:id="13"/>
      </w:r>
      <w:r w:rsidR="00F55F52">
        <w:t xml:space="preserve"> </w:t>
      </w:r>
      <w:r w:rsidR="003C02EB">
        <w:t>significantly exceed</w:t>
      </w:r>
      <w:r w:rsidR="00D07862">
        <w:t>s</w:t>
      </w:r>
      <w:r w:rsidR="003C02EB">
        <w:t xml:space="preserve"> that of</w:t>
      </w:r>
      <w:r>
        <w:t xml:space="preserve"> natural gas combine</w:t>
      </w:r>
      <w:r w:rsidR="008C6CDE">
        <w:t>d</w:t>
      </w:r>
      <w:r>
        <w:t xml:space="preserve"> cycle</w:t>
      </w:r>
      <w:r w:rsidR="00CF401A">
        <w:t xml:space="preserve"> units</w:t>
      </w:r>
      <w:r>
        <w:t xml:space="preserve"> over </w:t>
      </w:r>
      <w:r w:rsidR="00C66B9C">
        <w:t>the</w:t>
      </w:r>
      <w:r>
        <w:t xml:space="preserve"> </w:t>
      </w:r>
      <w:r w:rsidR="00C66B9C">
        <w:t>60</w:t>
      </w:r>
      <w:r w:rsidR="003C02EB">
        <w:t>-</w:t>
      </w:r>
      <w:r w:rsidR="00C66B9C">
        <w:t xml:space="preserve">year </w:t>
      </w:r>
      <w:r>
        <w:t xml:space="preserve">operating life under all </w:t>
      </w:r>
      <w:r w:rsidR="005E3DC5">
        <w:t xml:space="preserve">nine </w:t>
      </w:r>
      <w:r w:rsidR="000A00EC">
        <w:t xml:space="preserve">natural gas price and </w:t>
      </w:r>
      <w:r>
        <w:t xml:space="preserve">carbon dioxide </w:t>
      </w:r>
      <w:r w:rsidR="00C66B9C">
        <w:t xml:space="preserve">emission price </w:t>
      </w:r>
      <w:r>
        <w:t>scenarios.</w:t>
      </w:r>
      <w:r w:rsidR="00C0373E">
        <w:t xml:space="preserve"> </w:t>
      </w:r>
      <w:r w:rsidR="007342A4" w:rsidRPr="005A4CE8">
        <w:t xml:space="preserve">In other words, ratepayers will be paying significantly more for the power generated by Vogtle 3 and 4 than they would </w:t>
      </w:r>
      <w:r w:rsidR="007342A4" w:rsidRPr="00E4323F">
        <w:t>pay</w:t>
      </w:r>
      <w:r w:rsidR="007342A4" w:rsidRPr="005A4CE8">
        <w:t xml:space="preserve"> if combined cycle </w:t>
      </w:r>
      <w:r w:rsidR="00446BE6">
        <w:t>generating units</w:t>
      </w:r>
      <w:r w:rsidR="007342A4" w:rsidRPr="005A4CE8">
        <w:t xml:space="preserve"> had been built instead.</w:t>
      </w:r>
      <w:r w:rsidR="007342A4">
        <w:t xml:space="preserve"> </w:t>
      </w:r>
    </w:p>
    <w:p w14:paraId="53CACBCC" w14:textId="6BBC8323" w:rsidR="003F0E75" w:rsidRDefault="003F0E75" w:rsidP="003F0E75">
      <w:pPr>
        <w:pStyle w:val="Heading2"/>
        <w:numPr>
          <w:ilvl w:val="0"/>
          <w:numId w:val="0"/>
        </w:numPr>
        <w:ind w:left="720" w:hanging="720"/>
      </w:pPr>
      <w:bookmarkStart w:id="13" w:name="_Toc138321004"/>
      <w:r>
        <w:t>Rate Impact</w:t>
      </w:r>
      <w:bookmarkEnd w:id="13"/>
    </w:p>
    <w:p w14:paraId="39FFC210" w14:textId="77777777" w:rsidR="003F0E75" w:rsidRPr="003F0E75" w:rsidRDefault="003F0E75" w:rsidP="003F0E75"/>
    <w:p w14:paraId="0E187EFC" w14:textId="278B8467" w:rsidR="005A4A33" w:rsidRPr="00D15D50" w:rsidRDefault="005A4A33" w:rsidP="005A4A33">
      <w:pPr>
        <w:spacing w:after="120" w:line="360" w:lineRule="auto"/>
        <w:ind w:left="720" w:hanging="720"/>
        <w:rPr>
          <w:b/>
        </w:rPr>
      </w:pPr>
      <w:r w:rsidRPr="00D15D50">
        <w:rPr>
          <w:b/>
        </w:rPr>
        <w:t>Q.</w:t>
      </w:r>
      <w:r w:rsidRPr="00D15D50">
        <w:rPr>
          <w:b/>
        </w:rPr>
        <w:tab/>
      </w:r>
      <w:r>
        <w:rPr>
          <w:b/>
        </w:rPr>
        <w:t xml:space="preserve">DID STAFF REVIEW THE COMPANY’S RATE IMPACT ANALYSIS PROVIDED ON PAGE </w:t>
      </w:r>
      <w:r w:rsidR="00066A5E">
        <w:rPr>
          <w:b/>
        </w:rPr>
        <w:t xml:space="preserve">6 </w:t>
      </w:r>
      <w:r>
        <w:rPr>
          <w:b/>
        </w:rPr>
        <w:t>OF ITS VCM</w:t>
      </w:r>
      <w:r w:rsidR="003A50D7">
        <w:rPr>
          <w:b/>
        </w:rPr>
        <w:t xml:space="preserve"> </w:t>
      </w:r>
      <w:r w:rsidR="00D07862">
        <w:rPr>
          <w:b/>
        </w:rPr>
        <w:t xml:space="preserve">28 </w:t>
      </w:r>
      <w:r>
        <w:rPr>
          <w:b/>
        </w:rPr>
        <w:t>REPORT?</w:t>
      </w:r>
    </w:p>
    <w:p w14:paraId="5506F678" w14:textId="536F95B7" w:rsidR="003F0E75" w:rsidRDefault="005A4A33" w:rsidP="0067438A">
      <w:pPr>
        <w:spacing w:after="120" w:line="360" w:lineRule="auto"/>
        <w:ind w:left="720" w:hanging="720"/>
        <w:rPr>
          <w:bCs/>
        </w:rPr>
      </w:pPr>
      <w:r>
        <w:rPr>
          <w:bCs/>
        </w:rPr>
        <w:t>A.</w:t>
      </w:r>
      <w:r>
        <w:rPr>
          <w:bCs/>
        </w:rPr>
        <w:tab/>
      </w:r>
      <w:r w:rsidR="00964AED" w:rsidRPr="00592480">
        <w:rPr>
          <w:bCs/>
        </w:rPr>
        <w:t xml:space="preserve">Yes.  The Company developed its rate impact analysis based on </w:t>
      </w:r>
      <w:r w:rsidR="00964AED">
        <w:rPr>
          <w:bCs/>
        </w:rPr>
        <w:t xml:space="preserve">an assumption that cost recovery would be based on </w:t>
      </w:r>
      <w:r w:rsidR="00964AED" w:rsidRPr="00592480">
        <w:rPr>
          <w:bCs/>
        </w:rPr>
        <w:t>$7.3 billion in construction</w:t>
      </w:r>
      <w:r w:rsidR="00964AED">
        <w:rPr>
          <w:bCs/>
        </w:rPr>
        <w:t xml:space="preserve"> / capital</w:t>
      </w:r>
      <w:r w:rsidR="00964AED" w:rsidRPr="00592480">
        <w:rPr>
          <w:bCs/>
        </w:rPr>
        <w:t xml:space="preserve"> costs and the financing costs on that construction</w:t>
      </w:r>
      <w:r w:rsidR="00964AED">
        <w:rPr>
          <w:bCs/>
        </w:rPr>
        <w:t xml:space="preserve"> / capital</w:t>
      </w:r>
      <w:r w:rsidR="00964AED" w:rsidRPr="00592480">
        <w:rPr>
          <w:bCs/>
        </w:rPr>
        <w:t xml:space="preserve"> cost, consistent with </w:t>
      </w:r>
      <w:r w:rsidR="00964AED">
        <w:rPr>
          <w:bCs/>
        </w:rPr>
        <w:t>the Company’s</w:t>
      </w:r>
      <w:r w:rsidR="00964AED" w:rsidRPr="00592480">
        <w:rPr>
          <w:bCs/>
        </w:rPr>
        <w:t xml:space="preserve"> presentation of costs </w:t>
      </w:r>
      <w:r w:rsidR="00964AED">
        <w:rPr>
          <w:bCs/>
        </w:rPr>
        <w:t>i</w:t>
      </w:r>
      <w:r w:rsidR="00964AED" w:rsidRPr="00592480">
        <w:rPr>
          <w:bCs/>
        </w:rPr>
        <w:t xml:space="preserve">n Table 1.1 </w:t>
      </w:r>
      <w:r w:rsidR="00964AED">
        <w:rPr>
          <w:bCs/>
        </w:rPr>
        <w:t>of</w:t>
      </w:r>
      <w:r w:rsidR="00964AED" w:rsidRPr="00592480">
        <w:rPr>
          <w:bCs/>
        </w:rPr>
        <w:t xml:space="preserve"> the VCM Report.  The Company</w:t>
      </w:r>
      <w:r w:rsidR="00964AED">
        <w:rPr>
          <w:bCs/>
        </w:rPr>
        <w:t xml:space="preserve"> estimates that the $7.3 billion in construction / capital costs and the $421 million of related AFUDC included in rate base and operating expenses will increase revenues by approximately 9 percent</w:t>
      </w:r>
      <w:r w:rsidR="00314D69">
        <w:rPr>
          <w:bCs/>
        </w:rPr>
        <w:t>, compared to the estimated increase of 10 percent that the Company presented in VCM 27</w:t>
      </w:r>
      <w:r w:rsidR="00964AED">
        <w:rPr>
          <w:bCs/>
        </w:rPr>
        <w:t xml:space="preserve">.  The increase in revenues is smaller in this VCM proceeding on a percentage basis compared to VCM 27. This is because total revenues, which is the denominator in the rate impact calculation, has increased in this VCM proceeding due to the substantial rate increase that the Company was allowed in the recent base rate </w:t>
      </w:r>
      <w:r w:rsidR="00964AED" w:rsidRPr="00314D69">
        <w:rPr>
          <w:bCs/>
        </w:rPr>
        <w:t>proceeding (</w:t>
      </w:r>
      <w:r w:rsidR="00314D69" w:rsidRPr="00314D69">
        <w:rPr>
          <w:bCs/>
        </w:rPr>
        <w:t>Docket 44280</w:t>
      </w:r>
      <w:r w:rsidR="00964AED" w:rsidRPr="00314D69">
        <w:rPr>
          <w:bCs/>
        </w:rPr>
        <w:t>).</w:t>
      </w:r>
      <w:r w:rsidR="00964AED">
        <w:rPr>
          <w:bCs/>
        </w:rPr>
        <w:t xml:space="preserve"> Another contributing factor is that the costs associated with Vogtle Units 3 and 4, included in the numerator of the rate impact calculation, reflects greater fuel savings due to </w:t>
      </w:r>
      <w:r w:rsidR="009F4047">
        <w:rPr>
          <w:bCs/>
        </w:rPr>
        <w:t xml:space="preserve">the Company’s </w:t>
      </w:r>
      <w:r w:rsidR="00964AED">
        <w:rPr>
          <w:bCs/>
        </w:rPr>
        <w:t>natural gas price</w:t>
      </w:r>
      <w:r w:rsidR="009F4047">
        <w:rPr>
          <w:bCs/>
        </w:rPr>
        <w:t xml:space="preserve"> forecast change</w:t>
      </w:r>
      <w:r w:rsidR="00964AED">
        <w:rPr>
          <w:bCs/>
        </w:rPr>
        <w:t xml:space="preserve"> since the VCM 27 proceeding.  Even though the rate impact </w:t>
      </w:r>
      <w:r w:rsidR="00364249">
        <w:rPr>
          <w:bCs/>
        </w:rPr>
        <w:t xml:space="preserve">on a percentage basis </w:t>
      </w:r>
      <w:r w:rsidR="00964AED">
        <w:rPr>
          <w:bCs/>
        </w:rPr>
        <w:t xml:space="preserve">has gone down slightly since VCM 27, total revenue requirements to be collected from customers in absolute dollars have not declined since VCM </w:t>
      </w:r>
      <w:r w:rsidR="009F4047">
        <w:rPr>
          <w:bCs/>
        </w:rPr>
        <w:t>27 and</w:t>
      </w:r>
      <w:r w:rsidR="00964AED">
        <w:rPr>
          <w:bCs/>
        </w:rPr>
        <w:t xml:space="preserve"> represent a significant increase in cost to ratepayers.</w:t>
      </w:r>
    </w:p>
    <w:p w14:paraId="1C62BC26" w14:textId="726FCDC7" w:rsidR="00EA4EF6" w:rsidRPr="00D15D50" w:rsidRDefault="00EA4EF6" w:rsidP="00EA4EF6">
      <w:pPr>
        <w:spacing w:after="120" w:line="360" w:lineRule="auto"/>
        <w:ind w:left="720" w:hanging="720"/>
        <w:rPr>
          <w:b/>
        </w:rPr>
      </w:pPr>
      <w:r w:rsidRPr="00D15D50">
        <w:rPr>
          <w:b/>
        </w:rPr>
        <w:t>Q.</w:t>
      </w:r>
      <w:r w:rsidRPr="00D15D50">
        <w:rPr>
          <w:b/>
        </w:rPr>
        <w:tab/>
      </w:r>
      <w:r>
        <w:rPr>
          <w:b/>
        </w:rPr>
        <w:t>DOES THE COMMISSION HAVE THE AUTHORITY TO MITIGATE THESE RATEPAYER COST INCREASES?</w:t>
      </w:r>
    </w:p>
    <w:p w14:paraId="3D534E69" w14:textId="65684641" w:rsidR="00480DB7" w:rsidRDefault="00EA4EF6" w:rsidP="00EA4EF6">
      <w:pPr>
        <w:spacing w:after="120" w:line="360" w:lineRule="auto"/>
        <w:ind w:left="720" w:hanging="720"/>
        <w:rPr>
          <w:bCs/>
        </w:rPr>
      </w:pPr>
      <w:r>
        <w:rPr>
          <w:bCs/>
        </w:rPr>
        <w:t>A.</w:t>
      </w:r>
      <w:r>
        <w:rPr>
          <w:bCs/>
        </w:rPr>
        <w:tab/>
      </w:r>
      <w:r w:rsidRPr="00592480">
        <w:rPr>
          <w:bCs/>
        </w:rPr>
        <w:t xml:space="preserve">Yes.  </w:t>
      </w:r>
      <w:r>
        <w:rPr>
          <w:bCs/>
        </w:rPr>
        <w:t xml:space="preserve">The </w:t>
      </w:r>
      <w:r w:rsidR="00480DB7">
        <w:rPr>
          <w:bCs/>
        </w:rPr>
        <w:t>Commission could reduce the 9</w:t>
      </w:r>
      <w:r>
        <w:rPr>
          <w:bCs/>
        </w:rPr>
        <w:t xml:space="preserve"> percent</w:t>
      </w:r>
      <w:r w:rsidR="00480DB7">
        <w:rPr>
          <w:bCs/>
        </w:rPr>
        <w:t xml:space="preserve"> peak rate impact in the prudency review.  For example, the Company has the burden of proof on capital costs above $5.68 billion.  If the Commission were to find that the Company failed to meet its burden</w:t>
      </w:r>
      <w:r w:rsidR="00B63AA3">
        <w:rPr>
          <w:bCs/>
        </w:rPr>
        <w:t xml:space="preserve"> on all or some of the costs between $5.68 billion and $7.3 billion, the 9</w:t>
      </w:r>
      <w:r>
        <w:rPr>
          <w:bCs/>
        </w:rPr>
        <w:t xml:space="preserve"> percent</w:t>
      </w:r>
      <w:r w:rsidR="00B63AA3">
        <w:rPr>
          <w:bCs/>
        </w:rPr>
        <w:t xml:space="preserve"> </w:t>
      </w:r>
      <w:r w:rsidR="000D2FEC">
        <w:rPr>
          <w:bCs/>
        </w:rPr>
        <w:t xml:space="preserve">impact </w:t>
      </w:r>
      <w:r w:rsidR="00B63AA3">
        <w:rPr>
          <w:bCs/>
        </w:rPr>
        <w:t>would decline.  The Commission also has the authority to disallow financing costs and replacement energy costs associated with imprudence and can claw back such costs for the benefit of ratepayers if they have already been paid.</w:t>
      </w:r>
      <w:r w:rsidR="00B63AA3">
        <w:rPr>
          <w:rStyle w:val="FootnoteReference"/>
          <w:bCs/>
        </w:rPr>
        <w:footnoteReference w:id="14"/>
      </w:r>
      <w:r w:rsidR="00B63AA3">
        <w:rPr>
          <w:bCs/>
        </w:rPr>
        <w:t xml:space="preserve"> </w:t>
      </w:r>
      <w:r w:rsidR="007342A4">
        <w:rPr>
          <w:bCs/>
        </w:rPr>
        <w:t xml:space="preserve">Ratepayers have paid significant amounts in both additional financing costs and replacement energy as a result of delays in the project. </w:t>
      </w:r>
      <w:r w:rsidR="00B63AA3">
        <w:rPr>
          <w:bCs/>
        </w:rPr>
        <w:t xml:space="preserve">To the extent the Commission were to disallow </w:t>
      </w:r>
      <w:r w:rsidR="007342A4">
        <w:rPr>
          <w:bCs/>
        </w:rPr>
        <w:t>and</w:t>
      </w:r>
      <w:r w:rsidR="00B63AA3">
        <w:rPr>
          <w:bCs/>
        </w:rPr>
        <w:t xml:space="preserve"> claw back any such </w:t>
      </w:r>
      <w:r>
        <w:rPr>
          <w:bCs/>
        </w:rPr>
        <w:t>costs that</w:t>
      </w:r>
      <w:r w:rsidR="00B63AA3">
        <w:rPr>
          <w:bCs/>
        </w:rPr>
        <w:t xml:space="preserve"> </w:t>
      </w:r>
      <w:r>
        <w:rPr>
          <w:bCs/>
        </w:rPr>
        <w:t>w</w:t>
      </w:r>
      <w:r w:rsidR="00B63AA3">
        <w:rPr>
          <w:bCs/>
        </w:rPr>
        <w:t xml:space="preserve">ould </w:t>
      </w:r>
      <w:r w:rsidR="004305D2">
        <w:rPr>
          <w:bCs/>
        </w:rPr>
        <w:t xml:space="preserve">also </w:t>
      </w:r>
      <w:r w:rsidR="00B63AA3">
        <w:rPr>
          <w:bCs/>
        </w:rPr>
        <w:t>reduce the peak rate impact.</w:t>
      </w:r>
    </w:p>
    <w:p w14:paraId="7673FFEB" w14:textId="438A2A03" w:rsidR="003F0E75" w:rsidRDefault="003F0E75" w:rsidP="003F0E75">
      <w:pPr>
        <w:pStyle w:val="Heading2"/>
        <w:numPr>
          <w:ilvl w:val="0"/>
          <w:numId w:val="0"/>
        </w:numPr>
        <w:ind w:left="720" w:hanging="720"/>
      </w:pPr>
      <w:bookmarkStart w:id="14" w:name="_Toc138321005"/>
      <w:r>
        <w:t>Replacement Power Costs</w:t>
      </w:r>
      <w:r w:rsidR="00446BE6">
        <w:t xml:space="preserve"> And Other Costs/Benefits</w:t>
      </w:r>
      <w:bookmarkEnd w:id="14"/>
    </w:p>
    <w:p w14:paraId="6394AC07" w14:textId="77777777" w:rsidR="003F0E75" w:rsidRPr="003F0E75" w:rsidRDefault="003F0E75" w:rsidP="003F0E75"/>
    <w:p w14:paraId="0F8EF23B" w14:textId="35D96CD0" w:rsidR="00D505C2" w:rsidRPr="00D15D50" w:rsidRDefault="00D505C2" w:rsidP="00D505C2">
      <w:pPr>
        <w:spacing w:after="120" w:line="360" w:lineRule="auto"/>
        <w:ind w:left="720" w:hanging="720"/>
        <w:rPr>
          <w:b/>
        </w:rPr>
      </w:pPr>
      <w:r w:rsidRPr="00D15D50">
        <w:rPr>
          <w:b/>
        </w:rPr>
        <w:t>Q.</w:t>
      </w:r>
      <w:r w:rsidRPr="00D15D50">
        <w:rPr>
          <w:b/>
        </w:rPr>
        <w:tab/>
      </w:r>
      <w:r w:rsidR="005A4A33">
        <w:rPr>
          <w:b/>
        </w:rPr>
        <w:t xml:space="preserve">DID STAFF REVIEW THE COMPANY’S REPLACEMENT POWER </w:t>
      </w:r>
      <w:r w:rsidR="00446BE6">
        <w:rPr>
          <w:b/>
        </w:rPr>
        <w:t xml:space="preserve">AND OTHER COSTS/BENEFITS </w:t>
      </w:r>
      <w:r w:rsidR="005A4A33">
        <w:rPr>
          <w:b/>
        </w:rPr>
        <w:t xml:space="preserve">ANALYSIS PROVIDED IN TABLE 1.2 OF </w:t>
      </w:r>
      <w:r w:rsidR="004B5360">
        <w:rPr>
          <w:b/>
        </w:rPr>
        <w:t>THE</w:t>
      </w:r>
      <w:r w:rsidR="005A4A33">
        <w:rPr>
          <w:b/>
        </w:rPr>
        <w:t xml:space="preserve"> VCM</w:t>
      </w:r>
      <w:r w:rsidR="003A50D7">
        <w:rPr>
          <w:b/>
        </w:rPr>
        <w:t xml:space="preserve"> </w:t>
      </w:r>
      <w:r w:rsidR="00D07862">
        <w:rPr>
          <w:b/>
        </w:rPr>
        <w:t xml:space="preserve">28 </w:t>
      </w:r>
      <w:r w:rsidR="005A4A33">
        <w:rPr>
          <w:b/>
        </w:rPr>
        <w:t>REPORT?</w:t>
      </w:r>
    </w:p>
    <w:p w14:paraId="2667EF33" w14:textId="0889137C" w:rsidR="00166CFC" w:rsidRDefault="00D505C2" w:rsidP="00352C96">
      <w:pPr>
        <w:spacing w:after="120" w:line="360" w:lineRule="auto"/>
        <w:ind w:left="720" w:hanging="720"/>
        <w:rPr>
          <w:bCs/>
        </w:rPr>
      </w:pPr>
      <w:r>
        <w:rPr>
          <w:bCs/>
        </w:rPr>
        <w:t>A.</w:t>
      </w:r>
      <w:r>
        <w:rPr>
          <w:bCs/>
        </w:rPr>
        <w:tab/>
      </w:r>
      <w:r w:rsidR="005A4A33">
        <w:rPr>
          <w:bCs/>
        </w:rPr>
        <w:t>Yes.</w:t>
      </w:r>
      <w:r>
        <w:rPr>
          <w:bCs/>
        </w:rPr>
        <w:t xml:space="preserve"> As described in Staff’s prior testimony, the </w:t>
      </w:r>
      <w:r>
        <w:t>table is fundamentally flawed</w:t>
      </w:r>
      <w:r w:rsidR="00446BE6">
        <w:t xml:space="preserve"> and significantly understates the harm to ratepayers due to the cost increases and schedule delays.  </w:t>
      </w:r>
      <w:r>
        <w:t xml:space="preserve"> </w:t>
      </w:r>
      <w:r w:rsidR="00446BE6">
        <w:t>In this table, t</w:t>
      </w:r>
      <w:r>
        <w:t>he Company ignores the additional financing cost</w:t>
      </w:r>
      <w:r w:rsidR="00446BE6">
        <w:t>s</w:t>
      </w:r>
      <w:r>
        <w:t xml:space="preserve"> recovered from ratepayers during the delay period that would </w:t>
      </w:r>
      <w:r w:rsidR="00EB52D1">
        <w:t xml:space="preserve">not </w:t>
      </w:r>
      <w:r w:rsidR="008370FE">
        <w:t xml:space="preserve">have </w:t>
      </w:r>
      <w:r>
        <w:t>been collected had the Units been completed on time.</w:t>
      </w:r>
      <w:r w:rsidR="00500606">
        <w:t xml:space="preserve"> Furthermore</w:t>
      </w:r>
      <w:r w:rsidR="00A11C06">
        <w:t xml:space="preserve">, </w:t>
      </w:r>
      <w:r w:rsidR="00500606">
        <w:t xml:space="preserve">Table 1.2 is also flawed because the analysis </w:t>
      </w:r>
      <w:r w:rsidR="00B12981">
        <w:t>improperly</w:t>
      </w:r>
      <w:r w:rsidR="00500606">
        <w:t xml:space="preserve"> depict</w:t>
      </w:r>
      <w:r w:rsidR="00B12981">
        <w:t>s</w:t>
      </w:r>
      <w:r w:rsidR="00500606">
        <w:t xml:space="preserve"> the timing when operating expenses</w:t>
      </w:r>
      <w:r w:rsidR="00FE14DF">
        <w:t xml:space="preserve"> </w:t>
      </w:r>
      <w:r w:rsidR="00B12981">
        <w:t>and P</w:t>
      </w:r>
      <w:r w:rsidR="005467FB">
        <w:t xml:space="preserve">roduction </w:t>
      </w:r>
      <w:r w:rsidR="00B12981">
        <w:t>T</w:t>
      </w:r>
      <w:r w:rsidR="005467FB">
        <w:t xml:space="preserve">ax </w:t>
      </w:r>
      <w:r w:rsidR="00B12981">
        <w:t>C</w:t>
      </w:r>
      <w:r w:rsidR="005467FB">
        <w:t>redits</w:t>
      </w:r>
      <w:r w:rsidR="00B12981">
        <w:t xml:space="preserve"> benefits </w:t>
      </w:r>
      <w:r w:rsidR="00500606">
        <w:t>will be incurred</w:t>
      </w:r>
      <w:r w:rsidR="00FE14DF">
        <w:t xml:space="preserve">, which leads </w:t>
      </w:r>
      <w:r w:rsidR="00500606">
        <w:t xml:space="preserve">to </w:t>
      </w:r>
      <w:r w:rsidR="00FE14DF">
        <w:t>the</w:t>
      </w:r>
      <w:r w:rsidR="00500606">
        <w:t xml:space="preserve"> inaccurate conclusion that customers </w:t>
      </w:r>
      <w:r w:rsidR="00BD65ED">
        <w:t xml:space="preserve">have </w:t>
      </w:r>
      <w:r w:rsidR="00500606">
        <w:t>only be</w:t>
      </w:r>
      <w:r w:rsidR="003F51CB">
        <w:t>en</w:t>
      </w:r>
      <w:r w:rsidR="00500606">
        <w:t xml:space="preserve"> harmed by $</w:t>
      </w:r>
      <w:r w:rsidR="003C6B97">
        <w:t xml:space="preserve">568 </w:t>
      </w:r>
      <w:r w:rsidR="00500606">
        <w:t xml:space="preserve">million </w:t>
      </w:r>
      <w:r w:rsidR="00BD65ED">
        <w:t>to date.</w:t>
      </w:r>
      <w:r w:rsidR="00260664">
        <w:rPr>
          <w:rStyle w:val="FootnoteReference"/>
        </w:rPr>
        <w:footnoteReference w:id="15"/>
      </w:r>
      <w:r w:rsidR="00953C5F" w:rsidDel="00953C5F">
        <w:t xml:space="preserve"> </w:t>
      </w:r>
      <w:r w:rsidR="006037F1">
        <w:rPr>
          <w:bCs/>
        </w:rPr>
        <w:t>When the proper analysis is performed, d</w:t>
      </w:r>
      <w:r>
        <w:rPr>
          <w:bCs/>
        </w:rPr>
        <w:t>uring the</w:t>
      </w:r>
      <w:r w:rsidR="00BD65ED">
        <w:rPr>
          <w:bCs/>
        </w:rPr>
        <w:t xml:space="preserve"> full</w:t>
      </w:r>
      <w:r w:rsidR="00754739">
        <w:rPr>
          <w:bCs/>
        </w:rPr>
        <w:t xml:space="preserve"> </w:t>
      </w:r>
      <w:r>
        <w:rPr>
          <w:bCs/>
        </w:rPr>
        <w:t xml:space="preserve">delay period of 2016 through </w:t>
      </w:r>
      <w:r w:rsidR="003C6B97">
        <w:rPr>
          <w:bCs/>
        </w:rPr>
        <w:t>2024</w:t>
      </w:r>
      <w:r w:rsidR="006037F1">
        <w:rPr>
          <w:bCs/>
        </w:rPr>
        <w:t xml:space="preserve">, </w:t>
      </w:r>
      <w:r w:rsidR="000A335C">
        <w:rPr>
          <w:bCs/>
        </w:rPr>
        <w:t xml:space="preserve">Staff estimates </w:t>
      </w:r>
      <w:r>
        <w:rPr>
          <w:bCs/>
        </w:rPr>
        <w:t xml:space="preserve">the Company will collect </w:t>
      </w:r>
      <w:r w:rsidRPr="001B28D6">
        <w:rPr>
          <w:bCs/>
        </w:rPr>
        <w:t>$</w:t>
      </w:r>
      <w:r w:rsidR="005014E5" w:rsidRPr="00A8524D">
        <w:rPr>
          <w:bCs/>
        </w:rPr>
        <w:t>3.</w:t>
      </w:r>
      <w:r w:rsidR="004815E4">
        <w:rPr>
          <w:bCs/>
        </w:rPr>
        <w:t>5</w:t>
      </w:r>
      <w:r w:rsidR="004815E4" w:rsidRPr="001B28D6">
        <w:rPr>
          <w:bCs/>
        </w:rPr>
        <w:t xml:space="preserve"> </w:t>
      </w:r>
      <w:r w:rsidRPr="001B28D6">
        <w:rPr>
          <w:bCs/>
        </w:rPr>
        <w:t xml:space="preserve">billion </w:t>
      </w:r>
      <w:r w:rsidR="00CB0B8F" w:rsidRPr="001B28D6">
        <w:rPr>
          <w:bCs/>
        </w:rPr>
        <w:t xml:space="preserve">more </w:t>
      </w:r>
      <w:r w:rsidRPr="001B28D6">
        <w:rPr>
          <w:bCs/>
        </w:rPr>
        <w:t xml:space="preserve">from ratepayers due </w:t>
      </w:r>
      <w:r w:rsidR="00446BE6">
        <w:rPr>
          <w:bCs/>
        </w:rPr>
        <w:t xml:space="preserve">solely </w:t>
      </w:r>
      <w:r w:rsidRPr="001B28D6">
        <w:rPr>
          <w:bCs/>
        </w:rPr>
        <w:t xml:space="preserve">to </w:t>
      </w:r>
      <w:r w:rsidR="00CB0B8F" w:rsidRPr="001B28D6">
        <w:rPr>
          <w:bCs/>
        </w:rPr>
        <w:t xml:space="preserve">the </w:t>
      </w:r>
      <w:r w:rsidRPr="001B28D6">
        <w:rPr>
          <w:bCs/>
        </w:rPr>
        <w:t>increase</w:t>
      </w:r>
      <w:r w:rsidR="00446BE6">
        <w:rPr>
          <w:bCs/>
        </w:rPr>
        <w:t>s</w:t>
      </w:r>
      <w:r w:rsidRPr="001B28D6">
        <w:rPr>
          <w:bCs/>
        </w:rPr>
        <w:t xml:space="preserve"> in NCCR tariff collections ($</w:t>
      </w:r>
      <w:r w:rsidR="005014E5" w:rsidRPr="00A8524D">
        <w:rPr>
          <w:bCs/>
        </w:rPr>
        <w:t>2.</w:t>
      </w:r>
      <w:r w:rsidR="004815E4">
        <w:rPr>
          <w:bCs/>
        </w:rPr>
        <w:t>1</w:t>
      </w:r>
      <w:r w:rsidR="004815E4" w:rsidRPr="001B28D6">
        <w:rPr>
          <w:bCs/>
        </w:rPr>
        <w:t xml:space="preserve"> </w:t>
      </w:r>
      <w:r w:rsidRPr="001B28D6">
        <w:rPr>
          <w:bCs/>
        </w:rPr>
        <w:t xml:space="preserve">billion) and higher fuel </w:t>
      </w:r>
      <w:r w:rsidR="004626A5">
        <w:rPr>
          <w:bCs/>
        </w:rPr>
        <w:t xml:space="preserve">expenses ($1.4 billion) </w:t>
      </w:r>
      <w:r w:rsidRPr="00B12981">
        <w:rPr>
          <w:bCs/>
        </w:rPr>
        <w:t>tha</w:t>
      </w:r>
      <w:r w:rsidR="00CB0B8F">
        <w:rPr>
          <w:bCs/>
        </w:rPr>
        <w:t>n</w:t>
      </w:r>
      <w:r w:rsidRPr="00B12981">
        <w:rPr>
          <w:bCs/>
        </w:rPr>
        <w:t xml:space="preserve"> </w:t>
      </w:r>
      <w:r w:rsidR="00CB0B8F">
        <w:rPr>
          <w:bCs/>
        </w:rPr>
        <w:t xml:space="preserve">what </w:t>
      </w:r>
      <w:r w:rsidRPr="00B12981">
        <w:rPr>
          <w:bCs/>
        </w:rPr>
        <w:t>would</w:t>
      </w:r>
      <w:r>
        <w:rPr>
          <w:bCs/>
        </w:rPr>
        <w:t xml:space="preserve"> have been </w:t>
      </w:r>
      <w:r w:rsidR="00CB0B8F">
        <w:rPr>
          <w:bCs/>
        </w:rPr>
        <w:t>collected</w:t>
      </w:r>
      <w:r>
        <w:rPr>
          <w:bCs/>
        </w:rPr>
        <w:t xml:space="preserve"> had the Units been completed on time.</w:t>
      </w:r>
      <w:r w:rsidR="005467FB">
        <w:rPr>
          <w:rStyle w:val="FootnoteReference"/>
          <w:bCs/>
        </w:rPr>
        <w:footnoteReference w:id="16"/>
      </w:r>
      <w:r w:rsidR="00446BE6">
        <w:rPr>
          <w:bCs/>
        </w:rPr>
        <w:t xml:space="preserve">  When the proper analysis is performed, during the full delay period of 2016 through 2024, there are additional costs that have and will be imposed on customers, such as the loss of bonus tax depreciation</w:t>
      </w:r>
      <w:r w:rsidR="004626A5">
        <w:rPr>
          <w:bCs/>
        </w:rPr>
        <w:t xml:space="preserve"> that was available on plant additions through December 31, 2017, but no longer is available to the Company due to the repeated schedule delays.</w:t>
      </w:r>
    </w:p>
    <w:p w14:paraId="3137F319" w14:textId="77777777" w:rsidR="00166CFC" w:rsidRDefault="00166CFC" w:rsidP="00352C96">
      <w:pPr>
        <w:spacing w:after="120" w:line="360" w:lineRule="auto"/>
        <w:ind w:left="720" w:hanging="720"/>
        <w:rPr>
          <w:bCs/>
        </w:rPr>
      </w:pPr>
    </w:p>
    <w:p w14:paraId="6562281B" w14:textId="77777777" w:rsidR="00166CFC" w:rsidRDefault="00166CFC" w:rsidP="007D226E">
      <w:pPr>
        <w:pStyle w:val="Heading1"/>
        <w:numPr>
          <w:ilvl w:val="0"/>
          <w:numId w:val="17"/>
        </w:numPr>
        <w:spacing w:line="480" w:lineRule="auto"/>
        <w:rPr>
          <w:sz w:val="24"/>
          <w:szCs w:val="24"/>
        </w:rPr>
      </w:pPr>
      <w:bookmarkStart w:id="15" w:name="_Toc138321006"/>
      <w:r>
        <w:rPr>
          <w:sz w:val="24"/>
          <w:szCs w:val="24"/>
        </w:rPr>
        <w:t>RATEMAKING ISSUES</w:t>
      </w:r>
      <w:bookmarkEnd w:id="15"/>
    </w:p>
    <w:p w14:paraId="01A9901E" w14:textId="77777777" w:rsidR="00166CFC" w:rsidRDefault="00166CFC" w:rsidP="00166CFC">
      <w:pPr>
        <w:spacing w:after="120" w:line="360" w:lineRule="auto"/>
        <w:ind w:left="720" w:hanging="720"/>
        <w:rPr>
          <w:b/>
          <w:bCs/>
        </w:rPr>
      </w:pPr>
      <w:r>
        <w:rPr>
          <w:b/>
          <w:bCs/>
        </w:rPr>
        <w:t>Q.</w:t>
      </w:r>
      <w:r>
        <w:rPr>
          <w:b/>
          <w:bCs/>
        </w:rPr>
        <w:tab/>
        <w:t>DID THE COMPANY’S MATERIALLY INACCURATE COST ESTIMATES AT CERTIFICATION AND VCM PROCEEDINGS IMPACT ITS AND STAFF’S ECONOMIC ANALYSES?</w:t>
      </w:r>
    </w:p>
    <w:p w14:paraId="08E0FEC8" w14:textId="77777777" w:rsidR="003D7608" w:rsidRDefault="00166CFC" w:rsidP="00166CFC">
      <w:pPr>
        <w:spacing w:after="120" w:line="360" w:lineRule="auto"/>
        <w:ind w:left="720" w:hanging="720"/>
      </w:pPr>
      <w:r w:rsidRPr="00BD35B5">
        <w:t>A.</w:t>
      </w:r>
      <w:r w:rsidRPr="00BD35B5">
        <w:tab/>
      </w:r>
      <w:r w:rsidRPr="005C234A">
        <w:t>Yes. The Company grossly under-estimated the costs of Vogtle 3 and 4 in its filings and testimony to the Commission during at least the first thirteen years of the Project</w:t>
      </w:r>
      <w:r>
        <w:t xml:space="preserve">. This started at certification when the Company went so far as to testify that no contingency was needed despite the scope and magnitude of the Project. The Company provided eleven cost estimates (certification and ten revisions) prior to and during construction of the Project, and at least the first ten were materially inaccurate. Due to the fact that the Company provided inaccurate cost information, both the Company’s and the Staff’s economic analyses, conclusions, and recommendations were inaccurate. Staff and the </w:t>
      </w:r>
      <w:r w:rsidRPr="005C234A">
        <w:t>Commission relied on the Company’s cost estimates and economic analyses</w:t>
      </w:r>
      <w:r>
        <w:t xml:space="preserve">, which were </w:t>
      </w:r>
      <w:r w:rsidRPr="005C234A">
        <w:t>based on the materially inaccurate estimates of the incremental cost to complete and CODs</w:t>
      </w:r>
      <w:r>
        <w:t>,</w:t>
      </w:r>
      <w:r w:rsidRPr="005C234A">
        <w:t xml:space="preserve"> to approve construction expenditures and to allow the Company to continue construction</w:t>
      </w:r>
      <w:r>
        <w:t>.</w:t>
      </w:r>
    </w:p>
    <w:p w14:paraId="378CBF7D" w14:textId="1706516D" w:rsidR="003D7608" w:rsidRDefault="003D7608" w:rsidP="003D7608">
      <w:pPr>
        <w:spacing w:after="120" w:line="360" w:lineRule="auto"/>
        <w:ind w:left="720" w:hanging="720"/>
        <w:rPr>
          <w:b/>
          <w:bCs/>
        </w:rPr>
      </w:pPr>
      <w:r>
        <w:rPr>
          <w:b/>
          <w:bCs/>
        </w:rPr>
        <w:t>Q.</w:t>
      </w:r>
      <w:r>
        <w:rPr>
          <w:b/>
          <w:bCs/>
        </w:rPr>
        <w:tab/>
        <w:t>HOW DO THE MATERIAL COST AND SCHEDULE REVISIONS REFLECT ON MANAGEMENT’S PERFORMANCE?</w:t>
      </w:r>
    </w:p>
    <w:p w14:paraId="4C9BA602" w14:textId="273344C8" w:rsidR="00D505C2" w:rsidRDefault="003D7608" w:rsidP="003D7608">
      <w:pPr>
        <w:spacing w:after="120" w:line="360" w:lineRule="auto"/>
        <w:ind w:left="720" w:hanging="720"/>
        <w:rPr>
          <w:bCs/>
        </w:rPr>
      </w:pPr>
      <w:r w:rsidRPr="00BD35B5">
        <w:t>A.</w:t>
      </w:r>
      <w:r w:rsidRPr="00BD35B5">
        <w:tab/>
      </w:r>
      <w:r>
        <w:t xml:space="preserve">Effective management would understand its own capabilities and those of its contractors or agents. The constant and material cost and schedule revisions indicates this was not the case. </w:t>
      </w:r>
      <w:r w:rsidRPr="005C234A">
        <w:t>Management consistently overestimated the ability and performance of its agents and contractors</w:t>
      </w:r>
      <w:r>
        <w:t>,</w:t>
      </w:r>
      <w:r w:rsidRPr="005C234A">
        <w:t xml:space="preserve"> and its </w:t>
      </w:r>
      <w:r>
        <w:t xml:space="preserve">own </w:t>
      </w:r>
      <w:r w:rsidRPr="005C234A">
        <w:t>ability to provide effective oversight. This occurred when the EPC Agreement with the Consortium was in effect and continued when Southern Nuclear took over the Project in 2017.</w:t>
      </w:r>
      <w:r>
        <w:t xml:space="preserve"> In summary</w:t>
      </w:r>
      <w:r w:rsidR="00D8115E">
        <w:t>,</w:t>
      </w:r>
      <w:r>
        <w:t xml:space="preserve"> management </w:t>
      </w:r>
      <w:r w:rsidR="00D8115E">
        <w:t>could not accurately assess the status of the Project at certification and throughout the VCMs.</w:t>
      </w:r>
    </w:p>
    <w:p w14:paraId="2102C9EE" w14:textId="761F2EBC" w:rsidR="00606680" w:rsidRPr="00250136" w:rsidRDefault="00606680" w:rsidP="00D32F47">
      <w:pPr>
        <w:spacing w:after="120" w:line="360" w:lineRule="auto"/>
        <w:rPr>
          <w:b/>
          <w:bCs/>
        </w:rPr>
      </w:pPr>
      <w:bookmarkStart w:id="16" w:name="_Hlk498266572"/>
      <w:bookmarkEnd w:id="5"/>
      <w:bookmarkEnd w:id="9"/>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6"/>
      <w:r w:rsidR="00F5690B">
        <w:t xml:space="preserve"> </w:t>
      </w:r>
    </w:p>
    <w:p w14:paraId="1EAEAE9D" w14:textId="3C4C980C" w:rsidR="006E1B9A" w:rsidRDefault="006E1B9A" w:rsidP="00686893">
      <w:pPr>
        <w:spacing w:after="120" w:line="360" w:lineRule="auto"/>
        <w:sectPr w:rsidR="006E1B9A" w:rsidSect="00B14E6B">
          <w:headerReference w:type="default" r:id="rId10"/>
          <w:footerReference w:type="default" r:id="rId11"/>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18F9EB72"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400085" w:rsidRPr="00437279" w14:paraId="3F41E818" w14:textId="77777777" w:rsidTr="007B6D8B">
        <w:trPr>
          <w:gridAfter w:val="1"/>
          <w:wAfter w:w="486" w:type="dxa"/>
        </w:trPr>
        <w:tc>
          <w:tcPr>
            <w:tcW w:w="5148" w:type="dxa"/>
          </w:tcPr>
          <w:p w14:paraId="7D196009" w14:textId="25BEB9CF"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D07862">
              <w:rPr>
                <w:b/>
                <w:bCs/>
              </w:rPr>
              <w:t xml:space="preserve">EIGHTH </w:t>
            </w:r>
            <w:r w:rsidRPr="00437279">
              <w:rPr>
                <w:b/>
                <w:bCs/>
              </w:rPr>
              <w:t>SEMI</w:t>
            </w:r>
            <w:r>
              <w:rPr>
                <w:b/>
                <w:bCs/>
              </w:rPr>
              <w:t>-</w:t>
            </w:r>
            <w:r w:rsidRPr="00437279">
              <w:rPr>
                <w:b/>
                <w:bCs/>
              </w:rPr>
              <w:t>ANNUAL VOGTLE CONSTRUCTION MONITORING REPORT</w:t>
            </w:r>
          </w:p>
        </w:tc>
        <w:tc>
          <w:tcPr>
            <w:tcW w:w="3942" w:type="dxa"/>
          </w:tcPr>
          <w:p w14:paraId="51862338" w14:textId="77777777" w:rsidR="00400085" w:rsidRPr="00437279" w:rsidRDefault="00400085" w:rsidP="007B6D8B">
            <w:pPr>
              <w:suppressLineNumbers/>
              <w:tabs>
                <w:tab w:val="left" w:pos="6930"/>
              </w:tabs>
              <w:jc w:val="right"/>
              <w:rPr>
                <w:b/>
                <w:bCs/>
              </w:rPr>
            </w:pPr>
          </w:p>
          <w:p w14:paraId="2201EF31" w14:textId="77777777" w:rsidR="00400085" w:rsidRPr="00437279" w:rsidRDefault="00400085" w:rsidP="007B6D8B">
            <w:pPr>
              <w:suppressLineNumbers/>
              <w:tabs>
                <w:tab w:val="left" w:pos="6930"/>
              </w:tabs>
              <w:ind w:hanging="3725"/>
              <w:jc w:val="right"/>
              <w:rPr>
                <w:b/>
                <w:bCs/>
              </w:rPr>
            </w:pPr>
            <w:r w:rsidRPr="00437279">
              <w:rPr>
                <w:b/>
                <w:bCs/>
              </w:rPr>
              <w:t>DOCKET NO. 29849</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2"/>
          <w:footerReference w:type="first" r:id="rId13"/>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t>Malanos</w:t>
      </w:r>
      <w:proofErr w:type="spellEnd"/>
      <w: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t>Midrex</w:t>
      </w:r>
      <w:proofErr w:type="spellEnd"/>
      <w:r>
        <w:t xml:space="preserve">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6F6AF67A" w:rsidR="00400085" w:rsidRDefault="00400085" w:rsidP="00400085">
      <w:r>
        <w:t xml:space="preserve">Mr. Newsome </w:t>
      </w:r>
      <w:r>
        <w:rPr>
          <w:color w:val="000000"/>
        </w:rPr>
        <w:t xml:space="preserve">has testified in </w:t>
      </w:r>
      <w:r w:rsidR="005C234A">
        <w:rPr>
          <w:color w:val="000000"/>
        </w:rPr>
        <w:t xml:space="preserve">twenty </w:t>
      </w:r>
      <w:r w:rsidR="00555269">
        <w:rPr>
          <w:color w:val="000000"/>
        </w:rPr>
        <w:t>two</w:t>
      </w:r>
      <w:r w:rsidR="005C234A">
        <w:rPr>
          <w:color w:val="000000"/>
        </w:rPr>
        <w:t xml:space="preserve"> </w:t>
      </w:r>
      <w:r>
        <w:rPr>
          <w:color w:val="000000"/>
        </w:rPr>
        <w:t xml:space="preserve">Georgia Power Company (“Company” or “Georgia Power”) proceedings before the Commission.  </w:t>
      </w:r>
      <w:r w:rsidR="00555269">
        <w:rPr>
          <w:color w:val="000000"/>
        </w:rPr>
        <w:t>Mr. Newsome’s most recent testimony was in Docket 44902 Fuel Cost Recovery (FCR-26). Prior to that Mr. Newsome’s testified in</w:t>
      </w:r>
      <w:r w:rsidR="00B610B5">
        <w:rPr>
          <w:color w:val="000000"/>
        </w:rPr>
        <w:t xml:space="preserve"> </w:t>
      </w:r>
      <w:r w:rsidR="005C234A">
        <w:rPr>
          <w:color w:val="000000"/>
        </w:rPr>
        <w:t>Docket 29849 26</w:t>
      </w:r>
      <w:r w:rsidR="005C234A">
        <w:rPr>
          <w:color w:val="000000"/>
          <w:vertAlign w:val="superscript"/>
        </w:rPr>
        <w:t>th</w:t>
      </w:r>
      <w:r w:rsidR="005C234A">
        <w:rPr>
          <w:color w:val="000000"/>
        </w:rPr>
        <w:t xml:space="preserve"> </w:t>
      </w:r>
      <w:r w:rsidR="00555269">
        <w:rPr>
          <w:color w:val="000000"/>
        </w:rPr>
        <w:t>and 27</w:t>
      </w:r>
      <w:r w:rsidR="00555269" w:rsidRPr="00555269">
        <w:rPr>
          <w:color w:val="000000"/>
          <w:vertAlign w:val="superscript"/>
        </w:rPr>
        <w:t>th</w:t>
      </w:r>
      <w:r w:rsidR="00555269">
        <w:rPr>
          <w:color w:val="000000"/>
        </w:rPr>
        <w:t xml:space="preserve"> </w:t>
      </w:r>
      <w:r w:rsidR="005C234A">
        <w:rPr>
          <w:color w:val="000000"/>
        </w:rPr>
        <w:t xml:space="preserve">Vogtle Construction Monitoring (“VCM”). Prior to that Mr. Newsome testified </w:t>
      </w:r>
      <w:r w:rsidR="00DA6ECB">
        <w:rPr>
          <w:color w:val="000000"/>
        </w:rPr>
        <w:t>in</w:t>
      </w:r>
      <w:r w:rsidR="00BB041D">
        <w:rPr>
          <w:color w:val="000000"/>
        </w:rPr>
        <w:t xml:space="preserve"> Docket </w:t>
      </w:r>
      <w:r w:rsidR="0059312F">
        <w:rPr>
          <w:color w:val="000000"/>
        </w:rPr>
        <w:t>44160</w:t>
      </w:r>
      <w:r w:rsidR="00BB041D">
        <w:rPr>
          <w:color w:val="000000"/>
        </w:rPr>
        <w:t xml:space="preserve"> Integrated Resources Planning on supply side resources.</w:t>
      </w:r>
      <w:r w:rsidR="0059312F">
        <w:rPr>
          <w:color w:val="000000"/>
        </w:rPr>
        <w:t xml:space="preserve"> </w:t>
      </w:r>
      <w:r w:rsidR="00BB041D">
        <w:rPr>
          <w:color w:val="000000"/>
        </w:rPr>
        <w:t>Prior to that Mr. Newsome testified in</w:t>
      </w:r>
      <w:r w:rsidR="00DA6ECB">
        <w:rPr>
          <w:color w:val="000000"/>
        </w:rPr>
        <w:t xml:space="preserve"> Docket 29849 23</w:t>
      </w:r>
      <w:r w:rsidR="00DA6ECB" w:rsidRPr="00DA6ECB">
        <w:rPr>
          <w:color w:val="000000"/>
          <w:vertAlign w:val="superscript"/>
        </w:rPr>
        <w:t>rd</w:t>
      </w:r>
      <w:r w:rsidR="00DA6ECB">
        <w:rPr>
          <w:color w:val="000000"/>
        </w:rPr>
        <w:t xml:space="preserve"> Vogtle Construction Monitoring (“VCM”)</w:t>
      </w:r>
      <w:r w:rsidR="00BB041D">
        <w:rPr>
          <w:color w:val="000000"/>
        </w:rPr>
        <w:t>,</w:t>
      </w:r>
      <w:r w:rsidR="00DA6ECB">
        <w:rPr>
          <w:color w:val="000000"/>
        </w:rPr>
        <w:t xml:space="preserve"> </w:t>
      </w:r>
      <w:r w:rsidR="0088798E">
        <w:rPr>
          <w:color w:val="000000"/>
        </w:rPr>
        <w:t>24</w:t>
      </w:r>
      <w:r w:rsidR="0088798E" w:rsidRPr="0088798E">
        <w:rPr>
          <w:color w:val="000000"/>
          <w:vertAlign w:val="superscript"/>
        </w:rPr>
        <w:t>th</w:t>
      </w:r>
      <w:r w:rsidR="0088798E">
        <w:rPr>
          <w:color w:val="000000"/>
        </w:rPr>
        <w:t xml:space="preserve"> VCM </w:t>
      </w:r>
      <w:r w:rsidR="00BB041D">
        <w:rPr>
          <w:color w:val="000000"/>
        </w:rPr>
        <w:t>and 25</w:t>
      </w:r>
      <w:r w:rsidR="00BB041D" w:rsidRPr="00BB041D">
        <w:rPr>
          <w:color w:val="000000"/>
          <w:vertAlign w:val="superscript"/>
        </w:rPr>
        <w:t>th</w:t>
      </w:r>
      <w:r w:rsidR="00BB041D">
        <w:rPr>
          <w:color w:val="000000"/>
        </w:rPr>
        <w:t xml:space="preserve"> VCM </w:t>
      </w:r>
      <w:r w:rsidR="00DA6ECB">
        <w:rPr>
          <w:color w:val="000000"/>
        </w:rPr>
        <w:t>on Vogtle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Vogtle Construction Monitoring (“VCM”) on Vogtle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4"/>
          <w:footerReference w:type="default" r:id="rId15"/>
          <w:headerReference w:type="first" r:id="rId16"/>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65544D26"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w:t>
            </w:r>
            <w:r w:rsidR="00C0373E">
              <w:rPr>
                <w:b/>
                <w:bCs/>
              </w:rPr>
              <w:t xml:space="preserve">EIGHTH </w:t>
            </w:r>
            <w:r>
              <w:rPr>
                <w:b/>
                <w:bCs/>
              </w:rPr>
              <w:t>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8D6FF5">
      <w:pPr>
        <w:spacing w:after="240" w:line="360" w:lineRule="auto"/>
        <w:sectPr w:rsidR="00A84D71" w:rsidSect="008D6FF5">
          <w:headerReference w:type="default" r:id="rId17"/>
          <w:footerReference w:type="default" r:id="rId18"/>
          <w:footerReference w:type="first" r:id="rId19"/>
          <w:endnotePr>
            <w:numFmt w:val="decimal"/>
          </w:endnotePr>
          <w:type w:val="continuous"/>
          <w:pgSz w:w="12240" w:h="15840" w:code="1"/>
          <w:pgMar w:top="1440" w:right="1440" w:bottom="1728" w:left="1440" w:header="1440" w:footer="720" w:gutter="0"/>
          <w:pgNumType w:start="0"/>
          <w:cols w:space="720"/>
          <w:noEndnote/>
          <w:docGrid w:linePitch="326"/>
        </w:sectPr>
      </w:pPr>
    </w:p>
    <w:p w14:paraId="6FE40457" w14:textId="77777777" w:rsidR="00A84D71" w:rsidRPr="00032000" w:rsidRDefault="00A84D71" w:rsidP="00A84D71">
      <w:pPr>
        <w:rPr>
          <w:u w:val="single"/>
        </w:rPr>
      </w:pPr>
      <w:bookmarkStart w:id="17" w:name="_Toc452130853"/>
      <w:r w:rsidRPr="00032000">
        <w:rPr>
          <w:b/>
          <w:u w:val="single"/>
        </w:rPr>
        <w:t>EDUCATION/CERTIFICATION</w:t>
      </w:r>
      <w:bookmarkEnd w:id="17"/>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w:t>
      </w:r>
      <w:proofErr w:type="spellStart"/>
      <w:r w:rsidRPr="00437279">
        <w:rPr>
          <w:spacing w:val="-2"/>
        </w:rPr>
        <w:t>Ventyx</w:t>
      </w:r>
      <w:proofErr w:type="spellEnd"/>
      <w:r w:rsidRPr="00437279">
        <w:rPr>
          <w:spacing w:val="-2"/>
        </w:rPr>
        <w:t xml:space="preserve">,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w:t>
      </w:r>
      <w:proofErr w:type="spellStart"/>
      <w:r w:rsidRPr="00437279">
        <w:rPr>
          <w:spacing w:val="-2"/>
        </w:rPr>
        <w:t>Hayet’s</w:t>
      </w:r>
      <w:proofErr w:type="spellEnd"/>
      <w:r w:rsidRPr="00437279">
        <w:rPr>
          <w:spacing w:val="-2"/>
        </w:rPr>
        <w:t xml:space="preserve">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w:t>
      </w:r>
      <w:proofErr w:type="spellStart"/>
      <w:r>
        <w:rPr>
          <w:b/>
          <w:bCs/>
          <w:spacing w:val="-2"/>
        </w:rPr>
        <w:t>Ventyx</w:t>
      </w:r>
      <w:proofErr w:type="spellEnd"/>
      <w:r>
        <w:rPr>
          <w:b/>
          <w:bCs/>
          <w:spacing w:val="-2"/>
        </w:rPr>
        <w:t>)</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proofErr w:type="spellStart"/>
            <w:r w:rsidRPr="00327CFE">
              <w:rPr>
                <w:b/>
                <w:sz w:val="22"/>
                <w:szCs w:val="22"/>
              </w:rPr>
              <w:t>Jurisdict</w:t>
            </w:r>
            <w:proofErr w:type="spellEnd"/>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 xml:space="preserve">U-27136 </w:t>
            </w:r>
            <w:proofErr w:type="spellStart"/>
            <w:r w:rsidRPr="005F2B54">
              <w:rPr>
                <w:rFonts w:cs="Calibri"/>
                <w:sz w:val="20"/>
                <w:szCs w:val="20"/>
              </w:rPr>
              <w:t>Subdocket</w:t>
            </w:r>
            <w:proofErr w:type="spellEnd"/>
            <w:r w:rsidRPr="005F2B54">
              <w:rPr>
                <w:rFonts w:cs="Calibri"/>
                <w:sz w:val="20"/>
                <w:szCs w:val="20"/>
              </w:rPr>
              <w:t xml:space="preserve">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r w:rsidRPr="005F2B54">
              <w:rPr>
                <w:sz w:val="20"/>
                <w:szCs w:val="20"/>
              </w:rPr>
              <w:t>Cleco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r>
              <w:rPr>
                <w:spacing w:val="-2"/>
                <w:sz w:val="20"/>
                <w:szCs w:val="20"/>
              </w:rPr>
              <w:t>Vogtle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Cleco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Application to acquire the Oxbow Mine to supply </w:t>
            </w:r>
            <w:proofErr w:type="spellStart"/>
            <w:r w:rsidRPr="005F2B54">
              <w:rPr>
                <w:spacing w:val="-2"/>
                <w:sz w:val="20"/>
                <w:szCs w:val="20"/>
              </w:rPr>
              <w:t>Dolet</w:t>
            </w:r>
            <w:proofErr w:type="spellEnd"/>
            <w:r w:rsidRPr="005F2B54">
              <w:rPr>
                <w:spacing w:val="-2"/>
                <w:sz w:val="20"/>
                <w:szCs w:val="20"/>
              </w:rPr>
              <w:t xml:space="preserve">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Large Power Intervenors</w:t>
            </w:r>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Semi-Annual Vogtle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Semi-Annual Vogtle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Semi-Annual Vogtle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Semi-Annual Vogtle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r w:rsidRPr="005F2B54">
              <w:rPr>
                <w:spacing w:val="-2"/>
                <w:sz w:val="20"/>
                <w:szCs w:val="20"/>
              </w:rPr>
              <w:t>Cleco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Fifth Semi-Annual Vogtle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Certification of environmental upgrades at Naughton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Vogtle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Semi-Annual Vogtle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(Agrilectric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Semi-Annual Vogtle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Semi-Annual Vogtle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Eleventh Semi-Annual Vogtle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Twelfth Semi-Annual Vogtle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Thirteenth Semi-Annual Vogtle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Fourteenth Semi-Annual Vogtle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Renewable Energy Services Contract between Rocky Mountain Power and Facebook, Inc</w:t>
            </w:r>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Fifteenth Semi-Annual Vogtle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Sixteenth Semi-Annual Vogtle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Surrebuttal</w:t>
            </w:r>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Eighteenth Semi-Annual Vogtle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Vectren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Nineteenth Semi-Annual Vogtle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Twenty/Twenty-First Semi-Annual Vogtle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32BCD99D" w:rsidR="00A84D71" w:rsidRDefault="00DE787B"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r w:rsidR="006F0BEE" w:rsidRPr="00CD0F75" w14:paraId="3D129A03" w14:textId="77777777" w:rsidTr="006F0BEE">
        <w:trPr>
          <w:cantSplit/>
          <w:trHeight w:val="138"/>
        </w:trPr>
        <w:tc>
          <w:tcPr>
            <w:tcW w:w="738" w:type="dxa"/>
            <w:shd w:val="clear" w:color="auto" w:fill="auto"/>
          </w:tcPr>
          <w:p w14:paraId="36B8252F" w14:textId="72D0B89F" w:rsidR="006F0BEE" w:rsidRDefault="006F0BEE" w:rsidP="00FE15A8">
            <w:pPr>
              <w:spacing w:before="60" w:after="100"/>
              <w:jc w:val="left"/>
              <w:rPr>
                <w:rFonts w:cs="Calibri"/>
                <w:spacing w:val="-2"/>
                <w:sz w:val="20"/>
              </w:rPr>
            </w:pPr>
            <w:r>
              <w:rPr>
                <w:rFonts w:cs="Calibri"/>
                <w:spacing w:val="-2"/>
                <w:sz w:val="20"/>
              </w:rPr>
              <w:t>6/20</w:t>
            </w:r>
          </w:p>
        </w:tc>
        <w:tc>
          <w:tcPr>
            <w:tcW w:w="1254" w:type="dxa"/>
            <w:shd w:val="clear" w:color="auto" w:fill="auto"/>
          </w:tcPr>
          <w:p w14:paraId="517748CD" w14:textId="2C83ED2A" w:rsidR="006F0BEE" w:rsidRDefault="00DE787B" w:rsidP="00FE15A8">
            <w:pPr>
              <w:keepNext/>
              <w:keepLines/>
              <w:pageBreakBefore/>
              <w:spacing w:before="60" w:after="100"/>
              <w:jc w:val="left"/>
              <w:rPr>
                <w:rFonts w:cs="Calibri"/>
                <w:spacing w:val="-2"/>
                <w:sz w:val="20"/>
              </w:rPr>
            </w:pPr>
            <w:r>
              <w:rPr>
                <w:rFonts w:cs="Calibri"/>
                <w:spacing w:val="-2"/>
                <w:sz w:val="20"/>
              </w:rPr>
              <w:t>29849</w:t>
            </w:r>
            <w:r w:rsidR="006F0BEE">
              <w:rPr>
                <w:rFonts w:cs="Calibri"/>
                <w:spacing w:val="-2"/>
                <w:sz w:val="20"/>
              </w:rPr>
              <w:t>-U</w:t>
            </w:r>
          </w:p>
        </w:tc>
        <w:tc>
          <w:tcPr>
            <w:tcW w:w="1086" w:type="dxa"/>
            <w:shd w:val="clear" w:color="auto" w:fill="auto"/>
          </w:tcPr>
          <w:p w14:paraId="6830BA4F" w14:textId="4D4FB976" w:rsidR="006F0BEE" w:rsidRDefault="006F0BEE"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06860BC" w14:textId="77777777" w:rsidR="006F0BEE" w:rsidRPr="00EB5B3C" w:rsidRDefault="006F0BEE"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F53E5B0" w14:textId="77777777" w:rsidR="006F0BEE" w:rsidRPr="00EB5B3C" w:rsidRDefault="006F0BEE"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09F5F2A" w14:textId="6726F2DE" w:rsidR="006F0BEE" w:rsidRDefault="006F0BEE" w:rsidP="00FE15A8">
            <w:pPr>
              <w:spacing w:before="60" w:after="100"/>
              <w:jc w:val="left"/>
              <w:rPr>
                <w:rFonts w:cs="Calibri"/>
                <w:spacing w:val="-2"/>
                <w:sz w:val="20"/>
              </w:rPr>
            </w:pPr>
            <w:r>
              <w:rPr>
                <w:rFonts w:cs="Calibri"/>
                <w:spacing w:val="-2"/>
                <w:sz w:val="20"/>
              </w:rPr>
              <w:t>Twenty-Second Semi-Annual Vogtle Construction Monitoring Report</w:t>
            </w:r>
          </w:p>
        </w:tc>
      </w:tr>
      <w:tr w:rsidR="006F0BEE" w:rsidRPr="00CD0F75" w14:paraId="0C54B0EB" w14:textId="77777777" w:rsidTr="006F0BEE">
        <w:trPr>
          <w:cantSplit/>
          <w:trHeight w:val="138"/>
        </w:trPr>
        <w:tc>
          <w:tcPr>
            <w:tcW w:w="738" w:type="dxa"/>
            <w:shd w:val="clear" w:color="auto" w:fill="auto"/>
          </w:tcPr>
          <w:p w14:paraId="0DAB3112" w14:textId="5503EF70" w:rsidR="006F0BEE" w:rsidRDefault="007642E0" w:rsidP="00FE15A8">
            <w:pPr>
              <w:spacing w:before="60" w:after="100"/>
              <w:jc w:val="left"/>
              <w:rPr>
                <w:rFonts w:cs="Calibri"/>
                <w:spacing w:val="-2"/>
                <w:sz w:val="20"/>
              </w:rPr>
            </w:pPr>
            <w:r>
              <w:rPr>
                <w:rFonts w:cs="Calibri"/>
                <w:spacing w:val="-2"/>
                <w:sz w:val="20"/>
              </w:rPr>
              <w:t>7</w:t>
            </w:r>
            <w:r w:rsidR="006F0BEE">
              <w:rPr>
                <w:rFonts w:cs="Calibri"/>
                <w:spacing w:val="-2"/>
                <w:sz w:val="20"/>
              </w:rPr>
              <w:t>/20</w:t>
            </w:r>
          </w:p>
        </w:tc>
        <w:tc>
          <w:tcPr>
            <w:tcW w:w="1254" w:type="dxa"/>
            <w:shd w:val="clear" w:color="auto" w:fill="auto"/>
          </w:tcPr>
          <w:p w14:paraId="7B863A0E" w14:textId="4FDB427B" w:rsidR="006F0BEE" w:rsidRDefault="006F0BEE" w:rsidP="00FE15A8">
            <w:pPr>
              <w:keepNext/>
              <w:keepLines/>
              <w:pageBreakBefore/>
              <w:spacing w:before="60" w:after="100"/>
              <w:jc w:val="left"/>
              <w:rPr>
                <w:rFonts w:cs="Calibri"/>
                <w:spacing w:val="-2"/>
                <w:sz w:val="20"/>
              </w:rPr>
            </w:pPr>
            <w:r>
              <w:rPr>
                <w:rFonts w:cs="Calibri"/>
                <w:spacing w:val="-2"/>
                <w:sz w:val="20"/>
              </w:rPr>
              <w:t>17-035-61</w:t>
            </w:r>
          </w:p>
        </w:tc>
        <w:tc>
          <w:tcPr>
            <w:tcW w:w="1086" w:type="dxa"/>
            <w:shd w:val="clear" w:color="auto" w:fill="auto"/>
          </w:tcPr>
          <w:p w14:paraId="676E25F7" w14:textId="6F5D4EAA" w:rsidR="006F0BEE" w:rsidRDefault="006F0BEE"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7B370BE" w14:textId="1957747E" w:rsidR="006F0BEE" w:rsidRPr="00EB5B3C" w:rsidRDefault="006F0BEE"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F8CDBE" w14:textId="09F3FA6D"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8F9A5A7" w14:textId="0EF81FE1" w:rsidR="006F0BEE" w:rsidRDefault="006F0BEE" w:rsidP="00FE15A8">
            <w:pPr>
              <w:spacing w:before="60" w:after="100"/>
              <w:jc w:val="left"/>
              <w:rPr>
                <w:rFonts w:cs="Calibri"/>
                <w:spacing w:val="-2"/>
                <w:sz w:val="20"/>
              </w:rPr>
            </w:pPr>
            <w:r>
              <w:rPr>
                <w:rFonts w:cs="Calibri"/>
                <w:spacing w:val="-2"/>
                <w:sz w:val="20"/>
              </w:rPr>
              <w:t>Approval of an Export Credit Rate for Customer Generators (Primarily Rooftop Solar)</w:t>
            </w:r>
          </w:p>
        </w:tc>
      </w:tr>
      <w:tr w:rsidR="007642E0" w:rsidRPr="00CD0F75" w14:paraId="7C610A21" w14:textId="77777777" w:rsidTr="00FE15A8">
        <w:trPr>
          <w:cantSplit/>
          <w:trHeight w:val="138"/>
        </w:trPr>
        <w:tc>
          <w:tcPr>
            <w:tcW w:w="738" w:type="dxa"/>
            <w:shd w:val="clear" w:color="auto" w:fill="auto"/>
          </w:tcPr>
          <w:p w14:paraId="52D288D8" w14:textId="5BB37D95" w:rsidR="007642E0" w:rsidRDefault="007642E0" w:rsidP="00FE15A8">
            <w:pPr>
              <w:spacing w:before="60" w:after="100"/>
              <w:jc w:val="left"/>
              <w:rPr>
                <w:rFonts w:cs="Calibri"/>
                <w:spacing w:val="-2"/>
                <w:sz w:val="20"/>
              </w:rPr>
            </w:pPr>
            <w:r>
              <w:rPr>
                <w:rFonts w:cs="Calibri"/>
                <w:spacing w:val="-2"/>
                <w:sz w:val="20"/>
              </w:rPr>
              <w:t>9/20</w:t>
            </w:r>
          </w:p>
        </w:tc>
        <w:tc>
          <w:tcPr>
            <w:tcW w:w="1254" w:type="dxa"/>
            <w:shd w:val="clear" w:color="auto" w:fill="auto"/>
          </w:tcPr>
          <w:p w14:paraId="71D8B523" w14:textId="5106F3A7" w:rsidR="007642E0" w:rsidRDefault="007642E0" w:rsidP="00FE15A8">
            <w:pPr>
              <w:keepNext/>
              <w:keepLines/>
              <w:pageBreakBefore/>
              <w:spacing w:before="60" w:after="100"/>
              <w:jc w:val="left"/>
              <w:rPr>
                <w:rFonts w:cs="Calibri"/>
                <w:spacing w:val="-2"/>
                <w:sz w:val="20"/>
              </w:rPr>
            </w:pPr>
            <w:r>
              <w:rPr>
                <w:rFonts w:cs="Calibri"/>
                <w:spacing w:val="-2"/>
                <w:sz w:val="20"/>
              </w:rPr>
              <w:t>20-035-04</w:t>
            </w:r>
          </w:p>
        </w:tc>
        <w:tc>
          <w:tcPr>
            <w:tcW w:w="1086" w:type="dxa"/>
            <w:shd w:val="clear" w:color="auto" w:fill="auto"/>
          </w:tcPr>
          <w:p w14:paraId="21A9E46C" w14:textId="77777777" w:rsidR="007642E0"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DACBB82" w14:textId="77777777" w:rsidR="007642E0" w:rsidRPr="00EB5B3C" w:rsidRDefault="007642E0"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36A22D83" w14:textId="487C42A8" w:rsidR="007642E0"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06B8D8C7" w14:textId="78DD14A6" w:rsidR="007642E0" w:rsidRDefault="007642E0" w:rsidP="00FE15A8">
            <w:pPr>
              <w:spacing w:before="60" w:after="100"/>
              <w:jc w:val="left"/>
              <w:rPr>
                <w:rFonts w:cs="Calibri"/>
                <w:spacing w:val="-2"/>
                <w:sz w:val="20"/>
              </w:rPr>
            </w:pPr>
            <w:r>
              <w:rPr>
                <w:rFonts w:cs="Calibri"/>
                <w:spacing w:val="-2"/>
                <w:sz w:val="20"/>
              </w:rPr>
              <w:t>Utah Rate Case</w:t>
            </w:r>
          </w:p>
        </w:tc>
      </w:tr>
      <w:tr w:rsidR="007642E0" w:rsidRPr="00CD0F75" w14:paraId="5B611540" w14:textId="77777777" w:rsidTr="00FE15A8">
        <w:trPr>
          <w:cantSplit/>
          <w:trHeight w:val="138"/>
        </w:trPr>
        <w:tc>
          <w:tcPr>
            <w:tcW w:w="738" w:type="dxa"/>
            <w:shd w:val="clear" w:color="auto" w:fill="auto"/>
          </w:tcPr>
          <w:p w14:paraId="2F0D2BE4"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27598626" w14:textId="77777777" w:rsidR="007642E0" w:rsidRDefault="007642E0" w:rsidP="00FE15A8">
            <w:pPr>
              <w:keepNext/>
              <w:keepLines/>
              <w:pageBreakBefore/>
              <w:spacing w:before="60" w:after="100"/>
              <w:jc w:val="left"/>
              <w:rPr>
                <w:rFonts w:cs="Calibri"/>
                <w:spacing w:val="-2"/>
                <w:sz w:val="20"/>
              </w:rPr>
            </w:pPr>
            <w:r>
              <w:rPr>
                <w:rFonts w:cs="Calibri"/>
                <w:spacing w:val="-2"/>
                <w:sz w:val="20"/>
              </w:rPr>
              <w:t>2019-226-E</w:t>
            </w:r>
          </w:p>
        </w:tc>
        <w:tc>
          <w:tcPr>
            <w:tcW w:w="1086" w:type="dxa"/>
            <w:shd w:val="clear" w:color="auto" w:fill="auto"/>
          </w:tcPr>
          <w:p w14:paraId="307C1BC0"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24415437"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7948960C" w14:textId="77777777" w:rsidR="007642E0" w:rsidRPr="00EB5B3C" w:rsidRDefault="007642E0" w:rsidP="00FE15A8">
            <w:pPr>
              <w:spacing w:before="60" w:after="100"/>
              <w:jc w:val="left"/>
              <w:rPr>
                <w:rFonts w:cs="Calibri"/>
                <w:spacing w:val="-2"/>
                <w:sz w:val="20"/>
                <w:szCs w:val="20"/>
              </w:rPr>
            </w:pPr>
            <w:r>
              <w:rPr>
                <w:rFonts w:cs="Calibri"/>
                <w:spacing w:val="-2"/>
                <w:sz w:val="20"/>
                <w:szCs w:val="20"/>
              </w:rPr>
              <w:t>Dominion Energy South Carolina</w:t>
            </w:r>
          </w:p>
        </w:tc>
        <w:tc>
          <w:tcPr>
            <w:tcW w:w="3446" w:type="dxa"/>
            <w:shd w:val="clear" w:color="auto" w:fill="auto"/>
          </w:tcPr>
          <w:p w14:paraId="70B142EB" w14:textId="77777777" w:rsidR="007642E0" w:rsidRDefault="007642E0" w:rsidP="00FE15A8">
            <w:pPr>
              <w:spacing w:before="60" w:after="100"/>
              <w:jc w:val="left"/>
              <w:rPr>
                <w:rFonts w:cs="Calibri"/>
                <w:spacing w:val="-2"/>
                <w:sz w:val="20"/>
              </w:rPr>
            </w:pPr>
            <w:r>
              <w:rPr>
                <w:rFonts w:cs="Calibri"/>
                <w:spacing w:val="-2"/>
                <w:sz w:val="20"/>
              </w:rPr>
              <w:t>Review of DESC’s 2020 IRP</w:t>
            </w:r>
          </w:p>
        </w:tc>
      </w:tr>
      <w:tr w:rsidR="007642E0" w:rsidRPr="00CD0F75" w14:paraId="4F4B9120" w14:textId="77777777" w:rsidTr="00FE15A8">
        <w:trPr>
          <w:cantSplit/>
          <w:trHeight w:val="138"/>
        </w:trPr>
        <w:tc>
          <w:tcPr>
            <w:tcW w:w="738" w:type="dxa"/>
            <w:shd w:val="clear" w:color="auto" w:fill="auto"/>
          </w:tcPr>
          <w:p w14:paraId="53B852A6"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61478D0F" w14:textId="0726C2D4" w:rsidR="007642E0" w:rsidRDefault="007642E0" w:rsidP="00FE15A8">
            <w:pPr>
              <w:keepNext/>
              <w:keepLines/>
              <w:pageBreakBefore/>
              <w:spacing w:before="60" w:after="100"/>
              <w:jc w:val="left"/>
              <w:rPr>
                <w:rFonts w:cs="Calibri"/>
                <w:spacing w:val="-2"/>
                <w:sz w:val="20"/>
              </w:rPr>
            </w:pPr>
            <w:r>
              <w:rPr>
                <w:rFonts w:cs="Calibri"/>
                <w:spacing w:val="-2"/>
                <w:sz w:val="20"/>
              </w:rPr>
              <w:t>2019-2</w:t>
            </w:r>
            <w:r w:rsidR="00DE787B">
              <w:rPr>
                <w:rFonts w:cs="Calibri"/>
                <w:spacing w:val="-2"/>
                <w:sz w:val="20"/>
              </w:rPr>
              <w:t>27-E</w:t>
            </w:r>
          </w:p>
        </w:tc>
        <w:tc>
          <w:tcPr>
            <w:tcW w:w="1086" w:type="dxa"/>
            <w:shd w:val="clear" w:color="auto" w:fill="auto"/>
          </w:tcPr>
          <w:p w14:paraId="10FB61BA"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16E0D7EB"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4AC80074" w14:textId="6C58BD3D" w:rsidR="007642E0" w:rsidRPr="00EB5B3C" w:rsidRDefault="00DE787B" w:rsidP="00FE15A8">
            <w:pPr>
              <w:spacing w:before="60" w:after="100"/>
              <w:jc w:val="left"/>
              <w:rPr>
                <w:rFonts w:cs="Calibri"/>
                <w:spacing w:val="-2"/>
                <w:sz w:val="20"/>
                <w:szCs w:val="20"/>
              </w:rPr>
            </w:pPr>
            <w:r>
              <w:rPr>
                <w:rFonts w:cs="Calibri"/>
                <w:spacing w:val="-2"/>
                <w:sz w:val="20"/>
                <w:szCs w:val="20"/>
              </w:rPr>
              <w:t>Lockhart Power Company</w:t>
            </w:r>
          </w:p>
        </w:tc>
        <w:tc>
          <w:tcPr>
            <w:tcW w:w="3446" w:type="dxa"/>
            <w:shd w:val="clear" w:color="auto" w:fill="auto"/>
          </w:tcPr>
          <w:p w14:paraId="75C630D0" w14:textId="320F0548" w:rsidR="007642E0" w:rsidRDefault="00DE787B" w:rsidP="00FE15A8">
            <w:pPr>
              <w:spacing w:before="60" w:after="100"/>
              <w:jc w:val="left"/>
              <w:rPr>
                <w:rFonts w:cs="Calibri"/>
                <w:spacing w:val="-2"/>
                <w:sz w:val="20"/>
              </w:rPr>
            </w:pPr>
            <w:r>
              <w:rPr>
                <w:rFonts w:cs="Calibri"/>
                <w:spacing w:val="-2"/>
                <w:sz w:val="20"/>
              </w:rPr>
              <w:t>Review of Lockhart Power Company’s 2020 IRP</w:t>
            </w:r>
          </w:p>
        </w:tc>
      </w:tr>
      <w:tr w:rsidR="00DE787B" w:rsidRPr="00CD0F75" w14:paraId="701F027A" w14:textId="77777777" w:rsidTr="00FE15A8">
        <w:trPr>
          <w:cantSplit/>
          <w:trHeight w:val="138"/>
        </w:trPr>
        <w:tc>
          <w:tcPr>
            <w:tcW w:w="738" w:type="dxa"/>
            <w:shd w:val="clear" w:color="auto" w:fill="auto"/>
          </w:tcPr>
          <w:p w14:paraId="5C2E267E" w14:textId="22415BDD" w:rsidR="00DE787B" w:rsidRDefault="00DE787B" w:rsidP="00FE15A8">
            <w:pPr>
              <w:spacing w:before="60" w:after="100"/>
              <w:jc w:val="left"/>
              <w:rPr>
                <w:rFonts w:cs="Calibri"/>
                <w:spacing w:val="-2"/>
                <w:sz w:val="20"/>
              </w:rPr>
            </w:pPr>
            <w:r>
              <w:rPr>
                <w:rFonts w:cs="Calibri"/>
                <w:spacing w:val="-2"/>
                <w:sz w:val="20"/>
              </w:rPr>
              <w:t>11/20</w:t>
            </w:r>
          </w:p>
        </w:tc>
        <w:tc>
          <w:tcPr>
            <w:tcW w:w="1254" w:type="dxa"/>
            <w:shd w:val="clear" w:color="auto" w:fill="auto"/>
          </w:tcPr>
          <w:p w14:paraId="71879F7D" w14:textId="77777777" w:rsidR="00DE787B" w:rsidRDefault="00DE787B" w:rsidP="00FE15A8">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AFE77F1" w14:textId="77777777" w:rsidR="00DE787B" w:rsidRDefault="00DE787B"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0F4C4A5F" w14:textId="77777777" w:rsidR="00DE787B" w:rsidRPr="00EB5B3C" w:rsidRDefault="00DE787B"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CDCEB0" w14:textId="77777777" w:rsidR="00DE787B" w:rsidRPr="00EB5B3C" w:rsidRDefault="00DE787B"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E7F2E45" w14:textId="39642258" w:rsidR="00DE787B" w:rsidRDefault="00DE787B" w:rsidP="00FE15A8">
            <w:pPr>
              <w:spacing w:before="60" w:after="100"/>
              <w:jc w:val="left"/>
              <w:rPr>
                <w:rFonts w:cs="Calibri"/>
                <w:spacing w:val="-2"/>
                <w:sz w:val="20"/>
              </w:rPr>
            </w:pPr>
            <w:r>
              <w:rPr>
                <w:rFonts w:cs="Calibri"/>
                <w:spacing w:val="-2"/>
                <w:sz w:val="20"/>
              </w:rPr>
              <w:t>Twenty-Third Semi-Annual Vogtle Construction Monitoring Report</w:t>
            </w:r>
          </w:p>
        </w:tc>
      </w:tr>
      <w:tr w:rsidR="006F0BEE" w:rsidRPr="00CD0F75" w14:paraId="1851F67E" w14:textId="77777777" w:rsidTr="006F0BEE">
        <w:trPr>
          <w:cantSplit/>
          <w:trHeight w:val="138"/>
        </w:trPr>
        <w:tc>
          <w:tcPr>
            <w:tcW w:w="738" w:type="dxa"/>
            <w:shd w:val="clear" w:color="auto" w:fill="auto"/>
          </w:tcPr>
          <w:p w14:paraId="02FC9AF1" w14:textId="5E75857E" w:rsidR="006F0BEE" w:rsidRDefault="006F0BEE" w:rsidP="00FE15A8">
            <w:pPr>
              <w:spacing w:before="60" w:after="100"/>
              <w:jc w:val="left"/>
              <w:rPr>
                <w:rFonts w:cs="Calibri"/>
                <w:spacing w:val="-2"/>
                <w:sz w:val="20"/>
              </w:rPr>
            </w:pPr>
            <w:r>
              <w:rPr>
                <w:rFonts w:cs="Calibri"/>
                <w:spacing w:val="-2"/>
                <w:sz w:val="20"/>
              </w:rPr>
              <w:t>1</w:t>
            </w:r>
            <w:r w:rsidR="007642E0">
              <w:rPr>
                <w:rFonts w:cs="Calibri"/>
                <w:spacing w:val="-2"/>
                <w:sz w:val="20"/>
              </w:rPr>
              <w:t>2</w:t>
            </w:r>
            <w:r>
              <w:rPr>
                <w:rFonts w:cs="Calibri"/>
                <w:spacing w:val="-2"/>
                <w:sz w:val="20"/>
              </w:rPr>
              <w:t>/20</w:t>
            </w:r>
          </w:p>
        </w:tc>
        <w:tc>
          <w:tcPr>
            <w:tcW w:w="1254" w:type="dxa"/>
            <w:shd w:val="clear" w:color="auto" w:fill="auto"/>
          </w:tcPr>
          <w:p w14:paraId="2FD0B252" w14:textId="79BB1249" w:rsidR="006F0BEE" w:rsidRDefault="006F0BEE" w:rsidP="00FE15A8">
            <w:pPr>
              <w:keepNext/>
              <w:keepLines/>
              <w:pageBreakBefore/>
              <w:spacing w:before="60" w:after="100"/>
              <w:jc w:val="left"/>
              <w:rPr>
                <w:rFonts w:cs="Calibri"/>
                <w:spacing w:val="-2"/>
                <w:sz w:val="20"/>
              </w:rPr>
            </w:pPr>
            <w:r>
              <w:rPr>
                <w:rFonts w:cs="Calibri"/>
                <w:spacing w:val="-2"/>
                <w:sz w:val="20"/>
              </w:rPr>
              <w:t>20</w:t>
            </w:r>
            <w:r w:rsidR="007642E0">
              <w:rPr>
                <w:rFonts w:cs="Calibri"/>
                <w:spacing w:val="-2"/>
                <w:sz w:val="20"/>
              </w:rPr>
              <w:t>-035-01</w:t>
            </w:r>
          </w:p>
        </w:tc>
        <w:tc>
          <w:tcPr>
            <w:tcW w:w="1086" w:type="dxa"/>
            <w:shd w:val="clear" w:color="auto" w:fill="auto"/>
          </w:tcPr>
          <w:p w14:paraId="7455B20E" w14:textId="2E1E5F33" w:rsidR="006F0BEE"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9CB1C2" w14:textId="5E44484A" w:rsidR="006F0BEE" w:rsidRPr="00EB5B3C" w:rsidRDefault="007642E0" w:rsidP="00FE15A8">
            <w:pPr>
              <w:spacing w:before="60" w:after="100"/>
              <w:jc w:val="left"/>
              <w:rPr>
                <w:spacing w:val="-2"/>
                <w:sz w:val="20"/>
                <w:szCs w:val="20"/>
              </w:rPr>
            </w:pPr>
            <w:r>
              <w:rPr>
                <w:spacing w:val="-2"/>
                <w:sz w:val="20"/>
                <w:szCs w:val="20"/>
              </w:rPr>
              <w:t xml:space="preserve">Utah </w:t>
            </w:r>
            <w:r w:rsidR="006F0BEE">
              <w:rPr>
                <w:spacing w:val="-2"/>
                <w:sz w:val="20"/>
                <w:szCs w:val="20"/>
              </w:rPr>
              <w:t xml:space="preserve">Office of </w:t>
            </w:r>
            <w:r>
              <w:rPr>
                <w:spacing w:val="-2"/>
                <w:sz w:val="20"/>
                <w:szCs w:val="20"/>
              </w:rPr>
              <w:t>Consumer</w:t>
            </w:r>
            <w:r w:rsidR="006F0BEE">
              <w:rPr>
                <w:spacing w:val="-2"/>
                <w:sz w:val="20"/>
                <w:szCs w:val="20"/>
              </w:rPr>
              <w:t xml:space="preserve"> Services</w:t>
            </w:r>
          </w:p>
        </w:tc>
        <w:tc>
          <w:tcPr>
            <w:tcW w:w="1526" w:type="dxa"/>
            <w:shd w:val="clear" w:color="auto" w:fill="auto"/>
          </w:tcPr>
          <w:p w14:paraId="145C1DE5" w14:textId="0E532538"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CF3996F" w14:textId="767461CD" w:rsidR="006F0BEE" w:rsidRDefault="007642E0" w:rsidP="00FE15A8">
            <w:pPr>
              <w:spacing w:before="60" w:after="100"/>
              <w:jc w:val="left"/>
              <w:rPr>
                <w:rFonts w:cs="Calibri"/>
                <w:spacing w:val="-2"/>
                <w:sz w:val="20"/>
              </w:rPr>
            </w:pPr>
            <w:r>
              <w:rPr>
                <w:rFonts w:cs="Calibri"/>
                <w:spacing w:val="-2"/>
                <w:sz w:val="20"/>
              </w:rPr>
              <w:t>Application for Approval of the 2020 Energy Balancing Account</w:t>
            </w:r>
          </w:p>
        </w:tc>
      </w:tr>
      <w:tr w:rsidR="007642E0" w:rsidRPr="00CD0F75" w14:paraId="606CA813" w14:textId="77777777" w:rsidTr="007642E0">
        <w:trPr>
          <w:cantSplit/>
          <w:trHeight w:val="138"/>
        </w:trPr>
        <w:tc>
          <w:tcPr>
            <w:tcW w:w="738" w:type="dxa"/>
            <w:shd w:val="clear" w:color="auto" w:fill="auto"/>
          </w:tcPr>
          <w:p w14:paraId="09A2753D" w14:textId="0E138C8D" w:rsidR="007642E0" w:rsidRDefault="007642E0" w:rsidP="00FE15A8">
            <w:pPr>
              <w:spacing w:before="60" w:after="100"/>
              <w:jc w:val="left"/>
              <w:rPr>
                <w:rFonts w:cs="Calibri"/>
                <w:spacing w:val="-2"/>
                <w:sz w:val="20"/>
              </w:rPr>
            </w:pPr>
            <w:r>
              <w:rPr>
                <w:rFonts w:cs="Calibri"/>
                <w:spacing w:val="-2"/>
                <w:sz w:val="20"/>
              </w:rPr>
              <w:t>2/21</w:t>
            </w:r>
          </w:p>
        </w:tc>
        <w:tc>
          <w:tcPr>
            <w:tcW w:w="1254" w:type="dxa"/>
            <w:shd w:val="clear" w:color="auto" w:fill="auto"/>
          </w:tcPr>
          <w:p w14:paraId="38784B99" w14:textId="57AF06DA" w:rsidR="007642E0" w:rsidRDefault="007642E0" w:rsidP="00FE15A8">
            <w:pPr>
              <w:keepNext/>
              <w:keepLines/>
              <w:pageBreakBefore/>
              <w:spacing w:before="60" w:after="100"/>
              <w:jc w:val="left"/>
              <w:rPr>
                <w:rFonts w:cs="Calibri"/>
                <w:spacing w:val="-2"/>
                <w:sz w:val="20"/>
              </w:rPr>
            </w:pPr>
            <w:r>
              <w:rPr>
                <w:rFonts w:cs="Calibri"/>
                <w:spacing w:val="-2"/>
                <w:sz w:val="20"/>
              </w:rPr>
              <w:t>2019-224 and 225-E</w:t>
            </w:r>
          </w:p>
        </w:tc>
        <w:tc>
          <w:tcPr>
            <w:tcW w:w="1086" w:type="dxa"/>
            <w:shd w:val="clear" w:color="auto" w:fill="auto"/>
          </w:tcPr>
          <w:p w14:paraId="79F90D63" w14:textId="50A96929"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628382E1" w14:textId="6526AF7E"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6A40CB93" w14:textId="15D62C6F" w:rsidR="007642E0" w:rsidRPr="00EB5B3C" w:rsidRDefault="007642E0" w:rsidP="00FE15A8">
            <w:pPr>
              <w:spacing w:before="60" w:after="100"/>
              <w:jc w:val="left"/>
              <w:rPr>
                <w:rFonts w:cs="Calibri"/>
                <w:spacing w:val="-2"/>
                <w:sz w:val="20"/>
                <w:szCs w:val="20"/>
              </w:rPr>
            </w:pPr>
            <w:r>
              <w:rPr>
                <w:rFonts w:cs="Calibri"/>
                <w:spacing w:val="-2"/>
                <w:sz w:val="20"/>
                <w:szCs w:val="20"/>
              </w:rPr>
              <w:t>Duke Energy Carolinas and Duke Energy Progress</w:t>
            </w:r>
          </w:p>
        </w:tc>
        <w:tc>
          <w:tcPr>
            <w:tcW w:w="3446" w:type="dxa"/>
            <w:shd w:val="clear" w:color="auto" w:fill="auto"/>
          </w:tcPr>
          <w:p w14:paraId="52CEBE70" w14:textId="64B70BD5" w:rsidR="007642E0" w:rsidRDefault="007642E0" w:rsidP="00FE15A8">
            <w:pPr>
              <w:spacing w:before="60" w:after="100"/>
              <w:jc w:val="left"/>
              <w:rPr>
                <w:rFonts w:cs="Calibri"/>
                <w:spacing w:val="-2"/>
                <w:sz w:val="20"/>
              </w:rPr>
            </w:pPr>
            <w:r>
              <w:rPr>
                <w:rFonts w:cs="Calibri"/>
                <w:spacing w:val="-2"/>
                <w:sz w:val="20"/>
              </w:rPr>
              <w:t>Review of Duke Energy’s 2020 IRP</w:t>
            </w:r>
          </w:p>
        </w:tc>
      </w:tr>
      <w:tr w:rsidR="007B2A7A" w:rsidRPr="00CD0F75" w14:paraId="16C0FC2C" w14:textId="77777777" w:rsidTr="007642E0">
        <w:trPr>
          <w:cantSplit/>
          <w:trHeight w:val="138"/>
        </w:trPr>
        <w:tc>
          <w:tcPr>
            <w:tcW w:w="738" w:type="dxa"/>
            <w:shd w:val="clear" w:color="auto" w:fill="auto"/>
          </w:tcPr>
          <w:p w14:paraId="291B4482" w14:textId="2432EBA3" w:rsidR="007B2A7A" w:rsidRDefault="007B2A7A" w:rsidP="007B2A7A">
            <w:pPr>
              <w:spacing w:before="60" w:after="100"/>
              <w:jc w:val="left"/>
              <w:rPr>
                <w:rFonts w:cs="Calibri"/>
                <w:spacing w:val="-2"/>
                <w:sz w:val="20"/>
              </w:rPr>
            </w:pPr>
            <w:r>
              <w:rPr>
                <w:rFonts w:cs="Calibri"/>
                <w:spacing w:val="-2"/>
                <w:sz w:val="20"/>
              </w:rPr>
              <w:t>6/21</w:t>
            </w:r>
          </w:p>
        </w:tc>
        <w:tc>
          <w:tcPr>
            <w:tcW w:w="1254" w:type="dxa"/>
            <w:shd w:val="clear" w:color="auto" w:fill="auto"/>
          </w:tcPr>
          <w:p w14:paraId="161FF7E9" w14:textId="50868F20"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63766076" w14:textId="552DA055"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F5F7F42" w14:textId="526CB153" w:rsidR="007B2A7A"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DA1F280" w14:textId="2EDB8BD4" w:rsidR="007B2A7A"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8E0E513" w14:textId="37901337" w:rsidR="007B2A7A" w:rsidRDefault="007B2A7A" w:rsidP="007B2A7A">
            <w:pPr>
              <w:spacing w:before="60" w:after="100"/>
              <w:jc w:val="left"/>
              <w:rPr>
                <w:rFonts w:cs="Calibri"/>
                <w:spacing w:val="-2"/>
                <w:sz w:val="20"/>
              </w:rPr>
            </w:pPr>
            <w:r>
              <w:rPr>
                <w:rFonts w:cs="Calibri"/>
                <w:spacing w:val="-2"/>
                <w:sz w:val="20"/>
              </w:rPr>
              <w:t>Twenty-Fourth Semi-Annual Vogtle Construction Monitoring Report</w:t>
            </w:r>
          </w:p>
        </w:tc>
      </w:tr>
      <w:tr w:rsidR="007B2A7A" w:rsidRPr="00CD0F75" w14:paraId="423A0374" w14:textId="77777777" w:rsidTr="007642E0">
        <w:trPr>
          <w:cantSplit/>
          <w:trHeight w:val="138"/>
        </w:trPr>
        <w:tc>
          <w:tcPr>
            <w:tcW w:w="738" w:type="dxa"/>
            <w:shd w:val="clear" w:color="auto" w:fill="auto"/>
          </w:tcPr>
          <w:p w14:paraId="23452897" w14:textId="2D3DFE99" w:rsidR="007B2A7A" w:rsidRDefault="007B2A7A" w:rsidP="007B2A7A">
            <w:pPr>
              <w:spacing w:before="60" w:after="100"/>
              <w:jc w:val="left"/>
              <w:rPr>
                <w:rFonts w:cs="Calibri"/>
                <w:spacing w:val="-2"/>
                <w:sz w:val="20"/>
              </w:rPr>
            </w:pPr>
            <w:r>
              <w:rPr>
                <w:rFonts w:cs="Calibri"/>
                <w:spacing w:val="-2"/>
                <w:sz w:val="20"/>
              </w:rPr>
              <w:t>9/21</w:t>
            </w:r>
          </w:p>
        </w:tc>
        <w:tc>
          <w:tcPr>
            <w:tcW w:w="1254" w:type="dxa"/>
            <w:shd w:val="clear" w:color="auto" w:fill="auto"/>
          </w:tcPr>
          <w:p w14:paraId="2F32F7C2" w14:textId="3E5CF059" w:rsidR="007B2A7A" w:rsidRDefault="007B2A7A" w:rsidP="007B2A7A">
            <w:pPr>
              <w:keepNext/>
              <w:keepLines/>
              <w:pageBreakBefore/>
              <w:spacing w:before="60" w:after="100"/>
              <w:jc w:val="left"/>
              <w:rPr>
                <w:rFonts w:cs="Calibri"/>
                <w:spacing w:val="-2"/>
                <w:sz w:val="20"/>
              </w:rPr>
            </w:pPr>
            <w:r>
              <w:rPr>
                <w:rFonts w:cs="Calibri"/>
                <w:spacing w:val="-2"/>
                <w:sz w:val="20"/>
              </w:rPr>
              <w:t>U-35927</w:t>
            </w:r>
          </w:p>
        </w:tc>
        <w:tc>
          <w:tcPr>
            <w:tcW w:w="1086" w:type="dxa"/>
            <w:shd w:val="clear" w:color="auto" w:fill="auto"/>
          </w:tcPr>
          <w:p w14:paraId="51578B37" w14:textId="0E7D6C17" w:rsidR="007B2A7A" w:rsidRDefault="007B2A7A" w:rsidP="007B2A7A">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2684B099" w14:textId="7CA85517" w:rsidR="007B2A7A" w:rsidRDefault="007B2A7A" w:rsidP="007B2A7A">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4B779B79" w14:textId="60D55009" w:rsidR="007B2A7A" w:rsidRDefault="007B2A7A" w:rsidP="007B2A7A">
            <w:pPr>
              <w:spacing w:before="60" w:after="100"/>
              <w:jc w:val="left"/>
              <w:rPr>
                <w:rFonts w:cs="Calibri"/>
                <w:spacing w:val="-2"/>
                <w:sz w:val="20"/>
                <w:szCs w:val="20"/>
              </w:rPr>
            </w:pPr>
            <w:r>
              <w:rPr>
                <w:rFonts w:cs="Calibri"/>
                <w:spacing w:val="-2"/>
                <w:sz w:val="20"/>
                <w:szCs w:val="20"/>
              </w:rPr>
              <w:t>1803 Electric Cooperative</w:t>
            </w:r>
          </w:p>
        </w:tc>
        <w:tc>
          <w:tcPr>
            <w:tcW w:w="3446" w:type="dxa"/>
            <w:shd w:val="clear" w:color="auto" w:fill="auto"/>
          </w:tcPr>
          <w:p w14:paraId="46944C25" w14:textId="726C4CB2" w:rsidR="007B2A7A" w:rsidRDefault="007B2A7A" w:rsidP="007B2A7A">
            <w:pPr>
              <w:spacing w:before="60" w:after="100"/>
              <w:jc w:val="left"/>
              <w:rPr>
                <w:rFonts w:cs="Calibri"/>
                <w:spacing w:val="-2"/>
                <w:sz w:val="20"/>
              </w:rPr>
            </w:pPr>
            <w:r>
              <w:rPr>
                <w:rFonts w:cs="Calibri"/>
                <w:spacing w:val="-2"/>
                <w:sz w:val="20"/>
              </w:rPr>
              <w:t>Compliance with MBM Order in Conducting RFP and Acquiring Resources</w:t>
            </w:r>
          </w:p>
        </w:tc>
      </w:tr>
      <w:tr w:rsidR="007B2A7A" w:rsidRPr="00CD0F75" w14:paraId="73E29C19" w14:textId="77777777" w:rsidTr="007642E0">
        <w:trPr>
          <w:cantSplit/>
          <w:trHeight w:val="138"/>
        </w:trPr>
        <w:tc>
          <w:tcPr>
            <w:tcW w:w="738" w:type="dxa"/>
            <w:shd w:val="clear" w:color="auto" w:fill="auto"/>
          </w:tcPr>
          <w:p w14:paraId="3670B890" w14:textId="578B4F8F" w:rsidR="007B2A7A" w:rsidRDefault="007B2A7A" w:rsidP="007B2A7A">
            <w:pPr>
              <w:spacing w:before="60" w:after="100"/>
              <w:jc w:val="left"/>
              <w:rPr>
                <w:rFonts w:cs="Calibri"/>
                <w:spacing w:val="-2"/>
                <w:sz w:val="20"/>
              </w:rPr>
            </w:pPr>
            <w:r>
              <w:rPr>
                <w:rFonts w:cs="Calibri"/>
                <w:spacing w:val="-2"/>
                <w:sz w:val="20"/>
              </w:rPr>
              <w:t>12/21</w:t>
            </w:r>
          </w:p>
        </w:tc>
        <w:tc>
          <w:tcPr>
            <w:tcW w:w="1254" w:type="dxa"/>
            <w:shd w:val="clear" w:color="auto" w:fill="auto"/>
          </w:tcPr>
          <w:p w14:paraId="1D654FAB" w14:textId="1678111F"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2AE276A" w14:textId="17358285"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E2AF49B" w14:textId="7ADCDAE4" w:rsidR="007B2A7A"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50F6DC1D" w14:textId="05C64DF9" w:rsidR="007B2A7A"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9671D7A" w14:textId="23AA07B9" w:rsidR="007B2A7A" w:rsidRDefault="007B2A7A" w:rsidP="007B2A7A">
            <w:pPr>
              <w:spacing w:before="60" w:after="100"/>
              <w:jc w:val="left"/>
              <w:rPr>
                <w:rFonts w:cs="Calibri"/>
                <w:spacing w:val="-2"/>
                <w:sz w:val="20"/>
              </w:rPr>
            </w:pPr>
            <w:r>
              <w:rPr>
                <w:rFonts w:cs="Calibri"/>
                <w:spacing w:val="-2"/>
                <w:sz w:val="20"/>
              </w:rPr>
              <w:t>Twenty-Fifth Semi-Annual Vogtle Construction Monitoring Report</w:t>
            </w:r>
          </w:p>
        </w:tc>
      </w:tr>
      <w:tr w:rsidR="007B2A7A" w:rsidRPr="00CD0F75" w14:paraId="0E388817" w14:textId="77777777" w:rsidTr="007642E0">
        <w:trPr>
          <w:cantSplit/>
          <w:trHeight w:val="138"/>
        </w:trPr>
        <w:tc>
          <w:tcPr>
            <w:tcW w:w="738" w:type="dxa"/>
            <w:shd w:val="clear" w:color="auto" w:fill="auto"/>
          </w:tcPr>
          <w:p w14:paraId="3340F2F0" w14:textId="29C9A37D" w:rsidR="007B2A7A" w:rsidRDefault="007B2A7A" w:rsidP="007B2A7A">
            <w:pPr>
              <w:spacing w:before="60" w:after="100"/>
              <w:jc w:val="left"/>
              <w:rPr>
                <w:rFonts w:cs="Calibri"/>
                <w:spacing w:val="-2"/>
                <w:sz w:val="20"/>
              </w:rPr>
            </w:pPr>
            <w:r>
              <w:rPr>
                <w:rFonts w:cs="Calibri"/>
                <w:spacing w:val="-2"/>
                <w:sz w:val="20"/>
              </w:rPr>
              <w:t>5/22</w:t>
            </w:r>
          </w:p>
        </w:tc>
        <w:tc>
          <w:tcPr>
            <w:tcW w:w="1254" w:type="dxa"/>
            <w:shd w:val="clear" w:color="auto" w:fill="auto"/>
          </w:tcPr>
          <w:p w14:paraId="5DB4C19E" w14:textId="3791B0AD" w:rsidR="007B2A7A" w:rsidRDefault="007B2A7A" w:rsidP="007B2A7A">
            <w:pPr>
              <w:keepNext/>
              <w:keepLines/>
              <w:pageBreakBefore/>
              <w:spacing w:before="60" w:after="100"/>
              <w:jc w:val="left"/>
              <w:rPr>
                <w:rFonts w:cs="Calibri"/>
                <w:spacing w:val="-2"/>
                <w:sz w:val="20"/>
              </w:rPr>
            </w:pPr>
            <w:r>
              <w:rPr>
                <w:rFonts w:cs="Calibri"/>
                <w:spacing w:val="-2"/>
                <w:sz w:val="20"/>
              </w:rPr>
              <w:t>44160-U</w:t>
            </w:r>
          </w:p>
        </w:tc>
        <w:tc>
          <w:tcPr>
            <w:tcW w:w="1086" w:type="dxa"/>
            <w:shd w:val="clear" w:color="auto" w:fill="auto"/>
          </w:tcPr>
          <w:p w14:paraId="7A74C1D5" w14:textId="6B33B483"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C3CF6BF" w14:textId="39A0F35C" w:rsidR="007B2A7A" w:rsidRPr="00EB5B3C"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9D2ECA7" w14:textId="6EA4EE4E" w:rsidR="007B2A7A" w:rsidRPr="00EB5B3C"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BCDB8D5" w14:textId="48571707" w:rsidR="007B2A7A" w:rsidRDefault="007B2A7A" w:rsidP="007B2A7A">
            <w:pPr>
              <w:spacing w:before="60" w:after="100"/>
              <w:jc w:val="left"/>
              <w:rPr>
                <w:rFonts w:cs="Calibri"/>
                <w:spacing w:val="-2"/>
                <w:sz w:val="20"/>
              </w:rPr>
            </w:pPr>
            <w:r>
              <w:rPr>
                <w:rFonts w:cs="Calibri"/>
                <w:spacing w:val="-2"/>
                <w:sz w:val="20"/>
              </w:rPr>
              <w:t>Georgia Power’s 2022 IRP Proceeding</w:t>
            </w:r>
          </w:p>
        </w:tc>
      </w:tr>
      <w:tr w:rsidR="007B2A7A" w:rsidRPr="00CD0F75" w14:paraId="0C682ACD" w14:textId="77777777" w:rsidTr="007642E0">
        <w:trPr>
          <w:cantSplit/>
          <w:trHeight w:val="138"/>
        </w:trPr>
        <w:tc>
          <w:tcPr>
            <w:tcW w:w="738" w:type="dxa"/>
            <w:shd w:val="clear" w:color="auto" w:fill="auto"/>
          </w:tcPr>
          <w:p w14:paraId="5B4E19A4" w14:textId="133EB3DF" w:rsidR="007B2A7A" w:rsidRDefault="007B2A7A" w:rsidP="007B2A7A">
            <w:pPr>
              <w:spacing w:before="60" w:after="100"/>
              <w:jc w:val="left"/>
              <w:rPr>
                <w:rFonts w:cs="Calibri"/>
                <w:spacing w:val="-2"/>
                <w:sz w:val="20"/>
              </w:rPr>
            </w:pPr>
            <w:r>
              <w:rPr>
                <w:rFonts w:cs="Calibri"/>
                <w:spacing w:val="-2"/>
                <w:sz w:val="20"/>
              </w:rPr>
              <w:t>6/22</w:t>
            </w:r>
          </w:p>
        </w:tc>
        <w:tc>
          <w:tcPr>
            <w:tcW w:w="1254" w:type="dxa"/>
            <w:shd w:val="clear" w:color="auto" w:fill="auto"/>
          </w:tcPr>
          <w:p w14:paraId="5E3AA110" w14:textId="67872ABB" w:rsidR="007B2A7A" w:rsidRDefault="007B2A7A" w:rsidP="007B2A7A">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0A41BFA7" w14:textId="477F3507" w:rsidR="007B2A7A" w:rsidRDefault="007B2A7A" w:rsidP="007B2A7A">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7621F2B" w14:textId="7622395D" w:rsidR="007B2A7A" w:rsidRPr="00EB5B3C" w:rsidRDefault="007B2A7A" w:rsidP="007B2A7A">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A5282A0" w14:textId="19FF8D3D" w:rsidR="007B2A7A" w:rsidRPr="00EB5B3C" w:rsidRDefault="007B2A7A" w:rsidP="007B2A7A">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A69EAF9" w14:textId="7BDA18BA" w:rsidR="007B2A7A" w:rsidRDefault="007B2A7A" w:rsidP="007B2A7A">
            <w:pPr>
              <w:spacing w:before="60" w:after="100"/>
              <w:jc w:val="left"/>
              <w:rPr>
                <w:rFonts w:cs="Calibri"/>
                <w:spacing w:val="-2"/>
                <w:sz w:val="20"/>
              </w:rPr>
            </w:pPr>
            <w:r>
              <w:rPr>
                <w:rFonts w:cs="Calibri"/>
                <w:spacing w:val="-2"/>
                <w:sz w:val="20"/>
              </w:rPr>
              <w:t>Twenty-Sixth Semi-Annual Vogtle Construction Monitoring Report</w:t>
            </w:r>
          </w:p>
        </w:tc>
      </w:tr>
      <w:tr w:rsidR="007B2A7A" w:rsidRPr="00CD0F75" w14:paraId="17C8E822" w14:textId="77777777" w:rsidTr="007642E0">
        <w:trPr>
          <w:cantSplit/>
          <w:trHeight w:val="138"/>
        </w:trPr>
        <w:tc>
          <w:tcPr>
            <w:tcW w:w="738" w:type="dxa"/>
            <w:shd w:val="clear" w:color="auto" w:fill="auto"/>
          </w:tcPr>
          <w:p w14:paraId="362804FE" w14:textId="440E20F1" w:rsidR="007B2A7A" w:rsidRDefault="007B2A7A" w:rsidP="007B2A7A">
            <w:pPr>
              <w:spacing w:before="60" w:after="100"/>
              <w:jc w:val="left"/>
              <w:rPr>
                <w:rFonts w:cs="Calibri"/>
                <w:spacing w:val="-2"/>
                <w:sz w:val="20"/>
              </w:rPr>
            </w:pPr>
            <w:r>
              <w:rPr>
                <w:rFonts w:cs="Calibri"/>
                <w:spacing w:val="-2"/>
                <w:sz w:val="20"/>
              </w:rPr>
              <w:t>12/22</w:t>
            </w:r>
          </w:p>
        </w:tc>
        <w:tc>
          <w:tcPr>
            <w:tcW w:w="1254" w:type="dxa"/>
            <w:shd w:val="clear" w:color="auto" w:fill="auto"/>
          </w:tcPr>
          <w:p w14:paraId="38545113" w14:textId="2263972C" w:rsidR="007B2A7A" w:rsidRDefault="007B2A7A" w:rsidP="007B2A7A">
            <w:pPr>
              <w:keepNext/>
              <w:keepLines/>
              <w:pageBreakBefore/>
              <w:spacing w:before="60" w:after="100"/>
              <w:jc w:val="left"/>
              <w:rPr>
                <w:rFonts w:cs="Calibri"/>
                <w:spacing w:val="-2"/>
                <w:sz w:val="20"/>
              </w:rPr>
            </w:pPr>
            <w:r>
              <w:rPr>
                <w:rFonts w:cs="Calibri"/>
                <w:spacing w:val="-2"/>
                <w:sz w:val="20"/>
              </w:rPr>
              <w:t>22-035-01</w:t>
            </w:r>
          </w:p>
        </w:tc>
        <w:tc>
          <w:tcPr>
            <w:tcW w:w="1086" w:type="dxa"/>
            <w:shd w:val="clear" w:color="auto" w:fill="auto"/>
          </w:tcPr>
          <w:p w14:paraId="15B726B6" w14:textId="2F0CF10B" w:rsidR="007B2A7A" w:rsidRDefault="007B2A7A" w:rsidP="007B2A7A">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E54E1AB" w14:textId="1E880A97" w:rsidR="007B2A7A" w:rsidRPr="00EB5B3C" w:rsidRDefault="007B2A7A" w:rsidP="007B2A7A">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6236E4" w14:textId="640B034B" w:rsidR="007B2A7A" w:rsidRPr="00EB5B3C" w:rsidRDefault="007B2A7A" w:rsidP="007B2A7A">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17E06D2C" w14:textId="24A77059" w:rsidR="007B2A7A" w:rsidRDefault="007B2A7A" w:rsidP="007B2A7A">
            <w:pPr>
              <w:spacing w:before="60" w:after="100"/>
              <w:jc w:val="left"/>
              <w:rPr>
                <w:rFonts w:cs="Calibri"/>
                <w:spacing w:val="-2"/>
                <w:sz w:val="20"/>
              </w:rPr>
            </w:pPr>
            <w:r>
              <w:rPr>
                <w:rFonts w:cs="Calibri"/>
                <w:spacing w:val="-2"/>
                <w:sz w:val="20"/>
              </w:rPr>
              <w:t>Application for Approval of the 202</w:t>
            </w:r>
            <w:r w:rsidR="00D639D2">
              <w:rPr>
                <w:rFonts w:cs="Calibri"/>
                <w:spacing w:val="-2"/>
                <w:sz w:val="20"/>
              </w:rPr>
              <w:t>2</w:t>
            </w:r>
            <w:r>
              <w:rPr>
                <w:rFonts w:cs="Calibri"/>
                <w:spacing w:val="-2"/>
                <w:sz w:val="20"/>
              </w:rPr>
              <w:t xml:space="preserve"> Energy Balancing Account</w:t>
            </w:r>
          </w:p>
        </w:tc>
      </w:tr>
      <w:tr w:rsidR="007B2A7A" w:rsidRPr="00CD0F75" w14:paraId="5D6A03BA" w14:textId="77777777" w:rsidTr="007642E0">
        <w:trPr>
          <w:cantSplit/>
          <w:trHeight w:val="138"/>
        </w:trPr>
        <w:tc>
          <w:tcPr>
            <w:tcW w:w="738" w:type="dxa"/>
            <w:shd w:val="clear" w:color="auto" w:fill="auto"/>
          </w:tcPr>
          <w:p w14:paraId="467ABC01" w14:textId="74E6DCDC" w:rsidR="007B2A7A" w:rsidRDefault="007B2A7A" w:rsidP="007B2A7A">
            <w:pPr>
              <w:spacing w:before="60" w:after="100"/>
              <w:jc w:val="left"/>
              <w:rPr>
                <w:rFonts w:cs="Calibri"/>
                <w:spacing w:val="-2"/>
                <w:sz w:val="20"/>
              </w:rPr>
            </w:pPr>
            <w:r>
              <w:rPr>
                <w:rFonts w:cs="Calibri"/>
                <w:spacing w:val="-2"/>
                <w:sz w:val="20"/>
              </w:rPr>
              <w:t>12/22</w:t>
            </w:r>
          </w:p>
        </w:tc>
        <w:tc>
          <w:tcPr>
            <w:tcW w:w="1254" w:type="dxa"/>
            <w:shd w:val="clear" w:color="auto" w:fill="auto"/>
          </w:tcPr>
          <w:p w14:paraId="6D8B5B1C" w14:textId="43C44C0D" w:rsidR="007B2A7A" w:rsidRDefault="007B2A7A" w:rsidP="007B2A7A">
            <w:pPr>
              <w:keepNext/>
              <w:keepLines/>
              <w:pageBreakBefore/>
              <w:spacing w:before="60" w:after="100"/>
              <w:jc w:val="left"/>
              <w:rPr>
                <w:rFonts w:cs="Calibri"/>
                <w:spacing w:val="-2"/>
                <w:sz w:val="20"/>
              </w:rPr>
            </w:pPr>
            <w:r w:rsidRPr="00BA2DD6">
              <w:rPr>
                <w:sz w:val="20"/>
                <w:szCs w:val="20"/>
              </w:rPr>
              <w:t>2</w:t>
            </w:r>
            <w:r>
              <w:rPr>
                <w:sz w:val="20"/>
                <w:szCs w:val="20"/>
              </w:rPr>
              <w:t>0</w:t>
            </w:r>
            <w:r w:rsidRPr="00BA2DD6">
              <w:rPr>
                <w:sz w:val="20"/>
                <w:szCs w:val="20"/>
              </w:rPr>
              <w:t>2</w:t>
            </w:r>
            <w:r>
              <w:rPr>
                <w:sz w:val="20"/>
                <w:szCs w:val="20"/>
              </w:rPr>
              <w:t>2</w:t>
            </w:r>
            <w:r w:rsidRPr="00BA2DD6">
              <w:rPr>
                <w:sz w:val="20"/>
                <w:szCs w:val="20"/>
              </w:rPr>
              <w:t>-</w:t>
            </w:r>
            <w:r>
              <w:rPr>
                <w:sz w:val="20"/>
                <w:szCs w:val="20"/>
              </w:rPr>
              <w:t>259</w:t>
            </w:r>
            <w:r w:rsidRPr="00BA2DD6">
              <w:rPr>
                <w:sz w:val="20"/>
                <w:szCs w:val="20"/>
              </w:rPr>
              <w:t>-</w:t>
            </w:r>
            <w:r>
              <w:rPr>
                <w:sz w:val="20"/>
                <w:szCs w:val="20"/>
              </w:rPr>
              <w:t>E</w:t>
            </w:r>
          </w:p>
        </w:tc>
        <w:tc>
          <w:tcPr>
            <w:tcW w:w="1086" w:type="dxa"/>
            <w:shd w:val="clear" w:color="auto" w:fill="auto"/>
          </w:tcPr>
          <w:p w14:paraId="16333ED4" w14:textId="77E2CB56" w:rsidR="007B2A7A" w:rsidRDefault="007B2A7A" w:rsidP="007B2A7A">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46FE1605" w14:textId="032BD944" w:rsidR="007B2A7A" w:rsidRDefault="007B2A7A" w:rsidP="007B2A7A">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1C9F90D7" w14:textId="5FCA11B5" w:rsidR="007B2A7A" w:rsidRDefault="007B2A7A" w:rsidP="007B2A7A">
            <w:pPr>
              <w:spacing w:before="60" w:after="100"/>
              <w:jc w:val="left"/>
              <w:rPr>
                <w:rFonts w:cs="Calibri"/>
                <w:spacing w:val="-2"/>
                <w:sz w:val="20"/>
                <w:szCs w:val="20"/>
              </w:rPr>
            </w:pPr>
            <w:r>
              <w:rPr>
                <w:rFonts w:cs="Calibri"/>
                <w:spacing w:val="-2"/>
                <w:sz w:val="20"/>
                <w:szCs w:val="20"/>
              </w:rPr>
              <w:t>Dominion Energy South Carolina, Inc.</w:t>
            </w:r>
          </w:p>
        </w:tc>
        <w:tc>
          <w:tcPr>
            <w:tcW w:w="3446" w:type="dxa"/>
            <w:shd w:val="clear" w:color="auto" w:fill="auto"/>
          </w:tcPr>
          <w:p w14:paraId="30844579" w14:textId="737F0B06" w:rsidR="007B2A7A" w:rsidRDefault="007B2A7A" w:rsidP="007B2A7A">
            <w:pPr>
              <w:spacing w:before="60" w:after="100"/>
              <w:jc w:val="left"/>
              <w:rPr>
                <w:rFonts w:cs="Calibri"/>
                <w:spacing w:val="-2"/>
                <w:sz w:val="20"/>
              </w:rPr>
            </w:pPr>
            <w:r w:rsidRPr="007B2A7A">
              <w:rPr>
                <w:rFonts w:cs="Calibri"/>
                <w:spacing w:val="-2"/>
                <w:sz w:val="20"/>
              </w:rPr>
              <w:t>Mid-Period Adjustment to Increase Base Rates for the Recovery of Electric Fuel Costs</w:t>
            </w:r>
          </w:p>
        </w:tc>
      </w:tr>
    </w:tbl>
    <w:p w14:paraId="312EB0FC" w14:textId="6748873D" w:rsidR="006F0BEE" w:rsidRDefault="006F0BEE" w:rsidP="00A84D71">
      <w:pPr>
        <w:pStyle w:val="BodyTextIndent"/>
        <w:widowControl/>
        <w:tabs>
          <w:tab w:val="left" w:pos="-2790"/>
        </w:tabs>
        <w:suppressAutoHyphens/>
        <w:spacing w:after="100"/>
        <w:ind w:left="0"/>
        <w:rPr>
          <w:b/>
          <w:u w:val="single"/>
        </w:rPr>
      </w:pPr>
    </w:p>
    <w:p w14:paraId="1DE4C93E" w14:textId="05F3F32A" w:rsidR="00E57A79" w:rsidRDefault="00E57A79">
      <w:pPr>
        <w:widowControl/>
        <w:jc w:val="left"/>
        <w:rPr>
          <w:b/>
          <w:u w:val="single"/>
        </w:rPr>
      </w:pPr>
    </w:p>
    <w:p w14:paraId="1950547D" w14:textId="25328353"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 xml:space="preserve">Assisted in the evaluation of </w:t>
      </w:r>
      <w:r>
        <w:rPr>
          <w:spacing w:val="-2"/>
        </w:rPr>
        <w:t xml:space="preserve">Phu My CCGT power  plant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August 2002 – Expert Report, Civil Action No. 1:00-cv-1262 in the United Stated District Court for the Middle District of North Carolina, United States v.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2008 - Assisted</w:t>
      </w:r>
      <w:r w:rsidRPr="00437279">
        <w:t xml:space="preserve"> the Louisiana Public Service Commission Staff with the review and evaluation of Cleco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 xml:space="preserve">April 2011 – Initial Expert Report, Civil Action No. 2:10-cv-13101-BAF-RSW, on behalf of the Department of Justice in US District Court, United States </w:t>
      </w:r>
      <w:proofErr w:type="spellStart"/>
      <w:r>
        <w:t>v.Detroit</w:t>
      </w:r>
      <w:proofErr w:type="spellEnd"/>
      <w:r>
        <w:t xml:space="preserve">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262953C9" w:rsidR="00A84D71" w:rsidRDefault="00A84D71" w:rsidP="00A84D71">
      <w:pPr>
        <w:pStyle w:val="BodyTextIndent"/>
        <w:ind w:left="0"/>
        <w:rPr>
          <w:b/>
          <w:bCs/>
          <w:spacing w:val="-2"/>
          <w:u w:val="single"/>
        </w:rPr>
      </w:pPr>
    </w:p>
    <w:p w14:paraId="1A800CFB" w14:textId="56D975D4" w:rsidR="00D639D2" w:rsidRDefault="00D639D2" w:rsidP="00A84D71">
      <w:pPr>
        <w:pStyle w:val="BodyTextIndent"/>
        <w:ind w:left="0"/>
        <w:rPr>
          <w:b/>
          <w:bCs/>
          <w:spacing w:val="-2"/>
          <w:u w:val="single"/>
        </w:rPr>
      </w:pPr>
    </w:p>
    <w:p w14:paraId="6F8A38BA" w14:textId="77777777" w:rsidR="00D639D2" w:rsidRDefault="00D639D2"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670DFA4E" w14:textId="77777777" w:rsidR="008D6FF5" w:rsidRDefault="008D6FF5" w:rsidP="00400085">
      <w:pPr>
        <w:spacing w:after="240" w:line="360" w:lineRule="auto"/>
        <w:ind w:left="720" w:hanging="720"/>
        <w:sectPr w:rsidR="008D6FF5" w:rsidSect="00E57A79">
          <w:headerReference w:type="default" r:id="rId20"/>
          <w:footerReference w:type="default" r:id="rId21"/>
          <w:footerReference w:type="first" r:id="rId22"/>
          <w:endnotePr>
            <w:numFmt w:val="decimal"/>
          </w:endnotePr>
          <w:pgSz w:w="12240" w:h="15840" w:code="1"/>
          <w:pgMar w:top="1440" w:right="1440" w:bottom="1728" w:left="1440" w:header="1440" w:footer="720" w:gutter="0"/>
          <w:pgNumType w:start="1"/>
          <w:cols w:space="720"/>
          <w:noEndnote/>
          <w:docGrid w:linePitch="326"/>
        </w:sectPr>
      </w:pPr>
    </w:p>
    <w:p w14:paraId="486924FF" w14:textId="77777777" w:rsidR="00A84D71" w:rsidRDefault="00A84D71" w:rsidP="00400085">
      <w:pPr>
        <w:spacing w:after="240" w:line="360" w:lineRule="auto"/>
        <w:ind w:left="720" w:hanging="720"/>
      </w:pPr>
    </w:p>
    <w:p w14:paraId="5E1AA971" w14:textId="77777777" w:rsidR="00400085" w:rsidRPr="00437279" w:rsidRDefault="00400085" w:rsidP="00400085">
      <w:pPr>
        <w:suppressLineNumbers/>
        <w:jc w:val="center"/>
        <w:rPr>
          <w:b/>
          <w:bCs/>
        </w:rPr>
      </w:pPr>
      <w:r w:rsidRPr="00437279">
        <w:rPr>
          <w:b/>
          <w:bCs/>
        </w:rPr>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7C51867F"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BB3E92">
              <w:rPr>
                <w:b/>
                <w:bCs/>
              </w:rPr>
              <w:t xml:space="preserve"> </w:t>
            </w:r>
            <w:r w:rsidR="00C0373E">
              <w:rPr>
                <w:b/>
                <w:bCs/>
              </w:rPr>
              <w:t xml:space="preserve">EIGHTH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67438A">
        <w:trPr>
          <w:trHeight w:val="162"/>
        </w:trPr>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0C5B0A">
          <w:headerReference w:type="default" r:id="rId23"/>
          <w:footerReference w:type="default" r:id="rId24"/>
          <w:headerReference w:type="first" r:id="rId25"/>
          <w:endnotePr>
            <w:numFmt w:val="decimal"/>
          </w:endnotePr>
          <w:pgSz w:w="12240" w:h="15840" w:code="1"/>
          <w:pgMar w:top="1440" w:right="1440" w:bottom="1728" w:left="1440" w:header="1440" w:footer="720" w:gutter="0"/>
          <w:cols w:space="720"/>
          <w:noEndnote/>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26"/>
          <w:footerReference w:type="default" r:id="rId27"/>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proofErr w:type="spellStart"/>
      <w:r>
        <w:rPr>
          <w:spacing w:val="-2"/>
          <w:sz w:val="22"/>
        </w:rPr>
        <w:t>Airco</w:t>
      </w:r>
      <w:proofErr w:type="spellEnd"/>
      <w:r>
        <w:rPr>
          <w:spacing w:val="-2"/>
          <w:sz w:val="22"/>
        </w:rPr>
        <w:t xml:space="preserve">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GPU Industrial Intervenors</w:t>
      </w:r>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Multiple Intervenors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Taconite Intervenors (Minnesota)</w:t>
      </w:r>
    </w:p>
    <w:p w14:paraId="0F98BC44" w14:textId="77777777" w:rsidR="00804A9D" w:rsidRDefault="00804A9D" w:rsidP="00804A9D">
      <w:pPr>
        <w:tabs>
          <w:tab w:val="left" w:pos="-720"/>
        </w:tabs>
        <w:suppressAutoHyphens/>
        <w:rPr>
          <w:spacing w:val="-2"/>
          <w:sz w:val="22"/>
        </w:rPr>
      </w:pPr>
      <w:r>
        <w:rPr>
          <w:spacing w:val="-2"/>
          <w:sz w:val="22"/>
        </w:rPr>
        <w:t>West Penn Power Industrial Intervenors</w:t>
      </w:r>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Florida Office Of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Steering Committee of Cities Served by Oncor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proofErr w:type="spellStart"/>
      <w:r>
        <w:rPr>
          <w:spacing w:val="-2"/>
          <w:sz w:val="22"/>
        </w:rPr>
        <w:t>Talquin</w:t>
      </w:r>
      <w:proofErr w:type="spellEnd"/>
      <w:r>
        <w:rPr>
          <w:spacing w:val="-2"/>
          <w:sz w:val="22"/>
        </w:rPr>
        <w:t xml:space="preserve">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6F7E84">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proofErr w:type="spellStart"/>
            <w:r w:rsidRPr="00E2704A">
              <w:rPr>
                <w:rFonts w:ascii="Arial" w:hAnsi="Arial"/>
                <w:b/>
                <w:spacing w:val="-2"/>
                <w:sz w:val="17"/>
              </w:rPr>
              <w:t>Jurisdict</w:t>
            </w:r>
            <w:proofErr w:type="spellEnd"/>
            <w:r w:rsidRPr="00E2704A">
              <w:rPr>
                <w:rFonts w:ascii="Arial" w:hAnsi="Arial"/>
                <w:b/>
                <w:spacing w:val="-2"/>
                <w:sz w:val="17"/>
              </w:rPr>
              <w: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6F7E84">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6F7E84">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6F7E84">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6F7E84">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6F7E84">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6F7E84">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6F7E84">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6F7E84">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6F7E84">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6F7E84">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t>Surrebuttal</w:t>
            </w:r>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6F7E84">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 Surrebuttal</w:t>
            </w:r>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6F7E84">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6F7E84">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6F7E84">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Taconite Intervenors</w:t>
            </w:r>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6F7E84">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6F7E84">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6F7E84">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6F7E84">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6F7E84">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6F7E84">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6F7E84">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6F7E84">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6F7E84">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6F7E84">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6F7E84">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6F7E84">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6F7E84">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6F7E84">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B4E39AF" w14:textId="77777777" w:rsidTr="006F7E84">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53BB56B" w14:textId="77777777" w:rsidTr="006F7E84">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6F7E84">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6F7E84">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6F7E84">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6F7E84">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6F7E84">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of River Bend 1, recovery of canceled plant.</w:t>
            </w:r>
          </w:p>
        </w:tc>
      </w:tr>
      <w:tr w:rsidR="00E2704A" w:rsidRPr="00E2704A" w14:paraId="219BB2A9" w14:textId="77777777" w:rsidTr="006F7E84">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 xml:space="preserve">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Talquin</w:t>
            </w:r>
            <w:proofErr w:type="spellEnd"/>
            <w:r w:rsidRPr="00E2704A">
              <w:rPr>
                <w:rFonts w:ascii="Arial Narrow" w:hAnsi="Arial Narrow"/>
                <w:spacing w:val="-2"/>
                <w:sz w:val="17"/>
              </w:rPr>
              <w:t>/City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6F7E84">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6F7E84">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6F7E84">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6F7E84">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6F7E84">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6F7E84">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6F7E84">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6F7E84">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t>Surrebuttal</w:t>
            </w:r>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6F7E84">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6F7E84">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6F7E84">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6F7E84">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6F7E84">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6F7E84">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6F7E84">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6F7E84">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Multiple Intervenors</w:t>
            </w:r>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6F7E84">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6F7E84">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6F7E84">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6F7E84">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6F7E84">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6F7E84">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6F7E84">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6F7E84">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6F7E84">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6F7E84">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6F7E84">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6F7E84">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6F7E84">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6F7E84">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6F7E84">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Westvaco Corp., </w:t>
            </w:r>
            <w:proofErr w:type="spellStart"/>
            <w:r w:rsidRPr="00E2704A">
              <w:rPr>
                <w:rFonts w:ascii="Arial Narrow" w:hAnsi="Arial Narrow"/>
                <w:spacing w:val="-2"/>
                <w:sz w:val="17"/>
              </w:rPr>
              <w:t>Eastalco</w:t>
            </w:r>
            <w:proofErr w:type="spellEnd"/>
            <w:r w:rsidRPr="00E2704A">
              <w:rPr>
                <w:rFonts w:ascii="Arial Narrow" w:hAnsi="Arial Narrow"/>
                <w:spacing w:val="-2"/>
                <w:sz w:val="17"/>
              </w:rPr>
              <w:t xml:space="preserve">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6F7E84">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6F7E84">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Armco Advanced Materials Co., The WPP Industrial Intervenors</w:t>
            </w:r>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6F7E84">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6F7E84">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6F7E84">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6F7E84">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6F7E84">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6F7E84">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(Surrebuttal)</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6F7E84">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6F7E84">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6F7E84">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6F7E84">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6F7E84">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6F7E84">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6F7E84">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6F7E84">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6F7E84">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(Surrebuttal)</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6F7E84">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 (Supplemental Surrebuttal)</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6F7E84">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6F7E84">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6F7E84">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6F7E84">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6F7E84">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6F7E84">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(Surrebuttal)</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6F7E84">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6F7E84">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6F7E84">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6F7E84">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6F7E84">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6F7E84">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33A2FF67" w14:textId="77777777" w:rsidTr="006F7E84">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(Surrebuttal)</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6F7E84">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Supplemental</w:t>
            </w:r>
            <w:proofErr w:type="spellEnd"/>
            <w:r w:rsidRPr="00AF569C">
              <w:rPr>
                <w:rFonts w:ascii="Arial Narrow" w:hAnsi="Arial Narrow"/>
                <w:spacing w:val="-2"/>
                <w:sz w:val="17"/>
                <w:lang w:val="es-US"/>
              </w:rPr>
              <w:t xml:space="preserve"> Direct)</w:t>
            </w:r>
            <w:r w:rsidRPr="00AF569C">
              <w:rPr>
                <w:rFonts w:ascii="Arial Narrow" w:hAnsi="Arial Narrow"/>
                <w:spacing w:val="-2"/>
                <w:sz w:val="17"/>
                <w:lang w:val="es-US"/>
              </w:rPr>
              <w:br/>
              <w:t>U-21485</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Surrebuttal</w:t>
            </w:r>
            <w:proofErr w:type="spellEnd"/>
            <w:r w:rsidRPr="00AF569C">
              <w:rPr>
                <w:rFonts w:ascii="Arial Narrow" w:hAnsi="Arial Narrow"/>
                <w:spacing w:val="-2"/>
                <w:sz w:val="17"/>
                <w:lang w:val="es-US"/>
              </w:rPr>
              <w:t>)</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Nuclear O&amp;M, 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w:t>
            </w:r>
          </w:p>
        </w:tc>
      </w:tr>
      <w:tr w:rsidR="00E2704A" w:rsidRPr="00E2704A" w14:paraId="7DD93488" w14:textId="77777777" w:rsidTr="006F7E84">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6F7E84">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6F7E84">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municipalization.</w:t>
            </w:r>
          </w:p>
        </w:tc>
      </w:tr>
      <w:tr w:rsidR="00E2704A" w:rsidRPr="00E2704A" w14:paraId="58EE0885" w14:textId="77777777" w:rsidTr="006F7E84">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Maryland Industrial Group and Redland </w:t>
            </w:r>
            <w:proofErr w:type="spellStart"/>
            <w:r w:rsidRPr="00E2704A">
              <w:rPr>
                <w:rFonts w:ascii="Arial Narrow" w:hAnsi="Arial Narrow"/>
                <w:spacing w:val="-2"/>
                <w:sz w:val="17"/>
              </w:rPr>
              <w:t>Genstar</w:t>
            </w:r>
            <w:proofErr w:type="spellEnd"/>
            <w:r w:rsidRPr="00E2704A">
              <w:rPr>
                <w:rFonts w:ascii="Arial Narrow" w:hAnsi="Arial Narrow"/>
                <w:spacing w:val="-2"/>
                <w:sz w:val="17"/>
              </w:rPr>
              <w:t>,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6F7E84">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t>U-22092</w:t>
            </w:r>
            <w:r w:rsidRPr="00E2704A">
              <w:rPr>
                <w:rFonts w:ascii="Arial Narrow" w:hAnsi="Arial Narrow"/>
                <w:spacing w:val="-2"/>
                <w:sz w:val="17"/>
              </w:rPr>
              <w:br/>
              <w:t>(Surrebuttal)</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River Bend phase-in plan, base/fuel realignment, NOL and </w:t>
            </w:r>
            <w:proofErr w:type="spellStart"/>
            <w:r w:rsidRPr="00E2704A">
              <w:rPr>
                <w:rFonts w:ascii="Arial Narrow" w:hAnsi="Arial Narrow"/>
                <w:spacing w:val="-2"/>
                <w:sz w:val="17"/>
              </w:rPr>
              <w:t>AltMin</w:t>
            </w:r>
            <w:proofErr w:type="spellEnd"/>
            <w:r w:rsidRPr="00E2704A">
              <w:rPr>
                <w:rFonts w:ascii="Arial Narrow" w:hAnsi="Arial Narrow"/>
                <w:spacing w:val="-2"/>
                <w:sz w:val="17"/>
              </w:rPr>
              <w:t xml:space="preserve"> asset deferred taxes, other revenue requirement issues, allocation of regulated/nonregulated costs.</w:t>
            </w:r>
          </w:p>
        </w:tc>
      </w:tr>
      <w:tr w:rsidR="00E2704A" w:rsidRPr="00E2704A" w14:paraId="5D260C58" w14:textId="77777777" w:rsidTr="006F7E84">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6F7E84">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6F7E84">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6F7E84">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MCI Telecommunications Corp., Inc., </w:t>
            </w:r>
            <w:proofErr w:type="spellStart"/>
            <w:r w:rsidRPr="00E2704A">
              <w:rPr>
                <w:rFonts w:ascii="Arial Narrow" w:hAnsi="Arial Narrow"/>
                <w:spacing w:val="-2"/>
                <w:sz w:val="17"/>
              </w:rPr>
              <w:t>MCImetro</w:t>
            </w:r>
            <w:proofErr w:type="spellEnd"/>
            <w:r w:rsidRPr="00E2704A">
              <w:rPr>
                <w:rFonts w:ascii="Arial Narrow" w:hAnsi="Arial Narrow"/>
                <w:spacing w:val="-2"/>
                <w:sz w:val="17"/>
              </w:rPr>
              <w:t xml:space="preserve">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6F7E84">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6F7E84">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6F7E84">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6F7E84">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Merger policy, cost savings,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sharing mechanism, revenue requirements, rate of return.</w:t>
            </w:r>
          </w:p>
        </w:tc>
      </w:tr>
      <w:tr w:rsidR="00E2704A" w:rsidRPr="00E2704A" w14:paraId="79EB569C" w14:textId="77777777" w:rsidTr="006F7E84">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(Surrebuttal)</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6F7E84">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6F7E84">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6F7E84">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6F7E84">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6F7E84">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6F7E84">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(Surrebuttal)</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6F7E84">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6F7E84">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6F7E84">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(Surrebuttal)</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6F7E84">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(Surrebuttal)</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6F7E84">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(Surrebuttal)</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6F7E84">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6F7E84">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6F7E84">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6F7E84">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(Surrebuttal)</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6F7E84">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(Supplemental Surrebuttal)</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6F7E84">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6F7E84">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6F7E84">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6F7E84">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6F7E84">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6F7E84">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6F7E84">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6F7E84">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6F7E84">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6F7E84">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6F7E84">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6F7E84">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6F7E84">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(Supplemental Surrebuttal)</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6F7E84">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6F7E84">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6F7E84">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6F7E84">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6F7E84">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6F7E84">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6F7E84">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6F7E84">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6F7E84">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6F7E84">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t>Surrebuttal</w:t>
            </w:r>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6F7E84">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6F7E84">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t>Surrebuttal</w:t>
            </w:r>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6F7E84">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6F7E84">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6F7E84">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6F7E84">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6F7E84">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6F7E84">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6F7E84">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Surrebuttal</w:t>
            </w:r>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6F7E84">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6F7E84">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6F7E84">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expense proforma adjustments.</w:t>
            </w:r>
          </w:p>
        </w:tc>
      </w:tr>
      <w:tr w:rsidR="00E2704A" w:rsidRPr="00E2704A" w14:paraId="17EAB34B" w14:textId="77777777" w:rsidTr="006F7E84">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6F7E84">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6F7E84">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6F7E84">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6F7E84">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6F7E84">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6F7E84">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6F7E84">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6F7E84">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6F7E84">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6F7E84">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Surrebuttal</w:t>
            </w:r>
            <w:proofErr w:type="spellEnd"/>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6F7E84">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6F7E84">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6F7E84">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6F7E84">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Met-Ed Industrial Users Group, </w:t>
            </w:r>
            <w:proofErr w:type="spellStart"/>
            <w:r w:rsidRPr="00E2704A">
              <w:rPr>
                <w:rFonts w:ascii="Arial Narrow" w:hAnsi="Arial Narrow"/>
                <w:spacing w:val="-2"/>
                <w:sz w:val="17"/>
              </w:rPr>
              <w:t>Penelec</w:t>
            </w:r>
            <w:proofErr w:type="spellEnd"/>
            <w:r w:rsidRPr="00E2704A">
              <w:rPr>
                <w:rFonts w:ascii="Arial Narrow" w:hAnsi="Arial Narrow"/>
                <w:spacing w:val="-2"/>
                <w:sz w:val="17"/>
              </w:rPr>
              <w:t xml:space="preserve">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6F7E84">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6F7E84">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r w:rsidRPr="00AF569C">
              <w:rPr>
                <w:rFonts w:ascii="Arial Narrow" w:hAnsi="Arial Narrow"/>
                <w:spacing w:val="-2"/>
                <w:sz w:val="17"/>
                <w:lang w:val="es-US"/>
              </w:rPr>
              <w:br/>
            </w:r>
            <w:proofErr w:type="spellStart"/>
            <w:r w:rsidRPr="00AF569C">
              <w:rPr>
                <w:rFonts w:ascii="Arial Narrow" w:hAnsi="Arial Narrow"/>
                <w:spacing w:val="-2"/>
                <w:sz w:val="17"/>
                <w:lang w:val="es-US"/>
              </w:rPr>
              <w:t>Contested</w:t>
            </w:r>
            <w:proofErr w:type="spellEnd"/>
            <w:r w:rsidRPr="00AF569C">
              <w:rPr>
                <w:rFonts w:ascii="Arial Narrow" w:hAnsi="Arial Narrow"/>
                <w:spacing w:val="-2"/>
                <w:sz w:val="17"/>
                <w:lang w:val="es-US"/>
              </w:rPr>
              <w:t xml:space="preserve"> Issues</w:t>
            </w:r>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6F7E84">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6F7E84">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w:t>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6F7E84">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6F7E84">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6F7E84">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6F7E84">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6F7E84">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Surrebuttal</w:t>
            </w:r>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6F7E84">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6F7E84">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6F7E84">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6F7E84">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 (Suppl. Surrebuttal)</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6F7E84">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6F7E84">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6F7E84">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6F7E84">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6F7E84">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6F7E84">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6F7E84">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Extension of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flaws in Companies’ studies.</w:t>
            </w:r>
          </w:p>
        </w:tc>
      </w:tr>
      <w:tr w:rsidR="00E2704A" w:rsidRPr="00E2704A" w14:paraId="7DC8A731" w14:textId="77777777" w:rsidTr="006F7E84">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6F7E84">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6F7E84">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6F7E84">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6F7E84">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Consolidated</w:t>
            </w:r>
            <w:proofErr w:type="spellEnd"/>
            <w:r w:rsidRPr="00AF569C">
              <w:rPr>
                <w:rFonts w:ascii="Arial Narrow" w:hAnsi="Arial Narrow"/>
                <w:spacing w:val="-2"/>
                <w:sz w:val="17"/>
                <w:lang w:val="es-US"/>
              </w:rPr>
              <w:t>)</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agreements, contractual provisions, projected costs, levelized rates, and formula rates.</w:t>
            </w:r>
          </w:p>
        </w:tc>
      </w:tr>
      <w:tr w:rsidR="00E2704A" w:rsidRPr="00E2704A" w14:paraId="3EBB6E09" w14:textId="77777777" w:rsidTr="006F7E84">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Surrebuttal</w:t>
            </w:r>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6F7E84">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6F7E84">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6F7E84">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Supplemental Surrebuttal</w:t>
            </w:r>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6F7E84">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E0B9CC5" w14:textId="77777777" w:rsidTr="006F7E84">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depreciation rates, O&amp;M expense, deferrals and amortization, earnings sharing mechanism, merger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 xml:space="preserve">,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30CBD2B7" w14:textId="77777777" w:rsidTr="006F7E84">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6F7E84">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6F7E84">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6F7E84">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(Suppl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6F7E84">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6F7E84">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6F7E84">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East Kentucky Power Cooperative, Inc., Big Sandy </w:t>
            </w:r>
            <w:proofErr w:type="spellStart"/>
            <w:r w:rsidRPr="00E2704A">
              <w:rPr>
                <w:rFonts w:ascii="Arial Narrow" w:hAnsi="Arial Narrow"/>
                <w:spacing w:val="-2"/>
                <w:sz w:val="17"/>
              </w:rPr>
              <w:t>Recc</w:t>
            </w:r>
            <w:proofErr w:type="spellEnd"/>
            <w:r w:rsidRPr="00E2704A">
              <w:rPr>
                <w:rFonts w:ascii="Arial Narrow" w:hAnsi="Arial Narrow"/>
                <w:spacing w:val="-2"/>
                <w:sz w:val="17"/>
              </w:rPr>
              <w:t>,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6F7E84">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6F7E84">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6F7E84">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6F7E84">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conservation, economic development, and tariff issues.</w:t>
            </w:r>
          </w:p>
        </w:tc>
      </w:tr>
      <w:tr w:rsidR="00E2704A" w:rsidRPr="00E2704A" w14:paraId="19950318" w14:textId="77777777" w:rsidTr="006F7E84">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6F7E84">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6F7E84">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South Florida Hospital and </w:t>
            </w:r>
            <w:proofErr w:type="spellStart"/>
            <w:r w:rsidRPr="00E2704A">
              <w:rPr>
                <w:rFonts w:ascii="Arial Narrow" w:hAnsi="Arial Narrow"/>
                <w:spacing w:val="-2"/>
                <w:sz w:val="17"/>
              </w:rPr>
              <w:t>Heallthcare</w:t>
            </w:r>
            <w:proofErr w:type="spellEnd"/>
            <w:r w:rsidRPr="00E2704A">
              <w:rPr>
                <w:rFonts w:ascii="Arial Narrow" w:hAnsi="Arial Narrow"/>
                <w:spacing w:val="-2"/>
                <w:sz w:val="17"/>
              </w:rPr>
              <w:t xml:space="preserv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6F7E84">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6F7E84">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6F7E84">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6F7E84">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6F7E84">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Workforce Separation Program cost recovery and shared savings through VDT </w:t>
            </w:r>
            <w:proofErr w:type="spellStart"/>
            <w:r w:rsidRPr="00E2704A">
              <w:rPr>
                <w:rFonts w:ascii="Arial Narrow" w:hAnsi="Arial Narrow"/>
                <w:spacing w:val="-2"/>
                <w:sz w:val="17"/>
              </w:rPr>
              <w:t>surcredit</w:t>
            </w:r>
            <w:proofErr w:type="spellEnd"/>
            <w:r w:rsidRPr="00E2704A">
              <w:rPr>
                <w:rFonts w:ascii="Arial Narrow" w:hAnsi="Arial Narrow"/>
                <w:spacing w:val="-2"/>
                <w:sz w:val="17"/>
              </w:rPr>
              <w:t>.</w:t>
            </w:r>
          </w:p>
        </w:tc>
      </w:tr>
      <w:tr w:rsidR="00E2704A" w:rsidRPr="00E2704A" w14:paraId="7DFBC089" w14:textId="77777777" w:rsidTr="006F7E84">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6F7E84">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6F7E84">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6F7E84">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w:t>
            </w:r>
            <w:proofErr w:type="spellStart"/>
            <w:r w:rsidRPr="00AF569C">
              <w:rPr>
                <w:rFonts w:ascii="Arial Narrow" w:hAnsi="Arial Narrow"/>
                <w:spacing w:val="-2"/>
                <w:sz w:val="17"/>
                <w:lang w:val="es-US"/>
              </w:rPr>
              <w:t>Subdocket</w:t>
            </w:r>
            <w:proofErr w:type="spellEnd"/>
            <w:r w:rsidRPr="00AF569C">
              <w:rPr>
                <w:rFonts w:ascii="Arial Narrow" w:hAnsi="Arial Narrow"/>
                <w:spacing w:val="-2"/>
                <w:sz w:val="17"/>
                <w:lang w:val="es-US"/>
              </w:rPr>
              <w:t xml:space="preserve">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6F7E84">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NOPR Reg</w:t>
            </w:r>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6F7E84">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6F7E84">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6F7E84">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6F7E84">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w:t>
            </w:r>
            <w:proofErr w:type="spellStart"/>
            <w:r w:rsidRPr="00AF569C">
              <w:rPr>
                <w:rFonts w:ascii="Arial Narrow" w:hAnsi="Arial Narrow"/>
                <w:spacing w:val="-2"/>
                <w:sz w:val="17"/>
                <w:szCs w:val="17"/>
                <w:lang w:val="es-US"/>
              </w:rPr>
              <w:t>Subdocket</w:t>
            </w:r>
            <w:proofErr w:type="spellEnd"/>
            <w:r w:rsidRPr="00AF569C">
              <w:rPr>
                <w:rFonts w:ascii="Arial Narrow" w:hAnsi="Arial Narrow"/>
                <w:spacing w:val="-2"/>
                <w:sz w:val="17"/>
                <w:szCs w:val="17"/>
                <w:lang w:val="es-US"/>
              </w:rPr>
              <w:t xml:space="preserve">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6F7E84">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6F7E84">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r>
            <w:proofErr w:type="spellStart"/>
            <w:r w:rsidRPr="00E2704A">
              <w:rPr>
                <w:rFonts w:ascii="Arial Narrow" w:hAnsi="Arial Narrow"/>
                <w:spacing w:val="-2"/>
                <w:sz w:val="17"/>
                <w:szCs w:val="17"/>
              </w:rPr>
              <w:t>Subdocket</w:t>
            </w:r>
            <w:proofErr w:type="spellEnd"/>
            <w:r w:rsidRPr="00E2704A">
              <w:rPr>
                <w:rFonts w:ascii="Arial Narrow" w:hAnsi="Arial Narrow"/>
                <w:spacing w:val="-2"/>
                <w:sz w:val="17"/>
                <w:szCs w:val="17"/>
              </w:rPr>
              <w:t xml:space="preserve">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6F7E84">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6F7E84">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6F7E84">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6F7E84">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6F7E84">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Cleco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6F7E84">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6F7E84">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6F7E84">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6F7E84">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6F7E84">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6F7E84">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6F7E84">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6F7E84">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2E882C77" w14:textId="77777777" w:rsidTr="006F7E84">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Surrebuttal</w:t>
            </w:r>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76694C52" w14:textId="77777777" w:rsidTr="006F7E84">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6F7E84">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6F7E84">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6F7E84">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6F7E84">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6F7E84">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6F7E84">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6F7E84">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 xml:space="preserve">Merger </w:t>
            </w:r>
            <w:proofErr w:type="spellStart"/>
            <w:r w:rsidRPr="00E2704A">
              <w:rPr>
                <w:rFonts w:ascii="Arial Narrow" w:hAnsi="Arial Narrow"/>
                <w:sz w:val="17"/>
                <w:szCs w:val="17"/>
              </w:rPr>
              <w:t>surcredit</w:t>
            </w:r>
            <w:proofErr w:type="spellEnd"/>
            <w:r w:rsidRPr="00E2704A">
              <w:rPr>
                <w:rFonts w:ascii="Arial Narrow" w:hAnsi="Arial Narrow"/>
                <w:sz w:val="17"/>
                <w:szCs w:val="17"/>
              </w:rPr>
              <w:t>.</w:t>
            </w:r>
          </w:p>
        </w:tc>
      </w:tr>
      <w:tr w:rsidR="00E2704A" w:rsidRPr="00E2704A" w14:paraId="7C30F6DC" w14:textId="77777777" w:rsidTr="006F7E84">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6F7E84">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6F7E84">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Suppl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6F7E84">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6F7E84">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6F7E84">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6F7E84">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6F7E84">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6F7E84">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6F7E84">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6F7E84">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Surrebuttal</w:t>
            </w:r>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6F7E84">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6F7E84">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6F7E84">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6F7E84">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083408B6" w14:textId="77777777" w:rsidTr="006F7E84">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Cities Served by Oncor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Recovery of old meter costs, asset ADFIT, cash working capital, recovery of prior year restructuring costs, levelized recovery of storm damage costs, prospective storm damage accrual, consolidated tax savings adjustment.</w:t>
            </w:r>
          </w:p>
        </w:tc>
      </w:tr>
      <w:tr w:rsidR="00E2704A" w:rsidRPr="00E2704A" w14:paraId="62573787" w14:textId="77777777" w:rsidTr="006F7E84">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6F7E84">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6F7E84">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6F7E84">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1DCA246D" w14:textId="77777777" w:rsidTr="006F7E84">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6F7E84">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6F7E84">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U-22092 (Sub J) Direct</w:t>
            </w:r>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046ECA1C" w14:textId="77777777" w:rsidTr="006F7E84">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6F7E84">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6F7E84">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6F7E84">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6F7E84">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6F7E84">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6F7E84">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w:t>
            </w:r>
            <w:proofErr w:type="spellStart"/>
            <w:r w:rsidRPr="00AF569C">
              <w:rPr>
                <w:rFonts w:ascii="Arial Narrow" w:hAnsi="Arial Narrow"/>
                <w:sz w:val="17"/>
                <w:szCs w:val="17"/>
                <w:lang w:val="es-US"/>
              </w:rPr>
              <w:t>Subdocket</w:t>
            </w:r>
            <w:proofErr w:type="spellEnd"/>
            <w:r w:rsidRPr="00AF569C">
              <w:rPr>
                <w:rFonts w:ascii="Arial Narrow" w:hAnsi="Arial Narrow"/>
                <w:sz w:val="17"/>
                <w:szCs w:val="17"/>
                <w:lang w:val="es-US"/>
              </w:rPr>
              <w:t xml:space="preserve"> J) </w:t>
            </w:r>
            <w:proofErr w:type="spellStart"/>
            <w:r w:rsidRPr="00AF569C">
              <w:rPr>
                <w:rFonts w:ascii="Arial Narrow" w:hAnsi="Arial Narrow"/>
                <w:sz w:val="17"/>
                <w:szCs w:val="17"/>
                <w:lang w:val="es-US"/>
              </w:rPr>
              <w:t>Supplemental</w:t>
            </w:r>
            <w:proofErr w:type="spellEnd"/>
            <w:r w:rsidRPr="00AF569C">
              <w:rPr>
                <w:rFonts w:ascii="Arial Narrow" w:hAnsi="Arial Narrow"/>
                <w:sz w:val="17"/>
                <w:szCs w:val="17"/>
                <w:lang w:val="es-US"/>
              </w:rPr>
              <w:t xml:space="preserve"> </w:t>
            </w:r>
            <w:proofErr w:type="spellStart"/>
            <w:r w:rsidRPr="00AF569C">
              <w:rPr>
                <w:rFonts w:ascii="Arial Narrow" w:hAnsi="Arial Narrow"/>
                <w:sz w:val="17"/>
                <w:szCs w:val="17"/>
                <w:lang w:val="es-US"/>
              </w:rPr>
              <w:t>Rebuttal</w:t>
            </w:r>
            <w:proofErr w:type="spellEnd"/>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4C34FA66" w14:textId="77777777" w:rsidTr="006F7E84">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6F7E84">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Direct and Surrebuttal</w:t>
            </w:r>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6F7E84">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Forecasted test year, historic test year, proforma adjustments for major plant additions, tax depreciation.</w:t>
            </w:r>
          </w:p>
        </w:tc>
      </w:tr>
      <w:tr w:rsidR="00E2704A" w:rsidRPr="00E2704A" w14:paraId="18D8E76B" w14:textId="77777777" w:rsidTr="006F7E84">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6680-UR-117 Direct and Surrebuttal</w:t>
            </w:r>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6F7E84">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6F7E84">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6F7E84">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6F7E84">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6F7E84">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1CFE914" w14:textId="77777777" w:rsidTr="006F7E84">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2DB92AFF" w14:textId="77777777" w:rsidTr="006F7E84">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6F7E84">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7AB8566" w14:textId="77777777" w:rsidTr="006F7E84">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Atmos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6F7E84">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6F7E84">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6F7E84">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6F7E84">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6F7E84">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6F7E84">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6F7E84">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6F7E84">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6F7E84">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6F7E84">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6F7E84">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6F7E84">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6F7E84">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6F7E84">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6F7E84">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6F7E84">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6F7E84">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6F7E84">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6F7E84">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6F7E84">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6F7E84">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6F7E84">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6F7E84">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incl resolution of S02 allowance expense, var O&amp;M expense, sharing of OSS margins.</w:t>
            </w:r>
          </w:p>
        </w:tc>
      </w:tr>
      <w:tr w:rsidR="00E2704A" w:rsidRPr="00E2704A" w14:paraId="3E04E91C" w14:textId="77777777" w:rsidTr="006F7E84">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t>Suppl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6F7E84">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6F7E84">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6F7E84">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issues related to Vogtle risk-sharing mechanism.</w:t>
            </w:r>
          </w:p>
        </w:tc>
      </w:tr>
      <w:tr w:rsidR="00E2704A" w:rsidRPr="00E2704A" w14:paraId="6ABDBA11" w14:textId="77777777" w:rsidTr="006F7E84">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6F7E84">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6F7E84">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6F7E84">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r>
            <w:proofErr w:type="spellStart"/>
            <w:r w:rsidRPr="00E2704A">
              <w:rPr>
                <w:rFonts w:ascii="Arial Narrow" w:hAnsi="Arial Narrow"/>
                <w:spacing w:val="-2"/>
                <w:sz w:val="17"/>
              </w:rPr>
              <w:t>Subdocket</w:t>
            </w:r>
            <w:proofErr w:type="spellEnd"/>
            <w:r w:rsidRPr="00E2704A">
              <w:rPr>
                <w:rFonts w:ascii="Arial Narrow" w:hAnsi="Arial Narrow"/>
                <w:spacing w:val="-2"/>
                <w:sz w:val="17"/>
              </w:rPr>
              <w:t xml:space="preserve">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6F7E84">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6F7E84">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6F7E84">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6F7E84">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6F7E84">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6F7E84">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6F7E84">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Surrebuttal</w:t>
            </w:r>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6F7E84">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6F7E84">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6F7E84">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Climax Molybdenum Company and CF&amp;I Steel, L.P. d/b/a </w:t>
            </w:r>
            <w:proofErr w:type="spellStart"/>
            <w:r w:rsidRPr="00E2704A">
              <w:rPr>
                <w:rFonts w:ascii="Arial Narrow" w:hAnsi="Arial Narrow"/>
                <w:spacing w:val="-2"/>
                <w:sz w:val="17"/>
              </w:rPr>
              <w:t>Evraz</w:t>
            </w:r>
            <w:proofErr w:type="spellEnd"/>
            <w:r w:rsidRPr="00E2704A">
              <w:rPr>
                <w:rFonts w:ascii="Arial Narrow" w:hAnsi="Arial Narrow"/>
                <w:spacing w:val="-2"/>
                <w:sz w:val="17"/>
              </w:rPr>
              <w:t xml:space="preserve">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6F7E84">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6F7E84">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6F7E84">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6F7E84">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6F7E84">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6F7E84">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Revenue requirements, including  ADIT, bonus depreciation and NOL, working capital, </w:t>
            </w:r>
            <w:proofErr w:type="spellStart"/>
            <w:r w:rsidRPr="00E2704A">
              <w:rPr>
                <w:rFonts w:ascii="Arial Narrow" w:hAnsi="Arial Narrow"/>
                <w:spacing w:val="-2"/>
                <w:sz w:val="17"/>
              </w:rPr>
              <w:t>self insurance</w:t>
            </w:r>
            <w:proofErr w:type="spellEnd"/>
            <w:r w:rsidRPr="00E2704A">
              <w:rPr>
                <w:rFonts w:ascii="Arial Narrow" w:hAnsi="Arial Narrow"/>
                <w:spacing w:val="-2"/>
                <w:sz w:val="17"/>
              </w:rPr>
              <w:t>, depreciation rates, federal income tax expense.</w:t>
            </w:r>
          </w:p>
        </w:tc>
      </w:tr>
      <w:tr w:rsidR="00E2704A" w:rsidRPr="00E2704A" w14:paraId="5BB7F369" w14:textId="77777777" w:rsidTr="006F7E84">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6F7E84">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6F7E84">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6F7E84">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6F7E84">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6F7E84">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6F7E84">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6F7E84">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6F7E84">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6F7E84">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Termination of purchased power contracts between EGSL and ETI, Spindletop regulatory asset.</w:t>
            </w:r>
          </w:p>
        </w:tc>
      </w:tr>
      <w:tr w:rsidR="00E2704A" w:rsidRPr="00E2704A" w14:paraId="588764B5" w14:textId="77777777" w:rsidTr="006F7E84">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6F7E84">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6F7E84">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6F7E84">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6F7E84">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6F7E84">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6F7E84">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6F7E84">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6F7E84">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6F7E84">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6F7E84">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Sebree Smelter market access.</w:t>
            </w:r>
          </w:p>
        </w:tc>
      </w:tr>
      <w:tr w:rsidR="00E2704A" w:rsidRPr="00E2704A" w14:paraId="531514D4" w14:textId="77777777" w:rsidTr="006F7E84">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6F7E84">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6F7E84">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6F7E84">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6F7E84">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6F7E84">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6F7E84">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6F7E84">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6F7E84">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6F7E84">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6F7E84">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6F7E84">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Surrebuttal</w:t>
            </w:r>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6F7E84">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6F7E84">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6F7E84">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Industrial Intervenors</w:t>
            </w:r>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6F7E84">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6F7E84">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6F7E84">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6F7E84">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6F7E84">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6F7E84">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6F7E84">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6F7E84">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6F7E84">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6F7E84">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6F7E84">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6F7E84">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6F7E84">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6F7E84">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Hunt family acquisition of Oncor; transaction structure; income tax savings from real estate investment trust (REIT) structure; conditions.</w:t>
            </w:r>
          </w:p>
        </w:tc>
      </w:tr>
      <w:tr w:rsidR="00E2704A" w:rsidRPr="00E2704A" w14:paraId="7AC1185F" w14:textId="77777777" w:rsidTr="006F7E84">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t>Surrebuttal,</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6F7E84">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Bandwidth Formula: Capital structure, fuel inventory, Waterford 3 sale/leaseback, Vidalia purchased power, </w:t>
            </w:r>
            <w:proofErr w:type="spellStart"/>
            <w:r w:rsidRPr="00E2704A">
              <w:rPr>
                <w:rFonts w:ascii="Arial Narrow" w:hAnsi="Arial Narrow"/>
                <w:spacing w:val="-2"/>
                <w:sz w:val="17"/>
              </w:rPr>
              <w:t>ADIT</w:t>
            </w:r>
            <w:proofErr w:type="spellEnd"/>
            <w:r w:rsidRPr="00E2704A">
              <w:rPr>
                <w:rFonts w:ascii="Arial Narrow" w:hAnsi="Arial Narrow"/>
                <w:spacing w:val="-2"/>
                <w:sz w:val="17"/>
              </w:rPr>
              <w:t xml:space="preserve">, </w:t>
            </w:r>
            <w:proofErr w:type="spellStart"/>
            <w:r w:rsidRPr="00E2704A">
              <w:rPr>
                <w:rFonts w:ascii="Arial Narrow" w:hAnsi="Arial Narrow"/>
                <w:spacing w:val="-2"/>
                <w:sz w:val="17"/>
              </w:rPr>
              <w:t>Blythesville</w:t>
            </w:r>
            <w:proofErr w:type="spellEnd"/>
            <w:r w:rsidRPr="00E2704A">
              <w:rPr>
                <w:rFonts w:ascii="Arial Narrow" w:hAnsi="Arial Narrow"/>
                <w:spacing w:val="-2"/>
                <w:sz w:val="17"/>
              </w:rPr>
              <w:t>, Spindletop, River Bend AFUDC, property insurance reserve, nuclear depreciation expense.</w:t>
            </w:r>
          </w:p>
        </w:tc>
      </w:tr>
      <w:tr w:rsidR="00E2704A" w:rsidRPr="00E2704A" w14:paraId="19784EA5" w14:textId="77777777" w:rsidTr="006F7E84">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6F7E84">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6F7E84">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6F7E84">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6F7E84">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6F7E84">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proofErr w:type="spellStart"/>
            <w:r w:rsidRPr="00E2704A">
              <w:rPr>
                <w:rFonts w:ascii="Arial Narrow" w:hAnsi="Arial Narrow"/>
                <w:spacing w:val="-2"/>
                <w:sz w:val="17"/>
              </w:rPr>
              <w:t>Keyspan</w:t>
            </w:r>
            <w:proofErr w:type="spellEnd"/>
            <w:r w:rsidRPr="00E2704A">
              <w:rPr>
                <w:rFonts w:ascii="Arial Narrow" w:hAnsi="Arial Narrow"/>
                <w:spacing w:val="-2"/>
                <w:sz w:val="17"/>
              </w:rPr>
              <w:t xml:space="preserve">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6F7E84">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6F7E84">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6F7E84">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Resources, Inc. / Questar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6F7E84">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6F7E84">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6F7E84">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6F7E84">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w:t>
            </w:r>
            <w:proofErr w:type="spellStart"/>
            <w:r w:rsidRPr="00AF569C">
              <w:rPr>
                <w:rFonts w:ascii="Arial Narrow" w:hAnsi="Arial Narrow"/>
                <w:spacing w:val="-2"/>
                <w:sz w:val="17"/>
                <w:lang w:val="es-US"/>
              </w:rPr>
              <w:t>390P</w:t>
            </w:r>
            <w:proofErr w:type="spellEnd"/>
            <w:r w:rsidRPr="00AF569C">
              <w:rPr>
                <w:rFonts w:ascii="Arial Narrow" w:hAnsi="Arial Narrow"/>
                <w:spacing w:val="-2"/>
                <w:sz w:val="17"/>
                <w:lang w:val="es-US"/>
              </w:rPr>
              <w:t xml:space="preserve"> (</w:t>
            </w:r>
            <w:proofErr w:type="spellStart"/>
            <w:r w:rsidRPr="00AF569C">
              <w:rPr>
                <w:rFonts w:ascii="Arial Narrow" w:hAnsi="Arial Narrow"/>
                <w:spacing w:val="-2"/>
                <w:sz w:val="17"/>
                <w:lang w:val="es-US"/>
              </w:rPr>
              <w:t>Reopened</w:t>
            </w:r>
            <w:proofErr w:type="spellEnd"/>
            <w:r w:rsidRPr="00AF569C">
              <w:rPr>
                <w:rFonts w:ascii="Arial Narrow" w:hAnsi="Arial Narrow"/>
                <w:spacing w:val="-2"/>
                <w:sz w:val="17"/>
                <w:lang w:val="es-US"/>
              </w:rPr>
              <w:t>)</w:t>
            </w:r>
            <w:r w:rsidRPr="00AF569C">
              <w:rPr>
                <w:rFonts w:ascii="Arial Narrow" w:hAnsi="Arial Narrow"/>
                <w:spacing w:val="-2"/>
                <w:sz w:val="17"/>
                <w:lang w:val="es-US"/>
              </w:rPr>
              <w:br/>
              <w:t>16-0922-G-</w:t>
            </w:r>
            <w:proofErr w:type="spellStart"/>
            <w:r w:rsidRPr="00AF569C">
              <w:rPr>
                <w:rFonts w:ascii="Arial Narrow" w:hAnsi="Arial Narrow"/>
                <w:spacing w:val="-2"/>
                <w:sz w:val="17"/>
                <w:lang w:val="es-US"/>
              </w:rPr>
              <w:t>390P</w:t>
            </w:r>
            <w:proofErr w:type="spellEnd"/>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6F7E84">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6F7E84">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 test year adjust, merger costs, NOL ADIT, incentive compensation, rent.</w:t>
            </w:r>
          </w:p>
        </w:tc>
      </w:tr>
      <w:tr w:rsidR="00E2704A" w:rsidRPr="00E2704A" w14:paraId="326569D3" w14:textId="77777777" w:rsidTr="006F7E84">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Next Era acquisition of Oncor; goodwill, transaction costs, transition costs, cost deferrals, ratemaking issues.</w:t>
            </w:r>
          </w:p>
        </w:tc>
      </w:tr>
      <w:tr w:rsidR="00E2704A" w:rsidRPr="00E2704A" w14:paraId="170D3B63" w14:textId="77777777" w:rsidTr="006F7E84">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6F7E84">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Sharyland Utilities, LP, Sharyland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6F7E84">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6F7E84">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w:t>
            </w:r>
          </w:p>
        </w:tc>
      </w:tr>
      <w:tr w:rsidR="00E2704A" w:rsidRPr="00E2704A" w14:paraId="7D65B321" w14:textId="77777777" w:rsidTr="006F7E84">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6F7E84">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6F7E84">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6F7E84">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 tax abandonment loss.</w:t>
            </w:r>
          </w:p>
        </w:tc>
      </w:tr>
      <w:tr w:rsidR="00E2704A" w:rsidRPr="00E2704A" w14:paraId="0861D5C1" w14:textId="77777777" w:rsidTr="006F7E84">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6F7E84">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6F7E84">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6F7E84">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6F7E84">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6F7E84">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6F7E84">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6F7E84">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t>Surrebuttal</w:t>
            </w:r>
            <w:r w:rsidRPr="00E2704A">
              <w:rPr>
                <w:rFonts w:ascii="Arial Narrow" w:hAnsi="Arial Narrow"/>
                <w:spacing w:val="-2"/>
                <w:sz w:val="17"/>
              </w:rPr>
              <w:br/>
              <w:t>Supplemental Surrebuttal</w:t>
            </w:r>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6F7E84">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6F7E84">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6F7E84">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6F7E84">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Surrebuttal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6F7E84">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6F7E84">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 LLC, Sempra Energy, Sharyland Distribution &amp; Transmission Services, L.L.C.., Sharyland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6F7E84">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6F7E84">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6F7E84">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6F7E84">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4A2268">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r w:rsidR="006F7E84" w:rsidRPr="00AC78A1" w14:paraId="54C0413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32A99ED" w14:textId="141B6F70" w:rsidR="006F7E84" w:rsidRDefault="006F7E84" w:rsidP="004A2268">
            <w:pPr>
              <w:spacing w:before="60" w:after="100"/>
              <w:jc w:val="left"/>
              <w:rPr>
                <w:rFonts w:ascii="Arial Narrow" w:hAnsi="Arial Narrow"/>
                <w:spacing w:val="-2"/>
                <w:sz w:val="17"/>
              </w:rPr>
            </w:pPr>
            <w:r>
              <w:rPr>
                <w:rFonts w:ascii="Arial Narrow" w:hAnsi="Arial Narrow"/>
                <w:spacing w:val="-2"/>
                <w:sz w:val="17"/>
              </w:rPr>
              <w:t>12/19</w:t>
            </w:r>
          </w:p>
        </w:tc>
        <w:tc>
          <w:tcPr>
            <w:tcW w:w="1352" w:type="dxa"/>
            <w:tcBorders>
              <w:top w:val="nil"/>
              <w:left w:val="nil"/>
              <w:bottom w:val="nil"/>
              <w:right w:val="nil"/>
            </w:tcBorders>
          </w:tcPr>
          <w:p w14:paraId="345FD2D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2019-00271</w:t>
            </w:r>
          </w:p>
        </w:tc>
        <w:tc>
          <w:tcPr>
            <w:tcW w:w="981" w:type="dxa"/>
            <w:tcBorders>
              <w:top w:val="nil"/>
              <w:left w:val="nil"/>
              <w:bottom w:val="nil"/>
              <w:right w:val="nil"/>
            </w:tcBorders>
          </w:tcPr>
          <w:p w14:paraId="5B296A3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EDC721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4A12638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Kentucky</w:t>
            </w:r>
          </w:p>
        </w:tc>
        <w:tc>
          <w:tcPr>
            <w:tcW w:w="3446" w:type="dxa"/>
            <w:tcBorders>
              <w:top w:val="nil"/>
              <w:left w:val="nil"/>
              <w:bottom w:val="nil"/>
              <w:right w:val="nil"/>
            </w:tcBorders>
          </w:tcPr>
          <w:p w14:paraId="3E8022B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ADIT, EDIT, CWC, payroll expense, incentive compensation expense, depreciation rates, pilot programs</w:t>
            </w:r>
          </w:p>
        </w:tc>
      </w:tr>
      <w:tr w:rsidR="006F7E84" w:rsidRPr="00AC78A1" w14:paraId="758272B6"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E937F9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05/20</w:t>
            </w:r>
          </w:p>
        </w:tc>
        <w:tc>
          <w:tcPr>
            <w:tcW w:w="1352" w:type="dxa"/>
            <w:tcBorders>
              <w:top w:val="nil"/>
              <w:left w:val="nil"/>
              <w:bottom w:val="nil"/>
              <w:right w:val="nil"/>
            </w:tcBorders>
          </w:tcPr>
          <w:p w14:paraId="2B92100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202000067-EI</w:t>
            </w:r>
          </w:p>
        </w:tc>
        <w:tc>
          <w:tcPr>
            <w:tcW w:w="981" w:type="dxa"/>
            <w:tcBorders>
              <w:top w:val="nil"/>
              <w:left w:val="nil"/>
              <w:bottom w:val="nil"/>
              <w:right w:val="nil"/>
            </w:tcBorders>
          </w:tcPr>
          <w:p w14:paraId="1D7CDBE5"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5A0C986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303EF0A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w:t>
            </w:r>
          </w:p>
        </w:tc>
        <w:tc>
          <w:tcPr>
            <w:tcW w:w="3446" w:type="dxa"/>
            <w:tcBorders>
              <w:top w:val="nil"/>
              <w:left w:val="nil"/>
              <w:bottom w:val="nil"/>
              <w:right w:val="nil"/>
            </w:tcBorders>
          </w:tcPr>
          <w:p w14:paraId="79A2CC3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w:t>
            </w:r>
          </w:p>
        </w:tc>
      </w:tr>
      <w:tr w:rsidR="006F7E84" w:rsidRPr="00AC78A1" w14:paraId="0F9D176D"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877AAA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06/20</w:t>
            </w:r>
          </w:p>
        </w:tc>
        <w:tc>
          <w:tcPr>
            <w:tcW w:w="1352" w:type="dxa"/>
            <w:tcBorders>
              <w:top w:val="nil"/>
              <w:left w:val="nil"/>
              <w:bottom w:val="nil"/>
              <w:right w:val="nil"/>
            </w:tcBorders>
          </w:tcPr>
          <w:p w14:paraId="11D9955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20190038-EI</w:t>
            </w:r>
          </w:p>
        </w:tc>
        <w:tc>
          <w:tcPr>
            <w:tcW w:w="981" w:type="dxa"/>
            <w:tcBorders>
              <w:top w:val="nil"/>
              <w:left w:val="nil"/>
              <w:bottom w:val="nil"/>
              <w:right w:val="nil"/>
            </w:tcBorders>
          </w:tcPr>
          <w:p w14:paraId="6343F76F"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417857A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40C89FC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Gulf Power Company</w:t>
            </w:r>
          </w:p>
        </w:tc>
        <w:tc>
          <w:tcPr>
            <w:tcW w:w="3446" w:type="dxa"/>
            <w:tcBorders>
              <w:top w:val="nil"/>
              <w:left w:val="nil"/>
              <w:bottom w:val="nil"/>
              <w:right w:val="nil"/>
            </w:tcBorders>
          </w:tcPr>
          <w:p w14:paraId="6BA7636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 Michael costs.</w:t>
            </w:r>
          </w:p>
        </w:tc>
      </w:tr>
      <w:tr w:rsidR="006F7E84" w:rsidRPr="00AC78A1" w14:paraId="05752E0B"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8985C4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07/20</w:t>
            </w:r>
            <w:r>
              <w:rPr>
                <w:rFonts w:ascii="Arial Narrow" w:hAnsi="Arial Narrow"/>
                <w:spacing w:val="-2"/>
                <w:sz w:val="17"/>
              </w:rPr>
              <w:br/>
            </w:r>
            <w:r>
              <w:rPr>
                <w:rFonts w:ascii="Arial Narrow" w:hAnsi="Arial Narrow"/>
                <w:spacing w:val="-2"/>
                <w:sz w:val="17"/>
              </w:rPr>
              <w:br/>
              <w:t>09/20</w:t>
            </w:r>
          </w:p>
        </w:tc>
        <w:tc>
          <w:tcPr>
            <w:tcW w:w="1352" w:type="dxa"/>
            <w:tcBorders>
              <w:top w:val="nil"/>
              <w:left w:val="nil"/>
              <w:bottom w:val="nil"/>
              <w:right w:val="nil"/>
            </w:tcBorders>
          </w:tcPr>
          <w:p w14:paraId="28190C07" w14:textId="77777777" w:rsidR="006F7E84" w:rsidRDefault="006F7E84" w:rsidP="004A2268">
            <w:pPr>
              <w:keepNext/>
              <w:keepLines/>
              <w:pageBreakBefore/>
              <w:spacing w:before="60" w:after="100"/>
              <w:jc w:val="left"/>
              <w:rPr>
                <w:rFonts w:ascii="Arial Narrow" w:hAnsi="Arial Narrow"/>
                <w:spacing w:val="-2"/>
                <w:sz w:val="17"/>
              </w:rPr>
            </w:pPr>
            <w:proofErr w:type="spellStart"/>
            <w:r>
              <w:rPr>
                <w:rFonts w:ascii="Arial Narrow" w:hAnsi="Arial Narrow"/>
                <w:spacing w:val="-2"/>
                <w:sz w:val="17"/>
              </w:rPr>
              <w:t>PUR</w:t>
            </w:r>
            <w:proofErr w:type="spellEnd"/>
            <w:r>
              <w:rPr>
                <w:rFonts w:ascii="Arial Narrow" w:hAnsi="Arial Narrow"/>
                <w:spacing w:val="-2"/>
                <w:sz w:val="17"/>
              </w:rPr>
              <w:t>-2020-00015</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63EF2229"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VA</w:t>
            </w:r>
          </w:p>
        </w:tc>
        <w:tc>
          <w:tcPr>
            <w:tcW w:w="1885" w:type="dxa"/>
            <w:tcBorders>
              <w:top w:val="nil"/>
              <w:left w:val="nil"/>
              <w:bottom w:val="nil"/>
              <w:right w:val="nil"/>
            </w:tcBorders>
          </w:tcPr>
          <w:p w14:paraId="67FE72E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Old Dominion Committee for Fair Utility Rates</w:t>
            </w:r>
          </w:p>
        </w:tc>
        <w:tc>
          <w:tcPr>
            <w:tcW w:w="1526" w:type="dxa"/>
            <w:tcBorders>
              <w:top w:val="nil"/>
              <w:left w:val="nil"/>
              <w:bottom w:val="nil"/>
              <w:right w:val="nil"/>
            </w:tcBorders>
          </w:tcPr>
          <w:p w14:paraId="278A28D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Appalachian Power Company</w:t>
            </w:r>
          </w:p>
        </w:tc>
        <w:tc>
          <w:tcPr>
            <w:tcW w:w="3446" w:type="dxa"/>
            <w:tcBorders>
              <w:top w:val="nil"/>
              <w:left w:val="nil"/>
              <w:bottom w:val="nil"/>
              <w:right w:val="nil"/>
            </w:tcBorders>
          </w:tcPr>
          <w:p w14:paraId="7A4D6052"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Coal Amortization Rider, storm damage, prepaid pension and OPEB assets, return on joint-use assets.</w:t>
            </w:r>
          </w:p>
        </w:tc>
      </w:tr>
      <w:tr w:rsidR="006F7E84" w:rsidRPr="00AC78A1" w14:paraId="71E53B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B74000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07/20</w:t>
            </w:r>
            <w:r>
              <w:rPr>
                <w:rFonts w:ascii="Arial Narrow" w:hAnsi="Arial Narrow"/>
                <w:spacing w:val="-2"/>
                <w:sz w:val="17"/>
              </w:rPr>
              <w:br/>
            </w:r>
            <w:r>
              <w:rPr>
                <w:rFonts w:ascii="Arial Narrow" w:hAnsi="Arial Narrow"/>
                <w:spacing w:val="-2"/>
                <w:sz w:val="17"/>
              </w:rPr>
              <w:br/>
              <w:t>09/20</w:t>
            </w:r>
          </w:p>
        </w:tc>
        <w:tc>
          <w:tcPr>
            <w:tcW w:w="1352" w:type="dxa"/>
            <w:tcBorders>
              <w:top w:val="nil"/>
              <w:left w:val="nil"/>
              <w:bottom w:val="nil"/>
              <w:right w:val="nil"/>
            </w:tcBorders>
          </w:tcPr>
          <w:p w14:paraId="2C32414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2019-226-E</w:t>
            </w:r>
            <w:r>
              <w:rPr>
                <w:rFonts w:ascii="Arial Narrow" w:hAnsi="Arial Narrow"/>
                <w:spacing w:val="-2"/>
                <w:sz w:val="17"/>
              </w:rPr>
              <w:br/>
              <w:t>Direct</w:t>
            </w:r>
            <w:r>
              <w:rPr>
                <w:rFonts w:ascii="Arial Narrow" w:hAnsi="Arial Narrow"/>
                <w:spacing w:val="-2"/>
                <w:sz w:val="17"/>
              </w:rPr>
              <w:br/>
            </w:r>
            <w:proofErr w:type="spellStart"/>
            <w:r>
              <w:rPr>
                <w:rFonts w:ascii="Arial Narrow" w:hAnsi="Arial Narrow"/>
                <w:spacing w:val="-2"/>
                <w:sz w:val="17"/>
              </w:rPr>
              <w:t>Surrebbutal</w:t>
            </w:r>
            <w:proofErr w:type="spellEnd"/>
          </w:p>
        </w:tc>
        <w:tc>
          <w:tcPr>
            <w:tcW w:w="981" w:type="dxa"/>
            <w:tcBorders>
              <w:top w:val="nil"/>
              <w:left w:val="nil"/>
              <w:bottom w:val="nil"/>
              <w:right w:val="nil"/>
            </w:tcBorders>
          </w:tcPr>
          <w:p w14:paraId="1EFED26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30DA873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4A81517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Dominion Energy South Carolina</w:t>
            </w:r>
          </w:p>
        </w:tc>
        <w:tc>
          <w:tcPr>
            <w:tcW w:w="3446" w:type="dxa"/>
            <w:tcBorders>
              <w:top w:val="nil"/>
              <w:left w:val="nil"/>
              <w:bottom w:val="nil"/>
              <w:right w:val="nil"/>
            </w:tcBorders>
          </w:tcPr>
          <w:p w14:paraId="5E1F4D4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Integrated Resource Plan.</w:t>
            </w:r>
          </w:p>
        </w:tc>
      </w:tr>
      <w:tr w:rsidR="006F7E84" w:rsidRPr="00AC78A1" w14:paraId="5E936142"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21EA32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10/20</w:t>
            </w:r>
          </w:p>
        </w:tc>
        <w:tc>
          <w:tcPr>
            <w:tcW w:w="1352" w:type="dxa"/>
            <w:tcBorders>
              <w:top w:val="nil"/>
              <w:left w:val="nil"/>
              <w:bottom w:val="nil"/>
              <w:right w:val="nil"/>
            </w:tcBorders>
          </w:tcPr>
          <w:p w14:paraId="6C66AD5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2020-00160</w:t>
            </w:r>
          </w:p>
        </w:tc>
        <w:tc>
          <w:tcPr>
            <w:tcW w:w="981" w:type="dxa"/>
            <w:tcBorders>
              <w:top w:val="nil"/>
              <w:left w:val="nil"/>
              <w:bottom w:val="nil"/>
              <w:right w:val="nil"/>
            </w:tcBorders>
          </w:tcPr>
          <w:p w14:paraId="3A13F09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A00CA1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7B54840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Water Service Corporation of Kentucky</w:t>
            </w:r>
          </w:p>
        </w:tc>
        <w:tc>
          <w:tcPr>
            <w:tcW w:w="3446" w:type="dxa"/>
            <w:tcBorders>
              <w:top w:val="nil"/>
              <w:left w:val="nil"/>
              <w:bottom w:val="nil"/>
              <w:right w:val="nil"/>
            </w:tcBorders>
          </w:tcPr>
          <w:p w14:paraId="745AE86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Return on rate base v. operating ratio.</w:t>
            </w:r>
          </w:p>
        </w:tc>
      </w:tr>
      <w:tr w:rsidR="006F7E84" w:rsidRPr="00AC78A1" w14:paraId="76D95882"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6FBB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10/20</w:t>
            </w:r>
          </w:p>
        </w:tc>
        <w:tc>
          <w:tcPr>
            <w:tcW w:w="1352" w:type="dxa"/>
            <w:tcBorders>
              <w:top w:val="nil"/>
              <w:left w:val="nil"/>
              <w:bottom w:val="nil"/>
              <w:right w:val="nil"/>
            </w:tcBorders>
          </w:tcPr>
          <w:p w14:paraId="41F3740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2020-00174</w:t>
            </w:r>
          </w:p>
        </w:tc>
        <w:tc>
          <w:tcPr>
            <w:tcW w:w="981" w:type="dxa"/>
            <w:tcBorders>
              <w:top w:val="nil"/>
              <w:left w:val="nil"/>
              <w:bottom w:val="nil"/>
              <w:right w:val="nil"/>
            </w:tcBorders>
          </w:tcPr>
          <w:p w14:paraId="33B7BEA9"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B1A2C1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261B42C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7EDCC75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Rate base v. capitalization, Rockport UPA, prepaid pension and OPEB, cash working capital, incentive compensation, Rockport 2 depreciation expense, EDIT, AMI, grid modernization rider.</w:t>
            </w:r>
          </w:p>
        </w:tc>
      </w:tr>
      <w:tr w:rsidR="006F7E84" w:rsidRPr="00AC78A1" w14:paraId="70113DE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B255AB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11/20</w:t>
            </w:r>
            <w:r>
              <w:rPr>
                <w:rFonts w:ascii="Arial Narrow" w:hAnsi="Arial Narrow"/>
                <w:spacing w:val="-2"/>
                <w:sz w:val="17"/>
              </w:rPr>
              <w:br/>
            </w:r>
            <w:r>
              <w:rPr>
                <w:rFonts w:ascii="Arial Narrow" w:hAnsi="Arial Narrow"/>
                <w:spacing w:val="-2"/>
                <w:sz w:val="17"/>
              </w:rPr>
              <w:br/>
              <w:t>12/20</w:t>
            </w:r>
          </w:p>
        </w:tc>
        <w:tc>
          <w:tcPr>
            <w:tcW w:w="1352" w:type="dxa"/>
            <w:tcBorders>
              <w:top w:val="nil"/>
              <w:left w:val="nil"/>
              <w:bottom w:val="nil"/>
              <w:right w:val="nil"/>
            </w:tcBorders>
          </w:tcPr>
          <w:p w14:paraId="33157F63"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2020-125-E</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5AC4C43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49A773B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380F7DF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Dominion Energy South Carolina</w:t>
            </w:r>
          </w:p>
        </w:tc>
        <w:tc>
          <w:tcPr>
            <w:tcW w:w="3446" w:type="dxa"/>
            <w:tcBorders>
              <w:top w:val="nil"/>
              <w:left w:val="nil"/>
              <w:bottom w:val="nil"/>
              <w:right w:val="nil"/>
            </w:tcBorders>
          </w:tcPr>
          <w:p w14:paraId="455F3216"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Summer 2 and 3 cancelled plant and transmission cost recovery; TCJA; regulatory assets.</w:t>
            </w:r>
          </w:p>
        </w:tc>
      </w:tr>
      <w:tr w:rsidR="006F7E84" w:rsidRPr="00AC78A1" w14:paraId="1F42472A"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0816EF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12/20</w:t>
            </w:r>
          </w:p>
        </w:tc>
        <w:tc>
          <w:tcPr>
            <w:tcW w:w="1352" w:type="dxa"/>
            <w:tcBorders>
              <w:top w:val="nil"/>
              <w:left w:val="nil"/>
              <w:bottom w:val="nil"/>
              <w:right w:val="nil"/>
            </w:tcBorders>
          </w:tcPr>
          <w:p w14:paraId="608AA05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2020172-EI</w:t>
            </w:r>
          </w:p>
        </w:tc>
        <w:tc>
          <w:tcPr>
            <w:tcW w:w="981" w:type="dxa"/>
            <w:tcBorders>
              <w:top w:val="nil"/>
              <w:left w:val="nil"/>
              <w:bottom w:val="nil"/>
              <w:right w:val="nil"/>
            </w:tcBorders>
          </w:tcPr>
          <w:p w14:paraId="4135322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30D2874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179D22C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Florida Power &amp; Light Company</w:t>
            </w:r>
          </w:p>
        </w:tc>
        <w:tc>
          <w:tcPr>
            <w:tcW w:w="3446" w:type="dxa"/>
            <w:tcBorders>
              <w:top w:val="nil"/>
              <w:left w:val="nil"/>
              <w:bottom w:val="nil"/>
              <w:right w:val="nil"/>
            </w:tcBorders>
          </w:tcPr>
          <w:p w14:paraId="024B568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 Dorian costs.</w:t>
            </w:r>
          </w:p>
        </w:tc>
      </w:tr>
      <w:tr w:rsidR="006F7E84" w:rsidRPr="00AC78A1" w14:paraId="732CBFC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CB0E7D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12/20</w:t>
            </w:r>
          </w:p>
        </w:tc>
        <w:tc>
          <w:tcPr>
            <w:tcW w:w="1352" w:type="dxa"/>
            <w:tcBorders>
              <w:top w:val="nil"/>
              <w:left w:val="nil"/>
              <w:bottom w:val="nil"/>
              <w:right w:val="nil"/>
            </w:tcBorders>
          </w:tcPr>
          <w:p w14:paraId="39BBA5F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6EDB7DD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7576FA3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706A05D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2E6EFEA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VCM23, Vogtle 3 and 4 rate impact analyses.</w:t>
            </w:r>
          </w:p>
        </w:tc>
      </w:tr>
      <w:tr w:rsidR="006F7E84" w:rsidRPr="00AC78A1" w14:paraId="6D521D2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6C7524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02/21</w:t>
            </w:r>
            <w:r>
              <w:rPr>
                <w:rFonts w:ascii="Arial Narrow" w:hAnsi="Arial Narrow"/>
                <w:spacing w:val="-2"/>
                <w:sz w:val="17"/>
              </w:rPr>
              <w:br/>
            </w:r>
            <w:r>
              <w:rPr>
                <w:rFonts w:ascii="Arial Narrow" w:hAnsi="Arial Narrow"/>
                <w:spacing w:val="-2"/>
                <w:sz w:val="17"/>
              </w:rPr>
              <w:br/>
            </w:r>
            <w:r>
              <w:rPr>
                <w:rFonts w:ascii="Arial Narrow" w:hAnsi="Arial Narrow"/>
                <w:spacing w:val="-2"/>
                <w:sz w:val="17"/>
              </w:rPr>
              <w:br/>
              <w:t>04/21</w:t>
            </w:r>
          </w:p>
        </w:tc>
        <w:tc>
          <w:tcPr>
            <w:tcW w:w="1352" w:type="dxa"/>
            <w:tcBorders>
              <w:top w:val="nil"/>
              <w:left w:val="nil"/>
              <w:bottom w:val="nil"/>
              <w:right w:val="nil"/>
            </w:tcBorders>
          </w:tcPr>
          <w:p w14:paraId="77AD0F3D"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2019-224-E</w:t>
            </w:r>
            <w:r>
              <w:rPr>
                <w:rFonts w:ascii="Arial Narrow" w:hAnsi="Arial Narrow"/>
                <w:spacing w:val="-2"/>
                <w:sz w:val="17"/>
              </w:rPr>
              <w:br/>
              <w:t>2019-225-E</w:t>
            </w:r>
            <w:r>
              <w:rPr>
                <w:rFonts w:ascii="Arial Narrow" w:hAnsi="Arial Narrow"/>
                <w:spacing w:val="-2"/>
                <w:sz w:val="17"/>
              </w:rPr>
              <w:br/>
              <w:t>Direct</w:t>
            </w:r>
            <w:r>
              <w:rPr>
                <w:rFonts w:ascii="Arial Narrow" w:hAnsi="Arial Narrow"/>
                <w:spacing w:val="-2"/>
                <w:sz w:val="17"/>
              </w:rPr>
              <w:br/>
              <w:t>Surrebuttal</w:t>
            </w:r>
          </w:p>
        </w:tc>
        <w:tc>
          <w:tcPr>
            <w:tcW w:w="981" w:type="dxa"/>
            <w:tcBorders>
              <w:top w:val="nil"/>
              <w:left w:val="nil"/>
              <w:bottom w:val="nil"/>
              <w:right w:val="nil"/>
            </w:tcBorders>
          </w:tcPr>
          <w:p w14:paraId="452E8B00"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SC</w:t>
            </w:r>
          </w:p>
        </w:tc>
        <w:tc>
          <w:tcPr>
            <w:tcW w:w="1885" w:type="dxa"/>
            <w:tcBorders>
              <w:top w:val="nil"/>
              <w:left w:val="nil"/>
              <w:bottom w:val="nil"/>
              <w:right w:val="nil"/>
            </w:tcBorders>
          </w:tcPr>
          <w:p w14:paraId="259751F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Regulatory Staff</w:t>
            </w:r>
          </w:p>
        </w:tc>
        <w:tc>
          <w:tcPr>
            <w:tcW w:w="1526" w:type="dxa"/>
            <w:tcBorders>
              <w:top w:val="nil"/>
              <w:left w:val="nil"/>
              <w:bottom w:val="nil"/>
              <w:right w:val="nil"/>
            </w:tcBorders>
          </w:tcPr>
          <w:p w14:paraId="392F8DA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Carolinas, LLC, Duke Energy Progress, LLC</w:t>
            </w:r>
          </w:p>
        </w:tc>
        <w:tc>
          <w:tcPr>
            <w:tcW w:w="3446" w:type="dxa"/>
            <w:tcBorders>
              <w:top w:val="nil"/>
              <w:left w:val="nil"/>
              <w:bottom w:val="nil"/>
              <w:right w:val="nil"/>
            </w:tcBorders>
          </w:tcPr>
          <w:p w14:paraId="705AFAB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Integrated Resource Plans.</w:t>
            </w:r>
          </w:p>
        </w:tc>
      </w:tr>
      <w:tr w:rsidR="006F7E84" w:rsidRPr="00AC78A1" w14:paraId="082C248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0234F14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03/21</w:t>
            </w:r>
          </w:p>
        </w:tc>
        <w:tc>
          <w:tcPr>
            <w:tcW w:w="1352" w:type="dxa"/>
            <w:tcBorders>
              <w:top w:val="nil"/>
              <w:left w:val="nil"/>
              <w:bottom w:val="nil"/>
              <w:right w:val="nil"/>
            </w:tcBorders>
          </w:tcPr>
          <w:p w14:paraId="44190CB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51611</w:t>
            </w:r>
          </w:p>
        </w:tc>
        <w:tc>
          <w:tcPr>
            <w:tcW w:w="981" w:type="dxa"/>
            <w:tcBorders>
              <w:top w:val="nil"/>
              <w:left w:val="nil"/>
              <w:bottom w:val="nil"/>
              <w:right w:val="nil"/>
            </w:tcBorders>
          </w:tcPr>
          <w:p w14:paraId="100A36E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TX</w:t>
            </w:r>
          </w:p>
        </w:tc>
        <w:tc>
          <w:tcPr>
            <w:tcW w:w="1885" w:type="dxa"/>
            <w:tcBorders>
              <w:top w:val="nil"/>
              <w:left w:val="nil"/>
              <w:bottom w:val="nil"/>
              <w:right w:val="nil"/>
            </w:tcBorders>
          </w:tcPr>
          <w:p w14:paraId="72E92C0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Steering Committee of Cities Served by Oncor</w:t>
            </w:r>
          </w:p>
        </w:tc>
        <w:tc>
          <w:tcPr>
            <w:tcW w:w="1526" w:type="dxa"/>
            <w:tcBorders>
              <w:top w:val="nil"/>
              <w:left w:val="nil"/>
              <w:bottom w:val="nil"/>
              <w:right w:val="nil"/>
            </w:tcBorders>
          </w:tcPr>
          <w:p w14:paraId="764A3EB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Sharyland Utilities, L.L.C.</w:t>
            </w:r>
          </w:p>
        </w:tc>
        <w:tc>
          <w:tcPr>
            <w:tcW w:w="3446" w:type="dxa"/>
            <w:tcBorders>
              <w:top w:val="nil"/>
              <w:left w:val="nil"/>
              <w:bottom w:val="nil"/>
              <w:right w:val="nil"/>
            </w:tcBorders>
          </w:tcPr>
          <w:p w14:paraId="1955B5C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ADIT, capital structure, return on equity.</w:t>
            </w:r>
          </w:p>
        </w:tc>
      </w:tr>
      <w:tr w:rsidR="006F7E84" w14:paraId="7F35080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3BC7124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03/21</w:t>
            </w:r>
          </w:p>
        </w:tc>
        <w:tc>
          <w:tcPr>
            <w:tcW w:w="1352" w:type="dxa"/>
            <w:tcBorders>
              <w:top w:val="nil"/>
              <w:left w:val="nil"/>
              <w:bottom w:val="nil"/>
              <w:right w:val="nil"/>
            </w:tcBorders>
          </w:tcPr>
          <w:p w14:paraId="5F15361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2020-00349</w:t>
            </w:r>
            <w:r>
              <w:rPr>
                <w:rFonts w:ascii="Arial Narrow" w:hAnsi="Arial Narrow"/>
                <w:spacing w:val="-2"/>
                <w:sz w:val="17"/>
              </w:rPr>
              <w:br/>
              <w:t>2020-00350</w:t>
            </w:r>
          </w:p>
        </w:tc>
        <w:tc>
          <w:tcPr>
            <w:tcW w:w="981" w:type="dxa"/>
            <w:tcBorders>
              <w:top w:val="nil"/>
              <w:left w:val="nil"/>
              <w:bottom w:val="nil"/>
              <w:right w:val="nil"/>
            </w:tcBorders>
          </w:tcPr>
          <w:p w14:paraId="4BC8D35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7260994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7EE52F7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Utilities Company and Louisville Gas and Electric Company</w:t>
            </w:r>
          </w:p>
        </w:tc>
        <w:tc>
          <w:tcPr>
            <w:tcW w:w="3446" w:type="dxa"/>
            <w:tcBorders>
              <w:top w:val="nil"/>
              <w:left w:val="nil"/>
              <w:bottom w:val="nil"/>
              <w:right w:val="nil"/>
            </w:tcBorders>
          </w:tcPr>
          <w:p w14:paraId="395B50B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 xml:space="preserve">Rate base v. capitalization, retired plant costs, depreciation, securitization, staffing + payroll, </w:t>
            </w:r>
            <w:r>
              <w:rPr>
                <w:rFonts w:ascii="Arial Narrow" w:hAnsi="Arial Narrow"/>
                <w:spacing w:val="-2"/>
                <w:sz w:val="17"/>
              </w:rPr>
              <w:br/>
              <w:t>pension + OPEB, AMI, off-system sales margins.</w:t>
            </w:r>
          </w:p>
        </w:tc>
      </w:tr>
      <w:tr w:rsidR="006F7E84" w14:paraId="69A51C3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3082A6B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04/21</w:t>
            </w:r>
            <w:r>
              <w:rPr>
                <w:rFonts w:ascii="Arial Narrow" w:hAnsi="Arial Narrow"/>
                <w:spacing w:val="-2"/>
                <w:sz w:val="17"/>
              </w:rPr>
              <w:br/>
              <w:t>Direct</w:t>
            </w:r>
          </w:p>
          <w:p w14:paraId="1F420210" w14:textId="77777777" w:rsidR="006F7E84" w:rsidRDefault="006F7E84" w:rsidP="004A2268">
            <w:pPr>
              <w:spacing w:before="60" w:after="100"/>
              <w:jc w:val="left"/>
              <w:rPr>
                <w:rFonts w:ascii="Arial Narrow" w:hAnsi="Arial Narrow"/>
                <w:spacing w:val="-2"/>
                <w:sz w:val="17"/>
              </w:rPr>
            </w:pPr>
          </w:p>
          <w:p w14:paraId="4255DBE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07/21</w:t>
            </w:r>
          </w:p>
        </w:tc>
        <w:tc>
          <w:tcPr>
            <w:tcW w:w="1352" w:type="dxa"/>
            <w:tcBorders>
              <w:top w:val="nil"/>
              <w:left w:val="nil"/>
              <w:bottom w:val="nil"/>
              <w:right w:val="nil"/>
            </w:tcBorders>
          </w:tcPr>
          <w:p w14:paraId="72E220AE"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18-857-EL-UNC</w:t>
            </w:r>
            <w:r>
              <w:rPr>
                <w:rFonts w:ascii="Arial Narrow" w:hAnsi="Arial Narrow"/>
                <w:spacing w:val="-2"/>
                <w:sz w:val="17"/>
              </w:rPr>
              <w:br/>
              <w:t>19-1338-EL-UNC</w:t>
            </w:r>
            <w:r>
              <w:rPr>
                <w:rFonts w:ascii="Arial Narrow" w:hAnsi="Arial Narrow"/>
                <w:spacing w:val="-2"/>
                <w:sz w:val="17"/>
              </w:rPr>
              <w:br/>
              <w:t>20-1034-EL-UNC</w:t>
            </w:r>
            <w:r>
              <w:rPr>
                <w:rFonts w:ascii="Arial Narrow" w:hAnsi="Arial Narrow"/>
                <w:spacing w:val="-2"/>
                <w:sz w:val="17"/>
              </w:rPr>
              <w:br/>
              <w:t>20-1476-EL-UNC</w:t>
            </w:r>
            <w:r>
              <w:rPr>
                <w:rFonts w:ascii="Arial Narrow" w:hAnsi="Arial Narrow"/>
                <w:spacing w:val="-2"/>
                <w:sz w:val="17"/>
              </w:rPr>
              <w:br/>
              <w:t>Supplemental Direct</w:t>
            </w:r>
          </w:p>
        </w:tc>
        <w:tc>
          <w:tcPr>
            <w:tcW w:w="981" w:type="dxa"/>
            <w:tcBorders>
              <w:top w:val="nil"/>
              <w:left w:val="nil"/>
              <w:bottom w:val="nil"/>
              <w:right w:val="nil"/>
            </w:tcBorders>
          </w:tcPr>
          <w:p w14:paraId="680CA56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OH</w:t>
            </w:r>
          </w:p>
        </w:tc>
        <w:tc>
          <w:tcPr>
            <w:tcW w:w="1885" w:type="dxa"/>
            <w:tcBorders>
              <w:top w:val="nil"/>
              <w:left w:val="nil"/>
              <w:bottom w:val="nil"/>
              <w:right w:val="nil"/>
            </w:tcBorders>
          </w:tcPr>
          <w:p w14:paraId="4832335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The Ohio Energy Group</w:t>
            </w:r>
          </w:p>
        </w:tc>
        <w:tc>
          <w:tcPr>
            <w:tcW w:w="1526" w:type="dxa"/>
            <w:tcBorders>
              <w:top w:val="nil"/>
              <w:left w:val="nil"/>
              <w:bottom w:val="nil"/>
              <w:right w:val="nil"/>
            </w:tcBorders>
          </w:tcPr>
          <w:p w14:paraId="48E9538C" w14:textId="05FD3F97" w:rsidR="006F7E84" w:rsidRDefault="006F7E84" w:rsidP="004A2268">
            <w:pPr>
              <w:spacing w:before="60" w:after="100"/>
              <w:jc w:val="left"/>
              <w:rPr>
                <w:rFonts w:ascii="Arial Narrow" w:hAnsi="Arial Narrow"/>
                <w:spacing w:val="-2"/>
                <w:sz w:val="17"/>
              </w:rPr>
            </w:pPr>
            <w:r>
              <w:rPr>
                <w:rFonts w:ascii="Arial Narrow" w:hAnsi="Arial Narrow"/>
                <w:spacing w:val="-2"/>
                <w:sz w:val="17"/>
              </w:rPr>
              <w:t>First Energy Ohio Companies</w:t>
            </w:r>
          </w:p>
        </w:tc>
        <w:tc>
          <w:tcPr>
            <w:tcW w:w="3446" w:type="dxa"/>
            <w:tcBorders>
              <w:top w:val="nil"/>
              <w:left w:val="nil"/>
              <w:bottom w:val="nil"/>
              <w:right w:val="nil"/>
            </w:tcBorders>
          </w:tcPr>
          <w:p w14:paraId="3A36F6C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Significantly Excessive Earnings Test; legacy nuclear plant costs.</w:t>
            </w:r>
          </w:p>
        </w:tc>
      </w:tr>
      <w:tr w:rsidR="006F7E84" w14:paraId="65D99806"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E3906A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05/21</w:t>
            </w:r>
            <w:r>
              <w:rPr>
                <w:rFonts w:ascii="Arial Narrow" w:hAnsi="Arial Narrow"/>
                <w:spacing w:val="-2"/>
                <w:sz w:val="17"/>
              </w:rPr>
              <w:br/>
            </w:r>
            <w:r>
              <w:rPr>
                <w:rFonts w:ascii="Arial Narrow" w:hAnsi="Arial Narrow"/>
                <w:spacing w:val="-2"/>
                <w:sz w:val="17"/>
              </w:rPr>
              <w:br/>
              <w:t>06/21</w:t>
            </w:r>
          </w:p>
        </w:tc>
        <w:tc>
          <w:tcPr>
            <w:tcW w:w="1352" w:type="dxa"/>
            <w:tcBorders>
              <w:top w:val="nil"/>
              <w:left w:val="nil"/>
              <w:bottom w:val="nil"/>
              <w:right w:val="nil"/>
            </w:tcBorders>
          </w:tcPr>
          <w:p w14:paraId="6CC050B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2021-00004</w:t>
            </w:r>
            <w:r>
              <w:rPr>
                <w:rFonts w:ascii="Arial Narrow" w:hAnsi="Arial Narrow"/>
                <w:spacing w:val="-2"/>
                <w:sz w:val="17"/>
              </w:rPr>
              <w:br/>
              <w:t>Direct</w:t>
            </w:r>
            <w:r>
              <w:rPr>
                <w:rFonts w:ascii="Arial Narrow" w:hAnsi="Arial Narrow"/>
                <w:spacing w:val="-2"/>
                <w:sz w:val="17"/>
              </w:rPr>
              <w:br/>
              <w:t>Supplemental Direct</w:t>
            </w:r>
          </w:p>
        </w:tc>
        <w:tc>
          <w:tcPr>
            <w:tcW w:w="981" w:type="dxa"/>
            <w:tcBorders>
              <w:top w:val="nil"/>
              <w:left w:val="nil"/>
              <w:bottom w:val="nil"/>
              <w:right w:val="nil"/>
            </w:tcBorders>
          </w:tcPr>
          <w:p w14:paraId="28E54AA2"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7F6CEDB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10E8363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3773859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CPCN for CCR/ELG Projects at Mitchell Plant.</w:t>
            </w:r>
          </w:p>
        </w:tc>
      </w:tr>
      <w:tr w:rsidR="006F7E84" w14:paraId="0DDC2A8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7A9FCA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06/21</w:t>
            </w:r>
          </w:p>
        </w:tc>
        <w:tc>
          <w:tcPr>
            <w:tcW w:w="1352" w:type="dxa"/>
            <w:tcBorders>
              <w:top w:val="nil"/>
              <w:left w:val="nil"/>
              <w:bottom w:val="nil"/>
              <w:right w:val="nil"/>
            </w:tcBorders>
          </w:tcPr>
          <w:p w14:paraId="7F4EE17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102C9F0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1ADD685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3AF8D68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774ADBB8"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7F6C00B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257C96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06/21</w:t>
            </w:r>
          </w:p>
        </w:tc>
        <w:tc>
          <w:tcPr>
            <w:tcW w:w="1352" w:type="dxa"/>
            <w:tcBorders>
              <w:top w:val="nil"/>
              <w:left w:val="nil"/>
              <w:bottom w:val="nil"/>
              <w:right w:val="nil"/>
            </w:tcBorders>
          </w:tcPr>
          <w:p w14:paraId="0CD6E1F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2021-00103</w:t>
            </w:r>
          </w:p>
        </w:tc>
        <w:tc>
          <w:tcPr>
            <w:tcW w:w="981" w:type="dxa"/>
            <w:tcBorders>
              <w:top w:val="nil"/>
              <w:left w:val="nil"/>
              <w:bottom w:val="nil"/>
              <w:right w:val="nil"/>
            </w:tcBorders>
          </w:tcPr>
          <w:p w14:paraId="2AA6ACC0"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73DFF3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Nucor Steel Gallatin</w:t>
            </w:r>
          </w:p>
        </w:tc>
        <w:tc>
          <w:tcPr>
            <w:tcW w:w="1526" w:type="dxa"/>
            <w:tcBorders>
              <w:top w:val="nil"/>
              <w:left w:val="nil"/>
              <w:bottom w:val="nil"/>
              <w:right w:val="nil"/>
            </w:tcBorders>
          </w:tcPr>
          <w:p w14:paraId="0073D28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East Kentucky Power Cooperative, Inc.</w:t>
            </w:r>
          </w:p>
        </w:tc>
        <w:tc>
          <w:tcPr>
            <w:tcW w:w="3446" w:type="dxa"/>
            <w:tcBorders>
              <w:top w:val="nil"/>
              <w:left w:val="nil"/>
              <w:bottom w:val="nil"/>
              <w:right w:val="nil"/>
            </w:tcBorders>
          </w:tcPr>
          <w:p w14:paraId="7660ECD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depreciation, interest, TIER, O&amp;M, regulatory asset.</w:t>
            </w:r>
          </w:p>
        </w:tc>
      </w:tr>
      <w:tr w:rsidR="006F7E84" w14:paraId="378A7D9B"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D63C8B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07/21</w:t>
            </w:r>
            <w:r>
              <w:rPr>
                <w:rFonts w:ascii="Arial Narrow" w:hAnsi="Arial Narrow"/>
                <w:spacing w:val="-2"/>
                <w:sz w:val="17"/>
              </w:rPr>
              <w:br/>
            </w:r>
            <w:r>
              <w:rPr>
                <w:rFonts w:ascii="Arial Narrow" w:hAnsi="Arial Narrow"/>
                <w:spacing w:val="-2"/>
                <w:sz w:val="17"/>
              </w:rPr>
              <w:br/>
              <w:t>08/21</w:t>
            </w:r>
            <w:r>
              <w:rPr>
                <w:rFonts w:ascii="Arial Narrow" w:hAnsi="Arial Narrow"/>
                <w:spacing w:val="-2"/>
                <w:sz w:val="17"/>
              </w:rPr>
              <w:br/>
              <w:t>10/21</w:t>
            </w:r>
          </w:p>
        </w:tc>
        <w:tc>
          <w:tcPr>
            <w:tcW w:w="1352" w:type="dxa"/>
            <w:tcBorders>
              <w:top w:val="nil"/>
              <w:left w:val="nil"/>
              <w:bottom w:val="nil"/>
              <w:right w:val="nil"/>
            </w:tcBorders>
          </w:tcPr>
          <w:p w14:paraId="2818E24A"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U-35441</w:t>
            </w:r>
            <w:r>
              <w:rPr>
                <w:rFonts w:ascii="Arial Narrow" w:hAnsi="Arial Narrow"/>
                <w:spacing w:val="-2"/>
                <w:sz w:val="17"/>
              </w:rPr>
              <w:br/>
              <w:t>Direct</w:t>
            </w:r>
            <w:r>
              <w:rPr>
                <w:rFonts w:ascii="Arial Narrow" w:hAnsi="Arial Narrow"/>
                <w:spacing w:val="-2"/>
                <w:sz w:val="17"/>
              </w:rPr>
              <w:br/>
              <w:t>Cross-Answering</w:t>
            </w:r>
            <w:r>
              <w:rPr>
                <w:rFonts w:ascii="Arial Narrow" w:hAnsi="Arial Narrow"/>
                <w:spacing w:val="-2"/>
                <w:sz w:val="17"/>
              </w:rPr>
              <w:br/>
              <w:t>Surrebuttal</w:t>
            </w:r>
            <w:r>
              <w:rPr>
                <w:rFonts w:ascii="Arial Narrow" w:hAnsi="Arial Narrow"/>
                <w:spacing w:val="-2"/>
                <w:sz w:val="17"/>
              </w:rPr>
              <w:br/>
            </w:r>
          </w:p>
        </w:tc>
        <w:tc>
          <w:tcPr>
            <w:tcW w:w="981" w:type="dxa"/>
            <w:tcBorders>
              <w:top w:val="nil"/>
              <w:left w:val="nil"/>
              <w:bottom w:val="nil"/>
              <w:right w:val="nil"/>
            </w:tcBorders>
          </w:tcPr>
          <w:p w14:paraId="5DADEC7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7454E12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774D714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Southwestern Electric Power Company</w:t>
            </w:r>
          </w:p>
        </w:tc>
        <w:tc>
          <w:tcPr>
            <w:tcW w:w="3446" w:type="dxa"/>
            <w:tcBorders>
              <w:top w:val="nil"/>
              <w:left w:val="nil"/>
              <w:bottom w:val="nil"/>
              <w:right w:val="nil"/>
            </w:tcBorders>
          </w:tcPr>
          <w:p w14:paraId="7100675E"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O&amp;M expense, depreciation, retirement rider.</w:t>
            </w:r>
          </w:p>
        </w:tc>
      </w:tr>
      <w:tr w:rsidR="006F7E84" w14:paraId="1288D9F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171E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6D7BBFDF"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2021-00190</w:t>
            </w:r>
          </w:p>
        </w:tc>
        <w:tc>
          <w:tcPr>
            <w:tcW w:w="981" w:type="dxa"/>
            <w:tcBorders>
              <w:top w:val="nil"/>
              <w:left w:val="nil"/>
              <w:bottom w:val="nil"/>
              <w:right w:val="nil"/>
            </w:tcBorders>
          </w:tcPr>
          <w:p w14:paraId="3F7CD21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32955F0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276A733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Duke Energy Kentucky</w:t>
            </w:r>
          </w:p>
        </w:tc>
        <w:tc>
          <w:tcPr>
            <w:tcW w:w="3446" w:type="dxa"/>
            <w:tcBorders>
              <w:top w:val="nil"/>
              <w:left w:val="nil"/>
              <w:bottom w:val="nil"/>
              <w:right w:val="nil"/>
            </w:tcBorders>
          </w:tcPr>
          <w:p w14:paraId="39D3EF1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O&amp;M expense, depreciation, capital structure, cost of long-term debt, government mandate rider.</w:t>
            </w:r>
          </w:p>
        </w:tc>
      </w:tr>
      <w:tr w:rsidR="006F7E84" w14:paraId="736223F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71FB06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05C0268F"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43838</w:t>
            </w:r>
          </w:p>
        </w:tc>
        <w:tc>
          <w:tcPr>
            <w:tcW w:w="981" w:type="dxa"/>
            <w:tcBorders>
              <w:top w:val="nil"/>
              <w:left w:val="nil"/>
              <w:bottom w:val="nil"/>
              <w:right w:val="nil"/>
            </w:tcBorders>
          </w:tcPr>
          <w:p w14:paraId="3793F11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4194376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Public Interest Advocacy Staff</w:t>
            </w:r>
          </w:p>
        </w:tc>
        <w:tc>
          <w:tcPr>
            <w:tcW w:w="1526" w:type="dxa"/>
            <w:tcBorders>
              <w:top w:val="nil"/>
              <w:left w:val="nil"/>
              <w:bottom w:val="nil"/>
              <w:right w:val="nil"/>
            </w:tcBorders>
          </w:tcPr>
          <w:p w14:paraId="6E1F1C0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3A83F53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Vogtle 3 base rates, NCCR rates; deferrals.</w:t>
            </w:r>
          </w:p>
        </w:tc>
      </w:tr>
      <w:tr w:rsidR="006F7E84" w14:paraId="5403B239"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70A289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09/21</w:t>
            </w:r>
          </w:p>
        </w:tc>
        <w:tc>
          <w:tcPr>
            <w:tcW w:w="1352" w:type="dxa"/>
            <w:tcBorders>
              <w:top w:val="nil"/>
              <w:left w:val="nil"/>
              <w:bottom w:val="nil"/>
              <w:right w:val="nil"/>
            </w:tcBorders>
          </w:tcPr>
          <w:p w14:paraId="7BC4513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2021-00214</w:t>
            </w:r>
          </w:p>
        </w:tc>
        <w:tc>
          <w:tcPr>
            <w:tcW w:w="981" w:type="dxa"/>
            <w:tcBorders>
              <w:top w:val="nil"/>
              <w:left w:val="nil"/>
              <w:bottom w:val="nil"/>
              <w:right w:val="nil"/>
            </w:tcBorders>
          </w:tcPr>
          <w:p w14:paraId="356CB0C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5C7923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74406D5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Atmos Energy Corp.</w:t>
            </w:r>
          </w:p>
        </w:tc>
        <w:tc>
          <w:tcPr>
            <w:tcW w:w="3446" w:type="dxa"/>
            <w:tcBorders>
              <w:top w:val="nil"/>
              <w:left w:val="nil"/>
              <w:bottom w:val="nil"/>
              <w:right w:val="nil"/>
            </w:tcBorders>
          </w:tcPr>
          <w:p w14:paraId="66AE9E8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 xml:space="preserve">NOL ADIT, working capital, affiliate expenses, amortization EDIT, capital structure, cost of debt, accelerated replacement </w:t>
            </w:r>
            <w:proofErr w:type="spellStart"/>
            <w:r>
              <w:rPr>
                <w:rFonts w:ascii="Arial Narrow" w:hAnsi="Arial Narrow"/>
                <w:spacing w:val="-2"/>
                <w:sz w:val="17"/>
              </w:rPr>
              <w:t>Aldyl</w:t>
            </w:r>
            <w:proofErr w:type="spellEnd"/>
            <w:r>
              <w:rPr>
                <w:rFonts w:ascii="Arial Narrow" w:hAnsi="Arial Narrow"/>
                <w:spacing w:val="-2"/>
                <w:sz w:val="17"/>
              </w:rPr>
              <w:t xml:space="preserve">-A pipe, </w:t>
            </w:r>
            <w:proofErr w:type="spellStart"/>
            <w:r>
              <w:rPr>
                <w:rFonts w:ascii="Arial Narrow" w:hAnsi="Arial Narrow"/>
                <w:spacing w:val="-2"/>
                <w:sz w:val="17"/>
              </w:rPr>
              <w:t>PRP</w:t>
            </w:r>
            <w:proofErr w:type="spellEnd"/>
            <w:r>
              <w:rPr>
                <w:rFonts w:ascii="Arial Narrow" w:hAnsi="Arial Narrow"/>
                <w:spacing w:val="-2"/>
                <w:sz w:val="17"/>
              </w:rPr>
              <w:t xml:space="preserve"> Rider, Tax Act Adjustment Rider.</w:t>
            </w:r>
          </w:p>
        </w:tc>
      </w:tr>
      <w:tr w:rsidR="006F7E84" w14:paraId="0D3F0FF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CD91C1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12/21</w:t>
            </w:r>
          </w:p>
        </w:tc>
        <w:tc>
          <w:tcPr>
            <w:tcW w:w="1352" w:type="dxa"/>
            <w:tcBorders>
              <w:top w:val="nil"/>
              <w:left w:val="nil"/>
              <w:bottom w:val="nil"/>
              <w:right w:val="nil"/>
            </w:tcBorders>
          </w:tcPr>
          <w:p w14:paraId="20182B20"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5A3B3301"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2C20990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799BC8C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68728AAD"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05FD878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753B5D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01/22</w:t>
            </w:r>
          </w:p>
        </w:tc>
        <w:tc>
          <w:tcPr>
            <w:tcW w:w="1352" w:type="dxa"/>
            <w:tcBorders>
              <w:top w:val="nil"/>
              <w:left w:val="nil"/>
              <w:bottom w:val="nil"/>
              <w:right w:val="nil"/>
            </w:tcBorders>
          </w:tcPr>
          <w:p w14:paraId="7173EDC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2021-00358</w:t>
            </w:r>
          </w:p>
        </w:tc>
        <w:tc>
          <w:tcPr>
            <w:tcW w:w="981" w:type="dxa"/>
            <w:tcBorders>
              <w:top w:val="nil"/>
              <w:left w:val="nil"/>
              <w:bottom w:val="nil"/>
              <w:right w:val="nil"/>
            </w:tcBorders>
          </w:tcPr>
          <w:p w14:paraId="0775714B"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3F87EBBD"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tcPr>
          <w:p w14:paraId="5C6B92E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Jackson Purchase Energy Corporation</w:t>
            </w:r>
          </w:p>
        </w:tc>
        <w:tc>
          <w:tcPr>
            <w:tcW w:w="3446" w:type="dxa"/>
            <w:tcBorders>
              <w:top w:val="nil"/>
              <w:left w:val="nil"/>
              <w:bottom w:val="nil"/>
              <w:right w:val="nil"/>
            </w:tcBorders>
          </w:tcPr>
          <w:p w14:paraId="25F0125F"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nonrecurring expenses, normalized expenses, interest expense, TIER.</w:t>
            </w:r>
          </w:p>
        </w:tc>
      </w:tr>
      <w:tr w:rsidR="006F7E84" w14:paraId="25F585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A45F92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01/22</w:t>
            </w:r>
          </w:p>
        </w:tc>
        <w:tc>
          <w:tcPr>
            <w:tcW w:w="1352" w:type="dxa"/>
            <w:tcBorders>
              <w:top w:val="nil"/>
              <w:left w:val="nil"/>
              <w:bottom w:val="nil"/>
              <w:right w:val="nil"/>
            </w:tcBorders>
          </w:tcPr>
          <w:p w14:paraId="1974FBB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2021-00421</w:t>
            </w:r>
          </w:p>
        </w:tc>
        <w:tc>
          <w:tcPr>
            <w:tcW w:w="981" w:type="dxa"/>
            <w:tcBorders>
              <w:top w:val="nil"/>
              <w:left w:val="nil"/>
              <w:bottom w:val="nil"/>
              <w:right w:val="nil"/>
            </w:tcBorders>
          </w:tcPr>
          <w:p w14:paraId="37E9FA3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2631F70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65DEFE4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36CE5DE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Proposed Mitchell Plant Operations and Maintenance and Ownership Agreements; sale of Mitchell Plant interest.</w:t>
            </w:r>
          </w:p>
        </w:tc>
      </w:tr>
      <w:tr w:rsidR="006F7E84" w14:paraId="054828E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57056DF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02/22</w:t>
            </w:r>
          </w:p>
        </w:tc>
        <w:tc>
          <w:tcPr>
            <w:tcW w:w="1352" w:type="dxa"/>
            <w:tcBorders>
              <w:top w:val="nil"/>
              <w:left w:val="nil"/>
              <w:bottom w:val="nil"/>
              <w:right w:val="nil"/>
            </w:tcBorders>
          </w:tcPr>
          <w:p w14:paraId="0657AF4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2021-00481</w:t>
            </w:r>
          </w:p>
        </w:tc>
        <w:tc>
          <w:tcPr>
            <w:tcW w:w="981" w:type="dxa"/>
            <w:tcBorders>
              <w:top w:val="nil"/>
              <w:left w:val="nil"/>
              <w:bottom w:val="nil"/>
              <w:right w:val="nil"/>
            </w:tcBorders>
          </w:tcPr>
          <w:p w14:paraId="6CEB68B7" w14:textId="77777777" w:rsidR="006F7E84" w:rsidRDefault="006F7E84" w:rsidP="004A2268">
            <w:pPr>
              <w:spacing w:before="60" w:after="100"/>
              <w:jc w:val="left"/>
              <w:rPr>
                <w:rFonts w:ascii="Arial Narrow" w:hAnsi="Arial Narrow"/>
                <w:sz w:val="17"/>
                <w:szCs w:val="17"/>
              </w:rPr>
            </w:pPr>
            <w:proofErr w:type="spellStart"/>
            <w:r>
              <w:rPr>
                <w:rFonts w:ascii="Arial Narrow" w:hAnsi="Arial Narrow"/>
                <w:sz w:val="17"/>
                <w:szCs w:val="17"/>
              </w:rPr>
              <w:t>kY</w:t>
            </w:r>
            <w:proofErr w:type="spellEnd"/>
          </w:p>
        </w:tc>
        <w:tc>
          <w:tcPr>
            <w:tcW w:w="1885" w:type="dxa"/>
            <w:tcBorders>
              <w:top w:val="nil"/>
              <w:left w:val="nil"/>
              <w:bottom w:val="nil"/>
              <w:right w:val="nil"/>
            </w:tcBorders>
          </w:tcPr>
          <w:p w14:paraId="1E1D2A5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5FEE412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5246E83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Proposed Liberty Utilities, Inc. acquisition of Kentucky Power Company; harm to customers; conditions to mitigate harm.</w:t>
            </w:r>
          </w:p>
        </w:tc>
      </w:tr>
      <w:tr w:rsidR="006F7E84" w14:paraId="52B5D53E"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hideMark/>
          </w:tcPr>
          <w:p w14:paraId="3C56F1D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03/22</w:t>
            </w:r>
          </w:p>
        </w:tc>
        <w:tc>
          <w:tcPr>
            <w:tcW w:w="1352" w:type="dxa"/>
            <w:tcBorders>
              <w:top w:val="nil"/>
              <w:left w:val="nil"/>
              <w:bottom w:val="nil"/>
              <w:right w:val="nil"/>
            </w:tcBorders>
            <w:hideMark/>
          </w:tcPr>
          <w:p w14:paraId="6E89054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2021-00407</w:t>
            </w:r>
          </w:p>
        </w:tc>
        <w:tc>
          <w:tcPr>
            <w:tcW w:w="981" w:type="dxa"/>
            <w:tcBorders>
              <w:top w:val="nil"/>
              <w:left w:val="nil"/>
              <w:bottom w:val="nil"/>
              <w:right w:val="nil"/>
            </w:tcBorders>
            <w:hideMark/>
          </w:tcPr>
          <w:p w14:paraId="199D0AEE"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hideMark/>
          </w:tcPr>
          <w:p w14:paraId="38B9098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w:t>
            </w:r>
          </w:p>
        </w:tc>
        <w:tc>
          <w:tcPr>
            <w:tcW w:w="1526" w:type="dxa"/>
            <w:tcBorders>
              <w:top w:val="nil"/>
              <w:left w:val="nil"/>
              <w:bottom w:val="nil"/>
              <w:right w:val="nil"/>
            </w:tcBorders>
            <w:hideMark/>
          </w:tcPr>
          <w:p w14:paraId="2DAF5B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South Kentucky Rural Electric Cooperative Corporation</w:t>
            </w:r>
          </w:p>
        </w:tc>
        <w:tc>
          <w:tcPr>
            <w:tcW w:w="3446" w:type="dxa"/>
            <w:tcBorders>
              <w:top w:val="nil"/>
              <w:left w:val="nil"/>
              <w:bottom w:val="nil"/>
              <w:right w:val="nil"/>
            </w:tcBorders>
            <w:hideMark/>
          </w:tcPr>
          <w:p w14:paraId="3B4EA251"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Revenues, interest income, interest expense, TIER, payroll.</w:t>
            </w:r>
          </w:p>
        </w:tc>
      </w:tr>
      <w:tr w:rsidR="006F7E84" w14:paraId="5BA19535"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hideMark/>
          </w:tcPr>
          <w:p w14:paraId="24C280D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03/22</w:t>
            </w:r>
            <w:r>
              <w:rPr>
                <w:rFonts w:ascii="Arial Narrow" w:hAnsi="Arial Narrow"/>
                <w:spacing w:val="-2"/>
                <w:sz w:val="17"/>
              </w:rPr>
              <w:br/>
            </w:r>
            <w:r>
              <w:rPr>
                <w:rFonts w:ascii="Arial Narrow" w:hAnsi="Arial Narrow"/>
                <w:spacing w:val="-2"/>
                <w:sz w:val="17"/>
              </w:rPr>
              <w:br/>
              <w:t>04/22</w:t>
            </w:r>
          </w:p>
        </w:tc>
        <w:tc>
          <w:tcPr>
            <w:tcW w:w="1352" w:type="dxa"/>
            <w:tcBorders>
              <w:top w:val="nil"/>
              <w:left w:val="nil"/>
              <w:bottom w:val="nil"/>
              <w:right w:val="nil"/>
            </w:tcBorders>
            <w:hideMark/>
          </w:tcPr>
          <w:p w14:paraId="54D69A37"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U-36190</w:t>
            </w:r>
            <w:r>
              <w:rPr>
                <w:rFonts w:ascii="Arial Narrow" w:hAnsi="Arial Narrow"/>
                <w:spacing w:val="-2"/>
                <w:sz w:val="17"/>
              </w:rPr>
              <w:br/>
              <w:t>Direct</w:t>
            </w:r>
            <w:r>
              <w:rPr>
                <w:rFonts w:ascii="Arial Narrow" w:hAnsi="Arial Narrow"/>
                <w:spacing w:val="-2"/>
                <w:sz w:val="17"/>
              </w:rPr>
              <w:br/>
              <w:t>Cross-Answering</w:t>
            </w:r>
          </w:p>
        </w:tc>
        <w:tc>
          <w:tcPr>
            <w:tcW w:w="981" w:type="dxa"/>
            <w:tcBorders>
              <w:top w:val="nil"/>
              <w:left w:val="nil"/>
              <w:bottom w:val="nil"/>
              <w:right w:val="nil"/>
            </w:tcBorders>
            <w:hideMark/>
          </w:tcPr>
          <w:p w14:paraId="47E71A74"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hideMark/>
          </w:tcPr>
          <w:p w14:paraId="07EEB24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hideMark/>
          </w:tcPr>
          <w:p w14:paraId="6B39207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Entergy Louisiana, LLC</w:t>
            </w:r>
          </w:p>
        </w:tc>
        <w:tc>
          <w:tcPr>
            <w:tcW w:w="3446" w:type="dxa"/>
            <w:tcBorders>
              <w:top w:val="nil"/>
              <w:left w:val="nil"/>
              <w:bottom w:val="nil"/>
              <w:right w:val="nil"/>
            </w:tcBorders>
            <w:hideMark/>
          </w:tcPr>
          <w:p w14:paraId="09A009B8"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Certification of solar resources.</w:t>
            </w:r>
          </w:p>
        </w:tc>
      </w:tr>
      <w:tr w:rsidR="006F7E84" w14:paraId="374412FC"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0E6096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05/22</w:t>
            </w:r>
          </w:p>
        </w:tc>
        <w:tc>
          <w:tcPr>
            <w:tcW w:w="1352" w:type="dxa"/>
            <w:tcBorders>
              <w:top w:val="nil"/>
              <w:left w:val="nil"/>
              <w:bottom w:val="nil"/>
              <w:right w:val="nil"/>
            </w:tcBorders>
          </w:tcPr>
          <w:p w14:paraId="740313D2"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20200241-EI</w:t>
            </w:r>
            <w:r>
              <w:rPr>
                <w:rFonts w:ascii="Arial Narrow" w:hAnsi="Arial Narrow"/>
                <w:spacing w:val="-2"/>
                <w:sz w:val="17"/>
              </w:rPr>
              <w:br/>
              <w:t>20210078-EI</w:t>
            </w:r>
            <w:r>
              <w:rPr>
                <w:rFonts w:ascii="Arial Narrow" w:hAnsi="Arial Narrow"/>
                <w:spacing w:val="-2"/>
                <w:sz w:val="17"/>
              </w:rPr>
              <w:br/>
              <w:t>20210079-EI</w:t>
            </w:r>
          </w:p>
        </w:tc>
        <w:tc>
          <w:tcPr>
            <w:tcW w:w="981" w:type="dxa"/>
            <w:tcBorders>
              <w:top w:val="nil"/>
              <w:left w:val="nil"/>
              <w:bottom w:val="nil"/>
              <w:right w:val="nil"/>
            </w:tcBorders>
          </w:tcPr>
          <w:p w14:paraId="351C5EF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1C74175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2CB0A79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Florida Power &amp; Light Company, Gulf Power Company</w:t>
            </w:r>
          </w:p>
        </w:tc>
        <w:tc>
          <w:tcPr>
            <w:tcW w:w="3446" w:type="dxa"/>
            <w:tcBorders>
              <w:top w:val="nil"/>
              <w:left w:val="nil"/>
              <w:bottom w:val="nil"/>
              <w:right w:val="nil"/>
            </w:tcBorders>
          </w:tcPr>
          <w:p w14:paraId="101957A5"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Hurricanes Sally, Zeta, Isaias; Tropical Storm Eta, pre-planning, restoration and repair, costs, ratemaking recovery.</w:t>
            </w:r>
          </w:p>
        </w:tc>
      </w:tr>
      <w:tr w:rsidR="006F7E84" w14:paraId="11402158"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99910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05/22</w:t>
            </w:r>
          </w:p>
        </w:tc>
        <w:tc>
          <w:tcPr>
            <w:tcW w:w="1352" w:type="dxa"/>
            <w:tcBorders>
              <w:top w:val="nil"/>
              <w:left w:val="nil"/>
              <w:bottom w:val="nil"/>
              <w:right w:val="nil"/>
            </w:tcBorders>
          </w:tcPr>
          <w:p w14:paraId="10137A79"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U-36268</w:t>
            </w:r>
          </w:p>
        </w:tc>
        <w:tc>
          <w:tcPr>
            <w:tcW w:w="981" w:type="dxa"/>
            <w:tcBorders>
              <w:top w:val="nil"/>
              <w:left w:val="nil"/>
              <w:bottom w:val="nil"/>
              <w:right w:val="nil"/>
            </w:tcBorders>
          </w:tcPr>
          <w:p w14:paraId="564E2A4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0FB8DA1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41932DD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1803 Electric Cooperative, Inc.</w:t>
            </w:r>
          </w:p>
        </w:tc>
        <w:tc>
          <w:tcPr>
            <w:tcW w:w="3446" w:type="dxa"/>
            <w:tcBorders>
              <w:top w:val="nil"/>
              <w:left w:val="nil"/>
              <w:bottom w:val="nil"/>
              <w:right w:val="nil"/>
            </w:tcBorders>
          </w:tcPr>
          <w:p w14:paraId="4653A07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Wholesale power contracts, wholesale rate tariffs, wholesale rates.</w:t>
            </w:r>
          </w:p>
        </w:tc>
      </w:tr>
      <w:tr w:rsidR="006F7E84" w14:paraId="514E6573"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44BE93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06/22</w:t>
            </w:r>
          </w:p>
        </w:tc>
        <w:tc>
          <w:tcPr>
            <w:tcW w:w="1352" w:type="dxa"/>
            <w:tcBorders>
              <w:top w:val="nil"/>
              <w:left w:val="nil"/>
              <w:bottom w:val="nil"/>
              <w:right w:val="nil"/>
            </w:tcBorders>
          </w:tcPr>
          <w:p w14:paraId="4F3E97F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20220048-EI</w:t>
            </w:r>
            <w:r>
              <w:rPr>
                <w:rFonts w:ascii="Arial Narrow" w:hAnsi="Arial Narrow"/>
                <w:spacing w:val="-2"/>
                <w:sz w:val="17"/>
              </w:rPr>
              <w:br/>
              <w:t>20220049-EI</w:t>
            </w:r>
            <w:r>
              <w:rPr>
                <w:rFonts w:ascii="Arial Narrow" w:hAnsi="Arial Narrow"/>
                <w:spacing w:val="-2"/>
                <w:sz w:val="17"/>
              </w:rPr>
              <w:br/>
              <w:t>20220050-EI</w:t>
            </w:r>
            <w:r>
              <w:rPr>
                <w:rFonts w:ascii="Arial Narrow" w:hAnsi="Arial Narrow"/>
                <w:spacing w:val="-2"/>
                <w:sz w:val="17"/>
              </w:rPr>
              <w:br/>
              <w:t>20220051-EI</w:t>
            </w:r>
          </w:p>
        </w:tc>
        <w:tc>
          <w:tcPr>
            <w:tcW w:w="981" w:type="dxa"/>
            <w:tcBorders>
              <w:top w:val="nil"/>
              <w:left w:val="nil"/>
              <w:bottom w:val="nil"/>
              <w:right w:val="nil"/>
            </w:tcBorders>
          </w:tcPr>
          <w:p w14:paraId="2F58559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6AD8558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0856D7F2"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 Florida Public Utilities Company, Duke Energy Florida, LLC, Florida Power &amp; Light Company</w:t>
            </w:r>
          </w:p>
        </w:tc>
        <w:tc>
          <w:tcPr>
            <w:tcW w:w="3446" w:type="dxa"/>
            <w:tcBorders>
              <w:top w:val="nil"/>
              <w:left w:val="nil"/>
              <w:bottom w:val="nil"/>
              <w:right w:val="nil"/>
            </w:tcBorders>
          </w:tcPr>
          <w:p w14:paraId="06A70A9A"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Plans. prudence, reasonableness, cost recovery, including deferred return on CWIP.</w:t>
            </w:r>
          </w:p>
        </w:tc>
      </w:tr>
      <w:tr w:rsidR="006F7E84" w14:paraId="213B1470"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4796CCC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06/22</w:t>
            </w:r>
          </w:p>
        </w:tc>
        <w:tc>
          <w:tcPr>
            <w:tcW w:w="1352" w:type="dxa"/>
            <w:tcBorders>
              <w:top w:val="nil"/>
              <w:left w:val="nil"/>
              <w:bottom w:val="nil"/>
              <w:right w:val="nil"/>
            </w:tcBorders>
          </w:tcPr>
          <w:p w14:paraId="7F3A2276"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29849</w:t>
            </w:r>
            <w:r>
              <w:rPr>
                <w:rFonts w:ascii="Arial Narrow" w:hAnsi="Arial Narrow"/>
                <w:spacing w:val="-2"/>
                <w:sz w:val="17"/>
              </w:rPr>
              <w:br/>
              <w:t>(Panel with Philip Hayet, Tom Newsome)</w:t>
            </w:r>
          </w:p>
        </w:tc>
        <w:tc>
          <w:tcPr>
            <w:tcW w:w="981" w:type="dxa"/>
            <w:tcBorders>
              <w:top w:val="nil"/>
              <w:left w:val="nil"/>
              <w:bottom w:val="nil"/>
              <w:right w:val="nil"/>
            </w:tcBorders>
          </w:tcPr>
          <w:p w14:paraId="74490FF6"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GA</w:t>
            </w:r>
          </w:p>
        </w:tc>
        <w:tc>
          <w:tcPr>
            <w:tcW w:w="1885" w:type="dxa"/>
            <w:tcBorders>
              <w:top w:val="nil"/>
              <w:left w:val="nil"/>
              <w:bottom w:val="nil"/>
              <w:right w:val="nil"/>
            </w:tcBorders>
          </w:tcPr>
          <w:p w14:paraId="31F63D6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Public Service Commission Staff</w:t>
            </w:r>
          </w:p>
        </w:tc>
        <w:tc>
          <w:tcPr>
            <w:tcW w:w="1526" w:type="dxa"/>
            <w:tcBorders>
              <w:top w:val="nil"/>
              <w:left w:val="nil"/>
              <w:bottom w:val="nil"/>
              <w:right w:val="nil"/>
            </w:tcBorders>
          </w:tcPr>
          <w:p w14:paraId="4E9DE3E5"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Georgia Power Company</w:t>
            </w:r>
          </w:p>
        </w:tc>
        <w:tc>
          <w:tcPr>
            <w:tcW w:w="3446" w:type="dxa"/>
            <w:tcBorders>
              <w:top w:val="nil"/>
              <w:left w:val="nil"/>
              <w:bottom w:val="nil"/>
              <w:right w:val="nil"/>
            </w:tcBorders>
          </w:tcPr>
          <w:p w14:paraId="1A3C955F"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VCM24, Vogtle 3 and 4 rate impact analyses.</w:t>
            </w:r>
          </w:p>
        </w:tc>
      </w:tr>
      <w:tr w:rsidR="006F7E84" w14:paraId="5844DF31"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28BC5A1"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07/22</w:t>
            </w:r>
          </w:p>
        </w:tc>
        <w:tc>
          <w:tcPr>
            <w:tcW w:w="1352" w:type="dxa"/>
            <w:tcBorders>
              <w:top w:val="nil"/>
              <w:left w:val="nil"/>
              <w:bottom w:val="nil"/>
              <w:right w:val="nil"/>
            </w:tcBorders>
          </w:tcPr>
          <w:p w14:paraId="7729B37C"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S-36267</w:t>
            </w:r>
          </w:p>
        </w:tc>
        <w:tc>
          <w:tcPr>
            <w:tcW w:w="981" w:type="dxa"/>
            <w:tcBorders>
              <w:top w:val="nil"/>
              <w:left w:val="nil"/>
              <w:bottom w:val="nil"/>
              <w:right w:val="nil"/>
            </w:tcBorders>
          </w:tcPr>
          <w:p w14:paraId="15D7A1F2"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LA</w:t>
            </w:r>
          </w:p>
        </w:tc>
        <w:tc>
          <w:tcPr>
            <w:tcW w:w="1885" w:type="dxa"/>
            <w:tcBorders>
              <w:top w:val="nil"/>
              <w:left w:val="nil"/>
              <w:bottom w:val="nil"/>
              <w:right w:val="nil"/>
            </w:tcBorders>
          </w:tcPr>
          <w:p w14:paraId="0C6C8B2C"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Louisiana Public Service Commission Staff</w:t>
            </w:r>
          </w:p>
        </w:tc>
        <w:tc>
          <w:tcPr>
            <w:tcW w:w="1526" w:type="dxa"/>
            <w:tcBorders>
              <w:top w:val="nil"/>
              <w:left w:val="nil"/>
              <w:bottom w:val="nil"/>
              <w:right w:val="nil"/>
            </w:tcBorders>
          </w:tcPr>
          <w:p w14:paraId="3B23CAA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1803 Electric Cooperative, Inc.</w:t>
            </w:r>
          </w:p>
        </w:tc>
        <w:tc>
          <w:tcPr>
            <w:tcW w:w="3446" w:type="dxa"/>
            <w:tcBorders>
              <w:top w:val="nil"/>
              <w:left w:val="nil"/>
              <w:bottom w:val="nil"/>
              <w:right w:val="nil"/>
            </w:tcBorders>
          </w:tcPr>
          <w:p w14:paraId="67238226"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Non-opposition to establish revolving LOC and supporting guarantees by member cooperatives.</w:t>
            </w:r>
          </w:p>
        </w:tc>
      </w:tr>
      <w:tr w:rsidR="006F7E84" w14:paraId="0F3FF5ED"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65335083"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08/22</w:t>
            </w:r>
          </w:p>
        </w:tc>
        <w:tc>
          <w:tcPr>
            <w:tcW w:w="1352" w:type="dxa"/>
            <w:tcBorders>
              <w:top w:val="nil"/>
              <w:left w:val="nil"/>
              <w:bottom w:val="nil"/>
              <w:right w:val="nil"/>
            </w:tcBorders>
          </w:tcPr>
          <w:p w14:paraId="7CA49923"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53601</w:t>
            </w:r>
          </w:p>
        </w:tc>
        <w:tc>
          <w:tcPr>
            <w:tcW w:w="981" w:type="dxa"/>
            <w:tcBorders>
              <w:top w:val="nil"/>
              <w:left w:val="nil"/>
              <w:bottom w:val="nil"/>
              <w:right w:val="nil"/>
            </w:tcBorders>
          </w:tcPr>
          <w:p w14:paraId="5193D4F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TX</w:t>
            </w:r>
          </w:p>
        </w:tc>
        <w:tc>
          <w:tcPr>
            <w:tcW w:w="1885" w:type="dxa"/>
            <w:tcBorders>
              <w:top w:val="nil"/>
              <w:left w:val="nil"/>
              <w:bottom w:val="nil"/>
              <w:right w:val="nil"/>
            </w:tcBorders>
          </w:tcPr>
          <w:p w14:paraId="2F5DEE4F"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Steering Committee of Cities Served by Oncor</w:t>
            </w:r>
          </w:p>
        </w:tc>
        <w:tc>
          <w:tcPr>
            <w:tcW w:w="1526" w:type="dxa"/>
            <w:tcBorders>
              <w:top w:val="nil"/>
              <w:left w:val="nil"/>
              <w:bottom w:val="nil"/>
              <w:right w:val="nil"/>
            </w:tcBorders>
          </w:tcPr>
          <w:p w14:paraId="418C19BA"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Oncor Electric Delivery Company, LLC</w:t>
            </w:r>
          </w:p>
        </w:tc>
        <w:tc>
          <w:tcPr>
            <w:tcW w:w="3446" w:type="dxa"/>
            <w:tcBorders>
              <w:top w:val="nil"/>
              <w:left w:val="nil"/>
              <w:bottom w:val="nil"/>
              <w:right w:val="nil"/>
            </w:tcBorders>
          </w:tcPr>
          <w:p w14:paraId="36C3C3EC"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Vendor financing, customer advances, cash working capital, ADFIT and temporary differences, depreciation expense, amortization expense.</w:t>
            </w:r>
          </w:p>
        </w:tc>
      </w:tr>
      <w:tr w:rsidR="006F7E84" w14:paraId="3C0B80C4"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3CA39A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09/22</w:t>
            </w:r>
          </w:p>
        </w:tc>
        <w:tc>
          <w:tcPr>
            <w:tcW w:w="1352" w:type="dxa"/>
            <w:tcBorders>
              <w:top w:val="nil"/>
              <w:left w:val="nil"/>
              <w:bottom w:val="nil"/>
              <w:right w:val="nil"/>
            </w:tcBorders>
          </w:tcPr>
          <w:p w14:paraId="20116F4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20220010-EI</w:t>
            </w:r>
          </w:p>
        </w:tc>
        <w:tc>
          <w:tcPr>
            <w:tcW w:w="981" w:type="dxa"/>
            <w:tcBorders>
              <w:top w:val="nil"/>
              <w:left w:val="nil"/>
              <w:bottom w:val="nil"/>
              <w:right w:val="nil"/>
            </w:tcBorders>
          </w:tcPr>
          <w:p w14:paraId="57E649C3"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FL</w:t>
            </w:r>
          </w:p>
        </w:tc>
        <w:tc>
          <w:tcPr>
            <w:tcW w:w="1885" w:type="dxa"/>
            <w:tcBorders>
              <w:top w:val="nil"/>
              <w:left w:val="nil"/>
              <w:bottom w:val="nil"/>
              <w:right w:val="nil"/>
            </w:tcBorders>
          </w:tcPr>
          <w:p w14:paraId="38A89150"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Office of Public Counsel</w:t>
            </w:r>
          </w:p>
        </w:tc>
        <w:tc>
          <w:tcPr>
            <w:tcW w:w="1526" w:type="dxa"/>
            <w:tcBorders>
              <w:top w:val="nil"/>
              <w:left w:val="nil"/>
              <w:bottom w:val="nil"/>
              <w:right w:val="nil"/>
            </w:tcBorders>
          </w:tcPr>
          <w:p w14:paraId="35DB6AE0" w14:textId="5F7D426B" w:rsidR="006F7E84" w:rsidRDefault="006F7E84" w:rsidP="004A2268">
            <w:pPr>
              <w:spacing w:before="60" w:after="100"/>
              <w:jc w:val="left"/>
              <w:rPr>
                <w:rFonts w:ascii="Arial Narrow" w:hAnsi="Arial Narrow"/>
                <w:spacing w:val="-2"/>
                <w:sz w:val="17"/>
              </w:rPr>
            </w:pPr>
            <w:r>
              <w:rPr>
                <w:rFonts w:ascii="Arial Narrow" w:hAnsi="Arial Narrow"/>
                <w:spacing w:val="-2"/>
                <w:sz w:val="17"/>
              </w:rPr>
              <w:t>Tampa Electric Company, Florida Public Utilities Company, Duke Energy Florida, LLC, Florida Power &amp; Light Company</w:t>
            </w:r>
          </w:p>
        </w:tc>
        <w:tc>
          <w:tcPr>
            <w:tcW w:w="3446" w:type="dxa"/>
            <w:tcBorders>
              <w:top w:val="nil"/>
              <w:left w:val="nil"/>
              <w:bottom w:val="nil"/>
              <w:right w:val="nil"/>
            </w:tcBorders>
          </w:tcPr>
          <w:p w14:paraId="3D9FF1C9"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Storm Protection Plan, Cost Recovery Clause, prudence, reasonableness, deferred return on CWIP.</w:t>
            </w:r>
          </w:p>
        </w:tc>
      </w:tr>
      <w:tr w:rsidR="006F7E84" w14:paraId="0F071DAF"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2057A36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10/22</w:t>
            </w:r>
          </w:p>
        </w:tc>
        <w:tc>
          <w:tcPr>
            <w:tcW w:w="1352" w:type="dxa"/>
            <w:tcBorders>
              <w:top w:val="nil"/>
              <w:left w:val="nil"/>
              <w:bottom w:val="nil"/>
              <w:right w:val="nil"/>
            </w:tcBorders>
          </w:tcPr>
          <w:p w14:paraId="5D23F20B"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5-UR-110</w:t>
            </w:r>
          </w:p>
        </w:tc>
        <w:tc>
          <w:tcPr>
            <w:tcW w:w="981" w:type="dxa"/>
            <w:tcBorders>
              <w:top w:val="nil"/>
              <w:left w:val="nil"/>
              <w:bottom w:val="nil"/>
              <w:right w:val="nil"/>
            </w:tcBorders>
          </w:tcPr>
          <w:p w14:paraId="47096B1C"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WI</w:t>
            </w:r>
          </w:p>
        </w:tc>
        <w:tc>
          <w:tcPr>
            <w:tcW w:w="1885" w:type="dxa"/>
            <w:tcBorders>
              <w:top w:val="nil"/>
              <w:left w:val="nil"/>
              <w:bottom w:val="nil"/>
              <w:right w:val="nil"/>
            </w:tcBorders>
          </w:tcPr>
          <w:p w14:paraId="4F5EE637"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Wisconsin Industrial Energy Group</w:t>
            </w:r>
          </w:p>
        </w:tc>
        <w:tc>
          <w:tcPr>
            <w:tcW w:w="1526" w:type="dxa"/>
            <w:tcBorders>
              <w:top w:val="nil"/>
              <w:left w:val="nil"/>
              <w:bottom w:val="nil"/>
              <w:right w:val="nil"/>
            </w:tcBorders>
          </w:tcPr>
          <w:p w14:paraId="06B2AC0B"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Wisconsin Electric Power Company</w:t>
            </w:r>
          </w:p>
        </w:tc>
        <w:tc>
          <w:tcPr>
            <w:tcW w:w="3446" w:type="dxa"/>
            <w:tcBorders>
              <w:top w:val="nil"/>
              <w:left w:val="nil"/>
              <w:bottom w:val="nil"/>
              <w:right w:val="nil"/>
            </w:tcBorders>
          </w:tcPr>
          <w:p w14:paraId="0F7ED03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Levelized recovery of retired plan costs, securitization financing.</w:t>
            </w:r>
          </w:p>
        </w:tc>
      </w:tr>
      <w:tr w:rsidR="006F7E84" w14:paraId="68E397E0"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1F0A8989"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10/22</w:t>
            </w:r>
          </w:p>
        </w:tc>
        <w:tc>
          <w:tcPr>
            <w:tcW w:w="1352" w:type="dxa"/>
            <w:tcBorders>
              <w:top w:val="nil"/>
              <w:left w:val="nil"/>
              <w:bottom w:val="nil"/>
              <w:right w:val="nil"/>
            </w:tcBorders>
          </w:tcPr>
          <w:p w14:paraId="724B00C4"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2022-00283</w:t>
            </w:r>
          </w:p>
        </w:tc>
        <w:tc>
          <w:tcPr>
            <w:tcW w:w="981" w:type="dxa"/>
            <w:tcBorders>
              <w:top w:val="nil"/>
              <w:left w:val="nil"/>
              <w:bottom w:val="nil"/>
              <w:right w:val="nil"/>
            </w:tcBorders>
          </w:tcPr>
          <w:p w14:paraId="426961A7"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5FD426A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68DB861E"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48B5289B" w14:textId="77777777"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Rockport deferrals and recoveries.</w:t>
            </w:r>
          </w:p>
        </w:tc>
      </w:tr>
      <w:tr w:rsidR="006F7E84" w14:paraId="15E0F001" w14:textId="77777777" w:rsidTr="004A2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46" w:type="dxa"/>
            <w:tcBorders>
              <w:top w:val="nil"/>
              <w:left w:val="nil"/>
              <w:bottom w:val="nil"/>
              <w:right w:val="nil"/>
            </w:tcBorders>
          </w:tcPr>
          <w:p w14:paraId="7E4656D8"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12/22</w:t>
            </w:r>
          </w:p>
        </w:tc>
        <w:tc>
          <w:tcPr>
            <w:tcW w:w="1352" w:type="dxa"/>
            <w:tcBorders>
              <w:top w:val="nil"/>
              <w:left w:val="nil"/>
              <w:bottom w:val="nil"/>
              <w:right w:val="nil"/>
            </w:tcBorders>
          </w:tcPr>
          <w:p w14:paraId="6B7EA0F1" w14:textId="77777777" w:rsidR="006F7E84" w:rsidRDefault="006F7E84" w:rsidP="004A2268">
            <w:pPr>
              <w:keepNext/>
              <w:keepLines/>
              <w:pageBreakBefore/>
              <w:spacing w:before="60" w:after="100"/>
              <w:jc w:val="left"/>
              <w:rPr>
                <w:rFonts w:ascii="Arial Narrow" w:hAnsi="Arial Narrow"/>
                <w:spacing w:val="-2"/>
                <w:sz w:val="17"/>
              </w:rPr>
            </w:pPr>
            <w:r>
              <w:rPr>
                <w:rFonts w:ascii="Arial Narrow" w:hAnsi="Arial Narrow"/>
                <w:spacing w:val="-2"/>
                <w:sz w:val="17"/>
              </w:rPr>
              <w:t>2022-00263</w:t>
            </w:r>
          </w:p>
        </w:tc>
        <w:tc>
          <w:tcPr>
            <w:tcW w:w="981" w:type="dxa"/>
            <w:tcBorders>
              <w:top w:val="nil"/>
              <w:left w:val="nil"/>
              <w:bottom w:val="nil"/>
              <w:right w:val="nil"/>
            </w:tcBorders>
          </w:tcPr>
          <w:p w14:paraId="73F11CC8" w14:textId="77777777" w:rsidR="006F7E84" w:rsidRDefault="006F7E84" w:rsidP="004A2268">
            <w:pPr>
              <w:spacing w:before="60" w:after="100"/>
              <w:jc w:val="left"/>
              <w:rPr>
                <w:rFonts w:ascii="Arial Narrow" w:hAnsi="Arial Narrow"/>
                <w:sz w:val="17"/>
                <w:szCs w:val="17"/>
              </w:rPr>
            </w:pPr>
            <w:r>
              <w:rPr>
                <w:rFonts w:ascii="Arial Narrow" w:hAnsi="Arial Narrow"/>
                <w:sz w:val="17"/>
                <w:szCs w:val="17"/>
              </w:rPr>
              <w:t>KY</w:t>
            </w:r>
          </w:p>
        </w:tc>
        <w:tc>
          <w:tcPr>
            <w:tcW w:w="1885" w:type="dxa"/>
            <w:tcBorders>
              <w:top w:val="nil"/>
              <w:left w:val="nil"/>
              <w:bottom w:val="nil"/>
              <w:right w:val="nil"/>
            </w:tcBorders>
          </w:tcPr>
          <w:p w14:paraId="03EA1FC4"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Attorney General and Kentucky Industrial Utility Customers, Inc.</w:t>
            </w:r>
          </w:p>
        </w:tc>
        <w:tc>
          <w:tcPr>
            <w:tcW w:w="1526" w:type="dxa"/>
            <w:tcBorders>
              <w:top w:val="nil"/>
              <w:left w:val="nil"/>
              <w:bottom w:val="nil"/>
              <w:right w:val="nil"/>
            </w:tcBorders>
          </w:tcPr>
          <w:p w14:paraId="47D16676" w14:textId="77777777" w:rsidR="006F7E84" w:rsidRDefault="006F7E84" w:rsidP="004A2268">
            <w:pPr>
              <w:spacing w:before="60" w:after="100"/>
              <w:jc w:val="left"/>
              <w:rPr>
                <w:rFonts w:ascii="Arial Narrow" w:hAnsi="Arial Narrow"/>
                <w:spacing w:val="-2"/>
                <w:sz w:val="17"/>
              </w:rPr>
            </w:pPr>
            <w:r>
              <w:rPr>
                <w:rFonts w:ascii="Arial Narrow" w:hAnsi="Arial Narrow"/>
                <w:spacing w:val="-2"/>
                <w:sz w:val="17"/>
              </w:rPr>
              <w:t>Kentucky Power Company</w:t>
            </w:r>
          </w:p>
        </w:tc>
        <w:tc>
          <w:tcPr>
            <w:tcW w:w="3446" w:type="dxa"/>
            <w:tcBorders>
              <w:top w:val="nil"/>
              <w:left w:val="nil"/>
              <w:bottom w:val="nil"/>
              <w:right w:val="nil"/>
            </w:tcBorders>
          </w:tcPr>
          <w:p w14:paraId="4754A8EA" w14:textId="6369F669" w:rsidR="006F7E84" w:rsidRDefault="006F7E84" w:rsidP="004A2268">
            <w:pPr>
              <w:tabs>
                <w:tab w:val="right" w:pos="3387"/>
              </w:tabs>
              <w:spacing w:before="60" w:after="100"/>
              <w:jc w:val="left"/>
              <w:rPr>
                <w:rFonts w:ascii="Arial Narrow" w:hAnsi="Arial Narrow"/>
                <w:spacing w:val="-2"/>
                <w:sz w:val="17"/>
              </w:rPr>
            </w:pPr>
            <w:r>
              <w:rPr>
                <w:rFonts w:ascii="Arial Narrow" w:hAnsi="Arial Narrow"/>
                <w:spacing w:val="-2"/>
                <w:sz w:val="17"/>
              </w:rPr>
              <w:t>Fuel adjustment clause methodology and disallowances.</w:t>
            </w:r>
          </w:p>
        </w:tc>
      </w:tr>
    </w:tbl>
    <w:p w14:paraId="4DE7C089" w14:textId="77777777" w:rsidR="00400085" w:rsidRPr="00F1375B" w:rsidRDefault="00400085" w:rsidP="00400085"/>
    <w:sectPr w:rsidR="00400085" w:rsidRPr="00F1375B" w:rsidSect="00391D40">
      <w:headerReference w:type="default" r:id="rId28"/>
      <w:footerReference w:type="default" r:id="rId29"/>
      <w:endnotePr>
        <w:numFmt w:val="decimal"/>
      </w:endnotePr>
      <w:pgSz w:w="12240" w:h="15840" w:code="1"/>
      <w:pgMar w:top="1440" w:right="1440" w:bottom="1728"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99C4" w14:textId="77777777" w:rsidR="00371ECB" w:rsidRDefault="00371ECB" w:rsidP="00BC0A1E">
      <w:r>
        <w:separator/>
      </w:r>
    </w:p>
  </w:endnote>
  <w:endnote w:type="continuationSeparator" w:id="0">
    <w:p w14:paraId="10E1264D" w14:textId="77777777" w:rsidR="00371ECB" w:rsidRDefault="00371ECB" w:rsidP="00BC0A1E">
      <w:r>
        <w:continuationSeparator/>
      </w:r>
    </w:p>
  </w:endnote>
  <w:endnote w:type="continuationNotice" w:id="1">
    <w:p w14:paraId="5F08B55F" w14:textId="77777777" w:rsidR="00371ECB" w:rsidRDefault="0037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6093" w14:textId="77777777" w:rsidR="001C7718" w:rsidRDefault="001C7718"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1E26" w14:textId="77777777" w:rsidR="001C7718" w:rsidRPr="00D603B8" w:rsidRDefault="001C7718">
    <w:pPr>
      <w:tabs>
        <w:tab w:val="left" w:pos="-720"/>
      </w:tabs>
      <w:suppressAutoHyphens/>
      <w:rPr>
        <w:spacing w:val="-2"/>
        <w:sz w:val="22"/>
        <w:szCs w:val="22"/>
      </w:rPr>
    </w:pPr>
  </w:p>
  <w:p w14:paraId="011D70AC" w14:textId="77777777" w:rsidR="001C7718" w:rsidRPr="00D603B8" w:rsidRDefault="001C7718">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CD47F"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" o:allowincell="f" fillcolor="black" stroked="f" strokeweight=".05pt">
              <w10:wrap anchorx="margin"/>
            </v:rect>
          </w:pict>
        </mc:Fallback>
      </mc:AlternateContent>
    </w:r>
  </w:p>
  <w:p w14:paraId="61783A4B" w14:textId="77777777" w:rsidR="001C7718" w:rsidRPr="002A4A3A" w:rsidRDefault="001C7718"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3A9E" w14:textId="77777777" w:rsidR="001C7718" w:rsidRPr="009312F4" w:rsidRDefault="001C7718" w:rsidP="00DA56AC">
    <w:pPr>
      <w:pStyle w:val="Footer"/>
      <w:jc w:val="right"/>
      <w:rPr>
        <w:sz w:val="20"/>
        <w:szCs w:val="20"/>
      </w:rPr>
    </w:pPr>
    <w:r w:rsidRPr="009312F4">
      <w:rPr>
        <w:sz w:val="20"/>
        <w:szCs w:val="20"/>
      </w:rPr>
      <w:t>_________________________________________</w:t>
    </w:r>
  </w:p>
  <w:p w14:paraId="0A596EE8" w14:textId="77777777" w:rsidR="001C7718" w:rsidRPr="009312F4" w:rsidRDefault="001C7718" w:rsidP="00DA56AC">
    <w:pPr>
      <w:pStyle w:val="Footer"/>
      <w:jc w:val="right"/>
      <w:rPr>
        <w:sz w:val="20"/>
        <w:szCs w:val="20"/>
      </w:rPr>
    </w:pPr>
    <w:r w:rsidRPr="009312F4">
      <w:rPr>
        <w:i/>
        <w:sz w:val="20"/>
        <w:szCs w:val="20"/>
      </w:rPr>
      <w:t>J. Kennedy and Associates, Inc.</w:t>
    </w:r>
  </w:p>
  <w:p w14:paraId="240073E7" w14:textId="77777777" w:rsidR="001C7718" w:rsidRDefault="001C7718" w:rsidP="006132C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CA52" w14:textId="38149C61" w:rsidR="001C7718" w:rsidRDefault="001C7718" w:rsidP="004352DB">
    <w:pPr>
      <w:pStyle w:val="Footer"/>
      <w:jc w:val="center"/>
    </w:pPr>
    <w:r>
      <w:fldChar w:fldCharType="begin"/>
    </w:r>
    <w:r>
      <w:instrText xml:space="preserve"> PAGE   \* MERGEFORMAT </w:instrText>
    </w:r>
    <w:r>
      <w:fldChar w:fldCharType="separate"/>
    </w:r>
    <w:r w:rsidR="00FE51A9">
      <w:rPr>
        <w:noProof/>
      </w:rPr>
      <w:t>6</w:t>
    </w:r>
    <w:r>
      <w:rPr>
        <w:noProof/>
      </w:rPr>
      <w:fldChar w:fldCharType="end"/>
    </w:r>
  </w:p>
  <w:p w14:paraId="279C4FFB" w14:textId="77777777" w:rsidR="001C7718" w:rsidRDefault="001C7718" w:rsidP="004352DB">
    <w:pPr>
      <w:pStyle w:val="Footer"/>
      <w:tabs>
        <w:tab w:val="clear" w:pos="4320"/>
        <w:tab w:val="clear" w:pos="8640"/>
        <w:tab w:val="left" w:pos="6810"/>
      </w:tabs>
    </w:pPr>
  </w:p>
  <w:p w14:paraId="32B51FC2" w14:textId="77777777" w:rsidR="001C7718" w:rsidRPr="004352DB" w:rsidRDefault="001C7718" w:rsidP="00435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C60C" w14:textId="77777777" w:rsidR="001C7718" w:rsidRDefault="001C7718"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9787" w14:textId="55B68AF2" w:rsidR="001C7718" w:rsidRDefault="001C7718">
    <w:pPr>
      <w:pStyle w:val="Footer"/>
      <w:jc w:val="center"/>
    </w:pPr>
    <w:r>
      <w:fldChar w:fldCharType="begin"/>
    </w:r>
    <w:r>
      <w:instrText xml:space="preserve"> PAGE   \* MERGEFORMAT </w:instrText>
    </w:r>
    <w:r>
      <w:fldChar w:fldCharType="separate"/>
    </w:r>
    <w:r w:rsidR="00FE51A9">
      <w:rPr>
        <w:noProof/>
      </w:rPr>
      <w:t>2</w:t>
    </w:r>
    <w:r>
      <w:rPr>
        <w:noProof/>
      </w:rPr>
      <w:fldChar w:fldCharType="end"/>
    </w:r>
  </w:p>
  <w:p w14:paraId="5CC413B2" w14:textId="77777777" w:rsidR="001C7718" w:rsidRPr="00F1375B" w:rsidRDefault="001C7718" w:rsidP="00F137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3104" w14:textId="1B015CF4" w:rsidR="001C7718" w:rsidRPr="008D6FF5" w:rsidRDefault="001C7718" w:rsidP="008D6F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1B12" w14:textId="77777777" w:rsidR="001C7718" w:rsidRDefault="001C7718"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415C" w14:textId="77777777" w:rsidR="001C7718" w:rsidRPr="009312F4" w:rsidRDefault="001C7718" w:rsidP="00F1375B">
    <w:pPr>
      <w:pStyle w:val="Footer"/>
      <w:jc w:val="right"/>
      <w:rPr>
        <w:sz w:val="20"/>
        <w:szCs w:val="20"/>
      </w:rPr>
    </w:pPr>
    <w:r w:rsidRPr="009312F4">
      <w:rPr>
        <w:sz w:val="20"/>
        <w:szCs w:val="20"/>
      </w:rPr>
      <w:t>_________________________________________</w:t>
    </w:r>
  </w:p>
  <w:p w14:paraId="6B6134DF" w14:textId="77777777" w:rsidR="001C7718" w:rsidRPr="00F1375B" w:rsidRDefault="001C7718"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AE17" w14:textId="77777777" w:rsidR="001C7718" w:rsidRDefault="001C7718"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B727" w14:textId="6BA51062" w:rsidR="001C7718" w:rsidRPr="00E57A79" w:rsidRDefault="001C7718" w:rsidP="00E5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2D58" w14:textId="77777777" w:rsidR="00371ECB" w:rsidRDefault="00371ECB" w:rsidP="00BC0A1E">
      <w:r>
        <w:separator/>
      </w:r>
    </w:p>
  </w:footnote>
  <w:footnote w:type="continuationSeparator" w:id="0">
    <w:p w14:paraId="1BA550A2" w14:textId="77777777" w:rsidR="00371ECB" w:rsidRDefault="00371ECB" w:rsidP="00BC0A1E">
      <w:r>
        <w:continuationSeparator/>
      </w:r>
    </w:p>
  </w:footnote>
  <w:footnote w:type="continuationNotice" w:id="1">
    <w:p w14:paraId="65326DAD" w14:textId="77777777" w:rsidR="00371ECB" w:rsidRDefault="00371ECB"/>
  </w:footnote>
  <w:footnote w:id="2">
    <w:p w14:paraId="476A3E73" w14:textId="456B3741" w:rsidR="007D4693" w:rsidRDefault="007D4693">
      <w:pPr>
        <w:pStyle w:val="FootnoteText"/>
      </w:pPr>
      <w:r>
        <w:rPr>
          <w:rStyle w:val="FootnoteReference"/>
        </w:rPr>
        <w:footnoteRef/>
      </w:r>
      <w:r>
        <w:t xml:space="preserve"> </w:t>
      </w:r>
      <w:r w:rsidR="00C31D20">
        <w:t xml:space="preserve">The </w:t>
      </w:r>
      <w:r>
        <w:t xml:space="preserve">Unit 3 </w:t>
      </w:r>
      <w:r w:rsidR="00C31D20">
        <w:t>COD</w:t>
      </w:r>
      <w:r>
        <w:t xml:space="preserve"> has been delayed </w:t>
      </w:r>
      <w:r w:rsidR="005A4116">
        <w:t>until July 2023</w:t>
      </w:r>
      <w:r w:rsidR="00C31D20">
        <w:t xml:space="preserve">, per the </w:t>
      </w:r>
      <w:r w:rsidR="005A4116">
        <w:t>Company</w:t>
      </w:r>
      <w:r w:rsidR="00C31D20">
        <w:t>’s</w:t>
      </w:r>
      <w:r w:rsidR="005A4116">
        <w:t xml:space="preserve"> June 16, </w:t>
      </w:r>
      <w:proofErr w:type="gramStart"/>
      <w:r w:rsidR="005A4116">
        <w:t>2023</w:t>
      </w:r>
      <w:proofErr w:type="gramEnd"/>
      <w:r w:rsidR="005A4116">
        <w:t xml:space="preserve"> 8-K filing with SEC.</w:t>
      </w:r>
    </w:p>
  </w:footnote>
  <w:footnote w:id="3">
    <w:p w14:paraId="4BDE6371" w14:textId="79286FEC" w:rsidR="001C7718" w:rsidRDefault="001C7718">
      <w:pPr>
        <w:pStyle w:val="FootnoteText"/>
      </w:pPr>
      <w:r>
        <w:rPr>
          <w:rStyle w:val="FootnoteReference"/>
        </w:rPr>
        <w:footnoteRef/>
      </w:r>
      <w:r>
        <w:t xml:space="preserve"> The $11.646 billion value includes $60 million of contingency.</w:t>
      </w:r>
    </w:p>
  </w:footnote>
  <w:footnote w:id="4">
    <w:p w14:paraId="1D782505" w14:textId="7A500C57" w:rsidR="001C7718" w:rsidRDefault="001C7718" w:rsidP="00D47F51">
      <w:pPr>
        <w:pStyle w:val="FootnoteText"/>
        <w:ind w:left="180" w:hanging="180"/>
        <w:contextualSpacing/>
      </w:pPr>
      <w:r>
        <w:rPr>
          <w:rStyle w:val="FootnoteReference"/>
        </w:rPr>
        <w:footnoteRef/>
      </w:r>
      <w:r>
        <w:t xml:space="preserve"> Table 1.1 of Georgia Power VCM 28 Report at page 9. The $10.9 billion of capital cost would be partially offset by $1.5 billion Toshiba Parental Guarantee and $694 million the Company has agreed to absorb. The $3.2 billion in financing cost does not include the additional gross-up for income tax already charged to ratepayers.</w:t>
      </w:r>
    </w:p>
  </w:footnote>
  <w:footnote w:id="5">
    <w:p w14:paraId="5C101DC9" w14:textId="1DA50165" w:rsidR="001C7718" w:rsidRDefault="001C7718">
      <w:pPr>
        <w:pStyle w:val="FootnoteText"/>
      </w:pPr>
      <w:r>
        <w:rPr>
          <w:rStyle w:val="FootnoteReference"/>
        </w:rPr>
        <w:footnoteRef/>
      </w:r>
      <w:r>
        <w:t xml:space="preserve"> Sum of historic and projected NCCR collections as provided in STF-244-26 and STF-244-27.</w:t>
      </w:r>
    </w:p>
  </w:footnote>
  <w:footnote w:id="6">
    <w:p w14:paraId="60F1F490" w14:textId="66E18F69" w:rsidR="001C7718" w:rsidRDefault="001C7718" w:rsidP="00BA57C7">
      <w:pPr>
        <w:pStyle w:val="FootnoteText"/>
        <w:ind w:left="180" w:hanging="180"/>
      </w:pPr>
      <w:r w:rsidRPr="005B3782">
        <w:rPr>
          <w:rStyle w:val="FootnoteReference"/>
        </w:rPr>
        <w:footnoteRef/>
      </w:r>
      <w:r w:rsidRPr="005B3782">
        <w:t xml:space="preserve"> The $</w:t>
      </w:r>
      <w:r>
        <w:t>2.1</w:t>
      </w:r>
      <w:r w:rsidRPr="005B3782">
        <w:t xml:space="preserve"> billion value reflects the difference in the current estimate of the NCCR revenue requirement that customers will have to pay, which is $</w:t>
      </w:r>
      <w:r>
        <w:t>4.2</w:t>
      </w:r>
      <w:r w:rsidRPr="005B3782">
        <w:t xml:space="preserve"> billion, and</w:t>
      </w:r>
      <w:r>
        <w:t xml:space="preserve"> the estimate of $2.1 billion that would have been paid had the Project been completed in 2016/2017 based on the original Certification.</w:t>
      </w:r>
    </w:p>
  </w:footnote>
  <w:footnote w:id="7">
    <w:p w14:paraId="5E640F92" w14:textId="7BD2BEA8" w:rsidR="001C7718" w:rsidRDefault="001C7718" w:rsidP="00FE16FF">
      <w:pPr>
        <w:pStyle w:val="FootnoteText"/>
        <w:tabs>
          <w:tab w:val="left" w:pos="630"/>
        </w:tabs>
        <w:ind w:left="180" w:hanging="180"/>
      </w:pPr>
      <w:r>
        <w:rPr>
          <w:rStyle w:val="FootnoteReference"/>
        </w:rPr>
        <w:footnoteRef/>
      </w:r>
      <w:r>
        <w:t xml:space="preserve"> The </w:t>
      </w:r>
      <w:r w:rsidRPr="00350555">
        <w:t>$</w:t>
      </w:r>
      <w:r>
        <w:t>10.0 billion</w:t>
      </w:r>
      <w:r w:rsidRPr="00350555">
        <w:t xml:space="preserve"> </w:t>
      </w:r>
      <w:r>
        <w:t xml:space="preserve">(rounded) </w:t>
      </w:r>
      <w:r w:rsidRPr="00350555">
        <w:t>represent</w:t>
      </w:r>
      <w:r>
        <w:t xml:space="preserve">s $11,646 million of capital cost incurred less $1,492 million TPG and $694 million Company has agreed to absorb plus $421 million in accrued AFUDC plus an additional $95 million accrued AFUDC on capital above $7.3 billion </w:t>
      </w:r>
      <w:r w:rsidRPr="00350555">
        <w:t xml:space="preserve">that the Company may request.  </w:t>
      </w:r>
    </w:p>
  </w:footnote>
  <w:footnote w:id="8">
    <w:p w14:paraId="3F0C57E1" w14:textId="5D23F9A6" w:rsidR="001C7718" w:rsidRDefault="001C7718">
      <w:pPr>
        <w:pStyle w:val="FootnoteText"/>
      </w:pPr>
      <w:r>
        <w:rPr>
          <w:rStyle w:val="FootnoteReference"/>
        </w:rPr>
        <w:footnoteRef/>
      </w:r>
      <w:r>
        <w:t xml:space="preserve"> Ratepayers are responsible for both profit and income taxes on the profit. </w:t>
      </w:r>
    </w:p>
  </w:footnote>
  <w:footnote w:id="9">
    <w:p w14:paraId="2FB6BCDB" w14:textId="782BF7A0" w:rsidR="001C7718" w:rsidRDefault="001C7718" w:rsidP="000E6510">
      <w:pPr>
        <w:pStyle w:val="FootnoteText"/>
        <w:ind w:left="180" w:hanging="180"/>
      </w:pPr>
      <w:r>
        <w:rPr>
          <w:rStyle w:val="FootnoteReference"/>
        </w:rPr>
        <w:footnoteRef/>
      </w:r>
      <w:r>
        <w:t xml:space="preserve"> These values include the impact on base rate tariff and fuel tariff. There would be an </w:t>
      </w:r>
      <w:r w:rsidRPr="00694C9C">
        <w:t xml:space="preserve">offset of </w:t>
      </w:r>
      <w:r w:rsidRPr="001B28D6">
        <w:t>approximately $</w:t>
      </w:r>
      <w:r w:rsidRPr="000B33C8">
        <w:t>1.85</w:t>
      </w:r>
      <w:r>
        <w:t xml:space="preserve"> per month from lower fuel cost.</w:t>
      </w:r>
    </w:p>
  </w:footnote>
  <w:footnote w:id="10">
    <w:p w14:paraId="1077DF47" w14:textId="2859A298" w:rsidR="001C7718" w:rsidRDefault="001C7718" w:rsidP="00CB34A5">
      <w:pPr>
        <w:pStyle w:val="FootnoteText"/>
        <w:ind w:left="180" w:hanging="180"/>
      </w:pPr>
      <w:r>
        <w:rPr>
          <w:rStyle w:val="FootnoteReference"/>
        </w:rPr>
        <w:footnoteRef/>
      </w:r>
      <w:r>
        <w:t xml:space="preserve"> Estimated Rate impact in 2018 assuming CWIP in rate base treatment. Certification Docket No. 27800, Hearing Request 1-2 (November 26, 2008).</w:t>
      </w:r>
    </w:p>
  </w:footnote>
  <w:footnote w:id="11">
    <w:p w14:paraId="594F7926" w14:textId="45C2E74B" w:rsidR="001C7718" w:rsidRDefault="001C7718" w:rsidP="003D42D5">
      <w:pPr>
        <w:pStyle w:val="FootnoteText"/>
        <w:ind w:left="180" w:hanging="180"/>
      </w:pPr>
      <w:r>
        <w:rPr>
          <w:rStyle w:val="FootnoteReference"/>
        </w:rPr>
        <w:footnoteRef/>
      </w:r>
      <w:r>
        <w:t xml:space="preserve"> These results are based on Staff’s Aurora cases using Staff’s 26</w:t>
      </w:r>
      <w:r w:rsidRPr="00DB208B">
        <w:rPr>
          <w:vertAlign w:val="superscript"/>
        </w:rPr>
        <w:t>th</w:t>
      </w:r>
      <w:r>
        <w:t>/27</w:t>
      </w:r>
      <w:r w:rsidRPr="00DB208B">
        <w:rPr>
          <w:vertAlign w:val="superscript"/>
        </w:rPr>
        <w:t>th</w:t>
      </w:r>
      <w:r>
        <w:t xml:space="preserve"> VCM gas price forecast and CO</w:t>
      </w:r>
      <w:r w:rsidRPr="003D42D5">
        <w:rPr>
          <w:vertAlign w:val="subscript"/>
        </w:rPr>
        <w:t>2</w:t>
      </w:r>
      <w:r>
        <w:t xml:space="preserve"> forecast assumptions, and include combinations of Low, Mod, and High gas forecasts, and $0/Ton, $10/Ton, and $20/Ton CO</w:t>
      </w:r>
      <w:r w:rsidRPr="003D42D5">
        <w:rPr>
          <w:vertAlign w:val="subscript"/>
        </w:rPr>
        <w:t>2</w:t>
      </w:r>
      <w:r>
        <w:t xml:space="preserve"> forecasts.  </w:t>
      </w:r>
    </w:p>
  </w:footnote>
  <w:footnote w:id="12">
    <w:p w14:paraId="1C40FCBB" w14:textId="502EAA01" w:rsidR="001C7718" w:rsidRDefault="001C7718" w:rsidP="00DB208B">
      <w:pPr>
        <w:pStyle w:val="FootnoteText"/>
        <w:ind w:left="180" w:hanging="180"/>
      </w:pPr>
      <w:r>
        <w:rPr>
          <w:rStyle w:val="FootnoteReference"/>
        </w:rPr>
        <w:footnoteRef/>
      </w:r>
      <w:r>
        <w:t xml:space="preserve"> The included figure reflects the 27</w:t>
      </w:r>
      <w:r w:rsidRPr="00DB208B">
        <w:rPr>
          <w:vertAlign w:val="superscript"/>
        </w:rPr>
        <w:t>th</w:t>
      </w:r>
      <w:r>
        <w:t xml:space="preserve"> VCM hearing request and response provided by this panel on March 15, 2023 consistent with the assumptions described therein.</w:t>
      </w:r>
    </w:p>
  </w:footnote>
  <w:footnote w:id="13">
    <w:p w14:paraId="5D5B4C9F" w14:textId="0E1774F2" w:rsidR="001C7718" w:rsidRDefault="001C7718">
      <w:pPr>
        <w:pStyle w:val="FootnoteText"/>
      </w:pPr>
      <w:r>
        <w:rPr>
          <w:rStyle w:val="FootnoteReference"/>
        </w:rPr>
        <w:footnoteRef/>
      </w:r>
      <w:r>
        <w:t xml:space="preserve"> The $7.7 billion capital cost case represents the $7.3 billion approved by the Commission in VCM 17 plus the associated AFUDC and is consistent with the Company’s VCM 28 models.</w:t>
      </w:r>
    </w:p>
  </w:footnote>
  <w:footnote w:id="14">
    <w:p w14:paraId="3884EB2B" w14:textId="483900EA" w:rsidR="001C7718" w:rsidRDefault="001C7718">
      <w:pPr>
        <w:pStyle w:val="FootnoteText"/>
      </w:pPr>
      <w:r>
        <w:rPr>
          <w:rStyle w:val="FootnoteReference"/>
        </w:rPr>
        <w:footnoteRef/>
      </w:r>
      <w:r>
        <w:t xml:space="preserve"> VCM 8 Stipulation, Para. 7.</w:t>
      </w:r>
    </w:p>
  </w:footnote>
  <w:footnote w:id="15">
    <w:p w14:paraId="187412BF" w14:textId="1078C70E" w:rsidR="001C7718" w:rsidRDefault="001C7718" w:rsidP="007D226E">
      <w:pPr>
        <w:pStyle w:val="FootnoteText"/>
        <w:ind w:left="180" w:hanging="180"/>
      </w:pPr>
      <w:r>
        <w:rPr>
          <w:rStyle w:val="FootnoteReference"/>
        </w:rPr>
        <w:footnoteRef/>
      </w:r>
      <w:r>
        <w:t xml:space="preserve"> Table 1.2.</w:t>
      </w:r>
    </w:p>
  </w:footnote>
  <w:footnote w:id="16">
    <w:p w14:paraId="599FEEE2" w14:textId="5B578B69" w:rsidR="001C7718" w:rsidRDefault="001C7718" w:rsidP="007D226E">
      <w:pPr>
        <w:pStyle w:val="FootnoteText"/>
        <w:ind w:left="180" w:hanging="180"/>
      </w:pPr>
      <w:r>
        <w:rPr>
          <w:rStyle w:val="FootnoteReference"/>
        </w:rPr>
        <w:footnoteRef/>
      </w:r>
      <w:r>
        <w:t xml:space="preserve"> Replacement fuel charges will be higher than $1.4 billion as there is another 15 months of construction prior to Unit 4 projected commercial operation date of March 2024.  In addition, the Company’s calculation of replacement fuel charges excludes interest on the excess fuel expenses recovered from customers through the Fuel Clause Recovery (“FCR”) rider.  At a minimum, such interest would be calculated at the short-term debt interest rate applied to over/under recoveries in the FCR.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C103" w14:textId="77777777" w:rsidR="001C7718" w:rsidRPr="00F65C42" w:rsidRDefault="001C7718"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303E47FB" w:rsidR="001C7718" w:rsidRDefault="001C7718" w:rsidP="002928D6">
    <w:pPr>
      <w:pStyle w:val="Header"/>
      <w:tabs>
        <w:tab w:val="clear" w:pos="8640"/>
        <w:tab w:val="right" w:pos="9360"/>
      </w:tabs>
      <w:rPr>
        <w:b/>
        <w:bCs/>
        <w:sz w:val="20"/>
        <w:szCs w:val="20"/>
      </w:rPr>
    </w:pPr>
    <w:r>
      <w:rPr>
        <w:b/>
        <w:bCs/>
        <w:sz w:val="20"/>
        <w:szCs w:val="20"/>
      </w:rPr>
      <w:t xml:space="preserve">Twenty-Eighth Semi-Annual Vogtle Construction </w:t>
    </w:r>
    <w:r>
      <w:rPr>
        <w:b/>
        <w:bCs/>
        <w:sz w:val="20"/>
        <w:szCs w:val="20"/>
      </w:rPr>
      <w:tab/>
    </w:r>
    <w:r>
      <w:rPr>
        <w:b/>
        <w:bCs/>
        <w:sz w:val="20"/>
        <w:szCs w:val="20"/>
      </w:rPr>
      <w:tab/>
      <w:t>Philip Hayet</w:t>
    </w:r>
  </w:p>
  <w:p w14:paraId="03E707BB" w14:textId="77777777" w:rsidR="001C7718" w:rsidRDefault="001C7718"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1C7718" w:rsidRDefault="001C7718" w:rsidP="002928D6">
    <w:pPr>
      <w:pStyle w:val="Header"/>
      <w:pBdr>
        <w:bottom w:val="single" w:sz="4" w:space="1" w:color="auto"/>
      </w:pBdr>
      <w:tabs>
        <w:tab w:val="clear" w:pos="8640"/>
        <w:tab w:val="right" w:pos="9360"/>
      </w:tabs>
      <w:jc w:val="right"/>
      <w:rPr>
        <w:b/>
        <w:bCs/>
        <w:sz w:val="20"/>
        <w:szCs w:val="20"/>
      </w:rPr>
    </w:pPr>
  </w:p>
  <w:p w14:paraId="609F22C7" w14:textId="77777777" w:rsidR="001C7718" w:rsidRPr="00DA56AC" w:rsidRDefault="001C7718" w:rsidP="00DA56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54A7" w14:textId="77777777" w:rsidR="001C7718" w:rsidRPr="009312F4" w:rsidRDefault="001C7718"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366DB285" w:rsidR="001C7718" w:rsidRPr="009312F4" w:rsidRDefault="001C7718"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E51A9">
      <w:rPr>
        <w:noProof/>
        <w:sz w:val="20"/>
        <w:szCs w:val="20"/>
      </w:rPr>
      <w:t>40</w:t>
    </w:r>
    <w:r w:rsidRPr="0045556F">
      <w:rPr>
        <w:noProof/>
        <w:sz w:val="20"/>
        <w:szCs w:val="20"/>
      </w:rPr>
      <w:fldChar w:fldCharType="end"/>
    </w:r>
  </w:p>
  <w:p w14:paraId="631D3A3F" w14:textId="77777777" w:rsidR="001C7718" w:rsidRPr="009312F4" w:rsidRDefault="001C7718" w:rsidP="00F1375B">
    <w:pPr>
      <w:pStyle w:val="Header"/>
      <w:jc w:val="right"/>
      <w:rPr>
        <w:b/>
        <w:bCs/>
        <w:sz w:val="20"/>
        <w:szCs w:val="20"/>
      </w:rPr>
    </w:pPr>
    <w:r w:rsidRPr="009312F4">
      <w:rPr>
        <w:b/>
        <w:bCs/>
        <w:sz w:val="20"/>
        <w:szCs w:val="20"/>
      </w:rPr>
      <w:tab/>
    </w:r>
  </w:p>
  <w:p w14:paraId="73505E5F" w14:textId="77777777" w:rsidR="001C7718" w:rsidRPr="009312F4" w:rsidRDefault="001C7718"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1C7718" w:rsidRPr="00DA56AC" w:rsidRDefault="001C7718" w:rsidP="00DA56AC">
    <w:pPr>
      <w:pStyle w:val="Header"/>
    </w:pPr>
  </w:p>
  <w:p w14:paraId="7F35C681" w14:textId="77777777" w:rsidR="001C7718" w:rsidRDefault="001C77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4E90" w14:textId="77777777" w:rsidR="001C7718" w:rsidRPr="00DA56AC" w:rsidRDefault="001C7718" w:rsidP="00DA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2DAD" w14:textId="77777777" w:rsidR="001C7718" w:rsidRDefault="001C7718"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4878AF82" w:rsidR="001C7718" w:rsidRPr="009312F4" w:rsidRDefault="001C7718"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E51A9">
      <w:rPr>
        <w:noProof/>
        <w:sz w:val="20"/>
        <w:szCs w:val="20"/>
      </w:rPr>
      <w:t>2</w:t>
    </w:r>
    <w:r w:rsidRPr="0045556F">
      <w:rPr>
        <w:noProof/>
        <w:sz w:val="20"/>
        <w:szCs w:val="20"/>
      </w:rPr>
      <w:fldChar w:fldCharType="end"/>
    </w:r>
  </w:p>
  <w:p w14:paraId="79CE47E4" w14:textId="77777777" w:rsidR="001C7718" w:rsidRPr="00DA56AC" w:rsidRDefault="001C7718" w:rsidP="00DA5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770F" w14:textId="77777777" w:rsidR="001C7718" w:rsidRDefault="001C7718"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1C7718" w:rsidRPr="009312F4" w:rsidRDefault="001C7718"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1C7718" w:rsidRPr="00DA56AC" w:rsidRDefault="001C7718" w:rsidP="00DA56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DF25" w14:textId="65DCA2A3" w:rsidR="001C7718" w:rsidRPr="00E57A79" w:rsidRDefault="001C7718" w:rsidP="00E57A79">
    <w:pPr>
      <w:pStyle w:val="Header"/>
      <w:jc w:val="right"/>
      <w:rPr>
        <w:b/>
        <w:bCs/>
        <w:sz w:val="20"/>
        <w:szCs w:val="20"/>
      </w:rPr>
    </w:pPr>
    <w:r w:rsidRPr="009312F4">
      <w:rPr>
        <w:b/>
        <w:bCs/>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49CB" w14:textId="465EBA00" w:rsidR="001C7718" w:rsidRDefault="001C7718" w:rsidP="000C5B0A">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760DE37" w14:textId="2F17DFDD" w:rsidR="001C7718" w:rsidRPr="009312F4" w:rsidRDefault="001C7718" w:rsidP="000C5B0A">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E51A9">
      <w:rPr>
        <w:noProof/>
        <w:sz w:val="20"/>
        <w:szCs w:val="20"/>
      </w:rPr>
      <w:t>4</w:t>
    </w:r>
    <w:r w:rsidRPr="0045556F">
      <w:rPr>
        <w:noProof/>
        <w:sz w:val="20"/>
        <w:szCs w:val="20"/>
      </w:rPr>
      <w:fldChar w:fldCharType="end"/>
    </w:r>
  </w:p>
  <w:p w14:paraId="3CA6B008" w14:textId="63007E3C" w:rsidR="001C7718" w:rsidRPr="00E57A79" w:rsidRDefault="001C7718" w:rsidP="00E57A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978" w14:textId="77777777" w:rsidR="001C7718" w:rsidRPr="000C5B0A" w:rsidRDefault="001C7718" w:rsidP="000C5B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1C79" w14:textId="77777777" w:rsidR="001C7718" w:rsidRDefault="001C7718"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4720EFF" w14:textId="77777777" w:rsidR="001C7718" w:rsidRPr="009312F4" w:rsidRDefault="001C7718"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16B61997" w14:textId="77777777" w:rsidR="001C7718" w:rsidRPr="00DA56AC" w:rsidRDefault="001C7718" w:rsidP="00DA56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60C" w14:textId="77777777" w:rsidR="001C7718" w:rsidRDefault="001C7718"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67D003FD" w:rsidR="001C7718" w:rsidRPr="009312F4" w:rsidRDefault="001C7718"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FE51A9">
      <w:rPr>
        <w:noProof/>
        <w:sz w:val="20"/>
        <w:szCs w:val="20"/>
      </w:rPr>
      <w:t>3</w:t>
    </w:r>
    <w:r w:rsidRPr="0045556F">
      <w:rPr>
        <w:noProof/>
        <w:sz w:val="20"/>
        <w:szCs w:val="20"/>
      </w:rPr>
      <w:fldChar w:fldCharType="end"/>
    </w:r>
  </w:p>
  <w:p w14:paraId="77BBA58B" w14:textId="77777777" w:rsidR="001C7718" w:rsidRPr="009312F4" w:rsidRDefault="001C7718"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1C7718" w:rsidRPr="00DA56AC" w:rsidRDefault="001C7718" w:rsidP="0081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4397E"/>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46FE4"/>
    <w:multiLevelType w:val="hybridMultilevel"/>
    <w:tmpl w:val="7C16EF54"/>
    <w:lvl w:ilvl="0" w:tplc="B862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5"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476A4B"/>
    <w:multiLevelType w:val="hybridMultilevel"/>
    <w:tmpl w:val="E0A260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D55390"/>
    <w:multiLevelType w:val="hybridMultilevel"/>
    <w:tmpl w:val="EB72FB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448168">
    <w:abstractNumId w:val="5"/>
  </w:num>
  <w:num w:numId="2" w16cid:durableId="1469981148">
    <w:abstractNumId w:val="7"/>
  </w:num>
  <w:num w:numId="3" w16cid:durableId="1403024058">
    <w:abstractNumId w:val="8"/>
  </w:num>
  <w:num w:numId="4" w16cid:durableId="285086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500653638">
    <w:abstractNumId w:val="2"/>
  </w:num>
  <w:num w:numId="6" w16cid:durableId="1566717848">
    <w:abstractNumId w:val="1"/>
  </w:num>
  <w:num w:numId="7" w16cid:durableId="833760878">
    <w:abstractNumId w:val="10"/>
  </w:num>
  <w:num w:numId="8" w16cid:durableId="421921494">
    <w:abstractNumId w:val="0"/>
  </w:num>
  <w:num w:numId="9" w16cid:durableId="1034816915">
    <w:abstractNumId w:val="16"/>
  </w:num>
  <w:num w:numId="10" w16cid:durableId="1281837666">
    <w:abstractNumId w:val="11"/>
  </w:num>
  <w:num w:numId="11" w16cid:durableId="1699888674">
    <w:abstractNumId w:val="15"/>
  </w:num>
  <w:num w:numId="12" w16cid:durableId="380134990">
    <w:abstractNumId w:val="14"/>
  </w:num>
  <w:num w:numId="13" w16cid:durableId="1904947440">
    <w:abstractNumId w:val="17"/>
  </w:num>
  <w:num w:numId="14" w16cid:durableId="1290820980">
    <w:abstractNumId w:val="9"/>
  </w:num>
  <w:num w:numId="15" w16cid:durableId="1161652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116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729931">
    <w:abstractNumId w:val="13"/>
  </w:num>
  <w:num w:numId="18" w16cid:durableId="1317807561">
    <w:abstractNumId w:val="12"/>
  </w:num>
  <w:num w:numId="19" w16cid:durableId="523635711">
    <w:abstractNumId w:val="4"/>
  </w:num>
  <w:num w:numId="20" w16cid:durableId="1729452294">
    <w:abstractNumId w:val="3"/>
  </w:num>
  <w:num w:numId="21" w16cid:durableId="1865049712">
    <w:abstractNumId w:val="19"/>
  </w:num>
  <w:num w:numId="22" w16cid:durableId="202250065">
    <w:abstractNumId w:val="18"/>
  </w:num>
  <w:num w:numId="23" w16cid:durableId="70768185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wNTU1sDA1MTI1NDFV0lEKTi0uzszPAykwrAUAwiHeIiwAAAA="/>
  </w:docVars>
  <w:rsids>
    <w:rsidRoot w:val="00BC0A1E"/>
    <w:rsid w:val="00000264"/>
    <w:rsid w:val="0000030A"/>
    <w:rsid w:val="00000D91"/>
    <w:rsid w:val="0000105A"/>
    <w:rsid w:val="000016E5"/>
    <w:rsid w:val="000017FF"/>
    <w:rsid w:val="00001911"/>
    <w:rsid w:val="00001965"/>
    <w:rsid w:val="00001E2D"/>
    <w:rsid w:val="000021D5"/>
    <w:rsid w:val="000023CD"/>
    <w:rsid w:val="00002699"/>
    <w:rsid w:val="00002798"/>
    <w:rsid w:val="00002B10"/>
    <w:rsid w:val="00002DDD"/>
    <w:rsid w:val="0000323D"/>
    <w:rsid w:val="000034DA"/>
    <w:rsid w:val="000036A4"/>
    <w:rsid w:val="00003736"/>
    <w:rsid w:val="000041DF"/>
    <w:rsid w:val="000041F6"/>
    <w:rsid w:val="00004398"/>
    <w:rsid w:val="0000570F"/>
    <w:rsid w:val="00006B68"/>
    <w:rsid w:val="00006DE6"/>
    <w:rsid w:val="0000786B"/>
    <w:rsid w:val="00007E14"/>
    <w:rsid w:val="000104D3"/>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6A0"/>
    <w:rsid w:val="00020CC5"/>
    <w:rsid w:val="00020FD7"/>
    <w:rsid w:val="000214EF"/>
    <w:rsid w:val="0002172B"/>
    <w:rsid w:val="00021962"/>
    <w:rsid w:val="00021A48"/>
    <w:rsid w:val="00021B38"/>
    <w:rsid w:val="00021BC7"/>
    <w:rsid w:val="000222E9"/>
    <w:rsid w:val="00022B25"/>
    <w:rsid w:val="00022EF9"/>
    <w:rsid w:val="00023F23"/>
    <w:rsid w:val="00024D38"/>
    <w:rsid w:val="00025192"/>
    <w:rsid w:val="000251ED"/>
    <w:rsid w:val="000254C7"/>
    <w:rsid w:val="00025638"/>
    <w:rsid w:val="000257BE"/>
    <w:rsid w:val="0002602D"/>
    <w:rsid w:val="0002619A"/>
    <w:rsid w:val="000279F2"/>
    <w:rsid w:val="00027ED6"/>
    <w:rsid w:val="00027F90"/>
    <w:rsid w:val="0003139A"/>
    <w:rsid w:val="00031786"/>
    <w:rsid w:val="00031A97"/>
    <w:rsid w:val="00031B7B"/>
    <w:rsid w:val="00032000"/>
    <w:rsid w:val="0003202D"/>
    <w:rsid w:val="00032070"/>
    <w:rsid w:val="00032348"/>
    <w:rsid w:val="00032A19"/>
    <w:rsid w:val="00032B80"/>
    <w:rsid w:val="00032E40"/>
    <w:rsid w:val="000332C1"/>
    <w:rsid w:val="0003397D"/>
    <w:rsid w:val="00033B27"/>
    <w:rsid w:val="00035CEE"/>
    <w:rsid w:val="00035F3C"/>
    <w:rsid w:val="00036506"/>
    <w:rsid w:val="0003654F"/>
    <w:rsid w:val="000372BE"/>
    <w:rsid w:val="000376CD"/>
    <w:rsid w:val="00037A99"/>
    <w:rsid w:val="0004058A"/>
    <w:rsid w:val="000407C0"/>
    <w:rsid w:val="000409EE"/>
    <w:rsid w:val="00041382"/>
    <w:rsid w:val="0004155B"/>
    <w:rsid w:val="0004294D"/>
    <w:rsid w:val="00043096"/>
    <w:rsid w:val="0004448D"/>
    <w:rsid w:val="00044A58"/>
    <w:rsid w:val="00044A71"/>
    <w:rsid w:val="00044AF6"/>
    <w:rsid w:val="00044D8E"/>
    <w:rsid w:val="00045E9F"/>
    <w:rsid w:val="000467E1"/>
    <w:rsid w:val="0004695C"/>
    <w:rsid w:val="000475A7"/>
    <w:rsid w:val="00050624"/>
    <w:rsid w:val="000507F4"/>
    <w:rsid w:val="00050AC9"/>
    <w:rsid w:val="00050E81"/>
    <w:rsid w:val="00050F33"/>
    <w:rsid w:val="00050FAB"/>
    <w:rsid w:val="00051CCC"/>
    <w:rsid w:val="0005326A"/>
    <w:rsid w:val="00054151"/>
    <w:rsid w:val="00054AD0"/>
    <w:rsid w:val="00054CAA"/>
    <w:rsid w:val="00055669"/>
    <w:rsid w:val="000556EF"/>
    <w:rsid w:val="0005646B"/>
    <w:rsid w:val="00056520"/>
    <w:rsid w:val="000565EE"/>
    <w:rsid w:val="00056854"/>
    <w:rsid w:val="00057313"/>
    <w:rsid w:val="00060376"/>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6A5E"/>
    <w:rsid w:val="00067196"/>
    <w:rsid w:val="000671D2"/>
    <w:rsid w:val="000712BB"/>
    <w:rsid w:val="000714DA"/>
    <w:rsid w:val="0007244B"/>
    <w:rsid w:val="00072B72"/>
    <w:rsid w:val="000733EA"/>
    <w:rsid w:val="00073DA7"/>
    <w:rsid w:val="00073DCD"/>
    <w:rsid w:val="0007505C"/>
    <w:rsid w:val="000752CA"/>
    <w:rsid w:val="00075697"/>
    <w:rsid w:val="0007579C"/>
    <w:rsid w:val="00075889"/>
    <w:rsid w:val="00075946"/>
    <w:rsid w:val="00075CA3"/>
    <w:rsid w:val="000764C1"/>
    <w:rsid w:val="000767AD"/>
    <w:rsid w:val="000767F0"/>
    <w:rsid w:val="00076FCF"/>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67D1"/>
    <w:rsid w:val="0008791D"/>
    <w:rsid w:val="0009033B"/>
    <w:rsid w:val="0009038D"/>
    <w:rsid w:val="00090722"/>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70"/>
    <w:rsid w:val="00095293"/>
    <w:rsid w:val="000963B2"/>
    <w:rsid w:val="00096AB4"/>
    <w:rsid w:val="00097087"/>
    <w:rsid w:val="000978FE"/>
    <w:rsid w:val="00097E37"/>
    <w:rsid w:val="000A00EC"/>
    <w:rsid w:val="000A0301"/>
    <w:rsid w:val="000A0642"/>
    <w:rsid w:val="000A0A91"/>
    <w:rsid w:val="000A335C"/>
    <w:rsid w:val="000A3494"/>
    <w:rsid w:val="000A34D1"/>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B1A"/>
    <w:rsid w:val="000B2082"/>
    <w:rsid w:val="000B2695"/>
    <w:rsid w:val="000B2AAD"/>
    <w:rsid w:val="000B310B"/>
    <w:rsid w:val="000B33C8"/>
    <w:rsid w:val="000B38EA"/>
    <w:rsid w:val="000B3BC2"/>
    <w:rsid w:val="000B3E3A"/>
    <w:rsid w:val="000B4435"/>
    <w:rsid w:val="000B4BF8"/>
    <w:rsid w:val="000B5170"/>
    <w:rsid w:val="000B582A"/>
    <w:rsid w:val="000B626B"/>
    <w:rsid w:val="000B69CF"/>
    <w:rsid w:val="000B6C25"/>
    <w:rsid w:val="000B6D3F"/>
    <w:rsid w:val="000B7273"/>
    <w:rsid w:val="000B73C7"/>
    <w:rsid w:val="000B7471"/>
    <w:rsid w:val="000B75E3"/>
    <w:rsid w:val="000B7798"/>
    <w:rsid w:val="000B7B8E"/>
    <w:rsid w:val="000B7E52"/>
    <w:rsid w:val="000C0563"/>
    <w:rsid w:val="000C0D10"/>
    <w:rsid w:val="000C118F"/>
    <w:rsid w:val="000C1646"/>
    <w:rsid w:val="000C18F6"/>
    <w:rsid w:val="000C1C95"/>
    <w:rsid w:val="000C2293"/>
    <w:rsid w:val="000C24E1"/>
    <w:rsid w:val="000C2586"/>
    <w:rsid w:val="000C2902"/>
    <w:rsid w:val="000C2B41"/>
    <w:rsid w:val="000C2C27"/>
    <w:rsid w:val="000C3140"/>
    <w:rsid w:val="000C3C2A"/>
    <w:rsid w:val="000C3E80"/>
    <w:rsid w:val="000C4400"/>
    <w:rsid w:val="000C458C"/>
    <w:rsid w:val="000C48D5"/>
    <w:rsid w:val="000C5280"/>
    <w:rsid w:val="000C5B0A"/>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AA5"/>
    <w:rsid w:val="000D2B9B"/>
    <w:rsid w:val="000D2EF7"/>
    <w:rsid w:val="000D2FEC"/>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CED"/>
    <w:rsid w:val="000D7F29"/>
    <w:rsid w:val="000E0629"/>
    <w:rsid w:val="000E085D"/>
    <w:rsid w:val="000E0A41"/>
    <w:rsid w:val="000E0DCF"/>
    <w:rsid w:val="000E128C"/>
    <w:rsid w:val="000E15D0"/>
    <w:rsid w:val="000E23B2"/>
    <w:rsid w:val="000E2455"/>
    <w:rsid w:val="000E3EBB"/>
    <w:rsid w:val="000E4554"/>
    <w:rsid w:val="000E46B7"/>
    <w:rsid w:val="000E4798"/>
    <w:rsid w:val="000E4863"/>
    <w:rsid w:val="000E53E1"/>
    <w:rsid w:val="000E59C7"/>
    <w:rsid w:val="000E59E7"/>
    <w:rsid w:val="000E6510"/>
    <w:rsid w:val="000E692D"/>
    <w:rsid w:val="000E6CC0"/>
    <w:rsid w:val="000E6EB6"/>
    <w:rsid w:val="000E7C3C"/>
    <w:rsid w:val="000E7F96"/>
    <w:rsid w:val="000F0204"/>
    <w:rsid w:val="000F12B7"/>
    <w:rsid w:val="000F156E"/>
    <w:rsid w:val="000F2A96"/>
    <w:rsid w:val="000F305F"/>
    <w:rsid w:val="000F3B09"/>
    <w:rsid w:val="000F3BDF"/>
    <w:rsid w:val="000F3CC5"/>
    <w:rsid w:val="000F3F98"/>
    <w:rsid w:val="000F429C"/>
    <w:rsid w:val="000F4966"/>
    <w:rsid w:val="000F4E92"/>
    <w:rsid w:val="000F4F4A"/>
    <w:rsid w:val="000F5180"/>
    <w:rsid w:val="000F5D33"/>
    <w:rsid w:val="000F69C3"/>
    <w:rsid w:val="000F7F89"/>
    <w:rsid w:val="001000D9"/>
    <w:rsid w:val="00100694"/>
    <w:rsid w:val="0010069F"/>
    <w:rsid w:val="001008E1"/>
    <w:rsid w:val="0010121A"/>
    <w:rsid w:val="00101811"/>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D8"/>
    <w:rsid w:val="00107FF5"/>
    <w:rsid w:val="00110C25"/>
    <w:rsid w:val="0011104F"/>
    <w:rsid w:val="0011186F"/>
    <w:rsid w:val="001118FE"/>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17B53"/>
    <w:rsid w:val="0012031D"/>
    <w:rsid w:val="00121532"/>
    <w:rsid w:val="00121933"/>
    <w:rsid w:val="00121F9F"/>
    <w:rsid w:val="00122063"/>
    <w:rsid w:val="001221B3"/>
    <w:rsid w:val="001224B5"/>
    <w:rsid w:val="001224F7"/>
    <w:rsid w:val="00122636"/>
    <w:rsid w:val="001229DD"/>
    <w:rsid w:val="00123435"/>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2C92"/>
    <w:rsid w:val="00133087"/>
    <w:rsid w:val="0013394D"/>
    <w:rsid w:val="00133E75"/>
    <w:rsid w:val="0013435D"/>
    <w:rsid w:val="001344B3"/>
    <w:rsid w:val="001344C4"/>
    <w:rsid w:val="001352A0"/>
    <w:rsid w:val="00135357"/>
    <w:rsid w:val="001356F4"/>
    <w:rsid w:val="0013615D"/>
    <w:rsid w:val="001361C9"/>
    <w:rsid w:val="001365E1"/>
    <w:rsid w:val="001368CC"/>
    <w:rsid w:val="00136981"/>
    <w:rsid w:val="00136DE8"/>
    <w:rsid w:val="00136F0D"/>
    <w:rsid w:val="001372C2"/>
    <w:rsid w:val="00140A84"/>
    <w:rsid w:val="0014128C"/>
    <w:rsid w:val="00141A6C"/>
    <w:rsid w:val="00141D76"/>
    <w:rsid w:val="00142889"/>
    <w:rsid w:val="00142D59"/>
    <w:rsid w:val="00142DE4"/>
    <w:rsid w:val="00143672"/>
    <w:rsid w:val="00145601"/>
    <w:rsid w:val="00146283"/>
    <w:rsid w:val="00146394"/>
    <w:rsid w:val="00146B09"/>
    <w:rsid w:val="00146D70"/>
    <w:rsid w:val="00146EE1"/>
    <w:rsid w:val="00147193"/>
    <w:rsid w:val="0015097C"/>
    <w:rsid w:val="001509CA"/>
    <w:rsid w:val="00150F1F"/>
    <w:rsid w:val="0015104E"/>
    <w:rsid w:val="0015189F"/>
    <w:rsid w:val="00151A19"/>
    <w:rsid w:val="00151AA7"/>
    <w:rsid w:val="00152444"/>
    <w:rsid w:val="00152E58"/>
    <w:rsid w:val="00153537"/>
    <w:rsid w:val="00153715"/>
    <w:rsid w:val="00153FDD"/>
    <w:rsid w:val="001542F2"/>
    <w:rsid w:val="001544CA"/>
    <w:rsid w:val="001546FC"/>
    <w:rsid w:val="0015494B"/>
    <w:rsid w:val="00155B3F"/>
    <w:rsid w:val="00157714"/>
    <w:rsid w:val="00157F97"/>
    <w:rsid w:val="00157FB2"/>
    <w:rsid w:val="0016043C"/>
    <w:rsid w:val="001607DD"/>
    <w:rsid w:val="00160D33"/>
    <w:rsid w:val="0016120A"/>
    <w:rsid w:val="00161587"/>
    <w:rsid w:val="00161A9E"/>
    <w:rsid w:val="00161F47"/>
    <w:rsid w:val="00162161"/>
    <w:rsid w:val="001628BA"/>
    <w:rsid w:val="001628DA"/>
    <w:rsid w:val="00162D12"/>
    <w:rsid w:val="00162D7E"/>
    <w:rsid w:val="00163831"/>
    <w:rsid w:val="00163BEC"/>
    <w:rsid w:val="00164207"/>
    <w:rsid w:val="00164459"/>
    <w:rsid w:val="00165393"/>
    <w:rsid w:val="00165F76"/>
    <w:rsid w:val="001660E7"/>
    <w:rsid w:val="00166CFC"/>
    <w:rsid w:val="00167A50"/>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089"/>
    <w:rsid w:val="001744DB"/>
    <w:rsid w:val="00175248"/>
    <w:rsid w:val="00175B54"/>
    <w:rsid w:val="00175C1C"/>
    <w:rsid w:val="001762ED"/>
    <w:rsid w:val="001773F0"/>
    <w:rsid w:val="00177BC3"/>
    <w:rsid w:val="00177DAF"/>
    <w:rsid w:val="00180C06"/>
    <w:rsid w:val="00180CDD"/>
    <w:rsid w:val="00180D19"/>
    <w:rsid w:val="00180F09"/>
    <w:rsid w:val="001810A3"/>
    <w:rsid w:val="001816F4"/>
    <w:rsid w:val="0018257A"/>
    <w:rsid w:val="0018269A"/>
    <w:rsid w:val="00182846"/>
    <w:rsid w:val="00182D8A"/>
    <w:rsid w:val="001835D9"/>
    <w:rsid w:val="00183D57"/>
    <w:rsid w:val="00183E63"/>
    <w:rsid w:val="00184199"/>
    <w:rsid w:val="001843CB"/>
    <w:rsid w:val="00184479"/>
    <w:rsid w:val="0018464F"/>
    <w:rsid w:val="00184A29"/>
    <w:rsid w:val="00184C9B"/>
    <w:rsid w:val="0018500B"/>
    <w:rsid w:val="00185179"/>
    <w:rsid w:val="00185463"/>
    <w:rsid w:val="00185A40"/>
    <w:rsid w:val="0018611B"/>
    <w:rsid w:val="00186E2E"/>
    <w:rsid w:val="001879BB"/>
    <w:rsid w:val="00187AF2"/>
    <w:rsid w:val="00190463"/>
    <w:rsid w:val="001905BA"/>
    <w:rsid w:val="00190702"/>
    <w:rsid w:val="001908FD"/>
    <w:rsid w:val="00191405"/>
    <w:rsid w:val="0019198F"/>
    <w:rsid w:val="00191C45"/>
    <w:rsid w:val="00192190"/>
    <w:rsid w:val="00192C6A"/>
    <w:rsid w:val="00193EF9"/>
    <w:rsid w:val="00193FA6"/>
    <w:rsid w:val="001941B2"/>
    <w:rsid w:val="00194352"/>
    <w:rsid w:val="00194362"/>
    <w:rsid w:val="0019449F"/>
    <w:rsid w:val="00194C5F"/>
    <w:rsid w:val="0019560C"/>
    <w:rsid w:val="00195D9E"/>
    <w:rsid w:val="0019651C"/>
    <w:rsid w:val="001966CC"/>
    <w:rsid w:val="001966D9"/>
    <w:rsid w:val="00196868"/>
    <w:rsid w:val="00196B33"/>
    <w:rsid w:val="00196B74"/>
    <w:rsid w:val="001972FB"/>
    <w:rsid w:val="0019745E"/>
    <w:rsid w:val="001975E4"/>
    <w:rsid w:val="00197687"/>
    <w:rsid w:val="00197A08"/>
    <w:rsid w:val="001A0521"/>
    <w:rsid w:val="001A0968"/>
    <w:rsid w:val="001A1588"/>
    <w:rsid w:val="001A15DC"/>
    <w:rsid w:val="001A164C"/>
    <w:rsid w:val="001A2453"/>
    <w:rsid w:val="001A2851"/>
    <w:rsid w:val="001A29DD"/>
    <w:rsid w:val="001A330E"/>
    <w:rsid w:val="001A3AF1"/>
    <w:rsid w:val="001A437C"/>
    <w:rsid w:val="001A43D1"/>
    <w:rsid w:val="001A44F3"/>
    <w:rsid w:val="001A4D7C"/>
    <w:rsid w:val="001A4DC8"/>
    <w:rsid w:val="001A66BE"/>
    <w:rsid w:val="001A6B24"/>
    <w:rsid w:val="001A7156"/>
    <w:rsid w:val="001A72C9"/>
    <w:rsid w:val="001A735A"/>
    <w:rsid w:val="001A76C5"/>
    <w:rsid w:val="001B0134"/>
    <w:rsid w:val="001B0B9D"/>
    <w:rsid w:val="001B28D6"/>
    <w:rsid w:val="001B2AAF"/>
    <w:rsid w:val="001B2F71"/>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277"/>
    <w:rsid w:val="001C15A2"/>
    <w:rsid w:val="001C2267"/>
    <w:rsid w:val="001C2592"/>
    <w:rsid w:val="001C263B"/>
    <w:rsid w:val="001C2793"/>
    <w:rsid w:val="001C3782"/>
    <w:rsid w:val="001C37D8"/>
    <w:rsid w:val="001C3D0A"/>
    <w:rsid w:val="001C3E30"/>
    <w:rsid w:val="001C472B"/>
    <w:rsid w:val="001C4786"/>
    <w:rsid w:val="001C4AAE"/>
    <w:rsid w:val="001C4C59"/>
    <w:rsid w:val="001C4F85"/>
    <w:rsid w:val="001C5CF7"/>
    <w:rsid w:val="001C5FEF"/>
    <w:rsid w:val="001C61DD"/>
    <w:rsid w:val="001C6BFF"/>
    <w:rsid w:val="001C70B8"/>
    <w:rsid w:val="001C76C9"/>
    <w:rsid w:val="001C7718"/>
    <w:rsid w:val="001D082D"/>
    <w:rsid w:val="001D08B8"/>
    <w:rsid w:val="001D16B6"/>
    <w:rsid w:val="001D1D47"/>
    <w:rsid w:val="001D1E25"/>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548"/>
    <w:rsid w:val="001E371E"/>
    <w:rsid w:val="001E46BA"/>
    <w:rsid w:val="001E47CB"/>
    <w:rsid w:val="001E4800"/>
    <w:rsid w:val="001E4FA9"/>
    <w:rsid w:val="001E621E"/>
    <w:rsid w:val="001E64A5"/>
    <w:rsid w:val="001E64CA"/>
    <w:rsid w:val="001E6DB0"/>
    <w:rsid w:val="001E706D"/>
    <w:rsid w:val="001E70E3"/>
    <w:rsid w:val="001E77D1"/>
    <w:rsid w:val="001E7B42"/>
    <w:rsid w:val="001E7C41"/>
    <w:rsid w:val="001E7DAD"/>
    <w:rsid w:val="001F042C"/>
    <w:rsid w:val="001F0E5C"/>
    <w:rsid w:val="001F17F0"/>
    <w:rsid w:val="001F18B2"/>
    <w:rsid w:val="001F2005"/>
    <w:rsid w:val="001F255F"/>
    <w:rsid w:val="001F304F"/>
    <w:rsid w:val="001F44F8"/>
    <w:rsid w:val="001F4EBF"/>
    <w:rsid w:val="001F5120"/>
    <w:rsid w:val="001F562E"/>
    <w:rsid w:val="001F5756"/>
    <w:rsid w:val="001F7575"/>
    <w:rsid w:val="001F7BBA"/>
    <w:rsid w:val="00200192"/>
    <w:rsid w:val="00200518"/>
    <w:rsid w:val="00200D2A"/>
    <w:rsid w:val="00200E3F"/>
    <w:rsid w:val="00201110"/>
    <w:rsid w:val="002014E7"/>
    <w:rsid w:val="00201780"/>
    <w:rsid w:val="00201F3C"/>
    <w:rsid w:val="00202598"/>
    <w:rsid w:val="002025C4"/>
    <w:rsid w:val="00202777"/>
    <w:rsid w:val="00202FE5"/>
    <w:rsid w:val="00203C48"/>
    <w:rsid w:val="00203C76"/>
    <w:rsid w:val="00203FC0"/>
    <w:rsid w:val="0020445B"/>
    <w:rsid w:val="002046DE"/>
    <w:rsid w:val="00204C55"/>
    <w:rsid w:val="002058FA"/>
    <w:rsid w:val="00205D31"/>
    <w:rsid w:val="0020618C"/>
    <w:rsid w:val="00206E18"/>
    <w:rsid w:val="00206F7F"/>
    <w:rsid w:val="002070A7"/>
    <w:rsid w:val="002077A3"/>
    <w:rsid w:val="00207870"/>
    <w:rsid w:val="00207AF0"/>
    <w:rsid w:val="00207B5B"/>
    <w:rsid w:val="00210348"/>
    <w:rsid w:val="002103D0"/>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46E"/>
    <w:rsid w:val="0022075A"/>
    <w:rsid w:val="00221492"/>
    <w:rsid w:val="0022177C"/>
    <w:rsid w:val="00221A26"/>
    <w:rsid w:val="002222A4"/>
    <w:rsid w:val="00222BA0"/>
    <w:rsid w:val="00222C48"/>
    <w:rsid w:val="00222D08"/>
    <w:rsid w:val="002234F2"/>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27FEF"/>
    <w:rsid w:val="00230840"/>
    <w:rsid w:val="00230EDA"/>
    <w:rsid w:val="00231106"/>
    <w:rsid w:val="00231167"/>
    <w:rsid w:val="0023177A"/>
    <w:rsid w:val="00231A3C"/>
    <w:rsid w:val="00231B31"/>
    <w:rsid w:val="0023207F"/>
    <w:rsid w:val="00232934"/>
    <w:rsid w:val="002330DB"/>
    <w:rsid w:val="002334B4"/>
    <w:rsid w:val="00233B13"/>
    <w:rsid w:val="00233D65"/>
    <w:rsid w:val="002347F1"/>
    <w:rsid w:val="002349BF"/>
    <w:rsid w:val="00234C54"/>
    <w:rsid w:val="00234EA5"/>
    <w:rsid w:val="002350A6"/>
    <w:rsid w:val="00235701"/>
    <w:rsid w:val="00235830"/>
    <w:rsid w:val="00235D1D"/>
    <w:rsid w:val="00235F45"/>
    <w:rsid w:val="002368CA"/>
    <w:rsid w:val="002379E6"/>
    <w:rsid w:val="00237B64"/>
    <w:rsid w:val="00237F2F"/>
    <w:rsid w:val="0024042F"/>
    <w:rsid w:val="002414E9"/>
    <w:rsid w:val="00241CAB"/>
    <w:rsid w:val="002421BA"/>
    <w:rsid w:val="002429D8"/>
    <w:rsid w:val="00245D21"/>
    <w:rsid w:val="00245E1C"/>
    <w:rsid w:val="00245EEE"/>
    <w:rsid w:val="002463F6"/>
    <w:rsid w:val="00246DDE"/>
    <w:rsid w:val="00250136"/>
    <w:rsid w:val="002505FE"/>
    <w:rsid w:val="002507C0"/>
    <w:rsid w:val="002519E6"/>
    <w:rsid w:val="00252801"/>
    <w:rsid w:val="0025321B"/>
    <w:rsid w:val="00253871"/>
    <w:rsid w:val="002554F5"/>
    <w:rsid w:val="00255777"/>
    <w:rsid w:val="00255A6D"/>
    <w:rsid w:val="00256280"/>
    <w:rsid w:val="00256D36"/>
    <w:rsid w:val="00256F21"/>
    <w:rsid w:val="00257074"/>
    <w:rsid w:val="00257D94"/>
    <w:rsid w:val="00260026"/>
    <w:rsid w:val="00260664"/>
    <w:rsid w:val="00260EF8"/>
    <w:rsid w:val="00260FB1"/>
    <w:rsid w:val="0026120E"/>
    <w:rsid w:val="002615FD"/>
    <w:rsid w:val="00261617"/>
    <w:rsid w:val="00261E50"/>
    <w:rsid w:val="00262108"/>
    <w:rsid w:val="002627FF"/>
    <w:rsid w:val="0026282F"/>
    <w:rsid w:val="00262A84"/>
    <w:rsid w:val="00262B8B"/>
    <w:rsid w:val="0026355B"/>
    <w:rsid w:val="00263814"/>
    <w:rsid w:val="002639A6"/>
    <w:rsid w:val="0026408E"/>
    <w:rsid w:val="002640D4"/>
    <w:rsid w:val="00264168"/>
    <w:rsid w:val="00264BFA"/>
    <w:rsid w:val="00264CFC"/>
    <w:rsid w:val="00265584"/>
    <w:rsid w:val="002656F4"/>
    <w:rsid w:val="002659BF"/>
    <w:rsid w:val="00266A4A"/>
    <w:rsid w:val="00266A68"/>
    <w:rsid w:val="00266E43"/>
    <w:rsid w:val="00266EB9"/>
    <w:rsid w:val="00267103"/>
    <w:rsid w:val="00267946"/>
    <w:rsid w:val="00267B7E"/>
    <w:rsid w:val="00267E53"/>
    <w:rsid w:val="00270281"/>
    <w:rsid w:val="00270654"/>
    <w:rsid w:val="00271ABB"/>
    <w:rsid w:val="0027298A"/>
    <w:rsid w:val="0027343D"/>
    <w:rsid w:val="0027353A"/>
    <w:rsid w:val="00273617"/>
    <w:rsid w:val="00273640"/>
    <w:rsid w:val="00273870"/>
    <w:rsid w:val="00273A4F"/>
    <w:rsid w:val="0027482C"/>
    <w:rsid w:val="00274AB1"/>
    <w:rsid w:val="002754C0"/>
    <w:rsid w:val="00275889"/>
    <w:rsid w:val="0027594B"/>
    <w:rsid w:val="00275CE9"/>
    <w:rsid w:val="00275E76"/>
    <w:rsid w:val="00276473"/>
    <w:rsid w:val="002768A4"/>
    <w:rsid w:val="00276993"/>
    <w:rsid w:val="00276F09"/>
    <w:rsid w:val="0027722A"/>
    <w:rsid w:val="002772D1"/>
    <w:rsid w:val="00277D90"/>
    <w:rsid w:val="00277F7C"/>
    <w:rsid w:val="00281958"/>
    <w:rsid w:val="002819F4"/>
    <w:rsid w:val="00281AC6"/>
    <w:rsid w:val="00281E00"/>
    <w:rsid w:val="00281EA4"/>
    <w:rsid w:val="00282BC7"/>
    <w:rsid w:val="00283785"/>
    <w:rsid w:val="00283CA5"/>
    <w:rsid w:val="00284229"/>
    <w:rsid w:val="00284BEA"/>
    <w:rsid w:val="00284C08"/>
    <w:rsid w:val="00284C94"/>
    <w:rsid w:val="00284EBA"/>
    <w:rsid w:val="00285B0A"/>
    <w:rsid w:val="00286063"/>
    <w:rsid w:val="002861A2"/>
    <w:rsid w:val="00286702"/>
    <w:rsid w:val="00287206"/>
    <w:rsid w:val="0028729A"/>
    <w:rsid w:val="002873AA"/>
    <w:rsid w:val="0028757D"/>
    <w:rsid w:val="00290397"/>
    <w:rsid w:val="00290BC4"/>
    <w:rsid w:val="00290D22"/>
    <w:rsid w:val="0029172A"/>
    <w:rsid w:val="00291AE3"/>
    <w:rsid w:val="00291E00"/>
    <w:rsid w:val="002925C5"/>
    <w:rsid w:val="0029272C"/>
    <w:rsid w:val="002928D6"/>
    <w:rsid w:val="00292A13"/>
    <w:rsid w:val="00292ED4"/>
    <w:rsid w:val="0029339B"/>
    <w:rsid w:val="002933A1"/>
    <w:rsid w:val="00293733"/>
    <w:rsid w:val="00294156"/>
    <w:rsid w:val="00294158"/>
    <w:rsid w:val="002942A7"/>
    <w:rsid w:val="00294736"/>
    <w:rsid w:val="0029482B"/>
    <w:rsid w:val="00294A7A"/>
    <w:rsid w:val="00294BE6"/>
    <w:rsid w:val="00294CCD"/>
    <w:rsid w:val="0029516F"/>
    <w:rsid w:val="00295363"/>
    <w:rsid w:val="00295399"/>
    <w:rsid w:val="0029547C"/>
    <w:rsid w:val="00295B8D"/>
    <w:rsid w:val="0029604B"/>
    <w:rsid w:val="002966AE"/>
    <w:rsid w:val="00296A99"/>
    <w:rsid w:val="0029784E"/>
    <w:rsid w:val="00297BC6"/>
    <w:rsid w:val="00297D19"/>
    <w:rsid w:val="002A070C"/>
    <w:rsid w:val="002A09C3"/>
    <w:rsid w:val="002A0E03"/>
    <w:rsid w:val="002A1151"/>
    <w:rsid w:val="002A1156"/>
    <w:rsid w:val="002A1192"/>
    <w:rsid w:val="002A14E8"/>
    <w:rsid w:val="002A1640"/>
    <w:rsid w:val="002A1A84"/>
    <w:rsid w:val="002A1EE4"/>
    <w:rsid w:val="002A21DA"/>
    <w:rsid w:val="002A2959"/>
    <w:rsid w:val="002A2F2D"/>
    <w:rsid w:val="002A2F49"/>
    <w:rsid w:val="002A3164"/>
    <w:rsid w:val="002A3C7C"/>
    <w:rsid w:val="002A4032"/>
    <w:rsid w:val="002A435A"/>
    <w:rsid w:val="002A47C5"/>
    <w:rsid w:val="002A5245"/>
    <w:rsid w:val="002A5C0C"/>
    <w:rsid w:val="002A5C19"/>
    <w:rsid w:val="002A5D69"/>
    <w:rsid w:val="002A75A9"/>
    <w:rsid w:val="002A7641"/>
    <w:rsid w:val="002A76E1"/>
    <w:rsid w:val="002B0239"/>
    <w:rsid w:val="002B0EF3"/>
    <w:rsid w:val="002B127B"/>
    <w:rsid w:val="002B187F"/>
    <w:rsid w:val="002B2C0E"/>
    <w:rsid w:val="002B33C9"/>
    <w:rsid w:val="002B3523"/>
    <w:rsid w:val="002B35B2"/>
    <w:rsid w:val="002B41DD"/>
    <w:rsid w:val="002B4BBA"/>
    <w:rsid w:val="002B51A4"/>
    <w:rsid w:val="002B51E0"/>
    <w:rsid w:val="002B57CB"/>
    <w:rsid w:val="002B588C"/>
    <w:rsid w:val="002B5A11"/>
    <w:rsid w:val="002B67D6"/>
    <w:rsid w:val="002B69C6"/>
    <w:rsid w:val="002B7069"/>
    <w:rsid w:val="002B7B44"/>
    <w:rsid w:val="002C00AE"/>
    <w:rsid w:val="002C05E0"/>
    <w:rsid w:val="002C0B0A"/>
    <w:rsid w:val="002C0CE0"/>
    <w:rsid w:val="002C0FF5"/>
    <w:rsid w:val="002C207B"/>
    <w:rsid w:val="002C2E58"/>
    <w:rsid w:val="002C320C"/>
    <w:rsid w:val="002C371F"/>
    <w:rsid w:val="002C3981"/>
    <w:rsid w:val="002C412D"/>
    <w:rsid w:val="002C46E8"/>
    <w:rsid w:val="002C49B6"/>
    <w:rsid w:val="002C4B98"/>
    <w:rsid w:val="002C500F"/>
    <w:rsid w:val="002C5090"/>
    <w:rsid w:val="002C51BB"/>
    <w:rsid w:val="002C5B4F"/>
    <w:rsid w:val="002C608C"/>
    <w:rsid w:val="002C6DC6"/>
    <w:rsid w:val="002C6FE9"/>
    <w:rsid w:val="002D0AB0"/>
    <w:rsid w:val="002D0E95"/>
    <w:rsid w:val="002D14DB"/>
    <w:rsid w:val="002D16C5"/>
    <w:rsid w:val="002D16E5"/>
    <w:rsid w:val="002D18A6"/>
    <w:rsid w:val="002D1CE8"/>
    <w:rsid w:val="002D21DF"/>
    <w:rsid w:val="002D21F7"/>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020"/>
    <w:rsid w:val="002E34F7"/>
    <w:rsid w:val="002E36DE"/>
    <w:rsid w:val="002E3D4A"/>
    <w:rsid w:val="002E4141"/>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DA6"/>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B26"/>
    <w:rsid w:val="00302D8D"/>
    <w:rsid w:val="0030302C"/>
    <w:rsid w:val="003036F4"/>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8B2"/>
    <w:rsid w:val="00311CF2"/>
    <w:rsid w:val="00311EF9"/>
    <w:rsid w:val="003120E1"/>
    <w:rsid w:val="0031213F"/>
    <w:rsid w:val="003121CF"/>
    <w:rsid w:val="00312D19"/>
    <w:rsid w:val="00312F23"/>
    <w:rsid w:val="00313208"/>
    <w:rsid w:val="003136AC"/>
    <w:rsid w:val="00313E34"/>
    <w:rsid w:val="003146D0"/>
    <w:rsid w:val="00314729"/>
    <w:rsid w:val="00314999"/>
    <w:rsid w:val="00314D6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2C6F"/>
    <w:rsid w:val="00323957"/>
    <w:rsid w:val="003242A7"/>
    <w:rsid w:val="003246AD"/>
    <w:rsid w:val="00324AC9"/>
    <w:rsid w:val="00324B99"/>
    <w:rsid w:val="00324C0E"/>
    <w:rsid w:val="00324E1F"/>
    <w:rsid w:val="003251C1"/>
    <w:rsid w:val="0032530C"/>
    <w:rsid w:val="003253E2"/>
    <w:rsid w:val="00325BC1"/>
    <w:rsid w:val="00325DFB"/>
    <w:rsid w:val="00325E6F"/>
    <w:rsid w:val="003273F7"/>
    <w:rsid w:val="00327E80"/>
    <w:rsid w:val="00327F84"/>
    <w:rsid w:val="003303AE"/>
    <w:rsid w:val="00330739"/>
    <w:rsid w:val="003319E4"/>
    <w:rsid w:val="003323AA"/>
    <w:rsid w:val="00333182"/>
    <w:rsid w:val="00334014"/>
    <w:rsid w:val="003349EC"/>
    <w:rsid w:val="00334C22"/>
    <w:rsid w:val="00336768"/>
    <w:rsid w:val="0033687C"/>
    <w:rsid w:val="003368E4"/>
    <w:rsid w:val="00336F77"/>
    <w:rsid w:val="00337197"/>
    <w:rsid w:val="003371E1"/>
    <w:rsid w:val="003375EE"/>
    <w:rsid w:val="00337B3C"/>
    <w:rsid w:val="00337CF2"/>
    <w:rsid w:val="003404B1"/>
    <w:rsid w:val="0034097A"/>
    <w:rsid w:val="00341360"/>
    <w:rsid w:val="003417C3"/>
    <w:rsid w:val="00341E51"/>
    <w:rsid w:val="00342241"/>
    <w:rsid w:val="00342474"/>
    <w:rsid w:val="00342D12"/>
    <w:rsid w:val="00342EF3"/>
    <w:rsid w:val="0034326C"/>
    <w:rsid w:val="00343629"/>
    <w:rsid w:val="00343635"/>
    <w:rsid w:val="003437D6"/>
    <w:rsid w:val="0034390C"/>
    <w:rsid w:val="00344B10"/>
    <w:rsid w:val="00344C24"/>
    <w:rsid w:val="00344F0C"/>
    <w:rsid w:val="003453B4"/>
    <w:rsid w:val="003460D1"/>
    <w:rsid w:val="003461BF"/>
    <w:rsid w:val="00346473"/>
    <w:rsid w:val="00346EF8"/>
    <w:rsid w:val="003475F7"/>
    <w:rsid w:val="0034764A"/>
    <w:rsid w:val="00347947"/>
    <w:rsid w:val="003479E9"/>
    <w:rsid w:val="00350266"/>
    <w:rsid w:val="00350512"/>
    <w:rsid w:val="00350555"/>
    <w:rsid w:val="00350D52"/>
    <w:rsid w:val="00351036"/>
    <w:rsid w:val="003511A2"/>
    <w:rsid w:val="003512AB"/>
    <w:rsid w:val="003519CC"/>
    <w:rsid w:val="00351FF4"/>
    <w:rsid w:val="00352166"/>
    <w:rsid w:val="003527DC"/>
    <w:rsid w:val="003529BE"/>
    <w:rsid w:val="00352C96"/>
    <w:rsid w:val="00353842"/>
    <w:rsid w:val="003540FA"/>
    <w:rsid w:val="00354462"/>
    <w:rsid w:val="0035469E"/>
    <w:rsid w:val="0035548F"/>
    <w:rsid w:val="00355645"/>
    <w:rsid w:val="0035585C"/>
    <w:rsid w:val="00356A8A"/>
    <w:rsid w:val="00356CA2"/>
    <w:rsid w:val="00356D88"/>
    <w:rsid w:val="00356DF8"/>
    <w:rsid w:val="00357C75"/>
    <w:rsid w:val="00357E3F"/>
    <w:rsid w:val="00360053"/>
    <w:rsid w:val="00360282"/>
    <w:rsid w:val="003602A6"/>
    <w:rsid w:val="003605C9"/>
    <w:rsid w:val="00360650"/>
    <w:rsid w:val="003610EB"/>
    <w:rsid w:val="00363019"/>
    <w:rsid w:val="00363DDD"/>
    <w:rsid w:val="00364249"/>
    <w:rsid w:val="00364278"/>
    <w:rsid w:val="00364397"/>
    <w:rsid w:val="003643BD"/>
    <w:rsid w:val="003643CB"/>
    <w:rsid w:val="00365B13"/>
    <w:rsid w:val="003660AC"/>
    <w:rsid w:val="003661EF"/>
    <w:rsid w:val="00366A83"/>
    <w:rsid w:val="00367148"/>
    <w:rsid w:val="0036796C"/>
    <w:rsid w:val="00367A19"/>
    <w:rsid w:val="00367E00"/>
    <w:rsid w:val="00367F39"/>
    <w:rsid w:val="00370869"/>
    <w:rsid w:val="00370F4A"/>
    <w:rsid w:val="0037138C"/>
    <w:rsid w:val="0037154C"/>
    <w:rsid w:val="0037160E"/>
    <w:rsid w:val="00371725"/>
    <w:rsid w:val="00371ECB"/>
    <w:rsid w:val="003721C0"/>
    <w:rsid w:val="00372594"/>
    <w:rsid w:val="00372E54"/>
    <w:rsid w:val="003737B5"/>
    <w:rsid w:val="0037395B"/>
    <w:rsid w:val="003744A0"/>
    <w:rsid w:val="003747EF"/>
    <w:rsid w:val="00374BF7"/>
    <w:rsid w:val="0037523B"/>
    <w:rsid w:val="0037540C"/>
    <w:rsid w:val="0037660C"/>
    <w:rsid w:val="003766AB"/>
    <w:rsid w:val="00377542"/>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5D14"/>
    <w:rsid w:val="00396D4D"/>
    <w:rsid w:val="00396EB0"/>
    <w:rsid w:val="00396FCC"/>
    <w:rsid w:val="00397561"/>
    <w:rsid w:val="003979EB"/>
    <w:rsid w:val="003A00F1"/>
    <w:rsid w:val="003A140D"/>
    <w:rsid w:val="003A142B"/>
    <w:rsid w:val="003A1A71"/>
    <w:rsid w:val="003A1B02"/>
    <w:rsid w:val="003A2DA6"/>
    <w:rsid w:val="003A375F"/>
    <w:rsid w:val="003A38A5"/>
    <w:rsid w:val="003A4450"/>
    <w:rsid w:val="003A50D7"/>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3396"/>
    <w:rsid w:val="003B375D"/>
    <w:rsid w:val="003B4D1B"/>
    <w:rsid w:val="003B593D"/>
    <w:rsid w:val="003B5D25"/>
    <w:rsid w:val="003B5FB8"/>
    <w:rsid w:val="003B6B8A"/>
    <w:rsid w:val="003B7624"/>
    <w:rsid w:val="003B7A36"/>
    <w:rsid w:val="003B7E7D"/>
    <w:rsid w:val="003C02EB"/>
    <w:rsid w:val="003C04FB"/>
    <w:rsid w:val="003C0705"/>
    <w:rsid w:val="003C0896"/>
    <w:rsid w:val="003C105F"/>
    <w:rsid w:val="003C112A"/>
    <w:rsid w:val="003C1291"/>
    <w:rsid w:val="003C175F"/>
    <w:rsid w:val="003C327D"/>
    <w:rsid w:val="003C33DC"/>
    <w:rsid w:val="003C3795"/>
    <w:rsid w:val="003C4BA6"/>
    <w:rsid w:val="003C4C05"/>
    <w:rsid w:val="003C569F"/>
    <w:rsid w:val="003C5D42"/>
    <w:rsid w:val="003C67CA"/>
    <w:rsid w:val="003C6B97"/>
    <w:rsid w:val="003C6D3E"/>
    <w:rsid w:val="003C7E24"/>
    <w:rsid w:val="003D00C3"/>
    <w:rsid w:val="003D05EA"/>
    <w:rsid w:val="003D0D62"/>
    <w:rsid w:val="003D1357"/>
    <w:rsid w:val="003D1405"/>
    <w:rsid w:val="003D1486"/>
    <w:rsid w:val="003D19BF"/>
    <w:rsid w:val="003D19FB"/>
    <w:rsid w:val="003D2B45"/>
    <w:rsid w:val="003D2C6B"/>
    <w:rsid w:val="003D3248"/>
    <w:rsid w:val="003D34BB"/>
    <w:rsid w:val="003D380F"/>
    <w:rsid w:val="003D386E"/>
    <w:rsid w:val="003D38F9"/>
    <w:rsid w:val="003D3E12"/>
    <w:rsid w:val="003D3E90"/>
    <w:rsid w:val="003D414C"/>
    <w:rsid w:val="003D42D5"/>
    <w:rsid w:val="003D4C70"/>
    <w:rsid w:val="003D5144"/>
    <w:rsid w:val="003D557D"/>
    <w:rsid w:val="003D584B"/>
    <w:rsid w:val="003D627C"/>
    <w:rsid w:val="003D6DDC"/>
    <w:rsid w:val="003D7070"/>
    <w:rsid w:val="003D7608"/>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3EF3"/>
    <w:rsid w:val="003E4241"/>
    <w:rsid w:val="003E469A"/>
    <w:rsid w:val="003E4A2D"/>
    <w:rsid w:val="003E5765"/>
    <w:rsid w:val="003E5A80"/>
    <w:rsid w:val="003E5D87"/>
    <w:rsid w:val="003E5DD6"/>
    <w:rsid w:val="003E5F93"/>
    <w:rsid w:val="003E6207"/>
    <w:rsid w:val="003E6713"/>
    <w:rsid w:val="003E7044"/>
    <w:rsid w:val="003E7273"/>
    <w:rsid w:val="003E750E"/>
    <w:rsid w:val="003E7A28"/>
    <w:rsid w:val="003F00DA"/>
    <w:rsid w:val="003F0528"/>
    <w:rsid w:val="003F0D77"/>
    <w:rsid w:val="003F0E75"/>
    <w:rsid w:val="003F2286"/>
    <w:rsid w:val="003F2329"/>
    <w:rsid w:val="003F2EA6"/>
    <w:rsid w:val="003F326B"/>
    <w:rsid w:val="003F34AC"/>
    <w:rsid w:val="003F354A"/>
    <w:rsid w:val="003F3E4F"/>
    <w:rsid w:val="003F428B"/>
    <w:rsid w:val="003F4736"/>
    <w:rsid w:val="003F48F7"/>
    <w:rsid w:val="003F4C8A"/>
    <w:rsid w:val="003F51CB"/>
    <w:rsid w:val="003F54A7"/>
    <w:rsid w:val="003F57A2"/>
    <w:rsid w:val="003F5B61"/>
    <w:rsid w:val="00400085"/>
    <w:rsid w:val="004005C5"/>
    <w:rsid w:val="00400BD8"/>
    <w:rsid w:val="00400F44"/>
    <w:rsid w:val="004010F3"/>
    <w:rsid w:val="0040130D"/>
    <w:rsid w:val="004022DD"/>
    <w:rsid w:val="00402AE8"/>
    <w:rsid w:val="0040329B"/>
    <w:rsid w:val="004036F3"/>
    <w:rsid w:val="004039E9"/>
    <w:rsid w:val="00403FB8"/>
    <w:rsid w:val="0040462A"/>
    <w:rsid w:val="0040464E"/>
    <w:rsid w:val="00404AB2"/>
    <w:rsid w:val="00404BFA"/>
    <w:rsid w:val="00404DDB"/>
    <w:rsid w:val="00404F99"/>
    <w:rsid w:val="0040537A"/>
    <w:rsid w:val="00405382"/>
    <w:rsid w:val="0040580A"/>
    <w:rsid w:val="00405862"/>
    <w:rsid w:val="00405A26"/>
    <w:rsid w:val="004060C7"/>
    <w:rsid w:val="00406E8D"/>
    <w:rsid w:val="004101B1"/>
    <w:rsid w:val="004103ED"/>
    <w:rsid w:val="004107CA"/>
    <w:rsid w:val="00410EE4"/>
    <w:rsid w:val="0041152C"/>
    <w:rsid w:val="00411628"/>
    <w:rsid w:val="00411BB6"/>
    <w:rsid w:val="00412CC1"/>
    <w:rsid w:val="00412EB5"/>
    <w:rsid w:val="00413051"/>
    <w:rsid w:val="00413610"/>
    <w:rsid w:val="00413792"/>
    <w:rsid w:val="00413807"/>
    <w:rsid w:val="00413879"/>
    <w:rsid w:val="00413FB5"/>
    <w:rsid w:val="0041542D"/>
    <w:rsid w:val="004154A2"/>
    <w:rsid w:val="0041563A"/>
    <w:rsid w:val="00415952"/>
    <w:rsid w:val="00415CC5"/>
    <w:rsid w:val="0041626F"/>
    <w:rsid w:val="00417978"/>
    <w:rsid w:val="00417A6E"/>
    <w:rsid w:val="00417CA0"/>
    <w:rsid w:val="0042094D"/>
    <w:rsid w:val="00420D66"/>
    <w:rsid w:val="00420E12"/>
    <w:rsid w:val="00420F26"/>
    <w:rsid w:val="00421275"/>
    <w:rsid w:val="00421418"/>
    <w:rsid w:val="00421750"/>
    <w:rsid w:val="00421798"/>
    <w:rsid w:val="00422326"/>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5D2"/>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3C7"/>
    <w:rsid w:val="0044049C"/>
    <w:rsid w:val="0044053F"/>
    <w:rsid w:val="00440709"/>
    <w:rsid w:val="00440765"/>
    <w:rsid w:val="0044172E"/>
    <w:rsid w:val="00441EC8"/>
    <w:rsid w:val="00442088"/>
    <w:rsid w:val="00442DCA"/>
    <w:rsid w:val="004437E0"/>
    <w:rsid w:val="0044383D"/>
    <w:rsid w:val="004449ED"/>
    <w:rsid w:val="00444A31"/>
    <w:rsid w:val="0044501C"/>
    <w:rsid w:val="0044520F"/>
    <w:rsid w:val="004457F1"/>
    <w:rsid w:val="00445AA6"/>
    <w:rsid w:val="00445BB9"/>
    <w:rsid w:val="00445CC7"/>
    <w:rsid w:val="00446312"/>
    <w:rsid w:val="00446B9D"/>
    <w:rsid w:val="00446BE6"/>
    <w:rsid w:val="00447119"/>
    <w:rsid w:val="0044727D"/>
    <w:rsid w:val="004477DC"/>
    <w:rsid w:val="00451984"/>
    <w:rsid w:val="00451A80"/>
    <w:rsid w:val="0045210B"/>
    <w:rsid w:val="00452EA6"/>
    <w:rsid w:val="0045353C"/>
    <w:rsid w:val="00453667"/>
    <w:rsid w:val="004539C5"/>
    <w:rsid w:val="00454510"/>
    <w:rsid w:val="00454844"/>
    <w:rsid w:val="00454A50"/>
    <w:rsid w:val="00454C48"/>
    <w:rsid w:val="00454D2D"/>
    <w:rsid w:val="0045556F"/>
    <w:rsid w:val="00456390"/>
    <w:rsid w:val="004571E8"/>
    <w:rsid w:val="004614AA"/>
    <w:rsid w:val="00461FD2"/>
    <w:rsid w:val="004626A5"/>
    <w:rsid w:val="004636CD"/>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655"/>
    <w:rsid w:val="00470D78"/>
    <w:rsid w:val="00470F37"/>
    <w:rsid w:val="004716F7"/>
    <w:rsid w:val="00471C39"/>
    <w:rsid w:val="004731D8"/>
    <w:rsid w:val="004732DB"/>
    <w:rsid w:val="00473CC3"/>
    <w:rsid w:val="00473F42"/>
    <w:rsid w:val="00473F8A"/>
    <w:rsid w:val="004740ED"/>
    <w:rsid w:val="00474247"/>
    <w:rsid w:val="00474294"/>
    <w:rsid w:val="00474345"/>
    <w:rsid w:val="00474E4A"/>
    <w:rsid w:val="004752E3"/>
    <w:rsid w:val="00475A6A"/>
    <w:rsid w:val="004769A3"/>
    <w:rsid w:val="00476B77"/>
    <w:rsid w:val="00476C7C"/>
    <w:rsid w:val="004770AA"/>
    <w:rsid w:val="00477379"/>
    <w:rsid w:val="00477524"/>
    <w:rsid w:val="00477FB3"/>
    <w:rsid w:val="004804EC"/>
    <w:rsid w:val="00480DB7"/>
    <w:rsid w:val="0048105C"/>
    <w:rsid w:val="004815E4"/>
    <w:rsid w:val="004826BA"/>
    <w:rsid w:val="00482A7B"/>
    <w:rsid w:val="00482EBE"/>
    <w:rsid w:val="0048340E"/>
    <w:rsid w:val="00483729"/>
    <w:rsid w:val="00483864"/>
    <w:rsid w:val="00483A49"/>
    <w:rsid w:val="004849AD"/>
    <w:rsid w:val="00485DB7"/>
    <w:rsid w:val="00485DFA"/>
    <w:rsid w:val="004862AF"/>
    <w:rsid w:val="00486BD0"/>
    <w:rsid w:val="004871D4"/>
    <w:rsid w:val="004877FA"/>
    <w:rsid w:val="00487939"/>
    <w:rsid w:val="00487AF6"/>
    <w:rsid w:val="00487D18"/>
    <w:rsid w:val="0049052D"/>
    <w:rsid w:val="00490853"/>
    <w:rsid w:val="00490ADF"/>
    <w:rsid w:val="00490B13"/>
    <w:rsid w:val="00490D00"/>
    <w:rsid w:val="00490D04"/>
    <w:rsid w:val="00491A73"/>
    <w:rsid w:val="00491AEB"/>
    <w:rsid w:val="00492095"/>
    <w:rsid w:val="00492806"/>
    <w:rsid w:val="00492F89"/>
    <w:rsid w:val="0049343B"/>
    <w:rsid w:val="00493B82"/>
    <w:rsid w:val="0049473C"/>
    <w:rsid w:val="00494CBF"/>
    <w:rsid w:val="0049505B"/>
    <w:rsid w:val="00495DDC"/>
    <w:rsid w:val="00496A35"/>
    <w:rsid w:val="00496DF5"/>
    <w:rsid w:val="004979F2"/>
    <w:rsid w:val="00497FAB"/>
    <w:rsid w:val="004A070B"/>
    <w:rsid w:val="004A1883"/>
    <w:rsid w:val="004A197E"/>
    <w:rsid w:val="004A2072"/>
    <w:rsid w:val="004A2092"/>
    <w:rsid w:val="004A2268"/>
    <w:rsid w:val="004A2331"/>
    <w:rsid w:val="004A271B"/>
    <w:rsid w:val="004A27B7"/>
    <w:rsid w:val="004A2C04"/>
    <w:rsid w:val="004A3BFA"/>
    <w:rsid w:val="004A4131"/>
    <w:rsid w:val="004A420C"/>
    <w:rsid w:val="004A47AA"/>
    <w:rsid w:val="004A4D4B"/>
    <w:rsid w:val="004A4E99"/>
    <w:rsid w:val="004A4F63"/>
    <w:rsid w:val="004A531F"/>
    <w:rsid w:val="004A55DC"/>
    <w:rsid w:val="004A6531"/>
    <w:rsid w:val="004A67CC"/>
    <w:rsid w:val="004A6E4A"/>
    <w:rsid w:val="004A6FC8"/>
    <w:rsid w:val="004A7003"/>
    <w:rsid w:val="004B058E"/>
    <w:rsid w:val="004B0A37"/>
    <w:rsid w:val="004B1118"/>
    <w:rsid w:val="004B11EB"/>
    <w:rsid w:val="004B23A1"/>
    <w:rsid w:val="004B2988"/>
    <w:rsid w:val="004B2CCF"/>
    <w:rsid w:val="004B34AB"/>
    <w:rsid w:val="004B3755"/>
    <w:rsid w:val="004B3F13"/>
    <w:rsid w:val="004B402E"/>
    <w:rsid w:val="004B439B"/>
    <w:rsid w:val="004B5360"/>
    <w:rsid w:val="004B5559"/>
    <w:rsid w:val="004B58A4"/>
    <w:rsid w:val="004B5C5C"/>
    <w:rsid w:val="004B61EB"/>
    <w:rsid w:val="004B6724"/>
    <w:rsid w:val="004B6854"/>
    <w:rsid w:val="004B68E2"/>
    <w:rsid w:val="004B6DEF"/>
    <w:rsid w:val="004B7314"/>
    <w:rsid w:val="004B74F7"/>
    <w:rsid w:val="004B75CC"/>
    <w:rsid w:val="004B7E2B"/>
    <w:rsid w:val="004C00E2"/>
    <w:rsid w:val="004C0825"/>
    <w:rsid w:val="004C086F"/>
    <w:rsid w:val="004C0B6A"/>
    <w:rsid w:val="004C0EEF"/>
    <w:rsid w:val="004C0F8B"/>
    <w:rsid w:val="004C0FA4"/>
    <w:rsid w:val="004C1AEB"/>
    <w:rsid w:val="004C209C"/>
    <w:rsid w:val="004C35F0"/>
    <w:rsid w:val="004C398B"/>
    <w:rsid w:val="004C399B"/>
    <w:rsid w:val="004C46DE"/>
    <w:rsid w:val="004C4BC7"/>
    <w:rsid w:val="004C4BF8"/>
    <w:rsid w:val="004C4CFB"/>
    <w:rsid w:val="004C53AE"/>
    <w:rsid w:val="004C5490"/>
    <w:rsid w:val="004C55D3"/>
    <w:rsid w:val="004C5606"/>
    <w:rsid w:val="004C5B3E"/>
    <w:rsid w:val="004C6E1C"/>
    <w:rsid w:val="004C714F"/>
    <w:rsid w:val="004C7347"/>
    <w:rsid w:val="004C78BB"/>
    <w:rsid w:val="004C7B5C"/>
    <w:rsid w:val="004D0263"/>
    <w:rsid w:val="004D03FB"/>
    <w:rsid w:val="004D09DD"/>
    <w:rsid w:val="004D1485"/>
    <w:rsid w:val="004D1767"/>
    <w:rsid w:val="004D1F32"/>
    <w:rsid w:val="004D2DEA"/>
    <w:rsid w:val="004D2FEF"/>
    <w:rsid w:val="004D34CA"/>
    <w:rsid w:val="004D4173"/>
    <w:rsid w:val="004D43BD"/>
    <w:rsid w:val="004D4632"/>
    <w:rsid w:val="004D4C9F"/>
    <w:rsid w:val="004D5893"/>
    <w:rsid w:val="004D5EC4"/>
    <w:rsid w:val="004D67F1"/>
    <w:rsid w:val="004D6FC8"/>
    <w:rsid w:val="004D7A97"/>
    <w:rsid w:val="004D7CBB"/>
    <w:rsid w:val="004E0501"/>
    <w:rsid w:val="004E0A6D"/>
    <w:rsid w:val="004E1453"/>
    <w:rsid w:val="004E1AC8"/>
    <w:rsid w:val="004E1B73"/>
    <w:rsid w:val="004E1EAA"/>
    <w:rsid w:val="004E1F0C"/>
    <w:rsid w:val="004E2313"/>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73D6"/>
    <w:rsid w:val="004E757F"/>
    <w:rsid w:val="004E75A7"/>
    <w:rsid w:val="004E7DD4"/>
    <w:rsid w:val="004E7E67"/>
    <w:rsid w:val="004F0427"/>
    <w:rsid w:val="004F0CFD"/>
    <w:rsid w:val="004F133F"/>
    <w:rsid w:val="004F1BA1"/>
    <w:rsid w:val="004F2394"/>
    <w:rsid w:val="004F24EF"/>
    <w:rsid w:val="004F2B2E"/>
    <w:rsid w:val="004F2C73"/>
    <w:rsid w:val="004F4A8B"/>
    <w:rsid w:val="004F56A2"/>
    <w:rsid w:val="004F5CFB"/>
    <w:rsid w:val="004F5FF7"/>
    <w:rsid w:val="004F6173"/>
    <w:rsid w:val="004F6205"/>
    <w:rsid w:val="004F69C2"/>
    <w:rsid w:val="004F6BB7"/>
    <w:rsid w:val="004F6BC7"/>
    <w:rsid w:val="004F73C3"/>
    <w:rsid w:val="004F78E7"/>
    <w:rsid w:val="00500606"/>
    <w:rsid w:val="005007B4"/>
    <w:rsid w:val="005010A0"/>
    <w:rsid w:val="005014E2"/>
    <w:rsid w:val="005014E5"/>
    <w:rsid w:val="00501D63"/>
    <w:rsid w:val="00501F85"/>
    <w:rsid w:val="005022D5"/>
    <w:rsid w:val="00502315"/>
    <w:rsid w:val="0050232B"/>
    <w:rsid w:val="00502470"/>
    <w:rsid w:val="005027A4"/>
    <w:rsid w:val="005038A4"/>
    <w:rsid w:val="005038C6"/>
    <w:rsid w:val="00503A72"/>
    <w:rsid w:val="00503F8B"/>
    <w:rsid w:val="00503F99"/>
    <w:rsid w:val="0050454E"/>
    <w:rsid w:val="00504818"/>
    <w:rsid w:val="005052F2"/>
    <w:rsid w:val="00505A92"/>
    <w:rsid w:val="00505AF6"/>
    <w:rsid w:val="00506261"/>
    <w:rsid w:val="00506518"/>
    <w:rsid w:val="00506C83"/>
    <w:rsid w:val="005076BF"/>
    <w:rsid w:val="00507847"/>
    <w:rsid w:val="005116F4"/>
    <w:rsid w:val="005123AF"/>
    <w:rsid w:val="005123E5"/>
    <w:rsid w:val="00512777"/>
    <w:rsid w:val="00512EA9"/>
    <w:rsid w:val="00513682"/>
    <w:rsid w:val="005144E5"/>
    <w:rsid w:val="005146E2"/>
    <w:rsid w:val="00514B64"/>
    <w:rsid w:val="00514B92"/>
    <w:rsid w:val="00514F43"/>
    <w:rsid w:val="00515429"/>
    <w:rsid w:val="00516154"/>
    <w:rsid w:val="0051616F"/>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0C47"/>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7FB"/>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3BD"/>
    <w:rsid w:val="00553C94"/>
    <w:rsid w:val="00554283"/>
    <w:rsid w:val="005544EE"/>
    <w:rsid w:val="00554AB3"/>
    <w:rsid w:val="00554E06"/>
    <w:rsid w:val="0055511B"/>
    <w:rsid w:val="00555269"/>
    <w:rsid w:val="00555406"/>
    <w:rsid w:val="005554C3"/>
    <w:rsid w:val="005559F6"/>
    <w:rsid w:val="00555FC7"/>
    <w:rsid w:val="005562E7"/>
    <w:rsid w:val="005567DC"/>
    <w:rsid w:val="00556D82"/>
    <w:rsid w:val="00557029"/>
    <w:rsid w:val="0055713D"/>
    <w:rsid w:val="0055755D"/>
    <w:rsid w:val="00560058"/>
    <w:rsid w:val="00560750"/>
    <w:rsid w:val="00560EED"/>
    <w:rsid w:val="00561600"/>
    <w:rsid w:val="005627F1"/>
    <w:rsid w:val="00563393"/>
    <w:rsid w:val="00563460"/>
    <w:rsid w:val="00563711"/>
    <w:rsid w:val="005643CC"/>
    <w:rsid w:val="00564970"/>
    <w:rsid w:val="00564998"/>
    <w:rsid w:val="00564A29"/>
    <w:rsid w:val="00565644"/>
    <w:rsid w:val="00565A87"/>
    <w:rsid w:val="00565AC6"/>
    <w:rsid w:val="00565D9E"/>
    <w:rsid w:val="00565E8C"/>
    <w:rsid w:val="005664BD"/>
    <w:rsid w:val="00566F57"/>
    <w:rsid w:val="00567B82"/>
    <w:rsid w:val="00567C4D"/>
    <w:rsid w:val="005704E8"/>
    <w:rsid w:val="00570A56"/>
    <w:rsid w:val="005715DA"/>
    <w:rsid w:val="00571C29"/>
    <w:rsid w:val="00571F1D"/>
    <w:rsid w:val="00572D98"/>
    <w:rsid w:val="0057355B"/>
    <w:rsid w:val="005738C8"/>
    <w:rsid w:val="00573908"/>
    <w:rsid w:val="00574107"/>
    <w:rsid w:val="005741BC"/>
    <w:rsid w:val="00574CE7"/>
    <w:rsid w:val="00574F15"/>
    <w:rsid w:val="00575A6F"/>
    <w:rsid w:val="00575B37"/>
    <w:rsid w:val="005762A8"/>
    <w:rsid w:val="0057697C"/>
    <w:rsid w:val="00576B7D"/>
    <w:rsid w:val="00576E39"/>
    <w:rsid w:val="005775B5"/>
    <w:rsid w:val="00580684"/>
    <w:rsid w:val="00581045"/>
    <w:rsid w:val="005811AC"/>
    <w:rsid w:val="0058146E"/>
    <w:rsid w:val="00581D73"/>
    <w:rsid w:val="005821A9"/>
    <w:rsid w:val="00582EC3"/>
    <w:rsid w:val="00583514"/>
    <w:rsid w:val="00584287"/>
    <w:rsid w:val="005845FB"/>
    <w:rsid w:val="00584CC4"/>
    <w:rsid w:val="00585290"/>
    <w:rsid w:val="00586CEB"/>
    <w:rsid w:val="00586E58"/>
    <w:rsid w:val="00586E78"/>
    <w:rsid w:val="005901F3"/>
    <w:rsid w:val="005907DE"/>
    <w:rsid w:val="0059084B"/>
    <w:rsid w:val="00590D9E"/>
    <w:rsid w:val="00591595"/>
    <w:rsid w:val="005919DB"/>
    <w:rsid w:val="00591EC4"/>
    <w:rsid w:val="00592480"/>
    <w:rsid w:val="005925D3"/>
    <w:rsid w:val="0059272A"/>
    <w:rsid w:val="00592922"/>
    <w:rsid w:val="00592AE6"/>
    <w:rsid w:val="0059302F"/>
    <w:rsid w:val="0059312F"/>
    <w:rsid w:val="005933BB"/>
    <w:rsid w:val="00593B89"/>
    <w:rsid w:val="005948E6"/>
    <w:rsid w:val="00595099"/>
    <w:rsid w:val="005957A1"/>
    <w:rsid w:val="00595A24"/>
    <w:rsid w:val="0059652B"/>
    <w:rsid w:val="005966DC"/>
    <w:rsid w:val="005967BC"/>
    <w:rsid w:val="0059692B"/>
    <w:rsid w:val="00597013"/>
    <w:rsid w:val="00597138"/>
    <w:rsid w:val="00597985"/>
    <w:rsid w:val="00597A59"/>
    <w:rsid w:val="00597A8B"/>
    <w:rsid w:val="00597B2F"/>
    <w:rsid w:val="005A0ABE"/>
    <w:rsid w:val="005A0FB8"/>
    <w:rsid w:val="005A1E40"/>
    <w:rsid w:val="005A2022"/>
    <w:rsid w:val="005A20E6"/>
    <w:rsid w:val="005A28AB"/>
    <w:rsid w:val="005A2D5D"/>
    <w:rsid w:val="005A367F"/>
    <w:rsid w:val="005A4116"/>
    <w:rsid w:val="005A4A33"/>
    <w:rsid w:val="005A4F72"/>
    <w:rsid w:val="005A522F"/>
    <w:rsid w:val="005A53A9"/>
    <w:rsid w:val="005A596D"/>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3782"/>
    <w:rsid w:val="005B4066"/>
    <w:rsid w:val="005B40F4"/>
    <w:rsid w:val="005B45D8"/>
    <w:rsid w:val="005B46D3"/>
    <w:rsid w:val="005B6A43"/>
    <w:rsid w:val="005B6EEF"/>
    <w:rsid w:val="005B786F"/>
    <w:rsid w:val="005B7C5F"/>
    <w:rsid w:val="005B7C9B"/>
    <w:rsid w:val="005C071A"/>
    <w:rsid w:val="005C08FC"/>
    <w:rsid w:val="005C092D"/>
    <w:rsid w:val="005C0F46"/>
    <w:rsid w:val="005C234A"/>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0682"/>
    <w:rsid w:val="005D1B26"/>
    <w:rsid w:val="005D1D2C"/>
    <w:rsid w:val="005D32A2"/>
    <w:rsid w:val="005D4877"/>
    <w:rsid w:val="005D5510"/>
    <w:rsid w:val="005D5652"/>
    <w:rsid w:val="005D5BFD"/>
    <w:rsid w:val="005D60CD"/>
    <w:rsid w:val="005D6982"/>
    <w:rsid w:val="005D7415"/>
    <w:rsid w:val="005E02D8"/>
    <w:rsid w:val="005E04BB"/>
    <w:rsid w:val="005E04CD"/>
    <w:rsid w:val="005E09F2"/>
    <w:rsid w:val="005E0C6B"/>
    <w:rsid w:val="005E0D71"/>
    <w:rsid w:val="005E2EE7"/>
    <w:rsid w:val="005E3554"/>
    <w:rsid w:val="005E3BCF"/>
    <w:rsid w:val="005E3CDA"/>
    <w:rsid w:val="005E3DC5"/>
    <w:rsid w:val="005E3E9A"/>
    <w:rsid w:val="005E4A6C"/>
    <w:rsid w:val="005E5DE9"/>
    <w:rsid w:val="005E5F11"/>
    <w:rsid w:val="005E615E"/>
    <w:rsid w:val="005E68C3"/>
    <w:rsid w:val="005E68D4"/>
    <w:rsid w:val="005E711C"/>
    <w:rsid w:val="005E7300"/>
    <w:rsid w:val="005E7473"/>
    <w:rsid w:val="005E788D"/>
    <w:rsid w:val="005E795E"/>
    <w:rsid w:val="005F032F"/>
    <w:rsid w:val="005F0547"/>
    <w:rsid w:val="005F0ECA"/>
    <w:rsid w:val="005F12D7"/>
    <w:rsid w:val="005F13CE"/>
    <w:rsid w:val="005F1675"/>
    <w:rsid w:val="005F1723"/>
    <w:rsid w:val="005F1970"/>
    <w:rsid w:val="005F1C64"/>
    <w:rsid w:val="005F1E97"/>
    <w:rsid w:val="005F23E3"/>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117"/>
    <w:rsid w:val="005F7B79"/>
    <w:rsid w:val="005F7C8A"/>
    <w:rsid w:val="00600EAA"/>
    <w:rsid w:val="00601049"/>
    <w:rsid w:val="006010EB"/>
    <w:rsid w:val="006014C0"/>
    <w:rsid w:val="00601580"/>
    <w:rsid w:val="00601A8A"/>
    <w:rsid w:val="00601C58"/>
    <w:rsid w:val="00602153"/>
    <w:rsid w:val="006037F1"/>
    <w:rsid w:val="006043DD"/>
    <w:rsid w:val="00605367"/>
    <w:rsid w:val="00605497"/>
    <w:rsid w:val="00606308"/>
    <w:rsid w:val="00606680"/>
    <w:rsid w:val="00606744"/>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404"/>
    <w:rsid w:val="00615C3B"/>
    <w:rsid w:val="00615E5A"/>
    <w:rsid w:val="00617BDD"/>
    <w:rsid w:val="00621C66"/>
    <w:rsid w:val="00621EB4"/>
    <w:rsid w:val="00621F1B"/>
    <w:rsid w:val="006232D4"/>
    <w:rsid w:val="00623E17"/>
    <w:rsid w:val="0062420B"/>
    <w:rsid w:val="00624289"/>
    <w:rsid w:val="00624966"/>
    <w:rsid w:val="00625036"/>
    <w:rsid w:val="00625F93"/>
    <w:rsid w:val="006260F9"/>
    <w:rsid w:val="00626766"/>
    <w:rsid w:val="0062701C"/>
    <w:rsid w:val="00627BF5"/>
    <w:rsid w:val="00627CDD"/>
    <w:rsid w:val="00627E2D"/>
    <w:rsid w:val="00630082"/>
    <w:rsid w:val="006308ED"/>
    <w:rsid w:val="00630AB4"/>
    <w:rsid w:val="0063115B"/>
    <w:rsid w:val="0063198B"/>
    <w:rsid w:val="00631E03"/>
    <w:rsid w:val="00632A90"/>
    <w:rsid w:val="006333B9"/>
    <w:rsid w:val="00633E77"/>
    <w:rsid w:val="00634440"/>
    <w:rsid w:val="006346A8"/>
    <w:rsid w:val="006359C4"/>
    <w:rsid w:val="0063601A"/>
    <w:rsid w:val="006362CE"/>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7A6"/>
    <w:rsid w:val="00643B49"/>
    <w:rsid w:val="00643F74"/>
    <w:rsid w:val="00644511"/>
    <w:rsid w:val="00645840"/>
    <w:rsid w:val="006458C9"/>
    <w:rsid w:val="00645C70"/>
    <w:rsid w:val="006461DA"/>
    <w:rsid w:val="0064701C"/>
    <w:rsid w:val="00647E5C"/>
    <w:rsid w:val="006502FC"/>
    <w:rsid w:val="0065046A"/>
    <w:rsid w:val="006505F6"/>
    <w:rsid w:val="006509DC"/>
    <w:rsid w:val="00650D3C"/>
    <w:rsid w:val="00650F39"/>
    <w:rsid w:val="0065143B"/>
    <w:rsid w:val="006515FC"/>
    <w:rsid w:val="0065163A"/>
    <w:rsid w:val="00651869"/>
    <w:rsid w:val="00652287"/>
    <w:rsid w:val="0065237D"/>
    <w:rsid w:val="0065273C"/>
    <w:rsid w:val="006534BC"/>
    <w:rsid w:val="006541DF"/>
    <w:rsid w:val="00654420"/>
    <w:rsid w:val="00654C05"/>
    <w:rsid w:val="00654D97"/>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5D83"/>
    <w:rsid w:val="00666274"/>
    <w:rsid w:val="00666454"/>
    <w:rsid w:val="00666C3F"/>
    <w:rsid w:val="0066764A"/>
    <w:rsid w:val="006677A5"/>
    <w:rsid w:val="006702C8"/>
    <w:rsid w:val="00670A65"/>
    <w:rsid w:val="00670B34"/>
    <w:rsid w:val="00670BA4"/>
    <w:rsid w:val="0067131D"/>
    <w:rsid w:val="00672A2B"/>
    <w:rsid w:val="00672E3A"/>
    <w:rsid w:val="00672E8C"/>
    <w:rsid w:val="00672FD6"/>
    <w:rsid w:val="0067305F"/>
    <w:rsid w:val="00673C07"/>
    <w:rsid w:val="0067438A"/>
    <w:rsid w:val="00674FE3"/>
    <w:rsid w:val="00675046"/>
    <w:rsid w:val="00675284"/>
    <w:rsid w:val="006756ED"/>
    <w:rsid w:val="00676DCC"/>
    <w:rsid w:val="0067748D"/>
    <w:rsid w:val="0067749D"/>
    <w:rsid w:val="00677840"/>
    <w:rsid w:val="00677F32"/>
    <w:rsid w:val="0068016D"/>
    <w:rsid w:val="00680315"/>
    <w:rsid w:val="00681EB5"/>
    <w:rsid w:val="00682254"/>
    <w:rsid w:val="0068368F"/>
    <w:rsid w:val="006841DD"/>
    <w:rsid w:val="00684776"/>
    <w:rsid w:val="00684B34"/>
    <w:rsid w:val="00684E46"/>
    <w:rsid w:val="0068586F"/>
    <w:rsid w:val="006863C6"/>
    <w:rsid w:val="00686893"/>
    <w:rsid w:val="00687563"/>
    <w:rsid w:val="00687703"/>
    <w:rsid w:val="00687862"/>
    <w:rsid w:val="0068794D"/>
    <w:rsid w:val="006901C8"/>
    <w:rsid w:val="00690B1B"/>
    <w:rsid w:val="00690EAD"/>
    <w:rsid w:val="00691307"/>
    <w:rsid w:val="00691498"/>
    <w:rsid w:val="0069158F"/>
    <w:rsid w:val="006915FF"/>
    <w:rsid w:val="0069171E"/>
    <w:rsid w:val="006919B8"/>
    <w:rsid w:val="00691A84"/>
    <w:rsid w:val="00691BBF"/>
    <w:rsid w:val="00691F84"/>
    <w:rsid w:val="0069205A"/>
    <w:rsid w:val="00692489"/>
    <w:rsid w:val="0069274B"/>
    <w:rsid w:val="00692C2C"/>
    <w:rsid w:val="00692E6C"/>
    <w:rsid w:val="006932AD"/>
    <w:rsid w:val="006936D8"/>
    <w:rsid w:val="00693A38"/>
    <w:rsid w:val="00693A3B"/>
    <w:rsid w:val="00693C35"/>
    <w:rsid w:val="00694B37"/>
    <w:rsid w:val="00694B7A"/>
    <w:rsid w:val="00694BDF"/>
    <w:rsid w:val="00694C9C"/>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1E87"/>
    <w:rsid w:val="006A1E96"/>
    <w:rsid w:val="006A29BC"/>
    <w:rsid w:val="006A2BC4"/>
    <w:rsid w:val="006A2D2E"/>
    <w:rsid w:val="006A300F"/>
    <w:rsid w:val="006A3772"/>
    <w:rsid w:val="006A38ED"/>
    <w:rsid w:val="006A3B24"/>
    <w:rsid w:val="006A48EE"/>
    <w:rsid w:val="006A4960"/>
    <w:rsid w:val="006A4CA2"/>
    <w:rsid w:val="006A4EE3"/>
    <w:rsid w:val="006A4FFC"/>
    <w:rsid w:val="006A5125"/>
    <w:rsid w:val="006A6B87"/>
    <w:rsid w:val="006A6F2B"/>
    <w:rsid w:val="006A71B8"/>
    <w:rsid w:val="006A78C9"/>
    <w:rsid w:val="006A7CE0"/>
    <w:rsid w:val="006A7DBA"/>
    <w:rsid w:val="006B000C"/>
    <w:rsid w:val="006B072D"/>
    <w:rsid w:val="006B07F1"/>
    <w:rsid w:val="006B105F"/>
    <w:rsid w:val="006B19BB"/>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588F"/>
    <w:rsid w:val="006B695A"/>
    <w:rsid w:val="006B6F26"/>
    <w:rsid w:val="006B7649"/>
    <w:rsid w:val="006B7845"/>
    <w:rsid w:val="006C03C2"/>
    <w:rsid w:val="006C0760"/>
    <w:rsid w:val="006C10E8"/>
    <w:rsid w:val="006C1336"/>
    <w:rsid w:val="006C16FA"/>
    <w:rsid w:val="006C1759"/>
    <w:rsid w:val="006C1A4F"/>
    <w:rsid w:val="006C1AF8"/>
    <w:rsid w:val="006C1B18"/>
    <w:rsid w:val="006C1C7F"/>
    <w:rsid w:val="006C2FEC"/>
    <w:rsid w:val="006C3276"/>
    <w:rsid w:val="006C35B0"/>
    <w:rsid w:val="006C3CCF"/>
    <w:rsid w:val="006C4111"/>
    <w:rsid w:val="006C4451"/>
    <w:rsid w:val="006C488C"/>
    <w:rsid w:val="006C49E9"/>
    <w:rsid w:val="006C504C"/>
    <w:rsid w:val="006C56D3"/>
    <w:rsid w:val="006C5712"/>
    <w:rsid w:val="006C5722"/>
    <w:rsid w:val="006C5738"/>
    <w:rsid w:val="006C65C8"/>
    <w:rsid w:val="006C661C"/>
    <w:rsid w:val="006C6D7E"/>
    <w:rsid w:val="006C6D9B"/>
    <w:rsid w:val="006C74BC"/>
    <w:rsid w:val="006C762E"/>
    <w:rsid w:val="006D0E11"/>
    <w:rsid w:val="006D175A"/>
    <w:rsid w:val="006D1877"/>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1B9A"/>
    <w:rsid w:val="006E21CD"/>
    <w:rsid w:val="006E2459"/>
    <w:rsid w:val="006E269F"/>
    <w:rsid w:val="006E292D"/>
    <w:rsid w:val="006E2C2B"/>
    <w:rsid w:val="006E2DB7"/>
    <w:rsid w:val="006E38A3"/>
    <w:rsid w:val="006E3DE5"/>
    <w:rsid w:val="006E3F07"/>
    <w:rsid w:val="006E4518"/>
    <w:rsid w:val="006E4AEA"/>
    <w:rsid w:val="006E52CC"/>
    <w:rsid w:val="006E540C"/>
    <w:rsid w:val="006E5489"/>
    <w:rsid w:val="006E7113"/>
    <w:rsid w:val="006E725C"/>
    <w:rsid w:val="006E7C92"/>
    <w:rsid w:val="006F01A2"/>
    <w:rsid w:val="006F0573"/>
    <w:rsid w:val="006F0995"/>
    <w:rsid w:val="006F0BEE"/>
    <w:rsid w:val="006F1444"/>
    <w:rsid w:val="006F17AB"/>
    <w:rsid w:val="006F17FA"/>
    <w:rsid w:val="006F1D9D"/>
    <w:rsid w:val="006F22C6"/>
    <w:rsid w:val="006F2329"/>
    <w:rsid w:val="006F2961"/>
    <w:rsid w:val="006F2D00"/>
    <w:rsid w:val="006F33D3"/>
    <w:rsid w:val="006F35DC"/>
    <w:rsid w:val="006F37E7"/>
    <w:rsid w:val="006F3C82"/>
    <w:rsid w:val="006F3F0D"/>
    <w:rsid w:val="006F42D9"/>
    <w:rsid w:val="006F4378"/>
    <w:rsid w:val="006F4640"/>
    <w:rsid w:val="006F48B2"/>
    <w:rsid w:val="006F4D5C"/>
    <w:rsid w:val="006F505A"/>
    <w:rsid w:val="006F5200"/>
    <w:rsid w:val="006F5F5E"/>
    <w:rsid w:val="006F64D1"/>
    <w:rsid w:val="006F75D3"/>
    <w:rsid w:val="006F7867"/>
    <w:rsid w:val="006F7AB1"/>
    <w:rsid w:val="006F7ADB"/>
    <w:rsid w:val="006F7E84"/>
    <w:rsid w:val="007003E4"/>
    <w:rsid w:val="00700C53"/>
    <w:rsid w:val="007011B7"/>
    <w:rsid w:val="00701918"/>
    <w:rsid w:val="0070246B"/>
    <w:rsid w:val="00703D0B"/>
    <w:rsid w:val="007041FD"/>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2B7"/>
    <w:rsid w:val="007123A4"/>
    <w:rsid w:val="0071262E"/>
    <w:rsid w:val="007129BD"/>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4D0"/>
    <w:rsid w:val="0072473A"/>
    <w:rsid w:val="00724A6A"/>
    <w:rsid w:val="00724C31"/>
    <w:rsid w:val="00724CCB"/>
    <w:rsid w:val="007252C2"/>
    <w:rsid w:val="00726273"/>
    <w:rsid w:val="00726964"/>
    <w:rsid w:val="00727600"/>
    <w:rsid w:val="00727629"/>
    <w:rsid w:val="00727EAB"/>
    <w:rsid w:val="00730302"/>
    <w:rsid w:val="00730AE1"/>
    <w:rsid w:val="00730BDF"/>
    <w:rsid w:val="00730ED5"/>
    <w:rsid w:val="0073164E"/>
    <w:rsid w:val="00731796"/>
    <w:rsid w:val="00731F53"/>
    <w:rsid w:val="0073247D"/>
    <w:rsid w:val="00732A33"/>
    <w:rsid w:val="00733B0B"/>
    <w:rsid w:val="00733B18"/>
    <w:rsid w:val="007341E9"/>
    <w:rsid w:val="007341F3"/>
    <w:rsid w:val="007342A4"/>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4F62"/>
    <w:rsid w:val="007454BA"/>
    <w:rsid w:val="007454F5"/>
    <w:rsid w:val="00745A11"/>
    <w:rsid w:val="00745E57"/>
    <w:rsid w:val="00745F36"/>
    <w:rsid w:val="00745F96"/>
    <w:rsid w:val="00746182"/>
    <w:rsid w:val="007463EA"/>
    <w:rsid w:val="00746951"/>
    <w:rsid w:val="00746B4E"/>
    <w:rsid w:val="00747237"/>
    <w:rsid w:val="0074777E"/>
    <w:rsid w:val="00747972"/>
    <w:rsid w:val="00747CD5"/>
    <w:rsid w:val="00747D9F"/>
    <w:rsid w:val="00747FBE"/>
    <w:rsid w:val="00750467"/>
    <w:rsid w:val="007509D4"/>
    <w:rsid w:val="00750B4A"/>
    <w:rsid w:val="00750EA5"/>
    <w:rsid w:val="00751262"/>
    <w:rsid w:val="0075155B"/>
    <w:rsid w:val="00751F0B"/>
    <w:rsid w:val="00752520"/>
    <w:rsid w:val="0075258F"/>
    <w:rsid w:val="00752835"/>
    <w:rsid w:val="007529C5"/>
    <w:rsid w:val="00752B31"/>
    <w:rsid w:val="00752E1F"/>
    <w:rsid w:val="0075319B"/>
    <w:rsid w:val="00753CB1"/>
    <w:rsid w:val="00754186"/>
    <w:rsid w:val="007541F5"/>
    <w:rsid w:val="0075436B"/>
    <w:rsid w:val="00754577"/>
    <w:rsid w:val="00754739"/>
    <w:rsid w:val="0075480F"/>
    <w:rsid w:val="007551B1"/>
    <w:rsid w:val="00755E73"/>
    <w:rsid w:val="00755E92"/>
    <w:rsid w:val="00756120"/>
    <w:rsid w:val="007574FD"/>
    <w:rsid w:val="0075782F"/>
    <w:rsid w:val="00757889"/>
    <w:rsid w:val="00760CA0"/>
    <w:rsid w:val="0076128D"/>
    <w:rsid w:val="00761514"/>
    <w:rsid w:val="00761621"/>
    <w:rsid w:val="00761E12"/>
    <w:rsid w:val="007623A7"/>
    <w:rsid w:val="007625B5"/>
    <w:rsid w:val="007631E5"/>
    <w:rsid w:val="007638AA"/>
    <w:rsid w:val="007642E0"/>
    <w:rsid w:val="007648D1"/>
    <w:rsid w:val="007649D2"/>
    <w:rsid w:val="00765023"/>
    <w:rsid w:val="0076530E"/>
    <w:rsid w:val="00765534"/>
    <w:rsid w:val="007655E1"/>
    <w:rsid w:val="00765B34"/>
    <w:rsid w:val="00765D6C"/>
    <w:rsid w:val="00765F71"/>
    <w:rsid w:val="00766322"/>
    <w:rsid w:val="007663EC"/>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D54"/>
    <w:rsid w:val="00776E9C"/>
    <w:rsid w:val="0077727E"/>
    <w:rsid w:val="00777306"/>
    <w:rsid w:val="00777455"/>
    <w:rsid w:val="007776D8"/>
    <w:rsid w:val="007809EF"/>
    <w:rsid w:val="00780FB1"/>
    <w:rsid w:val="0078157B"/>
    <w:rsid w:val="00781751"/>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B69"/>
    <w:rsid w:val="00786C2C"/>
    <w:rsid w:val="00786CA9"/>
    <w:rsid w:val="00786E82"/>
    <w:rsid w:val="007878EF"/>
    <w:rsid w:val="00787AC4"/>
    <w:rsid w:val="00790536"/>
    <w:rsid w:val="00790716"/>
    <w:rsid w:val="00790CB1"/>
    <w:rsid w:val="00790D88"/>
    <w:rsid w:val="007912EF"/>
    <w:rsid w:val="00791B41"/>
    <w:rsid w:val="0079205E"/>
    <w:rsid w:val="007929E3"/>
    <w:rsid w:val="007930B8"/>
    <w:rsid w:val="00793209"/>
    <w:rsid w:val="007940EE"/>
    <w:rsid w:val="007941B9"/>
    <w:rsid w:val="00794943"/>
    <w:rsid w:val="00794FB8"/>
    <w:rsid w:val="007957D7"/>
    <w:rsid w:val="00795B1B"/>
    <w:rsid w:val="0079741D"/>
    <w:rsid w:val="007A0000"/>
    <w:rsid w:val="007A0AA3"/>
    <w:rsid w:val="007A0D99"/>
    <w:rsid w:val="007A1C2B"/>
    <w:rsid w:val="007A1D7F"/>
    <w:rsid w:val="007A1D9B"/>
    <w:rsid w:val="007A1F92"/>
    <w:rsid w:val="007A2007"/>
    <w:rsid w:val="007A235D"/>
    <w:rsid w:val="007A24D6"/>
    <w:rsid w:val="007A2800"/>
    <w:rsid w:val="007A2BF7"/>
    <w:rsid w:val="007A39C2"/>
    <w:rsid w:val="007A3AB6"/>
    <w:rsid w:val="007A3B90"/>
    <w:rsid w:val="007A40F2"/>
    <w:rsid w:val="007A43F8"/>
    <w:rsid w:val="007A5358"/>
    <w:rsid w:val="007A55BD"/>
    <w:rsid w:val="007A5782"/>
    <w:rsid w:val="007A5902"/>
    <w:rsid w:val="007A5C38"/>
    <w:rsid w:val="007A6038"/>
    <w:rsid w:val="007A62B1"/>
    <w:rsid w:val="007A6A9F"/>
    <w:rsid w:val="007A7231"/>
    <w:rsid w:val="007A78B6"/>
    <w:rsid w:val="007A7B57"/>
    <w:rsid w:val="007B00BA"/>
    <w:rsid w:val="007B06BB"/>
    <w:rsid w:val="007B0827"/>
    <w:rsid w:val="007B0AD9"/>
    <w:rsid w:val="007B1668"/>
    <w:rsid w:val="007B167C"/>
    <w:rsid w:val="007B195B"/>
    <w:rsid w:val="007B21D6"/>
    <w:rsid w:val="007B23A3"/>
    <w:rsid w:val="007B26D4"/>
    <w:rsid w:val="007B29EC"/>
    <w:rsid w:val="007B2A7A"/>
    <w:rsid w:val="007B2D16"/>
    <w:rsid w:val="007B3CBD"/>
    <w:rsid w:val="007B4195"/>
    <w:rsid w:val="007B46F6"/>
    <w:rsid w:val="007B4C4B"/>
    <w:rsid w:val="007B53F6"/>
    <w:rsid w:val="007B581D"/>
    <w:rsid w:val="007B617C"/>
    <w:rsid w:val="007B666D"/>
    <w:rsid w:val="007B684C"/>
    <w:rsid w:val="007B694E"/>
    <w:rsid w:val="007B6D8B"/>
    <w:rsid w:val="007B6EBD"/>
    <w:rsid w:val="007B6F87"/>
    <w:rsid w:val="007B757B"/>
    <w:rsid w:val="007B7E05"/>
    <w:rsid w:val="007C0347"/>
    <w:rsid w:val="007C0451"/>
    <w:rsid w:val="007C0EC1"/>
    <w:rsid w:val="007C0F8F"/>
    <w:rsid w:val="007C20BB"/>
    <w:rsid w:val="007C232B"/>
    <w:rsid w:val="007C236B"/>
    <w:rsid w:val="007C2BB1"/>
    <w:rsid w:val="007C2CE4"/>
    <w:rsid w:val="007C2DD7"/>
    <w:rsid w:val="007C332B"/>
    <w:rsid w:val="007C3362"/>
    <w:rsid w:val="007C3DA2"/>
    <w:rsid w:val="007C45E3"/>
    <w:rsid w:val="007C5163"/>
    <w:rsid w:val="007C5708"/>
    <w:rsid w:val="007C58C6"/>
    <w:rsid w:val="007C5ADE"/>
    <w:rsid w:val="007C5B1C"/>
    <w:rsid w:val="007C5CD3"/>
    <w:rsid w:val="007C60FE"/>
    <w:rsid w:val="007C626E"/>
    <w:rsid w:val="007C66DD"/>
    <w:rsid w:val="007C76A0"/>
    <w:rsid w:val="007C7C46"/>
    <w:rsid w:val="007C7E05"/>
    <w:rsid w:val="007D027A"/>
    <w:rsid w:val="007D0394"/>
    <w:rsid w:val="007D0CB3"/>
    <w:rsid w:val="007D0FC1"/>
    <w:rsid w:val="007D10FE"/>
    <w:rsid w:val="007D1D3B"/>
    <w:rsid w:val="007D209E"/>
    <w:rsid w:val="007D218D"/>
    <w:rsid w:val="007D226E"/>
    <w:rsid w:val="007D2A44"/>
    <w:rsid w:val="007D2EFF"/>
    <w:rsid w:val="007D358C"/>
    <w:rsid w:val="007D3646"/>
    <w:rsid w:val="007D3892"/>
    <w:rsid w:val="007D446F"/>
    <w:rsid w:val="007D4693"/>
    <w:rsid w:val="007D49DD"/>
    <w:rsid w:val="007D575C"/>
    <w:rsid w:val="007D5B27"/>
    <w:rsid w:val="007D5C29"/>
    <w:rsid w:val="007D672E"/>
    <w:rsid w:val="007D67AB"/>
    <w:rsid w:val="007D69A7"/>
    <w:rsid w:val="007D7224"/>
    <w:rsid w:val="007D741F"/>
    <w:rsid w:val="007D780E"/>
    <w:rsid w:val="007D7CC2"/>
    <w:rsid w:val="007E07B6"/>
    <w:rsid w:val="007E0C41"/>
    <w:rsid w:val="007E0D98"/>
    <w:rsid w:val="007E0E2C"/>
    <w:rsid w:val="007E0F1F"/>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3A"/>
    <w:rsid w:val="007E6667"/>
    <w:rsid w:val="007E6C7B"/>
    <w:rsid w:val="007E6D09"/>
    <w:rsid w:val="007E70B0"/>
    <w:rsid w:val="007F0145"/>
    <w:rsid w:val="007F027A"/>
    <w:rsid w:val="007F0414"/>
    <w:rsid w:val="007F0639"/>
    <w:rsid w:val="007F0924"/>
    <w:rsid w:val="007F0E87"/>
    <w:rsid w:val="007F1176"/>
    <w:rsid w:val="007F1285"/>
    <w:rsid w:val="007F148F"/>
    <w:rsid w:val="007F16E8"/>
    <w:rsid w:val="007F190A"/>
    <w:rsid w:val="007F20CA"/>
    <w:rsid w:val="007F20CF"/>
    <w:rsid w:val="007F274F"/>
    <w:rsid w:val="007F294C"/>
    <w:rsid w:val="007F2BE6"/>
    <w:rsid w:val="007F2D4C"/>
    <w:rsid w:val="007F2F56"/>
    <w:rsid w:val="007F3CFB"/>
    <w:rsid w:val="007F3F6C"/>
    <w:rsid w:val="007F49A6"/>
    <w:rsid w:val="007F4C27"/>
    <w:rsid w:val="007F4C89"/>
    <w:rsid w:val="007F61B7"/>
    <w:rsid w:val="007F6263"/>
    <w:rsid w:val="007F6408"/>
    <w:rsid w:val="007F6DEE"/>
    <w:rsid w:val="007F6E7D"/>
    <w:rsid w:val="007F7D5E"/>
    <w:rsid w:val="007F7E34"/>
    <w:rsid w:val="0080053E"/>
    <w:rsid w:val="00800ADD"/>
    <w:rsid w:val="00800F22"/>
    <w:rsid w:val="00801235"/>
    <w:rsid w:val="00801472"/>
    <w:rsid w:val="0080186B"/>
    <w:rsid w:val="00801DC1"/>
    <w:rsid w:val="00801F43"/>
    <w:rsid w:val="0080200C"/>
    <w:rsid w:val="00802EE9"/>
    <w:rsid w:val="008032CB"/>
    <w:rsid w:val="00803400"/>
    <w:rsid w:val="008034B6"/>
    <w:rsid w:val="008039E8"/>
    <w:rsid w:val="00803D39"/>
    <w:rsid w:val="00804030"/>
    <w:rsid w:val="008041D0"/>
    <w:rsid w:val="008042B6"/>
    <w:rsid w:val="00804A9D"/>
    <w:rsid w:val="00804CB5"/>
    <w:rsid w:val="008056B3"/>
    <w:rsid w:val="00805A02"/>
    <w:rsid w:val="00805D34"/>
    <w:rsid w:val="00805E56"/>
    <w:rsid w:val="008061D1"/>
    <w:rsid w:val="008063D3"/>
    <w:rsid w:val="0080654E"/>
    <w:rsid w:val="00806691"/>
    <w:rsid w:val="0080699B"/>
    <w:rsid w:val="00806BCD"/>
    <w:rsid w:val="0080709A"/>
    <w:rsid w:val="0081001E"/>
    <w:rsid w:val="00810085"/>
    <w:rsid w:val="00810AAE"/>
    <w:rsid w:val="00810C6A"/>
    <w:rsid w:val="008115D3"/>
    <w:rsid w:val="00811C8A"/>
    <w:rsid w:val="00812FFB"/>
    <w:rsid w:val="0081322A"/>
    <w:rsid w:val="00813600"/>
    <w:rsid w:val="00813E2C"/>
    <w:rsid w:val="008146B7"/>
    <w:rsid w:val="00814DF3"/>
    <w:rsid w:val="00814FA2"/>
    <w:rsid w:val="00815309"/>
    <w:rsid w:val="008155DE"/>
    <w:rsid w:val="00815899"/>
    <w:rsid w:val="00815F0E"/>
    <w:rsid w:val="008166B9"/>
    <w:rsid w:val="008167C4"/>
    <w:rsid w:val="00816F99"/>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06B"/>
    <w:rsid w:val="008241CC"/>
    <w:rsid w:val="0082433B"/>
    <w:rsid w:val="00824A1E"/>
    <w:rsid w:val="00824ADF"/>
    <w:rsid w:val="00824FE4"/>
    <w:rsid w:val="008250AB"/>
    <w:rsid w:val="008250D4"/>
    <w:rsid w:val="008250DA"/>
    <w:rsid w:val="00825A88"/>
    <w:rsid w:val="00825D17"/>
    <w:rsid w:val="00825E29"/>
    <w:rsid w:val="00826B82"/>
    <w:rsid w:val="00826E25"/>
    <w:rsid w:val="00826FF1"/>
    <w:rsid w:val="00827240"/>
    <w:rsid w:val="00830225"/>
    <w:rsid w:val="00830836"/>
    <w:rsid w:val="00830A05"/>
    <w:rsid w:val="00831406"/>
    <w:rsid w:val="00831688"/>
    <w:rsid w:val="008321A1"/>
    <w:rsid w:val="00833A34"/>
    <w:rsid w:val="00834098"/>
    <w:rsid w:val="00834449"/>
    <w:rsid w:val="00834BA2"/>
    <w:rsid w:val="00834D62"/>
    <w:rsid w:val="00834FD9"/>
    <w:rsid w:val="0083552F"/>
    <w:rsid w:val="00836938"/>
    <w:rsid w:val="008370FE"/>
    <w:rsid w:val="008379A1"/>
    <w:rsid w:val="00840044"/>
    <w:rsid w:val="0084004B"/>
    <w:rsid w:val="00840898"/>
    <w:rsid w:val="00840B2E"/>
    <w:rsid w:val="0084255E"/>
    <w:rsid w:val="00842869"/>
    <w:rsid w:val="00842CB4"/>
    <w:rsid w:val="00843985"/>
    <w:rsid w:val="00843E0E"/>
    <w:rsid w:val="00844DB0"/>
    <w:rsid w:val="008458D5"/>
    <w:rsid w:val="00845AB6"/>
    <w:rsid w:val="00845ADC"/>
    <w:rsid w:val="00846192"/>
    <w:rsid w:val="008465E9"/>
    <w:rsid w:val="00847165"/>
    <w:rsid w:val="008473F4"/>
    <w:rsid w:val="008478C3"/>
    <w:rsid w:val="00847908"/>
    <w:rsid w:val="00847FF7"/>
    <w:rsid w:val="00850C9E"/>
    <w:rsid w:val="00851665"/>
    <w:rsid w:val="0085198E"/>
    <w:rsid w:val="008519D0"/>
    <w:rsid w:val="00851A18"/>
    <w:rsid w:val="00852039"/>
    <w:rsid w:val="0085299E"/>
    <w:rsid w:val="008535EA"/>
    <w:rsid w:val="00853B20"/>
    <w:rsid w:val="00854239"/>
    <w:rsid w:val="008546A3"/>
    <w:rsid w:val="0085474D"/>
    <w:rsid w:val="0085480B"/>
    <w:rsid w:val="008548E8"/>
    <w:rsid w:val="00854AD6"/>
    <w:rsid w:val="008554DD"/>
    <w:rsid w:val="00855771"/>
    <w:rsid w:val="00855DD6"/>
    <w:rsid w:val="00856159"/>
    <w:rsid w:val="00856178"/>
    <w:rsid w:val="008564C4"/>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4D"/>
    <w:rsid w:val="00865EAA"/>
    <w:rsid w:val="00865FA8"/>
    <w:rsid w:val="00865FF8"/>
    <w:rsid w:val="0086611C"/>
    <w:rsid w:val="008661CF"/>
    <w:rsid w:val="00866652"/>
    <w:rsid w:val="00866B92"/>
    <w:rsid w:val="00866C1E"/>
    <w:rsid w:val="00867082"/>
    <w:rsid w:val="00870564"/>
    <w:rsid w:val="008707CB"/>
    <w:rsid w:val="00870BDA"/>
    <w:rsid w:val="00870D25"/>
    <w:rsid w:val="00870D8E"/>
    <w:rsid w:val="0087164A"/>
    <w:rsid w:val="00871743"/>
    <w:rsid w:val="00871A27"/>
    <w:rsid w:val="00871F93"/>
    <w:rsid w:val="00872463"/>
    <w:rsid w:val="00872A9C"/>
    <w:rsid w:val="00872BE6"/>
    <w:rsid w:val="00872D37"/>
    <w:rsid w:val="00872E4F"/>
    <w:rsid w:val="008730B0"/>
    <w:rsid w:val="00873180"/>
    <w:rsid w:val="00874A5D"/>
    <w:rsid w:val="00874B27"/>
    <w:rsid w:val="00874F77"/>
    <w:rsid w:val="00875EBA"/>
    <w:rsid w:val="008761B9"/>
    <w:rsid w:val="00876799"/>
    <w:rsid w:val="00876EB6"/>
    <w:rsid w:val="008777B8"/>
    <w:rsid w:val="008779F2"/>
    <w:rsid w:val="00877EFB"/>
    <w:rsid w:val="00877F02"/>
    <w:rsid w:val="0088119C"/>
    <w:rsid w:val="00881410"/>
    <w:rsid w:val="0088168C"/>
    <w:rsid w:val="00882123"/>
    <w:rsid w:val="008826BE"/>
    <w:rsid w:val="00882A17"/>
    <w:rsid w:val="00882C0B"/>
    <w:rsid w:val="00882D2A"/>
    <w:rsid w:val="00883130"/>
    <w:rsid w:val="00883545"/>
    <w:rsid w:val="008846B8"/>
    <w:rsid w:val="008850C7"/>
    <w:rsid w:val="00885361"/>
    <w:rsid w:val="0088562B"/>
    <w:rsid w:val="008859D4"/>
    <w:rsid w:val="00885DBF"/>
    <w:rsid w:val="00885FA7"/>
    <w:rsid w:val="00886C81"/>
    <w:rsid w:val="00887024"/>
    <w:rsid w:val="00887689"/>
    <w:rsid w:val="0088798E"/>
    <w:rsid w:val="00887B58"/>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C75"/>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6D"/>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4E1E"/>
    <w:rsid w:val="008C567F"/>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373"/>
    <w:rsid w:val="008D3C96"/>
    <w:rsid w:val="008D4987"/>
    <w:rsid w:val="008D4DE5"/>
    <w:rsid w:val="008D5015"/>
    <w:rsid w:val="008D50A5"/>
    <w:rsid w:val="008D5360"/>
    <w:rsid w:val="008D55D1"/>
    <w:rsid w:val="008D59B6"/>
    <w:rsid w:val="008D5CF3"/>
    <w:rsid w:val="008D5F8C"/>
    <w:rsid w:val="008D67E9"/>
    <w:rsid w:val="008D6B3C"/>
    <w:rsid w:val="008D6FF5"/>
    <w:rsid w:val="008D7206"/>
    <w:rsid w:val="008D7643"/>
    <w:rsid w:val="008D764E"/>
    <w:rsid w:val="008D78BE"/>
    <w:rsid w:val="008D792E"/>
    <w:rsid w:val="008D798D"/>
    <w:rsid w:val="008E01A0"/>
    <w:rsid w:val="008E1479"/>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0539"/>
    <w:rsid w:val="008F1070"/>
    <w:rsid w:val="008F220C"/>
    <w:rsid w:val="008F2A95"/>
    <w:rsid w:val="008F2D93"/>
    <w:rsid w:val="008F2FF2"/>
    <w:rsid w:val="008F4156"/>
    <w:rsid w:val="008F4286"/>
    <w:rsid w:val="008F4694"/>
    <w:rsid w:val="008F53CF"/>
    <w:rsid w:val="008F5542"/>
    <w:rsid w:val="008F592A"/>
    <w:rsid w:val="008F5CBA"/>
    <w:rsid w:val="008F60D3"/>
    <w:rsid w:val="008F70C1"/>
    <w:rsid w:val="009000B7"/>
    <w:rsid w:val="00900480"/>
    <w:rsid w:val="0090053B"/>
    <w:rsid w:val="009005D4"/>
    <w:rsid w:val="009008F5"/>
    <w:rsid w:val="00900CA9"/>
    <w:rsid w:val="00900D51"/>
    <w:rsid w:val="009010B8"/>
    <w:rsid w:val="0090143D"/>
    <w:rsid w:val="009014D8"/>
    <w:rsid w:val="009018E1"/>
    <w:rsid w:val="009037DA"/>
    <w:rsid w:val="00903EAB"/>
    <w:rsid w:val="00903FF6"/>
    <w:rsid w:val="009044DF"/>
    <w:rsid w:val="00904E40"/>
    <w:rsid w:val="009061E3"/>
    <w:rsid w:val="009066D8"/>
    <w:rsid w:val="009067D6"/>
    <w:rsid w:val="00906AB2"/>
    <w:rsid w:val="0090769B"/>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347"/>
    <w:rsid w:val="009144CF"/>
    <w:rsid w:val="00914879"/>
    <w:rsid w:val="0091503E"/>
    <w:rsid w:val="0091548D"/>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1D3C"/>
    <w:rsid w:val="0092218E"/>
    <w:rsid w:val="00922FFA"/>
    <w:rsid w:val="0092310B"/>
    <w:rsid w:val="00923FA7"/>
    <w:rsid w:val="00924055"/>
    <w:rsid w:val="00924425"/>
    <w:rsid w:val="00924E1C"/>
    <w:rsid w:val="009251DF"/>
    <w:rsid w:val="00925503"/>
    <w:rsid w:val="00925A12"/>
    <w:rsid w:val="00925FE7"/>
    <w:rsid w:val="00926A0E"/>
    <w:rsid w:val="0092707C"/>
    <w:rsid w:val="009275AA"/>
    <w:rsid w:val="009277C8"/>
    <w:rsid w:val="009278F6"/>
    <w:rsid w:val="00927AE5"/>
    <w:rsid w:val="00927D88"/>
    <w:rsid w:val="009308A5"/>
    <w:rsid w:val="00930B36"/>
    <w:rsid w:val="009312BC"/>
    <w:rsid w:val="009312F4"/>
    <w:rsid w:val="00931596"/>
    <w:rsid w:val="0093165F"/>
    <w:rsid w:val="00931667"/>
    <w:rsid w:val="009317B2"/>
    <w:rsid w:val="00931933"/>
    <w:rsid w:val="00931B91"/>
    <w:rsid w:val="00931E66"/>
    <w:rsid w:val="00932534"/>
    <w:rsid w:val="0093290D"/>
    <w:rsid w:val="00932BA2"/>
    <w:rsid w:val="00932BCB"/>
    <w:rsid w:val="00933DF9"/>
    <w:rsid w:val="00933F49"/>
    <w:rsid w:val="009341F0"/>
    <w:rsid w:val="0093438D"/>
    <w:rsid w:val="0093499D"/>
    <w:rsid w:val="00934A08"/>
    <w:rsid w:val="00936492"/>
    <w:rsid w:val="00936A27"/>
    <w:rsid w:val="00936EC7"/>
    <w:rsid w:val="00937FCC"/>
    <w:rsid w:val="009400BF"/>
    <w:rsid w:val="00940AE2"/>
    <w:rsid w:val="00940D07"/>
    <w:rsid w:val="00940F4A"/>
    <w:rsid w:val="0094147D"/>
    <w:rsid w:val="0094164A"/>
    <w:rsid w:val="00941FFA"/>
    <w:rsid w:val="009423FB"/>
    <w:rsid w:val="00942483"/>
    <w:rsid w:val="00942C45"/>
    <w:rsid w:val="00942C7B"/>
    <w:rsid w:val="00942CD5"/>
    <w:rsid w:val="00942E9C"/>
    <w:rsid w:val="00943188"/>
    <w:rsid w:val="0094389D"/>
    <w:rsid w:val="00943956"/>
    <w:rsid w:val="009441D4"/>
    <w:rsid w:val="009442A3"/>
    <w:rsid w:val="00944A6A"/>
    <w:rsid w:val="00944A77"/>
    <w:rsid w:val="00944B4B"/>
    <w:rsid w:val="00944E22"/>
    <w:rsid w:val="00945401"/>
    <w:rsid w:val="009463ED"/>
    <w:rsid w:val="0094668F"/>
    <w:rsid w:val="00946963"/>
    <w:rsid w:val="009469BC"/>
    <w:rsid w:val="00946D07"/>
    <w:rsid w:val="00946D5D"/>
    <w:rsid w:val="009476F5"/>
    <w:rsid w:val="00947E8E"/>
    <w:rsid w:val="009503C9"/>
    <w:rsid w:val="00950C4C"/>
    <w:rsid w:val="00950E09"/>
    <w:rsid w:val="00950F69"/>
    <w:rsid w:val="00952863"/>
    <w:rsid w:val="00952F45"/>
    <w:rsid w:val="00953985"/>
    <w:rsid w:val="00953BE8"/>
    <w:rsid w:val="00953C5F"/>
    <w:rsid w:val="00954199"/>
    <w:rsid w:val="00954487"/>
    <w:rsid w:val="00955400"/>
    <w:rsid w:val="00955716"/>
    <w:rsid w:val="0095642C"/>
    <w:rsid w:val="00956609"/>
    <w:rsid w:val="00956BE2"/>
    <w:rsid w:val="009574D2"/>
    <w:rsid w:val="00957A0A"/>
    <w:rsid w:val="00957AEF"/>
    <w:rsid w:val="00957CD1"/>
    <w:rsid w:val="009602DB"/>
    <w:rsid w:val="0096068D"/>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1EE"/>
    <w:rsid w:val="00964AED"/>
    <w:rsid w:val="00964DD8"/>
    <w:rsid w:val="00964E2E"/>
    <w:rsid w:val="00965269"/>
    <w:rsid w:val="00965A3F"/>
    <w:rsid w:val="00965DFF"/>
    <w:rsid w:val="009661E1"/>
    <w:rsid w:val="009663FC"/>
    <w:rsid w:val="009664EB"/>
    <w:rsid w:val="009668D6"/>
    <w:rsid w:val="00966EFF"/>
    <w:rsid w:val="009673AD"/>
    <w:rsid w:val="00967D20"/>
    <w:rsid w:val="00971905"/>
    <w:rsid w:val="00971DD6"/>
    <w:rsid w:val="00972808"/>
    <w:rsid w:val="00972B42"/>
    <w:rsid w:val="00972E21"/>
    <w:rsid w:val="009732AB"/>
    <w:rsid w:val="00973852"/>
    <w:rsid w:val="009741C1"/>
    <w:rsid w:val="009743EF"/>
    <w:rsid w:val="009745D7"/>
    <w:rsid w:val="00975596"/>
    <w:rsid w:val="009756E7"/>
    <w:rsid w:val="009758ED"/>
    <w:rsid w:val="009763B5"/>
    <w:rsid w:val="0097655F"/>
    <w:rsid w:val="00976FDA"/>
    <w:rsid w:val="00977B15"/>
    <w:rsid w:val="00977E25"/>
    <w:rsid w:val="00977F47"/>
    <w:rsid w:val="009803A1"/>
    <w:rsid w:val="009803D9"/>
    <w:rsid w:val="00980610"/>
    <w:rsid w:val="00980A45"/>
    <w:rsid w:val="00980B89"/>
    <w:rsid w:val="00980C80"/>
    <w:rsid w:val="00981EDC"/>
    <w:rsid w:val="0098218C"/>
    <w:rsid w:val="0098292A"/>
    <w:rsid w:val="00982E77"/>
    <w:rsid w:val="00983854"/>
    <w:rsid w:val="00983D97"/>
    <w:rsid w:val="0098402B"/>
    <w:rsid w:val="0098587B"/>
    <w:rsid w:val="00986303"/>
    <w:rsid w:val="0098637D"/>
    <w:rsid w:val="0098650F"/>
    <w:rsid w:val="0098788E"/>
    <w:rsid w:val="00990BCC"/>
    <w:rsid w:val="00990E84"/>
    <w:rsid w:val="0099138A"/>
    <w:rsid w:val="009913D2"/>
    <w:rsid w:val="009917EE"/>
    <w:rsid w:val="0099205D"/>
    <w:rsid w:val="009923B8"/>
    <w:rsid w:val="00992DFA"/>
    <w:rsid w:val="0099325C"/>
    <w:rsid w:val="00993408"/>
    <w:rsid w:val="00994217"/>
    <w:rsid w:val="00994939"/>
    <w:rsid w:val="00994C16"/>
    <w:rsid w:val="00994FA9"/>
    <w:rsid w:val="00995452"/>
    <w:rsid w:val="0099578A"/>
    <w:rsid w:val="009957CD"/>
    <w:rsid w:val="0099587E"/>
    <w:rsid w:val="00995AEC"/>
    <w:rsid w:val="00996255"/>
    <w:rsid w:val="00996C58"/>
    <w:rsid w:val="00997534"/>
    <w:rsid w:val="0099770E"/>
    <w:rsid w:val="0099785D"/>
    <w:rsid w:val="009A04D5"/>
    <w:rsid w:val="009A0BCB"/>
    <w:rsid w:val="009A0E9B"/>
    <w:rsid w:val="009A1540"/>
    <w:rsid w:val="009A172C"/>
    <w:rsid w:val="009A1CC3"/>
    <w:rsid w:val="009A2B42"/>
    <w:rsid w:val="009A3AF0"/>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271"/>
    <w:rsid w:val="009B783C"/>
    <w:rsid w:val="009B7C92"/>
    <w:rsid w:val="009C04A0"/>
    <w:rsid w:val="009C0859"/>
    <w:rsid w:val="009C0FAD"/>
    <w:rsid w:val="009C11E9"/>
    <w:rsid w:val="009C1C31"/>
    <w:rsid w:val="009C2607"/>
    <w:rsid w:val="009C26C2"/>
    <w:rsid w:val="009C272E"/>
    <w:rsid w:val="009C2BBB"/>
    <w:rsid w:val="009C30F7"/>
    <w:rsid w:val="009C3462"/>
    <w:rsid w:val="009C43A5"/>
    <w:rsid w:val="009C58E8"/>
    <w:rsid w:val="009C5988"/>
    <w:rsid w:val="009C5E1C"/>
    <w:rsid w:val="009C6005"/>
    <w:rsid w:val="009C627C"/>
    <w:rsid w:val="009C6466"/>
    <w:rsid w:val="009C6755"/>
    <w:rsid w:val="009C69AB"/>
    <w:rsid w:val="009C70B8"/>
    <w:rsid w:val="009D0352"/>
    <w:rsid w:val="009D04E8"/>
    <w:rsid w:val="009D04ED"/>
    <w:rsid w:val="009D1BFD"/>
    <w:rsid w:val="009D1E12"/>
    <w:rsid w:val="009D1EC3"/>
    <w:rsid w:val="009D1FF2"/>
    <w:rsid w:val="009D2981"/>
    <w:rsid w:val="009D2C49"/>
    <w:rsid w:val="009D2F59"/>
    <w:rsid w:val="009D349C"/>
    <w:rsid w:val="009D382E"/>
    <w:rsid w:val="009D3BC3"/>
    <w:rsid w:val="009D3F02"/>
    <w:rsid w:val="009D4596"/>
    <w:rsid w:val="009D4624"/>
    <w:rsid w:val="009D4FA0"/>
    <w:rsid w:val="009D53DE"/>
    <w:rsid w:val="009D57CC"/>
    <w:rsid w:val="009D598F"/>
    <w:rsid w:val="009D5EE7"/>
    <w:rsid w:val="009D5F02"/>
    <w:rsid w:val="009D61A9"/>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00D"/>
    <w:rsid w:val="009E3606"/>
    <w:rsid w:val="009E3BDD"/>
    <w:rsid w:val="009E413C"/>
    <w:rsid w:val="009E446C"/>
    <w:rsid w:val="009E4880"/>
    <w:rsid w:val="009E4EF6"/>
    <w:rsid w:val="009E5DC3"/>
    <w:rsid w:val="009E67CD"/>
    <w:rsid w:val="009E68F9"/>
    <w:rsid w:val="009E6C78"/>
    <w:rsid w:val="009E7344"/>
    <w:rsid w:val="009E763C"/>
    <w:rsid w:val="009E7908"/>
    <w:rsid w:val="009F0B72"/>
    <w:rsid w:val="009F0B98"/>
    <w:rsid w:val="009F19EA"/>
    <w:rsid w:val="009F1E96"/>
    <w:rsid w:val="009F2756"/>
    <w:rsid w:val="009F27D9"/>
    <w:rsid w:val="009F28DE"/>
    <w:rsid w:val="009F3078"/>
    <w:rsid w:val="009F3AF6"/>
    <w:rsid w:val="009F3C9C"/>
    <w:rsid w:val="009F3FD9"/>
    <w:rsid w:val="009F4047"/>
    <w:rsid w:val="009F5265"/>
    <w:rsid w:val="009F5853"/>
    <w:rsid w:val="009F5C2F"/>
    <w:rsid w:val="009F6280"/>
    <w:rsid w:val="009F68C2"/>
    <w:rsid w:val="009F69B6"/>
    <w:rsid w:val="009F722D"/>
    <w:rsid w:val="009F762A"/>
    <w:rsid w:val="009F7CD9"/>
    <w:rsid w:val="00A00225"/>
    <w:rsid w:val="00A004C5"/>
    <w:rsid w:val="00A006F1"/>
    <w:rsid w:val="00A015F3"/>
    <w:rsid w:val="00A01AE0"/>
    <w:rsid w:val="00A01E78"/>
    <w:rsid w:val="00A02068"/>
    <w:rsid w:val="00A029D3"/>
    <w:rsid w:val="00A03E46"/>
    <w:rsid w:val="00A046D3"/>
    <w:rsid w:val="00A051ED"/>
    <w:rsid w:val="00A05579"/>
    <w:rsid w:val="00A056B9"/>
    <w:rsid w:val="00A056D7"/>
    <w:rsid w:val="00A05A71"/>
    <w:rsid w:val="00A05E4A"/>
    <w:rsid w:val="00A06AC1"/>
    <w:rsid w:val="00A06C22"/>
    <w:rsid w:val="00A06DD1"/>
    <w:rsid w:val="00A06F50"/>
    <w:rsid w:val="00A06F8B"/>
    <w:rsid w:val="00A070B1"/>
    <w:rsid w:val="00A070CE"/>
    <w:rsid w:val="00A0711F"/>
    <w:rsid w:val="00A07365"/>
    <w:rsid w:val="00A10265"/>
    <w:rsid w:val="00A1043A"/>
    <w:rsid w:val="00A10EEA"/>
    <w:rsid w:val="00A11128"/>
    <w:rsid w:val="00A11623"/>
    <w:rsid w:val="00A1187C"/>
    <w:rsid w:val="00A11C06"/>
    <w:rsid w:val="00A11E5B"/>
    <w:rsid w:val="00A11E76"/>
    <w:rsid w:val="00A12095"/>
    <w:rsid w:val="00A1247B"/>
    <w:rsid w:val="00A126CA"/>
    <w:rsid w:val="00A12FE0"/>
    <w:rsid w:val="00A1318D"/>
    <w:rsid w:val="00A1357F"/>
    <w:rsid w:val="00A14AA5"/>
    <w:rsid w:val="00A14E1B"/>
    <w:rsid w:val="00A1571A"/>
    <w:rsid w:val="00A15DE7"/>
    <w:rsid w:val="00A15EA4"/>
    <w:rsid w:val="00A161BC"/>
    <w:rsid w:val="00A16240"/>
    <w:rsid w:val="00A16BD9"/>
    <w:rsid w:val="00A16CB4"/>
    <w:rsid w:val="00A16F00"/>
    <w:rsid w:val="00A17769"/>
    <w:rsid w:val="00A202B3"/>
    <w:rsid w:val="00A20ACF"/>
    <w:rsid w:val="00A20B38"/>
    <w:rsid w:val="00A214E7"/>
    <w:rsid w:val="00A21A01"/>
    <w:rsid w:val="00A21A98"/>
    <w:rsid w:val="00A2206D"/>
    <w:rsid w:val="00A2297B"/>
    <w:rsid w:val="00A230EE"/>
    <w:rsid w:val="00A23841"/>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0ABD"/>
    <w:rsid w:val="00A3108F"/>
    <w:rsid w:val="00A318D3"/>
    <w:rsid w:val="00A31A1A"/>
    <w:rsid w:val="00A31B2C"/>
    <w:rsid w:val="00A32620"/>
    <w:rsid w:val="00A32842"/>
    <w:rsid w:val="00A32A9F"/>
    <w:rsid w:val="00A32E71"/>
    <w:rsid w:val="00A3306F"/>
    <w:rsid w:val="00A332C6"/>
    <w:rsid w:val="00A33442"/>
    <w:rsid w:val="00A33725"/>
    <w:rsid w:val="00A337F8"/>
    <w:rsid w:val="00A3655F"/>
    <w:rsid w:val="00A37481"/>
    <w:rsid w:val="00A37E51"/>
    <w:rsid w:val="00A401C2"/>
    <w:rsid w:val="00A40689"/>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5FC"/>
    <w:rsid w:val="00A508ED"/>
    <w:rsid w:val="00A5101B"/>
    <w:rsid w:val="00A52074"/>
    <w:rsid w:val="00A532D1"/>
    <w:rsid w:val="00A53C32"/>
    <w:rsid w:val="00A53D18"/>
    <w:rsid w:val="00A54C70"/>
    <w:rsid w:val="00A54CB2"/>
    <w:rsid w:val="00A5517A"/>
    <w:rsid w:val="00A55C31"/>
    <w:rsid w:val="00A566E9"/>
    <w:rsid w:val="00A56DB3"/>
    <w:rsid w:val="00A5761B"/>
    <w:rsid w:val="00A6090B"/>
    <w:rsid w:val="00A61632"/>
    <w:rsid w:val="00A6163B"/>
    <w:rsid w:val="00A62064"/>
    <w:rsid w:val="00A62E48"/>
    <w:rsid w:val="00A63282"/>
    <w:rsid w:val="00A634DC"/>
    <w:rsid w:val="00A63A25"/>
    <w:rsid w:val="00A64650"/>
    <w:rsid w:val="00A64679"/>
    <w:rsid w:val="00A648F2"/>
    <w:rsid w:val="00A649FE"/>
    <w:rsid w:val="00A656EC"/>
    <w:rsid w:val="00A660CD"/>
    <w:rsid w:val="00A664B3"/>
    <w:rsid w:val="00A66839"/>
    <w:rsid w:val="00A668B8"/>
    <w:rsid w:val="00A668C0"/>
    <w:rsid w:val="00A669E1"/>
    <w:rsid w:val="00A66D00"/>
    <w:rsid w:val="00A66FAC"/>
    <w:rsid w:val="00A67152"/>
    <w:rsid w:val="00A6734D"/>
    <w:rsid w:val="00A675C3"/>
    <w:rsid w:val="00A67DA4"/>
    <w:rsid w:val="00A70486"/>
    <w:rsid w:val="00A70FBE"/>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32"/>
    <w:rsid w:val="00A76AE0"/>
    <w:rsid w:val="00A7762D"/>
    <w:rsid w:val="00A77F0A"/>
    <w:rsid w:val="00A805D5"/>
    <w:rsid w:val="00A806CF"/>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1B2"/>
    <w:rsid w:val="00A8524D"/>
    <w:rsid w:val="00A8583C"/>
    <w:rsid w:val="00A8602D"/>
    <w:rsid w:val="00A862DF"/>
    <w:rsid w:val="00A86750"/>
    <w:rsid w:val="00A86CD5"/>
    <w:rsid w:val="00A86E2B"/>
    <w:rsid w:val="00A87406"/>
    <w:rsid w:val="00A87777"/>
    <w:rsid w:val="00A87AB9"/>
    <w:rsid w:val="00A902A2"/>
    <w:rsid w:val="00A90F76"/>
    <w:rsid w:val="00A91020"/>
    <w:rsid w:val="00A9183C"/>
    <w:rsid w:val="00A918BB"/>
    <w:rsid w:val="00A9272B"/>
    <w:rsid w:val="00A937DA"/>
    <w:rsid w:val="00A93EB1"/>
    <w:rsid w:val="00A94D72"/>
    <w:rsid w:val="00A9533D"/>
    <w:rsid w:val="00A957AB"/>
    <w:rsid w:val="00A95B5F"/>
    <w:rsid w:val="00A95C4B"/>
    <w:rsid w:val="00A95DDA"/>
    <w:rsid w:val="00A969FB"/>
    <w:rsid w:val="00A96FC1"/>
    <w:rsid w:val="00AA0171"/>
    <w:rsid w:val="00AA0493"/>
    <w:rsid w:val="00AA0F20"/>
    <w:rsid w:val="00AA1054"/>
    <w:rsid w:val="00AA13F8"/>
    <w:rsid w:val="00AA170C"/>
    <w:rsid w:val="00AA1C44"/>
    <w:rsid w:val="00AA1DDB"/>
    <w:rsid w:val="00AA2166"/>
    <w:rsid w:val="00AA2772"/>
    <w:rsid w:val="00AA2873"/>
    <w:rsid w:val="00AA363E"/>
    <w:rsid w:val="00AA3DA7"/>
    <w:rsid w:val="00AA41E7"/>
    <w:rsid w:val="00AA471D"/>
    <w:rsid w:val="00AA4FE5"/>
    <w:rsid w:val="00AA5148"/>
    <w:rsid w:val="00AA5270"/>
    <w:rsid w:val="00AA5896"/>
    <w:rsid w:val="00AA6103"/>
    <w:rsid w:val="00AA62D0"/>
    <w:rsid w:val="00AA62F6"/>
    <w:rsid w:val="00AA6C6B"/>
    <w:rsid w:val="00AA7378"/>
    <w:rsid w:val="00AA7A34"/>
    <w:rsid w:val="00AA7A4B"/>
    <w:rsid w:val="00AA7D2F"/>
    <w:rsid w:val="00AB0381"/>
    <w:rsid w:val="00AB0C39"/>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7F5"/>
    <w:rsid w:val="00AB6977"/>
    <w:rsid w:val="00AB6A7F"/>
    <w:rsid w:val="00AB6C18"/>
    <w:rsid w:val="00AB6C1B"/>
    <w:rsid w:val="00AB6DDC"/>
    <w:rsid w:val="00AB6E93"/>
    <w:rsid w:val="00AB7541"/>
    <w:rsid w:val="00AB7646"/>
    <w:rsid w:val="00AB7CC2"/>
    <w:rsid w:val="00AC02C6"/>
    <w:rsid w:val="00AC0834"/>
    <w:rsid w:val="00AC0AD4"/>
    <w:rsid w:val="00AC0E72"/>
    <w:rsid w:val="00AC1AC0"/>
    <w:rsid w:val="00AC1E1A"/>
    <w:rsid w:val="00AC24AD"/>
    <w:rsid w:val="00AC24CF"/>
    <w:rsid w:val="00AC25D9"/>
    <w:rsid w:val="00AC2A01"/>
    <w:rsid w:val="00AC2BA8"/>
    <w:rsid w:val="00AC343E"/>
    <w:rsid w:val="00AC39E0"/>
    <w:rsid w:val="00AC3A8A"/>
    <w:rsid w:val="00AC3EDB"/>
    <w:rsid w:val="00AC3F76"/>
    <w:rsid w:val="00AC5068"/>
    <w:rsid w:val="00AC52E4"/>
    <w:rsid w:val="00AC5593"/>
    <w:rsid w:val="00AC55C6"/>
    <w:rsid w:val="00AC55D5"/>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90A"/>
    <w:rsid w:val="00AD5A7B"/>
    <w:rsid w:val="00AD5AF5"/>
    <w:rsid w:val="00AD6770"/>
    <w:rsid w:val="00AD69F6"/>
    <w:rsid w:val="00AD7AC4"/>
    <w:rsid w:val="00AE025A"/>
    <w:rsid w:val="00AE05B1"/>
    <w:rsid w:val="00AE0EFE"/>
    <w:rsid w:val="00AE1535"/>
    <w:rsid w:val="00AE19A0"/>
    <w:rsid w:val="00AE1AB5"/>
    <w:rsid w:val="00AE1BC2"/>
    <w:rsid w:val="00AE1CB6"/>
    <w:rsid w:val="00AE2111"/>
    <w:rsid w:val="00AE2174"/>
    <w:rsid w:val="00AE29E2"/>
    <w:rsid w:val="00AE2A19"/>
    <w:rsid w:val="00AE32F1"/>
    <w:rsid w:val="00AE3458"/>
    <w:rsid w:val="00AE4A53"/>
    <w:rsid w:val="00AE4D66"/>
    <w:rsid w:val="00AE53B5"/>
    <w:rsid w:val="00AE5541"/>
    <w:rsid w:val="00AE62EA"/>
    <w:rsid w:val="00AE72F6"/>
    <w:rsid w:val="00AE7EC1"/>
    <w:rsid w:val="00AF01BE"/>
    <w:rsid w:val="00AF0B54"/>
    <w:rsid w:val="00AF0BB8"/>
    <w:rsid w:val="00AF11EA"/>
    <w:rsid w:val="00AF1B5A"/>
    <w:rsid w:val="00AF1F2A"/>
    <w:rsid w:val="00AF2229"/>
    <w:rsid w:val="00AF248F"/>
    <w:rsid w:val="00AF26F3"/>
    <w:rsid w:val="00AF2BD8"/>
    <w:rsid w:val="00AF2E66"/>
    <w:rsid w:val="00AF31EF"/>
    <w:rsid w:val="00AF3F42"/>
    <w:rsid w:val="00AF4320"/>
    <w:rsid w:val="00AF4BD4"/>
    <w:rsid w:val="00AF50C5"/>
    <w:rsid w:val="00AF5467"/>
    <w:rsid w:val="00AF569C"/>
    <w:rsid w:val="00AF581D"/>
    <w:rsid w:val="00AF7840"/>
    <w:rsid w:val="00AF7AA3"/>
    <w:rsid w:val="00AF7CDE"/>
    <w:rsid w:val="00AF7D2A"/>
    <w:rsid w:val="00AF7E1A"/>
    <w:rsid w:val="00B00350"/>
    <w:rsid w:val="00B00B18"/>
    <w:rsid w:val="00B01DDC"/>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6E2"/>
    <w:rsid w:val="00B05DBB"/>
    <w:rsid w:val="00B06068"/>
    <w:rsid w:val="00B06254"/>
    <w:rsid w:val="00B06B5B"/>
    <w:rsid w:val="00B06CB4"/>
    <w:rsid w:val="00B1057B"/>
    <w:rsid w:val="00B10924"/>
    <w:rsid w:val="00B10AB5"/>
    <w:rsid w:val="00B10E02"/>
    <w:rsid w:val="00B1110A"/>
    <w:rsid w:val="00B112D1"/>
    <w:rsid w:val="00B1147A"/>
    <w:rsid w:val="00B11812"/>
    <w:rsid w:val="00B1186E"/>
    <w:rsid w:val="00B11AB9"/>
    <w:rsid w:val="00B11F2F"/>
    <w:rsid w:val="00B12249"/>
    <w:rsid w:val="00B124C0"/>
    <w:rsid w:val="00B12826"/>
    <w:rsid w:val="00B12981"/>
    <w:rsid w:val="00B12A64"/>
    <w:rsid w:val="00B12E58"/>
    <w:rsid w:val="00B12E63"/>
    <w:rsid w:val="00B14638"/>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814"/>
    <w:rsid w:val="00B219C3"/>
    <w:rsid w:val="00B21D20"/>
    <w:rsid w:val="00B225F0"/>
    <w:rsid w:val="00B229F5"/>
    <w:rsid w:val="00B22D1F"/>
    <w:rsid w:val="00B22D64"/>
    <w:rsid w:val="00B236AD"/>
    <w:rsid w:val="00B243F4"/>
    <w:rsid w:val="00B247D5"/>
    <w:rsid w:val="00B248F5"/>
    <w:rsid w:val="00B24D17"/>
    <w:rsid w:val="00B24E69"/>
    <w:rsid w:val="00B252C5"/>
    <w:rsid w:val="00B25AE7"/>
    <w:rsid w:val="00B2636E"/>
    <w:rsid w:val="00B26AB3"/>
    <w:rsid w:val="00B2714D"/>
    <w:rsid w:val="00B272BF"/>
    <w:rsid w:val="00B274AD"/>
    <w:rsid w:val="00B30A6A"/>
    <w:rsid w:val="00B31438"/>
    <w:rsid w:val="00B31EE4"/>
    <w:rsid w:val="00B325F2"/>
    <w:rsid w:val="00B329BE"/>
    <w:rsid w:val="00B32B1E"/>
    <w:rsid w:val="00B32C09"/>
    <w:rsid w:val="00B32C3A"/>
    <w:rsid w:val="00B32F4B"/>
    <w:rsid w:val="00B33027"/>
    <w:rsid w:val="00B34AD5"/>
    <w:rsid w:val="00B34B4B"/>
    <w:rsid w:val="00B34F4C"/>
    <w:rsid w:val="00B3636C"/>
    <w:rsid w:val="00B365AD"/>
    <w:rsid w:val="00B36B69"/>
    <w:rsid w:val="00B36D94"/>
    <w:rsid w:val="00B376C4"/>
    <w:rsid w:val="00B379A0"/>
    <w:rsid w:val="00B37EBF"/>
    <w:rsid w:val="00B4041C"/>
    <w:rsid w:val="00B412DC"/>
    <w:rsid w:val="00B4189D"/>
    <w:rsid w:val="00B421F6"/>
    <w:rsid w:val="00B42700"/>
    <w:rsid w:val="00B42D5F"/>
    <w:rsid w:val="00B432DD"/>
    <w:rsid w:val="00B44159"/>
    <w:rsid w:val="00B445BC"/>
    <w:rsid w:val="00B451E1"/>
    <w:rsid w:val="00B45F43"/>
    <w:rsid w:val="00B4650E"/>
    <w:rsid w:val="00B46AF9"/>
    <w:rsid w:val="00B46E1B"/>
    <w:rsid w:val="00B46E32"/>
    <w:rsid w:val="00B47725"/>
    <w:rsid w:val="00B47C5D"/>
    <w:rsid w:val="00B50209"/>
    <w:rsid w:val="00B5039B"/>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6CFB"/>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AA3"/>
    <w:rsid w:val="00B63D69"/>
    <w:rsid w:val="00B643CE"/>
    <w:rsid w:val="00B64C00"/>
    <w:rsid w:val="00B66576"/>
    <w:rsid w:val="00B66C45"/>
    <w:rsid w:val="00B67638"/>
    <w:rsid w:val="00B70416"/>
    <w:rsid w:val="00B70942"/>
    <w:rsid w:val="00B70D10"/>
    <w:rsid w:val="00B72E3E"/>
    <w:rsid w:val="00B72E76"/>
    <w:rsid w:val="00B72F6C"/>
    <w:rsid w:val="00B736BB"/>
    <w:rsid w:val="00B73934"/>
    <w:rsid w:val="00B73ED1"/>
    <w:rsid w:val="00B74D03"/>
    <w:rsid w:val="00B74F97"/>
    <w:rsid w:val="00B74FE8"/>
    <w:rsid w:val="00B75066"/>
    <w:rsid w:val="00B7559E"/>
    <w:rsid w:val="00B757E9"/>
    <w:rsid w:val="00B76AB8"/>
    <w:rsid w:val="00B76F06"/>
    <w:rsid w:val="00B77038"/>
    <w:rsid w:val="00B771D9"/>
    <w:rsid w:val="00B773A9"/>
    <w:rsid w:val="00B77CBD"/>
    <w:rsid w:val="00B800FA"/>
    <w:rsid w:val="00B80296"/>
    <w:rsid w:val="00B8058A"/>
    <w:rsid w:val="00B807B9"/>
    <w:rsid w:val="00B8092A"/>
    <w:rsid w:val="00B80A73"/>
    <w:rsid w:val="00B80EC6"/>
    <w:rsid w:val="00B8166B"/>
    <w:rsid w:val="00B81A73"/>
    <w:rsid w:val="00B8213A"/>
    <w:rsid w:val="00B82466"/>
    <w:rsid w:val="00B825BE"/>
    <w:rsid w:val="00B82A45"/>
    <w:rsid w:val="00B83748"/>
    <w:rsid w:val="00B83D9C"/>
    <w:rsid w:val="00B83DEA"/>
    <w:rsid w:val="00B83FAE"/>
    <w:rsid w:val="00B85541"/>
    <w:rsid w:val="00B85594"/>
    <w:rsid w:val="00B855A6"/>
    <w:rsid w:val="00B855B2"/>
    <w:rsid w:val="00B85BDD"/>
    <w:rsid w:val="00B85E2B"/>
    <w:rsid w:val="00B861BB"/>
    <w:rsid w:val="00B86C0C"/>
    <w:rsid w:val="00B87010"/>
    <w:rsid w:val="00B873C6"/>
    <w:rsid w:val="00B876DB"/>
    <w:rsid w:val="00B87AB6"/>
    <w:rsid w:val="00B921ED"/>
    <w:rsid w:val="00B92421"/>
    <w:rsid w:val="00B926E1"/>
    <w:rsid w:val="00B927F2"/>
    <w:rsid w:val="00B92D9A"/>
    <w:rsid w:val="00B92E52"/>
    <w:rsid w:val="00B93212"/>
    <w:rsid w:val="00B932EC"/>
    <w:rsid w:val="00B9367E"/>
    <w:rsid w:val="00B9453A"/>
    <w:rsid w:val="00B94616"/>
    <w:rsid w:val="00B9462F"/>
    <w:rsid w:val="00B9472C"/>
    <w:rsid w:val="00B95675"/>
    <w:rsid w:val="00B9617C"/>
    <w:rsid w:val="00B96295"/>
    <w:rsid w:val="00B96318"/>
    <w:rsid w:val="00B96D30"/>
    <w:rsid w:val="00B97150"/>
    <w:rsid w:val="00B97305"/>
    <w:rsid w:val="00B979C8"/>
    <w:rsid w:val="00B97A20"/>
    <w:rsid w:val="00BA09EB"/>
    <w:rsid w:val="00BA170A"/>
    <w:rsid w:val="00BA1A83"/>
    <w:rsid w:val="00BA2492"/>
    <w:rsid w:val="00BA26F2"/>
    <w:rsid w:val="00BA2C91"/>
    <w:rsid w:val="00BA2D3E"/>
    <w:rsid w:val="00BA3119"/>
    <w:rsid w:val="00BA37C6"/>
    <w:rsid w:val="00BA3F2B"/>
    <w:rsid w:val="00BA4101"/>
    <w:rsid w:val="00BA41BD"/>
    <w:rsid w:val="00BA4A44"/>
    <w:rsid w:val="00BA57C7"/>
    <w:rsid w:val="00BA5B3B"/>
    <w:rsid w:val="00BA5C46"/>
    <w:rsid w:val="00BA5F1B"/>
    <w:rsid w:val="00BA624B"/>
    <w:rsid w:val="00BA62DD"/>
    <w:rsid w:val="00BA632B"/>
    <w:rsid w:val="00BA697D"/>
    <w:rsid w:val="00BA7138"/>
    <w:rsid w:val="00BA767F"/>
    <w:rsid w:val="00BA797C"/>
    <w:rsid w:val="00BB041D"/>
    <w:rsid w:val="00BB0731"/>
    <w:rsid w:val="00BB07BE"/>
    <w:rsid w:val="00BB080D"/>
    <w:rsid w:val="00BB0E79"/>
    <w:rsid w:val="00BB0FA7"/>
    <w:rsid w:val="00BB1B1F"/>
    <w:rsid w:val="00BB1CB9"/>
    <w:rsid w:val="00BB21B1"/>
    <w:rsid w:val="00BB2C37"/>
    <w:rsid w:val="00BB33FA"/>
    <w:rsid w:val="00BB34F8"/>
    <w:rsid w:val="00BB398B"/>
    <w:rsid w:val="00BB3E92"/>
    <w:rsid w:val="00BB40B9"/>
    <w:rsid w:val="00BB4587"/>
    <w:rsid w:val="00BB466C"/>
    <w:rsid w:val="00BB5C0D"/>
    <w:rsid w:val="00BB5DF5"/>
    <w:rsid w:val="00BB5F95"/>
    <w:rsid w:val="00BB72B9"/>
    <w:rsid w:val="00BB772F"/>
    <w:rsid w:val="00BB7B1D"/>
    <w:rsid w:val="00BC02C1"/>
    <w:rsid w:val="00BC0303"/>
    <w:rsid w:val="00BC0589"/>
    <w:rsid w:val="00BC070C"/>
    <w:rsid w:val="00BC0A1E"/>
    <w:rsid w:val="00BC0CD1"/>
    <w:rsid w:val="00BC0D14"/>
    <w:rsid w:val="00BC173D"/>
    <w:rsid w:val="00BC182B"/>
    <w:rsid w:val="00BC202B"/>
    <w:rsid w:val="00BC23E2"/>
    <w:rsid w:val="00BC257E"/>
    <w:rsid w:val="00BC3071"/>
    <w:rsid w:val="00BC3516"/>
    <w:rsid w:val="00BC3DBC"/>
    <w:rsid w:val="00BC4C55"/>
    <w:rsid w:val="00BC51D8"/>
    <w:rsid w:val="00BC5436"/>
    <w:rsid w:val="00BC5686"/>
    <w:rsid w:val="00BC5FE1"/>
    <w:rsid w:val="00BC633A"/>
    <w:rsid w:val="00BC6365"/>
    <w:rsid w:val="00BC663F"/>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4E5C"/>
    <w:rsid w:val="00BD586C"/>
    <w:rsid w:val="00BD5EB1"/>
    <w:rsid w:val="00BD65ED"/>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384E"/>
    <w:rsid w:val="00BF40E8"/>
    <w:rsid w:val="00BF40EB"/>
    <w:rsid w:val="00BF424F"/>
    <w:rsid w:val="00BF42B0"/>
    <w:rsid w:val="00BF44A3"/>
    <w:rsid w:val="00BF45B2"/>
    <w:rsid w:val="00BF48DC"/>
    <w:rsid w:val="00BF4AF5"/>
    <w:rsid w:val="00BF4E41"/>
    <w:rsid w:val="00BF59A3"/>
    <w:rsid w:val="00BF59DA"/>
    <w:rsid w:val="00BF5B35"/>
    <w:rsid w:val="00BF5F5F"/>
    <w:rsid w:val="00BF6E03"/>
    <w:rsid w:val="00BF6E8A"/>
    <w:rsid w:val="00BF727B"/>
    <w:rsid w:val="00BF742A"/>
    <w:rsid w:val="00BF7E2E"/>
    <w:rsid w:val="00C00486"/>
    <w:rsid w:val="00C0083D"/>
    <w:rsid w:val="00C008D1"/>
    <w:rsid w:val="00C00A35"/>
    <w:rsid w:val="00C00BF5"/>
    <w:rsid w:val="00C00F13"/>
    <w:rsid w:val="00C01422"/>
    <w:rsid w:val="00C01742"/>
    <w:rsid w:val="00C02519"/>
    <w:rsid w:val="00C02553"/>
    <w:rsid w:val="00C02554"/>
    <w:rsid w:val="00C031B9"/>
    <w:rsid w:val="00C03626"/>
    <w:rsid w:val="00C0373E"/>
    <w:rsid w:val="00C04626"/>
    <w:rsid w:val="00C04D9D"/>
    <w:rsid w:val="00C04F8E"/>
    <w:rsid w:val="00C05187"/>
    <w:rsid w:val="00C051F4"/>
    <w:rsid w:val="00C05E8F"/>
    <w:rsid w:val="00C05EA6"/>
    <w:rsid w:val="00C061C8"/>
    <w:rsid w:val="00C0663B"/>
    <w:rsid w:val="00C071C4"/>
    <w:rsid w:val="00C07393"/>
    <w:rsid w:val="00C074AB"/>
    <w:rsid w:val="00C0794B"/>
    <w:rsid w:val="00C07AF4"/>
    <w:rsid w:val="00C07B64"/>
    <w:rsid w:val="00C07FDD"/>
    <w:rsid w:val="00C10664"/>
    <w:rsid w:val="00C10709"/>
    <w:rsid w:val="00C10EF8"/>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1D9"/>
    <w:rsid w:val="00C2547F"/>
    <w:rsid w:val="00C25963"/>
    <w:rsid w:val="00C25F9D"/>
    <w:rsid w:val="00C273C7"/>
    <w:rsid w:val="00C27787"/>
    <w:rsid w:val="00C27FA8"/>
    <w:rsid w:val="00C3023E"/>
    <w:rsid w:val="00C30411"/>
    <w:rsid w:val="00C307C0"/>
    <w:rsid w:val="00C30981"/>
    <w:rsid w:val="00C30BC4"/>
    <w:rsid w:val="00C311FC"/>
    <w:rsid w:val="00C31552"/>
    <w:rsid w:val="00C31D20"/>
    <w:rsid w:val="00C3245D"/>
    <w:rsid w:val="00C32B89"/>
    <w:rsid w:val="00C32CCE"/>
    <w:rsid w:val="00C32F7D"/>
    <w:rsid w:val="00C33571"/>
    <w:rsid w:val="00C336EA"/>
    <w:rsid w:val="00C33F5E"/>
    <w:rsid w:val="00C34042"/>
    <w:rsid w:val="00C34F78"/>
    <w:rsid w:val="00C35076"/>
    <w:rsid w:val="00C354BF"/>
    <w:rsid w:val="00C357D1"/>
    <w:rsid w:val="00C35CBF"/>
    <w:rsid w:val="00C35DBE"/>
    <w:rsid w:val="00C3658D"/>
    <w:rsid w:val="00C36682"/>
    <w:rsid w:val="00C369CA"/>
    <w:rsid w:val="00C36B06"/>
    <w:rsid w:val="00C36E62"/>
    <w:rsid w:val="00C3760D"/>
    <w:rsid w:val="00C37756"/>
    <w:rsid w:val="00C400D4"/>
    <w:rsid w:val="00C405F8"/>
    <w:rsid w:val="00C40D35"/>
    <w:rsid w:val="00C41257"/>
    <w:rsid w:val="00C4180D"/>
    <w:rsid w:val="00C41A3E"/>
    <w:rsid w:val="00C41C9C"/>
    <w:rsid w:val="00C41D10"/>
    <w:rsid w:val="00C42F1F"/>
    <w:rsid w:val="00C42F91"/>
    <w:rsid w:val="00C430C9"/>
    <w:rsid w:val="00C43527"/>
    <w:rsid w:val="00C43D99"/>
    <w:rsid w:val="00C442DF"/>
    <w:rsid w:val="00C444EE"/>
    <w:rsid w:val="00C445F5"/>
    <w:rsid w:val="00C44D10"/>
    <w:rsid w:val="00C469B8"/>
    <w:rsid w:val="00C46DDA"/>
    <w:rsid w:val="00C46E32"/>
    <w:rsid w:val="00C4771F"/>
    <w:rsid w:val="00C4776B"/>
    <w:rsid w:val="00C479C1"/>
    <w:rsid w:val="00C5057A"/>
    <w:rsid w:val="00C5064B"/>
    <w:rsid w:val="00C50BD5"/>
    <w:rsid w:val="00C50CC4"/>
    <w:rsid w:val="00C50ECB"/>
    <w:rsid w:val="00C51116"/>
    <w:rsid w:val="00C5174D"/>
    <w:rsid w:val="00C51A9B"/>
    <w:rsid w:val="00C51B94"/>
    <w:rsid w:val="00C51E16"/>
    <w:rsid w:val="00C52D06"/>
    <w:rsid w:val="00C52D5F"/>
    <w:rsid w:val="00C53389"/>
    <w:rsid w:val="00C53A57"/>
    <w:rsid w:val="00C54DC1"/>
    <w:rsid w:val="00C55342"/>
    <w:rsid w:val="00C55E68"/>
    <w:rsid w:val="00C56778"/>
    <w:rsid w:val="00C5728C"/>
    <w:rsid w:val="00C575E5"/>
    <w:rsid w:val="00C576C1"/>
    <w:rsid w:val="00C57707"/>
    <w:rsid w:val="00C604EA"/>
    <w:rsid w:val="00C61782"/>
    <w:rsid w:val="00C61890"/>
    <w:rsid w:val="00C619CB"/>
    <w:rsid w:val="00C61B31"/>
    <w:rsid w:val="00C629A6"/>
    <w:rsid w:val="00C629CC"/>
    <w:rsid w:val="00C62AC9"/>
    <w:rsid w:val="00C62CA2"/>
    <w:rsid w:val="00C637D7"/>
    <w:rsid w:val="00C63C25"/>
    <w:rsid w:val="00C63C3A"/>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2FEB"/>
    <w:rsid w:val="00C73A16"/>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40D"/>
    <w:rsid w:val="00C83EDE"/>
    <w:rsid w:val="00C84493"/>
    <w:rsid w:val="00C84696"/>
    <w:rsid w:val="00C84836"/>
    <w:rsid w:val="00C8514E"/>
    <w:rsid w:val="00C85877"/>
    <w:rsid w:val="00C85A82"/>
    <w:rsid w:val="00C861E6"/>
    <w:rsid w:val="00C867DC"/>
    <w:rsid w:val="00C86934"/>
    <w:rsid w:val="00C903E8"/>
    <w:rsid w:val="00C90CE6"/>
    <w:rsid w:val="00C90EB8"/>
    <w:rsid w:val="00C9114F"/>
    <w:rsid w:val="00C91286"/>
    <w:rsid w:val="00C91401"/>
    <w:rsid w:val="00C91880"/>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65"/>
    <w:rsid w:val="00CA4392"/>
    <w:rsid w:val="00CA5768"/>
    <w:rsid w:val="00CA59FA"/>
    <w:rsid w:val="00CA5CEF"/>
    <w:rsid w:val="00CA5CFF"/>
    <w:rsid w:val="00CA6160"/>
    <w:rsid w:val="00CA6B79"/>
    <w:rsid w:val="00CA6D6F"/>
    <w:rsid w:val="00CA716C"/>
    <w:rsid w:val="00CA76DF"/>
    <w:rsid w:val="00CA7BE3"/>
    <w:rsid w:val="00CB041E"/>
    <w:rsid w:val="00CB0558"/>
    <w:rsid w:val="00CB0B13"/>
    <w:rsid w:val="00CB0B8F"/>
    <w:rsid w:val="00CB0C94"/>
    <w:rsid w:val="00CB0CF9"/>
    <w:rsid w:val="00CB278F"/>
    <w:rsid w:val="00CB2BC5"/>
    <w:rsid w:val="00CB2E65"/>
    <w:rsid w:val="00CB34A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0851"/>
    <w:rsid w:val="00CC12E2"/>
    <w:rsid w:val="00CC1CA1"/>
    <w:rsid w:val="00CC2060"/>
    <w:rsid w:val="00CC2511"/>
    <w:rsid w:val="00CC27BD"/>
    <w:rsid w:val="00CC2EC5"/>
    <w:rsid w:val="00CC3026"/>
    <w:rsid w:val="00CC307C"/>
    <w:rsid w:val="00CC345F"/>
    <w:rsid w:val="00CC35FA"/>
    <w:rsid w:val="00CC3A95"/>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9D3"/>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5216"/>
    <w:rsid w:val="00CE606F"/>
    <w:rsid w:val="00CE60B0"/>
    <w:rsid w:val="00CE62E3"/>
    <w:rsid w:val="00CE6B54"/>
    <w:rsid w:val="00CE750F"/>
    <w:rsid w:val="00CE7D21"/>
    <w:rsid w:val="00CF02BF"/>
    <w:rsid w:val="00CF053E"/>
    <w:rsid w:val="00CF0938"/>
    <w:rsid w:val="00CF098F"/>
    <w:rsid w:val="00CF0FFD"/>
    <w:rsid w:val="00CF128B"/>
    <w:rsid w:val="00CF1570"/>
    <w:rsid w:val="00CF1CD6"/>
    <w:rsid w:val="00CF1E77"/>
    <w:rsid w:val="00CF240D"/>
    <w:rsid w:val="00CF2714"/>
    <w:rsid w:val="00CF2EA7"/>
    <w:rsid w:val="00CF31CE"/>
    <w:rsid w:val="00CF321A"/>
    <w:rsid w:val="00CF3742"/>
    <w:rsid w:val="00CF3EA0"/>
    <w:rsid w:val="00CF401A"/>
    <w:rsid w:val="00CF4115"/>
    <w:rsid w:val="00CF44CA"/>
    <w:rsid w:val="00CF4C05"/>
    <w:rsid w:val="00CF4C7D"/>
    <w:rsid w:val="00CF5472"/>
    <w:rsid w:val="00CF5538"/>
    <w:rsid w:val="00CF560A"/>
    <w:rsid w:val="00CF5720"/>
    <w:rsid w:val="00CF6A7F"/>
    <w:rsid w:val="00CF6AE7"/>
    <w:rsid w:val="00CF6CDE"/>
    <w:rsid w:val="00CF7051"/>
    <w:rsid w:val="00CF7118"/>
    <w:rsid w:val="00CF714B"/>
    <w:rsid w:val="00CF7D81"/>
    <w:rsid w:val="00CF7ED4"/>
    <w:rsid w:val="00D001A6"/>
    <w:rsid w:val="00D00695"/>
    <w:rsid w:val="00D0140E"/>
    <w:rsid w:val="00D017D9"/>
    <w:rsid w:val="00D01D04"/>
    <w:rsid w:val="00D01DE5"/>
    <w:rsid w:val="00D02B06"/>
    <w:rsid w:val="00D02B5F"/>
    <w:rsid w:val="00D0302F"/>
    <w:rsid w:val="00D031E1"/>
    <w:rsid w:val="00D0321E"/>
    <w:rsid w:val="00D03338"/>
    <w:rsid w:val="00D03522"/>
    <w:rsid w:val="00D03772"/>
    <w:rsid w:val="00D03B0A"/>
    <w:rsid w:val="00D048DA"/>
    <w:rsid w:val="00D04A72"/>
    <w:rsid w:val="00D057CA"/>
    <w:rsid w:val="00D057CB"/>
    <w:rsid w:val="00D0584B"/>
    <w:rsid w:val="00D05EFA"/>
    <w:rsid w:val="00D0622E"/>
    <w:rsid w:val="00D06904"/>
    <w:rsid w:val="00D06A53"/>
    <w:rsid w:val="00D071B9"/>
    <w:rsid w:val="00D0765C"/>
    <w:rsid w:val="00D07862"/>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644"/>
    <w:rsid w:val="00D1470B"/>
    <w:rsid w:val="00D14B61"/>
    <w:rsid w:val="00D14B6C"/>
    <w:rsid w:val="00D15D50"/>
    <w:rsid w:val="00D15DF4"/>
    <w:rsid w:val="00D160C4"/>
    <w:rsid w:val="00D171AC"/>
    <w:rsid w:val="00D17404"/>
    <w:rsid w:val="00D17968"/>
    <w:rsid w:val="00D17B00"/>
    <w:rsid w:val="00D17E9E"/>
    <w:rsid w:val="00D2072A"/>
    <w:rsid w:val="00D207B2"/>
    <w:rsid w:val="00D207B3"/>
    <w:rsid w:val="00D20C0E"/>
    <w:rsid w:val="00D20D12"/>
    <w:rsid w:val="00D21E43"/>
    <w:rsid w:val="00D2279C"/>
    <w:rsid w:val="00D22F08"/>
    <w:rsid w:val="00D22F89"/>
    <w:rsid w:val="00D23264"/>
    <w:rsid w:val="00D23A65"/>
    <w:rsid w:val="00D23DD5"/>
    <w:rsid w:val="00D2406E"/>
    <w:rsid w:val="00D24330"/>
    <w:rsid w:val="00D252A7"/>
    <w:rsid w:val="00D254AD"/>
    <w:rsid w:val="00D2595B"/>
    <w:rsid w:val="00D26175"/>
    <w:rsid w:val="00D261D7"/>
    <w:rsid w:val="00D26789"/>
    <w:rsid w:val="00D27B10"/>
    <w:rsid w:val="00D27B9D"/>
    <w:rsid w:val="00D27BB2"/>
    <w:rsid w:val="00D27BF4"/>
    <w:rsid w:val="00D30910"/>
    <w:rsid w:val="00D30FD7"/>
    <w:rsid w:val="00D31868"/>
    <w:rsid w:val="00D31BC0"/>
    <w:rsid w:val="00D328A0"/>
    <w:rsid w:val="00D32B58"/>
    <w:rsid w:val="00D32EFC"/>
    <w:rsid w:val="00D32F47"/>
    <w:rsid w:val="00D3327C"/>
    <w:rsid w:val="00D332AE"/>
    <w:rsid w:val="00D34E48"/>
    <w:rsid w:val="00D35388"/>
    <w:rsid w:val="00D353D2"/>
    <w:rsid w:val="00D3601F"/>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6F5D"/>
    <w:rsid w:val="00D47221"/>
    <w:rsid w:val="00D474C6"/>
    <w:rsid w:val="00D47B7A"/>
    <w:rsid w:val="00D47F51"/>
    <w:rsid w:val="00D505C2"/>
    <w:rsid w:val="00D50AAA"/>
    <w:rsid w:val="00D50AAE"/>
    <w:rsid w:val="00D50B4A"/>
    <w:rsid w:val="00D50F73"/>
    <w:rsid w:val="00D5110D"/>
    <w:rsid w:val="00D51414"/>
    <w:rsid w:val="00D514BA"/>
    <w:rsid w:val="00D525EE"/>
    <w:rsid w:val="00D5268D"/>
    <w:rsid w:val="00D526EA"/>
    <w:rsid w:val="00D5311C"/>
    <w:rsid w:val="00D5338B"/>
    <w:rsid w:val="00D5358E"/>
    <w:rsid w:val="00D53E4E"/>
    <w:rsid w:val="00D53FBC"/>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9D2"/>
    <w:rsid w:val="00D63DB7"/>
    <w:rsid w:val="00D63DBA"/>
    <w:rsid w:val="00D63E60"/>
    <w:rsid w:val="00D63ECB"/>
    <w:rsid w:val="00D64956"/>
    <w:rsid w:val="00D649E2"/>
    <w:rsid w:val="00D64A11"/>
    <w:rsid w:val="00D64B72"/>
    <w:rsid w:val="00D665D5"/>
    <w:rsid w:val="00D6672A"/>
    <w:rsid w:val="00D667F2"/>
    <w:rsid w:val="00D66EAA"/>
    <w:rsid w:val="00D677BC"/>
    <w:rsid w:val="00D67C3F"/>
    <w:rsid w:val="00D70AB8"/>
    <w:rsid w:val="00D70F91"/>
    <w:rsid w:val="00D7142B"/>
    <w:rsid w:val="00D726DD"/>
    <w:rsid w:val="00D73356"/>
    <w:rsid w:val="00D734B3"/>
    <w:rsid w:val="00D73C82"/>
    <w:rsid w:val="00D74059"/>
    <w:rsid w:val="00D74F91"/>
    <w:rsid w:val="00D75046"/>
    <w:rsid w:val="00D7575C"/>
    <w:rsid w:val="00D7587C"/>
    <w:rsid w:val="00D75DAF"/>
    <w:rsid w:val="00D76E2F"/>
    <w:rsid w:val="00D776FC"/>
    <w:rsid w:val="00D779ED"/>
    <w:rsid w:val="00D77C13"/>
    <w:rsid w:val="00D8115E"/>
    <w:rsid w:val="00D813C3"/>
    <w:rsid w:val="00D8147E"/>
    <w:rsid w:val="00D822EC"/>
    <w:rsid w:val="00D82525"/>
    <w:rsid w:val="00D828C5"/>
    <w:rsid w:val="00D830AA"/>
    <w:rsid w:val="00D830EA"/>
    <w:rsid w:val="00D83642"/>
    <w:rsid w:val="00D83730"/>
    <w:rsid w:val="00D83A22"/>
    <w:rsid w:val="00D840E4"/>
    <w:rsid w:val="00D84736"/>
    <w:rsid w:val="00D84C45"/>
    <w:rsid w:val="00D84EAA"/>
    <w:rsid w:val="00D8538F"/>
    <w:rsid w:val="00D85BDE"/>
    <w:rsid w:val="00D85C19"/>
    <w:rsid w:val="00D85D7F"/>
    <w:rsid w:val="00D862E5"/>
    <w:rsid w:val="00D867F6"/>
    <w:rsid w:val="00D86856"/>
    <w:rsid w:val="00D870E3"/>
    <w:rsid w:val="00D87C32"/>
    <w:rsid w:val="00D87FF9"/>
    <w:rsid w:val="00D90B81"/>
    <w:rsid w:val="00D915B5"/>
    <w:rsid w:val="00D91C9D"/>
    <w:rsid w:val="00D92201"/>
    <w:rsid w:val="00D92635"/>
    <w:rsid w:val="00D92691"/>
    <w:rsid w:val="00D9278C"/>
    <w:rsid w:val="00D92846"/>
    <w:rsid w:val="00D92CA0"/>
    <w:rsid w:val="00D9315E"/>
    <w:rsid w:val="00D93521"/>
    <w:rsid w:val="00D9361A"/>
    <w:rsid w:val="00D9392A"/>
    <w:rsid w:val="00D93F64"/>
    <w:rsid w:val="00D9439A"/>
    <w:rsid w:val="00D94A26"/>
    <w:rsid w:val="00D95004"/>
    <w:rsid w:val="00D95121"/>
    <w:rsid w:val="00D95718"/>
    <w:rsid w:val="00DA013A"/>
    <w:rsid w:val="00DA063C"/>
    <w:rsid w:val="00DA0963"/>
    <w:rsid w:val="00DA0F45"/>
    <w:rsid w:val="00DA0FDE"/>
    <w:rsid w:val="00DA1913"/>
    <w:rsid w:val="00DA19D1"/>
    <w:rsid w:val="00DA1C66"/>
    <w:rsid w:val="00DA21A6"/>
    <w:rsid w:val="00DA2CB1"/>
    <w:rsid w:val="00DA3614"/>
    <w:rsid w:val="00DA3C78"/>
    <w:rsid w:val="00DA4253"/>
    <w:rsid w:val="00DA469A"/>
    <w:rsid w:val="00DA46AE"/>
    <w:rsid w:val="00DA488A"/>
    <w:rsid w:val="00DA4D10"/>
    <w:rsid w:val="00DA565C"/>
    <w:rsid w:val="00DA56AC"/>
    <w:rsid w:val="00DA5F02"/>
    <w:rsid w:val="00DA6831"/>
    <w:rsid w:val="00DA6E8B"/>
    <w:rsid w:val="00DA6ECB"/>
    <w:rsid w:val="00DA7A6B"/>
    <w:rsid w:val="00DA7A9A"/>
    <w:rsid w:val="00DA7CD6"/>
    <w:rsid w:val="00DB0B02"/>
    <w:rsid w:val="00DB0FA2"/>
    <w:rsid w:val="00DB168A"/>
    <w:rsid w:val="00DB208B"/>
    <w:rsid w:val="00DB2A3A"/>
    <w:rsid w:val="00DB2D2C"/>
    <w:rsid w:val="00DB2FEC"/>
    <w:rsid w:val="00DB3213"/>
    <w:rsid w:val="00DB3FD7"/>
    <w:rsid w:val="00DB4764"/>
    <w:rsid w:val="00DB48CE"/>
    <w:rsid w:val="00DB5516"/>
    <w:rsid w:val="00DB6DA9"/>
    <w:rsid w:val="00DB6EA0"/>
    <w:rsid w:val="00DB7D38"/>
    <w:rsid w:val="00DB7E0B"/>
    <w:rsid w:val="00DC04DE"/>
    <w:rsid w:val="00DC0FBC"/>
    <w:rsid w:val="00DC1E2D"/>
    <w:rsid w:val="00DC275D"/>
    <w:rsid w:val="00DC2A69"/>
    <w:rsid w:val="00DC2B21"/>
    <w:rsid w:val="00DC35BA"/>
    <w:rsid w:val="00DC3A2A"/>
    <w:rsid w:val="00DC59C0"/>
    <w:rsid w:val="00DC689B"/>
    <w:rsid w:val="00DC6E10"/>
    <w:rsid w:val="00DC7E3D"/>
    <w:rsid w:val="00DC7F00"/>
    <w:rsid w:val="00DC7FB7"/>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22"/>
    <w:rsid w:val="00DD62C8"/>
    <w:rsid w:val="00DD7225"/>
    <w:rsid w:val="00DD77E1"/>
    <w:rsid w:val="00DD7AB4"/>
    <w:rsid w:val="00DE0679"/>
    <w:rsid w:val="00DE0B45"/>
    <w:rsid w:val="00DE1AD2"/>
    <w:rsid w:val="00DE24B2"/>
    <w:rsid w:val="00DE261F"/>
    <w:rsid w:val="00DE2805"/>
    <w:rsid w:val="00DE2D12"/>
    <w:rsid w:val="00DE2EA8"/>
    <w:rsid w:val="00DE34D0"/>
    <w:rsid w:val="00DE3A29"/>
    <w:rsid w:val="00DE3D67"/>
    <w:rsid w:val="00DE412E"/>
    <w:rsid w:val="00DE44E3"/>
    <w:rsid w:val="00DE4A14"/>
    <w:rsid w:val="00DE4AAA"/>
    <w:rsid w:val="00DE4F75"/>
    <w:rsid w:val="00DE613E"/>
    <w:rsid w:val="00DE632D"/>
    <w:rsid w:val="00DE65E7"/>
    <w:rsid w:val="00DE7029"/>
    <w:rsid w:val="00DE787B"/>
    <w:rsid w:val="00DE79FE"/>
    <w:rsid w:val="00DE7BAC"/>
    <w:rsid w:val="00DF0084"/>
    <w:rsid w:val="00DF091A"/>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608"/>
    <w:rsid w:val="00E02AE1"/>
    <w:rsid w:val="00E02D83"/>
    <w:rsid w:val="00E03083"/>
    <w:rsid w:val="00E03213"/>
    <w:rsid w:val="00E03A58"/>
    <w:rsid w:val="00E043BC"/>
    <w:rsid w:val="00E04781"/>
    <w:rsid w:val="00E054BA"/>
    <w:rsid w:val="00E05501"/>
    <w:rsid w:val="00E05F7E"/>
    <w:rsid w:val="00E061D6"/>
    <w:rsid w:val="00E06449"/>
    <w:rsid w:val="00E06E11"/>
    <w:rsid w:val="00E0718C"/>
    <w:rsid w:val="00E0743F"/>
    <w:rsid w:val="00E07C09"/>
    <w:rsid w:val="00E106DC"/>
    <w:rsid w:val="00E115DA"/>
    <w:rsid w:val="00E11C41"/>
    <w:rsid w:val="00E12075"/>
    <w:rsid w:val="00E121C7"/>
    <w:rsid w:val="00E12BFE"/>
    <w:rsid w:val="00E12FC4"/>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771"/>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6C99"/>
    <w:rsid w:val="00E2704A"/>
    <w:rsid w:val="00E2757B"/>
    <w:rsid w:val="00E277E7"/>
    <w:rsid w:val="00E278E4"/>
    <w:rsid w:val="00E27971"/>
    <w:rsid w:val="00E30377"/>
    <w:rsid w:val="00E30394"/>
    <w:rsid w:val="00E3052B"/>
    <w:rsid w:val="00E30AB4"/>
    <w:rsid w:val="00E30CB1"/>
    <w:rsid w:val="00E30DAE"/>
    <w:rsid w:val="00E30DEC"/>
    <w:rsid w:val="00E3108C"/>
    <w:rsid w:val="00E31EBE"/>
    <w:rsid w:val="00E33266"/>
    <w:rsid w:val="00E335D0"/>
    <w:rsid w:val="00E35007"/>
    <w:rsid w:val="00E354AD"/>
    <w:rsid w:val="00E35B87"/>
    <w:rsid w:val="00E35E6A"/>
    <w:rsid w:val="00E35E7E"/>
    <w:rsid w:val="00E36108"/>
    <w:rsid w:val="00E36B70"/>
    <w:rsid w:val="00E36B98"/>
    <w:rsid w:val="00E36ED9"/>
    <w:rsid w:val="00E37B53"/>
    <w:rsid w:val="00E37F00"/>
    <w:rsid w:val="00E37F08"/>
    <w:rsid w:val="00E426DB"/>
    <w:rsid w:val="00E43F6F"/>
    <w:rsid w:val="00E43FC7"/>
    <w:rsid w:val="00E44205"/>
    <w:rsid w:val="00E4436E"/>
    <w:rsid w:val="00E448FC"/>
    <w:rsid w:val="00E4611E"/>
    <w:rsid w:val="00E470B1"/>
    <w:rsid w:val="00E471A9"/>
    <w:rsid w:val="00E47C6A"/>
    <w:rsid w:val="00E47DE6"/>
    <w:rsid w:val="00E47E51"/>
    <w:rsid w:val="00E511BB"/>
    <w:rsid w:val="00E52329"/>
    <w:rsid w:val="00E526FC"/>
    <w:rsid w:val="00E5271A"/>
    <w:rsid w:val="00E52E98"/>
    <w:rsid w:val="00E531EF"/>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79"/>
    <w:rsid w:val="00E57A92"/>
    <w:rsid w:val="00E57F44"/>
    <w:rsid w:val="00E60D20"/>
    <w:rsid w:val="00E61A7B"/>
    <w:rsid w:val="00E61C1B"/>
    <w:rsid w:val="00E61C1F"/>
    <w:rsid w:val="00E6245D"/>
    <w:rsid w:val="00E62472"/>
    <w:rsid w:val="00E62850"/>
    <w:rsid w:val="00E637B8"/>
    <w:rsid w:val="00E6448E"/>
    <w:rsid w:val="00E646D9"/>
    <w:rsid w:val="00E6721E"/>
    <w:rsid w:val="00E6743F"/>
    <w:rsid w:val="00E675C7"/>
    <w:rsid w:val="00E67C16"/>
    <w:rsid w:val="00E67D1F"/>
    <w:rsid w:val="00E67DF0"/>
    <w:rsid w:val="00E67ECB"/>
    <w:rsid w:val="00E67EFC"/>
    <w:rsid w:val="00E707ED"/>
    <w:rsid w:val="00E70D2C"/>
    <w:rsid w:val="00E70F37"/>
    <w:rsid w:val="00E7113F"/>
    <w:rsid w:val="00E71355"/>
    <w:rsid w:val="00E7165C"/>
    <w:rsid w:val="00E71D5A"/>
    <w:rsid w:val="00E71D9F"/>
    <w:rsid w:val="00E71DA6"/>
    <w:rsid w:val="00E71E81"/>
    <w:rsid w:val="00E72505"/>
    <w:rsid w:val="00E7275F"/>
    <w:rsid w:val="00E7278B"/>
    <w:rsid w:val="00E727FB"/>
    <w:rsid w:val="00E732B1"/>
    <w:rsid w:val="00E73EF0"/>
    <w:rsid w:val="00E742F9"/>
    <w:rsid w:val="00E74C20"/>
    <w:rsid w:val="00E7501C"/>
    <w:rsid w:val="00E750D0"/>
    <w:rsid w:val="00E756EF"/>
    <w:rsid w:val="00E75718"/>
    <w:rsid w:val="00E7628F"/>
    <w:rsid w:val="00E76410"/>
    <w:rsid w:val="00E76589"/>
    <w:rsid w:val="00E7758D"/>
    <w:rsid w:val="00E77D9A"/>
    <w:rsid w:val="00E801D4"/>
    <w:rsid w:val="00E807F7"/>
    <w:rsid w:val="00E80E59"/>
    <w:rsid w:val="00E80F67"/>
    <w:rsid w:val="00E81746"/>
    <w:rsid w:val="00E81F99"/>
    <w:rsid w:val="00E82F15"/>
    <w:rsid w:val="00E82FCD"/>
    <w:rsid w:val="00E832F5"/>
    <w:rsid w:val="00E84761"/>
    <w:rsid w:val="00E84E9C"/>
    <w:rsid w:val="00E86682"/>
    <w:rsid w:val="00E87B11"/>
    <w:rsid w:val="00E902BE"/>
    <w:rsid w:val="00E90662"/>
    <w:rsid w:val="00E9095F"/>
    <w:rsid w:val="00E91049"/>
    <w:rsid w:val="00E912B9"/>
    <w:rsid w:val="00E9142B"/>
    <w:rsid w:val="00E914E3"/>
    <w:rsid w:val="00E92265"/>
    <w:rsid w:val="00E92951"/>
    <w:rsid w:val="00E92A79"/>
    <w:rsid w:val="00E92ADD"/>
    <w:rsid w:val="00E93449"/>
    <w:rsid w:val="00E936DF"/>
    <w:rsid w:val="00E949F8"/>
    <w:rsid w:val="00E94A6C"/>
    <w:rsid w:val="00E9509D"/>
    <w:rsid w:val="00E95B16"/>
    <w:rsid w:val="00E95E68"/>
    <w:rsid w:val="00E96472"/>
    <w:rsid w:val="00E964C7"/>
    <w:rsid w:val="00E96503"/>
    <w:rsid w:val="00E96E04"/>
    <w:rsid w:val="00E96EF3"/>
    <w:rsid w:val="00E96F7D"/>
    <w:rsid w:val="00E976E4"/>
    <w:rsid w:val="00E97D3E"/>
    <w:rsid w:val="00E97E3E"/>
    <w:rsid w:val="00EA0521"/>
    <w:rsid w:val="00EA10A6"/>
    <w:rsid w:val="00EA1564"/>
    <w:rsid w:val="00EA1ACB"/>
    <w:rsid w:val="00EA2902"/>
    <w:rsid w:val="00EA2CDB"/>
    <w:rsid w:val="00EA390A"/>
    <w:rsid w:val="00EA3917"/>
    <w:rsid w:val="00EA39D2"/>
    <w:rsid w:val="00EA4213"/>
    <w:rsid w:val="00EA4A42"/>
    <w:rsid w:val="00EA4AC3"/>
    <w:rsid w:val="00EA4EF6"/>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BE5"/>
    <w:rsid w:val="00EB0F64"/>
    <w:rsid w:val="00EB1778"/>
    <w:rsid w:val="00EB19AE"/>
    <w:rsid w:val="00EB1DFC"/>
    <w:rsid w:val="00EB1EC8"/>
    <w:rsid w:val="00EB2028"/>
    <w:rsid w:val="00EB2070"/>
    <w:rsid w:val="00EB32C8"/>
    <w:rsid w:val="00EB341B"/>
    <w:rsid w:val="00EB389B"/>
    <w:rsid w:val="00EB3AEE"/>
    <w:rsid w:val="00EB40E3"/>
    <w:rsid w:val="00EB433A"/>
    <w:rsid w:val="00EB4A11"/>
    <w:rsid w:val="00EB4E80"/>
    <w:rsid w:val="00EB52D1"/>
    <w:rsid w:val="00EB54E8"/>
    <w:rsid w:val="00EB54FC"/>
    <w:rsid w:val="00EB56A5"/>
    <w:rsid w:val="00EB5B3C"/>
    <w:rsid w:val="00EB6544"/>
    <w:rsid w:val="00EB68A3"/>
    <w:rsid w:val="00EB6943"/>
    <w:rsid w:val="00EB6A46"/>
    <w:rsid w:val="00EB6C50"/>
    <w:rsid w:val="00EB6F43"/>
    <w:rsid w:val="00EB6F55"/>
    <w:rsid w:val="00EB6FAB"/>
    <w:rsid w:val="00EB703D"/>
    <w:rsid w:val="00EB70B3"/>
    <w:rsid w:val="00EB74AF"/>
    <w:rsid w:val="00EB7667"/>
    <w:rsid w:val="00EB7DA1"/>
    <w:rsid w:val="00EC05B3"/>
    <w:rsid w:val="00EC0AEE"/>
    <w:rsid w:val="00EC0C39"/>
    <w:rsid w:val="00EC1024"/>
    <w:rsid w:val="00EC1361"/>
    <w:rsid w:val="00EC1D4C"/>
    <w:rsid w:val="00EC1EBE"/>
    <w:rsid w:val="00EC2DBB"/>
    <w:rsid w:val="00EC2F12"/>
    <w:rsid w:val="00EC3716"/>
    <w:rsid w:val="00EC390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75F"/>
    <w:rsid w:val="00ED2832"/>
    <w:rsid w:val="00ED29D6"/>
    <w:rsid w:val="00ED3577"/>
    <w:rsid w:val="00ED36F5"/>
    <w:rsid w:val="00ED3EDA"/>
    <w:rsid w:val="00ED435E"/>
    <w:rsid w:val="00ED5D72"/>
    <w:rsid w:val="00ED6A3C"/>
    <w:rsid w:val="00ED6BB2"/>
    <w:rsid w:val="00ED7264"/>
    <w:rsid w:val="00ED78CC"/>
    <w:rsid w:val="00ED7F2A"/>
    <w:rsid w:val="00ED7F61"/>
    <w:rsid w:val="00EE005A"/>
    <w:rsid w:val="00EE0AA0"/>
    <w:rsid w:val="00EE0E73"/>
    <w:rsid w:val="00EE1D76"/>
    <w:rsid w:val="00EE2AB7"/>
    <w:rsid w:val="00EE34B3"/>
    <w:rsid w:val="00EE3762"/>
    <w:rsid w:val="00EE4284"/>
    <w:rsid w:val="00EE4667"/>
    <w:rsid w:val="00EE4CF5"/>
    <w:rsid w:val="00EE4D0B"/>
    <w:rsid w:val="00EE5273"/>
    <w:rsid w:val="00EE5282"/>
    <w:rsid w:val="00EE5383"/>
    <w:rsid w:val="00EE58FB"/>
    <w:rsid w:val="00EE5B57"/>
    <w:rsid w:val="00EE5DF2"/>
    <w:rsid w:val="00EE66F3"/>
    <w:rsid w:val="00EE67D3"/>
    <w:rsid w:val="00EE769A"/>
    <w:rsid w:val="00EE7E05"/>
    <w:rsid w:val="00EF0083"/>
    <w:rsid w:val="00EF020D"/>
    <w:rsid w:val="00EF027E"/>
    <w:rsid w:val="00EF0F53"/>
    <w:rsid w:val="00EF105B"/>
    <w:rsid w:val="00EF1086"/>
    <w:rsid w:val="00EF150F"/>
    <w:rsid w:val="00EF2373"/>
    <w:rsid w:val="00EF2F71"/>
    <w:rsid w:val="00EF2F8C"/>
    <w:rsid w:val="00EF3219"/>
    <w:rsid w:val="00EF3938"/>
    <w:rsid w:val="00EF3F61"/>
    <w:rsid w:val="00EF489A"/>
    <w:rsid w:val="00EF4D0A"/>
    <w:rsid w:val="00EF4E2D"/>
    <w:rsid w:val="00EF5270"/>
    <w:rsid w:val="00EF52C1"/>
    <w:rsid w:val="00EF618E"/>
    <w:rsid w:val="00EF6423"/>
    <w:rsid w:val="00F004DD"/>
    <w:rsid w:val="00F0084E"/>
    <w:rsid w:val="00F00FD3"/>
    <w:rsid w:val="00F011B0"/>
    <w:rsid w:val="00F01F34"/>
    <w:rsid w:val="00F021E1"/>
    <w:rsid w:val="00F03152"/>
    <w:rsid w:val="00F0367E"/>
    <w:rsid w:val="00F03889"/>
    <w:rsid w:val="00F03B3B"/>
    <w:rsid w:val="00F04CB7"/>
    <w:rsid w:val="00F04FF3"/>
    <w:rsid w:val="00F0529A"/>
    <w:rsid w:val="00F05305"/>
    <w:rsid w:val="00F05907"/>
    <w:rsid w:val="00F05A5B"/>
    <w:rsid w:val="00F05EEB"/>
    <w:rsid w:val="00F06096"/>
    <w:rsid w:val="00F0698D"/>
    <w:rsid w:val="00F07711"/>
    <w:rsid w:val="00F07D5F"/>
    <w:rsid w:val="00F07ED7"/>
    <w:rsid w:val="00F102BA"/>
    <w:rsid w:val="00F10675"/>
    <w:rsid w:val="00F11BB2"/>
    <w:rsid w:val="00F12505"/>
    <w:rsid w:val="00F12A3D"/>
    <w:rsid w:val="00F12A46"/>
    <w:rsid w:val="00F12A60"/>
    <w:rsid w:val="00F1307B"/>
    <w:rsid w:val="00F1375B"/>
    <w:rsid w:val="00F13A0E"/>
    <w:rsid w:val="00F13D4E"/>
    <w:rsid w:val="00F13DF1"/>
    <w:rsid w:val="00F13F67"/>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9CB"/>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DD6"/>
    <w:rsid w:val="00F25FE7"/>
    <w:rsid w:val="00F27833"/>
    <w:rsid w:val="00F27CB7"/>
    <w:rsid w:val="00F30483"/>
    <w:rsid w:val="00F30A71"/>
    <w:rsid w:val="00F3131C"/>
    <w:rsid w:val="00F31DDF"/>
    <w:rsid w:val="00F3282C"/>
    <w:rsid w:val="00F32912"/>
    <w:rsid w:val="00F32A6B"/>
    <w:rsid w:val="00F32ABD"/>
    <w:rsid w:val="00F32DED"/>
    <w:rsid w:val="00F337E0"/>
    <w:rsid w:val="00F33A3D"/>
    <w:rsid w:val="00F33C9C"/>
    <w:rsid w:val="00F33E3A"/>
    <w:rsid w:val="00F34641"/>
    <w:rsid w:val="00F34E18"/>
    <w:rsid w:val="00F34FE3"/>
    <w:rsid w:val="00F35582"/>
    <w:rsid w:val="00F35DA5"/>
    <w:rsid w:val="00F36BF0"/>
    <w:rsid w:val="00F376BB"/>
    <w:rsid w:val="00F3777B"/>
    <w:rsid w:val="00F37B9B"/>
    <w:rsid w:val="00F37DA2"/>
    <w:rsid w:val="00F40266"/>
    <w:rsid w:val="00F403F5"/>
    <w:rsid w:val="00F404AD"/>
    <w:rsid w:val="00F40A04"/>
    <w:rsid w:val="00F41BD0"/>
    <w:rsid w:val="00F42218"/>
    <w:rsid w:val="00F423DC"/>
    <w:rsid w:val="00F4279C"/>
    <w:rsid w:val="00F427AA"/>
    <w:rsid w:val="00F43634"/>
    <w:rsid w:val="00F43A2B"/>
    <w:rsid w:val="00F43E4D"/>
    <w:rsid w:val="00F44F1E"/>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25FA"/>
    <w:rsid w:val="00F53229"/>
    <w:rsid w:val="00F53BA1"/>
    <w:rsid w:val="00F5405F"/>
    <w:rsid w:val="00F54156"/>
    <w:rsid w:val="00F54BA4"/>
    <w:rsid w:val="00F55A73"/>
    <w:rsid w:val="00F55F52"/>
    <w:rsid w:val="00F564D2"/>
    <w:rsid w:val="00F5652C"/>
    <w:rsid w:val="00F5690B"/>
    <w:rsid w:val="00F56A05"/>
    <w:rsid w:val="00F56D06"/>
    <w:rsid w:val="00F57386"/>
    <w:rsid w:val="00F5749F"/>
    <w:rsid w:val="00F57971"/>
    <w:rsid w:val="00F57BE4"/>
    <w:rsid w:val="00F6020D"/>
    <w:rsid w:val="00F602FD"/>
    <w:rsid w:val="00F6128E"/>
    <w:rsid w:val="00F616E9"/>
    <w:rsid w:val="00F620AD"/>
    <w:rsid w:val="00F62FA2"/>
    <w:rsid w:val="00F630CB"/>
    <w:rsid w:val="00F640FF"/>
    <w:rsid w:val="00F641A1"/>
    <w:rsid w:val="00F65773"/>
    <w:rsid w:val="00F658FF"/>
    <w:rsid w:val="00F66169"/>
    <w:rsid w:val="00F662A5"/>
    <w:rsid w:val="00F664CB"/>
    <w:rsid w:val="00F66B12"/>
    <w:rsid w:val="00F66B47"/>
    <w:rsid w:val="00F66FFE"/>
    <w:rsid w:val="00F6727E"/>
    <w:rsid w:val="00F67481"/>
    <w:rsid w:val="00F676C5"/>
    <w:rsid w:val="00F678D6"/>
    <w:rsid w:val="00F70543"/>
    <w:rsid w:val="00F70752"/>
    <w:rsid w:val="00F707C2"/>
    <w:rsid w:val="00F714DE"/>
    <w:rsid w:val="00F717DF"/>
    <w:rsid w:val="00F722FA"/>
    <w:rsid w:val="00F723EE"/>
    <w:rsid w:val="00F724E5"/>
    <w:rsid w:val="00F7264A"/>
    <w:rsid w:val="00F7349F"/>
    <w:rsid w:val="00F738D5"/>
    <w:rsid w:val="00F73A03"/>
    <w:rsid w:val="00F73B9A"/>
    <w:rsid w:val="00F73FE8"/>
    <w:rsid w:val="00F740B6"/>
    <w:rsid w:val="00F745E8"/>
    <w:rsid w:val="00F74705"/>
    <w:rsid w:val="00F74D0A"/>
    <w:rsid w:val="00F7540A"/>
    <w:rsid w:val="00F754F2"/>
    <w:rsid w:val="00F76399"/>
    <w:rsid w:val="00F76C6D"/>
    <w:rsid w:val="00F7751C"/>
    <w:rsid w:val="00F7756C"/>
    <w:rsid w:val="00F775D0"/>
    <w:rsid w:val="00F804C7"/>
    <w:rsid w:val="00F80A0F"/>
    <w:rsid w:val="00F80AD8"/>
    <w:rsid w:val="00F81024"/>
    <w:rsid w:val="00F81032"/>
    <w:rsid w:val="00F810D2"/>
    <w:rsid w:val="00F81704"/>
    <w:rsid w:val="00F82168"/>
    <w:rsid w:val="00F829BB"/>
    <w:rsid w:val="00F82AED"/>
    <w:rsid w:val="00F84BDD"/>
    <w:rsid w:val="00F84DF6"/>
    <w:rsid w:val="00F85409"/>
    <w:rsid w:val="00F8558C"/>
    <w:rsid w:val="00F8579D"/>
    <w:rsid w:val="00F85A46"/>
    <w:rsid w:val="00F85F2B"/>
    <w:rsid w:val="00F87A1A"/>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4C80"/>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4A0C"/>
    <w:rsid w:val="00FA507E"/>
    <w:rsid w:val="00FA5CF8"/>
    <w:rsid w:val="00FA6153"/>
    <w:rsid w:val="00FA630E"/>
    <w:rsid w:val="00FA7128"/>
    <w:rsid w:val="00FB01E1"/>
    <w:rsid w:val="00FB0A00"/>
    <w:rsid w:val="00FB0B22"/>
    <w:rsid w:val="00FB0C09"/>
    <w:rsid w:val="00FB0C16"/>
    <w:rsid w:val="00FB0C43"/>
    <w:rsid w:val="00FB0F54"/>
    <w:rsid w:val="00FB18B3"/>
    <w:rsid w:val="00FB2E76"/>
    <w:rsid w:val="00FB319A"/>
    <w:rsid w:val="00FB3E18"/>
    <w:rsid w:val="00FB3E70"/>
    <w:rsid w:val="00FB3F09"/>
    <w:rsid w:val="00FB4618"/>
    <w:rsid w:val="00FB4670"/>
    <w:rsid w:val="00FB53E9"/>
    <w:rsid w:val="00FB58A0"/>
    <w:rsid w:val="00FB5ED0"/>
    <w:rsid w:val="00FB6664"/>
    <w:rsid w:val="00FB6AFA"/>
    <w:rsid w:val="00FB6EB6"/>
    <w:rsid w:val="00FB70BD"/>
    <w:rsid w:val="00FB75B8"/>
    <w:rsid w:val="00FB7A48"/>
    <w:rsid w:val="00FB7E16"/>
    <w:rsid w:val="00FC0016"/>
    <w:rsid w:val="00FC0323"/>
    <w:rsid w:val="00FC075C"/>
    <w:rsid w:val="00FC10F6"/>
    <w:rsid w:val="00FC1667"/>
    <w:rsid w:val="00FC2486"/>
    <w:rsid w:val="00FC2895"/>
    <w:rsid w:val="00FC2A63"/>
    <w:rsid w:val="00FC3345"/>
    <w:rsid w:val="00FC3673"/>
    <w:rsid w:val="00FC38A5"/>
    <w:rsid w:val="00FC38F7"/>
    <w:rsid w:val="00FC415F"/>
    <w:rsid w:val="00FC452F"/>
    <w:rsid w:val="00FC4604"/>
    <w:rsid w:val="00FC510B"/>
    <w:rsid w:val="00FC580C"/>
    <w:rsid w:val="00FC5D87"/>
    <w:rsid w:val="00FC5E7C"/>
    <w:rsid w:val="00FC6053"/>
    <w:rsid w:val="00FC7293"/>
    <w:rsid w:val="00FD0F09"/>
    <w:rsid w:val="00FD1AD7"/>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D7E3B"/>
    <w:rsid w:val="00FE06EC"/>
    <w:rsid w:val="00FE0711"/>
    <w:rsid w:val="00FE094C"/>
    <w:rsid w:val="00FE09A9"/>
    <w:rsid w:val="00FE0A7D"/>
    <w:rsid w:val="00FE0C6F"/>
    <w:rsid w:val="00FE0C88"/>
    <w:rsid w:val="00FE1233"/>
    <w:rsid w:val="00FE14DF"/>
    <w:rsid w:val="00FE15A8"/>
    <w:rsid w:val="00FE16FF"/>
    <w:rsid w:val="00FE1985"/>
    <w:rsid w:val="00FE1C41"/>
    <w:rsid w:val="00FE1E28"/>
    <w:rsid w:val="00FE1F50"/>
    <w:rsid w:val="00FE201F"/>
    <w:rsid w:val="00FE273D"/>
    <w:rsid w:val="00FE2EA8"/>
    <w:rsid w:val="00FE38D5"/>
    <w:rsid w:val="00FE3AA6"/>
    <w:rsid w:val="00FE3FCF"/>
    <w:rsid w:val="00FE4E52"/>
    <w:rsid w:val="00FE51A9"/>
    <w:rsid w:val="00FE52C9"/>
    <w:rsid w:val="00FE5664"/>
    <w:rsid w:val="00FE5878"/>
    <w:rsid w:val="00FE5B6F"/>
    <w:rsid w:val="00FE5EE0"/>
    <w:rsid w:val="00FE64FD"/>
    <w:rsid w:val="00FE6743"/>
    <w:rsid w:val="00FE69CF"/>
    <w:rsid w:val="00FE6CC0"/>
    <w:rsid w:val="00FE757D"/>
    <w:rsid w:val="00FF044E"/>
    <w:rsid w:val="00FF1B38"/>
    <w:rsid w:val="00FF1D0C"/>
    <w:rsid w:val="00FF1DB5"/>
    <w:rsid w:val="00FF214B"/>
    <w:rsid w:val="00FF21BC"/>
    <w:rsid w:val="00FF2698"/>
    <w:rsid w:val="00FF335C"/>
    <w:rsid w:val="00FF4582"/>
    <w:rsid w:val="00FF4923"/>
    <w:rsid w:val="00FF5D49"/>
    <w:rsid w:val="00FF5E40"/>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D261D7"/>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D261D7"/>
    <w:pPr>
      <w:tabs>
        <w:tab w:val="left" w:pos="450"/>
        <w:tab w:val="right" w:leader="dot" w:pos="9350"/>
      </w:tabs>
      <w:spacing w:before="240"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 w:type="character" w:customStyle="1" w:styleId="UnresolvedMention3">
    <w:name w:val="Unresolved Mention3"/>
    <w:basedOn w:val="DefaultParagraphFont"/>
    <w:uiPriority w:val="99"/>
    <w:semiHidden/>
    <w:unhideWhenUsed/>
    <w:rsid w:val="00BA5F1B"/>
    <w:rPr>
      <w:color w:val="605E5C"/>
      <w:shd w:val="clear" w:color="auto" w:fill="E1DFDD"/>
    </w:rPr>
  </w:style>
  <w:style w:type="character" w:customStyle="1" w:styleId="UnresolvedMention4">
    <w:name w:val="Unresolved Mention4"/>
    <w:basedOn w:val="DefaultParagraphFont"/>
    <w:uiPriority w:val="99"/>
    <w:semiHidden/>
    <w:unhideWhenUsed/>
    <w:rsid w:val="009A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6983428">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392123417">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1405961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7923036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68875126">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0223855">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03950437">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493220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14608335">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694266140">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811481974">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4C8D-08DE-461D-B12C-953D21C6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21118</Words>
  <Characters>120373</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141209</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Hayet</dc:creator>
  <cp:lastModifiedBy>Phil Hayet</cp:lastModifiedBy>
  <cp:revision>2</cp:revision>
  <cp:lastPrinted>2023-06-21T20:12:00Z</cp:lastPrinted>
  <dcterms:created xsi:type="dcterms:W3CDTF">2023-06-22T14:11:00Z</dcterms:created>
  <dcterms:modified xsi:type="dcterms:W3CDTF">2023-06-22T14:11:00Z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