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4D71" w14:textId="77777777" w:rsidR="00CC2352" w:rsidRPr="00CB2E4D" w:rsidRDefault="00CC2352" w:rsidP="00CC2352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Filing Workpapers</w:t>
      </w:r>
    </w:p>
    <w:p w14:paraId="5DC59F6C" w14:textId="77777777" w:rsidR="00CC2352" w:rsidRDefault="00CC2352" w:rsidP="00CC2352">
      <w:pPr>
        <w:rPr>
          <w:rFonts w:ascii="Arial" w:hAnsi="Arial" w:cs="Arial"/>
        </w:rPr>
      </w:pPr>
    </w:p>
    <w:p w14:paraId="0181D4FE" w14:textId="77777777" w:rsidR="00CC2352" w:rsidRDefault="00CC2352" w:rsidP="00CC2352">
      <w:pPr>
        <w:autoSpaceDE w:val="0"/>
        <w:autoSpaceDN w:val="0"/>
        <w:adjustRightInd w:val="0"/>
        <w:rPr>
          <w:rFonts w:ascii="Arial" w:hAnsi="Arial" w:cs="Arial"/>
        </w:rPr>
      </w:pPr>
    </w:p>
    <w:p w14:paraId="6CD4D72F" w14:textId="1D0C5DCF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Georgia Power Company considers the FCR-2</w:t>
      </w:r>
      <w:r w:rsidR="00BE4F7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0B7F5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xhibits provided with the </w:t>
      </w:r>
      <w:r w:rsidR="00331765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estimony as part of the workpapers for the </w:t>
      </w:r>
      <w:r w:rsidR="00331765">
        <w:rPr>
          <w:rFonts w:ascii="Arial" w:hAnsi="Arial" w:cs="Arial"/>
        </w:rPr>
        <w:t>T</w:t>
      </w:r>
      <w:r>
        <w:rPr>
          <w:rFonts w:ascii="Arial" w:hAnsi="Arial" w:cs="Arial"/>
        </w:rPr>
        <w:t>estimony.</w:t>
      </w:r>
    </w:p>
    <w:p w14:paraId="3C5007C8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54763A3" w14:textId="56993CAD" w:rsidR="00CC2352" w:rsidRDefault="000B7F53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trade secret</w:t>
      </w:r>
      <w:r w:rsidR="00CC2352">
        <w:rPr>
          <w:rFonts w:ascii="Arial" w:hAnsi="Arial" w:cs="Arial"/>
        </w:rPr>
        <w:t xml:space="preserve"> workpapers provided in MFRP-1 for the support of Testimony and Exhibits filed in FCR-2</w:t>
      </w:r>
      <w:r w:rsidR="00BE4F72">
        <w:rPr>
          <w:rFonts w:ascii="Arial" w:hAnsi="Arial" w:cs="Arial"/>
        </w:rPr>
        <w:t>6</w:t>
      </w:r>
      <w:r w:rsidR="00CC2352">
        <w:rPr>
          <w:rFonts w:ascii="Arial" w:hAnsi="Arial" w:cs="Arial"/>
        </w:rPr>
        <w:t xml:space="preserve"> are as follows:</w:t>
      </w:r>
    </w:p>
    <w:p w14:paraId="7EC65833" w14:textId="77777777" w:rsidR="00CD5D94" w:rsidRDefault="00CD5D94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A32A3A0" w14:textId="7BE72A42" w:rsidR="00CC2352" w:rsidRDefault="00CD5D94" w:rsidP="00CD5D94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5D94">
        <w:rPr>
          <w:rFonts w:ascii="Arial" w:hAnsi="Arial" w:cs="Arial"/>
        </w:rPr>
        <w:t>Attachment MFRP-1</w:t>
      </w:r>
      <w:r>
        <w:rPr>
          <w:rFonts w:ascii="Arial" w:hAnsi="Arial" w:cs="Arial"/>
        </w:rPr>
        <w:t xml:space="preserve">A </w:t>
      </w:r>
      <w:r w:rsidRPr="00CD5D94">
        <w:rPr>
          <w:rFonts w:ascii="Arial" w:hAnsi="Arial" w:cs="Arial"/>
        </w:rPr>
        <w:t>provides the FCR-2</w:t>
      </w:r>
      <w:r w:rsidR="006B1F1D">
        <w:rPr>
          <w:rFonts w:ascii="Arial" w:hAnsi="Arial" w:cs="Arial"/>
        </w:rPr>
        <w:t>6</w:t>
      </w:r>
      <w:r w:rsidRPr="00CD5D94">
        <w:rPr>
          <w:rFonts w:ascii="Arial" w:hAnsi="Arial" w:cs="Arial"/>
        </w:rPr>
        <w:t xml:space="preserve"> and FCR-2</w:t>
      </w:r>
      <w:r w:rsidR="006B1F1D">
        <w:rPr>
          <w:rFonts w:ascii="Arial" w:hAnsi="Arial" w:cs="Arial"/>
        </w:rPr>
        <w:t>5</w:t>
      </w:r>
      <w:r w:rsidRPr="00CD5D94">
        <w:rPr>
          <w:rFonts w:ascii="Arial" w:hAnsi="Arial" w:cs="Arial"/>
        </w:rPr>
        <w:t xml:space="preserve"> budget comparisons for the respective test periods.</w:t>
      </w:r>
    </w:p>
    <w:p w14:paraId="23BBF7C9" w14:textId="77777777" w:rsidR="00CD5D94" w:rsidRDefault="00CD5D94" w:rsidP="00CD5D94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1D9882" w14:textId="3B403AC0" w:rsidR="00CD5D94" w:rsidRDefault="00CD5D94" w:rsidP="00CD5D94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A10B22">
        <w:rPr>
          <w:rFonts w:ascii="Arial" w:hAnsi="Arial" w:cs="Arial"/>
          <w:szCs w:val="24"/>
        </w:rPr>
        <w:t>Attachment MFRP</w:t>
      </w:r>
      <w:r>
        <w:rPr>
          <w:rFonts w:ascii="Arial" w:hAnsi="Arial" w:cs="Arial"/>
          <w:szCs w:val="24"/>
        </w:rPr>
        <w:t>-1B</w:t>
      </w:r>
      <w:r w:rsidRPr="00A10B22">
        <w:rPr>
          <w:rFonts w:ascii="Arial" w:hAnsi="Arial" w:cs="Arial"/>
          <w:szCs w:val="24"/>
        </w:rPr>
        <w:t xml:space="preserve"> provides </w:t>
      </w:r>
      <w:r>
        <w:rPr>
          <w:rFonts w:ascii="Arial" w:hAnsi="Arial" w:cs="Arial"/>
          <w:szCs w:val="24"/>
        </w:rPr>
        <w:t>the FCR-2</w:t>
      </w:r>
      <w:r w:rsidR="006B1F1D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t xml:space="preserve"> and FCR-2</w:t>
      </w:r>
      <w:r w:rsidR="006B1F1D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</w:rPr>
        <w:t xml:space="preserve"> budget comparisons of </w:t>
      </w:r>
      <w:r w:rsidRPr="00A10B22">
        <w:rPr>
          <w:rFonts w:ascii="Arial" w:hAnsi="Arial" w:cs="Arial"/>
          <w:szCs w:val="24"/>
        </w:rPr>
        <w:t xml:space="preserve">the </w:t>
      </w:r>
      <w:r>
        <w:rPr>
          <w:rFonts w:ascii="Arial" w:hAnsi="Arial" w:cs="Arial"/>
          <w:szCs w:val="24"/>
        </w:rPr>
        <w:t>billed retail sales forecast for the first 12 months of the respective test periods.</w:t>
      </w:r>
    </w:p>
    <w:p w14:paraId="73709FCB" w14:textId="77777777" w:rsidR="00CD5D94" w:rsidRPr="00CD5D94" w:rsidRDefault="00CD5D94" w:rsidP="00CD5D94">
      <w:pPr>
        <w:pStyle w:val="ListParagraph"/>
        <w:jc w:val="both"/>
        <w:rPr>
          <w:rFonts w:ascii="Arial" w:hAnsi="Arial" w:cs="Arial"/>
          <w:szCs w:val="24"/>
        </w:rPr>
      </w:pPr>
    </w:p>
    <w:p w14:paraId="42AF3697" w14:textId="3BD56B12" w:rsidR="00CD5D94" w:rsidRPr="00CD5D94" w:rsidRDefault="00CD5D94" w:rsidP="00CD5D94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D5D94">
        <w:rPr>
          <w:rFonts w:ascii="Arial" w:hAnsi="Arial" w:cs="Arial"/>
          <w:szCs w:val="24"/>
        </w:rPr>
        <w:t>Attachment MFRP-1C provides the FCR-2</w:t>
      </w:r>
      <w:r w:rsidR="006B1F1D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t xml:space="preserve"> </w:t>
      </w:r>
      <w:r w:rsidRPr="00CD5D94">
        <w:rPr>
          <w:rFonts w:ascii="Arial" w:hAnsi="Arial" w:cs="Arial"/>
          <w:szCs w:val="24"/>
        </w:rPr>
        <w:t>and FCR-2</w:t>
      </w:r>
      <w:r w:rsidR="006B1F1D">
        <w:rPr>
          <w:rFonts w:ascii="Arial" w:hAnsi="Arial" w:cs="Arial"/>
          <w:szCs w:val="24"/>
        </w:rPr>
        <w:t xml:space="preserve">5 </w:t>
      </w:r>
      <w:r w:rsidRPr="00CD5D94">
        <w:rPr>
          <w:rFonts w:ascii="Arial" w:hAnsi="Arial" w:cs="Arial"/>
          <w:szCs w:val="24"/>
        </w:rPr>
        <w:t>rate comparisons.</w:t>
      </w:r>
    </w:p>
    <w:p w14:paraId="56CE24D5" w14:textId="77777777" w:rsidR="00CC2352" w:rsidRDefault="00CC2352" w:rsidP="00CD5D94">
      <w:pPr>
        <w:pStyle w:val="ListParagraph"/>
        <w:jc w:val="both"/>
        <w:rPr>
          <w:rFonts w:ascii="Arial" w:hAnsi="Arial" w:cs="Arial"/>
          <w:szCs w:val="24"/>
        </w:rPr>
      </w:pPr>
    </w:p>
    <w:p w14:paraId="3D67E163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3E5CEB" w14:textId="468BCFB1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rest of the </w:t>
      </w:r>
      <w:r w:rsidR="000B7F53">
        <w:rPr>
          <w:rFonts w:ascii="Arial" w:hAnsi="Arial" w:cs="Arial"/>
        </w:rPr>
        <w:t xml:space="preserve">trade secret </w:t>
      </w:r>
      <w:r>
        <w:rPr>
          <w:rFonts w:ascii="Arial" w:hAnsi="Arial" w:cs="Arial"/>
        </w:rPr>
        <w:t xml:space="preserve">filing workpapers for the </w:t>
      </w:r>
      <w:r w:rsidR="00331765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estimony and </w:t>
      </w:r>
      <w:r w:rsidR="00331765">
        <w:rPr>
          <w:rFonts w:ascii="Arial" w:hAnsi="Arial" w:cs="Arial"/>
        </w:rPr>
        <w:t>E</w:t>
      </w:r>
      <w:r>
        <w:rPr>
          <w:rFonts w:ascii="Arial" w:hAnsi="Arial" w:cs="Arial"/>
        </w:rPr>
        <w:t>xhibits will be provided to appropriate parties in electronic format.  This is necessary due to the volume and print ranges of the spreadsheets containing such information.</w:t>
      </w:r>
    </w:p>
    <w:p w14:paraId="547F87ED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8E5FCC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CD labeled as follows contains the trade secret information:</w:t>
      </w:r>
    </w:p>
    <w:p w14:paraId="5FFDE0A3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9FAAA7" w14:textId="77777777" w:rsidR="00CC2352" w:rsidRDefault="00CC2352" w:rsidP="00CD5D9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MFRP-1 – Filing Workpapers</w:t>
      </w:r>
    </w:p>
    <w:p w14:paraId="6D628F8C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29E79D" w14:textId="1ED131A3" w:rsidR="00CC2352" w:rsidRPr="00202E4B" w:rsidRDefault="00CC2352" w:rsidP="00CD5D94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>GPC FCR-2</w:t>
      </w:r>
      <w:r w:rsidR="006B1F1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Budget – Georgia Power Company budget (including assumptions and inputs)</w:t>
      </w:r>
    </w:p>
    <w:p w14:paraId="57A778AE" w14:textId="77777777" w:rsidR="00CC2352" w:rsidRPr="00202E4B" w:rsidRDefault="00CC2352" w:rsidP="00CD5D9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Cs w:val="24"/>
        </w:rPr>
      </w:pPr>
    </w:p>
    <w:p w14:paraId="4ECD94C9" w14:textId="2BD79C2F" w:rsidR="00CC2352" w:rsidRPr="00C40B5B" w:rsidRDefault="00CC2352" w:rsidP="00CD5D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>GPC TOU-FCR-</w:t>
      </w:r>
      <w:r w:rsidR="00CD5D94">
        <w:rPr>
          <w:rFonts w:ascii="Arial" w:hAnsi="Arial" w:cs="Arial"/>
        </w:rPr>
        <w:t>TP-</w:t>
      </w:r>
      <w:r w:rsidR="00ED7727">
        <w:rPr>
          <w:rFonts w:ascii="Arial" w:hAnsi="Arial" w:cs="Arial"/>
        </w:rPr>
        <w:t>4</w:t>
      </w:r>
      <w:r w:rsidR="00CD5D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Calculation – Time of Use rate for FCR and supporting calculations.</w:t>
      </w:r>
    </w:p>
    <w:p w14:paraId="3FD1BA3D" w14:textId="77777777" w:rsidR="00CD5D94" w:rsidRPr="00CD5D94" w:rsidRDefault="00CD5D94" w:rsidP="00CD5D94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Cs w:val="24"/>
        </w:rPr>
      </w:pPr>
    </w:p>
    <w:p w14:paraId="6BE27A1E" w14:textId="5EBAEC19" w:rsidR="00CD5D94" w:rsidRPr="00C40B5B" w:rsidRDefault="00CD5D94" w:rsidP="00CD5D9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>GPC TOU-FCR-</w:t>
      </w:r>
      <w:r w:rsidR="00ED772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Calculation – Time of Use rate for FCR and supporting calculations.</w:t>
      </w:r>
    </w:p>
    <w:p w14:paraId="6A73C76F" w14:textId="77777777" w:rsidR="00CC2352" w:rsidRDefault="00CC2352" w:rsidP="00CD5D94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Cs w:val="24"/>
        </w:rPr>
      </w:pPr>
    </w:p>
    <w:p w14:paraId="76B6D4F2" w14:textId="77777777" w:rsidR="000964BF" w:rsidRPr="00C40B5B" w:rsidRDefault="000964BF" w:rsidP="00CD5D94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Cs w:val="24"/>
        </w:rPr>
      </w:pPr>
    </w:p>
    <w:p w14:paraId="5F145022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530AE2" w14:textId="77777777" w:rsidR="007D7473" w:rsidRDefault="007D7473" w:rsidP="00CD5D94">
      <w:pPr>
        <w:jc w:val="both"/>
      </w:pPr>
    </w:p>
    <w:sectPr w:rsidR="007D7473" w:rsidSect="007B4929">
      <w:headerReference w:type="default" r:id="rId7"/>
      <w:footerReference w:type="even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BB368" w14:textId="77777777" w:rsidR="00CC2352" w:rsidRDefault="00CC2352" w:rsidP="00CC2352">
      <w:r>
        <w:separator/>
      </w:r>
    </w:p>
  </w:endnote>
  <w:endnote w:type="continuationSeparator" w:id="0">
    <w:p w14:paraId="56A7ACE0" w14:textId="77777777" w:rsidR="00CC2352" w:rsidRDefault="00CC2352" w:rsidP="00CC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6C8A" w14:textId="77777777" w:rsidR="00A42AE0" w:rsidRDefault="002329C8" w:rsidP="00A95C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24BA01" w14:textId="77777777" w:rsidR="00A42AE0" w:rsidRDefault="00BE0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5478" w14:textId="77777777" w:rsidR="00CC2352" w:rsidRDefault="00CC2352" w:rsidP="00CC2352">
      <w:r>
        <w:separator/>
      </w:r>
    </w:p>
  </w:footnote>
  <w:footnote w:type="continuationSeparator" w:id="0">
    <w:p w14:paraId="1779E628" w14:textId="77777777" w:rsidR="00CC2352" w:rsidRDefault="00CC2352" w:rsidP="00CC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E5E8" w14:textId="77777777" w:rsidR="00A42AE0" w:rsidRPr="00CC2352" w:rsidRDefault="002329C8" w:rsidP="00C65AAD">
    <w:pPr>
      <w:pStyle w:val="Header"/>
      <w:jc w:val="right"/>
      <w:rPr>
        <w:rFonts w:ascii="Arial" w:hAnsi="Arial" w:cs="Arial"/>
      </w:rPr>
    </w:pPr>
    <w:r>
      <w:tab/>
    </w:r>
    <w:r>
      <w:tab/>
    </w:r>
    <w:r w:rsidRPr="00CC2352">
      <w:rPr>
        <w:rFonts w:ascii="Arial" w:hAnsi="Arial" w:cs="Arial"/>
      </w:rPr>
      <w:t>MFRP-1</w:t>
    </w:r>
  </w:p>
  <w:p w14:paraId="7D2FB5A4" w14:textId="70BE1D51" w:rsidR="00A42AE0" w:rsidRDefault="002329C8" w:rsidP="00C65AAD">
    <w:pPr>
      <w:pStyle w:val="Header"/>
      <w:jc w:val="right"/>
    </w:pPr>
    <w:r w:rsidRPr="00CC2352">
      <w:rPr>
        <w:rFonts w:ascii="Arial" w:hAnsi="Arial" w:cs="Arial"/>
      </w:rPr>
      <w:t xml:space="preserve">Docket No. </w:t>
    </w:r>
    <w:r w:rsidR="00BE4F72">
      <w:rPr>
        <w:rFonts w:ascii="Arial" w:hAnsi="Arial" w:cs="Arial"/>
      </w:rPr>
      <w:t>44902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67F5D"/>
    <w:multiLevelType w:val="hybridMultilevel"/>
    <w:tmpl w:val="94308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F3A2B"/>
    <w:multiLevelType w:val="hybridMultilevel"/>
    <w:tmpl w:val="8272C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6910CF"/>
    <w:multiLevelType w:val="hybridMultilevel"/>
    <w:tmpl w:val="1250FA2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617372739">
    <w:abstractNumId w:val="2"/>
  </w:num>
  <w:num w:numId="2" w16cid:durableId="1792824793">
    <w:abstractNumId w:val="0"/>
  </w:num>
  <w:num w:numId="3" w16cid:durableId="559560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52"/>
    <w:rsid w:val="000964BF"/>
    <w:rsid w:val="000B7F53"/>
    <w:rsid w:val="000F78B4"/>
    <w:rsid w:val="001C2B12"/>
    <w:rsid w:val="002329C8"/>
    <w:rsid w:val="00331765"/>
    <w:rsid w:val="00574ECF"/>
    <w:rsid w:val="006116DD"/>
    <w:rsid w:val="006B1F1D"/>
    <w:rsid w:val="00753FE0"/>
    <w:rsid w:val="007C7563"/>
    <w:rsid w:val="007D7473"/>
    <w:rsid w:val="00920694"/>
    <w:rsid w:val="00A23975"/>
    <w:rsid w:val="00B71A22"/>
    <w:rsid w:val="00BB3F2D"/>
    <w:rsid w:val="00BE0EBF"/>
    <w:rsid w:val="00BE4F72"/>
    <w:rsid w:val="00CC2352"/>
    <w:rsid w:val="00CD5D94"/>
    <w:rsid w:val="00DE3C09"/>
    <w:rsid w:val="00E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48AE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3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C2352"/>
    <w:pPr>
      <w:widowControl w:val="0"/>
      <w:tabs>
        <w:tab w:val="center" w:pos="4320"/>
        <w:tab w:val="right" w:pos="8640"/>
      </w:tabs>
      <w:snapToGrid w:val="0"/>
    </w:pPr>
    <w:rPr>
      <w:rFonts w:ascii="Courier New" w:hAnsi="Courier New"/>
      <w:sz w:val="20"/>
    </w:rPr>
  </w:style>
  <w:style w:type="character" w:customStyle="1" w:styleId="FooterChar">
    <w:name w:val="Footer Char"/>
    <w:basedOn w:val="DefaultParagraphFont"/>
    <w:link w:val="Footer"/>
    <w:rsid w:val="00CC2352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rsid w:val="00CC23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C2352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C2352"/>
  </w:style>
  <w:style w:type="paragraph" w:styleId="ListParagraph">
    <w:name w:val="List Paragraph"/>
    <w:basedOn w:val="Normal"/>
    <w:uiPriority w:val="34"/>
    <w:qFormat/>
    <w:rsid w:val="00CC235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D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2023-02-27T14:13:00Z</dcterms:created>
  <dcterms:modified xsi:type="dcterms:W3CDTF">2023-02-27T14:13:00Z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