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8CAC" w14:textId="77777777" w:rsidR="00763028" w:rsidRDefault="00763028">
      <w:pPr>
        <w:pStyle w:val="BodyText"/>
        <w:spacing w:after="240"/>
        <w:rPr>
          <w:b/>
          <w:sz w:val="28"/>
          <w:szCs w:val="28"/>
        </w:rPr>
      </w:pPr>
    </w:p>
    <w:p w14:paraId="71B48CAD" w14:textId="77777777" w:rsidR="003E0982" w:rsidRPr="009C57F2" w:rsidRDefault="003E0982" w:rsidP="00AF6D53">
      <w:pPr>
        <w:pStyle w:val="BodyText"/>
        <w:spacing w:after="240"/>
        <w:rPr>
          <w:rFonts w:ascii="Times New Roman" w:hAnsi="Times New Roman"/>
          <w:b/>
          <w:color w:val="000000"/>
          <w:sz w:val="28"/>
          <w:szCs w:val="28"/>
        </w:rPr>
      </w:pPr>
      <w:r w:rsidRPr="009C57F2">
        <w:rPr>
          <w:rFonts w:ascii="Times New Roman" w:hAnsi="Times New Roman"/>
          <w:b/>
          <w:sz w:val="28"/>
          <w:szCs w:val="28"/>
        </w:rPr>
        <w:t xml:space="preserve">Fuel </w:t>
      </w:r>
      <w:r w:rsidRPr="009C57F2">
        <w:rPr>
          <w:rFonts w:ascii="Times New Roman" w:hAnsi="Times New Roman"/>
          <w:b/>
          <w:color w:val="000000"/>
          <w:sz w:val="28"/>
          <w:szCs w:val="28"/>
        </w:rPr>
        <w:t>Inventories</w:t>
      </w:r>
    </w:p>
    <w:p w14:paraId="71B48CAE" w14:textId="77777777" w:rsidR="00716B54" w:rsidRPr="009C57F2" w:rsidRDefault="00126B2F" w:rsidP="00AF6D53">
      <w:pPr>
        <w:pStyle w:val="BodyText"/>
        <w:spacing w:after="240"/>
        <w:rPr>
          <w:rFonts w:ascii="Times New Roman" w:hAnsi="Times New Roman"/>
          <w:b/>
          <w:color w:val="000000"/>
        </w:rPr>
      </w:pPr>
      <w:r w:rsidRPr="009C57F2">
        <w:rPr>
          <w:rFonts w:ascii="Times New Roman" w:hAnsi="Times New Roman"/>
          <w:b/>
          <w:color w:val="000000"/>
        </w:rPr>
        <w:t>Assumptions S</w:t>
      </w:r>
      <w:r w:rsidR="005E4C6E" w:rsidRPr="009C57F2">
        <w:rPr>
          <w:rFonts w:ascii="Times New Roman" w:hAnsi="Times New Roman"/>
          <w:b/>
          <w:color w:val="000000"/>
        </w:rPr>
        <w:t>upport</w:t>
      </w:r>
      <w:r w:rsidRPr="009C57F2">
        <w:rPr>
          <w:rFonts w:ascii="Times New Roman" w:hAnsi="Times New Roman"/>
          <w:b/>
          <w:color w:val="000000"/>
        </w:rPr>
        <w:t>ing Estimated Inventory Values</w:t>
      </w:r>
      <w:r w:rsidR="006F051F" w:rsidRPr="009C57F2">
        <w:rPr>
          <w:rFonts w:ascii="Times New Roman" w:hAnsi="Times New Roman"/>
          <w:b/>
          <w:color w:val="000000"/>
        </w:rPr>
        <w:t xml:space="preserve"> </w:t>
      </w:r>
    </w:p>
    <w:p w14:paraId="71B48CAF" w14:textId="77777777" w:rsidR="00F874D3" w:rsidRPr="009C57F2" w:rsidRDefault="00831B3A" w:rsidP="00AF6D53">
      <w:pPr>
        <w:jc w:val="both"/>
        <w:rPr>
          <w:color w:val="000000"/>
        </w:rPr>
      </w:pPr>
      <w:r w:rsidRPr="009C57F2">
        <w:rPr>
          <w:color w:val="000000"/>
        </w:rPr>
        <w:t xml:space="preserve">The estimated </w:t>
      </w:r>
      <w:r w:rsidR="00014229" w:rsidRPr="009C57F2">
        <w:rPr>
          <w:color w:val="000000"/>
        </w:rPr>
        <w:t xml:space="preserve">coal </w:t>
      </w:r>
      <w:r w:rsidR="00842FB5" w:rsidRPr="009C57F2">
        <w:rPr>
          <w:color w:val="000000"/>
        </w:rPr>
        <w:t xml:space="preserve">and oil </w:t>
      </w:r>
      <w:r w:rsidRPr="009C57F2">
        <w:rPr>
          <w:color w:val="000000"/>
        </w:rPr>
        <w:t>inventory values are projected in the budget model</w:t>
      </w:r>
      <w:r w:rsidR="00247130" w:rsidRPr="009C57F2">
        <w:rPr>
          <w:color w:val="000000"/>
        </w:rPr>
        <w:t>. They include the latest available stockpile information</w:t>
      </w:r>
      <w:r w:rsidRPr="009C57F2">
        <w:rPr>
          <w:color w:val="000000"/>
        </w:rPr>
        <w:t xml:space="preserve"> and are based on the following inputs:</w:t>
      </w:r>
    </w:p>
    <w:p w14:paraId="71B48CB0" w14:textId="77777777" w:rsidR="00763028" w:rsidRPr="009C57F2" w:rsidRDefault="00763028" w:rsidP="00AF6D53">
      <w:pPr>
        <w:jc w:val="both"/>
        <w:rPr>
          <w:color w:val="000000"/>
        </w:rPr>
      </w:pPr>
    </w:p>
    <w:p w14:paraId="27DCEBD4" w14:textId="4134AEC0" w:rsidR="007379C3" w:rsidRPr="009C57F2" w:rsidRDefault="001E3B0E" w:rsidP="00AF6D53">
      <w:pPr>
        <w:numPr>
          <w:ilvl w:val="0"/>
          <w:numId w:val="3"/>
        </w:numPr>
        <w:jc w:val="both"/>
        <w:rPr>
          <w:color w:val="000000"/>
        </w:rPr>
      </w:pPr>
      <w:r w:rsidRPr="009C57F2">
        <w:rPr>
          <w:color w:val="000000"/>
        </w:rPr>
        <w:t>E</w:t>
      </w:r>
      <w:r w:rsidR="00831B3A" w:rsidRPr="009C57F2">
        <w:rPr>
          <w:color w:val="000000"/>
        </w:rPr>
        <w:t>nding inventory levels (tons</w:t>
      </w:r>
      <w:r w:rsidR="00B55694" w:rsidRPr="009C57F2">
        <w:rPr>
          <w:color w:val="000000"/>
        </w:rPr>
        <w:t xml:space="preserve"> or gallons</w:t>
      </w:r>
      <w:r w:rsidR="00831B3A" w:rsidRPr="009C57F2">
        <w:rPr>
          <w:color w:val="000000"/>
        </w:rPr>
        <w:t>)</w:t>
      </w:r>
      <w:r w:rsidRPr="009C57F2">
        <w:rPr>
          <w:color w:val="000000"/>
        </w:rPr>
        <w:t xml:space="preserve"> from the month of </w:t>
      </w:r>
      <w:r w:rsidR="009D569A" w:rsidRPr="009C57F2">
        <w:rPr>
          <w:color w:val="000000"/>
        </w:rPr>
        <w:t>August</w:t>
      </w:r>
      <w:r w:rsidR="000B66C0" w:rsidRPr="009C57F2">
        <w:rPr>
          <w:color w:val="000000"/>
        </w:rPr>
        <w:t xml:space="preserve"> 20</w:t>
      </w:r>
      <w:r w:rsidR="00DD2D80" w:rsidRPr="009C57F2">
        <w:rPr>
          <w:color w:val="000000"/>
        </w:rPr>
        <w:t>22</w:t>
      </w:r>
    </w:p>
    <w:p w14:paraId="5E356B15" w14:textId="4A6788E5" w:rsidR="007379C3" w:rsidRPr="009C57F2" w:rsidRDefault="001E3B0E" w:rsidP="00AF6D53">
      <w:pPr>
        <w:numPr>
          <w:ilvl w:val="0"/>
          <w:numId w:val="3"/>
        </w:numPr>
        <w:jc w:val="both"/>
        <w:rPr>
          <w:color w:val="000000"/>
        </w:rPr>
      </w:pPr>
      <w:r w:rsidRPr="009C57F2">
        <w:rPr>
          <w:color w:val="000000"/>
        </w:rPr>
        <w:t>E</w:t>
      </w:r>
      <w:r w:rsidR="00831B3A" w:rsidRPr="009C57F2">
        <w:rPr>
          <w:color w:val="000000"/>
        </w:rPr>
        <w:t>nding inventory values ($/ton</w:t>
      </w:r>
      <w:r w:rsidR="00B55694" w:rsidRPr="009C57F2">
        <w:rPr>
          <w:color w:val="000000"/>
        </w:rPr>
        <w:t xml:space="preserve"> or $/gallon</w:t>
      </w:r>
      <w:r w:rsidR="00831B3A" w:rsidRPr="009C57F2">
        <w:rPr>
          <w:color w:val="000000"/>
        </w:rPr>
        <w:t>)</w:t>
      </w:r>
      <w:r w:rsidRPr="009C57F2">
        <w:rPr>
          <w:color w:val="000000"/>
        </w:rPr>
        <w:t xml:space="preserve"> from the month of </w:t>
      </w:r>
      <w:r w:rsidR="009D569A" w:rsidRPr="009C57F2">
        <w:rPr>
          <w:color w:val="000000"/>
        </w:rPr>
        <w:t>August</w:t>
      </w:r>
      <w:r w:rsidR="000B66C0" w:rsidRPr="009C57F2">
        <w:rPr>
          <w:color w:val="000000"/>
        </w:rPr>
        <w:t xml:space="preserve"> 20</w:t>
      </w:r>
      <w:r w:rsidR="00DD2D80" w:rsidRPr="009C57F2">
        <w:rPr>
          <w:color w:val="000000"/>
        </w:rPr>
        <w:t>22</w:t>
      </w:r>
    </w:p>
    <w:p w14:paraId="71B48CB3" w14:textId="0A1F3E18" w:rsidR="00645AE5" w:rsidRPr="009C57F2" w:rsidRDefault="00645AE5" w:rsidP="00AF6D53">
      <w:pPr>
        <w:numPr>
          <w:ilvl w:val="0"/>
          <w:numId w:val="3"/>
        </w:numPr>
        <w:jc w:val="both"/>
        <w:rPr>
          <w:color w:val="000000"/>
        </w:rPr>
      </w:pPr>
      <w:r w:rsidRPr="009C57F2">
        <w:rPr>
          <w:color w:val="000000"/>
        </w:rPr>
        <w:t>Coal inv</w:t>
      </w:r>
      <w:r w:rsidR="00B058A0" w:rsidRPr="009C57F2">
        <w:rPr>
          <w:color w:val="000000"/>
        </w:rPr>
        <w:t xml:space="preserve">entory qualities </w:t>
      </w:r>
      <w:r w:rsidRPr="009C57F2">
        <w:rPr>
          <w:color w:val="000000"/>
        </w:rPr>
        <w:t xml:space="preserve">based on a </w:t>
      </w:r>
      <w:r w:rsidR="002B6A4A" w:rsidRPr="009C57F2">
        <w:rPr>
          <w:color w:val="000000"/>
        </w:rPr>
        <w:t>three-month</w:t>
      </w:r>
      <w:r w:rsidRPr="009C57F2">
        <w:rPr>
          <w:color w:val="000000"/>
        </w:rPr>
        <w:t xml:space="preserve"> approximation of the quality of coal being added to the pile.</w:t>
      </w:r>
    </w:p>
    <w:p w14:paraId="71B48CB4" w14:textId="3C8F6E76" w:rsidR="00CF7A1D" w:rsidRPr="009C57F2" w:rsidRDefault="00CF7A1D" w:rsidP="00AF6D53">
      <w:pPr>
        <w:numPr>
          <w:ilvl w:val="0"/>
          <w:numId w:val="3"/>
        </w:numPr>
        <w:jc w:val="both"/>
        <w:rPr>
          <w:color w:val="000000"/>
        </w:rPr>
      </w:pPr>
      <w:r w:rsidRPr="009C57F2">
        <w:rPr>
          <w:color w:val="000000"/>
        </w:rPr>
        <w:t>Inventory Target levels as noted in MFRP</w:t>
      </w:r>
      <w:r w:rsidR="00E67BD4" w:rsidRPr="009C57F2">
        <w:rPr>
          <w:color w:val="000000"/>
        </w:rPr>
        <w:t>–3.1</w:t>
      </w:r>
    </w:p>
    <w:p w14:paraId="71B48CB5" w14:textId="77777777" w:rsidR="00D50661" w:rsidRPr="009C57F2" w:rsidRDefault="00D50661" w:rsidP="00AF6D53">
      <w:pPr>
        <w:jc w:val="both"/>
        <w:rPr>
          <w:color w:val="000000"/>
        </w:rPr>
      </w:pPr>
    </w:p>
    <w:p w14:paraId="71B48CB6" w14:textId="77777777" w:rsidR="00014229" w:rsidRPr="009C57F2" w:rsidRDefault="00D50661" w:rsidP="00AF6D53">
      <w:pPr>
        <w:jc w:val="both"/>
        <w:rPr>
          <w:color w:val="000000"/>
        </w:rPr>
      </w:pPr>
      <w:r w:rsidRPr="009C57F2">
        <w:rPr>
          <w:color w:val="000000"/>
        </w:rPr>
        <w:t>Coal and oil inventory levels are dynamic and change monthly based on the following parameters:</w:t>
      </w:r>
    </w:p>
    <w:p w14:paraId="71B48CB7" w14:textId="77777777" w:rsidR="00E67BD4" w:rsidRPr="009C57F2" w:rsidRDefault="00E67BD4" w:rsidP="00AF6D53">
      <w:pPr>
        <w:jc w:val="both"/>
        <w:rPr>
          <w:color w:val="000000"/>
        </w:rPr>
      </w:pPr>
    </w:p>
    <w:p w14:paraId="71B48CB9" w14:textId="26F6C273" w:rsidR="00E67BD4" w:rsidRPr="009C57F2" w:rsidRDefault="00E67BD4" w:rsidP="00AF6D53">
      <w:pPr>
        <w:numPr>
          <w:ilvl w:val="0"/>
          <w:numId w:val="4"/>
        </w:numPr>
        <w:jc w:val="both"/>
        <w:rPr>
          <w:color w:val="000000"/>
        </w:rPr>
      </w:pPr>
      <w:r w:rsidRPr="009C57F2">
        <w:rPr>
          <w:color w:val="000000"/>
        </w:rPr>
        <w:t>Fuel Burns as noted in MFRP–6.2</w:t>
      </w:r>
    </w:p>
    <w:p w14:paraId="17EDE55B" w14:textId="77777777" w:rsidR="001E7315" w:rsidRPr="009C57F2" w:rsidRDefault="001E7315" w:rsidP="001E7315">
      <w:pPr>
        <w:numPr>
          <w:ilvl w:val="0"/>
          <w:numId w:val="4"/>
        </w:numPr>
        <w:jc w:val="both"/>
        <w:rPr>
          <w:color w:val="000000"/>
        </w:rPr>
      </w:pPr>
      <w:r w:rsidRPr="009C57F2">
        <w:rPr>
          <w:color w:val="000000"/>
        </w:rPr>
        <w:t>Fuel Purchases as noted in MFRP–6.3</w:t>
      </w:r>
    </w:p>
    <w:p w14:paraId="71B48CBA" w14:textId="77777777" w:rsidR="00E67BD4" w:rsidRPr="009C57F2" w:rsidRDefault="00E67BD4" w:rsidP="00AF6D53">
      <w:pPr>
        <w:jc w:val="both"/>
        <w:rPr>
          <w:color w:val="000000"/>
        </w:rPr>
      </w:pPr>
    </w:p>
    <w:p w14:paraId="71B48CBB" w14:textId="077D9CBA" w:rsidR="00E67BD4" w:rsidRPr="009C57F2" w:rsidRDefault="00E67BD4" w:rsidP="00AF6D53">
      <w:pPr>
        <w:jc w:val="both"/>
        <w:rPr>
          <w:color w:val="000000"/>
        </w:rPr>
      </w:pPr>
      <w:r w:rsidRPr="1C8A1921">
        <w:rPr>
          <w:color w:val="000000" w:themeColor="text1"/>
        </w:rPr>
        <w:t>Ph</w:t>
      </w:r>
      <w:r w:rsidR="008E553D" w:rsidRPr="1C8A1921">
        <w:rPr>
          <w:color w:val="000000" w:themeColor="text1"/>
        </w:rPr>
        <w:t xml:space="preserve">ysical </w:t>
      </w:r>
      <w:r w:rsidR="004E66A1" w:rsidRPr="1C8A1921">
        <w:rPr>
          <w:color w:val="000000" w:themeColor="text1"/>
        </w:rPr>
        <w:t xml:space="preserve">natural </w:t>
      </w:r>
      <w:r w:rsidR="008E553D" w:rsidRPr="1C8A1921">
        <w:rPr>
          <w:color w:val="000000" w:themeColor="text1"/>
        </w:rPr>
        <w:t xml:space="preserve">gas </w:t>
      </w:r>
      <w:r w:rsidR="00842FB5" w:rsidRPr="1C8A1921">
        <w:rPr>
          <w:color w:val="000000" w:themeColor="text1"/>
        </w:rPr>
        <w:t xml:space="preserve">storage capacity is allocated </w:t>
      </w:r>
      <w:r w:rsidR="00B55694" w:rsidRPr="1C8A1921">
        <w:rPr>
          <w:color w:val="000000" w:themeColor="text1"/>
        </w:rPr>
        <w:t xml:space="preserve">for all </w:t>
      </w:r>
      <w:r w:rsidR="00842FB5" w:rsidRPr="1C8A1921">
        <w:rPr>
          <w:color w:val="000000" w:themeColor="text1"/>
        </w:rPr>
        <w:t>affected generating unit</w:t>
      </w:r>
      <w:r w:rsidR="00B55694" w:rsidRPr="1C8A1921">
        <w:rPr>
          <w:color w:val="000000" w:themeColor="text1"/>
        </w:rPr>
        <w:t>s</w:t>
      </w:r>
      <w:r w:rsidR="00842FB5" w:rsidRPr="1C8A1921">
        <w:rPr>
          <w:color w:val="000000" w:themeColor="text1"/>
        </w:rPr>
        <w:t xml:space="preserve"> b</w:t>
      </w:r>
      <w:r w:rsidR="00384780" w:rsidRPr="1C8A1921">
        <w:rPr>
          <w:color w:val="000000" w:themeColor="text1"/>
        </w:rPr>
        <w:t xml:space="preserve">ased on fifteen (15) days burn. Monthly </w:t>
      </w:r>
      <w:r w:rsidR="004E66A1" w:rsidRPr="1C8A1921">
        <w:rPr>
          <w:color w:val="000000" w:themeColor="text1"/>
        </w:rPr>
        <w:t xml:space="preserve">natural gas </w:t>
      </w:r>
      <w:r w:rsidR="00384780" w:rsidRPr="1C8A1921">
        <w:rPr>
          <w:color w:val="000000" w:themeColor="text1"/>
        </w:rPr>
        <w:t xml:space="preserve">storage </w:t>
      </w:r>
      <w:r w:rsidR="004E66A1" w:rsidRPr="1C8A1921">
        <w:rPr>
          <w:color w:val="000000" w:themeColor="text1"/>
        </w:rPr>
        <w:t xml:space="preserve">target </w:t>
      </w:r>
      <w:r w:rsidR="00384780" w:rsidRPr="1C8A1921">
        <w:rPr>
          <w:color w:val="000000" w:themeColor="text1"/>
        </w:rPr>
        <w:t xml:space="preserve">levels are developed based on a seasonal percentage of the </w:t>
      </w:r>
      <w:r w:rsidR="00233048" w:rsidRPr="1C8A1921">
        <w:rPr>
          <w:color w:val="000000" w:themeColor="text1"/>
        </w:rPr>
        <w:t xml:space="preserve">total </w:t>
      </w:r>
      <w:r w:rsidR="00384780" w:rsidRPr="1C8A1921">
        <w:rPr>
          <w:color w:val="000000" w:themeColor="text1"/>
        </w:rPr>
        <w:t xml:space="preserve">capacity required to meet </w:t>
      </w:r>
      <w:r w:rsidR="00B55694" w:rsidRPr="1C8A1921">
        <w:rPr>
          <w:color w:val="000000" w:themeColor="text1"/>
        </w:rPr>
        <w:t>operational needs</w:t>
      </w:r>
      <w:r w:rsidR="00384780" w:rsidRPr="1C8A1921">
        <w:rPr>
          <w:color w:val="000000" w:themeColor="text1"/>
        </w:rPr>
        <w:t xml:space="preserve">. The model </w:t>
      </w:r>
      <w:r w:rsidR="00233048" w:rsidRPr="1C8A1921">
        <w:rPr>
          <w:color w:val="000000" w:themeColor="text1"/>
        </w:rPr>
        <w:t xml:space="preserve">then </w:t>
      </w:r>
      <w:r w:rsidR="00384780" w:rsidRPr="1C8A1921">
        <w:rPr>
          <w:color w:val="000000" w:themeColor="text1"/>
        </w:rPr>
        <w:t>values each monthly forecast qua</w:t>
      </w:r>
      <w:r w:rsidR="004E66A1" w:rsidRPr="1C8A1921">
        <w:rPr>
          <w:color w:val="000000" w:themeColor="text1"/>
        </w:rPr>
        <w:t xml:space="preserve">ntity based on the monthly gas price </w:t>
      </w:r>
      <w:r w:rsidR="00233048" w:rsidRPr="1C8A1921">
        <w:rPr>
          <w:color w:val="000000" w:themeColor="text1"/>
        </w:rPr>
        <w:t xml:space="preserve">forecast for gas delivered to the specific </w:t>
      </w:r>
      <w:r w:rsidR="004E66A1" w:rsidRPr="1C8A1921">
        <w:rPr>
          <w:color w:val="000000" w:themeColor="text1"/>
        </w:rPr>
        <w:t>storage facility.</w:t>
      </w:r>
      <w:r w:rsidR="00384780" w:rsidRPr="1C8A1921">
        <w:rPr>
          <w:color w:val="000000" w:themeColor="text1"/>
        </w:rPr>
        <w:t xml:space="preserve">  </w:t>
      </w:r>
      <w:r w:rsidR="008E553D" w:rsidRPr="1C8A1921">
        <w:rPr>
          <w:color w:val="000000" w:themeColor="text1"/>
        </w:rPr>
        <w:t xml:space="preserve">  </w:t>
      </w:r>
    </w:p>
    <w:p w14:paraId="71B48CBC" w14:textId="77777777" w:rsidR="00E67BD4" w:rsidRDefault="00E67BD4" w:rsidP="00AF6D53">
      <w:pPr>
        <w:jc w:val="both"/>
        <w:rPr>
          <w:rFonts w:ascii="Arial" w:hAnsi="Arial" w:cs="Arial"/>
          <w:color w:val="000000"/>
        </w:rPr>
      </w:pPr>
    </w:p>
    <w:p w14:paraId="71B48CBD" w14:textId="77777777" w:rsidR="00E67BD4" w:rsidRPr="00831B3A" w:rsidRDefault="00E67BD4" w:rsidP="00AF6D53">
      <w:pPr>
        <w:jc w:val="both"/>
        <w:rPr>
          <w:rFonts w:ascii="Arial" w:hAnsi="Arial" w:cs="Arial"/>
          <w:color w:val="000000"/>
        </w:rPr>
      </w:pPr>
    </w:p>
    <w:sectPr w:rsidR="00E67BD4" w:rsidRPr="00831B3A" w:rsidSect="00CA7445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48CC0" w14:textId="77777777" w:rsidR="00BF30B7" w:rsidRDefault="00BF30B7">
      <w:r>
        <w:separator/>
      </w:r>
    </w:p>
  </w:endnote>
  <w:endnote w:type="continuationSeparator" w:id="0">
    <w:p w14:paraId="71B48CC1" w14:textId="77777777" w:rsidR="00BF30B7" w:rsidRDefault="00BF3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48CBE" w14:textId="77777777" w:rsidR="00BF30B7" w:rsidRDefault="00BF30B7">
      <w:r>
        <w:separator/>
      </w:r>
    </w:p>
  </w:footnote>
  <w:footnote w:type="continuationSeparator" w:id="0">
    <w:p w14:paraId="71B48CBF" w14:textId="77777777" w:rsidR="00BF30B7" w:rsidRDefault="00BF3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48CC3" w14:textId="77777777" w:rsidR="00C7188A" w:rsidRDefault="00C7188A" w:rsidP="005E4C6E">
    <w:pPr>
      <w:pStyle w:val="Header"/>
      <w:jc w:val="right"/>
      <w:rPr>
        <w:b/>
      </w:rPr>
    </w:pPr>
    <w:r w:rsidRPr="005E4C6E">
      <w:rPr>
        <w:b/>
      </w:rPr>
      <w:t>MFRP-</w:t>
    </w:r>
    <w:r>
      <w:rPr>
        <w:b/>
      </w:rPr>
      <w:t>3.2</w:t>
    </w:r>
  </w:p>
  <w:p w14:paraId="71B48CC4" w14:textId="3AD22AB5" w:rsidR="00C7188A" w:rsidRPr="005E4C6E" w:rsidRDefault="00C7188A" w:rsidP="005E4C6E">
    <w:pPr>
      <w:pStyle w:val="Header"/>
      <w:jc w:val="right"/>
      <w:rPr>
        <w:b/>
      </w:rPr>
    </w:pPr>
    <w:r>
      <w:rPr>
        <w:b/>
      </w:rPr>
      <w:t>Docket No</w:t>
    </w:r>
    <w:r w:rsidR="00662C95">
      <w:rPr>
        <w:b/>
      </w:rPr>
      <w:t xml:space="preserve">. </w:t>
    </w:r>
    <w:r w:rsidR="008E496C">
      <w:rPr>
        <w:b/>
      </w:rPr>
      <w:t>44902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FB10DF"/>
    <w:multiLevelType w:val="hybridMultilevel"/>
    <w:tmpl w:val="CE8A2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52ED8"/>
    <w:multiLevelType w:val="hybridMultilevel"/>
    <w:tmpl w:val="85B2A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E71DB9"/>
    <w:multiLevelType w:val="multilevel"/>
    <w:tmpl w:val="FC4801F8"/>
    <w:lvl w:ilvl="0">
      <w:start w:val="1"/>
      <w:numFmt w:val="decimal"/>
      <w:lvlText w:val="STF-2-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62092E3B"/>
    <w:multiLevelType w:val="hybridMultilevel"/>
    <w:tmpl w:val="5A2A53F8"/>
    <w:lvl w:ilvl="0" w:tplc="053AE42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4584356">
    <w:abstractNumId w:val="2"/>
  </w:num>
  <w:num w:numId="2" w16cid:durableId="1106733524">
    <w:abstractNumId w:val="3"/>
  </w:num>
  <w:num w:numId="3" w16cid:durableId="1436360541">
    <w:abstractNumId w:val="1"/>
  </w:num>
  <w:num w:numId="4" w16cid:durableId="1160852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CFB"/>
    <w:rsid w:val="00010E6B"/>
    <w:rsid w:val="00014229"/>
    <w:rsid w:val="000174B1"/>
    <w:rsid w:val="00040E53"/>
    <w:rsid w:val="000762A8"/>
    <w:rsid w:val="000B66C0"/>
    <w:rsid w:val="000C0804"/>
    <w:rsid w:val="00112148"/>
    <w:rsid w:val="0012405B"/>
    <w:rsid w:val="00126B2F"/>
    <w:rsid w:val="00171EDB"/>
    <w:rsid w:val="00182B2D"/>
    <w:rsid w:val="00183BF5"/>
    <w:rsid w:val="001B5A90"/>
    <w:rsid w:val="001B6180"/>
    <w:rsid w:val="001C0A76"/>
    <w:rsid w:val="001E06FA"/>
    <w:rsid w:val="001E3B0E"/>
    <w:rsid w:val="001E7315"/>
    <w:rsid w:val="00227B7D"/>
    <w:rsid w:val="00233048"/>
    <w:rsid w:val="002441BC"/>
    <w:rsid w:val="00247130"/>
    <w:rsid w:val="0025601F"/>
    <w:rsid w:val="0028141A"/>
    <w:rsid w:val="002827CE"/>
    <w:rsid w:val="00283098"/>
    <w:rsid w:val="002B6A4A"/>
    <w:rsid w:val="002C1954"/>
    <w:rsid w:val="002F1298"/>
    <w:rsid w:val="00334885"/>
    <w:rsid w:val="003435C4"/>
    <w:rsid w:val="00356B7C"/>
    <w:rsid w:val="00384780"/>
    <w:rsid w:val="0039182F"/>
    <w:rsid w:val="003B72A4"/>
    <w:rsid w:val="003C1617"/>
    <w:rsid w:val="003E0982"/>
    <w:rsid w:val="00423B0B"/>
    <w:rsid w:val="0043349B"/>
    <w:rsid w:val="00477B4B"/>
    <w:rsid w:val="00494D41"/>
    <w:rsid w:val="00496CB3"/>
    <w:rsid w:val="004B5CAC"/>
    <w:rsid w:val="004E4110"/>
    <w:rsid w:val="004E66A1"/>
    <w:rsid w:val="00531072"/>
    <w:rsid w:val="00536F18"/>
    <w:rsid w:val="00556C3F"/>
    <w:rsid w:val="005E4C6E"/>
    <w:rsid w:val="00603A3D"/>
    <w:rsid w:val="006339C7"/>
    <w:rsid w:val="00645AE5"/>
    <w:rsid w:val="00662C95"/>
    <w:rsid w:val="00682483"/>
    <w:rsid w:val="00686CFB"/>
    <w:rsid w:val="006D3D77"/>
    <w:rsid w:val="006E7B18"/>
    <w:rsid w:val="006F051F"/>
    <w:rsid w:val="006F38AC"/>
    <w:rsid w:val="006F75A2"/>
    <w:rsid w:val="00716B54"/>
    <w:rsid w:val="007262D5"/>
    <w:rsid w:val="007379C3"/>
    <w:rsid w:val="007450B2"/>
    <w:rsid w:val="007456D2"/>
    <w:rsid w:val="00763028"/>
    <w:rsid w:val="0077198B"/>
    <w:rsid w:val="008110ED"/>
    <w:rsid w:val="00831A6E"/>
    <w:rsid w:val="00831B3A"/>
    <w:rsid w:val="00842235"/>
    <w:rsid w:val="00842FB5"/>
    <w:rsid w:val="0087323F"/>
    <w:rsid w:val="008918E2"/>
    <w:rsid w:val="008A4B79"/>
    <w:rsid w:val="008A4D28"/>
    <w:rsid w:val="008E496C"/>
    <w:rsid w:val="008E553D"/>
    <w:rsid w:val="008F7C49"/>
    <w:rsid w:val="0093402E"/>
    <w:rsid w:val="00937B24"/>
    <w:rsid w:val="00944213"/>
    <w:rsid w:val="00964497"/>
    <w:rsid w:val="0096472E"/>
    <w:rsid w:val="009C57F2"/>
    <w:rsid w:val="009D2976"/>
    <w:rsid w:val="009D569A"/>
    <w:rsid w:val="009E3875"/>
    <w:rsid w:val="00A10260"/>
    <w:rsid w:val="00A467D6"/>
    <w:rsid w:val="00A51303"/>
    <w:rsid w:val="00A575B2"/>
    <w:rsid w:val="00A63CA2"/>
    <w:rsid w:val="00A9283B"/>
    <w:rsid w:val="00A96277"/>
    <w:rsid w:val="00AA5711"/>
    <w:rsid w:val="00AA73DF"/>
    <w:rsid w:val="00AF2880"/>
    <w:rsid w:val="00AF6D53"/>
    <w:rsid w:val="00B058A0"/>
    <w:rsid w:val="00B129F1"/>
    <w:rsid w:val="00B55694"/>
    <w:rsid w:val="00B61415"/>
    <w:rsid w:val="00BC6A70"/>
    <w:rsid w:val="00BD7BA9"/>
    <w:rsid w:val="00BF30B7"/>
    <w:rsid w:val="00C17CB5"/>
    <w:rsid w:val="00C544A3"/>
    <w:rsid w:val="00C61B84"/>
    <w:rsid w:val="00C7188A"/>
    <w:rsid w:val="00C7795C"/>
    <w:rsid w:val="00C81499"/>
    <w:rsid w:val="00CA7445"/>
    <w:rsid w:val="00CF7A1D"/>
    <w:rsid w:val="00D218BE"/>
    <w:rsid w:val="00D2749F"/>
    <w:rsid w:val="00D33BAA"/>
    <w:rsid w:val="00D341F6"/>
    <w:rsid w:val="00D50661"/>
    <w:rsid w:val="00D66067"/>
    <w:rsid w:val="00DC3A10"/>
    <w:rsid w:val="00DD2D80"/>
    <w:rsid w:val="00DE4DEF"/>
    <w:rsid w:val="00E56FB7"/>
    <w:rsid w:val="00E62347"/>
    <w:rsid w:val="00E67BD4"/>
    <w:rsid w:val="00F603B8"/>
    <w:rsid w:val="00F874D3"/>
    <w:rsid w:val="00F90EA4"/>
    <w:rsid w:val="00F937A8"/>
    <w:rsid w:val="1C8A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71B48C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7445"/>
    <w:rPr>
      <w:sz w:val="24"/>
      <w:szCs w:val="24"/>
    </w:rPr>
  </w:style>
  <w:style w:type="paragraph" w:styleId="Heading2">
    <w:name w:val="heading 2"/>
    <w:basedOn w:val="Normal"/>
    <w:next w:val="Normal"/>
    <w:qFormat/>
    <w:rsid w:val="00CA7445"/>
    <w:pPr>
      <w:keepNext/>
      <w:outlineLvl w:val="1"/>
    </w:pPr>
    <w:rPr>
      <w:rFonts w:ascii="Arial" w:hAnsi="Arial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744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A744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CA7445"/>
    <w:pPr>
      <w:jc w:val="both"/>
    </w:pPr>
    <w:rPr>
      <w:rFonts w:ascii="Arial" w:hAnsi="Arial"/>
      <w:szCs w:val="20"/>
    </w:rPr>
  </w:style>
  <w:style w:type="paragraph" w:styleId="BodyText2">
    <w:name w:val="Body Text 2"/>
    <w:basedOn w:val="Normal"/>
    <w:rsid w:val="00CA7445"/>
    <w:pPr>
      <w:spacing w:after="120" w:line="480" w:lineRule="auto"/>
    </w:pPr>
  </w:style>
  <w:style w:type="paragraph" w:styleId="BalloonText">
    <w:name w:val="Balloon Text"/>
    <w:basedOn w:val="Normal"/>
    <w:link w:val="BalloonTextChar"/>
    <w:rsid w:val="00C61B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1B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950</Characters>
  <Application>Microsoft Office Word</Application>
  <DocSecurity>0</DocSecurity>
  <Lines>7</Lines>
  <Paragraphs>2</Paragraphs>
  <ScaleCrop>false</ScaleCrop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2023-02-27T14:15:00Z</dcterms:created>
  <dcterms:modified xsi:type="dcterms:W3CDTF">2023-02-27T14:15:00Z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