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8C3AE" w14:textId="77777777" w:rsidR="00716B54" w:rsidRPr="00BF17BD" w:rsidRDefault="005E4C6E">
      <w:pPr>
        <w:pStyle w:val="BodyText"/>
        <w:spacing w:after="240"/>
        <w:rPr>
          <w:rFonts w:ascii="Times New Roman" w:hAnsi="Times New Roman"/>
          <w:b/>
          <w:color w:val="FF0000"/>
        </w:rPr>
      </w:pPr>
      <w:r w:rsidRPr="00BF17BD">
        <w:rPr>
          <w:rFonts w:ascii="Times New Roman" w:hAnsi="Times New Roman"/>
          <w:b/>
        </w:rPr>
        <w:t xml:space="preserve">Support for </w:t>
      </w:r>
      <w:r w:rsidR="00AF2880" w:rsidRPr="00BF17BD">
        <w:rPr>
          <w:rFonts w:ascii="Times New Roman" w:hAnsi="Times New Roman"/>
          <w:b/>
        </w:rPr>
        <w:t>Gas and Oil</w:t>
      </w:r>
      <w:r w:rsidRPr="00BF17BD">
        <w:rPr>
          <w:rFonts w:ascii="Times New Roman" w:hAnsi="Times New Roman"/>
          <w:b/>
        </w:rPr>
        <w:t xml:space="preserve"> Marginal Replace</w:t>
      </w:r>
      <w:r w:rsidR="009E3875" w:rsidRPr="00BF17BD">
        <w:rPr>
          <w:rFonts w:ascii="Times New Roman" w:hAnsi="Times New Roman"/>
          <w:b/>
        </w:rPr>
        <w:t>ment</w:t>
      </w:r>
      <w:r w:rsidRPr="00BF17BD">
        <w:rPr>
          <w:rFonts w:ascii="Times New Roman" w:hAnsi="Times New Roman"/>
          <w:b/>
        </w:rPr>
        <w:t xml:space="preserve"> Fuel Costs</w:t>
      </w:r>
      <w:r w:rsidR="006F051F" w:rsidRPr="00BF17BD">
        <w:rPr>
          <w:rFonts w:ascii="Times New Roman" w:hAnsi="Times New Roman"/>
          <w:b/>
        </w:rPr>
        <w:t xml:space="preserve"> </w:t>
      </w:r>
    </w:p>
    <w:p w14:paraId="12F01A65" w14:textId="39C8240E" w:rsidR="00AE4E4B" w:rsidRPr="00BF17BD" w:rsidRDefault="00AE4E4B" w:rsidP="005D612E">
      <w:pPr>
        <w:jc w:val="both"/>
      </w:pPr>
      <w:r>
        <w:t xml:space="preserve">The marginal replacement cost for gas reflects our </w:t>
      </w:r>
      <w:r w:rsidR="007A534E">
        <w:t>September</w:t>
      </w:r>
      <w:r>
        <w:t xml:space="preserve"> </w:t>
      </w:r>
      <w:r w:rsidR="00567B06">
        <w:t>20</w:t>
      </w:r>
      <w:r w:rsidR="6C3579F6">
        <w:t>22</w:t>
      </w:r>
      <w:r w:rsidR="00567B06">
        <w:t xml:space="preserve"> </w:t>
      </w:r>
      <w:r>
        <w:t>DEPS forecast, which used the 20</w:t>
      </w:r>
      <w:r w:rsidR="007243E8">
        <w:t>-</w:t>
      </w:r>
      <w:r>
        <w:t xml:space="preserve">day average NYMEX futures settlement prices for the period </w:t>
      </w:r>
      <w:r w:rsidR="00C67967">
        <w:t>8</w:t>
      </w:r>
      <w:r w:rsidR="00567B06">
        <w:t>/</w:t>
      </w:r>
      <w:r w:rsidR="00C67967">
        <w:t>8</w:t>
      </w:r>
      <w:r>
        <w:t>/20</w:t>
      </w:r>
      <w:r w:rsidR="00C67967">
        <w:t>22</w:t>
      </w:r>
      <w:r>
        <w:t xml:space="preserve"> – </w:t>
      </w:r>
      <w:r w:rsidR="00C67967">
        <w:t>9</w:t>
      </w:r>
      <w:r w:rsidR="00567B06">
        <w:t>/2</w:t>
      </w:r>
      <w:r>
        <w:t>/20</w:t>
      </w:r>
      <w:r w:rsidR="00C67967">
        <w:t>22</w:t>
      </w:r>
      <w:r>
        <w:t>. The 20</w:t>
      </w:r>
      <w:r w:rsidR="007243E8">
        <w:t>-</w:t>
      </w:r>
      <w:r>
        <w:t>day average was used due to volatility of the gas market and is consistent with recommendations from FCR-</w:t>
      </w:r>
      <w:r w:rsidR="00796D77">
        <w:t>18</w:t>
      </w:r>
      <w:r>
        <w:t xml:space="preserve"> Docket No. </w:t>
      </w:r>
      <w:r w:rsidR="00796D77">
        <w:t>22403.</w:t>
      </w:r>
      <w:r>
        <w:t xml:space="preserve"> The NYMEX commodity gas cost is for gas delivered to Henry Hub. The expected variable transportation costs, fuel retention costs, applicable taxes and pipeline bas</w:t>
      </w:r>
      <w:r w:rsidR="00C67967">
        <w:t>i</w:t>
      </w:r>
      <w:r>
        <w:t>s differential are added to the commodity gas cost to determine the marginal replacement gas cost at each plant.</w:t>
      </w:r>
    </w:p>
    <w:p w14:paraId="20314F5D" w14:textId="77777777" w:rsidR="00AE4E4B" w:rsidRPr="00BF17BD" w:rsidRDefault="00AE4E4B" w:rsidP="005D612E">
      <w:pPr>
        <w:jc w:val="both"/>
      </w:pPr>
    </w:p>
    <w:p w14:paraId="1EBE5EE1" w14:textId="4E1C0C78" w:rsidR="00AE4E4B" w:rsidRPr="00BF17BD" w:rsidRDefault="00AE4E4B" w:rsidP="005D612E">
      <w:pPr>
        <w:jc w:val="both"/>
      </w:pPr>
      <w:r>
        <w:t xml:space="preserve">The marginal replacement costs for oil and related oil products (such as diesel fuel) reflect the </w:t>
      </w:r>
      <w:r w:rsidR="007A534E">
        <w:t xml:space="preserve">JP Morgan futures (Ticker: </w:t>
      </w:r>
      <w:r w:rsidR="0055374E">
        <w:t>AATGY00</w:t>
      </w:r>
      <w:r w:rsidR="007A534E">
        <w:t>) settlement price on 8/2</w:t>
      </w:r>
      <w:r w:rsidR="00C67967">
        <w:t>4</w:t>
      </w:r>
      <w:r w:rsidR="007A534E">
        <w:t>/20</w:t>
      </w:r>
      <w:r w:rsidR="00C67967">
        <w:t>22</w:t>
      </w:r>
      <w:r>
        <w:t>.</w:t>
      </w:r>
      <w:r w:rsidR="007A534E">
        <w:t xml:space="preserve"> </w:t>
      </w:r>
      <w:r>
        <w:t>The expected variable oil transportation costs are added to the commodity oil cost to determine the marginal replacement oil cost at each plant.</w:t>
      </w:r>
    </w:p>
    <w:p w14:paraId="1C955F68" w14:textId="77777777" w:rsidR="00E07932" w:rsidRDefault="00E07932" w:rsidP="00E07932">
      <w:pPr>
        <w:jc w:val="both"/>
      </w:pPr>
    </w:p>
    <w:p w14:paraId="2979E79C" w14:textId="77777777" w:rsidR="00E07932" w:rsidRPr="00BF17BD" w:rsidRDefault="00E07932" w:rsidP="00E07932">
      <w:pPr>
        <w:jc w:val="both"/>
      </w:pPr>
      <w:r>
        <w:t xml:space="preserve">The marginal replacement fuel costs for nuclear units are shown in Attachment MFRP-13.5C.  The costs modeled reflect the estimated fuel-only costs (cents/MBTU) associated with burn, excluding in-core investment, and including the cost of spent fuel canisters for dry cask storage (“DCS Expense”).   </w:t>
      </w:r>
    </w:p>
    <w:p w14:paraId="2D28C3B2" w14:textId="77777777" w:rsidR="00BD7BA9" w:rsidRPr="00BF17BD" w:rsidRDefault="00BD7BA9" w:rsidP="005D612E">
      <w:pPr>
        <w:jc w:val="both"/>
      </w:pPr>
    </w:p>
    <w:sectPr w:rsidR="00BD7BA9" w:rsidRPr="00BF17BD" w:rsidSect="004A01CB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C6E0F" w14:textId="77777777" w:rsidR="00EB7750" w:rsidRDefault="00EB7750">
      <w:r>
        <w:separator/>
      </w:r>
    </w:p>
  </w:endnote>
  <w:endnote w:type="continuationSeparator" w:id="0">
    <w:p w14:paraId="096FDD1C" w14:textId="77777777" w:rsidR="00EB7750" w:rsidRDefault="00EB7750">
      <w:r>
        <w:continuationSeparator/>
      </w:r>
    </w:p>
  </w:endnote>
  <w:endnote w:type="continuationNotice" w:id="1">
    <w:p w14:paraId="6F7F2D25" w14:textId="77777777" w:rsidR="006B6023" w:rsidRDefault="006B60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4B83A" w14:textId="77777777" w:rsidR="00EB7750" w:rsidRDefault="00EB7750">
      <w:r>
        <w:separator/>
      </w:r>
    </w:p>
  </w:footnote>
  <w:footnote w:type="continuationSeparator" w:id="0">
    <w:p w14:paraId="50EBAD56" w14:textId="77777777" w:rsidR="00EB7750" w:rsidRDefault="00EB7750">
      <w:r>
        <w:continuationSeparator/>
      </w:r>
    </w:p>
  </w:footnote>
  <w:footnote w:type="continuationNotice" w:id="1">
    <w:p w14:paraId="2C736828" w14:textId="77777777" w:rsidR="006B6023" w:rsidRDefault="006B60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8C3B8" w14:textId="14DE02C6" w:rsidR="007450B2" w:rsidRPr="005E4C6E" w:rsidRDefault="007450B2" w:rsidP="005E4C6E">
    <w:pPr>
      <w:pStyle w:val="Header"/>
      <w:jc w:val="right"/>
      <w:rPr>
        <w:b/>
      </w:rPr>
    </w:pPr>
    <w:r w:rsidRPr="005E4C6E">
      <w:rPr>
        <w:b/>
      </w:rPr>
      <w:t>MFRP-</w:t>
    </w:r>
    <w:r>
      <w:rPr>
        <w:b/>
      </w:rPr>
      <w:t>13</w:t>
    </w:r>
    <w:r w:rsidRPr="005E4C6E">
      <w:rPr>
        <w:b/>
      </w:rPr>
      <w:t>.</w:t>
    </w:r>
    <w:r w:rsidR="003F30EB">
      <w:rPr>
        <w:b/>
      </w:rPr>
      <w:t>5</w:t>
    </w:r>
  </w:p>
  <w:p w14:paraId="2D28C3B9" w14:textId="5971B77A" w:rsidR="007450B2" w:rsidRPr="005E4C6E" w:rsidRDefault="002827CE" w:rsidP="005E4C6E">
    <w:pPr>
      <w:pStyle w:val="Header"/>
      <w:jc w:val="right"/>
      <w:rPr>
        <w:b/>
      </w:rPr>
    </w:pPr>
    <w:r>
      <w:rPr>
        <w:b/>
      </w:rPr>
      <w:t xml:space="preserve">Docket No. </w:t>
    </w:r>
    <w:r w:rsidR="00BE4FC4">
      <w:rPr>
        <w:b/>
      </w:rPr>
      <w:t>44902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E71DB9"/>
    <w:multiLevelType w:val="multilevel"/>
    <w:tmpl w:val="FC4801F8"/>
    <w:lvl w:ilvl="0">
      <w:start w:val="1"/>
      <w:numFmt w:val="decimal"/>
      <w:lvlText w:val="STF-2-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62092E3B"/>
    <w:multiLevelType w:val="hybridMultilevel"/>
    <w:tmpl w:val="5A2A53F8"/>
    <w:lvl w:ilvl="0" w:tplc="053AE42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0125159">
    <w:abstractNumId w:val="0"/>
  </w:num>
  <w:num w:numId="2" w16cid:durableId="12722767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CFB"/>
    <w:rsid w:val="00010E6B"/>
    <w:rsid w:val="00016DA4"/>
    <w:rsid w:val="000174B1"/>
    <w:rsid w:val="000762A8"/>
    <w:rsid w:val="00096EA0"/>
    <w:rsid w:val="000C0804"/>
    <w:rsid w:val="00112148"/>
    <w:rsid w:val="0012405B"/>
    <w:rsid w:val="00166B1E"/>
    <w:rsid w:val="00171EDB"/>
    <w:rsid w:val="00173223"/>
    <w:rsid w:val="00182B2D"/>
    <w:rsid w:val="001B5A90"/>
    <w:rsid w:val="001B6180"/>
    <w:rsid w:val="001F35D4"/>
    <w:rsid w:val="002157BF"/>
    <w:rsid w:val="00227B7D"/>
    <w:rsid w:val="00240F1F"/>
    <w:rsid w:val="0025601F"/>
    <w:rsid w:val="002827CE"/>
    <w:rsid w:val="00283098"/>
    <w:rsid w:val="002C1954"/>
    <w:rsid w:val="002C2277"/>
    <w:rsid w:val="002F1298"/>
    <w:rsid w:val="003435C4"/>
    <w:rsid w:val="003C1617"/>
    <w:rsid w:val="003F30EB"/>
    <w:rsid w:val="00415A8A"/>
    <w:rsid w:val="00430EFC"/>
    <w:rsid w:val="0043349B"/>
    <w:rsid w:val="00435BE5"/>
    <w:rsid w:val="0045735C"/>
    <w:rsid w:val="00477B4B"/>
    <w:rsid w:val="00494D41"/>
    <w:rsid w:val="004A01CB"/>
    <w:rsid w:val="004B5CAC"/>
    <w:rsid w:val="00536F18"/>
    <w:rsid w:val="0055374E"/>
    <w:rsid w:val="00567B06"/>
    <w:rsid w:val="005A06CE"/>
    <w:rsid w:val="005D612E"/>
    <w:rsid w:val="005E4C6E"/>
    <w:rsid w:val="006339C7"/>
    <w:rsid w:val="00682483"/>
    <w:rsid w:val="00686CFB"/>
    <w:rsid w:val="006B6023"/>
    <w:rsid w:val="006E7B18"/>
    <w:rsid w:val="006F051F"/>
    <w:rsid w:val="006F38AC"/>
    <w:rsid w:val="006F75A2"/>
    <w:rsid w:val="00716B54"/>
    <w:rsid w:val="007243E8"/>
    <w:rsid w:val="007262D5"/>
    <w:rsid w:val="00726C54"/>
    <w:rsid w:val="007450B2"/>
    <w:rsid w:val="0077198B"/>
    <w:rsid w:val="00796D77"/>
    <w:rsid w:val="007A534E"/>
    <w:rsid w:val="007C5940"/>
    <w:rsid w:val="008110ED"/>
    <w:rsid w:val="008918E2"/>
    <w:rsid w:val="008A4B79"/>
    <w:rsid w:val="008A4D28"/>
    <w:rsid w:val="008B0A61"/>
    <w:rsid w:val="008C6BAB"/>
    <w:rsid w:val="008D4D89"/>
    <w:rsid w:val="008F7C49"/>
    <w:rsid w:val="0093402E"/>
    <w:rsid w:val="0095006C"/>
    <w:rsid w:val="00961DB1"/>
    <w:rsid w:val="00964497"/>
    <w:rsid w:val="0096472E"/>
    <w:rsid w:val="00966F81"/>
    <w:rsid w:val="009E3875"/>
    <w:rsid w:val="00A10260"/>
    <w:rsid w:val="00A142D3"/>
    <w:rsid w:val="00A467D6"/>
    <w:rsid w:val="00A575B2"/>
    <w:rsid w:val="00A9283B"/>
    <w:rsid w:val="00A96277"/>
    <w:rsid w:val="00AA0A7C"/>
    <w:rsid w:val="00AA5711"/>
    <w:rsid w:val="00AA73DF"/>
    <w:rsid w:val="00AE4E4B"/>
    <w:rsid w:val="00AF2880"/>
    <w:rsid w:val="00B129F1"/>
    <w:rsid w:val="00B37A68"/>
    <w:rsid w:val="00B61415"/>
    <w:rsid w:val="00BC6A70"/>
    <w:rsid w:val="00BD7BA9"/>
    <w:rsid w:val="00BE4FC4"/>
    <w:rsid w:val="00BF17BD"/>
    <w:rsid w:val="00C23BAC"/>
    <w:rsid w:val="00C25F1B"/>
    <w:rsid w:val="00C544A3"/>
    <w:rsid w:val="00C65A74"/>
    <w:rsid w:val="00C67967"/>
    <w:rsid w:val="00C7795C"/>
    <w:rsid w:val="00C9648F"/>
    <w:rsid w:val="00CC19AA"/>
    <w:rsid w:val="00CD1148"/>
    <w:rsid w:val="00D31043"/>
    <w:rsid w:val="00D33BAA"/>
    <w:rsid w:val="00D341F6"/>
    <w:rsid w:val="00D674A4"/>
    <w:rsid w:val="00DC3A10"/>
    <w:rsid w:val="00DE0FDE"/>
    <w:rsid w:val="00DE4DEF"/>
    <w:rsid w:val="00E07932"/>
    <w:rsid w:val="00E62347"/>
    <w:rsid w:val="00EB7750"/>
    <w:rsid w:val="00ED7347"/>
    <w:rsid w:val="00F07EE4"/>
    <w:rsid w:val="00F603B8"/>
    <w:rsid w:val="00F874D3"/>
    <w:rsid w:val="00F90EA4"/>
    <w:rsid w:val="00F937A8"/>
    <w:rsid w:val="00FC3954"/>
    <w:rsid w:val="4E22E808"/>
    <w:rsid w:val="601754BA"/>
    <w:rsid w:val="6C35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."/>
  <w:listSeparator w:val=","/>
  <w14:docId w14:val="2D28C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A01CB"/>
    <w:rPr>
      <w:sz w:val="24"/>
      <w:szCs w:val="24"/>
    </w:rPr>
  </w:style>
  <w:style w:type="paragraph" w:styleId="Heading2">
    <w:name w:val="heading 2"/>
    <w:basedOn w:val="Normal"/>
    <w:next w:val="Normal"/>
    <w:qFormat/>
    <w:rsid w:val="004A01CB"/>
    <w:pPr>
      <w:keepNext/>
      <w:outlineLvl w:val="1"/>
    </w:pPr>
    <w:rPr>
      <w:rFonts w:ascii="Arial" w:hAnsi="Arial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A01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A01CB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4A01CB"/>
    <w:pPr>
      <w:jc w:val="both"/>
    </w:pPr>
    <w:rPr>
      <w:rFonts w:ascii="Arial" w:hAnsi="Arial"/>
      <w:szCs w:val="20"/>
    </w:rPr>
  </w:style>
  <w:style w:type="paragraph" w:styleId="BodyText2">
    <w:name w:val="Body Text 2"/>
    <w:basedOn w:val="Normal"/>
    <w:rsid w:val="004A01CB"/>
    <w:pPr>
      <w:spacing w:after="120" w:line="480" w:lineRule="auto"/>
    </w:pPr>
  </w:style>
  <w:style w:type="paragraph" w:styleId="BalloonText">
    <w:name w:val="Balloon Text"/>
    <w:basedOn w:val="Normal"/>
    <w:link w:val="BalloonTextChar"/>
    <w:rsid w:val="00D310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310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1069</Characters>
  <Application>Microsoft Office Word</Application>
  <DocSecurity>0</DocSecurity>
  <Lines>8</Lines>
  <Paragraphs>2</Paragraphs>
  <ScaleCrop>false</ScaleCrop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2023-02-27T15:15:00Z</dcterms:created>
  <dcterms:modified xsi:type="dcterms:W3CDTF">2023-02-27T15:15:00Z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