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1709" w14:textId="2C7F64E2" w:rsidR="0093416F" w:rsidRPr="002D2B16" w:rsidRDefault="0093416F" w:rsidP="0093416F">
      <w:pPr>
        <w:keepNext/>
        <w:spacing w:after="0" w:line="240" w:lineRule="auto"/>
        <w:jc w:val="center"/>
        <w:outlineLvl w:val="0"/>
        <w:rPr>
          <w:rFonts w:ascii="Times New Roman" w:eastAsia="Times New Roman" w:hAnsi="Times New Roman" w:cs="Times New Roman"/>
          <w:b/>
          <w:sz w:val="24"/>
          <w:szCs w:val="24"/>
        </w:rPr>
      </w:pPr>
      <w:r w:rsidRPr="002D2B16">
        <w:rPr>
          <w:rFonts w:ascii="Times New Roman" w:eastAsia="Times New Roman" w:hAnsi="Times New Roman" w:cs="Times New Roman"/>
          <w:b/>
          <w:sz w:val="24"/>
          <w:szCs w:val="24"/>
        </w:rPr>
        <w:t>BEFORE THE</w:t>
      </w:r>
    </w:p>
    <w:p w14:paraId="150663ED" w14:textId="77777777" w:rsidR="0093416F" w:rsidRPr="002D2B16" w:rsidRDefault="0093416F" w:rsidP="0093416F">
      <w:pPr>
        <w:spacing w:after="0" w:line="240" w:lineRule="auto"/>
        <w:rPr>
          <w:rFonts w:ascii="Times New Roman" w:eastAsia="Times New Roman" w:hAnsi="Times New Roman" w:cs="Times New Roman"/>
          <w:sz w:val="24"/>
          <w:szCs w:val="24"/>
        </w:rPr>
      </w:pPr>
    </w:p>
    <w:p w14:paraId="313442A8" w14:textId="77777777" w:rsidR="0093416F" w:rsidRPr="002D2B16" w:rsidRDefault="0093416F" w:rsidP="0093416F">
      <w:pPr>
        <w:spacing w:after="0" w:line="240" w:lineRule="auto"/>
        <w:jc w:val="center"/>
        <w:rPr>
          <w:rFonts w:ascii="Times New Roman" w:eastAsia="Times New Roman" w:hAnsi="Times New Roman" w:cs="Times New Roman"/>
          <w:b/>
          <w:sz w:val="24"/>
          <w:szCs w:val="24"/>
        </w:rPr>
      </w:pPr>
      <w:r w:rsidRPr="002D2B16">
        <w:rPr>
          <w:rFonts w:ascii="Times New Roman" w:eastAsia="Times New Roman" w:hAnsi="Times New Roman" w:cs="Times New Roman"/>
          <w:b/>
          <w:sz w:val="24"/>
          <w:szCs w:val="24"/>
        </w:rPr>
        <w:t>GEORGIA PUBLIC SERVICE COMMISSION</w:t>
      </w:r>
    </w:p>
    <w:p w14:paraId="3CEDEC6A" w14:textId="77777777" w:rsidR="0093416F" w:rsidRPr="002D2B16" w:rsidRDefault="0093416F" w:rsidP="0093416F">
      <w:pPr>
        <w:spacing w:after="0" w:line="240" w:lineRule="auto"/>
        <w:jc w:val="center"/>
        <w:rPr>
          <w:rFonts w:ascii="Times New Roman" w:eastAsia="Times New Roman" w:hAnsi="Times New Roman" w:cs="Times New Roman"/>
          <w:b/>
          <w:sz w:val="24"/>
          <w:szCs w:val="24"/>
        </w:rPr>
      </w:pPr>
    </w:p>
    <w:p w14:paraId="0E937FFE" w14:textId="77777777" w:rsidR="0093416F" w:rsidRPr="002D2B16" w:rsidRDefault="0093416F" w:rsidP="0093416F">
      <w:pPr>
        <w:spacing w:after="0" w:line="240" w:lineRule="auto"/>
        <w:rPr>
          <w:rFonts w:ascii="Times New Roman" w:eastAsia="Times New Roman" w:hAnsi="Times New Roman" w:cs="Times New Roman"/>
          <w:b/>
          <w:sz w:val="24"/>
          <w:szCs w:val="24"/>
        </w:rPr>
      </w:pPr>
    </w:p>
    <w:p w14:paraId="4BA1F2D0" w14:textId="77777777" w:rsidR="0093416F" w:rsidRPr="002D2B16" w:rsidRDefault="0093416F" w:rsidP="0093416F">
      <w:pPr>
        <w:tabs>
          <w:tab w:val="center" w:pos="4680"/>
        </w:tabs>
        <w:spacing w:after="0" w:line="240" w:lineRule="auto"/>
        <w:rPr>
          <w:rFonts w:ascii="Times New Roman" w:eastAsia="Times New Roman" w:hAnsi="Times New Roman" w:cs="Times New Roman"/>
          <w:b/>
          <w:sz w:val="24"/>
          <w:szCs w:val="24"/>
        </w:rPr>
      </w:pPr>
      <w:r w:rsidRPr="002D2B16">
        <w:rPr>
          <w:rFonts w:ascii="Times New Roman" w:eastAsia="Times New Roman" w:hAnsi="Times New Roman" w:cs="Times New Roman"/>
          <w:b/>
          <w:sz w:val="24"/>
          <w:szCs w:val="24"/>
        </w:rPr>
        <w:t>In Re:</w:t>
      </w:r>
      <w:r w:rsidRPr="002D2B16">
        <w:rPr>
          <w:rFonts w:ascii="Times New Roman" w:eastAsia="Times New Roman" w:hAnsi="Times New Roman" w:cs="Times New Roman"/>
          <w:b/>
          <w:sz w:val="24"/>
          <w:szCs w:val="24"/>
        </w:rPr>
        <w:tab/>
        <w:t>)</w:t>
      </w:r>
    </w:p>
    <w:p w14:paraId="1EECF09A" w14:textId="77777777" w:rsidR="0093416F" w:rsidRPr="002D2B16" w:rsidRDefault="0093416F" w:rsidP="0093416F">
      <w:pPr>
        <w:tabs>
          <w:tab w:val="center" w:pos="4680"/>
        </w:tabs>
        <w:spacing w:after="0" w:line="240" w:lineRule="auto"/>
        <w:rPr>
          <w:rFonts w:ascii="Times New Roman" w:eastAsia="Times New Roman" w:hAnsi="Times New Roman" w:cs="Times New Roman"/>
          <w:b/>
          <w:sz w:val="24"/>
          <w:szCs w:val="24"/>
        </w:rPr>
      </w:pPr>
      <w:r w:rsidRPr="002D2B16">
        <w:rPr>
          <w:rFonts w:ascii="Times New Roman" w:eastAsia="Times New Roman" w:hAnsi="Times New Roman" w:cs="Times New Roman"/>
          <w:b/>
          <w:sz w:val="24"/>
          <w:szCs w:val="24"/>
        </w:rPr>
        <w:tab/>
        <w:t>)</w:t>
      </w:r>
      <w:r w:rsidRPr="002D2B16">
        <w:rPr>
          <w:rFonts w:ascii="Times New Roman" w:eastAsia="Times New Roman" w:hAnsi="Times New Roman" w:cs="Times New Roman"/>
          <w:b/>
          <w:sz w:val="24"/>
          <w:szCs w:val="24"/>
        </w:rPr>
        <w:tab/>
      </w:r>
      <w:r w:rsidRPr="002D2B16">
        <w:rPr>
          <w:rFonts w:ascii="Times New Roman" w:eastAsia="Times New Roman" w:hAnsi="Times New Roman" w:cs="Times New Roman"/>
          <w:b/>
          <w:sz w:val="24"/>
          <w:szCs w:val="24"/>
        </w:rPr>
        <w:tab/>
      </w:r>
    </w:p>
    <w:p w14:paraId="02D71206" w14:textId="77777777" w:rsidR="0093416F" w:rsidRPr="002D2B16" w:rsidRDefault="0093416F" w:rsidP="0093416F">
      <w:pPr>
        <w:tabs>
          <w:tab w:val="center" w:pos="4680"/>
        </w:tabs>
        <w:spacing w:after="0" w:line="240" w:lineRule="auto"/>
        <w:rPr>
          <w:rFonts w:ascii="Times New Roman" w:eastAsia="Times New Roman" w:hAnsi="Times New Roman" w:cs="Times New Roman"/>
          <w:b/>
          <w:sz w:val="24"/>
          <w:szCs w:val="24"/>
        </w:rPr>
      </w:pPr>
      <w:r w:rsidRPr="002D2B16">
        <w:rPr>
          <w:rFonts w:ascii="Times New Roman" w:eastAsia="Times New Roman" w:hAnsi="Times New Roman" w:cs="Times New Roman"/>
          <w:b/>
          <w:sz w:val="24"/>
          <w:szCs w:val="24"/>
        </w:rPr>
        <w:t>Georgia Power Company’s</w:t>
      </w:r>
      <w:r w:rsidRPr="002D2B16">
        <w:rPr>
          <w:rFonts w:ascii="Times New Roman" w:eastAsia="Times New Roman" w:hAnsi="Times New Roman" w:cs="Times New Roman"/>
          <w:b/>
          <w:sz w:val="24"/>
          <w:szCs w:val="24"/>
        </w:rPr>
        <w:tab/>
        <w:t>)</w:t>
      </w:r>
      <w:r w:rsidRPr="002D2B16">
        <w:rPr>
          <w:rFonts w:ascii="Times New Roman" w:eastAsia="Times New Roman" w:hAnsi="Times New Roman" w:cs="Times New Roman"/>
          <w:b/>
          <w:sz w:val="24"/>
          <w:szCs w:val="24"/>
        </w:rPr>
        <w:tab/>
      </w:r>
      <w:r w:rsidRPr="002D2B16">
        <w:rPr>
          <w:rFonts w:ascii="Times New Roman" w:eastAsia="Times New Roman" w:hAnsi="Times New Roman" w:cs="Times New Roman"/>
          <w:b/>
          <w:sz w:val="24"/>
          <w:szCs w:val="24"/>
        </w:rPr>
        <w:tab/>
        <w:t>Docket No. 44280</w:t>
      </w:r>
    </w:p>
    <w:p w14:paraId="0FDB2E00" w14:textId="77777777" w:rsidR="0093416F" w:rsidRPr="002D2B16" w:rsidRDefault="0093416F" w:rsidP="0093416F">
      <w:pPr>
        <w:tabs>
          <w:tab w:val="center" w:pos="4680"/>
        </w:tabs>
        <w:spacing w:after="0" w:line="240" w:lineRule="auto"/>
        <w:rPr>
          <w:rFonts w:ascii="Times New Roman" w:eastAsia="Times New Roman" w:hAnsi="Times New Roman" w:cs="Times New Roman"/>
          <w:b/>
          <w:sz w:val="24"/>
          <w:szCs w:val="24"/>
        </w:rPr>
      </w:pPr>
      <w:r w:rsidRPr="002D2B16">
        <w:rPr>
          <w:rFonts w:ascii="Times New Roman" w:eastAsia="Times New Roman" w:hAnsi="Times New Roman" w:cs="Times New Roman"/>
          <w:b/>
          <w:sz w:val="24"/>
          <w:szCs w:val="24"/>
        </w:rPr>
        <w:t>2022 Rate Case</w:t>
      </w:r>
      <w:r w:rsidRPr="002D2B16">
        <w:rPr>
          <w:rFonts w:ascii="Times New Roman" w:eastAsia="Times New Roman" w:hAnsi="Times New Roman" w:cs="Times New Roman"/>
          <w:b/>
          <w:sz w:val="24"/>
          <w:szCs w:val="24"/>
        </w:rPr>
        <w:tab/>
        <w:t>)</w:t>
      </w:r>
      <w:r w:rsidRPr="002D2B16">
        <w:rPr>
          <w:rFonts w:ascii="Times New Roman" w:eastAsia="Times New Roman" w:hAnsi="Times New Roman" w:cs="Times New Roman"/>
          <w:b/>
          <w:sz w:val="24"/>
          <w:szCs w:val="24"/>
        </w:rPr>
        <w:tab/>
      </w:r>
    </w:p>
    <w:p w14:paraId="668063DB" w14:textId="77777777" w:rsidR="0093416F" w:rsidRPr="002D2B16" w:rsidRDefault="0093416F" w:rsidP="0093416F">
      <w:pPr>
        <w:tabs>
          <w:tab w:val="center" w:pos="4680"/>
        </w:tabs>
        <w:spacing w:after="0" w:line="240" w:lineRule="auto"/>
        <w:rPr>
          <w:rFonts w:ascii="Times New Roman" w:eastAsia="Times New Roman" w:hAnsi="Times New Roman" w:cs="Times New Roman"/>
          <w:b/>
          <w:sz w:val="24"/>
          <w:szCs w:val="24"/>
        </w:rPr>
      </w:pPr>
      <w:r w:rsidRPr="002D2B16">
        <w:rPr>
          <w:rFonts w:ascii="Times New Roman" w:eastAsia="Times New Roman" w:hAnsi="Times New Roman" w:cs="Times New Roman"/>
          <w:b/>
          <w:sz w:val="24"/>
          <w:szCs w:val="24"/>
        </w:rPr>
        <w:tab/>
        <w:t>)</w:t>
      </w:r>
    </w:p>
    <w:p w14:paraId="3FBE2D5E" w14:textId="77777777" w:rsidR="0093416F" w:rsidRPr="002D2B16" w:rsidRDefault="0093416F" w:rsidP="000C3C59">
      <w:pPr>
        <w:spacing w:after="0" w:line="240" w:lineRule="auto"/>
        <w:jc w:val="center"/>
        <w:rPr>
          <w:rFonts w:ascii="Times New Roman" w:hAnsi="Times New Roman" w:cs="Times New Roman"/>
          <w:b/>
          <w:sz w:val="24"/>
          <w:szCs w:val="24"/>
          <w:u w:val="single"/>
        </w:rPr>
      </w:pPr>
    </w:p>
    <w:p w14:paraId="0A02240E" w14:textId="77777777" w:rsidR="0093416F" w:rsidRPr="002D2B16" w:rsidRDefault="0093416F" w:rsidP="000C3C59">
      <w:pPr>
        <w:spacing w:after="0" w:line="240" w:lineRule="auto"/>
        <w:jc w:val="center"/>
        <w:rPr>
          <w:rFonts w:ascii="Times New Roman" w:hAnsi="Times New Roman" w:cs="Times New Roman"/>
          <w:b/>
          <w:sz w:val="24"/>
          <w:szCs w:val="24"/>
          <w:u w:val="single"/>
        </w:rPr>
      </w:pPr>
    </w:p>
    <w:p w14:paraId="4BFDAC7B" w14:textId="77777777" w:rsidR="0093416F" w:rsidRPr="002D2B16" w:rsidRDefault="0093416F" w:rsidP="000C3C59">
      <w:pPr>
        <w:spacing w:after="0" w:line="240" w:lineRule="auto"/>
        <w:jc w:val="center"/>
        <w:rPr>
          <w:rFonts w:ascii="Times New Roman" w:hAnsi="Times New Roman" w:cs="Times New Roman"/>
          <w:b/>
          <w:sz w:val="24"/>
          <w:szCs w:val="24"/>
          <w:u w:val="single"/>
        </w:rPr>
      </w:pPr>
    </w:p>
    <w:p w14:paraId="78D529EA" w14:textId="3494D009" w:rsidR="000C3C59" w:rsidRPr="002D2B16" w:rsidRDefault="000C3C59" w:rsidP="000C3C59">
      <w:pPr>
        <w:spacing w:after="0" w:line="240" w:lineRule="auto"/>
        <w:jc w:val="center"/>
        <w:rPr>
          <w:rFonts w:ascii="Times New Roman" w:hAnsi="Times New Roman" w:cs="Times New Roman"/>
          <w:b/>
          <w:sz w:val="24"/>
          <w:szCs w:val="24"/>
          <w:u w:val="single"/>
        </w:rPr>
      </w:pPr>
      <w:r w:rsidRPr="002D2B16">
        <w:rPr>
          <w:rFonts w:ascii="Times New Roman" w:hAnsi="Times New Roman" w:cs="Times New Roman"/>
          <w:b/>
          <w:sz w:val="24"/>
          <w:szCs w:val="24"/>
          <w:u w:val="single"/>
        </w:rPr>
        <w:t>POST-HEARING BRIEF</w:t>
      </w:r>
    </w:p>
    <w:p w14:paraId="24B5DD30" w14:textId="77777777" w:rsidR="000C3C59" w:rsidRPr="002D2B16" w:rsidRDefault="000C3C59" w:rsidP="000C3C59">
      <w:pPr>
        <w:spacing w:after="0" w:line="240" w:lineRule="auto"/>
        <w:jc w:val="center"/>
        <w:rPr>
          <w:rFonts w:ascii="Times New Roman" w:hAnsi="Times New Roman" w:cs="Times New Roman"/>
          <w:b/>
          <w:sz w:val="24"/>
          <w:szCs w:val="24"/>
          <w:u w:val="single"/>
        </w:rPr>
      </w:pPr>
      <w:r w:rsidRPr="002D2B16">
        <w:rPr>
          <w:rFonts w:ascii="Times New Roman" w:hAnsi="Times New Roman" w:cs="Times New Roman"/>
          <w:b/>
          <w:sz w:val="24"/>
          <w:szCs w:val="24"/>
          <w:u w:val="single"/>
        </w:rPr>
        <w:t xml:space="preserve">OF THE UNITED STATES DEPARTMENT OF DEFENSE </w:t>
      </w:r>
    </w:p>
    <w:p w14:paraId="6FF3328E" w14:textId="77777777" w:rsidR="000C3C59" w:rsidRPr="002D2B16" w:rsidRDefault="000C3C59" w:rsidP="000C3C59">
      <w:pPr>
        <w:spacing w:after="0" w:line="240" w:lineRule="auto"/>
        <w:jc w:val="center"/>
        <w:rPr>
          <w:rFonts w:ascii="Times New Roman" w:hAnsi="Times New Roman" w:cs="Times New Roman"/>
          <w:sz w:val="24"/>
          <w:szCs w:val="24"/>
        </w:rPr>
      </w:pPr>
      <w:r w:rsidRPr="002D2B16">
        <w:rPr>
          <w:rFonts w:ascii="Times New Roman" w:hAnsi="Times New Roman" w:cs="Times New Roman"/>
          <w:b/>
          <w:sz w:val="24"/>
          <w:szCs w:val="24"/>
          <w:u w:val="single"/>
        </w:rPr>
        <w:t>AND ALL OTHER FEDERAL EXECUTIVE AGENCIES</w:t>
      </w:r>
    </w:p>
    <w:p w14:paraId="5FE773A9" w14:textId="77777777" w:rsidR="000C3C59" w:rsidRPr="002D2B16" w:rsidRDefault="000C3C59" w:rsidP="000C3C59">
      <w:pPr>
        <w:spacing w:after="0" w:line="240" w:lineRule="auto"/>
        <w:jc w:val="center"/>
        <w:rPr>
          <w:rFonts w:ascii="Times New Roman" w:hAnsi="Times New Roman" w:cs="Times New Roman"/>
          <w:sz w:val="24"/>
          <w:szCs w:val="24"/>
        </w:rPr>
      </w:pPr>
    </w:p>
    <w:p w14:paraId="1137A742" w14:textId="2E4E0559" w:rsidR="00616D22" w:rsidRPr="002D2B16" w:rsidRDefault="000C3C59" w:rsidP="00BA1325">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 xml:space="preserve">Pursuant to </w:t>
      </w:r>
      <w:r w:rsidR="005240BF" w:rsidRPr="002D2B16">
        <w:rPr>
          <w:rFonts w:ascii="Times New Roman" w:hAnsi="Times New Roman" w:cs="Times New Roman"/>
          <w:sz w:val="24"/>
          <w:szCs w:val="24"/>
        </w:rPr>
        <w:t xml:space="preserve">the </w:t>
      </w:r>
      <w:r w:rsidRPr="002D2B16">
        <w:rPr>
          <w:rFonts w:ascii="Times New Roman" w:hAnsi="Times New Roman" w:cs="Times New Roman"/>
          <w:sz w:val="24"/>
          <w:szCs w:val="24"/>
        </w:rPr>
        <w:t xml:space="preserve">Georgia Public Service Commission’s </w:t>
      </w:r>
      <w:r w:rsidR="008E65DC" w:rsidRPr="002D2B16">
        <w:rPr>
          <w:rFonts w:ascii="Times New Roman" w:hAnsi="Times New Roman" w:cs="Times New Roman"/>
          <w:sz w:val="24"/>
          <w:szCs w:val="24"/>
        </w:rPr>
        <w:t>(“Commission’s”)</w:t>
      </w:r>
      <w:r w:rsidR="009231F8" w:rsidRPr="002D2B16">
        <w:rPr>
          <w:rFonts w:ascii="Times New Roman" w:hAnsi="Times New Roman" w:cs="Times New Roman"/>
          <w:sz w:val="24"/>
          <w:szCs w:val="24"/>
        </w:rPr>
        <w:t xml:space="preserve"> Second Amended</w:t>
      </w:r>
      <w:r w:rsidRPr="002D2B16">
        <w:rPr>
          <w:rFonts w:ascii="Times New Roman" w:hAnsi="Times New Roman" w:cs="Times New Roman"/>
          <w:sz w:val="24"/>
          <w:szCs w:val="24"/>
        </w:rPr>
        <w:t xml:space="preserve"> Procedural and Scheduling Order, the United States Department of Defense and all other Federal Executive Agencies (</w:t>
      </w:r>
      <w:r w:rsidR="005240BF" w:rsidRPr="002D2B16">
        <w:rPr>
          <w:rFonts w:ascii="Times New Roman" w:hAnsi="Times New Roman" w:cs="Times New Roman"/>
          <w:sz w:val="24"/>
          <w:szCs w:val="24"/>
        </w:rPr>
        <w:t>“</w:t>
      </w:r>
      <w:r w:rsidR="00F2152E" w:rsidRPr="002D2B16">
        <w:rPr>
          <w:rFonts w:ascii="Times New Roman" w:hAnsi="Times New Roman" w:cs="Times New Roman"/>
          <w:sz w:val="24"/>
          <w:szCs w:val="24"/>
        </w:rPr>
        <w:t>DoD</w:t>
      </w:r>
      <w:r w:rsidRPr="002D2B16">
        <w:rPr>
          <w:rFonts w:ascii="Times New Roman" w:hAnsi="Times New Roman" w:cs="Times New Roman"/>
          <w:sz w:val="24"/>
          <w:szCs w:val="24"/>
        </w:rPr>
        <w:t>/FEA</w:t>
      </w:r>
      <w:r w:rsidR="005240BF" w:rsidRPr="002D2B16">
        <w:rPr>
          <w:rFonts w:ascii="Times New Roman" w:hAnsi="Times New Roman" w:cs="Times New Roman"/>
          <w:sz w:val="24"/>
          <w:szCs w:val="24"/>
        </w:rPr>
        <w:t>”</w:t>
      </w:r>
      <w:r w:rsidRPr="002D2B16">
        <w:rPr>
          <w:rFonts w:ascii="Times New Roman" w:hAnsi="Times New Roman" w:cs="Times New Roman"/>
          <w:sz w:val="24"/>
          <w:szCs w:val="24"/>
        </w:rPr>
        <w:t>) hereby submits its post-hearing brief.</w:t>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 xml:space="preserve">As discussed in this brief, the Commission should order: </w:t>
      </w:r>
    </w:p>
    <w:p w14:paraId="64831217" w14:textId="455D0E4E" w:rsidR="00616D22" w:rsidRPr="002D2B16" w:rsidRDefault="00334D79" w:rsidP="00BA1325">
      <w:pPr>
        <w:pStyle w:val="ListParagraph"/>
        <w:numPr>
          <w:ilvl w:val="0"/>
          <w:numId w:val="4"/>
        </w:numPr>
        <w:spacing w:after="240" w:line="480" w:lineRule="auto"/>
        <w:contextualSpacing w:val="0"/>
        <w:jc w:val="both"/>
        <w:rPr>
          <w:rFonts w:ascii="Times New Roman" w:hAnsi="Times New Roman" w:cs="Times New Roman"/>
          <w:sz w:val="24"/>
          <w:szCs w:val="24"/>
        </w:rPr>
      </w:pPr>
      <w:r w:rsidRPr="002D2B16">
        <w:rPr>
          <w:rFonts w:ascii="Times New Roman" w:hAnsi="Times New Roman" w:cs="Times New Roman"/>
          <w:sz w:val="24"/>
          <w:szCs w:val="24"/>
        </w:rPr>
        <w:t>A</w:t>
      </w:r>
      <w:r w:rsidR="000C3C59" w:rsidRPr="002D2B16">
        <w:rPr>
          <w:rFonts w:ascii="Times New Roman" w:hAnsi="Times New Roman" w:cs="Times New Roman"/>
          <w:sz w:val="24"/>
          <w:szCs w:val="24"/>
        </w:rPr>
        <w:t xml:space="preserve"> revision to</w:t>
      </w:r>
      <w:r w:rsidR="008655C0" w:rsidRPr="002D2B16">
        <w:rPr>
          <w:rFonts w:ascii="Times New Roman" w:hAnsi="Times New Roman" w:cs="Times New Roman"/>
          <w:sz w:val="24"/>
          <w:szCs w:val="24"/>
        </w:rPr>
        <w:t xml:space="preserve"> Georgia Power Company’s (“GPC’s” or “Company’s”) </w:t>
      </w:r>
      <w:r w:rsidR="000C3C59" w:rsidRPr="002D2B16">
        <w:rPr>
          <w:rFonts w:ascii="Times New Roman" w:hAnsi="Times New Roman" w:cs="Times New Roman"/>
          <w:sz w:val="24"/>
          <w:szCs w:val="24"/>
        </w:rPr>
        <w:t xml:space="preserve">Real-Time Pricing (“RTP”) tariff schedules to allow for </w:t>
      </w:r>
      <w:bookmarkStart w:id="0" w:name="_Hlk120870239"/>
      <w:r w:rsidRPr="002D2B16">
        <w:rPr>
          <w:rFonts w:ascii="Times New Roman" w:hAnsi="Times New Roman" w:cs="Times New Roman"/>
          <w:sz w:val="24"/>
          <w:szCs w:val="24"/>
        </w:rPr>
        <w:t>Customer B</w:t>
      </w:r>
      <w:r w:rsidR="00A87B4E" w:rsidRPr="002D2B16">
        <w:rPr>
          <w:rFonts w:ascii="Times New Roman" w:hAnsi="Times New Roman" w:cs="Times New Roman"/>
          <w:sz w:val="24"/>
          <w:szCs w:val="24"/>
        </w:rPr>
        <w:t>a</w:t>
      </w:r>
      <w:r w:rsidR="00A520DD" w:rsidRPr="002D2B16">
        <w:rPr>
          <w:rFonts w:ascii="Times New Roman" w:hAnsi="Times New Roman" w:cs="Times New Roman"/>
          <w:sz w:val="24"/>
          <w:szCs w:val="24"/>
        </w:rPr>
        <w:t>seline Load</w:t>
      </w:r>
      <w:r w:rsidR="00A87B4E" w:rsidRPr="002D2B16">
        <w:rPr>
          <w:rFonts w:ascii="Times New Roman" w:hAnsi="Times New Roman" w:cs="Times New Roman"/>
          <w:sz w:val="24"/>
          <w:szCs w:val="24"/>
        </w:rPr>
        <w:t xml:space="preserve"> </w:t>
      </w:r>
      <w:r w:rsidR="00A520DD" w:rsidRPr="002D2B16">
        <w:rPr>
          <w:rFonts w:ascii="Times New Roman" w:hAnsi="Times New Roman" w:cs="Times New Roman"/>
          <w:sz w:val="24"/>
          <w:szCs w:val="24"/>
        </w:rPr>
        <w:t>(“</w:t>
      </w:r>
      <w:r w:rsidR="000C3C59" w:rsidRPr="002D2B16">
        <w:rPr>
          <w:rFonts w:ascii="Times New Roman" w:hAnsi="Times New Roman" w:cs="Times New Roman"/>
          <w:sz w:val="24"/>
          <w:szCs w:val="24"/>
        </w:rPr>
        <w:t>CBL</w:t>
      </w:r>
      <w:r w:rsidR="00A520DD" w:rsidRPr="002D2B16">
        <w:rPr>
          <w:rFonts w:ascii="Times New Roman" w:hAnsi="Times New Roman" w:cs="Times New Roman"/>
          <w:sz w:val="24"/>
          <w:szCs w:val="24"/>
        </w:rPr>
        <w:t>”)</w:t>
      </w:r>
      <w:r w:rsidR="000C3C59" w:rsidRPr="002D2B16">
        <w:rPr>
          <w:rFonts w:ascii="Times New Roman" w:hAnsi="Times New Roman" w:cs="Times New Roman"/>
          <w:sz w:val="24"/>
          <w:szCs w:val="24"/>
        </w:rPr>
        <w:t xml:space="preserve"> reductions based on two years of historical load data</w:t>
      </w:r>
      <w:bookmarkEnd w:id="0"/>
      <w:r w:rsidR="000C3C59" w:rsidRPr="002D2B16">
        <w:rPr>
          <w:rFonts w:ascii="Times New Roman" w:hAnsi="Times New Roman" w:cs="Times New Roman"/>
          <w:sz w:val="24"/>
          <w:szCs w:val="24"/>
        </w:rPr>
        <w:t>;</w:t>
      </w:r>
      <w:r w:rsidR="000C3C59" w:rsidRPr="002D2B16">
        <w:rPr>
          <w:rStyle w:val="FootnoteReference"/>
          <w:rFonts w:ascii="Times New Roman" w:hAnsi="Times New Roman" w:cs="Times New Roman"/>
          <w:sz w:val="24"/>
          <w:szCs w:val="24"/>
        </w:rPr>
        <w:footnoteReference w:id="2"/>
      </w:r>
      <w:r w:rsidR="007F6C27" w:rsidRPr="002D2B16">
        <w:rPr>
          <w:rFonts w:ascii="Times New Roman" w:hAnsi="Times New Roman" w:cs="Times New Roman"/>
          <w:sz w:val="24"/>
          <w:szCs w:val="24"/>
        </w:rPr>
        <w:t xml:space="preserve"> </w:t>
      </w:r>
    </w:p>
    <w:p w14:paraId="38B111F0" w14:textId="54ECED9A" w:rsidR="00386F1D" w:rsidRPr="002D2B16" w:rsidRDefault="00386F1D" w:rsidP="00BA1325">
      <w:pPr>
        <w:pStyle w:val="ListParagraph"/>
        <w:numPr>
          <w:ilvl w:val="0"/>
          <w:numId w:val="4"/>
        </w:numPr>
        <w:spacing w:after="240" w:line="480" w:lineRule="auto"/>
        <w:contextualSpacing w:val="0"/>
        <w:jc w:val="both"/>
        <w:rPr>
          <w:rFonts w:ascii="Times New Roman" w:hAnsi="Times New Roman" w:cs="Times New Roman"/>
          <w:sz w:val="24"/>
          <w:szCs w:val="24"/>
        </w:rPr>
      </w:pPr>
      <w:r w:rsidRPr="002D2B16">
        <w:rPr>
          <w:rFonts w:ascii="Times New Roman" w:hAnsi="Times New Roman" w:cs="Times New Roman"/>
          <w:sz w:val="24"/>
          <w:szCs w:val="24"/>
        </w:rPr>
        <w:t xml:space="preserve"> </w:t>
      </w:r>
      <w:r w:rsidR="00E22B33" w:rsidRPr="002D2B16">
        <w:rPr>
          <w:rFonts w:ascii="Times New Roman" w:hAnsi="Times New Roman" w:cs="Times New Roman"/>
          <w:sz w:val="24"/>
          <w:szCs w:val="24"/>
        </w:rPr>
        <w:t xml:space="preserve">A revision to </w:t>
      </w:r>
      <w:r w:rsidR="008655C0" w:rsidRPr="002D2B16">
        <w:rPr>
          <w:rFonts w:ascii="Times New Roman" w:hAnsi="Times New Roman" w:cs="Times New Roman"/>
          <w:sz w:val="24"/>
          <w:szCs w:val="24"/>
        </w:rPr>
        <w:t>GPC’s</w:t>
      </w:r>
      <w:r w:rsidR="00E22B33" w:rsidRPr="002D2B16">
        <w:rPr>
          <w:rFonts w:ascii="Times New Roman" w:hAnsi="Times New Roman" w:cs="Times New Roman"/>
          <w:sz w:val="24"/>
          <w:szCs w:val="24"/>
        </w:rPr>
        <w:t xml:space="preserve"> </w:t>
      </w:r>
      <w:r w:rsidR="000C3C59" w:rsidRPr="002D2B16">
        <w:rPr>
          <w:rFonts w:ascii="Times New Roman" w:hAnsi="Times New Roman" w:cs="Times New Roman"/>
          <w:sz w:val="24"/>
          <w:szCs w:val="24"/>
        </w:rPr>
        <w:t xml:space="preserve">RTP </w:t>
      </w:r>
      <w:r w:rsidR="00E22B33" w:rsidRPr="002D2B16">
        <w:rPr>
          <w:rFonts w:ascii="Times New Roman" w:hAnsi="Times New Roman" w:cs="Times New Roman"/>
          <w:sz w:val="24"/>
          <w:szCs w:val="24"/>
        </w:rPr>
        <w:t xml:space="preserve">tariff schedules to allow CBL reductions for </w:t>
      </w:r>
      <w:r w:rsidR="000C3C59" w:rsidRPr="002D2B16">
        <w:rPr>
          <w:rFonts w:ascii="Times New Roman" w:hAnsi="Times New Roman" w:cs="Times New Roman"/>
          <w:sz w:val="24"/>
          <w:szCs w:val="24"/>
        </w:rPr>
        <w:t>customer</w:t>
      </w:r>
      <w:r w:rsidR="00E22B33" w:rsidRPr="002D2B16">
        <w:rPr>
          <w:rFonts w:ascii="Times New Roman" w:hAnsi="Times New Roman" w:cs="Times New Roman"/>
          <w:sz w:val="24"/>
          <w:szCs w:val="24"/>
        </w:rPr>
        <w:t>-sited generation capacity when that customer</w:t>
      </w:r>
      <w:r w:rsidR="000C3C59" w:rsidRPr="002D2B16">
        <w:rPr>
          <w:rFonts w:ascii="Times New Roman" w:hAnsi="Times New Roman" w:cs="Times New Roman"/>
          <w:sz w:val="24"/>
          <w:szCs w:val="24"/>
        </w:rPr>
        <w:t xml:space="preserve"> </w:t>
      </w:r>
      <w:r w:rsidR="0046600A" w:rsidRPr="002D2B16">
        <w:rPr>
          <w:rFonts w:ascii="Times New Roman" w:hAnsi="Times New Roman" w:cs="Times New Roman"/>
          <w:sz w:val="24"/>
          <w:szCs w:val="24"/>
        </w:rPr>
        <w:t>firm</w:t>
      </w:r>
      <w:r w:rsidR="00E22B33" w:rsidRPr="002D2B16">
        <w:rPr>
          <w:rFonts w:ascii="Times New Roman" w:hAnsi="Times New Roman" w:cs="Times New Roman"/>
          <w:sz w:val="24"/>
          <w:szCs w:val="24"/>
        </w:rPr>
        <w:t>s</w:t>
      </w:r>
      <w:r w:rsidR="0046600A" w:rsidRPr="002D2B16">
        <w:rPr>
          <w:rFonts w:ascii="Times New Roman" w:hAnsi="Times New Roman" w:cs="Times New Roman"/>
          <w:sz w:val="24"/>
          <w:szCs w:val="24"/>
        </w:rPr>
        <w:t xml:space="preserve"> up </w:t>
      </w:r>
      <w:r w:rsidR="00E22B33" w:rsidRPr="002D2B16">
        <w:rPr>
          <w:rFonts w:ascii="Times New Roman" w:hAnsi="Times New Roman" w:cs="Times New Roman"/>
          <w:sz w:val="24"/>
          <w:szCs w:val="24"/>
        </w:rPr>
        <w:t xml:space="preserve">its </w:t>
      </w:r>
      <w:r w:rsidR="0046600A" w:rsidRPr="002D2B16">
        <w:rPr>
          <w:rFonts w:ascii="Times New Roman" w:hAnsi="Times New Roman" w:cs="Times New Roman"/>
          <w:sz w:val="24"/>
          <w:szCs w:val="24"/>
        </w:rPr>
        <w:t xml:space="preserve">electric service by </w:t>
      </w:r>
      <w:r w:rsidR="00E22B33" w:rsidRPr="002D2B16">
        <w:rPr>
          <w:rFonts w:ascii="Times New Roman" w:hAnsi="Times New Roman" w:cs="Times New Roman"/>
          <w:sz w:val="24"/>
          <w:szCs w:val="24"/>
        </w:rPr>
        <w:t xml:space="preserve">paying </w:t>
      </w:r>
      <w:r w:rsidR="008655C0" w:rsidRPr="002D2B16">
        <w:rPr>
          <w:rFonts w:ascii="Times New Roman" w:hAnsi="Times New Roman" w:cs="Times New Roman"/>
          <w:sz w:val="24"/>
          <w:szCs w:val="24"/>
        </w:rPr>
        <w:t xml:space="preserve">for </w:t>
      </w:r>
      <w:r w:rsidR="00E22B33" w:rsidRPr="002D2B16">
        <w:rPr>
          <w:rFonts w:ascii="Times New Roman" w:hAnsi="Times New Roman" w:cs="Times New Roman"/>
          <w:sz w:val="24"/>
          <w:szCs w:val="24"/>
        </w:rPr>
        <w:t xml:space="preserve">GPC’s </w:t>
      </w:r>
      <w:r w:rsidR="008E65DC" w:rsidRPr="002D2B16">
        <w:rPr>
          <w:rFonts w:ascii="Times New Roman" w:hAnsi="Times New Roman" w:cs="Times New Roman"/>
          <w:sz w:val="24"/>
          <w:szCs w:val="24"/>
        </w:rPr>
        <w:t>B</w:t>
      </w:r>
      <w:r w:rsidR="000C3C59" w:rsidRPr="002D2B16">
        <w:rPr>
          <w:rFonts w:ascii="Times New Roman" w:hAnsi="Times New Roman" w:cs="Times New Roman"/>
          <w:sz w:val="24"/>
          <w:szCs w:val="24"/>
        </w:rPr>
        <w:t>ack-</w:t>
      </w:r>
      <w:r w:rsidR="008E65DC" w:rsidRPr="002D2B16">
        <w:rPr>
          <w:rFonts w:ascii="Times New Roman" w:hAnsi="Times New Roman" w:cs="Times New Roman"/>
          <w:sz w:val="24"/>
          <w:szCs w:val="24"/>
        </w:rPr>
        <w:t>U</w:t>
      </w:r>
      <w:r w:rsidR="000C3C59" w:rsidRPr="002D2B16">
        <w:rPr>
          <w:rFonts w:ascii="Times New Roman" w:hAnsi="Times New Roman" w:cs="Times New Roman"/>
          <w:sz w:val="24"/>
          <w:szCs w:val="24"/>
        </w:rPr>
        <w:t xml:space="preserve">p </w:t>
      </w:r>
      <w:r w:rsidR="00724670" w:rsidRPr="002D2B16">
        <w:rPr>
          <w:rFonts w:ascii="Times New Roman" w:hAnsi="Times New Roman" w:cs="Times New Roman"/>
          <w:sz w:val="24"/>
          <w:szCs w:val="24"/>
        </w:rPr>
        <w:t xml:space="preserve">(“BU”) </w:t>
      </w:r>
      <w:r w:rsidR="000C3C59" w:rsidRPr="002D2B16">
        <w:rPr>
          <w:rFonts w:ascii="Times New Roman" w:hAnsi="Times New Roman" w:cs="Times New Roman"/>
          <w:sz w:val="24"/>
          <w:szCs w:val="24"/>
        </w:rPr>
        <w:t>service</w:t>
      </w:r>
      <w:r w:rsidR="00E22B33" w:rsidRPr="002D2B16">
        <w:rPr>
          <w:rFonts w:ascii="Times New Roman" w:hAnsi="Times New Roman" w:cs="Times New Roman"/>
          <w:sz w:val="24"/>
          <w:szCs w:val="24"/>
        </w:rPr>
        <w:t xml:space="preserve">. This also requires changes to the BU tariff to allow RTP customers to subscribe </w:t>
      </w:r>
      <w:r w:rsidR="00A359E2" w:rsidRPr="002D2B16">
        <w:rPr>
          <w:rFonts w:ascii="Times New Roman" w:hAnsi="Times New Roman" w:cs="Times New Roman"/>
          <w:sz w:val="24"/>
          <w:szCs w:val="24"/>
        </w:rPr>
        <w:t xml:space="preserve">to </w:t>
      </w:r>
      <w:r w:rsidR="00E22B33" w:rsidRPr="002D2B16">
        <w:rPr>
          <w:rFonts w:ascii="Times New Roman" w:hAnsi="Times New Roman" w:cs="Times New Roman"/>
          <w:sz w:val="24"/>
          <w:szCs w:val="24"/>
        </w:rPr>
        <w:t>and pay for BU</w:t>
      </w:r>
      <w:r w:rsidR="000C3C59" w:rsidRPr="002D2B16">
        <w:rPr>
          <w:rFonts w:ascii="Times New Roman" w:hAnsi="Times New Roman" w:cs="Times New Roman"/>
          <w:sz w:val="24"/>
          <w:szCs w:val="24"/>
        </w:rPr>
        <w:t xml:space="preserve">; </w:t>
      </w:r>
    </w:p>
    <w:p w14:paraId="53DB4064" w14:textId="7D56D305" w:rsidR="00616D22" w:rsidRPr="002D2B16" w:rsidRDefault="00386F1D" w:rsidP="00BA1325">
      <w:pPr>
        <w:pStyle w:val="ListParagraph"/>
        <w:numPr>
          <w:ilvl w:val="0"/>
          <w:numId w:val="4"/>
        </w:numPr>
        <w:spacing w:after="240" w:line="480" w:lineRule="auto"/>
        <w:contextualSpacing w:val="0"/>
        <w:jc w:val="both"/>
        <w:rPr>
          <w:rFonts w:ascii="Times New Roman" w:hAnsi="Times New Roman" w:cs="Times New Roman"/>
          <w:sz w:val="24"/>
          <w:szCs w:val="24"/>
        </w:rPr>
      </w:pPr>
      <w:r w:rsidRPr="002D2B16">
        <w:rPr>
          <w:rFonts w:ascii="Times New Roman" w:hAnsi="Times New Roman" w:cs="Times New Roman"/>
          <w:sz w:val="24"/>
          <w:szCs w:val="24"/>
        </w:rPr>
        <w:lastRenderedPageBreak/>
        <w:t xml:space="preserve">To continue the current and longstanding collection methodology for the Environmental Compliance Cost Recovery (“ECCR”) </w:t>
      </w:r>
      <w:r w:rsidR="008655C0" w:rsidRPr="002D2B16">
        <w:rPr>
          <w:rFonts w:ascii="Times New Roman" w:hAnsi="Times New Roman" w:cs="Times New Roman"/>
          <w:sz w:val="24"/>
          <w:szCs w:val="24"/>
        </w:rPr>
        <w:t xml:space="preserve">schedule </w:t>
      </w:r>
      <w:r w:rsidRPr="002D2B16">
        <w:rPr>
          <w:rFonts w:ascii="Times New Roman" w:hAnsi="Times New Roman" w:cs="Times New Roman"/>
          <w:sz w:val="24"/>
          <w:szCs w:val="24"/>
        </w:rPr>
        <w:t>as a percentage of base bill calculations</w:t>
      </w:r>
      <w:r w:rsidR="008655C0" w:rsidRPr="002D2B16">
        <w:rPr>
          <w:rFonts w:ascii="Times New Roman" w:hAnsi="Times New Roman" w:cs="Times New Roman"/>
          <w:sz w:val="24"/>
          <w:szCs w:val="24"/>
        </w:rPr>
        <w:t>,</w:t>
      </w:r>
      <w:r w:rsidRPr="002D2B16">
        <w:rPr>
          <w:rFonts w:ascii="Times New Roman" w:hAnsi="Times New Roman" w:cs="Times New Roman"/>
          <w:sz w:val="24"/>
          <w:szCs w:val="24"/>
        </w:rPr>
        <w:t xml:space="preserve"> and excluding RTP incremental usage revenue;</w:t>
      </w:r>
    </w:p>
    <w:p w14:paraId="55A8175C" w14:textId="77777777" w:rsidR="00386F1D" w:rsidRPr="002D2B16" w:rsidRDefault="00386F1D" w:rsidP="00386F1D">
      <w:pPr>
        <w:pStyle w:val="ListParagraph"/>
        <w:numPr>
          <w:ilvl w:val="0"/>
          <w:numId w:val="4"/>
        </w:numPr>
        <w:spacing w:after="240" w:line="480" w:lineRule="auto"/>
        <w:contextualSpacing w:val="0"/>
        <w:jc w:val="both"/>
        <w:rPr>
          <w:rFonts w:ascii="Times New Roman" w:hAnsi="Times New Roman" w:cs="Times New Roman"/>
          <w:sz w:val="24"/>
          <w:szCs w:val="24"/>
        </w:rPr>
      </w:pPr>
      <w:r w:rsidRPr="002D2B16">
        <w:rPr>
          <w:rFonts w:ascii="Times New Roman" w:hAnsi="Times New Roman" w:cs="Times New Roman"/>
          <w:sz w:val="24"/>
          <w:szCs w:val="24"/>
        </w:rPr>
        <w:t xml:space="preserve">An authorized return on equity (“ROE”) of 9.47%; </w:t>
      </w:r>
    </w:p>
    <w:p w14:paraId="690389BE" w14:textId="030D4CFC" w:rsidR="00616D22" w:rsidRPr="002D2B16" w:rsidRDefault="00314F94" w:rsidP="00BA1325">
      <w:pPr>
        <w:pStyle w:val="ListParagraph"/>
        <w:numPr>
          <w:ilvl w:val="0"/>
          <w:numId w:val="4"/>
        </w:numPr>
        <w:spacing w:after="240" w:line="480" w:lineRule="auto"/>
        <w:contextualSpacing w:val="0"/>
        <w:jc w:val="both"/>
        <w:rPr>
          <w:rFonts w:ascii="Times New Roman" w:hAnsi="Times New Roman" w:cs="Times New Roman"/>
          <w:sz w:val="24"/>
          <w:szCs w:val="24"/>
        </w:rPr>
      </w:pPr>
      <w:r w:rsidRPr="002D2B16">
        <w:rPr>
          <w:rFonts w:ascii="Times New Roman" w:hAnsi="Times New Roman" w:cs="Times New Roman"/>
          <w:sz w:val="24"/>
          <w:szCs w:val="24"/>
        </w:rPr>
        <w:t>For t</w:t>
      </w:r>
      <w:r w:rsidR="00B14E21" w:rsidRPr="002D2B16">
        <w:rPr>
          <w:rFonts w:ascii="Times New Roman" w:hAnsi="Times New Roman" w:cs="Times New Roman"/>
          <w:sz w:val="24"/>
          <w:szCs w:val="24"/>
        </w:rPr>
        <w:t>he earnings band around the target</w:t>
      </w:r>
      <w:r w:rsidR="009231F8" w:rsidRPr="002D2B16">
        <w:rPr>
          <w:rFonts w:ascii="Times New Roman" w:hAnsi="Times New Roman" w:cs="Times New Roman"/>
          <w:sz w:val="24"/>
          <w:szCs w:val="24"/>
        </w:rPr>
        <w:t xml:space="preserve"> ROE</w:t>
      </w:r>
      <w:r w:rsidR="00B14E21" w:rsidRPr="002D2B16">
        <w:rPr>
          <w:rFonts w:ascii="Times New Roman" w:hAnsi="Times New Roman" w:cs="Times New Roman"/>
          <w:sz w:val="24"/>
          <w:szCs w:val="24"/>
        </w:rPr>
        <w:t xml:space="preserve"> to </w:t>
      </w:r>
      <w:r w:rsidRPr="002D2B16">
        <w:rPr>
          <w:rFonts w:ascii="Times New Roman" w:hAnsi="Times New Roman" w:cs="Times New Roman"/>
          <w:sz w:val="24"/>
          <w:szCs w:val="24"/>
        </w:rPr>
        <w:t xml:space="preserve">be established at </w:t>
      </w:r>
      <w:r w:rsidR="00B14E21" w:rsidRPr="002D2B16">
        <w:rPr>
          <w:rFonts w:ascii="Times New Roman" w:hAnsi="Times New Roman" w:cs="Times New Roman"/>
          <w:sz w:val="24"/>
          <w:szCs w:val="24"/>
        </w:rPr>
        <w:t xml:space="preserve">100 basis points, as originally designed when the </w:t>
      </w:r>
      <w:r w:rsidR="004446F0" w:rsidRPr="002D2B16">
        <w:rPr>
          <w:rFonts w:ascii="Times New Roman" w:hAnsi="Times New Roman" w:cs="Times New Roman"/>
          <w:sz w:val="24"/>
          <w:szCs w:val="24"/>
        </w:rPr>
        <w:t>Alternate Rate Plan (“</w:t>
      </w:r>
      <w:r w:rsidR="00B14E21" w:rsidRPr="002D2B16">
        <w:rPr>
          <w:rFonts w:ascii="Times New Roman" w:hAnsi="Times New Roman" w:cs="Times New Roman"/>
          <w:sz w:val="24"/>
          <w:szCs w:val="24"/>
        </w:rPr>
        <w:t>ARP</w:t>
      </w:r>
      <w:r w:rsidR="004446F0" w:rsidRPr="002D2B16">
        <w:rPr>
          <w:rFonts w:ascii="Times New Roman" w:hAnsi="Times New Roman" w:cs="Times New Roman"/>
          <w:sz w:val="24"/>
          <w:szCs w:val="24"/>
        </w:rPr>
        <w:t>”)</w:t>
      </w:r>
      <w:r w:rsidR="00B14E21" w:rsidRPr="002D2B16">
        <w:rPr>
          <w:rFonts w:ascii="Times New Roman" w:hAnsi="Times New Roman" w:cs="Times New Roman"/>
          <w:sz w:val="24"/>
          <w:szCs w:val="24"/>
        </w:rPr>
        <w:t xml:space="preserve"> was first approved</w:t>
      </w:r>
      <w:r w:rsidR="00D06F32" w:rsidRPr="002D2B16">
        <w:rPr>
          <w:rFonts w:ascii="Times New Roman" w:hAnsi="Times New Roman" w:cs="Times New Roman"/>
          <w:sz w:val="24"/>
          <w:szCs w:val="24"/>
        </w:rPr>
        <w:t>,</w:t>
      </w:r>
      <w:r w:rsidR="00416801" w:rsidRPr="002D2B16">
        <w:rPr>
          <w:rFonts w:ascii="Times New Roman" w:hAnsi="Times New Roman" w:cs="Times New Roman"/>
          <w:sz w:val="24"/>
          <w:szCs w:val="24"/>
        </w:rPr>
        <w:t xml:space="preserve"> and </w:t>
      </w:r>
      <w:r w:rsidR="00C35306" w:rsidRPr="002D2B16">
        <w:rPr>
          <w:rFonts w:ascii="Times New Roman" w:hAnsi="Times New Roman" w:cs="Times New Roman"/>
          <w:sz w:val="24"/>
          <w:szCs w:val="24"/>
        </w:rPr>
        <w:t>eliminate or reduce the 20% of earnings retained by GPC for amounts above the earnings ROE band</w:t>
      </w:r>
      <w:r w:rsidR="000C3C59" w:rsidRPr="002D2B16">
        <w:rPr>
          <w:rFonts w:ascii="Times New Roman" w:hAnsi="Times New Roman" w:cs="Times New Roman"/>
          <w:sz w:val="24"/>
          <w:szCs w:val="24"/>
        </w:rPr>
        <w:t xml:space="preserve">; </w:t>
      </w:r>
    </w:p>
    <w:p w14:paraId="57635DC4" w14:textId="22772F2F" w:rsidR="00616D22" w:rsidRPr="002D2B16" w:rsidRDefault="00DA619E" w:rsidP="00BA1325">
      <w:pPr>
        <w:pStyle w:val="ListParagraph"/>
        <w:numPr>
          <w:ilvl w:val="0"/>
          <w:numId w:val="4"/>
        </w:numPr>
        <w:spacing w:after="240" w:line="480" w:lineRule="auto"/>
        <w:contextualSpacing w:val="0"/>
        <w:jc w:val="both"/>
        <w:rPr>
          <w:rFonts w:ascii="Times New Roman" w:hAnsi="Times New Roman" w:cs="Times New Roman"/>
          <w:sz w:val="24"/>
          <w:szCs w:val="24"/>
        </w:rPr>
      </w:pPr>
      <w:r w:rsidRPr="002D2B16">
        <w:rPr>
          <w:rFonts w:ascii="Times New Roman" w:hAnsi="Times New Roman" w:cs="Times New Roman"/>
          <w:sz w:val="24"/>
          <w:szCs w:val="24"/>
        </w:rPr>
        <w:t>M</w:t>
      </w:r>
      <w:r w:rsidR="000C3C59" w:rsidRPr="002D2B16">
        <w:rPr>
          <w:rFonts w:ascii="Times New Roman" w:hAnsi="Times New Roman" w:cs="Times New Roman"/>
          <w:sz w:val="24"/>
          <w:szCs w:val="24"/>
        </w:rPr>
        <w:t>ovement toward co</w:t>
      </w:r>
      <w:r w:rsidR="00616D22" w:rsidRPr="002D2B16">
        <w:rPr>
          <w:rFonts w:ascii="Times New Roman" w:hAnsi="Times New Roman" w:cs="Times New Roman"/>
          <w:sz w:val="24"/>
          <w:szCs w:val="24"/>
        </w:rPr>
        <w:t>st</w:t>
      </w:r>
      <w:r w:rsidR="000C3C59" w:rsidRPr="002D2B16">
        <w:rPr>
          <w:rFonts w:ascii="Times New Roman" w:hAnsi="Times New Roman" w:cs="Times New Roman"/>
          <w:sz w:val="24"/>
          <w:szCs w:val="24"/>
        </w:rPr>
        <w:t>-based rates</w:t>
      </w:r>
      <w:r w:rsidR="00616D22" w:rsidRPr="002D2B16">
        <w:rPr>
          <w:rFonts w:ascii="Times New Roman" w:hAnsi="Times New Roman" w:cs="Times New Roman"/>
          <w:sz w:val="24"/>
          <w:szCs w:val="24"/>
        </w:rPr>
        <w:t xml:space="preserve"> rather that applying an </w:t>
      </w:r>
      <w:r w:rsidR="00300140" w:rsidRPr="002D2B16">
        <w:rPr>
          <w:rFonts w:ascii="Times New Roman" w:hAnsi="Times New Roman" w:cs="Times New Roman"/>
          <w:sz w:val="24"/>
          <w:szCs w:val="24"/>
        </w:rPr>
        <w:t>across-the-board</w:t>
      </w:r>
      <w:r w:rsidR="00616D22" w:rsidRPr="002D2B16">
        <w:rPr>
          <w:rFonts w:ascii="Times New Roman" w:hAnsi="Times New Roman" w:cs="Times New Roman"/>
          <w:sz w:val="24"/>
          <w:szCs w:val="24"/>
        </w:rPr>
        <w:t xml:space="preserve"> rate increase to all rate classes</w:t>
      </w:r>
      <w:r w:rsidR="000C3C59" w:rsidRPr="002D2B16">
        <w:rPr>
          <w:rFonts w:ascii="Times New Roman" w:hAnsi="Times New Roman" w:cs="Times New Roman"/>
          <w:sz w:val="24"/>
          <w:szCs w:val="24"/>
        </w:rPr>
        <w:t xml:space="preserve"> using guidance from </w:t>
      </w:r>
      <w:r w:rsidR="00616D22" w:rsidRPr="002D2B16">
        <w:rPr>
          <w:rFonts w:ascii="Times New Roman" w:hAnsi="Times New Roman" w:cs="Times New Roman"/>
          <w:sz w:val="24"/>
          <w:szCs w:val="24"/>
        </w:rPr>
        <w:t>GPC’s</w:t>
      </w:r>
      <w:r w:rsidR="000C3C59" w:rsidRPr="002D2B16">
        <w:rPr>
          <w:rFonts w:ascii="Times New Roman" w:hAnsi="Times New Roman" w:cs="Times New Roman"/>
          <w:sz w:val="24"/>
          <w:szCs w:val="24"/>
        </w:rPr>
        <w:t xml:space="preserve"> filed</w:t>
      </w:r>
      <w:r w:rsidR="00616D22" w:rsidRPr="002D2B16">
        <w:rPr>
          <w:rFonts w:ascii="Times New Roman" w:hAnsi="Times New Roman" w:cs="Times New Roman"/>
          <w:sz w:val="24"/>
          <w:szCs w:val="24"/>
        </w:rPr>
        <w:t xml:space="preserve"> Class Cost </w:t>
      </w:r>
      <w:r w:rsidR="007A6ECB" w:rsidRPr="002D2B16">
        <w:rPr>
          <w:rFonts w:ascii="Times New Roman" w:hAnsi="Times New Roman" w:cs="Times New Roman"/>
          <w:sz w:val="24"/>
          <w:szCs w:val="24"/>
        </w:rPr>
        <w:t>o</w:t>
      </w:r>
      <w:r w:rsidR="00616D22" w:rsidRPr="002D2B16">
        <w:rPr>
          <w:rFonts w:ascii="Times New Roman" w:hAnsi="Times New Roman" w:cs="Times New Roman"/>
          <w:sz w:val="24"/>
          <w:szCs w:val="24"/>
        </w:rPr>
        <w:t>f Service Study (“CCOSS”)</w:t>
      </w:r>
      <w:r w:rsidR="001F76B3" w:rsidRPr="002D2B16">
        <w:rPr>
          <w:rFonts w:ascii="Times New Roman" w:hAnsi="Times New Roman" w:cs="Times New Roman"/>
          <w:sz w:val="24"/>
          <w:szCs w:val="24"/>
        </w:rPr>
        <w:t>,</w:t>
      </w:r>
      <w:r w:rsidR="00E22B33" w:rsidRPr="002D2B16">
        <w:rPr>
          <w:rFonts w:ascii="Times New Roman" w:hAnsi="Times New Roman" w:cs="Times New Roman"/>
          <w:sz w:val="24"/>
          <w:szCs w:val="24"/>
        </w:rPr>
        <w:t xml:space="preserve"> using the </w:t>
      </w:r>
      <w:r w:rsidR="008655C0" w:rsidRPr="002D2B16">
        <w:rPr>
          <w:rFonts w:ascii="Times New Roman" w:hAnsi="Times New Roman" w:cs="Times New Roman"/>
          <w:sz w:val="24"/>
          <w:szCs w:val="24"/>
        </w:rPr>
        <w:t>4-Coincident Peak (“4-CP”)</w:t>
      </w:r>
      <w:r w:rsidR="00E22B33" w:rsidRPr="002D2B16">
        <w:rPr>
          <w:rFonts w:ascii="Times New Roman" w:hAnsi="Times New Roman" w:cs="Times New Roman"/>
          <w:sz w:val="24"/>
          <w:szCs w:val="24"/>
        </w:rPr>
        <w:t xml:space="preserve"> allocation for production costs</w:t>
      </w:r>
      <w:r w:rsidR="00616D22" w:rsidRPr="002D2B16">
        <w:rPr>
          <w:rFonts w:ascii="Times New Roman" w:hAnsi="Times New Roman" w:cs="Times New Roman"/>
          <w:sz w:val="24"/>
          <w:szCs w:val="24"/>
        </w:rPr>
        <w:t>;</w:t>
      </w:r>
      <w:r w:rsidR="00616D22" w:rsidRPr="002D2B16">
        <w:rPr>
          <w:rStyle w:val="FootnoteReference"/>
          <w:rFonts w:ascii="Times New Roman" w:hAnsi="Times New Roman" w:cs="Times New Roman"/>
          <w:sz w:val="24"/>
          <w:szCs w:val="24"/>
        </w:rPr>
        <w:footnoteReference w:id="3"/>
      </w:r>
      <w:r w:rsidR="00616D22" w:rsidRPr="002D2B16">
        <w:rPr>
          <w:rFonts w:ascii="Times New Roman" w:hAnsi="Times New Roman" w:cs="Times New Roman"/>
          <w:sz w:val="24"/>
          <w:szCs w:val="24"/>
        </w:rPr>
        <w:t xml:space="preserve"> </w:t>
      </w:r>
    </w:p>
    <w:p w14:paraId="425F8200" w14:textId="7F638CA4" w:rsidR="00620781" w:rsidRPr="002D2B16" w:rsidRDefault="00C02068" w:rsidP="00AE2E46">
      <w:pPr>
        <w:pStyle w:val="ListParagraph"/>
        <w:numPr>
          <w:ilvl w:val="0"/>
          <w:numId w:val="4"/>
        </w:numPr>
        <w:spacing w:after="240" w:line="480" w:lineRule="auto"/>
        <w:contextualSpacing w:val="0"/>
        <w:jc w:val="both"/>
        <w:rPr>
          <w:rFonts w:ascii="Times New Roman" w:hAnsi="Times New Roman" w:cs="Times New Roman"/>
          <w:sz w:val="24"/>
          <w:szCs w:val="24"/>
        </w:rPr>
      </w:pPr>
      <w:bookmarkStart w:id="2" w:name="_Hlk121208966"/>
      <w:bookmarkStart w:id="3" w:name="_Hlk121224988"/>
      <w:r w:rsidRPr="002D2B16">
        <w:rPr>
          <w:rFonts w:ascii="Times New Roman" w:hAnsi="Times New Roman" w:cs="Times New Roman"/>
          <w:sz w:val="24"/>
          <w:szCs w:val="24"/>
        </w:rPr>
        <w:t>D</w:t>
      </w:r>
      <w:r w:rsidR="00F2152E" w:rsidRPr="002D2B16">
        <w:rPr>
          <w:rFonts w:ascii="Times New Roman" w:hAnsi="Times New Roman" w:cs="Times New Roman"/>
          <w:sz w:val="24"/>
          <w:szCs w:val="24"/>
        </w:rPr>
        <w:t>o</w:t>
      </w:r>
      <w:r w:rsidRPr="002D2B16">
        <w:rPr>
          <w:rFonts w:ascii="Times New Roman" w:hAnsi="Times New Roman" w:cs="Times New Roman"/>
          <w:sz w:val="24"/>
          <w:szCs w:val="24"/>
        </w:rPr>
        <w:t>D/FEA supports</w:t>
      </w:r>
      <w:r w:rsidR="008655C0" w:rsidRPr="002D2B16">
        <w:rPr>
          <w:rFonts w:ascii="Times New Roman" w:hAnsi="Times New Roman" w:cs="Times New Roman"/>
        </w:rPr>
        <w:t xml:space="preserve"> </w:t>
      </w:r>
      <w:r w:rsidR="008655C0" w:rsidRPr="002D2B16">
        <w:rPr>
          <w:rFonts w:ascii="Times New Roman" w:hAnsi="Times New Roman" w:cs="Times New Roman"/>
          <w:sz w:val="24"/>
          <w:szCs w:val="24"/>
        </w:rPr>
        <w:t>Georgia Association of Manufacturers’ (</w:t>
      </w:r>
      <w:r w:rsidR="0098268D" w:rsidRPr="002D2B16">
        <w:rPr>
          <w:rFonts w:ascii="Times New Roman" w:hAnsi="Times New Roman" w:cs="Times New Roman"/>
          <w:sz w:val="24"/>
          <w:szCs w:val="24"/>
        </w:rPr>
        <w:t>“</w:t>
      </w:r>
      <w:r w:rsidRPr="002D2B16">
        <w:rPr>
          <w:rFonts w:ascii="Times New Roman" w:hAnsi="Times New Roman" w:cs="Times New Roman"/>
          <w:sz w:val="24"/>
          <w:szCs w:val="24"/>
        </w:rPr>
        <w:t>GAM’s</w:t>
      </w:r>
      <w:r w:rsidR="0098268D" w:rsidRPr="002D2B16">
        <w:rPr>
          <w:rFonts w:ascii="Times New Roman" w:hAnsi="Times New Roman" w:cs="Times New Roman"/>
          <w:sz w:val="24"/>
          <w:szCs w:val="24"/>
        </w:rPr>
        <w:t>”</w:t>
      </w:r>
      <w:r w:rsidR="008655C0" w:rsidRPr="002D2B16">
        <w:rPr>
          <w:rFonts w:ascii="Times New Roman" w:hAnsi="Times New Roman" w:cs="Times New Roman"/>
          <w:sz w:val="24"/>
          <w:szCs w:val="24"/>
        </w:rPr>
        <w:t>)</w:t>
      </w:r>
      <w:r w:rsidRPr="002D2B16">
        <w:rPr>
          <w:rFonts w:ascii="Times New Roman" w:hAnsi="Times New Roman" w:cs="Times New Roman"/>
          <w:sz w:val="24"/>
          <w:szCs w:val="24"/>
        </w:rPr>
        <w:t xml:space="preserve"> recommendation to use 4-CP in the allocation of production costs, which will align GPC</w:t>
      </w:r>
      <w:r w:rsidR="008655C0" w:rsidRPr="002D2B16">
        <w:rPr>
          <w:rFonts w:ascii="Times New Roman" w:hAnsi="Times New Roman" w:cs="Times New Roman"/>
          <w:sz w:val="24"/>
          <w:szCs w:val="24"/>
        </w:rPr>
        <w:t>-filed</w:t>
      </w:r>
      <w:r w:rsidRPr="002D2B16">
        <w:rPr>
          <w:rFonts w:ascii="Times New Roman" w:hAnsi="Times New Roman" w:cs="Times New Roman"/>
          <w:sz w:val="24"/>
          <w:szCs w:val="24"/>
        </w:rPr>
        <w:t xml:space="preserve"> CCOSS more closely with industry practice. The</w:t>
      </w:r>
      <w:r w:rsidR="008655C0" w:rsidRPr="002D2B16">
        <w:rPr>
          <w:rFonts w:ascii="Times New Roman" w:hAnsi="Times New Roman" w:cs="Times New Roman"/>
        </w:rPr>
        <w:t xml:space="preserve"> </w:t>
      </w:r>
      <w:r w:rsidR="008655C0" w:rsidRPr="002D2B16">
        <w:rPr>
          <w:rFonts w:ascii="Times New Roman" w:hAnsi="Times New Roman" w:cs="Times New Roman"/>
          <w:sz w:val="24"/>
          <w:szCs w:val="24"/>
        </w:rPr>
        <w:t>Base-Intermediate-Peak (“</w:t>
      </w:r>
      <w:r w:rsidRPr="002D2B16">
        <w:rPr>
          <w:rFonts w:ascii="Times New Roman" w:hAnsi="Times New Roman" w:cs="Times New Roman"/>
          <w:sz w:val="24"/>
          <w:szCs w:val="24"/>
        </w:rPr>
        <w:t>BIP</w:t>
      </w:r>
      <w:r w:rsidR="008655C0" w:rsidRPr="002D2B16">
        <w:rPr>
          <w:rFonts w:ascii="Times New Roman" w:hAnsi="Times New Roman" w:cs="Times New Roman"/>
          <w:sz w:val="24"/>
          <w:szCs w:val="24"/>
        </w:rPr>
        <w:t>”) allocation</w:t>
      </w:r>
      <w:r w:rsidRPr="002D2B16">
        <w:rPr>
          <w:rFonts w:ascii="Times New Roman" w:hAnsi="Times New Roman" w:cs="Times New Roman"/>
          <w:sz w:val="24"/>
          <w:szCs w:val="24"/>
        </w:rPr>
        <w:t xml:space="preserve"> method recommended by </w:t>
      </w:r>
      <w:r w:rsidR="00FF7383">
        <w:rPr>
          <w:rFonts w:ascii="Times New Roman" w:hAnsi="Times New Roman" w:cs="Times New Roman"/>
          <w:sz w:val="24"/>
          <w:szCs w:val="24"/>
        </w:rPr>
        <w:t xml:space="preserve">Public Interest Advocacy (“PIA”) </w:t>
      </w:r>
      <w:r w:rsidRPr="002D2B16">
        <w:rPr>
          <w:rFonts w:ascii="Times New Roman" w:hAnsi="Times New Roman" w:cs="Times New Roman"/>
          <w:sz w:val="24"/>
          <w:szCs w:val="24"/>
        </w:rPr>
        <w:t>Staff should be rejected</w:t>
      </w:r>
      <w:r w:rsidR="0098268D" w:rsidRPr="002D2B16">
        <w:rPr>
          <w:rFonts w:ascii="Times New Roman" w:hAnsi="Times New Roman" w:cs="Times New Roman"/>
          <w:sz w:val="24"/>
          <w:szCs w:val="24"/>
        </w:rPr>
        <w:t>,</w:t>
      </w:r>
      <w:r w:rsidRPr="002D2B16">
        <w:rPr>
          <w:rFonts w:ascii="Times New Roman" w:hAnsi="Times New Roman" w:cs="Times New Roman"/>
          <w:sz w:val="24"/>
          <w:szCs w:val="24"/>
        </w:rPr>
        <w:t xml:space="preserve"> as it is </w:t>
      </w:r>
      <w:r w:rsidR="0098268D" w:rsidRPr="002D2B16">
        <w:rPr>
          <w:rFonts w:ascii="Times New Roman" w:hAnsi="Times New Roman" w:cs="Times New Roman"/>
          <w:sz w:val="24"/>
          <w:szCs w:val="24"/>
        </w:rPr>
        <w:t xml:space="preserve">both </w:t>
      </w:r>
      <w:r w:rsidRPr="002D2B16">
        <w:rPr>
          <w:rFonts w:ascii="Times New Roman" w:hAnsi="Times New Roman" w:cs="Times New Roman"/>
          <w:sz w:val="24"/>
          <w:szCs w:val="24"/>
        </w:rPr>
        <w:t>flawed and not widely accepted</w:t>
      </w:r>
      <w:r w:rsidR="00386F1D" w:rsidRPr="002D2B16">
        <w:rPr>
          <w:rFonts w:ascii="Times New Roman" w:hAnsi="Times New Roman" w:cs="Times New Roman"/>
          <w:sz w:val="24"/>
          <w:szCs w:val="24"/>
        </w:rPr>
        <w:t>;</w:t>
      </w:r>
      <w:bookmarkEnd w:id="2"/>
      <w:bookmarkEnd w:id="3"/>
      <w:r w:rsidR="001E228E" w:rsidRPr="002D2B16">
        <w:rPr>
          <w:rFonts w:ascii="Times New Roman" w:hAnsi="Times New Roman" w:cs="Times New Roman"/>
          <w:sz w:val="24"/>
          <w:szCs w:val="24"/>
        </w:rPr>
        <w:t xml:space="preserve"> </w:t>
      </w:r>
      <w:r w:rsidR="009304C8" w:rsidRPr="002D2B16">
        <w:rPr>
          <w:rFonts w:ascii="Times New Roman" w:hAnsi="Times New Roman" w:cs="Times New Roman"/>
          <w:sz w:val="24"/>
          <w:szCs w:val="24"/>
        </w:rPr>
        <w:t>and</w:t>
      </w:r>
      <w:r w:rsidR="00620781" w:rsidRPr="002D2B16">
        <w:rPr>
          <w:rFonts w:ascii="Times New Roman" w:hAnsi="Times New Roman" w:cs="Times New Roman"/>
          <w:sz w:val="24"/>
          <w:szCs w:val="24"/>
        </w:rPr>
        <w:t xml:space="preserve"> </w:t>
      </w:r>
    </w:p>
    <w:p w14:paraId="21C598BB" w14:textId="7BDEAFA0" w:rsidR="00616D22" w:rsidRPr="002D2B16" w:rsidRDefault="007F6C27" w:rsidP="00BA1325">
      <w:pPr>
        <w:pStyle w:val="ListParagraph"/>
        <w:numPr>
          <w:ilvl w:val="0"/>
          <w:numId w:val="4"/>
        </w:numPr>
        <w:spacing w:after="240" w:line="480" w:lineRule="auto"/>
        <w:contextualSpacing w:val="0"/>
        <w:jc w:val="both"/>
        <w:rPr>
          <w:rFonts w:ascii="Times New Roman" w:hAnsi="Times New Roman" w:cs="Times New Roman"/>
          <w:sz w:val="24"/>
          <w:szCs w:val="24"/>
        </w:rPr>
      </w:pPr>
      <w:r w:rsidRPr="002D2B16">
        <w:rPr>
          <w:rFonts w:ascii="Times New Roman" w:hAnsi="Times New Roman" w:cs="Times New Roman"/>
          <w:sz w:val="24"/>
          <w:szCs w:val="24"/>
        </w:rPr>
        <w:t>I</w:t>
      </w:r>
      <w:r w:rsidR="00616D22" w:rsidRPr="002D2B16">
        <w:rPr>
          <w:rFonts w:ascii="Times New Roman" w:hAnsi="Times New Roman" w:cs="Times New Roman"/>
          <w:sz w:val="24"/>
          <w:szCs w:val="24"/>
        </w:rPr>
        <w:t xml:space="preserve">nclusion of schedules, similar to the Minimum Filing Requirement (“MFR”) schedules, for the next rate case that match the actual revenue proposed by </w:t>
      </w:r>
      <w:r w:rsidRPr="002D2B16">
        <w:rPr>
          <w:rFonts w:ascii="Times New Roman" w:hAnsi="Times New Roman" w:cs="Times New Roman"/>
          <w:sz w:val="24"/>
          <w:szCs w:val="24"/>
        </w:rPr>
        <w:t>GPC</w:t>
      </w:r>
      <w:r w:rsidR="00616D22" w:rsidRPr="002D2B16">
        <w:rPr>
          <w:rFonts w:ascii="Times New Roman" w:hAnsi="Times New Roman" w:cs="Times New Roman"/>
          <w:sz w:val="24"/>
          <w:szCs w:val="24"/>
        </w:rPr>
        <w:t xml:space="preserve"> for </w:t>
      </w:r>
      <w:r w:rsidR="00616D22" w:rsidRPr="002D2B16">
        <w:rPr>
          <w:rFonts w:ascii="Times New Roman" w:hAnsi="Times New Roman" w:cs="Times New Roman"/>
          <w:sz w:val="24"/>
          <w:szCs w:val="24"/>
        </w:rPr>
        <w:lastRenderedPageBreak/>
        <w:t>the first, second</w:t>
      </w:r>
      <w:r w:rsidRPr="002D2B16">
        <w:rPr>
          <w:rFonts w:ascii="Times New Roman" w:hAnsi="Times New Roman" w:cs="Times New Roman"/>
          <w:sz w:val="24"/>
          <w:szCs w:val="24"/>
        </w:rPr>
        <w:t>,</w:t>
      </w:r>
      <w:r w:rsidR="00616D22" w:rsidRPr="002D2B16">
        <w:rPr>
          <w:rFonts w:ascii="Times New Roman" w:hAnsi="Times New Roman" w:cs="Times New Roman"/>
          <w:sz w:val="24"/>
          <w:szCs w:val="24"/>
        </w:rPr>
        <w:t xml:space="preserve"> and third years of </w:t>
      </w:r>
      <w:r w:rsidRPr="002D2B16">
        <w:rPr>
          <w:rFonts w:ascii="Times New Roman" w:hAnsi="Times New Roman" w:cs="Times New Roman"/>
          <w:sz w:val="24"/>
          <w:szCs w:val="24"/>
        </w:rPr>
        <w:t xml:space="preserve">the Company’s </w:t>
      </w:r>
      <w:r w:rsidR="00616D22" w:rsidRPr="002D2B16">
        <w:rPr>
          <w:rFonts w:ascii="Times New Roman" w:hAnsi="Times New Roman" w:cs="Times New Roman"/>
          <w:sz w:val="24"/>
          <w:szCs w:val="24"/>
        </w:rPr>
        <w:t>three-year ARP so that these schedules better match the increases requested by the Company under the ARP</w:t>
      </w:r>
      <w:r w:rsidR="009304C8" w:rsidRPr="002D2B16">
        <w:rPr>
          <w:rFonts w:ascii="Times New Roman" w:hAnsi="Times New Roman" w:cs="Times New Roman"/>
          <w:sz w:val="24"/>
          <w:szCs w:val="24"/>
        </w:rPr>
        <w:t>.</w:t>
      </w:r>
      <w:r w:rsidR="00616D22" w:rsidRPr="002D2B16">
        <w:rPr>
          <w:rFonts w:ascii="Times New Roman" w:hAnsi="Times New Roman" w:cs="Times New Roman"/>
          <w:sz w:val="24"/>
          <w:szCs w:val="24"/>
        </w:rPr>
        <w:t xml:space="preserve"> </w:t>
      </w:r>
    </w:p>
    <w:p w14:paraId="448F40DB" w14:textId="40739CD4" w:rsidR="00386F1D" w:rsidRPr="002D2B16" w:rsidRDefault="00386F1D" w:rsidP="00386F1D">
      <w:pPr>
        <w:spacing w:after="0" w:line="480" w:lineRule="auto"/>
        <w:jc w:val="center"/>
        <w:rPr>
          <w:rFonts w:ascii="Times New Roman" w:hAnsi="Times New Roman" w:cs="Times New Roman"/>
          <w:b/>
          <w:sz w:val="24"/>
          <w:szCs w:val="24"/>
        </w:rPr>
      </w:pPr>
      <w:r w:rsidRPr="002D2B16">
        <w:rPr>
          <w:rFonts w:ascii="Times New Roman" w:hAnsi="Times New Roman" w:cs="Times New Roman"/>
          <w:b/>
          <w:sz w:val="24"/>
          <w:szCs w:val="24"/>
        </w:rPr>
        <w:t xml:space="preserve"> REVISION OF RTP TARIFF SCHEDULES TO ALLOW CBL REDUCTIONS BASED ON TWO YEARS OF HISTORICAL LOAD DATA</w:t>
      </w:r>
    </w:p>
    <w:p w14:paraId="46B7FBA8" w14:textId="563BF1FB" w:rsidR="00386F1D" w:rsidRPr="002D2B16" w:rsidRDefault="00386F1D" w:rsidP="00386F1D">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 xml:space="preserve">Customers seeking to reduce their CBL without load removal should be able to have their CBL reassessed based upon twenty-four months of historical data, while staying on their current RTP tariff schedule.  GPC has offered no rationale as to why a customer without load removal must “come off” RTP before GPC will reassess the CBL.  The current criteria for consideration of customer applications for a CBL reduction applied to the RTP tariff schedules </w:t>
      </w:r>
      <w:r w:rsidR="001524CB" w:rsidRPr="002D2B16">
        <w:rPr>
          <w:rFonts w:ascii="Times New Roman" w:hAnsi="Times New Roman" w:cs="Times New Roman"/>
          <w:sz w:val="24"/>
          <w:szCs w:val="24"/>
        </w:rPr>
        <w:t xml:space="preserve">are </w:t>
      </w:r>
      <w:r w:rsidRPr="002D2B16">
        <w:rPr>
          <w:rFonts w:ascii="Times New Roman" w:hAnsi="Times New Roman" w:cs="Times New Roman"/>
          <w:sz w:val="24"/>
          <w:szCs w:val="24"/>
        </w:rPr>
        <w:t xml:space="preserve">set forth </w:t>
      </w:r>
      <w:r w:rsidR="001524CB" w:rsidRPr="002D2B16">
        <w:rPr>
          <w:rFonts w:ascii="Times New Roman" w:hAnsi="Times New Roman" w:cs="Times New Roman"/>
          <w:sz w:val="24"/>
          <w:szCs w:val="24"/>
        </w:rPr>
        <w:t xml:space="preserve">in </w:t>
      </w:r>
      <w:r w:rsidRPr="002D2B16">
        <w:rPr>
          <w:rFonts w:ascii="Times New Roman" w:hAnsi="Times New Roman" w:cs="Times New Roman"/>
          <w:sz w:val="24"/>
          <w:szCs w:val="24"/>
        </w:rPr>
        <w:t xml:space="preserve">“Special Provisions” Section C – </w:t>
      </w:r>
      <w:r w:rsidRPr="002D2B16">
        <w:rPr>
          <w:rFonts w:ascii="Times New Roman" w:hAnsi="Times New Roman" w:cs="Times New Roman"/>
          <w:i/>
          <w:iCs/>
          <w:sz w:val="24"/>
          <w:szCs w:val="24"/>
        </w:rPr>
        <w:t>CBL Revisions</w:t>
      </w:r>
      <w:r w:rsidRPr="002D2B16">
        <w:rPr>
          <w:rFonts w:ascii="Times New Roman" w:hAnsi="Times New Roman" w:cs="Times New Roman"/>
          <w:sz w:val="24"/>
          <w:szCs w:val="24"/>
        </w:rPr>
        <w:t xml:space="preserve"> of the RTP tariff schedules. Noteworthy for discussion here is the last statement in that section, as follows: </w:t>
      </w:r>
    </w:p>
    <w:p w14:paraId="1B3E3DAA" w14:textId="77777777" w:rsidR="00386F1D" w:rsidRPr="002D2B16" w:rsidRDefault="00386F1D" w:rsidP="00386F1D">
      <w:pPr>
        <w:pStyle w:val="AnswerText"/>
        <w:numPr>
          <w:ilvl w:val="0"/>
          <w:numId w:val="0"/>
        </w:numPr>
        <w:spacing w:after="240" w:line="240" w:lineRule="auto"/>
        <w:ind w:left="2160" w:right="1440"/>
        <w:jc w:val="both"/>
      </w:pPr>
      <w:r w:rsidRPr="002D2B16">
        <w:t>If an existing RTP customer, without approved load removal, wants to come off RTP in an attempt to lower the CBL level, the customer must remain off RTP for a full twenty-four months. The new CBL would be established using current methods as previously described in this tariff.</w:t>
      </w:r>
    </w:p>
    <w:p w14:paraId="3DD0703C" w14:textId="54BEFE54" w:rsidR="00386F1D" w:rsidRPr="002D2B16" w:rsidRDefault="00386F1D" w:rsidP="00386F1D">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D</w:t>
      </w:r>
      <w:r w:rsidR="00F2152E" w:rsidRPr="002D2B16">
        <w:rPr>
          <w:rFonts w:ascii="Times New Roman" w:hAnsi="Times New Roman" w:cs="Times New Roman"/>
          <w:sz w:val="24"/>
          <w:szCs w:val="24"/>
        </w:rPr>
        <w:t>o</w:t>
      </w:r>
      <w:r w:rsidRPr="002D2B16">
        <w:rPr>
          <w:rFonts w:ascii="Times New Roman" w:hAnsi="Times New Roman" w:cs="Times New Roman"/>
          <w:sz w:val="24"/>
          <w:szCs w:val="24"/>
        </w:rPr>
        <w:t>D/FEA requests a modification to this language to allow an option for RTP customers to reduce their CBL through load reductions documented by historical meter data as follows:</w:t>
      </w:r>
      <w:r w:rsidRPr="002D2B16">
        <w:rPr>
          <w:rStyle w:val="FootnoteReference"/>
          <w:rFonts w:ascii="Times New Roman" w:hAnsi="Times New Roman" w:cs="Times New Roman"/>
          <w:sz w:val="24"/>
          <w:szCs w:val="24"/>
        </w:rPr>
        <w:footnoteReference w:id="4"/>
      </w:r>
      <w:r w:rsidRPr="002D2B16">
        <w:rPr>
          <w:rFonts w:ascii="Times New Roman" w:hAnsi="Times New Roman" w:cs="Times New Roman"/>
          <w:sz w:val="24"/>
          <w:szCs w:val="24"/>
        </w:rPr>
        <w:t xml:space="preserve"> </w:t>
      </w:r>
    </w:p>
    <w:p w14:paraId="006E8099" w14:textId="4759B3E5" w:rsidR="00386F1D" w:rsidRPr="002D2B16" w:rsidRDefault="00386F1D" w:rsidP="00386F1D">
      <w:pPr>
        <w:pStyle w:val="AnswerText"/>
        <w:numPr>
          <w:ilvl w:val="0"/>
          <w:numId w:val="0"/>
        </w:numPr>
        <w:spacing w:after="240" w:line="240" w:lineRule="auto"/>
        <w:ind w:left="2160" w:right="1440"/>
        <w:jc w:val="both"/>
      </w:pPr>
      <w:r w:rsidRPr="002D2B16">
        <w:t xml:space="preserve">If an existing RTP customer, without approved load removal, wants to </w:t>
      </w:r>
      <w:r w:rsidRPr="002D2B16">
        <w:rPr>
          <w:strike/>
        </w:rPr>
        <w:t>come off RTP in an attempt to</w:t>
      </w:r>
      <w:r w:rsidRPr="002D2B16">
        <w:t xml:space="preserve"> lower the CBL level, the customer must </w:t>
      </w:r>
      <w:r w:rsidRPr="002D2B16">
        <w:rPr>
          <w:strike/>
        </w:rPr>
        <w:t xml:space="preserve">remain off RTP for a full twenty-four months </w:t>
      </w:r>
      <w:r w:rsidRPr="002D2B16">
        <w:rPr>
          <w:u w:val="single"/>
        </w:rPr>
        <w:t xml:space="preserve">request reassessment of the CBL shape on an hourly basis. Such reassessment of the CBL shape by Georgia Power shall be based on twenty-four months of historical hourly metered load data for that customer. </w:t>
      </w:r>
      <w:r w:rsidRPr="002D2B16">
        <w:t xml:space="preserve">The </w:t>
      </w:r>
      <w:r w:rsidRPr="002D2B16">
        <w:lastRenderedPageBreak/>
        <w:t>new CBL would be established using current methods as previously described in this tariff.</w:t>
      </w:r>
      <w:r w:rsidRPr="002D2B16">
        <w:rPr>
          <w:rStyle w:val="FootnoteReference"/>
        </w:rPr>
        <w:footnoteReference w:id="5"/>
      </w:r>
    </w:p>
    <w:p w14:paraId="2A48160C" w14:textId="6265A18B" w:rsidR="00386F1D" w:rsidRPr="002D2B16" w:rsidRDefault="00386F1D" w:rsidP="00386F1D">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Current RTP tariff language does not allow for CBL reductions based on historical load, unless the customer were to “come off” RTP for two years.</w:t>
      </w:r>
      <w:r w:rsidRPr="002D2B16">
        <w:rPr>
          <w:rStyle w:val="FootnoteReference"/>
          <w:rFonts w:ascii="Times New Roman" w:hAnsi="Times New Roman" w:cs="Times New Roman"/>
          <w:sz w:val="24"/>
          <w:szCs w:val="24"/>
        </w:rPr>
        <w:footnoteReference w:id="6"/>
      </w:r>
      <w:r w:rsidRPr="002D2B16">
        <w:rPr>
          <w:rFonts w:ascii="Times New Roman" w:hAnsi="Times New Roman" w:cs="Times New Roman"/>
          <w:sz w:val="24"/>
          <w:szCs w:val="24"/>
        </w:rPr>
        <w:t xml:space="preserve"> In their rebuttal testimony, GPC witnesses Messrs. Lee Evans and Larry Legg present two considerations for supporting the </w:t>
      </w:r>
      <w:r w:rsidR="00B61FF7">
        <w:rPr>
          <w:rFonts w:ascii="Times New Roman" w:hAnsi="Times New Roman" w:cs="Times New Roman"/>
          <w:sz w:val="24"/>
          <w:szCs w:val="24"/>
        </w:rPr>
        <w:t xml:space="preserve">requirement of </w:t>
      </w:r>
      <w:r w:rsidRPr="002D2B16">
        <w:rPr>
          <w:rFonts w:ascii="Times New Roman" w:hAnsi="Times New Roman" w:cs="Times New Roman"/>
          <w:sz w:val="24"/>
          <w:szCs w:val="24"/>
        </w:rPr>
        <w:t>two years of receiving service through an alternative rate schedule: (1) “…because short term changes to a customer’s usage should not result in the permanent conversion of embedded load into marginal load on the RTP rate.”</w:t>
      </w:r>
      <w:r w:rsidRPr="002D2B16">
        <w:rPr>
          <w:rStyle w:val="FootnoteReference"/>
          <w:rFonts w:ascii="Times New Roman" w:hAnsi="Times New Roman" w:cs="Times New Roman"/>
          <w:sz w:val="24"/>
          <w:szCs w:val="24"/>
        </w:rPr>
        <w:footnoteReference w:id="7"/>
      </w:r>
      <w:r w:rsidRPr="002D2B16">
        <w:rPr>
          <w:rFonts w:ascii="Times New Roman" w:hAnsi="Times New Roman" w:cs="Times New Roman"/>
          <w:sz w:val="24"/>
          <w:szCs w:val="24"/>
        </w:rPr>
        <w:t xml:space="preserve">; and </w:t>
      </w:r>
      <w:r w:rsidR="008655C0" w:rsidRPr="002D2B16">
        <w:rPr>
          <w:rFonts w:ascii="Times New Roman" w:hAnsi="Times New Roman" w:cs="Times New Roman"/>
          <w:sz w:val="24"/>
          <w:szCs w:val="24"/>
        </w:rPr>
        <w:t xml:space="preserve">(2) </w:t>
      </w:r>
      <w:r w:rsidRPr="002D2B16">
        <w:rPr>
          <w:rFonts w:ascii="Times New Roman" w:hAnsi="Times New Roman" w:cs="Times New Roman"/>
          <w:sz w:val="24"/>
          <w:szCs w:val="24"/>
        </w:rPr>
        <w:t>to preserve the integrity of the RTP program</w:t>
      </w:r>
      <w:r w:rsidR="00B61FF7">
        <w:rPr>
          <w:rFonts w:ascii="Times New Roman" w:hAnsi="Times New Roman" w:cs="Times New Roman"/>
          <w:sz w:val="24"/>
          <w:szCs w:val="24"/>
        </w:rPr>
        <w:t>,</w:t>
      </w:r>
      <w:r w:rsidRPr="002D2B16">
        <w:rPr>
          <w:rFonts w:ascii="Times New Roman" w:hAnsi="Times New Roman" w:cs="Times New Roman"/>
          <w:sz w:val="24"/>
          <w:szCs w:val="24"/>
        </w:rPr>
        <w:t xml:space="preserve"> and to protect other customers from potential cost shifts from a “…premature revision of the CBL.”</w:t>
      </w:r>
      <w:r w:rsidRPr="002D2B16">
        <w:rPr>
          <w:rStyle w:val="FootnoteReference"/>
          <w:rFonts w:ascii="Times New Roman" w:hAnsi="Times New Roman" w:cs="Times New Roman"/>
          <w:sz w:val="24"/>
          <w:szCs w:val="24"/>
        </w:rPr>
        <w:footnoteReference w:id="8"/>
      </w:r>
      <w:r w:rsidRPr="002D2B16">
        <w:rPr>
          <w:rFonts w:ascii="Times New Roman" w:hAnsi="Times New Roman" w:cs="Times New Roman"/>
          <w:sz w:val="24"/>
          <w:szCs w:val="24"/>
        </w:rPr>
        <w:t xml:space="preserve"> </w:t>
      </w:r>
    </w:p>
    <w:p w14:paraId="2A828123" w14:textId="46E5118D" w:rsidR="00386F1D" w:rsidRPr="002D2B16" w:rsidRDefault="00386F1D" w:rsidP="00386F1D">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 xml:space="preserve">However, GPC offers no reason as to why coming off </w:t>
      </w:r>
      <w:r w:rsidRPr="00B61FF7">
        <w:rPr>
          <w:rFonts w:ascii="Times New Roman" w:hAnsi="Times New Roman" w:cs="Times New Roman"/>
          <w:sz w:val="24"/>
          <w:szCs w:val="24"/>
        </w:rPr>
        <w:t>RTP is necessary</w:t>
      </w:r>
      <w:r w:rsidR="008655C0" w:rsidRPr="00B61FF7">
        <w:rPr>
          <w:rFonts w:ascii="Times New Roman" w:hAnsi="Times New Roman" w:cs="Times New Roman"/>
          <w:sz w:val="24"/>
          <w:szCs w:val="24"/>
        </w:rPr>
        <w:t>. It</w:t>
      </w:r>
      <w:r w:rsidRPr="00B61FF7">
        <w:rPr>
          <w:rFonts w:ascii="Times New Roman" w:hAnsi="Times New Roman" w:cs="Times New Roman"/>
          <w:sz w:val="24"/>
          <w:szCs w:val="24"/>
        </w:rPr>
        <w:t xml:space="preserve"> is not clear</w:t>
      </w:r>
      <w:r w:rsidRPr="002D2B16">
        <w:rPr>
          <w:rFonts w:ascii="Times New Roman" w:hAnsi="Times New Roman" w:cs="Times New Roman"/>
          <w:sz w:val="24"/>
          <w:szCs w:val="24"/>
        </w:rPr>
        <w:t xml:space="preserve"> why it is necessary to come off RTP to assess the load shape data of the customer when those data already exist for an RTP customer.</w:t>
      </w:r>
      <w:r w:rsidRPr="002D2B16">
        <w:rPr>
          <w:rStyle w:val="FootnoteReference"/>
          <w:rFonts w:ascii="Times New Roman" w:hAnsi="Times New Roman" w:cs="Times New Roman"/>
          <w:sz w:val="24"/>
          <w:szCs w:val="24"/>
        </w:rPr>
        <w:footnoteReference w:id="9"/>
      </w:r>
      <w:r w:rsidRPr="002D2B16">
        <w:rPr>
          <w:rFonts w:ascii="Times New Roman" w:hAnsi="Times New Roman" w:cs="Times New Roman"/>
          <w:sz w:val="24"/>
          <w:szCs w:val="24"/>
        </w:rPr>
        <w:t xml:space="preserve"> DoD/FEA does not take issue with the </w:t>
      </w:r>
      <w:r w:rsidR="00051155" w:rsidRPr="002D2B16">
        <w:rPr>
          <w:rFonts w:ascii="Times New Roman" w:hAnsi="Times New Roman" w:cs="Times New Roman"/>
          <w:sz w:val="24"/>
          <w:szCs w:val="24"/>
        </w:rPr>
        <w:t>twenty-four-month</w:t>
      </w:r>
      <w:r w:rsidRPr="002D2B16">
        <w:rPr>
          <w:rFonts w:ascii="Times New Roman" w:hAnsi="Times New Roman" w:cs="Times New Roman"/>
          <w:sz w:val="24"/>
          <w:szCs w:val="24"/>
        </w:rPr>
        <w:t xml:space="preserve"> requirement.  However, DoD/FEA believes that GPC can use twenty-four months of historical data, rather than requiring the customer to “come off” RTP for twenty-four months when a customer seeks a CBL reduction without load removal.  </w:t>
      </w:r>
    </w:p>
    <w:p w14:paraId="6BA0D239" w14:textId="6FF34E66" w:rsidR="00386F1D" w:rsidRPr="002D2B16" w:rsidRDefault="00386F1D" w:rsidP="00386F1D">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lastRenderedPageBreak/>
        <w:t>Given the considerations presented above, the Commission should order revisions to the Special Provisions Section C provisions in both the RTP Day-Ahead (“RTP-DA”) and RTP Hour-Ahead (“RTP-HA”) rate schedules, as follows:</w:t>
      </w:r>
      <w:r w:rsidR="00BB47BB">
        <w:rPr>
          <w:rStyle w:val="FootnoteReference"/>
          <w:rFonts w:ascii="Times New Roman" w:hAnsi="Times New Roman" w:cs="Times New Roman"/>
          <w:sz w:val="24"/>
          <w:szCs w:val="24"/>
        </w:rPr>
        <w:footnoteReference w:id="10"/>
      </w:r>
    </w:p>
    <w:p w14:paraId="13ADC73D" w14:textId="77777777" w:rsidR="00386F1D" w:rsidRPr="002D2B16" w:rsidRDefault="00386F1D" w:rsidP="00386F1D">
      <w:pPr>
        <w:pStyle w:val="AnswerText"/>
        <w:numPr>
          <w:ilvl w:val="0"/>
          <w:numId w:val="0"/>
        </w:numPr>
        <w:spacing w:after="240" w:line="240" w:lineRule="auto"/>
        <w:ind w:left="2160" w:right="1440"/>
        <w:jc w:val="both"/>
      </w:pPr>
      <w:r w:rsidRPr="002D2B16">
        <w:t xml:space="preserve">If an existing RTP customer, without approved load removal, wants to </w:t>
      </w:r>
      <w:r w:rsidRPr="002D2B16">
        <w:rPr>
          <w:strike/>
        </w:rPr>
        <w:t>come off RTP in an attempt to</w:t>
      </w:r>
      <w:r w:rsidRPr="002D2B16">
        <w:t xml:space="preserve"> lower the CBL level, the customer must </w:t>
      </w:r>
      <w:r w:rsidRPr="002D2B16">
        <w:rPr>
          <w:strike/>
        </w:rPr>
        <w:t xml:space="preserve">remain off RTP for a full twenty-four months </w:t>
      </w:r>
      <w:r w:rsidRPr="002D2B16">
        <w:rPr>
          <w:u w:val="single"/>
        </w:rPr>
        <w:t xml:space="preserve">request reassessment of the CBL shape on an hourly basis. Such reassessment of the CBL shape by Georgia Power shall be based on twenty-four months of historical hourly metered load data for that customer. </w:t>
      </w:r>
      <w:r w:rsidRPr="002D2B16">
        <w:t>The new CBL would be established using current methods as previously described in this tariff.</w:t>
      </w:r>
      <w:r w:rsidRPr="002D2B16">
        <w:rPr>
          <w:rStyle w:val="FootnoteReference"/>
        </w:rPr>
        <w:t xml:space="preserve"> </w:t>
      </w:r>
      <w:r w:rsidRPr="002D2B16">
        <w:rPr>
          <w:rStyle w:val="FootnoteReference"/>
        </w:rPr>
        <w:footnoteReference w:id="11"/>
      </w:r>
    </w:p>
    <w:p w14:paraId="36CD24FC" w14:textId="0CC12809" w:rsidR="00386F1D" w:rsidRPr="002D2B16" w:rsidRDefault="00386F1D" w:rsidP="0093416F">
      <w:pPr>
        <w:spacing w:after="0" w:line="480" w:lineRule="auto"/>
        <w:jc w:val="center"/>
        <w:rPr>
          <w:rFonts w:ascii="Times New Roman" w:hAnsi="Times New Roman" w:cs="Times New Roman"/>
          <w:b/>
          <w:sz w:val="24"/>
          <w:szCs w:val="24"/>
        </w:rPr>
      </w:pPr>
    </w:p>
    <w:p w14:paraId="46691053" w14:textId="77777777" w:rsidR="001E228E" w:rsidRPr="002D2B16" w:rsidRDefault="001E228E" w:rsidP="001E228E">
      <w:pPr>
        <w:spacing w:after="0" w:line="480" w:lineRule="auto"/>
        <w:jc w:val="center"/>
        <w:rPr>
          <w:rFonts w:ascii="Times New Roman" w:hAnsi="Times New Roman" w:cs="Times New Roman"/>
          <w:b/>
          <w:sz w:val="24"/>
          <w:szCs w:val="24"/>
        </w:rPr>
      </w:pPr>
      <w:r w:rsidRPr="002D2B16">
        <w:rPr>
          <w:rFonts w:ascii="Times New Roman" w:hAnsi="Times New Roman" w:cs="Times New Roman"/>
          <w:b/>
          <w:sz w:val="24"/>
          <w:szCs w:val="24"/>
        </w:rPr>
        <w:t>ALLOW RTP CUSTOMERS THE OPTION TO USE ON-SITE PRODUCTION CAPACITY FOR A CBL REDUCTION</w:t>
      </w:r>
    </w:p>
    <w:p w14:paraId="47A428AD" w14:textId="70FB75E4" w:rsidR="001E228E" w:rsidRPr="002D2B16" w:rsidRDefault="001E228E" w:rsidP="001E228E">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 xml:space="preserve">RTP customers, such as military </w:t>
      </w:r>
      <w:r w:rsidR="00B61FF7">
        <w:rPr>
          <w:rFonts w:ascii="Times New Roman" w:hAnsi="Times New Roman" w:cs="Times New Roman"/>
          <w:sz w:val="24"/>
          <w:szCs w:val="24"/>
        </w:rPr>
        <w:t>installations</w:t>
      </w:r>
      <w:r w:rsidRPr="002D2B16">
        <w:rPr>
          <w:rFonts w:ascii="Times New Roman" w:hAnsi="Times New Roman" w:cs="Times New Roman"/>
          <w:sz w:val="24"/>
          <w:szCs w:val="24"/>
        </w:rPr>
        <w:t>, who invest in reliable on-site production capacity</w:t>
      </w:r>
      <w:r w:rsidR="00CA4FBE">
        <w:rPr>
          <w:rFonts w:ascii="Times New Roman" w:hAnsi="Times New Roman" w:cs="Times New Roman"/>
          <w:sz w:val="24"/>
          <w:szCs w:val="24"/>
        </w:rPr>
        <w:t>, possibly in combination with</w:t>
      </w:r>
      <w:r w:rsidRPr="002D2B16">
        <w:rPr>
          <w:rFonts w:ascii="Times New Roman" w:hAnsi="Times New Roman" w:cs="Times New Roman"/>
          <w:sz w:val="24"/>
          <w:szCs w:val="24"/>
        </w:rPr>
        <w:t xml:space="preserve"> storage capacity, should be allowed to use that capacity as a consideration for a CBL reduction. </w:t>
      </w:r>
      <w:r w:rsidR="000B0BE9">
        <w:rPr>
          <w:rFonts w:ascii="Times New Roman" w:hAnsi="Times New Roman" w:cs="Times New Roman"/>
          <w:sz w:val="24"/>
          <w:szCs w:val="24"/>
        </w:rPr>
        <w:t xml:space="preserve">For federal customers, investment in energy saving </w:t>
      </w:r>
      <w:r w:rsidR="006F1B56">
        <w:rPr>
          <w:rFonts w:ascii="Times New Roman" w:hAnsi="Times New Roman" w:cs="Times New Roman"/>
          <w:sz w:val="24"/>
          <w:szCs w:val="24"/>
        </w:rPr>
        <w:t xml:space="preserve">and resilience </w:t>
      </w:r>
      <w:r w:rsidR="000B0BE9">
        <w:rPr>
          <w:rFonts w:ascii="Times New Roman" w:hAnsi="Times New Roman" w:cs="Times New Roman"/>
          <w:sz w:val="24"/>
          <w:szCs w:val="24"/>
        </w:rPr>
        <w:t xml:space="preserve">measures </w:t>
      </w:r>
      <w:r w:rsidR="006F1B56">
        <w:rPr>
          <w:rFonts w:ascii="Times New Roman" w:hAnsi="Times New Roman" w:cs="Times New Roman"/>
          <w:sz w:val="24"/>
          <w:szCs w:val="24"/>
        </w:rPr>
        <w:t>are</w:t>
      </w:r>
      <w:r w:rsidR="000B0BE9">
        <w:rPr>
          <w:rFonts w:ascii="Times New Roman" w:hAnsi="Times New Roman" w:cs="Times New Roman"/>
          <w:sz w:val="24"/>
          <w:szCs w:val="24"/>
        </w:rPr>
        <w:t xml:space="preserve"> not </w:t>
      </w:r>
      <w:r w:rsidR="006F1B56">
        <w:rPr>
          <w:rFonts w:ascii="Times New Roman" w:hAnsi="Times New Roman" w:cs="Times New Roman"/>
          <w:sz w:val="24"/>
          <w:szCs w:val="24"/>
        </w:rPr>
        <w:t>discretionary but</w:t>
      </w:r>
      <w:r w:rsidR="000B0BE9">
        <w:rPr>
          <w:rFonts w:ascii="Times New Roman" w:hAnsi="Times New Roman" w:cs="Times New Roman"/>
          <w:sz w:val="24"/>
          <w:szCs w:val="24"/>
        </w:rPr>
        <w:t xml:space="preserve"> mandated by federal law. </w:t>
      </w:r>
      <w:r w:rsidRPr="002D2B16">
        <w:rPr>
          <w:rFonts w:ascii="Times New Roman" w:hAnsi="Times New Roman" w:cs="Times New Roman"/>
          <w:sz w:val="24"/>
          <w:szCs w:val="24"/>
        </w:rPr>
        <w:t>To ensure that the customer capacity is reliable and to prevent cost-shifting onto other customers, D</w:t>
      </w:r>
      <w:r w:rsidR="00F2152E" w:rsidRPr="002D2B16">
        <w:rPr>
          <w:rFonts w:ascii="Times New Roman" w:hAnsi="Times New Roman" w:cs="Times New Roman"/>
          <w:sz w:val="24"/>
          <w:szCs w:val="24"/>
        </w:rPr>
        <w:t>o</w:t>
      </w:r>
      <w:r w:rsidRPr="002D2B16">
        <w:rPr>
          <w:rFonts w:ascii="Times New Roman" w:hAnsi="Times New Roman" w:cs="Times New Roman"/>
          <w:sz w:val="24"/>
          <w:szCs w:val="24"/>
        </w:rPr>
        <w:t xml:space="preserve">D/FEA requests that RTP customers be given the option to subscribe to and pay for GPC </w:t>
      </w:r>
      <w:r w:rsidR="00DC5459" w:rsidRPr="002D2B16">
        <w:rPr>
          <w:rFonts w:ascii="Times New Roman" w:hAnsi="Times New Roman" w:cs="Times New Roman"/>
          <w:sz w:val="24"/>
          <w:szCs w:val="24"/>
        </w:rPr>
        <w:t>BU</w:t>
      </w:r>
      <w:r w:rsidRPr="002D2B16">
        <w:rPr>
          <w:rFonts w:ascii="Times New Roman" w:hAnsi="Times New Roman" w:cs="Times New Roman"/>
          <w:sz w:val="24"/>
          <w:szCs w:val="24"/>
        </w:rPr>
        <w:t xml:space="preserve"> services by changing the Applicability Section of </w:t>
      </w:r>
      <w:r w:rsidR="00C76B54" w:rsidRPr="002D2B16">
        <w:rPr>
          <w:rFonts w:ascii="Times New Roman" w:hAnsi="Times New Roman" w:cs="Times New Roman"/>
          <w:sz w:val="24"/>
          <w:szCs w:val="24"/>
        </w:rPr>
        <w:t xml:space="preserve">the </w:t>
      </w:r>
      <w:r w:rsidRPr="002D2B16">
        <w:rPr>
          <w:rFonts w:ascii="Times New Roman" w:hAnsi="Times New Roman" w:cs="Times New Roman"/>
          <w:sz w:val="24"/>
          <w:szCs w:val="24"/>
        </w:rPr>
        <w:t>BU rate schedule to allow RTP customers</w:t>
      </w:r>
      <w:r w:rsidR="00C76B54" w:rsidRPr="002D2B16">
        <w:rPr>
          <w:rFonts w:ascii="Times New Roman" w:hAnsi="Times New Roman" w:cs="Times New Roman"/>
          <w:sz w:val="24"/>
          <w:szCs w:val="24"/>
        </w:rPr>
        <w:t xml:space="preserve"> to enroll,</w:t>
      </w:r>
      <w:r w:rsidRPr="002D2B16">
        <w:rPr>
          <w:rFonts w:ascii="Times New Roman" w:hAnsi="Times New Roman" w:cs="Times New Roman"/>
          <w:sz w:val="24"/>
          <w:szCs w:val="24"/>
        </w:rPr>
        <w:t xml:space="preserve"> and </w:t>
      </w:r>
      <w:r w:rsidR="00C76B54" w:rsidRPr="002D2B16">
        <w:rPr>
          <w:rFonts w:ascii="Times New Roman" w:hAnsi="Times New Roman" w:cs="Times New Roman"/>
          <w:sz w:val="24"/>
          <w:szCs w:val="24"/>
        </w:rPr>
        <w:t xml:space="preserve">to </w:t>
      </w:r>
      <w:r w:rsidRPr="002D2B16">
        <w:rPr>
          <w:rFonts w:ascii="Times New Roman" w:hAnsi="Times New Roman" w:cs="Times New Roman"/>
          <w:sz w:val="24"/>
          <w:szCs w:val="24"/>
        </w:rPr>
        <w:t>specify the rates that would apply to RTP BU customers. With BU service firming up the reliability and cost recovery from RTP customer generation, such a customer should qualify for a CBL reduction.</w:t>
      </w:r>
    </w:p>
    <w:p w14:paraId="7FB95D98" w14:textId="61AB2037" w:rsidR="001E228E" w:rsidRPr="002D2B16" w:rsidRDefault="001E228E" w:rsidP="001E228E">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lastRenderedPageBreak/>
        <w:t xml:space="preserve">In rebuttal testimony, GPC witnesses Messrs. Evans and Legg testified that “[t]he purpose of the BU tariff is to enable customers who are not currently receiving hourly marginal pricing to avoid yearly demand ratcheting, if their generation operates as expected. Customers may receive this benefit, </w:t>
      </w:r>
      <w:r w:rsidRPr="00BB47BB">
        <w:rPr>
          <w:rFonts w:ascii="Times New Roman" w:hAnsi="Times New Roman" w:cs="Times New Roman"/>
          <w:i/>
          <w:iCs/>
          <w:sz w:val="24"/>
          <w:szCs w:val="24"/>
        </w:rPr>
        <w:t>or</w:t>
      </w:r>
      <w:r w:rsidRPr="002D2B16">
        <w:rPr>
          <w:rFonts w:ascii="Times New Roman" w:hAnsi="Times New Roman" w:cs="Times New Roman"/>
          <w:sz w:val="24"/>
          <w:szCs w:val="24"/>
        </w:rPr>
        <w:t xml:space="preserve"> they may benefit from marginal pricing, but not both.”</w:t>
      </w:r>
      <w:r w:rsidRPr="002D2B16">
        <w:rPr>
          <w:rStyle w:val="FootnoteReference"/>
          <w:rFonts w:ascii="Times New Roman" w:hAnsi="Times New Roman" w:cs="Times New Roman"/>
          <w:sz w:val="24"/>
          <w:szCs w:val="24"/>
        </w:rPr>
        <w:footnoteReference w:id="12"/>
      </w:r>
      <w:r w:rsidRPr="002D2B16">
        <w:rPr>
          <w:rFonts w:ascii="Times New Roman" w:hAnsi="Times New Roman" w:cs="Times New Roman"/>
          <w:sz w:val="24"/>
          <w:szCs w:val="24"/>
        </w:rPr>
        <w:t xml:space="preserve"> However, firm customer generation backed up by capacity payments to GPC is different from incremental load above CBL with marginal pricing, and furthermore, brings greater reliability to the GPC system and other customers by having firm generation embedded with large customer load. GPC further asserts that RTP customers can use their on-site generation to either avoid paying the marginal price while operating above their CBL level or receive a credit at the marginal price when operating below their CBL level.</w:t>
      </w:r>
      <w:r w:rsidRPr="002D2B16">
        <w:rPr>
          <w:rStyle w:val="FootnoteReference"/>
          <w:rFonts w:ascii="Times New Roman" w:hAnsi="Times New Roman" w:cs="Times New Roman"/>
          <w:sz w:val="24"/>
          <w:szCs w:val="24"/>
        </w:rPr>
        <w:footnoteReference w:id="13"/>
      </w:r>
      <w:r w:rsidRPr="002D2B16">
        <w:rPr>
          <w:rFonts w:ascii="Times New Roman" w:hAnsi="Times New Roman" w:cs="Times New Roman"/>
          <w:sz w:val="24"/>
          <w:szCs w:val="24"/>
        </w:rPr>
        <w:t xml:space="preserve"> However, CBL levels in excess of actual customer load on the GPC system bring additional charges that are not justified when that customer is not using the GPC system. Furthermore, as proposed by D</w:t>
      </w:r>
      <w:r w:rsidR="00F2152E" w:rsidRPr="002D2B16">
        <w:rPr>
          <w:rFonts w:ascii="Times New Roman" w:hAnsi="Times New Roman" w:cs="Times New Roman"/>
          <w:sz w:val="24"/>
          <w:szCs w:val="24"/>
        </w:rPr>
        <w:t>o</w:t>
      </w:r>
      <w:r w:rsidRPr="002D2B16">
        <w:rPr>
          <w:rFonts w:ascii="Times New Roman" w:hAnsi="Times New Roman" w:cs="Times New Roman"/>
          <w:sz w:val="24"/>
          <w:szCs w:val="24"/>
        </w:rPr>
        <w:t xml:space="preserve">D/FEA, customer generation that experiences unexpected outages during a month will require </w:t>
      </w:r>
      <w:r w:rsidR="004C778E" w:rsidRPr="002D2B16">
        <w:rPr>
          <w:rFonts w:ascii="Times New Roman" w:hAnsi="Times New Roman" w:cs="Times New Roman"/>
          <w:sz w:val="24"/>
          <w:szCs w:val="24"/>
        </w:rPr>
        <w:t>BU</w:t>
      </w:r>
      <w:r w:rsidRPr="002D2B16">
        <w:rPr>
          <w:rFonts w:ascii="Times New Roman" w:hAnsi="Times New Roman" w:cs="Times New Roman"/>
          <w:sz w:val="24"/>
          <w:szCs w:val="24"/>
        </w:rPr>
        <w:t xml:space="preserve"> service and pay the full rates at standard CBL levels. Therefore, there is no risk of cost recovery by GPC and no risk of cost</w:t>
      </w:r>
      <w:r w:rsidR="004C778E" w:rsidRPr="002D2B16">
        <w:rPr>
          <w:rFonts w:ascii="Times New Roman" w:hAnsi="Times New Roman" w:cs="Times New Roman"/>
          <w:sz w:val="24"/>
          <w:szCs w:val="24"/>
        </w:rPr>
        <w:t>-</w:t>
      </w:r>
      <w:r w:rsidRPr="002D2B16">
        <w:rPr>
          <w:rFonts w:ascii="Times New Roman" w:hAnsi="Times New Roman" w:cs="Times New Roman"/>
          <w:sz w:val="24"/>
          <w:szCs w:val="24"/>
        </w:rPr>
        <w:t xml:space="preserve">shifting onto other customers. </w:t>
      </w:r>
    </w:p>
    <w:p w14:paraId="05488DE1" w14:textId="577B166C" w:rsidR="001E228E" w:rsidRPr="002D2B16" w:rsidRDefault="001E228E" w:rsidP="001E228E">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Customer on-site production capacity enhances reliability within the GPC grid for the benefit of other customers.</w:t>
      </w:r>
      <w:r w:rsidRPr="002D2B16">
        <w:rPr>
          <w:rStyle w:val="FootnoteReference"/>
          <w:rFonts w:ascii="Times New Roman" w:hAnsi="Times New Roman" w:cs="Times New Roman"/>
          <w:sz w:val="24"/>
          <w:szCs w:val="24"/>
        </w:rPr>
        <w:footnoteReference w:id="14"/>
      </w:r>
      <w:r w:rsidRPr="002D2B16">
        <w:rPr>
          <w:rFonts w:ascii="Times New Roman" w:hAnsi="Times New Roman" w:cs="Times New Roman"/>
          <w:sz w:val="24"/>
          <w:szCs w:val="24"/>
        </w:rPr>
        <w:t xml:space="preserve"> </w:t>
      </w:r>
      <w:r w:rsidR="00F2152E" w:rsidRPr="002D2B16">
        <w:rPr>
          <w:rFonts w:ascii="Times New Roman" w:hAnsi="Times New Roman" w:cs="Times New Roman"/>
          <w:sz w:val="24"/>
          <w:szCs w:val="24"/>
        </w:rPr>
        <w:t>DoD</w:t>
      </w:r>
      <w:r w:rsidRPr="002D2B16">
        <w:rPr>
          <w:rFonts w:ascii="Times New Roman" w:hAnsi="Times New Roman" w:cs="Times New Roman"/>
          <w:sz w:val="24"/>
          <w:szCs w:val="24"/>
        </w:rPr>
        <w:t xml:space="preserve">/FEA, with its military </w:t>
      </w:r>
      <w:r w:rsidR="00B61FF7">
        <w:rPr>
          <w:rFonts w:ascii="Times New Roman" w:hAnsi="Times New Roman" w:cs="Times New Roman"/>
          <w:sz w:val="24"/>
          <w:szCs w:val="24"/>
        </w:rPr>
        <w:t xml:space="preserve">installations </w:t>
      </w:r>
      <w:r w:rsidRPr="002D2B16">
        <w:rPr>
          <w:rFonts w:ascii="Times New Roman" w:hAnsi="Times New Roman" w:cs="Times New Roman"/>
          <w:sz w:val="24"/>
          <w:szCs w:val="24"/>
        </w:rPr>
        <w:t xml:space="preserve">in the GPC territory, is uniquely situated to make the capital investments necessary to bring that added reliability.  However, GPC’s current tariff rules do not accommodate the possibility for the military </w:t>
      </w:r>
      <w:r w:rsidR="00B61FF7">
        <w:rPr>
          <w:rFonts w:ascii="Times New Roman" w:hAnsi="Times New Roman" w:cs="Times New Roman"/>
          <w:sz w:val="24"/>
          <w:szCs w:val="24"/>
        </w:rPr>
        <w:t xml:space="preserve">installations </w:t>
      </w:r>
      <w:r w:rsidRPr="002D2B16">
        <w:rPr>
          <w:rFonts w:ascii="Times New Roman" w:hAnsi="Times New Roman" w:cs="Times New Roman"/>
          <w:sz w:val="24"/>
          <w:szCs w:val="24"/>
        </w:rPr>
        <w:t>to realize the full benefit of these generation capacity investments. D</w:t>
      </w:r>
      <w:r w:rsidR="00F2152E" w:rsidRPr="002D2B16">
        <w:rPr>
          <w:rFonts w:ascii="Times New Roman" w:hAnsi="Times New Roman" w:cs="Times New Roman"/>
          <w:sz w:val="24"/>
          <w:szCs w:val="24"/>
        </w:rPr>
        <w:t>o</w:t>
      </w:r>
      <w:r w:rsidRPr="002D2B16">
        <w:rPr>
          <w:rFonts w:ascii="Times New Roman" w:hAnsi="Times New Roman" w:cs="Times New Roman"/>
          <w:sz w:val="24"/>
          <w:szCs w:val="24"/>
        </w:rPr>
        <w:t xml:space="preserve">D/FEA asks the Commission to approve the recommended changes to allow such flexibility and avoid unnecessary </w:t>
      </w:r>
      <w:r w:rsidRPr="002D2B16">
        <w:rPr>
          <w:rFonts w:ascii="Times New Roman" w:hAnsi="Times New Roman" w:cs="Times New Roman"/>
          <w:sz w:val="24"/>
          <w:szCs w:val="24"/>
        </w:rPr>
        <w:lastRenderedPageBreak/>
        <w:t xml:space="preserve">CBL payments for capacity not used by the military </w:t>
      </w:r>
      <w:r w:rsidR="00B61FF7">
        <w:rPr>
          <w:rFonts w:ascii="Times New Roman" w:hAnsi="Times New Roman" w:cs="Times New Roman"/>
          <w:sz w:val="24"/>
          <w:szCs w:val="24"/>
        </w:rPr>
        <w:t>installations</w:t>
      </w:r>
      <w:r w:rsidRPr="002D2B16">
        <w:rPr>
          <w:rFonts w:ascii="Times New Roman" w:hAnsi="Times New Roman" w:cs="Times New Roman"/>
          <w:sz w:val="24"/>
          <w:szCs w:val="24"/>
        </w:rPr>
        <w:t xml:space="preserve">.  The events in North Carolina this week in which outages were created by substation sabotage emphasize the importance </w:t>
      </w:r>
      <w:r w:rsidR="00C76B54" w:rsidRPr="002D2B16">
        <w:rPr>
          <w:rFonts w:ascii="Times New Roman" w:hAnsi="Times New Roman" w:cs="Times New Roman"/>
          <w:sz w:val="24"/>
          <w:szCs w:val="24"/>
        </w:rPr>
        <w:t xml:space="preserve">of </w:t>
      </w:r>
      <w:r w:rsidRPr="002D2B16">
        <w:rPr>
          <w:rFonts w:ascii="Times New Roman" w:hAnsi="Times New Roman" w:cs="Times New Roman"/>
          <w:sz w:val="24"/>
          <w:szCs w:val="24"/>
        </w:rPr>
        <w:t>having more customer</w:t>
      </w:r>
      <w:r w:rsidR="004B2E04" w:rsidRPr="002D2B16">
        <w:rPr>
          <w:rFonts w:ascii="Times New Roman" w:hAnsi="Times New Roman" w:cs="Times New Roman"/>
          <w:sz w:val="24"/>
          <w:szCs w:val="24"/>
        </w:rPr>
        <w:t>-</w:t>
      </w:r>
      <w:r w:rsidRPr="002D2B16">
        <w:rPr>
          <w:rFonts w:ascii="Times New Roman" w:hAnsi="Times New Roman" w:cs="Times New Roman"/>
          <w:sz w:val="24"/>
          <w:szCs w:val="24"/>
        </w:rPr>
        <w:t xml:space="preserve">sited generation to help with resiliency.  These investments are done by the customer generators at no cost to other customers.  Again, we ask the Commission to give the military greater flexibility to make such investments with federal money rather than GPC money passed onto other customers. </w:t>
      </w:r>
    </w:p>
    <w:p w14:paraId="4B779561" w14:textId="4F5868DC" w:rsidR="001E228E" w:rsidRPr="002D2B16" w:rsidRDefault="001E228E" w:rsidP="001E228E">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 xml:space="preserve">With these considerations, the Commission should modify the BU tariff </w:t>
      </w:r>
      <w:r w:rsidR="00740019">
        <w:rPr>
          <w:rFonts w:ascii="Times New Roman" w:hAnsi="Times New Roman" w:cs="Times New Roman"/>
          <w:sz w:val="24"/>
          <w:szCs w:val="24"/>
        </w:rPr>
        <w:t>to</w:t>
      </w:r>
      <w:r w:rsidRPr="002D2B16">
        <w:rPr>
          <w:rFonts w:ascii="Times New Roman" w:hAnsi="Times New Roman" w:cs="Times New Roman"/>
          <w:sz w:val="24"/>
          <w:szCs w:val="24"/>
        </w:rPr>
        <w:t>: (1) add the RTP-DA and RTP-HA rate schedules to the Applicability Section; (2) add clarification language such that Back-Up Power and Maintenance Power from the BU tariff is billed under the CBL rates (i.e., Standard Bill rates of the RTP customer); (3) the “Supplementary Power” rate definition should add “RTP CBL rates” and “RTP hourly price” definitions under the normal RTP CBL load shape;</w:t>
      </w:r>
      <w:r w:rsidRPr="002D2B16">
        <w:rPr>
          <w:rStyle w:val="FootnoteReference"/>
          <w:rFonts w:ascii="Times New Roman" w:hAnsi="Times New Roman" w:cs="Times New Roman"/>
          <w:sz w:val="24"/>
          <w:szCs w:val="24"/>
        </w:rPr>
        <w:footnoteReference w:id="15"/>
      </w:r>
      <w:r w:rsidRPr="002D2B16">
        <w:rPr>
          <w:rFonts w:ascii="Times New Roman" w:hAnsi="Times New Roman" w:cs="Times New Roman"/>
          <w:sz w:val="24"/>
          <w:szCs w:val="24"/>
        </w:rPr>
        <w:t xml:space="preserve"> (4) Maintenance Power should be priced as specified within the BU Service contract.;</w:t>
      </w:r>
      <w:r w:rsidRPr="002D2B16">
        <w:rPr>
          <w:rStyle w:val="FootnoteReference"/>
          <w:rFonts w:ascii="Times New Roman" w:hAnsi="Times New Roman" w:cs="Times New Roman"/>
          <w:sz w:val="24"/>
          <w:szCs w:val="24"/>
        </w:rPr>
        <w:footnoteReference w:id="16"/>
      </w:r>
      <w:r w:rsidRPr="002D2B16">
        <w:rPr>
          <w:rFonts w:ascii="Times New Roman" w:hAnsi="Times New Roman" w:cs="Times New Roman"/>
          <w:sz w:val="24"/>
          <w:szCs w:val="24"/>
        </w:rPr>
        <w:t xml:space="preserve"> and (5) the CBL Revisions (Section C of Special Provisions) to RTP-HA and RTP-DA should be revised to include customer-sited generation in which the customer opts to pay for GPC’s BU service as an allowance for CBL reduction consideration.</w:t>
      </w:r>
      <w:r w:rsidRPr="002D2B16">
        <w:rPr>
          <w:rStyle w:val="FootnoteReference"/>
          <w:rFonts w:ascii="Times New Roman" w:hAnsi="Times New Roman" w:cs="Times New Roman"/>
          <w:sz w:val="24"/>
          <w:szCs w:val="24"/>
        </w:rPr>
        <w:footnoteReference w:id="17"/>
      </w:r>
    </w:p>
    <w:p w14:paraId="5346A2B9" w14:textId="5F00643F" w:rsidR="001E228E" w:rsidRPr="002D2B16" w:rsidRDefault="001E228E" w:rsidP="001E228E">
      <w:pPr>
        <w:keepNext/>
        <w:spacing w:after="0" w:line="480" w:lineRule="auto"/>
        <w:jc w:val="center"/>
        <w:rPr>
          <w:rFonts w:ascii="Times New Roman" w:hAnsi="Times New Roman" w:cs="Times New Roman"/>
          <w:b/>
          <w:sz w:val="24"/>
          <w:szCs w:val="24"/>
        </w:rPr>
      </w:pPr>
      <w:r w:rsidRPr="002D2B16">
        <w:rPr>
          <w:rFonts w:ascii="Times New Roman" w:hAnsi="Times New Roman" w:cs="Times New Roman"/>
          <w:b/>
          <w:sz w:val="24"/>
          <w:szCs w:val="24"/>
        </w:rPr>
        <w:lastRenderedPageBreak/>
        <w:t>CONTINUE THE CURRENT AND LONGSTANDING COLLECTION METHODOLOGY FOR THE ECCR AS A PERCENTAGE OF BASE BILL CALCULATIONS AND EXCLUDING RTP INCREMENTAL USAGE REVENUE</w:t>
      </w:r>
    </w:p>
    <w:p w14:paraId="2B442695" w14:textId="0089F229" w:rsidR="00386F1D" w:rsidRDefault="001E228E" w:rsidP="009B7895">
      <w:pPr>
        <w:keepNext/>
        <w:spacing w:after="240" w:line="480" w:lineRule="auto"/>
        <w:ind w:firstLine="720"/>
        <w:jc w:val="both"/>
        <w:rPr>
          <w:rFonts w:ascii="Times New Roman" w:hAnsi="Times New Roman" w:cs="Times New Roman"/>
          <w:bCs/>
          <w:sz w:val="24"/>
          <w:szCs w:val="24"/>
        </w:rPr>
      </w:pPr>
      <w:r w:rsidRPr="002D2B16">
        <w:rPr>
          <w:rFonts w:ascii="Times New Roman" w:hAnsi="Times New Roman" w:cs="Times New Roman"/>
          <w:sz w:val="24"/>
          <w:szCs w:val="24"/>
        </w:rPr>
        <w:t xml:space="preserve">The </w:t>
      </w:r>
      <w:r w:rsidR="00C76B54" w:rsidRPr="002D2B16">
        <w:rPr>
          <w:rFonts w:ascii="Times New Roman" w:hAnsi="Times New Roman" w:cs="Times New Roman"/>
          <w:sz w:val="24"/>
          <w:szCs w:val="24"/>
        </w:rPr>
        <w:t xml:space="preserve">current </w:t>
      </w:r>
      <w:r w:rsidRPr="002D2B16">
        <w:rPr>
          <w:rFonts w:ascii="Times New Roman" w:hAnsi="Times New Roman" w:cs="Times New Roman"/>
          <w:sz w:val="24"/>
          <w:szCs w:val="24"/>
        </w:rPr>
        <w:t>ECCR collection mechanism was first approved in 2007.</w:t>
      </w:r>
      <w:r w:rsidRPr="002D2B16">
        <w:rPr>
          <w:rStyle w:val="FootnoteReference"/>
          <w:rFonts w:ascii="Times New Roman" w:hAnsi="Times New Roman" w:cs="Times New Roman"/>
          <w:sz w:val="24"/>
          <w:szCs w:val="24"/>
        </w:rPr>
        <w:footnoteReference w:id="18"/>
      </w:r>
      <w:r w:rsidRPr="002D2B16">
        <w:rPr>
          <w:rFonts w:ascii="Times New Roman" w:hAnsi="Times New Roman" w:cs="Times New Roman"/>
          <w:sz w:val="24"/>
          <w:szCs w:val="24"/>
        </w:rPr>
        <w:t xml:space="preserve"> Since inception, the ECCR does not apply to the incremental usage, which is charged marginal cost rates under the RTP rate schedules. </w:t>
      </w:r>
      <w:r w:rsidR="00FF7383">
        <w:rPr>
          <w:rFonts w:ascii="Times New Roman" w:hAnsi="Times New Roman" w:cs="Times New Roman"/>
          <w:sz w:val="24"/>
          <w:szCs w:val="24"/>
        </w:rPr>
        <w:t>PIA</w:t>
      </w:r>
      <w:r w:rsidR="00FF7383" w:rsidRPr="002D2B16" w:rsidDel="00FF7383">
        <w:rPr>
          <w:rFonts w:ascii="Times New Roman" w:hAnsi="Times New Roman" w:cs="Times New Roman"/>
          <w:sz w:val="24"/>
          <w:szCs w:val="24"/>
        </w:rPr>
        <w:t xml:space="preserve"> </w:t>
      </w:r>
      <w:r w:rsidRPr="002D2B16">
        <w:rPr>
          <w:rFonts w:ascii="Times New Roman" w:hAnsi="Times New Roman" w:cs="Times New Roman"/>
          <w:sz w:val="24"/>
          <w:szCs w:val="24"/>
        </w:rPr>
        <w:t xml:space="preserve">Staff has once again proposed to change this longstanding exclusion. The reasoning for the exclusion approved by the Commission is well-founded and cost-based in that the ECCR is for the recovery of past, embedded costs, whereas the marginal cost pricing paid on incremental usage by RTP customers is based on marginal capital and market-driven costs. Furthermore, RTP customers paying marginal cost pricing assume real-time risks of price volatility not faced by other customers and thereby contribute toward risk reduction in the overall GPC portfolio to the benefit of other GPC customers. RTP customers should not assume these risks to the benefit of other customers while at the same time be asked to pay for past embedded costs. Surprisingly, </w:t>
      </w:r>
      <w:r w:rsidR="00FF7383">
        <w:rPr>
          <w:rFonts w:ascii="Times New Roman" w:hAnsi="Times New Roman" w:cs="Times New Roman"/>
          <w:sz w:val="24"/>
          <w:szCs w:val="24"/>
        </w:rPr>
        <w:t>PIA</w:t>
      </w:r>
      <w:r w:rsidR="00FF7383" w:rsidRPr="002D2B16">
        <w:rPr>
          <w:rFonts w:ascii="Times New Roman" w:hAnsi="Times New Roman" w:cs="Times New Roman"/>
          <w:sz w:val="24"/>
          <w:szCs w:val="24"/>
        </w:rPr>
        <w:t xml:space="preserve"> </w:t>
      </w:r>
      <w:r w:rsidRPr="002D2B16">
        <w:rPr>
          <w:rFonts w:ascii="Times New Roman" w:hAnsi="Times New Roman" w:cs="Times New Roman"/>
          <w:sz w:val="24"/>
          <w:szCs w:val="24"/>
        </w:rPr>
        <w:t xml:space="preserve">Staff makes this recommendation despite recognizing that “… </w:t>
      </w:r>
      <w:r w:rsidRPr="002D2B16">
        <w:rPr>
          <w:rFonts w:ascii="Times New Roman" w:hAnsi="Times New Roman" w:cs="Times New Roman"/>
          <w:bCs/>
          <w:sz w:val="24"/>
          <w:szCs w:val="24"/>
        </w:rPr>
        <w:t>the costs associated with ECCR are not forward looking and not included in marginal production costs (which is the basis for the incremental RTP rates), but rather, reflect the costs associated with decades of prior energy production by the Company’s coal-fired generators.”</w:t>
      </w:r>
      <w:r w:rsidRPr="002D2B16">
        <w:rPr>
          <w:rStyle w:val="FootnoteReference"/>
          <w:rFonts w:ascii="Times New Roman" w:hAnsi="Times New Roman" w:cs="Times New Roman"/>
          <w:bCs/>
          <w:sz w:val="24"/>
          <w:szCs w:val="24"/>
        </w:rPr>
        <w:footnoteReference w:id="19"/>
      </w:r>
      <w:r w:rsidRPr="002D2B16">
        <w:rPr>
          <w:rFonts w:ascii="Times New Roman" w:hAnsi="Times New Roman" w:cs="Times New Roman"/>
          <w:bCs/>
          <w:sz w:val="24"/>
          <w:szCs w:val="24"/>
        </w:rPr>
        <w:t xml:space="preserve"> </w:t>
      </w:r>
      <w:r w:rsidR="00FF7383">
        <w:rPr>
          <w:rFonts w:ascii="Times New Roman" w:hAnsi="Times New Roman" w:cs="Times New Roman"/>
          <w:sz w:val="24"/>
          <w:szCs w:val="24"/>
        </w:rPr>
        <w:t>PIA</w:t>
      </w:r>
      <w:r w:rsidR="00FF7383" w:rsidRPr="002D2B16">
        <w:rPr>
          <w:rFonts w:ascii="Times New Roman" w:hAnsi="Times New Roman" w:cs="Times New Roman"/>
          <w:bCs/>
          <w:sz w:val="24"/>
          <w:szCs w:val="24"/>
        </w:rPr>
        <w:t xml:space="preserve"> </w:t>
      </w:r>
      <w:r w:rsidRPr="002D2B16">
        <w:rPr>
          <w:rFonts w:ascii="Times New Roman" w:hAnsi="Times New Roman" w:cs="Times New Roman"/>
          <w:bCs/>
          <w:sz w:val="24"/>
          <w:szCs w:val="24"/>
        </w:rPr>
        <w:t>Staff’s recommendation to apply the ECCR to RTP customers should be denied by the Commission.</w:t>
      </w:r>
    </w:p>
    <w:p w14:paraId="0CF96A47" w14:textId="4C5D654F" w:rsidR="00101CE2" w:rsidRPr="002D2B16" w:rsidRDefault="00FF7383" w:rsidP="009B7895">
      <w:pPr>
        <w:keepNext/>
        <w:spacing w:after="24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PIA</w:t>
      </w:r>
      <w:r>
        <w:rPr>
          <w:rFonts w:ascii="Times New Roman" w:hAnsi="Times New Roman" w:cs="Times New Roman"/>
          <w:bCs/>
          <w:sz w:val="24"/>
          <w:szCs w:val="24"/>
        </w:rPr>
        <w:t xml:space="preserve"> </w:t>
      </w:r>
      <w:r w:rsidR="00101CE2">
        <w:rPr>
          <w:rFonts w:ascii="Times New Roman" w:hAnsi="Times New Roman" w:cs="Times New Roman"/>
          <w:bCs/>
          <w:sz w:val="24"/>
          <w:szCs w:val="24"/>
        </w:rPr>
        <w:t>Staff has also recommended the allocation of th</w:t>
      </w:r>
      <w:r w:rsidR="00F445B4">
        <w:rPr>
          <w:rFonts w:ascii="Times New Roman" w:hAnsi="Times New Roman" w:cs="Times New Roman"/>
          <w:bCs/>
          <w:sz w:val="24"/>
          <w:szCs w:val="24"/>
        </w:rPr>
        <w:t xml:space="preserve">e ECCR cost recovery based on </w:t>
      </w:r>
      <w:r w:rsidR="00100A8F">
        <w:rPr>
          <w:rFonts w:ascii="Times New Roman" w:hAnsi="Times New Roman" w:cs="Times New Roman"/>
          <w:bCs/>
          <w:sz w:val="24"/>
          <w:szCs w:val="24"/>
        </w:rPr>
        <w:t>kilowatt-hours (</w:t>
      </w:r>
      <w:r w:rsidR="00F445B4">
        <w:rPr>
          <w:rFonts w:ascii="Times New Roman" w:hAnsi="Times New Roman" w:cs="Times New Roman"/>
          <w:bCs/>
          <w:sz w:val="24"/>
          <w:szCs w:val="24"/>
        </w:rPr>
        <w:t>kWh</w:t>
      </w:r>
      <w:r w:rsidR="00100A8F">
        <w:rPr>
          <w:rFonts w:ascii="Times New Roman" w:hAnsi="Times New Roman" w:cs="Times New Roman"/>
          <w:bCs/>
          <w:sz w:val="24"/>
          <w:szCs w:val="24"/>
        </w:rPr>
        <w:t>)</w:t>
      </w:r>
      <w:r w:rsidR="00F445B4">
        <w:rPr>
          <w:rFonts w:ascii="Times New Roman" w:hAnsi="Times New Roman" w:cs="Times New Roman"/>
          <w:bCs/>
          <w:sz w:val="24"/>
          <w:szCs w:val="24"/>
        </w:rPr>
        <w:t xml:space="preserve"> energy consumption.  </w:t>
      </w:r>
      <w:r w:rsidR="00264FD0">
        <w:rPr>
          <w:rFonts w:ascii="Times New Roman" w:hAnsi="Times New Roman" w:cs="Times New Roman"/>
          <w:bCs/>
          <w:sz w:val="24"/>
          <w:szCs w:val="24"/>
        </w:rPr>
        <w:t>Again, the ECCR related costs are past, embedded costs that are not caused by current energy consumption.</w:t>
      </w:r>
      <w:r w:rsidR="00091A49">
        <w:rPr>
          <w:rFonts w:ascii="Times New Roman" w:hAnsi="Times New Roman" w:cs="Times New Roman"/>
          <w:bCs/>
          <w:sz w:val="24"/>
          <w:szCs w:val="24"/>
        </w:rPr>
        <w:t xml:space="preserve">  Furthermore, </w:t>
      </w:r>
      <w:r>
        <w:rPr>
          <w:rFonts w:ascii="Times New Roman" w:hAnsi="Times New Roman" w:cs="Times New Roman"/>
          <w:sz w:val="24"/>
          <w:szCs w:val="24"/>
        </w:rPr>
        <w:t>PIA</w:t>
      </w:r>
      <w:r>
        <w:rPr>
          <w:rFonts w:ascii="Times New Roman" w:hAnsi="Times New Roman" w:cs="Times New Roman"/>
          <w:bCs/>
          <w:sz w:val="24"/>
          <w:szCs w:val="24"/>
        </w:rPr>
        <w:t xml:space="preserve"> </w:t>
      </w:r>
      <w:r w:rsidR="00091A49">
        <w:rPr>
          <w:rFonts w:ascii="Times New Roman" w:hAnsi="Times New Roman" w:cs="Times New Roman"/>
          <w:bCs/>
          <w:sz w:val="24"/>
          <w:szCs w:val="24"/>
        </w:rPr>
        <w:t xml:space="preserve">Staff’s proposal would </w:t>
      </w:r>
      <w:r w:rsidR="00091A49">
        <w:rPr>
          <w:rFonts w:ascii="Times New Roman" w:hAnsi="Times New Roman" w:cs="Times New Roman"/>
          <w:bCs/>
          <w:sz w:val="24"/>
          <w:szCs w:val="24"/>
        </w:rPr>
        <w:lastRenderedPageBreak/>
        <w:t xml:space="preserve">deviate from longstanding practice </w:t>
      </w:r>
      <w:r w:rsidR="00EA383B">
        <w:rPr>
          <w:rFonts w:ascii="Times New Roman" w:hAnsi="Times New Roman" w:cs="Times New Roman"/>
          <w:bCs/>
          <w:sz w:val="24"/>
          <w:szCs w:val="24"/>
        </w:rPr>
        <w:t>causing undue shift of cost recovery between customer classes.</w:t>
      </w:r>
      <w:r w:rsidR="00C13FD1">
        <w:rPr>
          <w:rFonts w:ascii="Times New Roman" w:hAnsi="Times New Roman" w:cs="Times New Roman"/>
          <w:bCs/>
          <w:sz w:val="24"/>
          <w:szCs w:val="24"/>
        </w:rPr>
        <w:t xml:space="preserve"> </w:t>
      </w:r>
      <w:r w:rsidR="00100A8F">
        <w:rPr>
          <w:rFonts w:ascii="Times New Roman" w:hAnsi="Times New Roman" w:cs="Times New Roman"/>
          <w:bCs/>
          <w:sz w:val="24"/>
          <w:szCs w:val="24"/>
        </w:rPr>
        <w:t xml:space="preserve">Finally, PIA Staff’s recommendation </w:t>
      </w:r>
      <w:r w:rsidR="00181560">
        <w:rPr>
          <w:rFonts w:ascii="Times New Roman" w:hAnsi="Times New Roman" w:cs="Times New Roman"/>
          <w:bCs/>
          <w:sz w:val="24"/>
          <w:szCs w:val="24"/>
        </w:rPr>
        <w:t xml:space="preserve">would </w:t>
      </w:r>
      <w:r w:rsidR="00100A8F">
        <w:rPr>
          <w:rFonts w:ascii="Times New Roman" w:hAnsi="Times New Roman" w:cs="Times New Roman"/>
          <w:bCs/>
          <w:sz w:val="24"/>
          <w:szCs w:val="24"/>
        </w:rPr>
        <w:t>result in a</w:t>
      </w:r>
      <w:r w:rsidR="00181560">
        <w:rPr>
          <w:rFonts w:ascii="Times New Roman" w:hAnsi="Times New Roman" w:cs="Times New Roman"/>
          <w:bCs/>
          <w:sz w:val="24"/>
          <w:szCs w:val="24"/>
        </w:rPr>
        <w:t xml:space="preserve"> substantial</w:t>
      </w:r>
      <w:r w:rsidR="00100A8F">
        <w:rPr>
          <w:rFonts w:ascii="Times New Roman" w:hAnsi="Times New Roman" w:cs="Times New Roman"/>
          <w:bCs/>
          <w:sz w:val="24"/>
          <w:szCs w:val="24"/>
        </w:rPr>
        <w:t xml:space="preserve"> overall increase to RTP customers of $150 million.</w:t>
      </w:r>
      <w:r w:rsidR="00100A8F">
        <w:rPr>
          <w:rStyle w:val="FootnoteReference"/>
          <w:rFonts w:ascii="Times New Roman" w:hAnsi="Times New Roman" w:cs="Times New Roman"/>
          <w:bCs/>
          <w:sz w:val="24"/>
          <w:szCs w:val="24"/>
        </w:rPr>
        <w:footnoteReference w:id="20"/>
      </w:r>
      <w:r w:rsidR="00100A8F">
        <w:rPr>
          <w:rFonts w:ascii="Times New Roman" w:hAnsi="Times New Roman" w:cs="Times New Roman"/>
          <w:bCs/>
          <w:sz w:val="24"/>
          <w:szCs w:val="24"/>
        </w:rPr>
        <w:t xml:space="preserve"> </w:t>
      </w:r>
      <w:r w:rsidR="00C13FD1">
        <w:rPr>
          <w:rFonts w:ascii="Times New Roman" w:hAnsi="Times New Roman" w:cs="Times New Roman"/>
          <w:bCs/>
          <w:sz w:val="24"/>
          <w:szCs w:val="24"/>
        </w:rPr>
        <w:t>Thi</w:t>
      </w:r>
      <w:r w:rsidR="00A03D8D">
        <w:rPr>
          <w:rFonts w:ascii="Times New Roman" w:hAnsi="Times New Roman" w:cs="Times New Roman"/>
          <w:bCs/>
          <w:sz w:val="24"/>
          <w:szCs w:val="24"/>
        </w:rPr>
        <w:t>s</w:t>
      </w:r>
      <w:r w:rsidR="005170E7">
        <w:rPr>
          <w:rFonts w:ascii="Times New Roman" w:hAnsi="Times New Roman" w:cs="Times New Roman"/>
          <w:bCs/>
          <w:sz w:val="24"/>
          <w:szCs w:val="24"/>
        </w:rPr>
        <w:t xml:space="preserve"> </w:t>
      </w:r>
      <w:r w:rsidR="00C13FD1">
        <w:rPr>
          <w:rFonts w:ascii="Times New Roman" w:hAnsi="Times New Roman" w:cs="Times New Roman"/>
          <w:bCs/>
          <w:sz w:val="24"/>
          <w:szCs w:val="24"/>
        </w:rPr>
        <w:t xml:space="preserve">recommendation from </w:t>
      </w:r>
      <w:r>
        <w:rPr>
          <w:rFonts w:ascii="Times New Roman" w:hAnsi="Times New Roman" w:cs="Times New Roman"/>
          <w:sz w:val="24"/>
          <w:szCs w:val="24"/>
        </w:rPr>
        <w:t>PIA</w:t>
      </w:r>
      <w:r>
        <w:rPr>
          <w:rFonts w:ascii="Times New Roman" w:hAnsi="Times New Roman" w:cs="Times New Roman"/>
          <w:bCs/>
          <w:sz w:val="24"/>
          <w:szCs w:val="24"/>
        </w:rPr>
        <w:t xml:space="preserve"> </w:t>
      </w:r>
      <w:r w:rsidR="00C13FD1">
        <w:rPr>
          <w:rFonts w:ascii="Times New Roman" w:hAnsi="Times New Roman" w:cs="Times New Roman"/>
          <w:bCs/>
          <w:sz w:val="24"/>
          <w:szCs w:val="24"/>
        </w:rPr>
        <w:t xml:space="preserve">Staff </w:t>
      </w:r>
      <w:r w:rsidR="005170E7">
        <w:rPr>
          <w:rFonts w:ascii="Times New Roman" w:hAnsi="Times New Roman" w:cs="Times New Roman"/>
          <w:bCs/>
          <w:sz w:val="24"/>
          <w:szCs w:val="24"/>
        </w:rPr>
        <w:t xml:space="preserve">for kWh-recovery of the ECCR </w:t>
      </w:r>
      <w:r w:rsidR="00C13FD1">
        <w:rPr>
          <w:rFonts w:ascii="Times New Roman" w:hAnsi="Times New Roman" w:cs="Times New Roman"/>
          <w:bCs/>
          <w:sz w:val="24"/>
          <w:szCs w:val="24"/>
        </w:rPr>
        <w:t>should be denied.</w:t>
      </w:r>
    </w:p>
    <w:p w14:paraId="1ABF53DB" w14:textId="2369C1FF" w:rsidR="0093416F" w:rsidRPr="002D2B16" w:rsidRDefault="0093416F" w:rsidP="0093416F">
      <w:pPr>
        <w:spacing w:after="0" w:line="480" w:lineRule="auto"/>
        <w:jc w:val="center"/>
        <w:rPr>
          <w:rFonts w:ascii="Times New Roman" w:hAnsi="Times New Roman" w:cs="Times New Roman"/>
          <w:sz w:val="24"/>
          <w:szCs w:val="24"/>
        </w:rPr>
      </w:pPr>
      <w:r w:rsidRPr="002D2B16">
        <w:rPr>
          <w:rFonts w:ascii="Times New Roman" w:hAnsi="Times New Roman" w:cs="Times New Roman"/>
          <w:b/>
          <w:sz w:val="24"/>
          <w:szCs w:val="24"/>
        </w:rPr>
        <w:t>RETURN ON EQUITY</w:t>
      </w:r>
    </w:p>
    <w:p w14:paraId="3900C86F" w14:textId="6744C327" w:rsidR="0093416F" w:rsidRPr="002D2B16" w:rsidRDefault="0093416F" w:rsidP="00BA1325">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An authorized ROE of 9.47</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will permit GPC the opportunity to earn a return comparable to a return on investments in other enterprises having similar risks, which allow GPC</w:t>
      </w:r>
      <w:r w:rsidR="00D77E9C" w:rsidRPr="002D2B16">
        <w:rPr>
          <w:rFonts w:ascii="Times New Roman" w:hAnsi="Times New Roman" w:cs="Times New Roman"/>
          <w:sz w:val="24"/>
          <w:szCs w:val="24"/>
        </w:rPr>
        <w:t>,</w:t>
      </w:r>
      <w:r w:rsidRPr="002D2B16">
        <w:rPr>
          <w:rFonts w:ascii="Times New Roman" w:hAnsi="Times New Roman" w:cs="Times New Roman"/>
          <w:sz w:val="24"/>
          <w:szCs w:val="24"/>
        </w:rPr>
        <w:t xml:space="preserve"> under efficient and economical management, the opportunity to attract capital on reasonable terms, maintain a satisfactory credit rating, and discharge its public duties.</w:t>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 xml:space="preserve">This standard is based upon the principle set forth by the United States Supreme Court in </w:t>
      </w:r>
      <w:r w:rsidRPr="002D2B16">
        <w:rPr>
          <w:rFonts w:ascii="Times New Roman" w:hAnsi="Times New Roman" w:cs="Times New Roman"/>
          <w:sz w:val="24"/>
          <w:szCs w:val="24"/>
          <w:u w:val="single"/>
        </w:rPr>
        <w:t>Bluefield Waterworks &amp; Improvement Company v. Public Service Commission of West Virginia</w:t>
      </w:r>
      <w:r w:rsidRPr="002D2B16">
        <w:rPr>
          <w:rFonts w:ascii="Times New Roman" w:hAnsi="Times New Roman" w:cs="Times New Roman"/>
          <w:sz w:val="24"/>
          <w:szCs w:val="24"/>
        </w:rPr>
        <w:t xml:space="preserve">, 262 U.S. 679, 692-93 (1923) </w:t>
      </w:r>
      <w:r w:rsidR="00DA2D9F" w:rsidRPr="002D2B16">
        <w:rPr>
          <w:rFonts w:ascii="Times New Roman" w:hAnsi="Times New Roman" w:cs="Times New Roman"/>
          <w:sz w:val="24"/>
          <w:szCs w:val="24"/>
        </w:rPr>
        <w:t>(“</w:t>
      </w:r>
      <w:r w:rsidR="00EE3480" w:rsidRPr="002D2B16">
        <w:rPr>
          <w:rFonts w:ascii="Times New Roman" w:hAnsi="Times New Roman" w:cs="Times New Roman"/>
          <w:sz w:val="24"/>
          <w:szCs w:val="24"/>
          <w:u w:val="single"/>
        </w:rPr>
        <w:t>Bluefield</w:t>
      </w:r>
      <w:r w:rsidR="00EE3480" w:rsidRPr="002D2B16">
        <w:rPr>
          <w:rFonts w:ascii="Times New Roman" w:hAnsi="Times New Roman" w:cs="Times New Roman"/>
          <w:sz w:val="24"/>
          <w:szCs w:val="24"/>
        </w:rPr>
        <w:t>”)</w:t>
      </w:r>
      <w:r w:rsidR="00E561D0" w:rsidRPr="002D2B16">
        <w:rPr>
          <w:rFonts w:ascii="Times New Roman" w:hAnsi="Times New Roman" w:cs="Times New Roman"/>
          <w:sz w:val="24"/>
          <w:szCs w:val="24"/>
        </w:rPr>
        <w:t xml:space="preserve"> </w:t>
      </w:r>
      <w:r w:rsidRPr="002D2B16">
        <w:rPr>
          <w:rFonts w:ascii="Times New Roman" w:hAnsi="Times New Roman" w:cs="Times New Roman"/>
          <w:sz w:val="24"/>
          <w:szCs w:val="24"/>
        </w:rPr>
        <w:t xml:space="preserve">and </w:t>
      </w:r>
      <w:r w:rsidRPr="002D2B16">
        <w:rPr>
          <w:rFonts w:ascii="Times New Roman" w:hAnsi="Times New Roman" w:cs="Times New Roman"/>
          <w:sz w:val="24"/>
          <w:szCs w:val="24"/>
          <w:u w:val="single"/>
        </w:rPr>
        <w:t>Federal Power Commission v. Hope Natural Gas Company</w:t>
      </w:r>
      <w:r w:rsidRPr="002D2B16">
        <w:rPr>
          <w:rFonts w:ascii="Times New Roman" w:hAnsi="Times New Roman" w:cs="Times New Roman"/>
          <w:sz w:val="24"/>
          <w:szCs w:val="24"/>
        </w:rPr>
        <w:t>, 3320 U.S. 591, 605 (1944)</w:t>
      </w:r>
      <w:r w:rsidR="00EE3480" w:rsidRPr="002D2B16">
        <w:rPr>
          <w:rFonts w:ascii="Times New Roman" w:hAnsi="Times New Roman" w:cs="Times New Roman"/>
          <w:sz w:val="24"/>
          <w:szCs w:val="24"/>
        </w:rPr>
        <w:t xml:space="preserve"> (“</w:t>
      </w:r>
      <w:r w:rsidR="00EE3480" w:rsidRPr="002D2B16">
        <w:rPr>
          <w:rFonts w:ascii="Times New Roman" w:hAnsi="Times New Roman" w:cs="Times New Roman"/>
          <w:sz w:val="24"/>
          <w:szCs w:val="24"/>
          <w:u w:val="single"/>
        </w:rPr>
        <w:t>Hope</w:t>
      </w:r>
      <w:r w:rsidR="00EE3480" w:rsidRPr="002D2B16">
        <w:rPr>
          <w:rFonts w:ascii="Times New Roman" w:hAnsi="Times New Roman" w:cs="Times New Roman"/>
          <w:sz w:val="24"/>
          <w:szCs w:val="24"/>
        </w:rPr>
        <w:t>”)</w:t>
      </w:r>
      <w:r w:rsidRPr="002D2B16">
        <w:rPr>
          <w:rFonts w:ascii="Times New Roman" w:hAnsi="Times New Roman" w:cs="Times New Roman"/>
          <w:sz w:val="24"/>
          <w:szCs w:val="24"/>
        </w:rPr>
        <w:t>.</w:t>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 xml:space="preserve">GPC witness Mr. James Coyne; </w:t>
      </w:r>
      <w:r w:rsidR="00FF7383">
        <w:rPr>
          <w:rFonts w:ascii="Times New Roman" w:hAnsi="Times New Roman" w:cs="Times New Roman"/>
          <w:sz w:val="24"/>
          <w:szCs w:val="24"/>
        </w:rPr>
        <w:t>PIA</w:t>
      </w:r>
      <w:r w:rsidR="00FF7383" w:rsidRPr="002D2B16" w:rsidDel="00FF7383">
        <w:rPr>
          <w:rFonts w:ascii="Times New Roman" w:hAnsi="Times New Roman" w:cs="Times New Roman"/>
          <w:sz w:val="24"/>
          <w:szCs w:val="24"/>
        </w:rPr>
        <w:t xml:space="preserve"> </w:t>
      </w:r>
      <w:r w:rsidRPr="002D2B16">
        <w:rPr>
          <w:rFonts w:ascii="Times New Roman" w:hAnsi="Times New Roman" w:cs="Times New Roman"/>
          <w:sz w:val="24"/>
          <w:szCs w:val="24"/>
        </w:rPr>
        <w:t>Staff witness Mr. Michael Gorman; D</w:t>
      </w:r>
      <w:r w:rsidR="00F2152E" w:rsidRPr="002D2B16">
        <w:rPr>
          <w:rFonts w:ascii="Times New Roman" w:hAnsi="Times New Roman" w:cs="Times New Roman"/>
          <w:sz w:val="24"/>
          <w:szCs w:val="24"/>
        </w:rPr>
        <w:t>o</w:t>
      </w:r>
      <w:r w:rsidRPr="002D2B16">
        <w:rPr>
          <w:rFonts w:ascii="Times New Roman" w:hAnsi="Times New Roman" w:cs="Times New Roman"/>
          <w:sz w:val="24"/>
          <w:szCs w:val="24"/>
        </w:rPr>
        <w:t xml:space="preserve">D/FEA witness Ms. </w:t>
      </w:r>
      <w:r w:rsidR="004A41C0" w:rsidRPr="002D2B16">
        <w:rPr>
          <w:rFonts w:ascii="Times New Roman" w:hAnsi="Times New Roman" w:cs="Times New Roman"/>
          <w:sz w:val="24"/>
          <w:szCs w:val="24"/>
        </w:rPr>
        <w:t xml:space="preserve">Maureen </w:t>
      </w:r>
      <w:r w:rsidRPr="002D2B16">
        <w:rPr>
          <w:rFonts w:ascii="Times New Roman" w:hAnsi="Times New Roman" w:cs="Times New Roman"/>
          <w:sz w:val="24"/>
          <w:szCs w:val="24"/>
        </w:rPr>
        <w:t xml:space="preserve">Reno; and Georgia Interfaith Power and Light </w:t>
      </w:r>
      <w:r w:rsidR="00F73EB3" w:rsidRPr="002D2B16">
        <w:rPr>
          <w:rFonts w:ascii="Times New Roman" w:hAnsi="Times New Roman" w:cs="Times New Roman"/>
          <w:sz w:val="24"/>
          <w:szCs w:val="24"/>
        </w:rPr>
        <w:t xml:space="preserve">(“GIPL”) </w:t>
      </w:r>
      <w:r w:rsidRPr="002D2B16">
        <w:rPr>
          <w:rFonts w:ascii="Times New Roman" w:hAnsi="Times New Roman" w:cs="Times New Roman"/>
          <w:sz w:val="24"/>
          <w:szCs w:val="24"/>
        </w:rPr>
        <w:t xml:space="preserve">witness Mr. Mark Ellis all recognize the importance of </w:t>
      </w:r>
      <w:r w:rsidRPr="002D2B16">
        <w:rPr>
          <w:rFonts w:ascii="Times New Roman" w:hAnsi="Times New Roman" w:cs="Times New Roman"/>
          <w:sz w:val="24"/>
          <w:szCs w:val="24"/>
          <w:u w:val="single"/>
        </w:rPr>
        <w:t>Bluefield</w:t>
      </w:r>
      <w:r w:rsidRPr="002D2B16">
        <w:rPr>
          <w:rFonts w:ascii="Times New Roman" w:hAnsi="Times New Roman" w:cs="Times New Roman"/>
          <w:sz w:val="24"/>
          <w:szCs w:val="24"/>
        </w:rPr>
        <w:t xml:space="preserve"> and </w:t>
      </w:r>
      <w:r w:rsidRPr="002D2B16">
        <w:rPr>
          <w:rFonts w:ascii="Times New Roman" w:hAnsi="Times New Roman" w:cs="Times New Roman"/>
          <w:sz w:val="24"/>
          <w:szCs w:val="24"/>
          <w:u w:val="single"/>
        </w:rPr>
        <w:t>Hope</w:t>
      </w:r>
      <w:r w:rsidRPr="002D2B16">
        <w:rPr>
          <w:rFonts w:ascii="Times New Roman" w:hAnsi="Times New Roman" w:cs="Times New Roman"/>
          <w:sz w:val="24"/>
          <w:szCs w:val="24"/>
        </w:rPr>
        <w:t xml:space="preserve"> in determining a utility’s </w:t>
      </w:r>
      <w:r w:rsidR="00EE3480" w:rsidRPr="002D2B16">
        <w:rPr>
          <w:rFonts w:ascii="Times New Roman" w:hAnsi="Times New Roman" w:cs="Times New Roman"/>
          <w:sz w:val="24"/>
          <w:szCs w:val="24"/>
        </w:rPr>
        <w:t>ROE</w:t>
      </w:r>
      <w:r w:rsidRPr="002D2B16">
        <w:rPr>
          <w:rFonts w:ascii="Times New Roman" w:hAnsi="Times New Roman" w:cs="Times New Roman"/>
          <w:sz w:val="24"/>
          <w:szCs w:val="24"/>
        </w:rPr>
        <w:t>.</w:t>
      </w:r>
      <w:r w:rsidRPr="002D2B16">
        <w:rPr>
          <w:rStyle w:val="FootnoteReference"/>
          <w:rFonts w:ascii="Times New Roman" w:hAnsi="Times New Roman" w:cs="Times New Roman"/>
          <w:sz w:val="24"/>
          <w:szCs w:val="24"/>
        </w:rPr>
        <w:footnoteReference w:id="21"/>
      </w:r>
    </w:p>
    <w:p w14:paraId="7076CF93" w14:textId="2231071B" w:rsidR="004642D1" w:rsidRPr="002D2B16" w:rsidRDefault="0093416F" w:rsidP="00BA1325">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 xml:space="preserve">In determining the appropriate </w:t>
      </w:r>
      <w:r w:rsidR="00E561D0" w:rsidRPr="002D2B16">
        <w:rPr>
          <w:rFonts w:ascii="Times New Roman" w:hAnsi="Times New Roman" w:cs="Times New Roman"/>
          <w:sz w:val="24"/>
          <w:szCs w:val="24"/>
        </w:rPr>
        <w:t>ROE</w:t>
      </w:r>
      <w:r w:rsidRPr="002D2B16">
        <w:rPr>
          <w:rFonts w:ascii="Times New Roman" w:hAnsi="Times New Roman" w:cs="Times New Roman"/>
          <w:sz w:val="24"/>
          <w:szCs w:val="24"/>
        </w:rPr>
        <w:t xml:space="preserve">, </w:t>
      </w:r>
      <w:r w:rsidRPr="002D2B16">
        <w:rPr>
          <w:rFonts w:ascii="Times New Roman" w:hAnsi="Times New Roman" w:cs="Times New Roman"/>
          <w:sz w:val="24"/>
          <w:szCs w:val="24"/>
          <w:u w:val="single"/>
        </w:rPr>
        <w:t>Bluefield</w:t>
      </w:r>
      <w:r w:rsidRPr="002D2B16">
        <w:rPr>
          <w:rFonts w:ascii="Times New Roman" w:hAnsi="Times New Roman" w:cs="Times New Roman"/>
          <w:sz w:val="24"/>
          <w:szCs w:val="24"/>
        </w:rPr>
        <w:t xml:space="preserve"> and </w:t>
      </w:r>
      <w:r w:rsidRPr="002D2B16">
        <w:rPr>
          <w:rFonts w:ascii="Times New Roman" w:hAnsi="Times New Roman" w:cs="Times New Roman"/>
          <w:sz w:val="24"/>
          <w:szCs w:val="24"/>
          <w:u w:val="single"/>
        </w:rPr>
        <w:t>Hope</w:t>
      </w:r>
      <w:r w:rsidRPr="002D2B16">
        <w:rPr>
          <w:rFonts w:ascii="Times New Roman" w:hAnsi="Times New Roman" w:cs="Times New Roman"/>
          <w:sz w:val="24"/>
          <w:szCs w:val="24"/>
        </w:rPr>
        <w:t xml:space="preserve"> do not allow adjustments based on theories of gradualism or reward for a utility’s past performance</w:t>
      </w:r>
      <w:r w:rsidR="001B24EC" w:rsidRPr="002D2B16">
        <w:rPr>
          <w:rFonts w:ascii="Times New Roman" w:hAnsi="Times New Roman" w:cs="Times New Roman"/>
          <w:sz w:val="24"/>
          <w:szCs w:val="24"/>
        </w:rPr>
        <w:t>,</w:t>
      </w:r>
      <w:r w:rsidRPr="002D2B16">
        <w:rPr>
          <w:rFonts w:ascii="Times New Roman" w:hAnsi="Times New Roman" w:cs="Times New Roman"/>
          <w:sz w:val="24"/>
          <w:szCs w:val="24"/>
        </w:rPr>
        <w:t xml:space="preserve"> as </w:t>
      </w:r>
      <w:r w:rsidR="00E561D0" w:rsidRPr="002D2B16">
        <w:rPr>
          <w:rFonts w:ascii="Times New Roman" w:hAnsi="Times New Roman" w:cs="Times New Roman"/>
          <w:sz w:val="24"/>
          <w:szCs w:val="24"/>
        </w:rPr>
        <w:t>GPC</w:t>
      </w:r>
      <w:r w:rsidRPr="002D2B16">
        <w:rPr>
          <w:rFonts w:ascii="Times New Roman" w:hAnsi="Times New Roman" w:cs="Times New Roman"/>
          <w:sz w:val="24"/>
          <w:szCs w:val="24"/>
        </w:rPr>
        <w:t xml:space="preserve"> has suggested in this proceeding.</w:t>
      </w:r>
      <w:r w:rsidR="007F6C27" w:rsidRPr="002D2B16">
        <w:rPr>
          <w:rFonts w:ascii="Times New Roman" w:hAnsi="Times New Roman" w:cs="Times New Roman"/>
          <w:sz w:val="24"/>
          <w:szCs w:val="24"/>
        </w:rPr>
        <w:t xml:space="preserve"> </w:t>
      </w:r>
      <w:r w:rsidR="003902D3" w:rsidRPr="002D2B16">
        <w:rPr>
          <w:rFonts w:ascii="Times New Roman" w:hAnsi="Times New Roman" w:cs="Times New Roman"/>
          <w:sz w:val="24"/>
          <w:szCs w:val="24"/>
        </w:rPr>
        <w:t xml:space="preserve"> </w:t>
      </w:r>
      <w:r w:rsidR="00B13506" w:rsidRPr="002D2B16">
        <w:rPr>
          <w:rFonts w:ascii="Times New Roman" w:hAnsi="Times New Roman" w:cs="Times New Roman"/>
          <w:sz w:val="24"/>
          <w:szCs w:val="24"/>
        </w:rPr>
        <w:t xml:space="preserve">In </w:t>
      </w:r>
      <w:r w:rsidRPr="002D2B16">
        <w:rPr>
          <w:rFonts w:ascii="Times New Roman" w:hAnsi="Times New Roman" w:cs="Times New Roman"/>
          <w:sz w:val="24"/>
          <w:szCs w:val="24"/>
        </w:rPr>
        <w:t>GPC’s last rate case in 2019</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the Commission approved an ROE of 10.5</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w:t>
      </w:r>
      <w:r w:rsidR="00B31095" w:rsidRPr="002D2B16">
        <w:rPr>
          <w:rStyle w:val="FootnoteReference"/>
          <w:rFonts w:ascii="Times New Roman" w:hAnsi="Times New Roman" w:cs="Times New Roman"/>
          <w:sz w:val="24"/>
          <w:szCs w:val="24"/>
        </w:rPr>
        <w:footnoteReference w:id="22"/>
      </w:r>
      <w:r w:rsidRPr="002D2B16">
        <w:rPr>
          <w:rFonts w:ascii="Times New Roman" w:hAnsi="Times New Roman" w:cs="Times New Roman"/>
          <w:sz w:val="24"/>
          <w:szCs w:val="24"/>
        </w:rPr>
        <w:t xml:space="preserve"> </w:t>
      </w:r>
      <w:r w:rsidR="00B13506" w:rsidRPr="002D2B16">
        <w:rPr>
          <w:rFonts w:ascii="Times New Roman" w:hAnsi="Times New Roman" w:cs="Times New Roman"/>
          <w:sz w:val="24"/>
          <w:szCs w:val="24"/>
        </w:rPr>
        <w:t xml:space="preserve"> </w:t>
      </w:r>
      <w:r w:rsidRPr="002D2B16">
        <w:rPr>
          <w:rFonts w:ascii="Times New Roman" w:hAnsi="Times New Roman" w:cs="Times New Roman"/>
          <w:sz w:val="24"/>
          <w:szCs w:val="24"/>
        </w:rPr>
        <w:t xml:space="preserve">Currently, investors are anticipating an economic slowdown in response to high inflation and </w:t>
      </w:r>
      <w:r w:rsidRPr="002D2B16">
        <w:rPr>
          <w:rFonts w:ascii="Times New Roman" w:hAnsi="Times New Roman" w:cs="Times New Roman"/>
          <w:sz w:val="24"/>
          <w:szCs w:val="24"/>
        </w:rPr>
        <w:lastRenderedPageBreak/>
        <w:t>aggressive actions by the Federal Reserve Bank’s Open Market Committee (</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FOMC</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w:t>
      </w:r>
      <w:r w:rsidRPr="002D2B16">
        <w:rPr>
          <w:rStyle w:val="FootnoteReference"/>
          <w:rFonts w:ascii="Times New Roman" w:hAnsi="Times New Roman" w:cs="Times New Roman"/>
          <w:sz w:val="24"/>
          <w:szCs w:val="24"/>
        </w:rPr>
        <w:footnoteReference w:id="23"/>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Although the FOMC has aggressively increased the federal fund</w:t>
      </w:r>
      <w:r w:rsidR="00E561D0" w:rsidRPr="002D2B16">
        <w:rPr>
          <w:rFonts w:ascii="Times New Roman" w:hAnsi="Times New Roman" w:cs="Times New Roman"/>
          <w:sz w:val="24"/>
          <w:szCs w:val="24"/>
        </w:rPr>
        <w:t>s</w:t>
      </w:r>
      <w:r w:rsidRPr="002D2B16">
        <w:rPr>
          <w:rFonts w:ascii="Times New Roman" w:hAnsi="Times New Roman" w:cs="Times New Roman"/>
          <w:sz w:val="24"/>
          <w:szCs w:val="24"/>
        </w:rPr>
        <w:t xml:space="preserve"> rate</w:t>
      </w:r>
      <w:r w:rsidR="00645BCD" w:rsidRPr="002D2B16">
        <w:rPr>
          <w:rFonts w:ascii="Times New Roman" w:hAnsi="Times New Roman" w:cs="Times New Roman"/>
          <w:sz w:val="24"/>
          <w:szCs w:val="24"/>
        </w:rPr>
        <w:t>,</w:t>
      </w:r>
      <w:r w:rsidRPr="002D2B16">
        <w:rPr>
          <w:rFonts w:ascii="Times New Roman" w:hAnsi="Times New Roman" w:cs="Times New Roman"/>
          <w:sz w:val="24"/>
          <w:szCs w:val="24"/>
        </w:rPr>
        <w:t xml:space="preserve"> </w:t>
      </w:r>
      <w:r w:rsidR="00E561D0" w:rsidRPr="002D2B16">
        <w:rPr>
          <w:rFonts w:ascii="Times New Roman" w:hAnsi="Times New Roman" w:cs="Times New Roman"/>
          <w:sz w:val="24"/>
          <w:szCs w:val="24"/>
        </w:rPr>
        <w:t xml:space="preserve">which </w:t>
      </w:r>
      <w:r w:rsidRPr="002D2B16">
        <w:rPr>
          <w:rFonts w:ascii="Times New Roman" w:hAnsi="Times New Roman" w:cs="Times New Roman"/>
          <w:sz w:val="24"/>
          <w:szCs w:val="24"/>
        </w:rPr>
        <w:t xml:space="preserve">has driven up short-term </w:t>
      </w:r>
      <w:r w:rsidR="00E561D0" w:rsidRPr="002D2B16">
        <w:rPr>
          <w:rFonts w:ascii="Times New Roman" w:hAnsi="Times New Roman" w:cs="Times New Roman"/>
          <w:sz w:val="24"/>
          <w:szCs w:val="24"/>
        </w:rPr>
        <w:t xml:space="preserve">U.S. </w:t>
      </w:r>
      <w:r w:rsidRPr="002D2B16">
        <w:rPr>
          <w:rFonts w:ascii="Times New Roman" w:hAnsi="Times New Roman" w:cs="Times New Roman"/>
          <w:sz w:val="24"/>
          <w:szCs w:val="24"/>
        </w:rPr>
        <w:t>Treasury bond rate</w:t>
      </w:r>
      <w:r w:rsidR="00E561D0" w:rsidRPr="002D2B16">
        <w:rPr>
          <w:rFonts w:ascii="Times New Roman" w:hAnsi="Times New Roman" w:cs="Times New Roman"/>
          <w:sz w:val="24"/>
          <w:szCs w:val="24"/>
        </w:rPr>
        <w:t>s</w:t>
      </w:r>
      <w:r w:rsidRPr="002D2B16">
        <w:rPr>
          <w:rFonts w:ascii="Times New Roman" w:hAnsi="Times New Roman" w:cs="Times New Roman"/>
          <w:sz w:val="24"/>
          <w:szCs w:val="24"/>
        </w:rPr>
        <w:t xml:space="preserve"> since the beginning of 2022, long-term Treasury bond rates ha</w:t>
      </w:r>
      <w:r w:rsidR="00E561D0" w:rsidRPr="002D2B16">
        <w:rPr>
          <w:rFonts w:ascii="Times New Roman" w:hAnsi="Times New Roman" w:cs="Times New Roman"/>
          <w:sz w:val="24"/>
          <w:szCs w:val="24"/>
        </w:rPr>
        <w:t>ve</w:t>
      </w:r>
      <w:r w:rsidRPr="002D2B16">
        <w:rPr>
          <w:rFonts w:ascii="Times New Roman" w:hAnsi="Times New Roman" w:cs="Times New Roman"/>
          <w:sz w:val="24"/>
          <w:szCs w:val="24"/>
        </w:rPr>
        <w:t xml:space="preserve"> not increased to the same degree</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remain</w:t>
      </w:r>
      <w:r w:rsidR="00E561D0" w:rsidRPr="002D2B16">
        <w:rPr>
          <w:rFonts w:ascii="Times New Roman" w:hAnsi="Times New Roman" w:cs="Times New Roman"/>
          <w:sz w:val="24"/>
          <w:szCs w:val="24"/>
        </w:rPr>
        <w:t>ing</w:t>
      </w:r>
      <w:r w:rsidRPr="002D2B16">
        <w:rPr>
          <w:rFonts w:ascii="Times New Roman" w:hAnsi="Times New Roman" w:cs="Times New Roman"/>
          <w:sz w:val="24"/>
          <w:szCs w:val="24"/>
        </w:rPr>
        <w:t xml:space="preserve"> at lower rates </w:t>
      </w:r>
      <w:r w:rsidR="00E561D0" w:rsidRPr="002D2B16">
        <w:rPr>
          <w:rFonts w:ascii="Times New Roman" w:hAnsi="Times New Roman" w:cs="Times New Roman"/>
          <w:sz w:val="24"/>
          <w:szCs w:val="24"/>
        </w:rPr>
        <w:t xml:space="preserve">due to </w:t>
      </w:r>
      <w:r w:rsidRPr="002D2B16">
        <w:rPr>
          <w:rFonts w:ascii="Times New Roman" w:hAnsi="Times New Roman" w:cs="Times New Roman"/>
          <w:sz w:val="24"/>
          <w:szCs w:val="24"/>
        </w:rPr>
        <w:t>investor concern</w:t>
      </w:r>
      <w:r w:rsidR="00E561D0" w:rsidRPr="002D2B16">
        <w:rPr>
          <w:rFonts w:ascii="Times New Roman" w:hAnsi="Times New Roman" w:cs="Times New Roman"/>
          <w:sz w:val="24"/>
          <w:szCs w:val="24"/>
        </w:rPr>
        <w:t>s</w:t>
      </w:r>
      <w:r w:rsidRPr="002D2B16">
        <w:rPr>
          <w:rFonts w:ascii="Times New Roman" w:hAnsi="Times New Roman" w:cs="Times New Roman"/>
          <w:sz w:val="24"/>
          <w:szCs w:val="24"/>
        </w:rPr>
        <w:t xml:space="preserve"> about increasing inflation and economic uncertainty. Thus, investors are seeking a safe haven in utility stocks.</w:t>
      </w:r>
      <w:r w:rsidRPr="002D2B16">
        <w:rPr>
          <w:rStyle w:val="FootnoteReference"/>
          <w:rFonts w:ascii="Times New Roman" w:hAnsi="Times New Roman" w:cs="Times New Roman"/>
          <w:sz w:val="24"/>
          <w:szCs w:val="24"/>
        </w:rPr>
        <w:footnoteReference w:id="24"/>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 xml:space="preserve">Such investor sentiment is the opposite of expectations during </w:t>
      </w:r>
      <w:r w:rsidR="00E561D0" w:rsidRPr="002D2B16">
        <w:rPr>
          <w:rFonts w:ascii="Times New Roman" w:hAnsi="Times New Roman" w:cs="Times New Roman"/>
          <w:sz w:val="24"/>
          <w:szCs w:val="24"/>
        </w:rPr>
        <w:t xml:space="preserve">GPC’s </w:t>
      </w:r>
      <w:r w:rsidRPr="002D2B16">
        <w:rPr>
          <w:rFonts w:ascii="Times New Roman" w:hAnsi="Times New Roman" w:cs="Times New Roman"/>
          <w:sz w:val="24"/>
          <w:szCs w:val="24"/>
        </w:rPr>
        <w:t>2019 rate case.</w:t>
      </w:r>
      <w:r w:rsidR="007F6C27" w:rsidRPr="002D2B16">
        <w:rPr>
          <w:rFonts w:ascii="Times New Roman" w:hAnsi="Times New Roman" w:cs="Times New Roman"/>
          <w:sz w:val="24"/>
          <w:szCs w:val="24"/>
        </w:rPr>
        <w:t xml:space="preserve"> </w:t>
      </w:r>
    </w:p>
    <w:p w14:paraId="10E704AA" w14:textId="1A40DA45" w:rsidR="000F6BD7" w:rsidRPr="002D2B16" w:rsidRDefault="004642D1" w:rsidP="00BA1325">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Ms. Reno’s recommended</w:t>
      </w:r>
      <w:r w:rsidR="0093416F" w:rsidRPr="002D2B16">
        <w:rPr>
          <w:rFonts w:ascii="Times New Roman" w:hAnsi="Times New Roman" w:cs="Times New Roman"/>
          <w:sz w:val="24"/>
          <w:szCs w:val="24"/>
        </w:rPr>
        <w:t xml:space="preserve"> ROE of 9.47</w:t>
      </w:r>
      <w:r w:rsidR="00E561D0" w:rsidRPr="002D2B16">
        <w:rPr>
          <w:rFonts w:ascii="Times New Roman" w:hAnsi="Times New Roman" w:cs="Times New Roman"/>
          <w:sz w:val="24"/>
          <w:szCs w:val="24"/>
        </w:rPr>
        <w:t>%</w:t>
      </w:r>
      <w:r w:rsidR="0093416F" w:rsidRPr="002D2B16">
        <w:rPr>
          <w:rFonts w:ascii="Times New Roman" w:hAnsi="Times New Roman" w:cs="Times New Roman"/>
          <w:sz w:val="24"/>
          <w:szCs w:val="24"/>
        </w:rPr>
        <w:t xml:space="preserve"> is more in line with this year’s national average of allowed equity returns of 9.</w:t>
      </w:r>
      <w:r w:rsidR="002F19E1" w:rsidRPr="002D2B16">
        <w:rPr>
          <w:rFonts w:ascii="Times New Roman" w:hAnsi="Times New Roman" w:cs="Times New Roman"/>
          <w:sz w:val="24"/>
          <w:szCs w:val="24"/>
        </w:rPr>
        <w:t>35</w:t>
      </w:r>
      <w:r w:rsidR="00E561D0" w:rsidRPr="002D2B16">
        <w:rPr>
          <w:rFonts w:ascii="Times New Roman" w:hAnsi="Times New Roman" w:cs="Times New Roman"/>
          <w:sz w:val="24"/>
          <w:szCs w:val="24"/>
        </w:rPr>
        <w:t>%</w:t>
      </w:r>
      <w:r w:rsidR="0093416F" w:rsidRPr="002D2B16">
        <w:rPr>
          <w:rFonts w:ascii="Times New Roman" w:hAnsi="Times New Roman" w:cs="Times New Roman"/>
          <w:sz w:val="24"/>
          <w:szCs w:val="24"/>
        </w:rPr>
        <w:t xml:space="preserve"> for vertically integrated electric utilities through </w:t>
      </w:r>
      <w:r w:rsidR="00E561D0" w:rsidRPr="002D2B16">
        <w:rPr>
          <w:rFonts w:ascii="Times New Roman" w:hAnsi="Times New Roman" w:cs="Times New Roman"/>
          <w:sz w:val="24"/>
          <w:szCs w:val="24"/>
        </w:rPr>
        <w:t>Q</w:t>
      </w:r>
      <w:r w:rsidR="002F19E1" w:rsidRPr="002D2B16">
        <w:rPr>
          <w:rFonts w:ascii="Times New Roman" w:hAnsi="Times New Roman" w:cs="Times New Roman"/>
          <w:sz w:val="24"/>
          <w:szCs w:val="24"/>
        </w:rPr>
        <w:t>3</w:t>
      </w:r>
      <w:r w:rsidR="0093416F" w:rsidRPr="002D2B16">
        <w:rPr>
          <w:rFonts w:ascii="Times New Roman" w:hAnsi="Times New Roman" w:cs="Times New Roman"/>
          <w:sz w:val="24"/>
          <w:szCs w:val="24"/>
        </w:rPr>
        <w:t xml:space="preserve"> 2022.</w:t>
      </w:r>
      <w:r w:rsidR="0093416F" w:rsidRPr="002D2B16">
        <w:rPr>
          <w:rStyle w:val="FootnoteReference"/>
          <w:rFonts w:ascii="Times New Roman" w:hAnsi="Times New Roman" w:cs="Times New Roman"/>
          <w:sz w:val="24"/>
          <w:szCs w:val="24"/>
        </w:rPr>
        <w:footnoteReference w:id="25"/>
      </w:r>
      <w:r w:rsidR="007F6C27" w:rsidRPr="002D2B16">
        <w:rPr>
          <w:rFonts w:ascii="Times New Roman" w:hAnsi="Times New Roman" w:cs="Times New Roman"/>
          <w:sz w:val="24"/>
          <w:szCs w:val="24"/>
        </w:rPr>
        <w:t xml:space="preserve"> </w:t>
      </w:r>
      <w:r w:rsidR="0093416F" w:rsidRPr="002D2B16">
        <w:rPr>
          <w:rFonts w:ascii="Times New Roman" w:hAnsi="Times New Roman" w:cs="Times New Roman"/>
          <w:sz w:val="24"/>
          <w:szCs w:val="24"/>
        </w:rPr>
        <w:t xml:space="preserve">In contrast, </w:t>
      </w:r>
      <w:r w:rsidR="00E561D0" w:rsidRPr="002D2B16">
        <w:rPr>
          <w:rFonts w:ascii="Times New Roman" w:hAnsi="Times New Roman" w:cs="Times New Roman"/>
          <w:sz w:val="24"/>
          <w:szCs w:val="24"/>
        </w:rPr>
        <w:t xml:space="preserve">GPC witness </w:t>
      </w:r>
      <w:r w:rsidR="0093416F" w:rsidRPr="002D2B16">
        <w:rPr>
          <w:rFonts w:ascii="Times New Roman" w:hAnsi="Times New Roman" w:cs="Times New Roman"/>
          <w:sz w:val="24"/>
          <w:szCs w:val="24"/>
        </w:rPr>
        <w:t>Mr. Coyne’s requested ROE of 11.0</w:t>
      </w:r>
      <w:r w:rsidR="00E561D0" w:rsidRPr="002D2B16">
        <w:rPr>
          <w:rFonts w:ascii="Times New Roman" w:hAnsi="Times New Roman" w:cs="Times New Roman"/>
          <w:sz w:val="24"/>
          <w:szCs w:val="24"/>
        </w:rPr>
        <w:t>%</w:t>
      </w:r>
      <w:r w:rsidR="0093416F" w:rsidRPr="002D2B16">
        <w:rPr>
          <w:rFonts w:ascii="Times New Roman" w:hAnsi="Times New Roman" w:cs="Times New Roman"/>
          <w:sz w:val="24"/>
          <w:szCs w:val="24"/>
        </w:rPr>
        <w:t xml:space="preserve"> is 1</w:t>
      </w:r>
      <w:r w:rsidR="00823C41" w:rsidRPr="002D2B16">
        <w:rPr>
          <w:rFonts w:ascii="Times New Roman" w:hAnsi="Times New Roman" w:cs="Times New Roman"/>
          <w:sz w:val="24"/>
          <w:szCs w:val="24"/>
        </w:rPr>
        <w:t>65</w:t>
      </w:r>
      <w:r w:rsidR="0093416F" w:rsidRPr="002D2B16">
        <w:rPr>
          <w:rFonts w:ascii="Times New Roman" w:hAnsi="Times New Roman" w:cs="Times New Roman"/>
          <w:sz w:val="24"/>
          <w:szCs w:val="24"/>
        </w:rPr>
        <w:t xml:space="preserve"> basis points higher than th</w:t>
      </w:r>
      <w:r w:rsidR="0038184C" w:rsidRPr="002D2B16">
        <w:rPr>
          <w:rFonts w:ascii="Times New Roman" w:hAnsi="Times New Roman" w:cs="Times New Roman"/>
          <w:sz w:val="24"/>
          <w:szCs w:val="24"/>
        </w:rPr>
        <w:t>is</w:t>
      </w:r>
      <w:r w:rsidR="0093416F" w:rsidRPr="002D2B16">
        <w:rPr>
          <w:rFonts w:ascii="Times New Roman" w:hAnsi="Times New Roman" w:cs="Times New Roman"/>
          <w:sz w:val="24"/>
          <w:szCs w:val="24"/>
        </w:rPr>
        <w:t xml:space="preserve"> national average</w:t>
      </w:r>
      <w:r w:rsidR="0038184C" w:rsidRPr="002D2B16">
        <w:rPr>
          <w:rFonts w:ascii="Times New Roman" w:hAnsi="Times New Roman" w:cs="Times New Roman"/>
          <w:sz w:val="24"/>
          <w:szCs w:val="24"/>
        </w:rPr>
        <w:t xml:space="preserve"> and exceed</w:t>
      </w:r>
      <w:r w:rsidR="00645BCD" w:rsidRPr="002D2B16">
        <w:rPr>
          <w:rFonts w:ascii="Times New Roman" w:hAnsi="Times New Roman" w:cs="Times New Roman"/>
          <w:sz w:val="24"/>
          <w:szCs w:val="24"/>
        </w:rPr>
        <w:t>s</w:t>
      </w:r>
      <w:r w:rsidR="0038184C" w:rsidRPr="002D2B16">
        <w:rPr>
          <w:rFonts w:ascii="Times New Roman" w:hAnsi="Times New Roman" w:cs="Times New Roman"/>
          <w:sz w:val="24"/>
          <w:szCs w:val="24"/>
        </w:rPr>
        <w:t xml:space="preserve"> the annual average authorized ROE for 2022 </w:t>
      </w:r>
      <w:r w:rsidR="00404C11" w:rsidRPr="002D2B16">
        <w:rPr>
          <w:rFonts w:ascii="Times New Roman" w:hAnsi="Times New Roman" w:cs="Times New Roman"/>
          <w:sz w:val="24"/>
          <w:szCs w:val="24"/>
        </w:rPr>
        <w:t xml:space="preserve">(as of November 3, 2022) </w:t>
      </w:r>
      <w:r w:rsidR="0038184C" w:rsidRPr="002D2B16">
        <w:rPr>
          <w:rFonts w:ascii="Times New Roman" w:hAnsi="Times New Roman" w:cs="Times New Roman"/>
          <w:sz w:val="24"/>
          <w:szCs w:val="24"/>
        </w:rPr>
        <w:t>being 10.15% (above average), 9.62% (average), and 9.35% (below average)</w:t>
      </w:r>
      <w:r w:rsidR="00823C41" w:rsidRPr="002D2B16">
        <w:rPr>
          <w:rFonts w:ascii="Times New Roman" w:hAnsi="Times New Roman" w:cs="Times New Roman"/>
          <w:sz w:val="24"/>
          <w:szCs w:val="24"/>
        </w:rPr>
        <w:t xml:space="preserve"> presented in his </w:t>
      </w:r>
      <w:r w:rsidR="00E37078" w:rsidRPr="002D2B16">
        <w:rPr>
          <w:rFonts w:ascii="Times New Roman" w:hAnsi="Times New Roman" w:cs="Times New Roman"/>
          <w:sz w:val="24"/>
          <w:szCs w:val="24"/>
        </w:rPr>
        <w:t xml:space="preserve">own </w:t>
      </w:r>
      <w:r w:rsidR="00823C41" w:rsidRPr="002D2B16">
        <w:rPr>
          <w:rFonts w:ascii="Times New Roman" w:hAnsi="Times New Roman" w:cs="Times New Roman"/>
          <w:sz w:val="24"/>
          <w:szCs w:val="24"/>
        </w:rPr>
        <w:t>rebuttal testimony</w:t>
      </w:r>
      <w:r w:rsidR="0093416F" w:rsidRPr="002D2B16">
        <w:rPr>
          <w:rFonts w:ascii="Times New Roman" w:hAnsi="Times New Roman" w:cs="Times New Roman"/>
          <w:sz w:val="24"/>
          <w:szCs w:val="24"/>
        </w:rPr>
        <w:t>.</w:t>
      </w:r>
      <w:r w:rsidR="0038184C" w:rsidRPr="002D2B16">
        <w:rPr>
          <w:rStyle w:val="FootnoteReference"/>
          <w:rFonts w:ascii="Times New Roman" w:hAnsi="Times New Roman" w:cs="Times New Roman"/>
          <w:sz w:val="24"/>
          <w:szCs w:val="24"/>
        </w:rPr>
        <w:footnoteReference w:id="26"/>
      </w:r>
      <w:r w:rsidR="007F6C27" w:rsidRPr="002D2B16">
        <w:rPr>
          <w:rFonts w:ascii="Times New Roman" w:hAnsi="Times New Roman" w:cs="Times New Roman"/>
          <w:sz w:val="24"/>
          <w:szCs w:val="24"/>
        </w:rPr>
        <w:t xml:space="preserve"> </w:t>
      </w:r>
      <w:r w:rsidR="00345B31" w:rsidRPr="002D2B16">
        <w:rPr>
          <w:rFonts w:ascii="Times New Roman" w:hAnsi="Times New Roman" w:cs="Times New Roman"/>
          <w:sz w:val="24"/>
          <w:szCs w:val="24"/>
        </w:rPr>
        <w:t xml:space="preserve">During </w:t>
      </w:r>
      <w:r w:rsidR="00645BCD" w:rsidRPr="002D2B16">
        <w:rPr>
          <w:rFonts w:ascii="Times New Roman" w:hAnsi="Times New Roman" w:cs="Times New Roman"/>
          <w:sz w:val="24"/>
          <w:szCs w:val="24"/>
        </w:rPr>
        <w:t>cross</w:t>
      </w:r>
      <w:r w:rsidR="00AD0C4B" w:rsidRPr="002D2B16">
        <w:rPr>
          <w:rFonts w:ascii="Times New Roman" w:hAnsi="Times New Roman" w:cs="Times New Roman"/>
          <w:sz w:val="24"/>
          <w:szCs w:val="24"/>
        </w:rPr>
        <w:t>-</w:t>
      </w:r>
      <w:r w:rsidR="00645BCD" w:rsidRPr="002D2B16">
        <w:rPr>
          <w:rFonts w:ascii="Times New Roman" w:hAnsi="Times New Roman" w:cs="Times New Roman"/>
          <w:sz w:val="24"/>
          <w:szCs w:val="24"/>
        </w:rPr>
        <w:t xml:space="preserve">examination for </w:t>
      </w:r>
      <w:r w:rsidR="00345B31" w:rsidRPr="002D2B16">
        <w:rPr>
          <w:rFonts w:ascii="Times New Roman" w:hAnsi="Times New Roman" w:cs="Times New Roman"/>
          <w:sz w:val="24"/>
          <w:szCs w:val="24"/>
        </w:rPr>
        <w:t>the Company</w:t>
      </w:r>
      <w:r w:rsidR="004E7D83">
        <w:rPr>
          <w:rFonts w:ascii="Times New Roman" w:hAnsi="Times New Roman" w:cs="Times New Roman"/>
          <w:sz w:val="24"/>
          <w:szCs w:val="24"/>
        </w:rPr>
        <w:t>’s</w:t>
      </w:r>
      <w:r w:rsidR="00345B31" w:rsidRPr="002D2B16">
        <w:rPr>
          <w:rFonts w:ascii="Times New Roman" w:hAnsi="Times New Roman" w:cs="Times New Roman"/>
          <w:sz w:val="24"/>
          <w:szCs w:val="24"/>
        </w:rPr>
        <w:t xml:space="preserve"> rebuttal portion of the</w:t>
      </w:r>
      <w:r w:rsidR="00874D38" w:rsidRPr="002D2B16">
        <w:rPr>
          <w:rFonts w:ascii="Times New Roman" w:hAnsi="Times New Roman" w:cs="Times New Roman"/>
          <w:sz w:val="24"/>
          <w:szCs w:val="24"/>
        </w:rPr>
        <w:t xml:space="preserve"> hearing, Mr. Coyne listed a series of </w:t>
      </w:r>
      <w:r w:rsidR="00345B31" w:rsidRPr="002D2B16">
        <w:rPr>
          <w:rFonts w:ascii="Times New Roman" w:hAnsi="Times New Roman" w:cs="Times New Roman"/>
          <w:sz w:val="24"/>
          <w:szCs w:val="24"/>
        </w:rPr>
        <w:t xml:space="preserve">recent </w:t>
      </w:r>
      <w:r w:rsidR="00874D38" w:rsidRPr="002D2B16">
        <w:rPr>
          <w:rFonts w:ascii="Times New Roman" w:hAnsi="Times New Roman" w:cs="Times New Roman"/>
          <w:sz w:val="24"/>
          <w:szCs w:val="24"/>
        </w:rPr>
        <w:t>c</w:t>
      </w:r>
      <w:r w:rsidR="00480B50" w:rsidRPr="002D2B16">
        <w:rPr>
          <w:rFonts w:ascii="Times New Roman" w:hAnsi="Times New Roman" w:cs="Times New Roman"/>
          <w:sz w:val="24"/>
          <w:szCs w:val="24"/>
        </w:rPr>
        <w:t>ase</w:t>
      </w:r>
      <w:r w:rsidR="00345B31" w:rsidRPr="002D2B16">
        <w:rPr>
          <w:rFonts w:ascii="Times New Roman" w:hAnsi="Times New Roman" w:cs="Times New Roman"/>
          <w:sz w:val="24"/>
          <w:szCs w:val="24"/>
        </w:rPr>
        <w:t xml:space="preserve"> decisions with higher authorized ROEs than the </w:t>
      </w:r>
      <w:r w:rsidR="00DF114D" w:rsidRPr="002D2B16">
        <w:rPr>
          <w:rFonts w:ascii="Times New Roman" w:hAnsi="Times New Roman" w:cs="Times New Roman"/>
          <w:sz w:val="24"/>
          <w:szCs w:val="24"/>
        </w:rPr>
        <w:t xml:space="preserve">9.35% year-to-date average reported in the </w:t>
      </w:r>
      <w:r w:rsidR="00645BCD" w:rsidRPr="002D2B16">
        <w:rPr>
          <w:rFonts w:ascii="Times New Roman" w:hAnsi="Times New Roman" w:cs="Times New Roman"/>
          <w:sz w:val="24"/>
          <w:szCs w:val="24"/>
        </w:rPr>
        <w:t>Regulatory Research Associates (“</w:t>
      </w:r>
      <w:r w:rsidR="00DF114D" w:rsidRPr="002D2B16">
        <w:rPr>
          <w:rFonts w:ascii="Times New Roman" w:hAnsi="Times New Roman" w:cs="Times New Roman"/>
          <w:sz w:val="24"/>
          <w:szCs w:val="24"/>
        </w:rPr>
        <w:t>RRA</w:t>
      </w:r>
      <w:r w:rsidR="00645BCD" w:rsidRPr="002D2B16">
        <w:rPr>
          <w:rFonts w:ascii="Times New Roman" w:hAnsi="Times New Roman" w:cs="Times New Roman"/>
          <w:sz w:val="24"/>
          <w:szCs w:val="24"/>
        </w:rPr>
        <w:t>”)</w:t>
      </w:r>
      <w:r w:rsidR="00DF114D" w:rsidRPr="002D2B16">
        <w:rPr>
          <w:rFonts w:ascii="Times New Roman" w:hAnsi="Times New Roman" w:cs="Times New Roman"/>
          <w:sz w:val="24"/>
          <w:szCs w:val="24"/>
        </w:rPr>
        <w:t xml:space="preserve"> report provided by </w:t>
      </w:r>
      <w:r w:rsidR="00FF7383">
        <w:rPr>
          <w:rFonts w:ascii="Times New Roman" w:hAnsi="Times New Roman" w:cs="Times New Roman"/>
          <w:sz w:val="24"/>
          <w:szCs w:val="24"/>
        </w:rPr>
        <w:t>PIA</w:t>
      </w:r>
      <w:r w:rsidR="00FF7383" w:rsidRPr="002D2B16">
        <w:rPr>
          <w:rFonts w:ascii="Times New Roman" w:hAnsi="Times New Roman" w:cs="Times New Roman"/>
          <w:sz w:val="24"/>
          <w:szCs w:val="24"/>
        </w:rPr>
        <w:t xml:space="preserve"> </w:t>
      </w:r>
      <w:r w:rsidR="00DF114D" w:rsidRPr="002D2B16">
        <w:rPr>
          <w:rFonts w:ascii="Times New Roman" w:hAnsi="Times New Roman" w:cs="Times New Roman"/>
          <w:sz w:val="24"/>
          <w:szCs w:val="24"/>
        </w:rPr>
        <w:t>Staff (Exhibit STF-118)</w:t>
      </w:r>
      <w:r w:rsidR="00345B31" w:rsidRPr="002D2B16">
        <w:rPr>
          <w:rFonts w:ascii="Times New Roman" w:hAnsi="Times New Roman" w:cs="Times New Roman"/>
          <w:sz w:val="24"/>
          <w:szCs w:val="24"/>
        </w:rPr>
        <w:t>.</w:t>
      </w:r>
      <w:r w:rsidR="00645BCD" w:rsidRPr="002D2B16">
        <w:rPr>
          <w:rStyle w:val="FootnoteReference"/>
          <w:rFonts w:ascii="Times New Roman" w:hAnsi="Times New Roman" w:cs="Times New Roman"/>
          <w:sz w:val="24"/>
          <w:szCs w:val="24"/>
        </w:rPr>
        <w:footnoteReference w:id="27"/>
      </w:r>
      <w:r w:rsidR="00345B31" w:rsidRPr="002D2B16">
        <w:rPr>
          <w:rFonts w:ascii="Times New Roman" w:hAnsi="Times New Roman" w:cs="Times New Roman"/>
          <w:sz w:val="24"/>
          <w:szCs w:val="24"/>
        </w:rPr>
        <w:t xml:space="preserve"> </w:t>
      </w:r>
      <w:r w:rsidR="00480B50" w:rsidRPr="002D2B16">
        <w:rPr>
          <w:rFonts w:ascii="Times New Roman" w:hAnsi="Times New Roman" w:cs="Times New Roman"/>
          <w:sz w:val="24"/>
          <w:szCs w:val="24"/>
        </w:rPr>
        <w:t>Specifically, he listed authorized ROEs that included 10.1</w:t>
      </w:r>
      <w:r w:rsidR="00E37078" w:rsidRPr="002D2B16">
        <w:rPr>
          <w:rFonts w:ascii="Times New Roman" w:hAnsi="Times New Roman" w:cs="Times New Roman"/>
          <w:sz w:val="24"/>
          <w:szCs w:val="24"/>
        </w:rPr>
        <w:t>0</w:t>
      </w:r>
      <w:r w:rsidR="00480B50" w:rsidRPr="002D2B16">
        <w:rPr>
          <w:rFonts w:ascii="Times New Roman" w:hAnsi="Times New Roman" w:cs="Times New Roman"/>
          <w:sz w:val="24"/>
          <w:szCs w:val="24"/>
        </w:rPr>
        <w:t>%, 10.8</w:t>
      </w:r>
      <w:r w:rsidR="00E37078" w:rsidRPr="002D2B16">
        <w:rPr>
          <w:rFonts w:ascii="Times New Roman" w:hAnsi="Times New Roman" w:cs="Times New Roman"/>
          <w:sz w:val="24"/>
          <w:szCs w:val="24"/>
        </w:rPr>
        <w:t>0</w:t>
      </w:r>
      <w:r w:rsidR="00480B50" w:rsidRPr="002D2B16">
        <w:rPr>
          <w:rFonts w:ascii="Times New Roman" w:hAnsi="Times New Roman" w:cs="Times New Roman"/>
          <w:sz w:val="24"/>
          <w:szCs w:val="24"/>
        </w:rPr>
        <w:t>%, 9.5</w:t>
      </w:r>
      <w:r w:rsidR="00E37078" w:rsidRPr="002D2B16">
        <w:rPr>
          <w:rFonts w:ascii="Times New Roman" w:hAnsi="Times New Roman" w:cs="Times New Roman"/>
          <w:sz w:val="24"/>
          <w:szCs w:val="24"/>
        </w:rPr>
        <w:t>0</w:t>
      </w:r>
      <w:r w:rsidR="00480B50" w:rsidRPr="002D2B16">
        <w:rPr>
          <w:rFonts w:ascii="Times New Roman" w:hAnsi="Times New Roman" w:cs="Times New Roman"/>
          <w:sz w:val="24"/>
          <w:szCs w:val="24"/>
        </w:rPr>
        <w:t>%</w:t>
      </w:r>
      <w:r w:rsidR="00645BCD" w:rsidRPr="002D2B16">
        <w:rPr>
          <w:rFonts w:ascii="Times New Roman" w:hAnsi="Times New Roman" w:cs="Times New Roman"/>
          <w:sz w:val="24"/>
          <w:szCs w:val="24"/>
        </w:rPr>
        <w:t>,</w:t>
      </w:r>
      <w:r w:rsidR="00480B50" w:rsidRPr="002D2B16">
        <w:rPr>
          <w:rFonts w:ascii="Times New Roman" w:hAnsi="Times New Roman" w:cs="Times New Roman"/>
          <w:sz w:val="24"/>
          <w:szCs w:val="24"/>
        </w:rPr>
        <w:t xml:space="preserve"> 10.25%, 10.2</w:t>
      </w:r>
      <w:r w:rsidR="00E37078" w:rsidRPr="002D2B16">
        <w:rPr>
          <w:rFonts w:ascii="Times New Roman" w:hAnsi="Times New Roman" w:cs="Times New Roman"/>
          <w:sz w:val="24"/>
          <w:szCs w:val="24"/>
        </w:rPr>
        <w:t>0</w:t>
      </w:r>
      <w:r w:rsidR="00480B50" w:rsidRPr="002D2B16">
        <w:rPr>
          <w:rFonts w:ascii="Times New Roman" w:hAnsi="Times New Roman" w:cs="Times New Roman"/>
          <w:sz w:val="24"/>
          <w:szCs w:val="24"/>
        </w:rPr>
        <w:t>%, 10.3</w:t>
      </w:r>
      <w:r w:rsidR="00E37078" w:rsidRPr="002D2B16">
        <w:rPr>
          <w:rFonts w:ascii="Times New Roman" w:hAnsi="Times New Roman" w:cs="Times New Roman"/>
          <w:sz w:val="24"/>
          <w:szCs w:val="24"/>
        </w:rPr>
        <w:t>0</w:t>
      </w:r>
      <w:r w:rsidR="00480B50" w:rsidRPr="002D2B16">
        <w:rPr>
          <w:rFonts w:ascii="Times New Roman" w:hAnsi="Times New Roman" w:cs="Times New Roman"/>
          <w:sz w:val="24"/>
          <w:szCs w:val="24"/>
        </w:rPr>
        <w:t>% and 9.9</w:t>
      </w:r>
      <w:r w:rsidR="00E37078" w:rsidRPr="002D2B16">
        <w:rPr>
          <w:rFonts w:ascii="Times New Roman" w:hAnsi="Times New Roman" w:cs="Times New Roman"/>
          <w:sz w:val="24"/>
          <w:szCs w:val="24"/>
        </w:rPr>
        <w:t>0</w:t>
      </w:r>
      <w:r w:rsidR="00480B50" w:rsidRPr="002D2B16">
        <w:rPr>
          <w:rFonts w:ascii="Times New Roman" w:hAnsi="Times New Roman" w:cs="Times New Roman"/>
          <w:sz w:val="24"/>
          <w:szCs w:val="24"/>
        </w:rPr>
        <w:t>%</w:t>
      </w:r>
      <w:r w:rsidR="00645BCD" w:rsidRPr="002D2B16">
        <w:rPr>
          <w:rFonts w:ascii="Times New Roman" w:hAnsi="Times New Roman" w:cs="Times New Roman"/>
          <w:sz w:val="24"/>
          <w:szCs w:val="24"/>
        </w:rPr>
        <w:t>,</w:t>
      </w:r>
      <w:r w:rsidR="00480B50" w:rsidRPr="002D2B16">
        <w:rPr>
          <w:rFonts w:ascii="Times New Roman" w:hAnsi="Times New Roman" w:cs="Times New Roman"/>
          <w:sz w:val="24"/>
          <w:szCs w:val="24"/>
        </w:rPr>
        <w:t xml:space="preserve"> without providing specific context</w:t>
      </w:r>
      <w:r w:rsidR="00874D38" w:rsidRPr="002D2B16">
        <w:rPr>
          <w:rFonts w:ascii="Times New Roman" w:hAnsi="Times New Roman" w:cs="Times New Roman"/>
          <w:sz w:val="24"/>
          <w:szCs w:val="24"/>
        </w:rPr>
        <w:t>.</w:t>
      </w:r>
      <w:r w:rsidR="00874D38" w:rsidRPr="002D2B16">
        <w:rPr>
          <w:rStyle w:val="FootnoteReference"/>
          <w:rFonts w:ascii="Times New Roman" w:hAnsi="Times New Roman" w:cs="Times New Roman"/>
          <w:sz w:val="24"/>
          <w:szCs w:val="24"/>
        </w:rPr>
        <w:footnoteReference w:id="28"/>
      </w:r>
      <w:r w:rsidR="00874D38" w:rsidRPr="002D2B16">
        <w:rPr>
          <w:rFonts w:ascii="Times New Roman" w:hAnsi="Times New Roman" w:cs="Times New Roman"/>
          <w:sz w:val="24"/>
          <w:szCs w:val="24"/>
        </w:rPr>
        <w:t xml:space="preserve"> </w:t>
      </w:r>
      <w:r w:rsidR="00B601B1" w:rsidRPr="002D2B16">
        <w:rPr>
          <w:rFonts w:ascii="Times New Roman" w:hAnsi="Times New Roman" w:cs="Times New Roman"/>
          <w:sz w:val="24"/>
          <w:szCs w:val="24"/>
        </w:rPr>
        <w:t xml:space="preserve"> </w:t>
      </w:r>
      <w:r w:rsidR="002A445B" w:rsidRPr="002D2B16">
        <w:rPr>
          <w:rFonts w:ascii="Times New Roman" w:hAnsi="Times New Roman" w:cs="Times New Roman"/>
          <w:sz w:val="24"/>
          <w:szCs w:val="24"/>
        </w:rPr>
        <w:t xml:space="preserve">Based on information provided by RRA, </w:t>
      </w:r>
      <w:r w:rsidR="004E7D83">
        <w:rPr>
          <w:rFonts w:ascii="Times New Roman" w:hAnsi="Times New Roman" w:cs="Times New Roman"/>
          <w:sz w:val="24"/>
          <w:szCs w:val="24"/>
        </w:rPr>
        <w:t xml:space="preserve">it appears that </w:t>
      </w:r>
      <w:r w:rsidR="002A445B" w:rsidRPr="002D2B16">
        <w:rPr>
          <w:rFonts w:ascii="Times New Roman" w:hAnsi="Times New Roman" w:cs="Times New Roman"/>
          <w:sz w:val="24"/>
          <w:szCs w:val="24"/>
        </w:rPr>
        <w:t xml:space="preserve">the only fully litigated rate case </w:t>
      </w:r>
      <w:r w:rsidR="002A445B" w:rsidRPr="002D2B16">
        <w:rPr>
          <w:rFonts w:ascii="Times New Roman" w:hAnsi="Times New Roman" w:cs="Times New Roman"/>
          <w:sz w:val="24"/>
          <w:szCs w:val="24"/>
        </w:rPr>
        <w:lastRenderedPageBreak/>
        <w:t>that yield</w:t>
      </w:r>
      <w:r w:rsidR="008F06CD" w:rsidRPr="002D2B16">
        <w:rPr>
          <w:rFonts w:ascii="Times New Roman" w:hAnsi="Times New Roman" w:cs="Times New Roman"/>
          <w:sz w:val="24"/>
          <w:szCs w:val="24"/>
        </w:rPr>
        <w:t>s</w:t>
      </w:r>
      <w:r w:rsidR="002A445B" w:rsidRPr="002D2B16">
        <w:rPr>
          <w:rFonts w:ascii="Times New Roman" w:hAnsi="Times New Roman" w:cs="Times New Roman"/>
          <w:sz w:val="24"/>
          <w:szCs w:val="24"/>
        </w:rPr>
        <w:t xml:space="preserve"> a comparable authorized ROE </w:t>
      </w:r>
      <w:r w:rsidR="008F06CD" w:rsidRPr="002D2B16">
        <w:rPr>
          <w:rFonts w:ascii="Times New Roman" w:hAnsi="Times New Roman" w:cs="Times New Roman"/>
          <w:sz w:val="24"/>
          <w:szCs w:val="24"/>
        </w:rPr>
        <w:t>i</w:t>
      </w:r>
      <w:r w:rsidR="002A445B" w:rsidRPr="002D2B16">
        <w:rPr>
          <w:rFonts w:ascii="Times New Roman" w:hAnsi="Times New Roman" w:cs="Times New Roman"/>
          <w:sz w:val="24"/>
          <w:szCs w:val="24"/>
        </w:rPr>
        <w:t xml:space="preserve">s </w:t>
      </w:r>
      <w:r w:rsidR="0004437F">
        <w:rPr>
          <w:rFonts w:ascii="Times New Roman" w:hAnsi="Times New Roman" w:cs="Times New Roman"/>
          <w:sz w:val="24"/>
          <w:szCs w:val="24"/>
        </w:rPr>
        <w:t>the</w:t>
      </w:r>
      <w:r w:rsidR="002A445B" w:rsidRPr="002D2B16">
        <w:rPr>
          <w:rFonts w:ascii="Times New Roman" w:hAnsi="Times New Roman" w:cs="Times New Roman"/>
          <w:sz w:val="24"/>
          <w:szCs w:val="24"/>
        </w:rPr>
        <w:t xml:space="preserve"> ruling of 9.9% for DTE Electric Company.</w:t>
      </w:r>
      <w:r w:rsidR="00F2152E" w:rsidRPr="002D2B16">
        <w:rPr>
          <w:rStyle w:val="FootnoteReference"/>
          <w:rFonts w:ascii="Times New Roman" w:hAnsi="Times New Roman" w:cs="Times New Roman"/>
          <w:sz w:val="24"/>
          <w:szCs w:val="24"/>
        </w:rPr>
        <w:footnoteReference w:id="29"/>
      </w:r>
      <w:r w:rsidR="002A445B" w:rsidRPr="002D2B16">
        <w:rPr>
          <w:rFonts w:ascii="Times New Roman" w:hAnsi="Times New Roman" w:cs="Times New Roman"/>
          <w:sz w:val="24"/>
          <w:szCs w:val="24"/>
        </w:rPr>
        <w:t xml:space="preserve"> The remaining ROEs listed by Mr. Coyne at hearing</w:t>
      </w:r>
      <w:r w:rsidR="002941C2" w:rsidRPr="002D2B16">
        <w:rPr>
          <w:rFonts w:ascii="Times New Roman" w:hAnsi="Times New Roman" w:cs="Times New Roman"/>
          <w:sz w:val="24"/>
          <w:szCs w:val="24"/>
        </w:rPr>
        <w:t xml:space="preserve"> </w:t>
      </w:r>
      <w:r w:rsidR="008F06CD" w:rsidRPr="002D2B16">
        <w:rPr>
          <w:rFonts w:ascii="Times New Roman" w:hAnsi="Times New Roman" w:cs="Times New Roman"/>
          <w:sz w:val="24"/>
          <w:szCs w:val="24"/>
        </w:rPr>
        <w:t xml:space="preserve">are either </w:t>
      </w:r>
      <w:r w:rsidR="002941C2" w:rsidRPr="002D2B16">
        <w:rPr>
          <w:rFonts w:ascii="Times New Roman" w:hAnsi="Times New Roman" w:cs="Times New Roman"/>
          <w:sz w:val="24"/>
          <w:szCs w:val="24"/>
        </w:rPr>
        <w:t>limited-issue rider case</w:t>
      </w:r>
      <w:r w:rsidR="008F06CD" w:rsidRPr="002D2B16">
        <w:rPr>
          <w:rFonts w:ascii="Times New Roman" w:hAnsi="Times New Roman" w:cs="Times New Roman"/>
          <w:sz w:val="24"/>
          <w:szCs w:val="24"/>
        </w:rPr>
        <w:t>s or formula-driven</w:t>
      </w:r>
      <w:r w:rsidR="00E37078" w:rsidRPr="002D2B16">
        <w:rPr>
          <w:rFonts w:ascii="Times New Roman" w:hAnsi="Times New Roman" w:cs="Times New Roman"/>
          <w:sz w:val="24"/>
          <w:szCs w:val="24"/>
        </w:rPr>
        <w:t xml:space="preserve"> decisions</w:t>
      </w:r>
      <w:r w:rsidR="008F06CD" w:rsidRPr="002D2B16">
        <w:rPr>
          <w:rFonts w:ascii="Times New Roman" w:hAnsi="Times New Roman" w:cs="Times New Roman"/>
          <w:sz w:val="24"/>
          <w:szCs w:val="24"/>
        </w:rPr>
        <w:t xml:space="preserve"> </w:t>
      </w:r>
      <w:r w:rsidR="002A445B" w:rsidRPr="002D2B16">
        <w:rPr>
          <w:rFonts w:ascii="Times New Roman" w:hAnsi="Times New Roman" w:cs="Times New Roman"/>
          <w:sz w:val="24"/>
          <w:szCs w:val="24"/>
        </w:rPr>
        <w:t xml:space="preserve">that </w:t>
      </w:r>
      <w:r w:rsidR="00E37078" w:rsidRPr="002D2B16">
        <w:rPr>
          <w:rFonts w:ascii="Times New Roman" w:hAnsi="Times New Roman" w:cs="Times New Roman"/>
          <w:sz w:val="24"/>
          <w:szCs w:val="24"/>
        </w:rPr>
        <w:t xml:space="preserve">are not comparable to the estimated ROEs presented in this case. </w:t>
      </w:r>
      <w:r w:rsidR="00B601B1" w:rsidRPr="002D2B16">
        <w:rPr>
          <w:rFonts w:ascii="Times New Roman" w:hAnsi="Times New Roman" w:cs="Times New Roman"/>
          <w:sz w:val="24"/>
          <w:szCs w:val="24"/>
        </w:rPr>
        <w:t>Regardless, a</w:t>
      </w:r>
      <w:r w:rsidR="00480B50" w:rsidRPr="002D2B16">
        <w:rPr>
          <w:rFonts w:ascii="Times New Roman" w:hAnsi="Times New Roman" w:cs="Times New Roman"/>
          <w:sz w:val="24"/>
          <w:szCs w:val="24"/>
        </w:rPr>
        <w:t xml:space="preserve">ll these decisions are lower than </w:t>
      </w:r>
      <w:r w:rsidR="00E37078" w:rsidRPr="002D2B16">
        <w:rPr>
          <w:rFonts w:ascii="Times New Roman" w:hAnsi="Times New Roman" w:cs="Times New Roman"/>
          <w:sz w:val="24"/>
          <w:szCs w:val="24"/>
        </w:rPr>
        <w:t>Mr. Coyne’s</w:t>
      </w:r>
      <w:r w:rsidR="00480B50" w:rsidRPr="002D2B16">
        <w:rPr>
          <w:rFonts w:ascii="Times New Roman" w:hAnsi="Times New Roman" w:cs="Times New Roman"/>
          <w:sz w:val="24"/>
          <w:szCs w:val="24"/>
        </w:rPr>
        <w:t xml:space="preserve"> recommended ROE of 11.0%.</w:t>
      </w:r>
    </w:p>
    <w:p w14:paraId="6E1615ED" w14:textId="1E5AD28C" w:rsidR="0093416F" w:rsidRPr="002D2B16" w:rsidRDefault="0093416F" w:rsidP="00BA1325">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While this Commission is not bound by what other states are approving</w:t>
      </w:r>
      <w:r w:rsidR="00E561D0" w:rsidRPr="002D2B16">
        <w:rPr>
          <w:rFonts w:ascii="Times New Roman" w:hAnsi="Times New Roman" w:cs="Times New Roman"/>
          <w:sz w:val="24"/>
          <w:szCs w:val="24"/>
        </w:rPr>
        <w:t xml:space="preserve"> with respect to allowed ROEs</w:t>
      </w:r>
      <w:r w:rsidRPr="002D2B16">
        <w:rPr>
          <w:rFonts w:ascii="Times New Roman" w:hAnsi="Times New Roman" w:cs="Times New Roman"/>
          <w:sz w:val="24"/>
          <w:szCs w:val="24"/>
        </w:rPr>
        <w:t xml:space="preserve">, the national ROE average for vertically integrated </w:t>
      </w:r>
      <w:r w:rsidR="00E561D0" w:rsidRPr="002D2B16">
        <w:rPr>
          <w:rFonts w:ascii="Times New Roman" w:hAnsi="Times New Roman" w:cs="Times New Roman"/>
          <w:sz w:val="24"/>
          <w:szCs w:val="24"/>
        </w:rPr>
        <w:t xml:space="preserve">utilities </w:t>
      </w:r>
      <w:r w:rsidRPr="002D2B16">
        <w:rPr>
          <w:rFonts w:ascii="Times New Roman" w:hAnsi="Times New Roman" w:cs="Times New Roman"/>
          <w:sz w:val="24"/>
          <w:szCs w:val="24"/>
        </w:rPr>
        <w:t xml:space="preserve">does serve as a resource for this Commission when it determines an appropriate ROE for GPC. Moreover, </w:t>
      </w:r>
      <w:r w:rsidR="00FF7383">
        <w:rPr>
          <w:rFonts w:ascii="Times New Roman" w:hAnsi="Times New Roman" w:cs="Times New Roman"/>
          <w:sz w:val="24"/>
          <w:szCs w:val="24"/>
        </w:rPr>
        <w:t>PIA</w:t>
      </w:r>
      <w:r w:rsidR="00586152" w:rsidRPr="002D2B16">
        <w:rPr>
          <w:rFonts w:ascii="Times New Roman" w:hAnsi="Times New Roman" w:cs="Times New Roman"/>
          <w:sz w:val="24"/>
          <w:szCs w:val="24"/>
        </w:rPr>
        <w:t xml:space="preserve"> </w:t>
      </w:r>
      <w:r w:rsidRPr="002D2B16">
        <w:rPr>
          <w:rFonts w:ascii="Times New Roman" w:hAnsi="Times New Roman" w:cs="Times New Roman"/>
          <w:sz w:val="24"/>
          <w:szCs w:val="24"/>
        </w:rPr>
        <w:t>Staff witness</w:t>
      </w:r>
      <w:r w:rsidR="005907FB" w:rsidRPr="002D2B16">
        <w:rPr>
          <w:rFonts w:ascii="Times New Roman" w:hAnsi="Times New Roman" w:cs="Times New Roman"/>
          <w:sz w:val="24"/>
          <w:szCs w:val="24"/>
        </w:rPr>
        <w:t>es M</w:t>
      </w:r>
      <w:r w:rsidR="00525832" w:rsidRPr="002D2B16">
        <w:rPr>
          <w:rFonts w:ascii="Times New Roman" w:hAnsi="Times New Roman" w:cs="Times New Roman"/>
          <w:sz w:val="24"/>
          <w:szCs w:val="24"/>
        </w:rPr>
        <w:t>ess</w:t>
      </w:r>
      <w:r w:rsidR="005907FB" w:rsidRPr="002D2B16">
        <w:rPr>
          <w:rFonts w:ascii="Times New Roman" w:hAnsi="Times New Roman" w:cs="Times New Roman"/>
          <w:sz w:val="24"/>
          <w:szCs w:val="24"/>
        </w:rPr>
        <w:t>r</w:t>
      </w:r>
      <w:r w:rsidR="00525832" w:rsidRPr="002D2B16">
        <w:rPr>
          <w:rFonts w:ascii="Times New Roman" w:hAnsi="Times New Roman" w:cs="Times New Roman"/>
          <w:sz w:val="24"/>
          <w:szCs w:val="24"/>
        </w:rPr>
        <w:t>s</w:t>
      </w:r>
      <w:r w:rsidR="005907FB" w:rsidRPr="002D2B16">
        <w:rPr>
          <w:rFonts w:ascii="Times New Roman" w:hAnsi="Times New Roman" w:cs="Times New Roman"/>
          <w:sz w:val="24"/>
          <w:szCs w:val="24"/>
        </w:rPr>
        <w:t>. Gorman</w:t>
      </w:r>
      <w:r w:rsidR="005A1213" w:rsidRPr="002D2B16">
        <w:rPr>
          <w:rFonts w:ascii="Times New Roman" w:hAnsi="Times New Roman" w:cs="Times New Roman"/>
          <w:sz w:val="24"/>
          <w:szCs w:val="24"/>
        </w:rPr>
        <w:t xml:space="preserve"> and</w:t>
      </w:r>
      <w:r w:rsidRPr="002D2B16">
        <w:rPr>
          <w:rFonts w:ascii="Times New Roman" w:hAnsi="Times New Roman" w:cs="Times New Roman"/>
          <w:sz w:val="24"/>
          <w:szCs w:val="24"/>
        </w:rPr>
        <w:t xml:space="preserve"> Kevin O’Donnell demonstrated that the Company would maintain its current satisfactory credit rating with a similar recommended ROE of 9.45%, thereby meeting the standards set forth in </w:t>
      </w:r>
      <w:r w:rsidRPr="002D2B16">
        <w:rPr>
          <w:rFonts w:ascii="Times New Roman" w:hAnsi="Times New Roman" w:cs="Times New Roman"/>
          <w:sz w:val="24"/>
          <w:szCs w:val="24"/>
          <w:u w:val="single"/>
        </w:rPr>
        <w:t>Bluefield</w:t>
      </w:r>
      <w:r w:rsidRPr="002D2B16">
        <w:rPr>
          <w:rFonts w:ascii="Times New Roman" w:hAnsi="Times New Roman" w:cs="Times New Roman"/>
          <w:sz w:val="24"/>
          <w:szCs w:val="24"/>
        </w:rPr>
        <w:t xml:space="preserve"> and </w:t>
      </w:r>
      <w:r w:rsidRPr="002D2B16">
        <w:rPr>
          <w:rFonts w:ascii="Times New Roman" w:hAnsi="Times New Roman" w:cs="Times New Roman"/>
          <w:sz w:val="24"/>
          <w:szCs w:val="24"/>
          <w:u w:val="single"/>
        </w:rPr>
        <w:t>Hope</w:t>
      </w:r>
      <w:r w:rsidRPr="002D2B16">
        <w:rPr>
          <w:rFonts w:ascii="Times New Roman" w:hAnsi="Times New Roman" w:cs="Times New Roman"/>
          <w:sz w:val="24"/>
          <w:szCs w:val="24"/>
        </w:rPr>
        <w:t>.</w:t>
      </w:r>
      <w:r w:rsidRPr="002D2B16">
        <w:rPr>
          <w:rFonts w:ascii="Times New Roman" w:hAnsi="Times New Roman" w:cs="Times New Roman"/>
          <w:sz w:val="24"/>
          <w:szCs w:val="24"/>
          <w:vertAlign w:val="superscript"/>
        </w:rPr>
        <w:footnoteReference w:id="30"/>
      </w:r>
    </w:p>
    <w:p w14:paraId="0D109FAB" w14:textId="1D4C0A3F" w:rsidR="0093416F" w:rsidRPr="002D2B16" w:rsidRDefault="0093416F" w:rsidP="00BA1325">
      <w:pPr>
        <w:spacing w:after="240" w:line="480" w:lineRule="auto"/>
        <w:jc w:val="both"/>
        <w:rPr>
          <w:rFonts w:ascii="Times New Roman" w:hAnsi="Times New Roman" w:cs="Times New Roman"/>
          <w:sz w:val="24"/>
          <w:szCs w:val="24"/>
        </w:rPr>
      </w:pPr>
      <w:r w:rsidRPr="002D2B16">
        <w:rPr>
          <w:rFonts w:ascii="Times New Roman" w:hAnsi="Times New Roman" w:cs="Times New Roman"/>
          <w:sz w:val="24"/>
          <w:szCs w:val="24"/>
        </w:rPr>
        <w:tab/>
        <w:t>In determining her recommended ROE of 9.47</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D</w:t>
      </w:r>
      <w:r w:rsidR="00F2152E" w:rsidRPr="002D2B16">
        <w:rPr>
          <w:rFonts w:ascii="Times New Roman" w:hAnsi="Times New Roman" w:cs="Times New Roman"/>
          <w:sz w:val="24"/>
          <w:szCs w:val="24"/>
        </w:rPr>
        <w:t>o</w:t>
      </w:r>
      <w:r w:rsidRPr="002D2B16">
        <w:rPr>
          <w:rFonts w:ascii="Times New Roman" w:hAnsi="Times New Roman" w:cs="Times New Roman"/>
          <w:sz w:val="24"/>
          <w:szCs w:val="24"/>
        </w:rPr>
        <w:t xml:space="preserve">D/FEA witness Ms. Reno placed more emphasis on her </w:t>
      </w:r>
      <w:r w:rsidR="00E561D0" w:rsidRPr="002D2B16">
        <w:rPr>
          <w:rFonts w:ascii="Times New Roman" w:hAnsi="Times New Roman" w:cs="Times New Roman"/>
          <w:sz w:val="24"/>
          <w:szCs w:val="24"/>
        </w:rPr>
        <w:t>Discounted Cash Flow (“</w:t>
      </w:r>
      <w:r w:rsidRPr="002D2B16">
        <w:rPr>
          <w:rFonts w:ascii="Times New Roman" w:hAnsi="Times New Roman" w:cs="Times New Roman"/>
          <w:sz w:val="24"/>
          <w:szCs w:val="24"/>
        </w:rPr>
        <w:t>DCF</w:t>
      </w:r>
      <w:r w:rsidR="00E561D0" w:rsidRPr="002D2B16">
        <w:rPr>
          <w:rFonts w:ascii="Times New Roman" w:hAnsi="Times New Roman" w:cs="Times New Roman"/>
          <w:sz w:val="24"/>
          <w:szCs w:val="24"/>
        </w:rPr>
        <w:t>”) model</w:t>
      </w:r>
      <w:r w:rsidRPr="002D2B16">
        <w:rPr>
          <w:rFonts w:ascii="Times New Roman" w:hAnsi="Times New Roman" w:cs="Times New Roman"/>
          <w:sz w:val="24"/>
          <w:szCs w:val="24"/>
        </w:rPr>
        <w:t>-derived results when setting a reasonable ROE range of</w:t>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8.81</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to 9.47</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w:t>
      </w:r>
      <w:r w:rsidR="00B31095" w:rsidRPr="002D2B16">
        <w:rPr>
          <w:rStyle w:val="FootnoteReference"/>
          <w:rFonts w:ascii="Times New Roman" w:hAnsi="Times New Roman" w:cs="Times New Roman"/>
          <w:sz w:val="24"/>
          <w:szCs w:val="24"/>
        </w:rPr>
        <w:footnoteReference w:id="31"/>
      </w:r>
      <w:r w:rsidRPr="002D2B16">
        <w:rPr>
          <w:rFonts w:ascii="Times New Roman" w:hAnsi="Times New Roman" w:cs="Times New Roman"/>
          <w:sz w:val="24"/>
          <w:szCs w:val="24"/>
        </w:rPr>
        <w:t xml:space="preserve"> because the DCF model is widely used by both the finance community and public utility commissions and yields more reliable results.</w:t>
      </w:r>
      <w:r w:rsidRPr="002D2B16">
        <w:rPr>
          <w:rStyle w:val="FootnoteReference"/>
          <w:rFonts w:ascii="Times New Roman" w:hAnsi="Times New Roman" w:cs="Times New Roman"/>
          <w:sz w:val="24"/>
          <w:szCs w:val="24"/>
        </w:rPr>
        <w:footnoteReference w:id="32"/>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 xml:space="preserve">In fact, </w:t>
      </w:r>
      <w:r w:rsidR="00991C3F" w:rsidRPr="002D2B16">
        <w:rPr>
          <w:rFonts w:ascii="Times New Roman" w:hAnsi="Times New Roman" w:cs="Times New Roman"/>
          <w:sz w:val="24"/>
          <w:szCs w:val="24"/>
        </w:rPr>
        <w:t xml:space="preserve">GPC witness Mr. Coyne; </w:t>
      </w:r>
      <w:r w:rsidR="00FF7383">
        <w:rPr>
          <w:rFonts w:ascii="Times New Roman" w:hAnsi="Times New Roman" w:cs="Times New Roman"/>
          <w:sz w:val="24"/>
          <w:szCs w:val="24"/>
        </w:rPr>
        <w:t>PIA</w:t>
      </w:r>
      <w:r w:rsidR="00FF7383" w:rsidRPr="002D2B16" w:rsidDel="00FF7383">
        <w:rPr>
          <w:rFonts w:ascii="Times New Roman" w:hAnsi="Times New Roman" w:cs="Times New Roman"/>
          <w:sz w:val="24"/>
          <w:szCs w:val="24"/>
        </w:rPr>
        <w:t xml:space="preserve"> </w:t>
      </w:r>
      <w:r w:rsidR="00991C3F" w:rsidRPr="002D2B16">
        <w:rPr>
          <w:rFonts w:ascii="Times New Roman" w:hAnsi="Times New Roman" w:cs="Times New Roman"/>
          <w:sz w:val="24"/>
          <w:szCs w:val="24"/>
        </w:rPr>
        <w:t xml:space="preserve">Staff witness Mr. Gorman; and </w:t>
      </w:r>
      <w:r w:rsidR="00F73EB3" w:rsidRPr="002D2B16">
        <w:rPr>
          <w:rFonts w:ascii="Times New Roman" w:hAnsi="Times New Roman" w:cs="Times New Roman"/>
          <w:sz w:val="24"/>
          <w:szCs w:val="24"/>
        </w:rPr>
        <w:t>GAM</w:t>
      </w:r>
      <w:r w:rsidR="00991C3F" w:rsidRPr="002D2B16">
        <w:rPr>
          <w:rFonts w:ascii="Times New Roman" w:hAnsi="Times New Roman" w:cs="Times New Roman"/>
          <w:sz w:val="24"/>
          <w:szCs w:val="24"/>
        </w:rPr>
        <w:t xml:space="preserve"> witness Ms. Billie LaConte</w:t>
      </w:r>
      <w:r w:rsidRPr="002D2B16">
        <w:rPr>
          <w:rFonts w:ascii="Times New Roman" w:hAnsi="Times New Roman" w:cs="Times New Roman"/>
          <w:sz w:val="24"/>
          <w:szCs w:val="24"/>
        </w:rPr>
        <w:t xml:space="preserve"> utilized the </w:t>
      </w:r>
      <w:r w:rsidR="00991C3F" w:rsidRPr="002D2B16">
        <w:rPr>
          <w:rFonts w:ascii="Times New Roman" w:hAnsi="Times New Roman" w:cs="Times New Roman"/>
          <w:sz w:val="24"/>
          <w:szCs w:val="24"/>
        </w:rPr>
        <w:t xml:space="preserve">Constant-Growth </w:t>
      </w:r>
      <w:r w:rsidRPr="002D2B16">
        <w:rPr>
          <w:rFonts w:ascii="Times New Roman" w:hAnsi="Times New Roman" w:cs="Times New Roman"/>
          <w:sz w:val="24"/>
          <w:szCs w:val="24"/>
        </w:rPr>
        <w:t>DCF method in determining a recommended ROE and estimated similar results.</w:t>
      </w:r>
      <w:r w:rsidRPr="002D2B16">
        <w:rPr>
          <w:rStyle w:val="FootnoteReference"/>
          <w:rFonts w:ascii="Times New Roman" w:hAnsi="Times New Roman" w:cs="Times New Roman"/>
          <w:sz w:val="24"/>
          <w:szCs w:val="24"/>
        </w:rPr>
        <w:footnoteReference w:id="33"/>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 xml:space="preserve">The DCF method is favored because it is a forward-looking model that directly incorporates investors’ expectations of company dividend income through market pricing signals, </w:t>
      </w:r>
      <w:r w:rsidRPr="002D2B16">
        <w:rPr>
          <w:rFonts w:ascii="Times New Roman" w:hAnsi="Times New Roman" w:cs="Times New Roman"/>
          <w:sz w:val="24"/>
          <w:szCs w:val="24"/>
        </w:rPr>
        <w:lastRenderedPageBreak/>
        <w:t>particularly in the case of utility stocks where stock valuations are telling a different story than the general market.</w:t>
      </w:r>
      <w:r w:rsidRPr="002D2B16">
        <w:rPr>
          <w:rStyle w:val="FootnoteReference"/>
          <w:rFonts w:ascii="Times New Roman" w:hAnsi="Times New Roman" w:cs="Times New Roman"/>
          <w:sz w:val="24"/>
          <w:szCs w:val="24"/>
        </w:rPr>
        <w:footnoteReference w:id="34"/>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Even though Ms. Reno placed more emphasis on her DCF-derived results, the average ROE of all her models is 9.38</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w:t>
      </w:r>
      <w:r w:rsidRPr="002D2B16">
        <w:rPr>
          <w:rStyle w:val="FootnoteReference"/>
          <w:rFonts w:ascii="Times New Roman" w:hAnsi="Times New Roman" w:cs="Times New Roman"/>
          <w:sz w:val="24"/>
          <w:szCs w:val="24"/>
        </w:rPr>
        <w:footnoteReference w:id="35"/>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Her average ROE, therefore, further supports her DCF-derived recommendation.</w:t>
      </w:r>
    </w:p>
    <w:p w14:paraId="51CA1300" w14:textId="0DCD25BF" w:rsidR="0093416F" w:rsidRPr="002D2B16" w:rsidRDefault="0093416F" w:rsidP="00BA1325">
      <w:pPr>
        <w:spacing w:after="240" w:line="480" w:lineRule="auto"/>
        <w:jc w:val="both"/>
        <w:rPr>
          <w:rFonts w:ascii="Times New Roman" w:hAnsi="Times New Roman" w:cs="Times New Roman"/>
          <w:sz w:val="24"/>
          <w:szCs w:val="24"/>
        </w:rPr>
      </w:pPr>
      <w:r w:rsidRPr="002D2B16">
        <w:rPr>
          <w:rFonts w:ascii="Times New Roman" w:hAnsi="Times New Roman" w:cs="Times New Roman"/>
          <w:sz w:val="24"/>
          <w:szCs w:val="24"/>
        </w:rPr>
        <w:tab/>
        <w:t>If the Commission were to consider other methodologies, Ms. Reno</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on behalf of D</w:t>
      </w:r>
      <w:r w:rsidR="00F2152E" w:rsidRPr="002D2B16">
        <w:rPr>
          <w:rFonts w:ascii="Times New Roman" w:hAnsi="Times New Roman" w:cs="Times New Roman"/>
          <w:sz w:val="24"/>
          <w:szCs w:val="24"/>
        </w:rPr>
        <w:t>o</w:t>
      </w:r>
      <w:r w:rsidRPr="002D2B16">
        <w:rPr>
          <w:rFonts w:ascii="Times New Roman" w:hAnsi="Times New Roman" w:cs="Times New Roman"/>
          <w:sz w:val="24"/>
          <w:szCs w:val="24"/>
        </w:rPr>
        <w:t>D</w:t>
      </w:r>
      <w:r w:rsidR="00B31095" w:rsidRPr="002D2B16">
        <w:rPr>
          <w:rFonts w:ascii="Times New Roman" w:hAnsi="Times New Roman" w:cs="Times New Roman"/>
          <w:sz w:val="24"/>
          <w:szCs w:val="24"/>
        </w:rPr>
        <w:t>/</w:t>
      </w:r>
      <w:r w:rsidRPr="002D2B16">
        <w:rPr>
          <w:rFonts w:ascii="Times New Roman" w:hAnsi="Times New Roman" w:cs="Times New Roman"/>
          <w:sz w:val="24"/>
          <w:szCs w:val="24"/>
        </w:rPr>
        <w:t xml:space="preserve">FEA, as well as </w:t>
      </w:r>
      <w:bookmarkStart w:id="14" w:name="_Hlk121217373"/>
      <w:r w:rsidR="00991C3F" w:rsidRPr="002D2B16">
        <w:rPr>
          <w:rFonts w:ascii="Times New Roman" w:hAnsi="Times New Roman" w:cs="Times New Roman"/>
          <w:sz w:val="24"/>
          <w:szCs w:val="24"/>
        </w:rPr>
        <w:t xml:space="preserve">GPC witness Mr. Coyne; </w:t>
      </w:r>
      <w:r w:rsidR="00FF7383">
        <w:rPr>
          <w:rFonts w:ascii="Times New Roman" w:hAnsi="Times New Roman" w:cs="Times New Roman"/>
          <w:sz w:val="24"/>
          <w:szCs w:val="24"/>
        </w:rPr>
        <w:t>PIA</w:t>
      </w:r>
      <w:r w:rsidR="00FF7383" w:rsidRPr="002D2B16" w:rsidDel="00FF7383">
        <w:rPr>
          <w:rFonts w:ascii="Times New Roman" w:hAnsi="Times New Roman" w:cs="Times New Roman"/>
          <w:sz w:val="24"/>
          <w:szCs w:val="24"/>
        </w:rPr>
        <w:t xml:space="preserve"> </w:t>
      </w:r>
      <w:r w:rsidR="00991C3F" w:rsidRPr="002D2B16">
        <w:rPr>
          <w:rFonts w:ascii="Times New Roman" w:hAnsi="Times New Roman" w:cs="Times New Roman"/>
          <w:sz w:val="24"/>
          <w:szCs w:val="24"/>
        </w:rPr>
        <w:t>Staff witness Mr. Gorman</w:t>
      </w:r>
      <w:r w:rsidR="00DB48B9" w:rsidRPr="002D2B16">
        <w:rPr>
          <w:rFonts w:ascii="Times New Roman" w:hAnsi="Times New Roman" w:cs="Times New Roman"/>
          <w:sz w:val="24"/>
          <w:szCs w:val="24"/>
        </w:rPr>
        <w:t>;</w:t>
      </w:r>
      <w:r w:rsidR="00991C3F" w:rsidRPr="002D2B16">
        <w:rPr>
          <w:rFonts w:ascii="Times New Roman" w:hAnsi="Times New Roman" w:cs="Times New Roman"/>
          <w:sz w:val="24"/>
          <w:szCs w:val="24"/>
        </w:rPr>
        <w:t xml:space="preserve"> </w:t>
      </w:r>
      <w:r w:rsidR="00F73EB3" w:rsidRPr="002D2B16">
        <w:rPr>
          <w:rFonts w:ascii="Times New Roman" w:hAnsi="Times New Roman" w:cs="Times New Roman"/>
          <w:sz w:val="24"/>
          <w:szCs w:val="24"/>
        </w:rPr>
        <w:t>GAM</w:t>
      </w:r>
      <w:r w:rsidR="00991C3F" w:rsidRPr="002D2B16">
        <w:rPr>
          <w:rFonts w:ascii="Times New Roman" w:hAnsi="Times New Roman" w:cs="Times New Roman"/>
          <w:sz w:val="24"/>
          <w:szCs w:val="24"/>
        </w:rPr>
        <w:t xml:space="preserve"> witness Ms. LaConte; and </w:t>
      </w:r>
      <w:r w:rsidR="00F73EB3" w:rsidRPr="002D2B16">
        <w:rPr>
          <w:rFonts w:ascii="Times New Roman" w:hAnsi="Times New Roman" w:cs="Times New Roman"/>
          <w:sz w:val="24"/>
          <w:szCs w:val="24"/>
        </w:rPr>
        <w:t>GIPL</w:t>
      </w:r>
      <w:r w:rsidR="00F73EB3" w:rsidRPr="002D2B16" w:rsidDel="00F73EB3">
        <w:rPr>
          <w:rFonts w:ascii="Times New Roman" w:hAnsi="Times New Roman" w:cs="Times New Roman"/>
          <w:sz w:val="24"/>
          <w:szCs w:val="24"/>
        </w:rPr>
        <w:t xml:space="preserve"> </w:t>
      </w:r>
      <w:r w:rsidR="00991C3F" w:rsidRPr="002D2B16">
        <w:rPr>
          <w:rFonts w:ascii="Times New Roman" w:hAnsi="Times New Roman" w:cs="Times New Roman"/>
          <w:sz w:val="24"/>
          <w:szCs w:val="24"/>
        </w:rPr>
        <w:t xml:space="preserve">witness Mr. Ellis </w:t>
      </w:r>
      <w:bookmarkEnd w:id="14"/>
      <w:r w:rsidRPr="002D2B16">
        <w:rPr>
          <w:rFonts w:ascii="Times New Roman" w:hAnsi="Times New Roman" w:cs="Times New Roman"/>
          <w:sz w:val="24"/>
          <w:szCs w:val="24"/>
        </w:rPr>
        <w:t>all employ the Capital Asset Pricing Model (</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CAPM</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in their analyses.</w:t>
      </w:r>
      <w:r w:rsidR="004A40D8" w:rsidRPr="002D2B16">
        <w:rPr>
          <w:rStyle w:val="FootnoteReference"/>
          <w:rFonts w:ascii="Times New Roman" w:hAnsi="Times New Roman" w:cs="Times New Roman"/>
          <w:sz w:val="24"/>
          <w:szCs w:val="24"/>
        </w:rPr>
        <w:footnoteReference w:id="36"/>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Mr. Coyne’s CAPM results are significantly higher than D</w:t>
      </w:r>
      <w:r w:rsidR="008655C0" w:rsidRPr="002D2B16">
        <w:rPr>
          <w:rFonts w:ascii="Times New Roman" w:hAnsi="Times New Roman" w:cs="Times New Roman"/>
          <w:sz w:val="24"/>
          <w:szCs w:val="24"/>
        </w:rPr>
        <w:t>o</w:t>
      </w:r>
      <w:r w:rsidRPr="002D2B16">
        <w:rPr>
          <w:rFonts w:ascii="Times New Roman" w:hAnsi="Times New Roman" w:cs="Times New Roman"/>
          <w:sz w:val="24"/>
          <w:szCs w:val="24"/>
        </w:rPr>
        <w:t>D/FEA’s</w:t>
      </w:r>
      <w:r w:rsidR="00F73EB3" w:rsidRPr="002D2B16">
        <w:rPr>
          <w:rFonts w:ascii="Times New Roman" w:hAnsi="Times New Roman" w:cs="Times New Roman"/>
          <w:sz w:val="24"/>
          <w:szCs w:val="24"/>
        </w:rPr>
        <w:t xml:space="preserve">, </w:t>
      </w:r>
      <w:r w:rsidR="00FF7383">
        <w:rPr>
          <w:rFonts w:ascii="Times New Roman" w:hAnsi="Times New Roman" w:cs="Times New Roman"/>
          <w:sz w:val="24"/>
          <w:szCs w:val="24"/>
        </w:rPr>
        <w:t>PIA</w:t>
      </w:r>
      <w:r w:rsidR="00FF7383" w:rsidRPr="002D2B16" w:rsidDel="00FF7383">
        <w:rPr>
          <w:rFonts w:ascii="Times New Roman" w:hAnsi="Times New Roman" w:cs="Times New Roman"/>
          <w:sz w:val="24"/>
          <w:szCs w:val="24"/>
        </w:rPr>
        <w:t xml:space="preserve"> </w:t>
      </w:r>
      <w:r w:rsidRPr="002D2B16">
        <w:rPr>
          <w:rFonts w:ascii="Times New Roman" w:hAnsi="Times New Roman" w:cs="Times New Roman"/>
          <w:sz w:val="24"/>
          <w:szCs w:val="24"/>
        </w:rPr>
        <w:t>Staff’s</w:t>
      </w:r>
      <w:r w:rsidR="00F73EB3" w:rsidRPr="002D2B16">
        <w:rPr>
          <w:rFonts w:ascii="Times New Roman" w:hAnsi="Times New Roman" w:cs="Times New Roman"/>
          <w:sz w:val="24"/>
          <w:szCs w:val="24"/>
        </w:rPr>
        <w:t>,</w:t>
      </w:r>
      <w:r w:rsidRPr="002D2B16">
        <w:rPr>
          <w:rFonts w:ascii="Times New Roman" w:hAnsi="Times New Roman" w:cs="Times New Roman"/>
          <w:sz w:val="24"/>
          <w:szCs w:val="24"/>
        </w:rPr>
        <w:t xml:space="preserve"> and other intervening witnesses’ estimates, because of Mr. Coyne’s reli</w:t>
      </w:r>
      <w:r w:rsidR="00E561D0" w:rsidRPr="002D2B16">
        <w:rPr>
          <w:rFonts w:ascii="Times New Roman" w:hAnsi="Times New Roman" w:cs="Times New Roman"/>
          <w:sz w:val="24"/>
          <w:szCs w:val="24"/>
        </w:rPr>
        <w:t>ance</w:t>
      </w:r>
      <w:r w:rsidRPr="002D2B16">
        <w:rPr>
          <w:rFonts w:ascii="Times New Roman" w:hAnsi="Times New Roman" w:cs="Times New Roman"/>
          <w:sz w:val="24"/>
          <w:szCs w:val="24"/>
        </w:rPr>
        <w:t xml:space="preserve"> </w:t>
      </w:r>
      <w:r w:rsidR="00E561D0" w:rsidRPr="002D2B16">
        <w:rPr>
          <w:rFonts w:ascii="Times New Roman" w:hAnsi="Times New Roman" w:cs="Times New Roman"/>
          <w:sz w:val="24"/>
          <w:szCs w:val="24"/>
        </w:rPr>
        <w:t>up</w:t>
      </w:r>
      <w:r w:rsidRPr="002D2B16">
        <w:rPr>
          <w:rFonts w:ascii="Times New Roman" w:hAnsi="Times New Roman" w:cs="Times New Roman"/>
          <w:sz w:val="24"/>
          <w:szCs w:val="24"/>
        </w:rPr>
        <w:t>on erroneous total market returns.</w:t>
      </w:r>
      <w:r w:rsidR="00B31095" w:rsidRPr="002D2B16">
        <w:rPr>
          <w:rStyle w:val="FootnoteReference"/>
          <w:rFonts w:ascii="Times New Roman" w:hAnsi="Times New Roman" w:cs="Times New Roman"/>
          <w:sz w:val="24"/>
          <w:szCs w:val="24"/>
        </w:rPr>
        <w:footnoteReference w:id="37"/>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Ms. Reno, in determining her market risk premium, uses historical market return data and Kroll</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recommended returns rang</w:t>
      </w:r>
      <w:r w:rsidR="00E561D0" w:rsidRPr="002D2B16">
        <w:rPr>
          <w:rFonts w:ascii="Times New Roman" w:hAnsi="Times New Roman" w:cs="Times New Roman"/>
          <w:sz w:val="24"/>
          <w:szCs w:val="24"/>
        </w:rPr>
        <w:t>ing</w:t>
      </w:r>
      <w:r w:rsidRPr="002D2B16">
        <w:rPr>
          <w:rFonts w:ascii="Times New Roman" w:hAnsi="Times New Roman" w:cs="Times New Roman"/>
          <w:sz w:val="24"/>
          <w:szCs w:val="24"/>
        </w:rPr>
        <w:t xml:space="preserve"> from 5.50</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to 7.46</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w:t>
      </w:r>
      <w:r w:rsidRPr="002D2B16">
        <w:rPr>
          <w:rStyle w:val="FootnoteReference"/>
          <w:rFonts w:ascii="Times New Roman" w:hAnsi="Times New Roman" w:cs="Times New Roman"/>
          <w:sz w:val="24"/>
          <w:szCs w:val="24"/>
        </w:rPr>
        <w:footnoteReference w:id="38"/>
      </w:r>
      <w:r w:rsidRPr="002D2B16">
        <w:rPr>
          <w:rFonts w:ascii="Times New Roman" w:hAnsi="Times New Roman" w:cs="Times New Roman"/>
          <w:sz w:val="24"/>
          <w:szCs w:val="24"/>
        </w:rPr>
        <w:t xml:space="preserve"> These expected returns are in line with current forecasts of expected stock returns (</w:t>
      </w:r>
      <w:r w:rsidR="00E561D0" w:rsidRPr="002D2B16">
        <w:rPr>
          <w:rFonts w:ascii="Times New Roman" w:hAnsi="Times New Roman" w:cs="Times New Roman"/>
          <w:sz w:val="24"/>
          <w:szCs w:val="24"/>
        </w:rPr>
        <w:t>Standard &amp; Poor's [“</w:t>
      </w:r>
      <w:r w:rsidRPr="002D2B16">
        <w:rPr>
          <w:rFonts w:ascii="Times New Roman" w:hAnsi="Times New Roman" w:cs="Times New Roman"/>
          <w:sz w:val="24"/>
          <w:szCs w:val="24"/>
        </w:rPr>
        <w:t>S&amp;P</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500) over the next ten years of 6.91</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with a maximum of 10.4</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w:t>
      </w:r>
      <w:r w:rsidRPr="002D2B16">
        <w:rPr>
          <w:rStyle w:val="FootnoteReference"/>
          <w:rFonts w:ascii="Times New Roman" w:hAnsi="Times New Roman" w:cs="Times New Roman"/>
          <w:sz w:val="24"/>
          <w:szCs w:val="24"/>
        </w:rPr>
        <w:footnoteReference w:id="39"/>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In contrast, Mr. Coyne estimates a high market return of 15.</w:t>
      </w:r>
      <w:r w:rsidR="005907FB" w:rsidRPr="002D2B16">
        <w:rPr>
          <w:rFonts w:ascii="Times New Roman" w:hAnsi="Times New Roman" w:cs="Times New Roman"/>
          <w:sz w:val="24"/>
          <w:szCs w:val="24"/>
        </w:rPr>
        <w:t>18</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using the DCF </w:t>
      </w:r>
      <w:r w:rsidR="00E561D0" w:rsidRPr="002D2B16">
        <w:rPr>
          <w:rFonts w:ascii="Times New Roman" w:hAnsi="Times New Roman" w:cs="Times New Roman"/>
          <w:sz w:val="24"/>
          <w:szCs w:val="24"/>
        </w:rPr>
        <w:t xml:space="preserve">model </w:t>
      </w:r>
      <w:r w:rsidRPr="002D2B16">
        <w:rPr>
          <w:rFonts w:ascii="Times New Roman" w:hAnsi="Times New Roman" w:cs="Times New Roman"/>
          <w:sz w:val="24"/>
          <w:szCs w:val="24"/>
        </w:rPr>
        <w:t>with forecasted earnings based on market data from April 2022.</w:t>
      </w:r>
      <w:r w:rsidRPr="002D2B16">
        <w:rPr>
          <w:rStyle w:val="FootnoteReference"/>
          <w:rFonts w:ascii="Times New Roman" w:hAnsi="Times New Roman" w:cs="Times New Roman"/>
          <w:sz w:val="24"/>
          <w:szCs w:val="24"/>
        </w:rPr>
        <w:footnoteReference w:id="40"/>
      </w:r>
      <w:r w:rsidRPr="002D2B16">
        <w:rPr>
          <w:rFonts w:ascii="Times New Roman" w:hAnsi="Times New Roman" w:cs="Times New Roman"/>
          <w:sz w:val="24"/>
          <w:szCs w:val="24"/>
        </w:rPr>
        <w:t xml:space="preserve"> As a result of Mr. Coyne’s reliance </w:t>
      </w:r>
      <w:r w:rsidR="00E561D0" w:rsidRPr="002D2B16">
        <w:rPr>
          <w:rFonts w:ascii="Times New Roman" w:hAnsi="Times New Roman" w:cs="Times New Roman"/>
          <w:sz w:val="24"/>
          <w:szCs w:val="24"/>
        </w:rPr>
        <w:t>up</w:t>
      </w:r>
      <w:r w:rsidRPr="002D2B16">
        <w:rPr>
          <w:rFonts w:ascii="Times New Roman" w:hAnsi="Times New Roman" w:cs="Times New Roman"/>
          <w:sz w:val="24"/>
          <w:szCs w:val="24"/>
        </w:rPr>
        <w:t>on unrealistically high market returns, he inflates his market risk premium and resulting high CAPM-derived ROE estimates that range from 13.34</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to 13.75</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w:t>
      </w:r>
      <w:r w:rsidRPr="002D2B16">
        <w:rPr>
          <w:rStyle w:val="FootnoteReference"/>
          <w:rFonts w:ascii="Times New Roman" w:hAnsi="Times New Roman" w:cs="Times New Roman"/>
          <w:sz w:val="24"/>
          <w:szCs w:val="24"/>
        </w:rPr>
        <w:footnoteReference w:id="41"/>
      </w:r>
    </w:p>
    <w:p w14:paraId="5047C376" w14:textId="7DAE9982" w:rsidR="0093416F" w:rsidRPr="002D2B16" w:rsidRDefault="0093416F" w:rsidP="00BA1325">
      <w:pPr>
        <w:spacing w:after="240" w:line="480" w:lineRule="auto"/>
        <w:jc w:val="both"/>
        <w:rPr>
          <w:rFonts w:ascii="Times New Roman" w:hAnsi="Times New Roman" w:cs="Times New Roman"/>
          <w:sz w:val="24"/>
          <w:szCs w:val="24"/>
        </w:rPr>
      </w:pPr>
      <w:r w:rsidRPr="002D2B16">
        <w:rPr>
          <w:rFonts w:ascii="Times New Roman" w:hAnsi="Times New Roman" w:cs="Times New Roman"/>
          <w:sz w:val="24"/>
          <w:szCs w:val="24"/>
        </w:rPr>
        <w:lastRenderedPageBreak/>
        <w:tab/>
        <w:t>Mr. Coyne also places greater weight on his ROE results using the Comparable Earning</w:t>
      </w:r>
      <w:r w:rsidR="00E561D0" w:rsidRPr="002D2B16">
        <w:rPr>
          <w:rFonts w:ascii="Times New Roman" w:hAnsi="Times New Roman" w:cs="Times New Roman"/>
          <w:sz w:val="24"/>
          <w:szCs w:val="24"/>
        </w:rPr>
        <w:t>s</w:t>
      </w:r>
      <w:r w:rsidRPr="002D2B16">
        <w:rPr>
          <w:rFonts w:ascii="Times New Roman" w:hAnsi="Times New Roman" w:cs="Times New Roman"/>
          <w:sz w:val="24"/>
          <w:szCs w:val="24"/>
        </w:rPr>
        <w:t xml:space="preserve"> Method (</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CEM</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of 11.03</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(proxy group average) and 11.08</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(proxy group mean).</w:t>
      </w:r>
      <w:r w:rsidRPr="002D2B16">
        <w:rPr>
          <w:rStyle w:val="FootnoteReference"/>
          <w:rFonts w:ascii="Times New Roman" w:hAnsi="Times New Roman" w:cs="Times New Roman"/>
          <w:sz w:val="24"/>
          <w:szCs w:val="24"/>
        </w:rPr>
        <w:footnoteReference w:id="42"/>
      </w:r>
      <w:r w:rsidRPr="002D2B16">
        <w:rPr>
          <w:rFonts w:ascii="Times New Roman" w:hAnsi="Times New Roman" w:cs="Times New Roman"/>
          <w:sz w:val="24"/>
          <w:szCs w:val="24"/>
        </w:rPr>
        <w:t xml:space="preserve"> Such estimates are flawed and do not reflect investors’ expectations of utility stock returns, because they are merely accounting values reported by </w:t>
      </w:r>
      <w:r w:rsidRPr="002D2B16">
        <w:rPr>
          <w:rFonts w:ascii="Times New Roman" w:hAnsi="Times New Roman" w:cs="Times New Roman"/>
          <w:i/>
          <w:iCs/>
          <w:sz w:val="24"/>
          <w:szCs w:val="24"/>
        </w:rPr>
        <w:t>Value Line</w:t>
      </w:r>
      <w:r w:rsidR="00E561D0" w:rsidRPr="002D2B16">
        <w:rPr>
          <w:rFonts w:ascii="Times New Roman" w:hAnsi="Times New Roman" w:cs="Times New Roman"/>
          <w:i/>
          <w:iCs/>
          <w:sz w:val="24"/>
          <w:szCs w:val="24"/>
        </w:rPr>
        <w:t xml:space="preserve"> Investment Survey</w:t>
      </w:r>
      <w:r w:rsidR="00E561D0" w:rsidRPr="002D2B16">
        <w:rPr>
          <w:rFonts w:ascii="Times New Roman" w:hAnsi="Times New Roman" w:cs="Times New Roman"/>
          <w:sz w:val="24"/>
          <w:szCs w:val="24"/>
        </w:rPr>
        <w:t xml:space="preserve"> (“Value Line”)</w:t>
      </w:r>
      <w:r w:rsidRPr="002D2B16">
        <w:rPr>
          <w:rFonts w:ascii="Times New Roman" w:hAnsi="Times New Roman" w:cs="Times New Roman"/>
          <w:sz w:val="24"/>
          <w:szCs w:val="24"/>
        </w:rPr>
        <w:t>.</w:t>
      </w:r>
      <w:r w:rsidRPr="002D2B16">
        <w:rPr>
          <w:rStyle w:val="FootnoteReference"/>
          <w:rFonts w:ascii="Times New Roman" w:hAnsi="Times New Roman" w:cs="Times New Roman"/>
          <w:sz w:val="24"/>
          <w:szCs w:val="24"/>
        </w:rPr>
        <w:footnoteReference w:id="43"/>
      </w:r>
      <w:r w:rsidRPr="002D2B16">
        <w:rPr>
          <w:rFonts w:ascii="Times New Roman" w:hAnsi="Times New Roman" w:cs="Times New Roman"/>
          <w:sz w:val="24"/>
          <w:szCs w:val="24"/>
        </w:rPr>
        <w:t xml:space="preserve"> Although Ms. Reno also reports </w:t>
      </w:r>
      <w:r w:rsidR="005907FB" w:rsidRPr="002D2B16">
        <w:rPr>
          <w:rFonts w:ascii="Times New Roman" w:hAnsi="Times New Roman" w:cs="Times New Roman"/>
          <w:sz w:val="24"/>
          <w:szCs w:val="24"/>
        </w:rPr>
        <w:t xml:space="preserve">CEM-derived ROE estimates, using data </w:t>
      </w:r>
      <w:r w:rsidRPr="002D2B16">
        <w:rPr>
          <w:rFonts w:ascii="Times New Roman" w:hAnsi="Times New Roman" w:cs="Times New Roman"/>
          <w:sz w:val="24"/>
          <w:szCs w:val="24"/>
        </w:rPr>
        <w:t xml:space="preserve">provided by the same source, she calculated market-to-book ratios using historical stock prices and book value per share data to demonstrate that utilities in the proxy group were successful in attracting investors. In fact, all the proxy group companies have market-to-book ratios greater than one, showing that such estimates of returns overestimate investors’ required </w:t>
      </w:r>
      <w:r w:rsidR="00E561D0" w:rsidRPr="002D2B16">
        <w:rPr>
          <w:rFonts w:ascii="Times New Roman" w:hAnsi="Times New Roman" w:cs="Times New Roman"/>
          <w:sz w:val="24"/>
          <w:szCs w:val="24"/>
        </w:rPr>
        <w:t>ROE</w:t>
      </w:r>
      <w:r w:rsidRPr="002D2B16">
        <w:rPr>
          <w:rFonts w:ascii="Times New Roman" w:hAnsi="Times New Roman" w:cs="Times New Roman"/>
          <w:sz w:val="24"/>
          <w:szCs w:val="24"/>
        </w:rPr>
        <w:t xml:space="preserve"> of a utility’s stock.</w:t>
      </w:r>
      <w:r w:rsidRPr="002D2B16">
        <w:rPr>
          <w:rStyle w:val="FootnoteReference"/>
          <w:rFonts w:ascii="Times New Roman" w:hAnsi="Times New Roman" w:cs="Times New Roman"/>
          <w:sz w:val="24"/>
          <w:szCs w:val="24"/>
        </w:rPr>
        <w:footnoteReference w:id="44"/>
      </w:r>
      <w:r w:rsidRPr="002D2B16">
        <w:rPr>
          <w:rFonts w:ascii="Times New Roman" w:hAnsi="Times New Roman" w:cs="Times New Roman"/>
          <w:sz w:val="24"/>
          <w:szCs w:val="24"/>
        </w:rPr>
        <w:t xml:space="preserve"> </w:t>
      </w:r>
    </w:p>
    <w:p w14:paraId="6C226540" w14:textId="55C8A584" w:rsidR="0093416F" w:rsidRPr="002D2B16" w:rsidRDefault="0093416F" w:rsidP="00BA1325">
      <w:pPr>
        <w:spacing w:after="240" w:line="480" w:lineRule="auto"/>
        <w:jc w:val="both"/>
        <w:rPr>
          <w:rFonts w:ascii="Times New Roman" w:hAnsi="Times New Roman" w:cs="Times New Roman"/>
          <w:sz w:val="24"/>
          <w:szCs w:val="24"/>
          <w:lang w:val="en-CA"/>
        </w:rPr>
      </w:pPr>
      <w:r w:rsidRPr="002D2B16">
        <w:rPr>
          <w:rFonts w:ascii="Times New Roman" w:hAnsi="Times New Roman" w:cs="Times New Roman"/>
          <w:sz w:val="24"/>
          <w:szCs w:val="24"/>
        </w:rPr>
        <w:tab/>
        <w:t>Mr. Coyne’s ROE recommendation of 11.0</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also includes a 2.47</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allowance for flotation costs.</w:t>
      </w:r>
      <w:r w:rsidRPr="002D2B16">
        <w:rPr>
          <w:rStyle w:val="FootnoteReference"/>
          <w:rFonts w:ascii="Times New Roman" w:hAnsi="Times New Roman" w:cs="Times New Roman"/>
          <w:sz w:val="24"/>
          <w:szCs w:val="24"/>
        </w:rPr>
        <w:footnoteReference w:id="45"/>
      </w:r>
      <w:r w:rsidRPr="002D2B16">
        <w:rPr>
          <w:rFonts w:ascii="Times New Roman" w:hAnsi="Times New Roman" w:cs="Times New Roman"/>
          <w:sz w:val="24"/>
          <w:szCs w:val="24"/>
        </w:rPr>
        <w:t xml:space="preserve"> This 2.47</w:t>
      </w:r>
      <w:r w:rsidR="00E561D0" w:rsidRPr="002D2B16">
        <w:rPr>
          <w:rFonts w:ascii="Times New Roman" w:hAnsi="Times New Roman" w:cs="Times New Roman"/>
          <w:sz w:val="24"/>
          <w:szCs w:val="24"/>
        </w:rPr>
        <w:t>%</w:t>
      </w:r>
      <w:r w:rsidRPr="002D2B16">
        <w:rPr>
          <w:rFonts w:ascii="Times New Roman" w:hAnsi="Times New Roman" w:cs="Times New Roman"/>
          <w:sz w:val="24"/>
          <w:szCs w:val="24"/>
        </w:rPr>
        <w:t xml:space="preserve"> flotation cost adjustment is based on his proxy group average and yields an eight-basis point differential when calculating </w:t>
      </w:r>
      <w:r w:rsidRPr="002D2B16">
        <w:rPr>
          <w:rFonts w:ascii="Times New Roman" w:hAnsi="Times New Roman" w:cs="Times New Roman"/>
          <w:sz w:val="24"/>
          <w:szCs w:val="24"/>
          <w:lang w:val="en-CA"/>
        </w:rPr>
        <w:t>his DCF with the allowance</w:t>
      </w:r>
      <w:r w:rsidR="00E561D0" w:rsidRPr="002D2B16">
        <w:rPr>
          <w:rFonts w:ascii="Times New Roman" w:hAnsi="Times New Roman" w:cs="Times New Roman"/>
          <w:sz w:val="24"/>
          <w:szCs w:val="24"/>
          <w:lang w:val="en-CA"/>
        </w:rPr>
        <w:t>,</w:t>
      </w:r>
      <w:r w:rsidRPr="002D2B16">
        <w:rPr>
          <w:rFonts w:ascii="Times New Roman" w:hAnsi="Times New Roman" w:cs="Times New Roman"/>
          <w:sz w:val="24"/>
          <w:szCs w:val="24"/>
          <w:lang w:val="en-CA"/>
        </w:rPr>
        <w:t xml:space="preserve"> compared to his DCF without the flotation cost allowance.</w:t>
      </w:r>
      <w:r w:rsidR="006C28A7" w:rsidRPr="002D2B16">
        <w:rPr>
          <w:rStyle w:val="FootnoteReference"/>
          <w:rFonts w:ascii="Times New Roman" w:hAnsi="Times New Roman" w:cs="Times New Roman"/>
          <w:sz w:val="24"/>
          <w:szCs w:val="24"/>
          <w:lang w:val="en-CA"/>
        </w:rPr>
        <w:footnoteReference w:id="46"/>
      </w:r>
      <w:r w:rsidRPr="002D2B16">
        <w:rPr>
          <w:rFonts w:ascii="Times New Roman" w:hAnsi="Times New Roman" w:cs="Times New Roman"/>
          <w:sz w:val="24"/>
          <w:szCs w:val="24"/>
          <w:lang w:val="en-CA"/>
        </w:rPr>
        <w:t xml:space="preserve"> He then applies his eight-basis point result to his overall average ROE estimate of 10.92</w:t>
      </w:r>
      <w:r w:rsidR="00E561D0" w:rsidRPr="002D2B16">
        <w:rPr>
          <w:rFonts w:ascii="Times New Roman" w:hAnsi="Times New Roman" w:cs="Times New Roman"/>
          <w:sz w:val="24"/>
          <w:szCs w:val="24"/>
          <w:lang w:val="en-CA"/>
        </w:rPr>
        <w:t>%</w:t>
      </w:r>
      <w:r w:rsidRPr="002D2B16">
        <w:rPr>
          <w:rFonts w:ascii="Times New Roman" w:hAnsi="Times New Roman" w:cs="Times New Roman"/>
          <w:sz w:val="24"/>
          <w:szCs w:val="24"/>
          <w:lang w:val="en-CA"/>
        </w:rPr>
        <w:t>, yielding a</w:t>
      </w:r>
      <w:r w:rsidR="00E561D0" w:rsidRPr="002D2B16">
        <w:rPr>
          <w:rFonts w:ascii="Times New Roman" w:hAnsi="Times New Roman" w:cs="Times New Roman"/>
          <w:sz w:val="24"/>
          <w:szCs w:val="24"/>
          <w:lang w:val="en-CA"/>
        </w:rPr>
        <w:t>n</w:t>
      </w:r>
      <w:r w:rsidRPr="002D2B16">
        <w:rPr>
          <w:rFonts w:ascii="Times New Roman" w:hAnsi="Times New Roman" w:cs="Times New Roman"/>
          <w:sz w:val="24"/>
          <w:szCs w:val="24"/>
          <w:lang w:val="en-CA"/>
        </w:rPr>
        <w:t xml:space="preserve"> ROE of 11.0</w:t>
      </w:r>
      <w:r w:rsidR="00E561D0" w:rsidRPr="002D2B16">
        <w:rPr>
          <w:rFonts w:ascii="Times New Roman" w:hAnsi="Times New Roman" w:cs="Times New Roman"/>
          <w:sz w:val="24"/>
          <w:szCs w:val="24"/>
          <w:lang w:val="en-CA"/>
        </w:rPr>
        <w:t>%</w:t>
      </w:r>
      <w:r w:rsidRPr="002D2B16">
        <w:rPr>
          <w:rFonts w:ascii="Times New Roman" w:hAnsi="Times New Roman" w:cs="Times New Roman"/>
          <w:sz w:val="24"/>
          <w:szCs w:val="24"/>
          <w:lang w:val="en-CA"/>
        </w:rPr>
        <w:t>.</w:t>
      </w:r>
      <w:r w:rsidRPr="002D2B16">
        <w:rPr>
          <w:rStyle w:val="FootnoteReference"/>
          <w:rFonts w:ascii="Times New Roman" w:hAnsi="Times New Roman" w:cs="Times New Roman"/>
          <w:sz w:val="24"/>
          <w:szCs w:val="24"/>
          <w:lang w:val="en-CA"/>
        </w:rPr>
        <w:footnoteReference w:id="47"/>
      </w:r>
      <w:r w:rsidRPr="002D2B16">
        <w:rPr>
          <w:rFonts w:ascii="Times New Roman" w:hAnsi="Times New Roman" w:cs="Times New Roman"/>
          <w:sz w:val="24"/>
          <w:szCs w:val="24"/>
          <w:lang w:val="en-CA"/>
        </w:rPr>
        <w:t xml:space="preserve"> Ms. Reno avers that a flotation cost adjustment should only be allowed if Southern Company (</w:t>
      </w:r>
      <w:r w:rsidR="00057F25" w:rsidRPr="002D2B16">
        <w:rPr>
          <w:rFonts w:ascii="Times New Roman" w:hAnsi="Times New Roman" w:cs="Times New Roman"/>
          <w:sz w:val="24"/>
          <w:szCs w:val="24"/>
          <w:lang w:val="en-CA"/>
        </w:rPr>
        <w:t xml:space="preserve">GPC’s </w:t>
      </w:r>
      <w:r w:rsidRPr="002D2B16">
        <w:rPr>
          <w:rFonts w:ascii="Times New Roman" w:hAnsi="Times New Roman" w:cs="Times New Roman"/>
          <w:sz w:val="24"/>
          <w:szCs w:val="24"/>
          <w:lang w:val="en-CA"/>
        </w:rPr>
        <w:t xml:space="preserve">parent) were planning to issue common stock (and therefore </w:t>
      </w:r>
      <w:r w:rsidR="00057F25" w:rsidRPr="002D2B16">
        <w:rPr>
          <w:rFonts w:ascii="Times New Roman" w:hAnsi="Times New Roman" w:cs="Times New Roman"/>
          <w:sz w:val="24"/>
          <w:szCs w:val="24"/>
          <w:lang w:val="en-CA"/>
        </w:rPr>
        <w:t>incur</w:t>
      </w:r>
      <w:r w:rsidRPr="002D2B16">
        <w:rPr>
          <w:rFonts w:ascii="Times New Roman" w:hAnsi="Times New Roman" w:cs="Times New Roman"/>
          <w:sz w:val="24"/>
          <w:szCs w:val="24"/>
          <w:lang w:val="en-CA"/>
        </w:rPr>
        <w:t xml:space="preserve"> flotation expenses) in the foreseeable future.</w:t>
      </w:r>
      <w:r w:rsidRPr="002D2B16">
        <w:rPr>
          <w:rStyle w:val="FootnoteReference"/>
          <w:rFonts w:ascii="Times New Roman" w:hAnsi="Times New Roman" w:cs="Times New Roman"/>
          <w:sz w:val="24"/>
          <w:szCs w:val="24"/>
          <w:lang w:val="en-CA"/>
        </w:rPr>
        <w:footnoteReference w:id="48"/>
      </w:r>
      <w:r w:rsidRPr="002D2B16">
        <w:rPr>
          <w:rFonts w:ascii="Times New Roman" w:hAnsi="Times New Roman" w:cs="Times New Roman"/>
          <w:sz w:val="24"/>
          <w:szCs w:val="24"/>
          <w:lang w:val="en-CA"/>
        </w:rPr>
        <w:t xml:space="preserve"> However, </w:t>
      </w:r>
      <w:r w:rsidR="00E561D0" w:rsidRPr="002D2B16">
        <w:rPr>
          <w:rFonts w:ascii="Times New Roman" w:hAnsi="Times New Roman" w:cs="Times New Roman"/>
          <w:sz w:val="24"/>
          <w:szCs w:val="24"/>
          <w:lang w:val="en-CA"/>
        </w:rPr>
        <w:t xml:space="preserve">GPC </w:t>
      </w:r>
      <w:r w:rsidRPr="002D2B16">
        <w:rPr>
          <w:rFonts w:ascii="Times New Roman" w:hAnsi="Times New Roman" w:cs="Times New Roman"/>
          <w:sz w:val="24"/>
          <w:szCs w:val="24"/>
          <w:lang w:val="en-CA"/>
        </w:rPr>
        <w:t xml:space="preserve">witness Mr. </w:t>
      </w:r>
      <w:r w:rsidR="00E561D0" w:rsidRPr="002D2B16">
        <w:rPr>
          <w:rFonts w:ascii="Times New Roman" w:hAnsi="Times New Roman" w:cs="Times New Roman"/>
          <w:sz w:val="24"/>
          <w:szCs w:val="24"/>
          <w:lang w:val="en-CA"/>
        </w:rPr>
        <w:t xml:space="preserve">Aaron </w:t>
      </w:r>
      <w:r w:rsidRPr="002D2B16">
        <w:rPr>
          <w:rFonts w:ascii="Times New Roman" w:hAnsi="Times New Roman" w:cs="Times New Roman"/>
          <w:sz w:val="24"/>
          <w:szCs w:val="24"/>
          <w:lang w:val="en-CA"/>
        </w:rPr>
        <w:t>Abramovitz confirmed that Southern Company does not currently plan to issue new stock during the 13-month test year period.</w:t>
      </w:r>
      <w:r w:rsidRPr="002D2B16">
        <w:rPr>
          <w:rStyle w:val="FootnoteReference"/>
          <w:rFonts w:ascii="Times New Roman" w:hAnsi="Times New Roman" w:cs="Times New Roman"/>
          <w:sz w:val="24"/>
          <w:szCs w:val="24"/>
          <w:lang w:val="en-CA"/>
        </w:rPr>
        <w:footnoteReference w:id="49"/>
      </w:r>
      <w:r w:rsidR="00646718" w:rsidRPr="002D2B16">
        <w:rPr>
          <w:rFonts w:ascii="Times New Roman" w:hAnsi="Times New Roman" w:cs="Times New Roman"/>
          <w:sz w:val="24"/>
          <w:szCs w:val="24"/>
          <w:lang w:val="en-CA"/>
        </w:rPr>
        <w:t xml:space="preserve"> Moreover, </w:t>
      </w:r>
      <w:r w:rsidR="00FF7383">
        <w:rPr>
          <w:rFonts w:ascii="Times New Roman" w:hAnsi="Times New Roman" w:cs="Times New Roman"/>
          <w:sz w:val="24"/>
          <w:szCs w:val="24"/>
        </w:rPr>
        <w:t>PIA</w:t>
      </w:r>
      <w:r w:rsidR="00FF7383" w:rsidRPr="002D2B16" w:rsidDel="00FF7383">
        <w:rPr>
          <w:rFonts w:ascii="Times New Roman" w:hAnsi="Times New Roman" w:cs="Times New Roman"/>
          <w:sz w:val="24"/>
          <w:szCs w:val="24"/>
        </w:rPr>
        <w:t xml:space="preserve"> </w:t>
      </w:r>
      <w:r w:rsidR="00646718" w:rsidRPr="002D2B16">
        <w:rPr>
          <w:rFonts w:ascii="Times New Roman" w:hAnsi="Times New Roman" w:cs="Times New Roman"/>
          <w:sz w:val="24"/>
          <w:szCs w:val="24"/>
        </w:rPr>
        <w:t xml:space="preserve">Staff witness Mr. Gorman; </w:t>
      </w:r>
      <w:r w:rsidR="00F73EB3" w:rsidRPr="002D2B16">
        <w:rPr>
          <w:rFonts w:ascii="Times New Roman" w:hAnsi="Times New Roman" w:cs="Times New Roman"/>
          <w:sz w:val="24"/>
          <w:szCs w:val="24"/>
        </w:rPr>
        <w:lastRenderedPageBreak/>
        <w:t>GIPL</w:t>
      </w:r>
      <w:r w:rsidR="00F73EB3" w:rsidRPr="002D2B16" w:rsidDel="00F73EB3">
        <w:rPr>
          <w:rFonts w:ascii="Times New Roman" w:hAnsi="Times New Roman" w:cs="Times New Roman"/>
          <w:sz w:val="24"/>
          <w:szCs w:val="24"/>
        </w:rPr>
        <w:t xml:space="preserve"> </w:t>
      </w:r>
      <w:r w:rsidR="00F73EB3" w:rsidRPr="002D2B16">
        <w:rPr>
          <w:rFonts w:ascii="Times New Roman" w:hAnsi="Times New Roman" w:cs="Times New Roman"/>
          <w:sz w:val="24"/>
          <w:szCs w:val="24"/>
        </w:rPr>
        <w:t>witness Mr. Ellis</w:t>
      </w:r>
      <w:r w:rsidR="00B43441" w:rsidRPr="002D2B16">
        <w:rPr>
          <w:rFonts w:ascii="Times New Roman" w:hAnsi="Times New Roman" w:cs="Times New Roman"/>
          <w:sz w:val="24"/>
          <w:szCs w:val="24"/>
        </w:rPr>
        <w:t>;</w:t>
      </w:r>
      <w:r w:rsidR="00F73EB3" w:rsidRPr="002D2B16">
        <w:rPr>
          <w:rFonts w:ascii="Times New Roman" w:hAnsi="Times New Roman" w:cs="Times New Roman"/>
          <w:sz w:val="24"/>
          <w:szCs w:val="24"/>
        </w:rPr>
        <w:t xml:space="preserve"> and </w:t>
      </w:r>
      <w:bookmarkStart w:id="22" w:name="_Hlk121217300"/>
      <w:r w:rsidR="00F73EB3" w:rsidRPr="002D2B16">
        <w:rPr>
          <w:rFonts w:ascii="Times New Roman" w:hAnsi="Times New Roman" w:cs="Times New Roman"/>
          <w:sz w:val="24"/>
          <w:szCs w:val="24"/>
        </w:rPr>
        <w:t>GAM</w:t>
      </w:r>
      <w:r w:rsidR="00B43441" w:rsidRPr="002D2B16">
        <w:rPr>
          <w:rFonts w:ascii="Times New Roman" w:hAnsi="Times New Roman" w:cs="Times New Roman"/>
          <w:sz w:val="24"/>
          <w:szCs w:val="24"/>
        </w:rPr>
        <w:t xml:space="preserve"> witness Ms. LaConte</w:t>
      </w:r>
      <w:bookmarkEnd w:id="22"/>
      <w:r w:rsidR="00646718" w:rsidRPr="002D2B16">
        <w:rPr>
          <w:rFonts w:ascii="Times New Roman" w:hAnsi="Times New Roman" w:cs="Times New Roman"/>
          <w:sz w:val="24"/>
          <w:szCs w:val="24"/>
        </w:rPr>
        <w:t xml:space="preserve"> </w:t>
      </w:r>
      <w:r w:rsidRPr="002D2B16">
        <w:rPr>
          <w:rFonts w:ascii="Times New Roman" w:hAnsi="Times New Roman" w:cs="Times New Roman"/>
          <w:sz w:val="24"/>
          <w:szCs w:val="24"/>
          <w:lang w:val="en-CA"/>
        </w:rPr>
        <w:t>agree that Mr. Coyne’s flotation costs</w:t>
      </w:r>
      <w:r w:rsidR="00100A8F">
        <w:rPr>
          <w:rFonts w:ascii="Times New Roman" w:hAnsi="Times New Roman" w:cs="Times New Roman"/>
          <w:sz w:val="24"/>
          <w:szCs w:val="24"/>
          <w:lang w:val="en-CA"/>
        </w:rPr>
        <w:t>’ inclu</w:t>
      </w:r>
      <w:r w:rsidR="00DF7E9C">
        <w:rPr>
          <w:rFonts w:ascii="Times New Roman" w:hAnsi="Times New Roman" w:cs="Times New Roman"/>
          <w:sz w:val="24"/>
          <w:szCs w:val="24"/>
          <w:lang w:val="en-CA"/>
        </w:rPr>
        <w:t>ded</w:t>
      </w:r>
      <w:r w:rsidR="00100A8F">
        <w:rPr>
          <w:rFonts w:ascii="Times New Roman" w:hAnsi="Times New Roman" w:cs="Times New Roman"/>
          <w:sz w:val="24"/>
          <w:szCs w:val="24"/>
          <w:lang w:val="en-CA"/>
        </w:rPr>
        <w:t xml:space="preserve"> in his ROE estimate is erroneous</w:t>
      </w:r>
      <w:r w:rsidR="00057F25" w:rsidRPr="002D2B16">
        <w:rPr>
          <w:rFonts w:ascii="Times New Roman" w:hAnsi="Times New Roman" w:cs="Times New Roman"/>
          <w:sz w:val="24"/>
          <w:szCs w:val="24"/>
          <w:lang w:val="en-CA"/>
        </w:rPr>
        <w:t>,</w:t>
      </w:r>
      <w:r w:rsidRPr="002D2B16">
        <w:rPr>
          <w:rFonts w:ascii="Times New Roman" w:hAnsi="Times New Roman" w:cs="Times New Roman"/>
          <w:sz w:val="24"/>
          <w:szCs w:val="24"/>
          <w:lang w:val="en-CA"/>
        </w:rPr>
        <w:t xml:space="preserve"> and should be rejected by the Commission.</w:t>
      </w:r>
      <w:r w:rsidRPr="002D2B16">
        <w:rPr>
          <w:rStyle w:val="FootnoteReference"/>
          <w:rFonts w:ascii="Times New Roman" w:hAnsi="Times New Roman" w:cs="Times New Roman"/>
          <w:sz w:val="24"/>
          <w:szCs w:val="24"/>
          <w:lang w:val="en-CA"/>
        </w:rPr>
        <w:footnoteReference w:id="50"/>
      </w:r>
    </w:p>
    <w:p w14:paraId="4709C877" w14:textId="77777777" w:rsidR="00D729B7" w:rsidRPr="002D2B16" w:rsidRDefault="00D729B7" w:rsidP="00D729B7">
      <w:pPr>
        <w:spacing w:after="0" w:line="240" w:lineRule="auto"/>
        <w:jc w:val="center"/>
        <w:rPr>
          <w:rFonts w:ascii="Times New Roman" w:hAnsi="Times New Roman" w:cs="Times New Roman"/>
          <w:b/>
          <w:caps/>
          <w:sz w:val="24"/>
          <w:szCs w:val="24"/>
        </w:rPr>
      </w:pPr>
      <w:r w:rsidRPr="002D2B16">
        <w:rPr>
          <w:rFonts w:ascii="Times New Roman" w:hAnsi="Times New Roman" w:cs="Times New Roman"/>
          <w:b/>
          <w:caps/>
          <w:sz w:val="24"/>
          <w:szCs w:val="24"/>
        </w:rPr>
        <w:t>Modification to the Alternate rate plan</w:t>
      </w:r>
    </w:p>
    <w:p w14:paraId="5D5C5D70" w14:textId="77777777" w:rsidR="00D729B7" w:rsidRPr="002D2B16" w:rsidRDefault="00D729B7" w:rsidP="00D729B7">
      <w:pPr>
        <w:spacing w:after="0" w:line="240" w:lineRule="auto"/>
        <w:jc w:val="center"/>
        <w:rPr>
          <w:rFonts w:ascii="Times New Roman" w:hAnsi="Times New Roman" w:cs="Times New Roman"/>
          <w:b/>
          <w:caps/>
          <w:sz w:val="24"/>
          <w:szCs w:val="24"/>
        </w:rPr>
      </w:pPr>
      <w:r w:rsidRPr="002D2B16">
        <w:rPr>
          <w:rFonts w:ascii="Times New Roman" w:hAnsi="Times New Roman" w:cs="Times New Roman"/>
          <w:b/>
          <w:caps/>
          <w:sz w:val="24"/>
          <w:szCs w:val="24"/>
        </w:rPr>
        <w:t>Earnings Band for ROE</w:t>
      </w:r>
    </w:p>
    <w:p w14:paraId="3B797438" w14:textId="77777777" w:rsidR="00D729B7" w:rsidRPr="002D2B16" w:rsidRDefault="00D729B7" w:rsidP="00D729B7">
      <w:pPr>
        <w:spacing w:after="0" w:line="240" w:lineRule="auto"/>
        <w:jc w:val="center"/>
        <w:rPr>
          <w:rFonts w:ascii="Times New Roman" w:hAnsi="Times New Roman" w:cs="Times New Roman"/>
          <w:b/>
          <w:caps/>
          <w:sz w:val="24"/>
          <w:szCs w:val="24"/>
        </w:rPr>
      </w:pPr>
    </w:p>
    <w:p w14:paraId="43C000A3" w14:textId="78926319" w:rsidR="005A17AB" w:rsidRPr="002D2B16" w:rsidRDefault="00D729B7" w:rsidP="00BA1325">
      <w:pPr>
        <w:spacing w:after="240" w:line="480" w:lineRule="auto"/>
        <w:jc w:val="both"/>
        <w:rPr>
          <w:rFonts w:ascii="Times New Roman" w:hAnsi="Times New Roman" w:cs="Times New Roman"/>
          <w:sz w:val="24"/>
          <w:szCs w:val="24"/>
        </w:rPr>
      </w:pPr>
      <w:r w:rsidRPr="002D2B16">
        <w:rPr>
          <w:rFonts w:ascii="Times New Roman" w:hAnsi="Times New Roman" w:cs="Times New Roman"/>
          <w:sz w:val="24"/>
          <w:szCs w:val="24"/>
        </w:rPr>
        <w:tab/>
        <w:t>If the Commission approves an ARP in this proceeding, the shared earnings ROE band should be modified. D</w:t>
      </w:r>
      <w:r w:rsidR="008655C0" w:rsidRPr="002D2B16">
        <w:rPr>
          <w:rFonts w:ascii="Times New Roman" w:hAnsi="Times New Roman" w:cs="Times New Roman"/>
          <w:sz w:val="24"/>
          <w:szCs w:val="24"/>
        </w:rPr>
        <w:t>o</w:t>
      </w:r>
      <w:r w:rsidRPr="002D2B16">
        <w:rPr>
          <w:rFonts w:ascii="Times New Roman" w:hAnsi="Times New Roman" w:cs="Times New Roman"/>
          <w:sz w:val="24"/>
          <w:szCs w:val="24"/>
        </w:rPr>
        <w:t xml:space="preserve">D/FEA witness </w:t>
      </w:r>
      <w:r w:rsidR="00416801" w:rsidRPr="002D2B16">
        <w:rPr>
          <w:rFonts w:ascii="Times New Roman" w:hAnsi="Times New Roman" w:cs="Times New Roman"/>
          <w:sz w:val="24"/>
          <w:szCs w:val="24"/>
        </w:rPr>
        <w:t>Dr.</w:t>
      </w:r>
      <w:r w:rsidRPr="002D2B16">
        <w:rPr>
          <w:rFonts w:ascii="Times New Roman" w:hAnsi="Times New Roman" w:cs="Times New Roman"/>
          <w:sz w:val="24"/>
          <w:szCs w:val="24"/>
        </w:rPr>
        <w:t xml:space="preserve"> </w:t>
      </w:r>
      <w:r w:rsidR="00E561D0" w:rsidRPr="002D2B16">
        <w:rPr>
          <w:rFonts w:ascii="Times New Roman" w:hAnsi="Times New Roman" w:cs="Times New Roman"/>
          <w:sz w:val="24"/>
          <w:szCs w:val="24"/>
        </w:rPr>
        <w:t xml:space="preserve">Larry </w:t>
      </w:r>
      <w:r w:rsidRPr="002D2B16">
        <w:rPr>
          <w:rFonts w:ascii="Times New Roman" w:hAnsi="Times New Roman" w:cs="Times New Roman"/>
          <w:sz w:val="24"/>
          <w:szCs w:val="24"/>
        </w:rPr>
        <w:t xml:space="preserve">Blank offers two alternatives for </w:t>
      </w:r>
      <w:r w:rsidR="00E561D0" w:rsidRPr="002D2B16">
        <w:rPr>
          <w:rFonts w:ascii="Times New Roman" w:hAnsi="Times New Roman" w:cs="Times New Roman"/>
          <w:sz w:val="24"/>
          <w:szCs w:val="24"/>
        </w:rPr>
        <w:t xml:space="preserve">the </w:t>
      </w:r>
      <w:r w:rsidRPr="002D2B16">
        <w:rPr>
          <w:rFonts w:ascii="Times New Roman" w:hAnsi="Times New Roman" w:cs="Times New Roman"/>
          <w:sz w:val="24"/>
          <w:szCs w:val="24"/>
        </w:rPr>
        <w:t xml:space="preserve">Commission’s consideration: either (1) order the earnings band around the target ROE </w:t>
      </w:r>
      <w:r w:rsidR="005A17AB" w:rsidRPr="002D2B16">
        <w:rPr>
          <w:rFonts w:ascii="Times New Roman" w:hAnsi="Times New Roman" w:cs="Times New Roman"/>
          <w:sz w:val="24"/>
          <w:szCs w:val="24"/>
        </w:rPr>
        <w:t>approved</w:t>
      </w:r>
      <w:r w:rsidRPr="002D2B16">
        <w:rPr>
          <w:rFonts w:ascii="Times New Roman" w:hAnsi="Times New Roman" w:cs="Times New Roman"/>
          <w:sz w:val="24"/>
          <w:szCs w:val="24"/>
        </w:rPr>
        <w:t xml:space="preserve"> in this case </w:t>
      </w:r>
      <w:r w:rsidR="0056680A" w:rsidRPr="002D2B16">
        <w:rPr>
          <w:rFonts w:ascii="Times New Roman" w:hAnsi="Times New Roman" w:cs="Times New Roman"/>
          <w:sz w:val="24"/>
          <w:szCs w:val="24"/>
        </w:rPr>
        <w:t xml:space="preserve">back </w:t>
      </w:r>
      <w:r w:rsidRPr="002D2B16">
        <w:rPr>
          <w:rFonts w:ascii="Times New Roman" w:hAnsi="Times New Roman" w:cs="Times New Roman"/>
          <w:sz w:val="24"/>
          <w:szCs w:val="24"/>
        </w:rPr>
        <w:t xml:space="preserve">to </w:t>
      </w:r>
      <w:r w:rsidR="0056680A" w:rsidRPr="002D2B16">
        <w:rPr>
          <w:rFonts w:ascii="Times New Roman" w:hAnsi="Times New Roman" w:cs="Times New Roman"/>
          <w:sz w:val="24"/>
          <w:szCs w:val="24"/>
        </w:rPr>
        <w:t>the 100</w:t>
      </w:r>
      <w:r w:rsidR="005A17AB" w:rsidRPr="002D2B16">
        <w:rPr>
          <w:rFonts w:ascii="Times New Roman" w:hAnsi="Times New Roman" w:cs="Times New Roman"/>
          <w:sz w:val="24"/>
          <w:szCs w:val="24"/>
        </w:rPr>
        <w:t xml:space="preserve"> basis points</w:t>
      </w:r>
      <w:r w:rsidR="0056680A" w:rsidRPr="002D2B16">
        <w:rPr>
          <w:rFonts w:ascii="Times New Roman" w:hAnsi="Times New Roman" w:cs="Times New Roman"/>
          <w:sz w:val="24"/>
          <w:szCs w:val="24"/>
        </w:rPr>
        <w:t xml:space="preserve"> originally designed when the </w:t>
      </w:r>
      <w:r w:rsidR="009766D8" w:rsidRPr="002D2B16">
        <w:rPr>
          <w:rFonts w:ascii="Times New Roman" w:hAnsi="Times New Roman" w:cs="Times New Roman"/>
          <w:sz w:val="24"/>
          <w:szCs w:val="24"/>
        </w:rPr>
        <w:t>ARP was first approved</w:t>
      </w:r>
      <w:r w:rsidR="005A17AB" w:rsidRPr="002D2B16">
        <w:rPr>
          <w:rFonts w:ascii="Times New Roman" w:hAnsi="Times New Roman" w:cs="Times New Roman"/>
          <w:sz w:val="24"/>
          <w:szCs w:val="24"/>
        </w:rPr>
        <w:t xml:space="preserve">; and/or (2) </w:t>
      </w:r>
      <w:bookmarkStart w:id="23" w:name="_Hlk121375562"/>
      <w:r w:rsidR="005A17AB" w:rsidRPr="002D2B16">
        <w:rPr>
          <w:rFonts w:ascii="Times New Roman" w:hAnsi="Times New Roman" w:cs="Times New Roman"/>
          <w:sz w:val="24"/>
          <w:szCs w:val="24"/>
        </w:rPr>
        <w:t xml:space="preserve">eliminate or reduce the 20% </w:t>
      </w:r>
      <w:r w:rsidR="00416801" w:rsidRPr="002D2B16">
        <w:rPr>
          <w:rFonts w:ascii="Times New Roman" w:hAnsi="Times New Roman" w:cs="Times New Roman"/>
          <w:sz w:val="24"/>
          <w:szCs w:val="24"/>
        </w:rPr>
        <w:t xml:space="preserve">of earnings </w:t>
      </w:r>
      <w:r w:rsidR="005A17AB" w:rsidRPr="002D2B16">
        <w:rPr>
          <w:rFonts w:ascii="Times New Roman" w:hAnsi="Times New Roman" w:cs="Times New Roman"/>
          <w:sz w:val="24"/>
          <w:szCs w:val="24"/>
        </w:rPr>
        <w:t>retained by GPC for amounts above the earnings ROE band</w:t>
      </w:r>
      <w:bookmarkEnd w:id="23"/>
      <w:r w:rsidR="005A17AB" w:rsidRPr="002D2B16">
        <w:rPr>
          <w:rFonts w:ascii="Times New Roman" w:hAnsi="Times New Roman" w:cs="Times New Roman"/>
          <w:sz w:val="24"/>
          <w:szCs w:val="24"/>
        </w:rPr>
        <w:t>.</w:t>
      </w:r>
      <w:r w:rsidR="005A17AB" w:rsidRPr="002D2B16">
        <w:rPr>
          <w:rStyle w:val="FootnoteReference"/>
          <w:rFonts w:ascii="Times New Roman" w:hAnsi="Times New Roman" w:cs="Times New Roman"/>
          <w:sz w:val="24"/>
          <w:szCs w:val="24"/>
        </w:rPr>
        <w:footnoteReference w:id="51"/>
      </w:r>
      <w:r w:rsidR="005A17AB" w:rsidRPr="002D2B16">
        <w:rPr>
          <w:rFonts w:ascii="Times New Roman" w:hAnsi="Times New Roman" w:cs="Times New Roman"/>
          <w:sz w:val="24"/>
          <w:szCs w:val="24"/>
        </w:rPr>
        <w:t xml:space="preserve"> The Commission should approve continuation of the Interim Cost Recovery (“I</w:t>
      </w:r>
      <w:r w:rsidR="00314F94" w:rsidRPr="002D2B16">
        <w:rPr>
          <w:rFonts w:ascii="Times New Roman" w:hAnsi="Times New Roman" w:cs="Times New Roman"/>
          <w:sz w:val="24"/>
          <w:szCs w:val="24"/>
        </w:rPr>
        <w:t>CR</w:t>
      </w:r>
      <w:r w:rsidR="005A17AB" w:rsidRPr="002D2B16">
        <w:rPr>
          <w:rFonts w:ascii="Times New Roman" w:hAnsi="Times New Roman" w:cs="Times New Roman"/>
          <w:sz w:val="24"/>
          <w:szCs w:val="24"/>
        </w:rPr>
        <w:t xml:space="preserve">”) mechanism, which allows GPC expedited recovery when earnings fall below the lower end of the </w:t>
      </w:r>
      <w:r w:rsidR="00E561D0" w:rsidRPr="002D2B16">
        <w:rPr>
          <w:rFonts w:ascii="Times New Roman" w:hAnsi="Times New Roman" w:cs="Times New Roman"/>
          <w:sz w:val="24"/>
          <w:szCs w:val="24"/>
        </w:rPr>
        <w:t xml:space="preserve">ROE </w:t>
      </w:r>
      <w:r w:rsidR="005A17AB" w:rsidRPr="002D2B16">
        <w:rPr>
          <w:rFonts w:ascii="Times New Roman" w:hAnsi="Times New Roman" w:cs="Times New Roman"/>
          <w:sz w:val="24"/>
          <w:szCs w:val="24"/>
        </w:rPr>
        <w:t>band.</w:t>
      </w:r>
      <w:r w:rsidR="007F6C27" w:rsidRPr="002D2B16">
        <w:rPr>
          <w:rFonts w:ascii="Times New Roman" w:hAnsi="Times New Roman" w:cs="Times New Roman"/>
          <w:sz w:val="24"/>
          <w:szCs w:val="24"/>
        </w:rPr>
        <w:t xml:space="preserve"> </w:t>
      </w:r>
    </w:p>
    <w:p w14:paraId="3E3195A6" w14:textId="15382616" w:rsidR="00416801" w:rsidRPr="002D2B16" w:rsidRDefault="005A17AB" w:rsidP="00BA1325">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Each 50 basis points (or 0.5%) above the last awarded ROE of 10.50% applied to the earnings band produces an additional $100 million of revenue to GPC.</w:t>
      </w:r>
      <w:r w:rsidRPr="002D2B16">
        <w:rPr>
          <w:rStyle w:val="FootnoteReference"/>
          <w:rFonts w:ascii="Times New Roman" w:hAnsi="Times New Roman" w:cs="Times New Roman"/>
          <w:sz w:val="24"/>
          <w:szCs w:val="24"/>
        </w:rPr>
        <w:footnoteReference w:id="52"/>
      </w:r>
      <w:r w:rsidRPr="002D2B16">
        <w:rPr>
          <w:rFonts w:ascii="Times New Roman" w:hAnsi="Times New Roman" w:cs="Times New Roman"/>
          <w:sz w:val="24"/>
          <w:szCs w:val="24"/>
        </w:rPr>
        <w:t xml:space="preserve"> </w:t>
      </w:r>
      <w:r w:rsidR="00416801" w:rsidRPr="002D2B16">
        <w:rPr>
          <w:rFonts w:ascii="Times New Roman" w:hAnsi="Times New Roman" w:cs="Times New Roman"/>
          <w:sz w:val="24"/>
          <w:szCs w:val="24"/>
        </w:rPr>
        <w:t>In its application</w:t>
      </w:r>
      <w:r w:rsidR="00540615" w:rsidRPr="002D2B16">
        <w:rPr>
          <w:rFonts w:ascii="Times New Roman" w:hAnsi="Times New Roman" w:cs="Times New Roman"/>
          <w:sz w:val="24"/>
          <w:szCs w:val="24"/>
        </w:rPr>
        <w:t>,</w:t>
      </w:r>
      <w:r w:rsidR="00416801" w:rsidRPr="002D2B16">
        <w:rPr>
          <w:rFonts w:ascii="Times New Roman" w:hAnsi="Times New Roman" w:cs="Times New Roman"/>
          <w:sz w:val="24"/>
          <w:szCs w:val="24"/>
        </w:rPr>
        <w:t xml:space="preserve"> </w:t>
      </w:r>
      <w:r w:rsidRPr="002D2B16">
        <w:rPr>
          <w:rFonts w:ascii="Times New Roman" w:hAnsi="Times New Roman" w:cs="Times New Roman"/>
          <w:sz w:val="24"/>
          <w:szCs w:val="24"/>
        </w:rPr>
        <w:t xml:space="preserve">GPC proposes to continue </w:t>
      </w:r>
      <w:r w:rsidR="00416801" w:rsidRPr="002D2B16">
        <w:rPr>
          <w:rFonts w:ascii="Times New Roman" w:hAnsi="Times New Roman" w:cs="Times New Roman"/>
          <w:sz w:val="24"/>
          <w:szCs w:val="24"/>
        </w:rPr>
        <w:t xml:space="preserve">using </w:t>
      </w:r>
      <w:r w:rsidRPr="002D2B16">
        <w:rPr>
          <w:rFonts w:ascii="Times New Roman" w:hAnsi="Times New Roman" w:cs="Times New Roman"/>
          <w:sz w:val="24"/>
          <w:szCs w:val="24"/>
        </w:rPr>
        <w:t>the ROE band of 9.5%-12.0%, which was approved by the Commission in the 2019 base rate case.</w:t>
      </w:r>
      <w:r w:rsidRPr="002D2B16">
        <w:rPr>
          <w:rStyle w:val="FootnoteReference"/>
          <w:rFonts w:ascii="Times New Roman" w:hAnsi="Times New Roman" w:cs="Times New Roman"/>
          <w:sz w:val="24"/>
          <w:szCs w:val="24"/>
        </w:rPr>
        <w:footnoteReference w:id="53"/>
      </w:r>
      <w:r w:rsidR="00057F25" w:rsidRPr="002D2B16">
        <w:rPr>
          <w:rFonts w:ascii="Times New Roman" w:hAnsi="Times New Roman" w:cs="Times New Roman"/>
          <w:sz w:val="24"/>
          <w:szCs w:val="24"/>
        </w:rPr>
        <w:t xml:space="preserve"> </w:t>
      </w:r>
      <w:r w:rsidR="00416801" w:rsidRPr="002D2B16">
        <w:rPr>
          <w:rFonts w:ascii="Times New Roman" w:hAnsi="Times New Roman" w:cs="Times New Roman"/>
          <w:sz w:val="24"/>
          <w:szCs w:val="24"/>
        </w:rPr>
        <w:t>For illustrative purposes</w:t>
      </w:r>
      <w:r w:rsidR="00B14E21" w:rsidRPr="002D2B16">
        <w:rPr>
          <w:rFonts w:ascii="Times New Roman" w:hAnsi="Times New Roman" w:cs="Times New Roman"/>
          <w:sz w:val="24"/>
          <w:szCs w:val="24"/>
        </w:rPr>
        <w:t>,</w:t>
      </w:r>
      <w:r w:rsidR="00416801" w:rsidRPr="002D2B16">
        <w:rPr>
          <w:rFonts w:ascii="Times New Roman" w:hAnsi="Times New Roman" w:cs="Times New Roman"/>
          <w:sz w:val="24"/>
          <w:szCs w:val="24"/>
        </w:rPr>
        <w:t xml:space="preserve"> earnings at 12.0% under</w:t>
      </w:r>
      <w:r w:rsidR="00D729B7" w:rsidRPr="002D2B16">
        <w:rPr>
          <w:rFonts w:ascii="Times New Roman" w:hAnsi="Times New Roman" w:cs="Times New Roman"/>
          <w:sz w:val="24"/>
          <w:szCs w:val="24"/>
        </w:rPr>
        <w:t xml:space="preserve"> the </w:t>
      </w:r>
      <w:r w:rsidR="00416801" w:rsidRPr="002D2B16">
        <w:rPr>
          <w:rFonts w:ascii="Times New Roman" w:hAnsi="Times New Roman" w:cs="Times New Roman"/>
          <w:sz w:val="24"/>
          <w:szCs w:val="24"/>
        </w:rPr>
        <w:t>current ROE earnings band,</w:t>
      </w:r>
      <w:r w:rsidR="00D729B7" w:rsidRPr="002D2B16">
        <w:rPr>
          <w:rFonts w:ascii="Times New Roman" w:hAnsi="Times New Roman" w:cs="Times New Roman"/>
          <w:sz w:val="24"/>
          <w:szCs w:val="24"/>
        </w:rPr>
        <w:t xml:space="preserve"> and </w:t>
      </w:r>
      <w:r w:rsidR="00416801" w:rsidRPr="002D2B16">
        <w:rPr>
          <w:rFonts w:ascii="Times New Roman" w:hAnsi="Times New Roman" w:cs="Times New Roman"/>
          <w:sz w:val="24"/>
          <w:szCs w:val="24"/>
        </w:rPr>
        <w:t>GPC’s</w:t>
      </w:r>
      <w:r w:rsidR="00D729B7" w:rsidRPr="002D2B16">
        <w:rPr>
          <w:rFonts w:ascii="Times New Roman" w:hAnsi="Times New Roman" w:cs="Times New Roman"/>
          <w:sz w:val="24"/>
          <w:szCs w:val="24"/>
        </w:rPr>
        <w:t xml:space="preserve"> proposed </w:t>
      </w:r>
      <w:r w:rsidR="00416801" w:rsidRPr="002D2B16">
        <w:rPr>
          <w:rFonts w:ascii="Times New Roman" w:hAnsi="Times New Roman" w:cs="Times New Roman"/>
          <w:sz w:val="24"/>
          <w:szCs w:val="24"/>
        </w:rPr>
        <w:t>ROE of 11.0%</w:t>
      </w:r>
      <w:r w:rsidR="00EB521B" w:rsidRPr="002D2B16">
        <w:rPr>
          <w:rFonts w:ascii="Times New Roman" w:hAnsi="Times New Roman" w:cs="Times New Roman"/>
          <w:sz w:val="24"/>
          <w:szCs w:val="24"/>
        </w:rPr>
        <w:t>,</w:t>
      </w:r>
      <w:r w:rsidR="00416801" w:rsidRPr="002D2B16">
        <w:rPr>
          <w:rFonts w:ascii="Times New Roman" w:hAnsi="Times New Roman" w:cs="Times New Roman"/>
          <w:sz w:val="24"/>
          <w:szCs w:val="24"/>
        </w:rPr>
        <w:t xml:space="preserve"> translate to $200 million in additional earnings </w:t>
      </w:r>
      <w:r w:rsidR="00EB521B" w:rsidRPr="002D2B16">
        <w:rPr>
          <w:rFonts w:ascii="Times New Roman" w:hAnsi="Times New Roman" w:cs="Times New Roman"/>
          <w:sz w:val="24"/>
          <w:szCs w:val="24"/>
        </w:rPr>
        <w:t xml:space="preserve">for </w:t>
      </w:r>
      <w:r w:rsidR="00D729B7" w:rsidRPr="002D2B16">
        <w:rPr>
          <w:rFonts w:ascii="Times New Roman" w:hAnsi="Times New Roman" w:cs="Times New Roman"/>
          <w:sz w:val="24"/>
          <w:szCs w:val="24"/>
        </w:rPr>
        <w:t>GPC</w:t>
      </w:r>
      <w:r w:rsidR="00E561D0" w:rsidRPr="002D2B16">
        <w:rPr>
          <w:rFonts w:ascii="Times New Roman" w:hAnsi="Times New Roman" w:cs="Times New Roman"/>
          <w:sz w:val="24"/>
          <w:szCs w:val="24"/>
        </w:rPr>
        <w:t>,</w:t>
      </w:r>
      <w:r w:rsidR="00416801" w:rsidRPr="002D2B16">
        <w:rPr>
          <w:rFonts w:ascii="Times New Roman" w:hAnsi="Times New Roman" w:cs="Times New Roman"/>
          <w:sz w:val="24"/>
          <w:szCs w:val="24"/>
        </w:rPr>
        <w:t xml:space="preserve"> </w:t>
      </w:r>
      <w:r w:rsidR="00EB521B" w:rsidRPr="002D2B16">
        <w:rPr>
          <w:rFonts w:ascii="Times New Roman" w:hAnsi="Times New Roman" w:cs="Times New Roman"/>
          <w:sz w:val="24"/>
          <w:szCs w:val="24"/>
        </w:rPr>
        <w:t xml:space="preserve">which </w:t>
      </w:r>
      <w:r w:rsidR="00416801" w:rsidRPr="002D2B16">
        <w:rPr>
          <w:rFonts w:ascii="Times New Roman" w:hAnsi="Times New Roman" w:cs="Times New Roman"/>
          <w:sz w:val="24"/>
          <w:szCs w:val="24"/>
        </w:rPr>
        <w:t>GPC can fully retain.</w:t>
      </w:r>
      <w:r w:rsidR="00416801" w:rsidRPr="002D2B16">
        <w:rPr>
          <w:rStyle w:val="FootnoteReference"/>
          <w:rFonts w:ascii="Times New Roman" w:hAnsi="Times New Roman" w:cs="Times New Roman"/>
          <w:sz w:val="24"/>
          <w:szCs w:val="24"/>
        </w:rPr>
        <w:footnoteReference w:id="54"/>
      </w:r>
      <w:r w:rsidR="00416801" w:rsidRPr="002D2B16">
        <w:rPr>
          <w:rFonts w:ascii="Times New Roman" w:hAnsi="Times New Roman" w:cs="Times New Roman"/>
          <w:sz w:val="24"/>
          <w:szCs w:val="24"/>
        </w:rPr>
        <w:t xml:space="preserve"> </w:t>
      </w:r>
      <w:r w:rsidR="004E3A87" w:rsidRPr="002D2B16">
        <w:rPr>
          <w:rFonts w:ascii="Times New Roman" w:hAnsi="Times New Roman" w:cs="Times New Roman"/>
          <w:sz w:val="24"/>
          <w:szCs w:val="24"/>
        </w:rPr>
        <w:t>If customers h</w:t>
      </w:r>
      <w:r w:rsidR="00416801" w:rsidRPr="002D2B16">
        <w:rPr>
          <w:rFonts w:ascii="Times New Roman" w:hAnsi="Times New Roman" w:cs="Times New Roman"/>
          <w:sz w:val="24"/>
          <w:szCs w:val="24"/>
        </w:rPr>
        <w:t>ad received 100% of the entire amount above the earnings band</w:t>
      </w:r>
      <w:r w:rsidR="004E3A87" w:rsidRPr="002D2B16">
        <w:rPr>
          <w:rFonts w:ascii="Times New Roman" w:hAnsi="Times New Roman" w:cs="Times New Roman"/>
          <w:sz w:val="24"/>
          <w:szCs w:val="24"/>
        </w:rPr>
        <w:t xml:space="preserve"> since 2013</w:t>
      </w:r>
      <w:r w:rsidR="00416801" w:rsidRPr="002D2B16">
        <w:rPr>
          <w:rFonts w:ascii="Times New Roman" w:hAnsi="Times New Roman" w:cs="Times New Roman"/>
          <w:sz w:val="24"/>
          <w:szCs w:val="24"/>
        </w:rPr>
        <w:t xml:space="preserve">, </w:t>
      </w:r>
      <w:r w:rsidR="00EB521B" w:rsidRPr="002D2B16">
        <w:rPr>
          <w:rFonts w:ascii="Times New Roman" w:hAnsi="Times New Roman" w:cs="Times New Roman"/>
          <w:sz w:val="24"/>
          <w:szCs w:val="24"/>
        </w:rPr>
        <w:t xml:space="preserve">they </w:t>
      </w:r>
      <w:r w:rsidR="00416801" w:rsidRPr="002D2B16">
        <w:rPr>
          <w:rFonts w:ascii="Times New Roman" w:hAnsi="Times New Roman" w:cs="Times New Roman"/>
          <w:sz w:val="24"/>
          <w:szCs w:val="24"/>
        </w:rPr>
        <w:t>would have received $380 million</w:t>
      </w:r>
      <w:r w:rsidR="004E3A87" w:rsidRPr="002D2B16">
        <w:rPr>
          <w:rFonts w:ascii="Times New Roman" w:hAnsi="Times New Roman" w:cs="Times New Roman"/>
          <w:sz w:val="24"/>
          <w:szCs w:val="24"/>
        </w:rPr>
        <w:t>.</w:t>
      </w:r>
      <w:r w:rsidR="00100A8F">
        <w:rPr>
          <w:rStyle w:val="FootnoteReference"/>
          <w:rFonts w:ascii="Times New Roman" w:hAnsi="Times New Roman" w:cs="Times New Roman"/>
          <w:sz w:val="24"/>
          <w:szCs w:val="24"/>
        </w:rPr>
        <w:footnoteReference w:id="55"/>
      </w:r>
      <w:r w:rsidR="004E3A87" w:rsidRPr="002D2B16">
        <w:rPr>
          <w:rFonts w:ascii="Times New Roman" w:hAnsi="Times New Roman" w:cs="Times New Roman"/>
          <w:sz w:val="24"/>
          <w:szCs w:val="24"/>
        </w:rPr>
        <w:t xml:space="preserve">  I</w:t>
      </w:r>
      <w:r w:rsidR="00416801" w:rsidRPr="002D2B16">
        <w:rPr>
          <w:rFonts w:ascii="Times New Roman" w:hAnsi="Times New Roman" w:cs="Times New Roman"/>
          <w:sz w:val="24"/>
          <w:szCs w:val="24"/>
        </w:rPr>
        <w:t>nstead</w:t>
      </w:r>
      <w:r w:rsidR="004E3A87" w:rsidRPr="002D2B16">
        <w:rPr>
          <w:rFonts w:ascii="Times New Roman" w:hAnsi="Times New Roman" w:cs="Times New Roman"/>
          <w:sz w:val="24"/>
          <w:szCs w:val="24"/>
        </w:rPr>
        <w:t xml:space="preserve">, customers have </w:t>
      </w:r>
      <w:r w:rsidR="004E3A87" w:rsidRPr="002D2B16">
        <w:rPr>
          <w:rFonts w:ascii="Times New Roman" w:hAnsi="Times New Roman" w:cs="Times New Roman"/>
          <w:sz w:val="24"/>
          <w:szCs w:val="24"/>
        </w:rPr>
        <w:lastRenderedPageBreak/>
        <w:t>only received</w:t>
      </w:r>
      <w:r w:rsidR="00416801" w:rsidRPr="002D2B16">
        <w:rPr>
          <w:rFonts w:ascii="Times New Roman" w:hAnsi="Times New Roman" w:cs="Times New Roman"/>
          <w:sz w:val="24"/>
          <w:szCs w:val="24"/>
        </w:rPr>
        <w:t xml:space="preserve"> $297 million</w:t>
      </w:r>
      <w:r w:rsidR="004E3A87" w:rsidRPr="002D2B16">
        <w:rPr>
          <w:rFonts w:ascii="Times New Roman" w:hAnsi="Times New Roman" w:cs="Times New Roman"/>
          <w:sz w:val="24"/>
          <w:szCs w:val="24"/>
        </w:rPr>
        <w:t xml:space="preserve"> as their portion of the ROE band sharing mechanism</w:t>
      </w:r>
      <w:r w:rsidR="00416801" w:rsidRPr="002D2B16">
        <w:rPr>
          <w:rFonts w:ascii="Times New Roman" w:hAnsi="Times New Roman" w:cs="Times New Roman"/>
          <w:sz w:val="24"/>
          <w:szCs w:val="24"/>
        </w:rPr>
        <w:t>.</w:t>
      </w:r>
      <w:r w:rsidR="00416801" w:rsidRPr="002D2B16">
        <w:rPr>
          <w:rStyle w:val="FootnoteReference"/>
          <w:rFonts w:ascii="Times New Roman" w:hAnsi="Times New Roman" w:cs="Times New Roman"/>
          <w:sz w:val="24"/>
          <w:szCs w:val="24"/>
        </w:rPr>
        <w:footnoteReference w:id="56"/>
      </w:r>
      <w:r w:rsidR="00416801" w:rsidRPr="002D2B16">
        <w:rPr>
          <w:rFonts w:ascii="Times New Roman" w:hAnsi="Times New Roman" w:cs="Times New Roman"/>
          <w:sz w:val="24"/>
          <w:szCs w:val="24"/>
        </w:rPr>
        <w:t xml:space="preserve"> This additional sharing would have provided extra rate relief to customers</w:t>
      </w:r>
      <w:r w:rsidR="00100A8F">
        <w:rPr>
          <w:rFonts w:ascii="Times New Roman" w:hAnsi="Times New Roman" w:cs="Times New Roman"/>
          <w:sz w:val="24"/>
          <w:szCs w:val="24"/>
        </w:rPr>
        <w:t>,</w:t>
      </w:r>
      <w:r w:rsidR="00416801" w:rsidRPr="002D2B16">
        <w:rPr>
          <w:rFonts w:ascii="Times New Roman" w:hAnsi="Times New Roman" w:cs="Times New Roman"/>
          <w:sz w:val="24"/>
          <w:szCs w:val="24"/>
        </w:rPr>
        <w:t xml:space="preserve"> </w:t>
      </w:r>
      <w:r w:rsidR="00B14E21" w:rsidRPr="002D2B16">
        <w:rPr>
          <w:rFonts w:ascii="Times New Roman" w:hAnsi="Times New Roman" w:cs="Times New Roman"/>
          <w:sz w:val="24"/>
          <w:szCs w:val="24"/>
        </w:rPr>
        <w:t>while</w:t>
      </w:r>
      <w:r w:rsidR="00416801" w:rsidRPr="002D2B16">
        <w:rPr>
          <w:rFonts w:ascii="Times New Roman" w:hAnsi="Times New Roman" w:cs="Times New Roman"/>
          <w:sz w:val="24"/>
          <w:szCs w:val="24"/>
        </w:rPr>
        <w:t xml:space="preserve"> still allowing GPC to keep a significant amount of additional earnings (up to the higher ROE band level).</w:t>
      </w:r>
      <w:r w:rsidR="00416801" w:rsidRPr="002D2B16">
        <w:rPr>
          <w:rStyle w:val="FootnoteReference"/>
          <w:rFonts w:ascii="Times New Roman" w:hAnsi="Times New Roman" w:cs="Times New Roman"/>
          <w:sz w:val="24"/>
          <w:szCs w:val="24"/>
        </w:rPr>
        <w:footnoteReference w:id="57"/>
      </w:r>
      <w:r w:rsidR="00416801" w:rsidRPr="002D2B16">
        <w:rPr>
          <w:rFonts w:ascii="Times New Roman" w:hAnsi="Times New Roman" w:cs="Times New Roman"/>
          <w:sz w:val="24"/>
          <w:szCs w:val="24"/>
        </w:rPr>
        <w:t xml:space="preserve"> Therefore, giving the full amount above the band to customers provides a fair balance to </w:t>
      </w:r>
      <w:r w:rsidR="00100A8F">
        <w:rPr>
          <w:rFonts w:ascii="Times New Roman" w:hAnsi="Times New Roman" w:cs="Times New Roman"/>
          <w:sz w:val="24"/>
          <w:szCs w:val="24"/>
        </w:rPr>
        <w:t xml:space="preserve">customers, </w:t>
      </w:r>
      <w:r w:rsidR="00416801" w:rsidRPr="002D2B16">
        <w:rPr>
          <w:rFonts w:ascii="Times New Roman" w:hAnsi="Times New Roman" w:cs="Times New Roman"/>
          <w:sz w:val="24"/>
          <w:szCs w:val="24"/>
        </w:rPr>
        <w:t>shareholders</w:t>
      </w:r>
      <w:r w:rsidR="00100A8F">
        <w:rPr>
          <w:rFonts w:ascii="Times New Roman" w:hAnsi="Times New Roman" w:cs="Times New Roman"/>
          <w:sz w:val="24"/>
          <w:szCs w:val="24"/>
        </w:rPr>
        <w:t>,</w:t>
      </w:r>
      <w:r w:rsidR="00416801" w:rsidRPr="002D2B16">
        <w:rPr>
          <w:rFonts w:ascii="Times New Roman" w:hAnsi="Times New Roman" w:cs="Times New Roman"/>
          <w:sz w:val="24"/>
          <w:szCs w:val="24"/>
        </w:rPr>
        <w:t xml:space="preserve"> and GPC.</w:t>
      </w:r>
    </w:p>
    <w:p w14:paraId="2BD651AD" w14:textId="77777777" w:rsidR="00416801" w:rsidRPr="002D2B16" w:rsidRDefault="00416801" w:rsidP="00416801">
      <w:pPr>
        <w:spacing w:after="0" w:line="480" w:lineRule="auto"/>
        <w:jc w:val="center"/>
        <w:rPr>
          <w:rFonts w:ascii="Times New Roman" w:hAnsi="Times New Roman" w:cs="Times New Roman"/>
          <w:b/>
          <w:sz w:val="24"/>
          <w:szCs w:val="24"/>
        </w:rPr>
      </w:pPr>
      <w:r w:rsidRPr="002D2B16">
        <w:rPr>
          <w:rFonts w:ascii="Times New Roman" w:hAnsi="Times New Roman" w:cs="Times New Roman"/>
          <w:b/>
          <w:sz w:val="24"/>
          <w:szCs w:val="24"/>
        </w:rPr>
        <w:t>MOVEMENT TOWARD COST-BASED RATES</w:t>
      </w:r>
    </w:p>
    <w:p w14:paraId="3035D04A" w14:textId="68CB3480" w:rsidR="00EB521B" w:rsidRPr="002D2B16" w:rsidRDefault="00416801" w:rsidP="00C02068">
      <w:pPr>
        <w:spacing w:after="240" w:line="480" w:lineRule="auto"/>
        <w:ind w:firstLine="720"/>
        <w:jc w:val="both"/>
        <w:rPr>
          <w:rFonts w:ascii="Times New Roman" w:hAnsi="Times New Roman" w:cs="Times New Roman"/>
          <w:b/>
          <w:sz w:val="24"/>
          <w:szCs w:val="24"/>
        </w:rPr>
      </w:pPr>
      <w:r w:rsidRPr="002D2B16">
        <w:rPr>
          <w:rFonts w:ascii="Times New Roman" w:hAnsi="Times New Roman" w:cs="Times New Roman"/>
          <w:bCs/>
          <w:sz w:val="24"/>
          <w:szCs w:val="24"/>
        </w:rPr>
        <w:t>GPC’s CCOSS is sponsored by Mr. Evans.</w:t>
      </w:r>
      <w:r w:rsidRPr="002D2B16">
        <w:rPr>
          <w:rStyle w:val="FootnoteReference"/>
          <w:rFonts w:ascii="Times New Roman" w:hAnsi="Times New Roman" w:cs="Times New Roman"/>
          <w:bCs/>
          <w:sz w:val="24"/>
          <w:szCs w:val="24"/>
        </w:rPr>
        <w:footnoteReference w:id="58"/>
      </w:r>
      <w:r w:rsidRPr="002D2B16">
        <w:rPr>
          <w:rFonts w:ascii="Times New Roman" w:hAnsi="Times New Roman" w:cs="Times New Roman"/>
          <w:bCs/>
          <w:sz w:val="24"/>
          <w:szCs w:val="24"/>
        </w:rPr>
        <w:t xml:space="preserve"> The results of GPC’s CCOSS</w:t>
      </w:r>
      <w:r w:rsidR="001F76B3" w:rsidRPr="002D2B16">
        <w:rPr>
          <w:rFonts w:ascii="Times New Roman" w:hAnsi="Times New Roman" w:cs="Times New Roman"/>
          <w:bCs/>
          <w:sz w:val="24"/>
          <w:szCs w:val="24"/>
        </w:rPr>
        <w:t>, under the 4-CP or 12-CP allocation methodologies for production costs,</w:t>
      </w:r>
      <w:r w:rsidRPr="002D2B16">
        <w:rPr>
          <w:rFonts w:ascii="Times New Roman" w:hAnsi="Times New Roman" w:cs="Times New Roman"/>
          <w:bCs/>
          <w:sz w:val="24"/>
          <w:szCs w:val="24"/>
        </w:rPr>
        <w:t xml:space="preserve"> do not support an across-the-board increase as </w:t>
      </w:r>
      <w:r w:rsidRPr="002D2B16">
        <w:rPr>
          <w:rFonts w:ascii="Times New Roman" w:hAnsi="Times New Roman" w:cs="Times New Roman"/>
          <w:sz w:val="24"/>
          <w:szCs w:val="24"/>
        </w:rPr>
        <w:t>proposed</w:t>
      </w:r>
      <w:r w:rsidRPr="002D2B16">
        <w:rPr>
          <w:rFonts w:ascii="Times New Roman" w:hAnsi="Times New Roman" w:cs="Times New Roman"/>
          <w:bCs/>
          <w:sz w:val="24"/>
          <w:szCs w:val="24"/>
        </w:rPr>
        <w:t xml:space="preserve"> by GPC.</w:t>
      </w:r>
      <w:r w:rsidRPr="002D2B16">
        <w:rPr>
          <w:rStyle w:val="FootnoteReference"/>
          <w:rFonts w:ascii="Times New Roman" w:hAnsi="Times New Roman" w:cs="Times New Roman"/>
          <w:bCs/>
          <w:sz w:val="24"/>
          <w:szCs w:val="24"/>
        </w:rPr>
        <w:footnoteReference w:id="59"/>
      </w:r>
      <w:r w:rsidRPr="002D2B16">
        <w:rPr>
          <w:rFonts w:ascii="Times New Roman" w:hAnsi="Times New Roman" w:cs="Times New Roman"/>
          <w:bCs/>
          <w:sz w:val="24"/>
          <w:szCs w:val="24"/>
        </w:rPr>
        <w:t xml:space="preserve"> Instead, the results sug</w:t>
      </w:r>
      <w:r w:rsidR="00EB521B" w:rsidRPr="002D2B16">
        <w:rPr>
          <w:rFonts w:ascii="Times New Roman" w:hAnsi="Times New Roman" w:cs="Times New Roman"/>
          <w:bCs/>
          <w:sz w:val="24"/>
          <w:szCs w:val="24"/>
        </w:rPr>
        <w:t>g</w:t>
      </w:r>
      <w:r w:rsidRPr="002D2B16">
        <w:rPr>
          <w:rFonts w:ascii="Times New Roman" w:hAnsi="Times New Roman" w:cs="Times New Roman"/>
          <w:bCs/>
          <w:sz w:val="24"/>
          <w:szCs w:val="24"/>
        </w:rPr>
        <w:t>est that the rate increase to individual rate groups should be somewhat different</w:t>
      </w:r>
      <w:r w:rsidRPr="002D2B16">
        <w:rPr>
          <w:rFonts w:ascii="Times New Roman" w:hAnsi="Times New Roman" w:cs="Times New Roman"/>
          <w:sz w:val="24"/>
          <w:szCs w:val="24"/>
        </w:rPr>
        <w:t xml:space="preserve">, as reflected in Mr. Evans’ </w:t>
      </w:r>
      <w:r w:rsidR="0055391B" w:rsidRPr="002D2B16">
        <w:rPr>
          <w:rFonts w:ascii="Times New Roman" w:hAnsi="Times New Roman" w:cs="Times New Roman"/>
          <w:sz w:val="24"/>
          <w:szCs w:val="24"/>
        </w:rPr>
        <w:t>d</w:t>
      </w:r>
      <w:r w:rsidRPr="002D2B16">
        <w:rPr>
          <w:rFonts w:ascii="Times New Roman" w:hAnsi="Times New Roman" w:cs="Times New Roman"/>
          <w:sz w:val="24"/>
          <w:szCs w:val="24"/>
        </w:rPr>
        <w:t xml:space="preserve">irect </w:t>
      </w:r>
      <w:r w:rsidR="0055391B" w:rsidRPr="002D2B16">
        <w:rPr>
          <w:rFonts w:ascii="Times New Roman" w:hAnsi="Times New Roman" w:cs="Times New Roman"/>
          <w:sz w:val="24"/>
          <w:szCs w:val="24"/>
        </w:rPr>
        <w:t>t</w:t>
      </w:r>
      <w:r w:rsidRPr="002D2B16">
        <w:rPr>
          <w:rFonts w:ascii="Times New Roman" w:hAnsi="Times New Roman" w:cs="Times New Roman"/>
          <w:sz w:val="24"/>
          <w:szCs w:val="24"/>
        </w:rPr>
        <w:t>estimony, and GPC Exhibits 27-3</w:t>
      </w:r>
      <w:r w:rsidR="001F76B3" w:rsidRPr="002D2B16">
        <w:rPr>
          <w:rFonts w:ascii="Times New Roman" w:hAnsi="Times New Roman" w:cs="Times New Roman"/>
          <w:sz w:val="24"/>
          <w:szCs w:val="24"/>
        </w:rPr>
        <w:t>4</w:t>
      </w:r>
      <w:r w:rsidR="00057F25" w:rsidRPr="002D2B16">
        <w:rPr>
          <w:rFonts w:ascii="Times New Roman" w:hAnsi="Times New Roman" w:cs="Times New Roman"/>
          <w:sz w:val="24"/>
          <w:szCs w:val="24"/>
        </w:rPr>
        <w:t xml:space="preserve"> </w:t>
      </w:r>
      <w:r w:rsidRPr="002D2B16">
        <w:rPr>
          <w:rFonts w:ascii="Times New Roman" w:hAnsi="Times New Roman" w:cs="Times New Roman"/>
          <w:sz w:val="24"/>
          <w:szCs w:val="24"/>
        </w:rPr>
        <w:t>(Exhibits LPE-1 through LPE-</w:t>
      </w:r>
      <w:r w:rsidR="001F76B3" w:rsidRPr="002D2B16">
        <w:rPr>
          <w:rFonts w:ascii="Times New Roman" w:hAnsi="Times New Roman" w:cs="Times New Roman"/>
          <w:sz w:val="24"/>
          <w:szCs w:val="24"/>
        </w:rPr>
        <w:t>8</w:t>
      </w:r>
      <w:r w:rsidRPr="002D2B16">
        <w:rPr>
          <w:rFonts w:ascii="Times New Roman" w:hAnsi="Times New Roman" w:cs="Times New Roman"/>
          <w:sz w:val="24"/>
          <w:szCs w:val="24"/>
        </w:rPr>
        <w:t>).</w:t>
      </w:r>
      <w:r w:rsidR="00EB521B" w:rsidRPr="002D2B16">
        <w:rPr>
          <w:rFonts w:ascii="Times New Roman" w:hAnsi="Times New Roman" w:cs="Times New Roman"/>
          <w:sz w:val="24"/>
          <w:szCs w:val="24"/>
        </w:rPr>
        <w:t xml:space="preserve"> </w:t>
      </w:r>
      <w:r w:rsidR="00760C14" w:rsidRPr="002D2B16">
        <w:rPr>
          <w:rFonts w:ascii="Times New Roman" w:hAnsi="Times New Roman" w:cs="Times New Roman"/>
          <w:sz w:val="24"/>
          <w:szCs w:val="24"/>
        </w:rPr>
        <w:t xml:space="preserve">In Messrs. Evans and Legg’s </w:t>
      </w:r>
      <w:r w:rsidR="008901F1" w:rsidRPr="002D2B16">
        <w:rPr>
          <w:rFonts w:ascii="Times New Roman" w:hAnsi="Times New Roman" w:cs="Times New Roman"/>
          <w:sz w:val="24"/>
          <w:szCs w:val="24"/>
        </w:rPr>
        <w:t>r</w:t>
      </w:r>
      <w:r w:rsidR="00760C14" w:rsidRPr="002D2B16">
        <w:rPr>
          <w:rFonts w:ascii="Times New Roman" w:hAnsi="Times New Roman" w:cs="Times New Roman"/>
          <w:sz w:val="24"/>
          <w:szCs w:val="24"/>
        </w:rPr>
        <w:t>ebuttal</w:t>
      </w:r>
      <w:r w:rsidR="008901F1" w:rsidRPr="002D2B16">
        <w:rPr>
          <w:rFonts w:ascii="Times New Roman" w:hAnsi="Times New Roman" w:cs="Times New Roman"/>
          <w:sz w:val="24"/>
          <w:szCs w:val="24"/>
        </w:rPr>
        <w:t xml:space="preserve"> testimony</w:t>
      </w:r>
      <w:r w:rsidR="00760C14" w:rsidRPr="002D2B16">
        <w:rPr>
          <w:rFonts w:ascii="Times New Roman" w:hAnsi="Times New Roman" w:cs="Times New Roman"/>
          <w:sz w:val="24"/>
          <w:szCs w:val="24"/>
        </w:rPr>
        <w:t>, GPC also supports movements toward parity among rate groups.</w:t>
      </w:r>
      <w:r w:rsidR="00760C14" w:rsidRPr="002D2B16">
        <w:rPr>
          <w:rStyle w:val="FootnoteReference"/>
          <w:rFonts w:ascii="Times New Roman" w:hAnsi="Times New Roman" w:cs="Times New Roman"/>
          <w:sz w:val="24"/>
          <w:szCs w:val="24"/>
        </w:rPr>
        <w:footnoteReference w:id="60"/>
      </w:r>
      <w:r w:rsidR="00760C14" w:rsidRPr="002D2B16">
        <w:rPr>
          <w:rFonts w:ascii="Times New Roman" w:hAnsi="Times New Roman" w:cs="Times New Roman"/>
          <w:sz w:val="24"/>
          <w:szCs w:val="24"/>
        </w:rPr>
        <w:t xml:space="preserve"> </w:t>
      </w:r>
      <w:r w:rsidRPr="002D2B16">
        <w:rPr>
          <w:rFonts w:ascii="Times New Roman" w:hAnsi="Times New Roman" w:cs="Times New Roman"/>
          <w:sz w:val="24"/>
          <w:szCs w:val="24"/>
        </w:rPr>
        <w:t>The Commission should order implementation of the rate adjustments based on</w:t>
      </w:r>
      <w:r w:rsidR="00BA1325" w:rsidRPr="002D2B16">
        <w:rPr>
          <w:rFonts w:ascii="Times New Roman" w:hAnsi="Times New Roman" w:cs="Times New Roman"/>
        </w:rPr>
        <w:t xml:space="preserve"> </w:t>
      </w:r>
      <w:r w:rsidRPr="002D2B16">
        <w:rPr>
          <w:rFonts w:ascii="Times New Roman" w:hAnsi="Times New Roman" w:cs="Times New Roman"/>
          <w:sz w:val="24"/>
          <w:szCs w:val="24"/>
        </w:rPr>
        <w:t>the CCOSS sponsored by GPC.</w:t>
      </w:r>
      <w:r w:rsidRPr="002D2B16">
        <w:rPr>
          <w:rStyle w:val="FootnoteReference"/>
          <w:rFonts w:ascii="Times New Roman" w:hAnsi="Times New Roman" w:cs="Times New Roman"/>
          <w:sz w:val="24"/>
          <w:szCs w:val="24"/>
        </w:rPr>
        <w:footnoteReference w:id="61"/>
      </w:r>
      <w:r w:rsidR="00CB07D9" w:rsidRPr="002D2B16">
        <w:rPr>
          <w:rFonts w:ascii="Times New Roman" w:hAnsi="Times New Roman" w:cs="Times New Roman"/>
          <w:sz w:val="24"/>
          <w:szCs w:val="24"/>
        </w:rPr>
        <w:t xml:space="preserve">  </w:t>
      </w:r>
      <w:r w:rsidR="00C02068" w:rsidRPr="002D2B16">
        <w:rPr>
          <w:rFonts w:ascii="Times New Roman" w:hAnsi="Times New Roman" w:cs="Times New Roman"/>
          <w:sz w:val="24"/>
          <w:szCs w:val="24"/>
        </w:rPr>
        <w:t>D</w:t>
      </w:r>
      <w:r w:rsidR="008655C0" w:rsidRPr="002D2B16">
        <w:rPr>
          <w:rFonts w:ascii="Times New Roman" w:hAnsi="Times New Roman" w:cs="Times New Roman"/>
          <w:sz w:val="24"/>
          <w:szCs w:val="24"/>
        </w:rPr>
        <w:t>o</w:t>
      </w:r>
      <w:r w:rsidR="00C02068" w:rsidRPr="002D2B16">
        <w:rPr>
          <w:rFonts w:ascii="Times New Roman" w:hAnsi="Times New Roman" w:cs="Times New Roman"/>
          <w:sz w:val="24"/>
          <w:szCs w:val="24"/>
        </w:rPr>
        <w:t xml:space="preserve">D/FEA supports GAM’s recommendation to use 4-CP in the allocation of production costs, which will align the GPC CCOSS more closely with industry practice.  The BIP method recommended by </w:t>
      </w:r>
      <w:r w:rsidR="00FF7383">
        <w:rPr>
          <w:rFonts w:ascii="Times New Roman" w:hAnsi="Times New Roman" w:cs="Times New Roman"/>
          <w:sz w:val="24"/>
          <w:szCs w:val="24"/>
        </w:rPr>
        <w:t>PIA</w:t>
      </w:r>
      <w:r w:rsidR="00FF7383" w:rsidRPr="002D2B16">
        <w:rPr>
          <w:rFonts w:ascii="Times New Roman" w:hAnsi="Times New Roman" w:cs="Times New Roman"/>
          <w:sz w:val="24"/>
          <w:szCs w:val="24"/>
        </w:rPr>
        <w:t xml:space="preserve"> </w:t>
      </w:r>
      <w:r w:rsidR="00C02068" w:rsidRPr="002D2B16">
        <w:rPr>
          <w:rFonts w:ascii="Times New Roman" w:hAnsi="Times New Roman" w:cs="Times New Roman"/>
          <w:sz w:val="24"/>
          <w:szCs w:val="24"/>
        </w:rPr>
        <w:t>Staff should be rejected</w:t>
      </w:r>
      <w:r w:rsidR="00D62142" w:rsidRPr="002D2B16">
        <w:rPr>
          <w:rFonts w:ascii="Times New Roman" w:hAnsi="Times New Roman" w:cs="Times New Roman"/>
          <w:sz w:val="24"/>
          <w:szCs w:val="24"/>
        </w:rPr>
        <w:t>,</w:t>
      </w:r>
      <w:r w:rsidR="00C02068" w:rsidRPr="002D2B16">
        <w:rPr>
          <w:rFonts w:ascii="Times New Roman" w:hAnsi="Times New Roman" w:cs="Times New Roman"/>
          <w:sz w:val="24"/>
          <w:szCs w:val="24"/>
        </w:rPr>
        <w:t xml:space="preserve"> as it is flawed and not widely accepted. Furthermore, the BIP method would require a change in model construction</w:t>
      </w:r>
      <w:r w:rsidR="00D62142" w:rsidRPr="002D2B16">
        <w:rPr>
          <w:rFonts w:ascii="Times New Roman" w:hAnsi="Times New Roman" w:cs="Times New Roman"/>
          <w:sz w:val="24"/>
          <w:szCs w:val="24"/>
        </w:rPr>
        <w:t>,</w:t>
      </w:r>
      <w:r w:rsidR="00C02068" w:rsidRPr="002D2B16">
        <w:rPr>
          <w:rFonts w:ascii="Times New Roman" w:hAnsi="Times New Roman" w:cs="Times New Roman"/>
          <w:sz w:val="24"/>
          <w:szCs w:val="24"/>
        </w:rPr>
        <w:t xml:space="preserve"> bringing additional rate case expenditure incurred by GPC and other parties.</w:t>
      </w:r>
    </w:p>
    <w:p w14:paraId="07F59422" w14:textId="6346D290" w:rsidR="00135267" w:rsidRPr="002D2B16" w:rsidRDefault="00135267" w:rsidP="00135267">
      <w:pPr>
        <w:spacing w:after="0" w:line="480" w:lineRule="auto"/>
        <w:jc w:val="center"/>
        <w:rPr>
          <w:rFonts w:ascii="Times New Roman" w:hAnsi="Times New Roman" w:cs="Times New Roman"/>
          <w:b/>
          <w:sz w:val="24"/>
          <w:szCs w:val="24"/>
        </w:rPr>
      </w:pPr>
      <w:r w:rsidRPr="002D2B16">
        <w:rPr>
          <w:rFonts w:ascii="Times New Roman" w:hAnsi="Times New Roman" w:cs="Times New Roman"/>
          <w:b/>
          <w:sz w:val="24"/>
          <w:szCs w:val="24"/>
        </w:rPr>
        <w:lastRenderedPageBreak/>
        <w:t>INCLUSION OF MFR SCHEDULES FOR THE NEXT RATE CASE THAT MATCH THE ACTUAL REVENUE PROPOSED BY GPC FOR THE ARP</w:t>
      </w:r>
    </w:p>
    <w:p w14:paraId="00C3B9C4" w14:textId="456A7266" w:rsidR="00135267" w:rsidRDefault="00936496" w:rsidP="00BA1325">
      <w:pPr>
        <w:spacing w:after="240" w:line="48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In this case</w:t>
      </w:r>
      <w:r w:rsidR="00D85862" w:rsidRPr="002D2B16">
        <w:rPr>
          <w:rFonts w:ascii="Times New Roman" w:hAnsi="Times New Roman" w:cs="Times New Roman"/>
          <w:sz w:val="24"/>
          <w:szCs w:val="24"/>
        </w:rPr>
        <w:t>,</w:t>
      </w:r>
      <w:r w:rsidRPr="002D2B16">
        <w:rPr>
          <w:rFonts w:ascii="Times New Roman" w:hAnsi="Times New Roman" w:cs="Times New Roman"/>
          <w:sz w:val="24"/>
          <w:szCs w:val="24"/>
        </w:rPr>
        <w:t xml:space="preserve"> GPC was only required to file MFR schedules corresponding to the </w:t>
      </w:r>
      <w:r w:rsidR="00B14E21" w:rsidRPr="002D2B16">
        <w:rPr>
          <w:rFonts w:ascii="Times New Roman" w:hAnsi="Times New Roman" w:cs="Times New Roman"/>
          <w:sz w:val="24"/>
          <w:szCs w:val="24"/>
        </w:rPr>
        <w:t>first-year</w:t>
      </w:r>
      <w:r w:rsidRPr="002D2B16">
        <w:rPr>
          <w:rFonts w:ascii="Times New Roman" w:hAnsi="Times New Roman" w:cs="Times New Roman"/>
          <w:sz w:val="24"/>
          <w:szCs w:val="24"/>
        </w:rPr>
        <w:t xml:space="preserve"> </w:t>
      </w:r>
      <w:r w:rsidR="0095380B" w:rsidRPr="002D2B16">
        <w:rPr>
          <w:rFonts w:ascii="Times New Roman" w:hAnsi="Times New Roman" w:cs="Times New Roman"/>
          <w:sz w:val="24"/>
          <w:szCs w:val="24"/>
        </w:rPr>
        <w:t xml:space="preserve">adjustment </w:t>
      </w:r>
      <w:r w:rsidRPr="002D2B16">
        <w:rPr>
          <w:rFonts w:ascii="Times New Roman" w:hAnsi="Times New Roman" w:cs="Times New Roman"/>
          <w:sz w:val="24"/>
          <w:szCs w:val="24"/>
        </w:rPr>
        <w:t>of the three</w:t>
      </w:r>
      <w:r w:rsidR="0095380B" w:rsidRPr="002D2B16">
        <w:rPr>
          <w:rFonts w:ascii="Times New Roman" w:hAnsi="Times New Roman" w:cs="Times New Roman"/>
          <w:sz w:val="24"/>
          <w:szCs w:val="24"/>
        </w:rPr>
        <w:t>-</w:t>
      </w:r>
      <w:r w:rsidRPr="002D2B16">
        <w:rPr>
          <w:rFonts w:ascii="Times New Roman" w:hAnsi="Times New Roman" w:cs="Times New Roman"/>
          <w:sz w:val="24"/>
          <w:szCs w:val="24"/>
        </w:rPr>
        <w:t>year ARP.</w:t>
      </w:r>
      <w:r w:rsidR="0095380B" w:rsidRPr="002D2B16">
        <w:rPr>
          <w:rFonts w:ascii="Times New Roman" w:hAnsi="Times New Roman" w:cs="Times New Roman"/>
          <w:sz w:val="24"/>
          <w:szCs w:val="24"/>
        </w:rPr>
        <w:t xml:space="preserve"> GPC has proposed a levelized first-year adjustment to base rates to avoid the need for base rate adjustments in years two and three.</w:t>
      </w:r>
      <w:r w:rsidR="00BA1325" w:rsidRPr="002D2B16">
        <w:rPr>
          <w:rFonts w:ascii="Times New Roman" w:hAnsi="Times New Roman" w:cs="Times New Roman"/>
          <w:sz w:val="24"/>
          <w:szCs w:val="24"/>
        </w:rPr>
        <w:t xml:space="preserve"> </w:t>
      </w:r>
      <w:r w:rsidR="0095380B" w:rsidRPr="002D2B16">
        <w:rPr>
          <w:rFonts w:ascii="Times New Roman" w:hAnsi="Times New Roman" w:cs="Times New Roman"/>
          <w:sz w:val="24"/>
          <w:szCs w:val="24"/>
        </w:rPr>
        <w:t>However, there are no corresponding MFR schedules for the proposed, levelized first</w:t>
      </w:r>
      <w:r w:rsidR="000C7853" w:rsidRPr="002D2B16">
        <w:rPr>
          <w:rFonts w:ascii="Times New Roman" w:hAnsi="Times New Roman" w:cs="Times New Roman"/>
          <w:sz w:val="24"/>
          <w:szCs w:val="24"/>
        </w:rPr>
        <w:t>-</w:t>
      </w:r>
      <w:r w:rsidR="0095380B" w:rsidRPr="002D2B16">
        <w:rPr>
          <w:rFonts w:ascii="Times New Roman" w:hAnsi="Times New Roman" w:cs="Times New Roman"/>
          <w:sz w:val="24"/>
          <w:szCs w:val="24"/>
        </w:rPr>
        <w:t xml:space="preserve">year rates. </w:t>
      </w:r>
      <w:r w:rsidR="006D0355">
        <w:rPr>
          <w:rFonts w:ascii="Times New Roman" w:hAnsi="Times New Roman" w:cs="Times New Roman"/>
          <w:sz w:val="24"/>
          <w:szCs w:val="24"/>
        </w:rPr>
        <w:t xml:space="preserve">In other words, GPC provided MFRs for the first-year test year only, but not their proposed levelized three-year test year.  </w:t>
      </w:r>
      <w:r w:rsidR="005734DF" w:rsidRPr="002D2B16">
        <w:rPr>
          <w:rFonts w:ascii="Times New Roman" w:hAnsi="Times New Roman" w:cs="Times New Roman"/>
          <w:sz w:val="24"/>
          <w:szCs w:val="24"/>
        </w:rPr>
        <w:t xml:space="preserve">To enhance transparency as to what the rates would be under GPC’s </w:t>
      </w:r>
      <w:r w:rsidR="007A07E8" w:rsidRPr="002D2B16">
        <w:rPr>
          <w:rFonts w:ascii="Times New Roman" w:hAnsi="Times New Roman" w:cs="Times New Roman"/>
          <w:sz w:val="24"/>
          <w:szCs w:val="24"/>
        </w:rPr>
        <w:t>proposal and those rates the Commission is</w:t>
      </w:r>
      <w:r w:rsidR="00594765" w:rsidRPr="002D2B16">
        <w:rPr>
          <w:rFonts w:ascii="Times New Roman" w:hAnsi="Times New Roman" w:cs="Times New Roman"/>
          <w:sz w:val="24"/>
          <w:szCs w:val="24"/>
        </w:rPr>
        <w:t xml:space="preserve"> being</w:t>
      </w:r>
      <w:r w:rsidR="007A07E8" w:rsidRPr="002D2B16">
        <w:rPr>
          <w:rFonts w:ascii="Times New Roman" w:hAnsi="Times New Roman" w:cs="Times New Roman"/>
          <w:sz w:val="24"/>
          <w:szCs w:val="24"/>
        </w:rPr>
        <w:t xml:space="preserve"> asked to approve, D</w:t>
      </w:r>
      <w:r w:rsidR="008655C0" w:rsidRPr="002D2B16">
        <w:rPr>
          <w:rFonts w:ascii="Times New Roman" w:hAnsi="Times New Roman" w:cs="Times New Roman"/>
          <w:sz w:val="24"/>
          <w:szCs w:val="24"/>
        </w:rPr>
        <w:t>o</w:t>
      </w:r>
      <w:r w:rsidR="007A07E8" w:rsidRPr="002D2B16">
        <w:rPr>
          <w:rFonts w:ascii="Times New Roman" w:hAnsi="Times New Roman" w:cs="Times New Roman"/>
          <w:sz w:val="24"/>
          <w:szCs w:val="24"/>
        </w:rPr>
        <w:t>D/FEA has requested</w:t>
      </w:r>
      <w:r w:rsidR="009A20B7">
        <w:rPr>
          <w:rFonts w:ascii="Times New Roman" w:hAnsi="Times New Roman" w:cs="Times New Roman"/>
          <w:sz w:val="24"/>
          <w:szCs w:val="24"/>
        </w:rPr>
        <w:t xml:space="preserve"> that</w:t>
      </w:r>
      <w:r w:rsidR="007A07E8" w:rsidRPr="002D2B16">
        <w:rPr>
          <w:rFonts w:ascii="Times New Roman" w:hAnsi="Times New Roman" w:cs="Times New Roman"/>
          <w:sz w:val="24"/>
          <w:szCs w:val="24"/>
        </w:rPr>
        <w:t xml:space="preserve"> the Commission order the Company to file schedules</w:t>
      </w:r>
      <w:r w:rsidR="009A20B7">
        <w:rPr>
          <w:rFonts w:ascii="Times New Roman" w:hAnsi="Times New Roman" w:cs="Times New Roman"/>
          <w:sz w:val="24"/>
          <w:szCs w:val="24"/>
        </w:rPr>
        <w:t>, similar to the MFR,</w:t>
      </w:r>
      <w:r w:rsidR="007A07E8" w:rsidRPr="002D2B16">
        <w:rPr>
          <w:rFonts w:ascii="Times New Roman" w:hAnsi="Times New Roman" w:cs="Times New Roman"/>
          <w:sz w:val="24"/>
          <w:szCs w:val="24"/>
        </w:rPr>
        <w:t xml:space="preserve"> in its next rate case that correspond to the rates GPC </w:t>
      </w:r>
      <w:r w:rsidR="009A20B7">
        <w:rPr>
          <w:rFonts w:ascii="Times New Roman" w:hAnsi="Times New Roman" w:cs="Times New Roman"/>
          <w:sz w:val="24"/>
          <w:szCs w:val="24"/>
        </w:rPr>
        <w:t>is</w:t>
      </w:r>
      <w:r w:rsidR="007A07E8" w:rsidRPr="002D2B16">
        <w:rPr>
          <w:rFonts w:ascii="Times New Roman" w:hAnsi="Times New Roman" w:cs="Times New Roman"/>
          <w:sz w:val="24"/>
          <w:szCs w:val="24"/>
        </w:rPr>
        <w:t xml:space="preserve"> actually proposing.</w:t>
      </w:r>
      <w:r w:rsidR="00594765" w:rsidRPr="002D2B16">
        <w:rPr>
          <w:rStyle w:val="FootnoteReference"/>
          <w:rFonts w:ascii="Times New Roman" w:hAnsi="Times New Roman" w:cs="Times New Roman"/>
          <w:sz w:val="24"/>
          <w:szCs w:val="24"/>
        </w:rPr>
        <w:footnoteReference w:id="62"/>
      </w:r>
      <w:r w:rsidR="0095380B" w:rsidRPr="002D2B16">
        <w:rPr>
          <w:rFonts w:ascii="Times New Roman" w:hAnsi="Times New Roman" w:cs="Times New Roman"/>
          <w:sz w:val="24"/>
          <w:szCs w:val="24"/>
        </w:rPr>
        <w:t xml:space="preserve"> </w:t>
      </w:r>
    </w:p>
    <w:p w14:paraId="6C105941" w14:textId="4DE823B7" w:rsidR="00F0644B" w:rsidRPr="00F0644B" w:rsidRDefault="00F0644B" w:rsidP="00F0644B">
      <w:pPr>
        <w:spacing w:after="240"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79BB7388" w14:textId="37C80C30" w:rsidR="002D391A" w:rsidRPr="002D2B16" w:rsidRDefault="00F0644B" w:rsidP="00F0644B">
      <w:pPr>
        <w:spacing w:after="0" w:line="480" w:lineRule="auto"/>
        <w:rPr>
          <w:rFonts w:ascii="Times New Roman" w:hAnsi="Times New Roman" w:cs="Times New Roman"/>
          <w:sz w:val="24"/>
          <w:szCs w:val="24"/>
        </w:rPr>
      </w:pPr>
      <w:r>
        <w:rPr>
          <w:rFonts w:ascii="Times New Roman" w:hAnsi="Times New Roman" w:cs="Times New Roman"/>
          <w:sz w:val="24"/>
          <w:szCs w:val="24"/>
        </w:rPr>
        <w:tab/>
        <w:t>As set forth in this brief, the Commission should order: (</w:t>
      </w:r>
      <w:r w:rsidRPr="00F0644B">
        <w:rPr>
          <w:rFonts w:ascii="Times New Roman" w:hAnsi="Times New Roman" w:cs="Times New Roman"/>
          <w:sz w:val="24"/>
          <w:szCs w:val="24"/>
        </w:rPr>
        <w:t>1</w:t>
      </w:r>
      <w:r>
        <w:rPr>
          <w:rFonts w:ascii="Times New Roman" w:hAnsi="Times New Roman" w:cs="Times New Roman"/>
          <w:sz w:val="24"/>
          <w:szCs w:val="24"/>
        </w:rPr>
        <w:t>)</w:t>
      </w:r>
      <w:r w:rsidRPr="00F0644B">
        <w:rPr>
          <w:rFonts w:ascii="Times New Roman" w:hAnsi="Times New Roman" w:cs="Times New Roman"/>
          <w:sz w:val="24"/>
          <w:szCs w:val="24"/>
        </w:rPr>
        <w:tab/>
      </w:r>
      <w:r w:rsidR="00847230">
        <w:rPr>
          <w:rFonts w:ascii="Times New Roman" w:hAnsi="Times New Roman" w:cs="Times New Roman"/>
          <w:sz w:val="24"/>
          <w:szCs w:val="24"/>
        </w:rPr>
        <w:t>a</w:t>
      </w:r>
      <w:r w:rsidRPr="00F0644B">
        <w:rPr>
          <w:rFonts w:ascii="Times New Roman" w:hAnsi="Times New Roman" w:cs="Times New Roman"/>
          <w:sz w:val="24"/>
          <w:szCs w:val="24"/>
        </w:rPr>
        <w:t xml:space="preserve"> revision to GPC’s</w:t>
      </w:r>
      <w:r w:rsidR="00B61FF7">
        <w:rPr>
          <w:rFonts w:ascii="Times New Roman" w:hAnsi="Times New Roman" w:cs="Times New Roman"/>
          <w:sz w:val="24"/>
          <w:szCs w:val="24"/>
        </w:rPr>
        <w:t xml:space="preserve"> </w:t>
      </w:r>
      <w:r w:rsidRPr="00F0644B">
        <w:rPr>
          <w:rFonts w:ascii="Times New Roman" w:hAnsi="Times New Roman" w:cs="Times New Roman"/>
          <w:sz w:val="24"/>
          <w:szCs w:val="24"/>
        </w:rPr>
        <w:t xml:space="preserve">RTP tariff schedules to allow for CBL reductions based on two years of historical load data; </w:t>
      </w:r>
      <w:r>
        <w:rPr>
          <w:rFonts w:ascii="Times New Roman" w:hAnsi="Times New Roman" w:cs="Times New Roman"/>
          <w:sz w:val="24"/>
          <w:szCs w:val="24"/>
        </w:rPr>
        <w:t>(2)</w:t>
      </w:r>
      <w:r w:rsidRPr="00F0644B">
        <w:rPr>
          <w:rFonts w:ascii="Times New Roman" w:hAnsi="Times New Roman" w:cs="Times New Roman"/>
          <w:sz w:val="24"/>
          <w:szCs w:val="24"/>
        </w:rPr>
        <w:t xml:space="preserve"> </w:t>
      </w:r>
      <w:r w:rsidR="00847230">
        <w:rPr>
          <w:rFonts w:ascii="Times New Roman" w:hAnsi="Times New Roman" w:cs="Times New Roman"/>
          <w:sz w:val="24"/>
          <w:szCs w:val="24"/>
        </w:rPr>
        <w:t>a</w:t>
      </w:r>
      <w:r w:rsidRPr="00F0644B">
        <w:rPr>
          <w:rFonts w:ascii="Times New Roman" w:hAnsi="Times New Roman" w:cs="Times New Roman"/>
          <w:sz w:val="24"/>
          <w:szCs w:val="24"/>
        </w:rPr>
        <w:t xml:space="preserve"> revision to GPC’s RTP tariff schedules to allow CBL reductions for customer-sited generation capacity when that customer firms up its electric service by paying for GPC’s BU service. This also requires changes to the BU tariff to allow RTP customers to subscribe to and pay for BU; </w:t>
      </w:r>
      <w:r>
        <w:rPr>
          <w:rFonts w:ascii="Times New Roman" w:hAnsi="Times New Roman" w:cs="Times New Roman"/>
          <w:sz w:val="24"/>
          <w:szCs w:val="24"/>
        </w:rPr>
        <w:t>(3) continuance of</w:t>
      </w:r>
      <w:r w:rsidRPr="00F0644B">
        <w:rPr>
          <w:rFonts w:ascii="Times New Roman" w:hAnsi="Times New Roman" w:cs="Times New Roman"/>
          <w:sz w:val="24"/>
          <w:szCs w:val="24"/>
        </w:rPr>
        <w:t xml:space="preserve"> the current and longstanding collection methodology for the ECCR schedule as a percentage of base bill calculations, and excluding RTP incremental usage revenue;</w:t>
      </w:r>
      <w:r>
        <w:rPr>
          <w:rFonts w:ascii="Times New Roman" w:hAnsi="Times New Roman" w:cs="Times New Roman"/>
          <w:sz w:val="24"/>
          <w:szCs w:val="24"/>
        </w:rPr>
        <w:t xml:space="preserve"> (4) </w:t>
      </w:r>
      <w:r w:rsidR="00847230">
        <w:rPr>
          <w:rFonts w:ascii="Times New Roman" w:hAnsi="Times New Roman" w:cs="Times New Roman"/>
          <w:sz w:val="24"/>
          <w:szCs w:val="24"/>
        </w:rPr>
        <w:t>a</w:t>
      </w:r>
      <w:r w:rsidRPr="00F0644B">
        <w:rPr>
          <w:rFonts w:ascii="Times New Roman" w:hAnsi="Times New Roman" w:cs="Times New Roman"/>
          <w:sz w:val="24"/>
          <w:szCs w:val="24"/>
        </w:rPr>
        <w:t xml:space="preserve">n authorized ROE of 9.47%; </w:t>
      </w:r>
      <w:r>
        <w:rPr>
          <w:rFonts w:ascii="Times New Roman" w:hAnsi="Times New Roman" w:cs="Times New Roman"/>
          <w:sz w:val="24"/>
          <w:szCs w:val="24"/>
        </w:rPr>
        <w:t xml:space="preserve">(5) </w:t>
      </w:r>
      <w:r w:rsidRPr="00F0644B">
        <w:rPr>
          <w:rFonts w:ascii="Times New Roman" w:hAnsi="Times New Roman" w:cs="Times New Roman"/>
          <w:sz w:val="24"/>
          <w:szCs w:val="24"/>
        </w:rPr>
        <w:t xml:space="preserve">the earnings band around the target ROE to be established at 100 basis points, as originally designed when the ARP was first approved, and eliminate or reduce </w:t>
      </w:r>
      <w:r w:rsidRPr="00F0644B">
        <w:rPr>
          <w:rFonts w:ascii="Times New Roman" w:hAnsi="Times New Roman" w:cs="Times New Roman"/>
          <w:sz w:val="24"/>
          <w:szCs w:val="24"/>
        </w:rPr>
        <w:lastRenderedPageBreak/>
        <w:t xml:space="preserve">the 20% of earnings retained by GPC for amounts above the earnings ROE band; </w:t>
      </w:r>
      <w:r>
        <w:rPr>
          <w:rFonts w:ascii="Times New Roman" w:hAnsi="Times New Roman" w:cs="Times New Roman"/>
          <w:sz w:val="24"/>
          <w:szCs w:val="24"/>
        </w:rPr>
        <w:t xml:space="preserve">(6) </w:t>
      </w:r>
      <w:r w:rsidR="00847230">
        <w:rPr>
          <w:rFonts w:ascii="Times New Roman" w:hAnsi="Times New Roman" w:cs="Times New Roman"/>
          <w:sz w:val="24"/>
          <w:szCs w:val="24"/>
        </w:rPr>
        <w:t>m</w:t>
      </w:r>
      <w:r w:rsidRPr="00F0644B">
        <w:rPr>
          <w:rFonts w:ascii="Times New Roman" w:hAnsi="Times New Roman" w:cs="Times New Roman"/>
          <w:sz w:val="24"/>
          <w:szCs w:val="24"/>
        </w:rPr>
        <w:t xml:space="preserve">ovement toward cost-based rates rather that applying an across-the-board rate increase to all rate classes using guidance from GPC’s filed CCOSS, using the 4-CP allocation for production costs; </w:t>
      </w:r>
      <w:r w:rsidR="00B61FF7">
        <w:rPr>
          <w:rFonts w:ascii="Times New Roman" w:hAnsi="Times New Roman" w:cs="Times New Roman"/>
          <w:sz w:val="24"/>
          <w:szCs w:val="24"/>
        </w:rPr>
        <w:t xml:space="preserve">and </w:t>
      </w:r>
      <w:r>
        <w:rPr>
          <w:rFonts w:ascii="Times New Roman" w:hAnsi="Times New Roman" w:cs="Times New Roman"/>
          <w:sz w:val="24"/>
          <w:szCs w:val="24"/>
        </w:rPr>
        <w:t>(</w:t>
      </w:r>
      <w:r w:rsidR="00847230">
        <w:rPr>
          <w:rFonts w:ascii="Times New Roman" w:hAnsi="Times New Roman" w:cs="Times New Roman"/>
          <w:sz w:val="24"/>
          <w:szCs w:val="24"/>
        </w:rPr>
        <w:t>7</w:t>
      </w:r>
      <w:r>
        <w:rPr>
          <w:rFonts w:ascii="Times New Roman" w:hAnsi="Times New Roman" w:cs="Times New Roman"/>
          <w:sz w:val="24"/>
          <w:szCs w:val="24"/>
        </w:rPr>
        <w:t xml:space="preserve">) </w:t>
      </w:r>
      <w:r w:rsidR="00847230">
        <w:rPr>
          <w:rFonts w:ascii="Times New Roman" w:hAnsi="Times New Roman" w:cs="Times New Roman"/>
          <w:sz w:val="24"/>
          <w:szCs w:val="24"/>
        </w:rPr>
        <w:t>i</w:t>
      </w:r>
      <w:r w:rsidRPr="00F0644B">
        <w:rPr>
          <w:rFonts w:ascii="Times New Roman" w:hAnsi="Times New Roman" w:cs="Times New Roman"/>
          <w:sz w:val="24"/>
          <w:szCs w:val="24"/>
        </w:rPr>
        <w:t>nclusion of schedules, similar to the MFR schedules, for the next rate case that match the actual revenue</w:t>
      </w:r>
      <w:r w:rsidR="00100A8F">
        <w:rPr>
          <w:rFonts w:ascii="Times New Roman" w:hAnsi="Times New Roman" w:cs="Times New Roman"/>
          <w:sz w:val="24"/>
          <w:szCs w:val="24"/>
        </w:rPr>
        <w:t>s</w:t>
      </w:r>
      <w:r w:rsidRPr="00F0644B">
        <w:rPr>
          <w:rFonts w:ascii="Times New Roman" w:hAnsi="Times New Roman" w:cs="Times New Roman"/>
          <w:sz w:val="24"/>
          <w:szCs w:val="24"/>
        </w:rPr>
        <w:t xml:space="preserve"> proposed by GPC for the first, second, and third years of the Company’s three-year ARP so that these schedules better match the increases requested by the Company under the ARP. </w:t>
      </w:r>
    </w:p>
    <w:p w14:paraId="7518F684" w14:textId="7E861AB4" w:rsidR="002D391A" w:rsidRPr="002D2B16" w:rsidRDefault="002D391A" w:rsidP="00856833">
      <w:pPr>
        <w:keepNext/>
        <w:keepLines/>
        <w:spacing w:after="0" w:line="480" w:lineRule="auto"/>
        <w:ind w:left="4320" w:firstLine="720"/>
        <w:jc w:val="both"/>
        <w:rPr>
          <w:rFonts w:ascii="Times New Roman" w:hAnsi="Times New Roman" w:cs="Times New Roman"/>
          <w:sz w:val="24"/>
          <w:szCs w:val="24"/>
        </w:rPr>
      </w:pPr>
      <w:r w:rsidRPr="002D2B16">
        <w:rPr>
          <w:rFonts w:ascii="Times New Roman" w:hAnsi="Times New Roman" w:cs="Times New Roman"/>
          <w:sz w:val="24"/>
          <w:szCs w:val="24"/>
        </w:rPr>
        <w:t>Respectfully submitted,</w:t>
      </w:r>
    </w:p>
    <w:p w14:paraId="59B626AE" w14:textId="494D405B" w:rsidR="002D391A" w:rsidRPr="002D2B16" w:rsidRDefault="00E911C7" w:rsidP="00E911C7">
      <w:pPr>
        <w:keepNext/>
        <w:keepLines/>
        <w:tabs>
          <w:tab w:val="left" w:pos="50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33AAB0FC" wp14:editId="68CD4018">
            <wp:extent cx="2114550" cy="390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343300" cy="432540"/>
                    </a:xfrm>
                    <a:prstGeom prst="rect">
                      <a:avLst/>
                    </a:prstGeom>
                  </pic:spPr>
                </pic:pic>
              </a:graphicData>
            </a:graphic>
          </wp:inline>
        </w:drawing>
      </w:r>
    </w:p>
    <w:p w14:paraId="3BF6BD73" w14:textId="77777777" w:rsidR="002D391A" w:rsidRPr="002D2B16" w:rsidRDefault="002D391A" w:rsidP="00E911C7">
      <w:pPr>
        <w:keepNext/>
        <w:keepLines/>
        <w:spacing w:after="0" w:line="24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t>_____________________________</w:t>
      </w:r>
    </w:p>
    <w:p w14:paraId="03CEAF43" w14:textId="77777777" w:rsidR="002D391A" w:rsidRPr="002D2B16" w:rsidRDefault="002D391A" w:rsidP="002D391A">
      <w:pPr>
        <w:keepNext/>
        <w:keepLines/>
        <w:spacing w:after="0" w:line="240" w:lineRule="auto"/>
        <w:ind w:firstLine="720"/>
        <w:jc w:val="both"/>
        <w:rPr>
          <w:rFonts w:ascii="Times New Roman" w:hAnsi="Times New Roman" w:cs="Times New Roman"/>
          <w:sz w:val="24"/>
          <w:szCs w:val="24"/>
        </w:rPr>
      </w:pP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t>Emily W. Medlyn</w:t>
      </w:r>
    </w:p>
    <w:p w14:paraId="2B263F95" w14:textId="77777777" w:rsidR="002D391A" w:rsidRPr="002D2B16" w:rsidRDefault="002D391A" w:rsidP="002D391A">
      <w:pPr>
        <w:keepNext/>
        <w:keepLines/>
        <w:spacing w:after="0" w:line="240" w:lineRule="auto"/>
        <w:ind w:left="4320" w:firstLine="720"/>
        <w:jc w:val="both"/>
        <w:rPr>
          <w:rFonts w:ascii="Times New Roman" w:hAnsi="Times New Roman" w:cs="Times New Roman"/>
          <w:sz w:val="24"/>
          <w:szCs w:val="24"/>
        </w:rPr>
      </w:pPr>
      <w:r w:rsidRPr="002D2B16">
        <w:rPr>
          <w:rFonts w:ascii="Times New Roman" w:hAnsi="Times New Roman" w:cs="Times New Roman"/>
          <w:sz w:val="24"/>
          <w:szCs w:val="24"/>
        </w:rPr>
        <w:t>General Attorney</w:t>
      </w:r>
    </w:p>
    <w:p w14:paraId="75621157" w14:textId="77777777" w:rsidR="002D391A" w:rsidRPr="002D2B16" w:rsidRDefault="002D391A" w:rsidP="002D391A">
      <w:pPr>
        <w:spacing w:after="0" w:line="240" w:lineRule="auto"/>
        <w:ind w:left="4320" w:firstLine="720"/>
        <w:jc w:val="both"/>
        <w:rPr>
          <w:rFonts w:ascii="Times New Roman" w:hAnsi="Times New Roman" w:cs="Times New Roman"/>
          <w:sz w:val="24"/>
          <w:szCs w:val="24"/>
        </w:rPr>
      </w:pPr>
      <w:r w:rsidRPr="002D2B16">
        <w:rPr>
          <w:rFonts w:ascii="Times New Roman" w:hAnsi="Times New Roman" w:cs="Times New Roman"/>
          <w:sz w:val="24"/>
          <w:szCs w:val="24"/>
        </w:rPr>
        <w:t>U.S. Army Legal Services Agency</w:t>
      </w:r>
    </w:p>
    <w:p w14:paraId="4E402B1E" w14:textId="09C227D0" w:rsidR="002D391A" w:rsidRPr="002D2B16" w:rsidRDefault="000701DF" w:rsidP="002D391A">
      <w:pPr>
        <w:spacing w:after="0" w:line="240" w:lineRule="auto"/>
        <w:ind w:left="4320" w:firstLine="720"/>
        <w:jc w:val="both"/>
        <w:rPr>
          <w:rFonts w:ascii="Times New Roman" w:hAnsi="Times New Roman" w:cs="Times New Roman"/>
          <w:sz w:val="24"/>
          <w:szCs w:val="24"/>
        </w:rPr>
      </w:pPr>
      <w:r w:rsidRPr="002D2B16">
        <w:rPr>
          <w:rFonts w:ascii="Times New Roman" w:hAnsi="Times New Roman" w:cs="Times New Roman"/>
          <w:sz w:val="24"/>
          <w:szCs w:val="24"/>
        </w:rPr>
        <w:t>ELD Division</w:t>
      </w:r>
      <w:r w:rsidR="002D391A" w:rsidRPr="002D2B16">
        <w:rPr>
          <w:rFonts w:ascii="Times New Roman" w:hAnsi="Times New Roman" w:cs="Times New Roman"/>
          <w:sz w:val="24"/>
          <w:szCs w:val="24"/>
        </w:rPr>
        <w:t xml:space="preserve"> (JALS-</w:t>
      </w:r>
      <w:r w:rsidRPr="002D2B16">
        <w:rPr>
          <w:rFonts w:ascii="Times New Roman" w:hAnsi="Times New Roman" w:cs="Times New Roman"/>
          <w:sz w:val="24"/>
          <w:szCs w:val="24"/>
        </w:rPr>
        <w:t>ELD</w:t>
      </w:r>
      <w:r w:rsidR="002D391A" w:rsidRPr="002D2B16">
        <w:rPr>
          <w:rFonts w:ascii="Times New Roman" w:hAnsi="Times New Roman" w:cs="Times New Roman"/>
          <w:sz w:val="24"/>
          <w:szCs w:val="24"/>
        </w:rPr>
        <w:t>)</w:t>
      </w:r>
    </w:p>
    <w:p w14:paraId="0EC30920" w14:textId="77777777" w:rsidR="002D391A" w:rsidRPr="002D2B16" w:rsidRDefault="002D391A" w:rsidP="002D391A">
      <w:pPr>
        <w:spacing w:after="0" w:line="240" w:lineRule="auto"/>
        <w:ind w:left="4320" w:firstLine="720"/>
        <w:jc w:val="both"/>
        <w:rPr>
          <w:rFonts w:ascii="Times New Roman" w:hAnsi="Times New Roman" w:cs="Times New Roman"/>
          <w:sz w:val="24"/>
          <w:szCs w:val="24"/>
        </w:rPr>
      </w:pPr>
      <w:r w:rsidRPr="002D2B16">
        <w:rPr>
          <w:rFonts w:ascii="Times New Roman" w:hAnsi="Times New Roman" w:cs="Times New Roman"/>
          <w:sz w:val="24"/>
          <w:szCs w:val="24"/>
        </w:rPr>
        <w:t>9275 Gunston Road</w:t>
      </w:r>
    </w:p>
    <w:p w14:paraId="6B41C153" w14:textId="7E3B7854" w:rsidR="002D391A" w:rsidRPr="002D2B16" w:rsidRDefault="002D391A" w:rsidP="002D391A">
      <w:pPr>
        <w:spacing w:after="0" w:line="240" w:lineRule="auto"/>
        <w:ind w:left="4320" w:firstLine="720"/>
        <w:jc w:val="both"/>
        <w:rPr>
          <w:rFonts w:ascii="Times New Roman" w:hAnsi="Times New Roman" w:cs="Times New Roman"/>
          <w:sz w:val="24"/>
          <w:szCs w:val="24"/>
        </w:rPr>
      </w:pPr>
      <w:r w:rsidRPr="002D2B16">
        <w:rPr>
          <w:rFonts w:ascii="Times New Roman" w:hAnsi="Times New Roman" w:cs="Times New Roman"/>
          <w:sz w:val="24"/>
          <w:szCs w:val="24"/>
        </w:rPr>
        <w:t>Fort Belvoir, Virginia</w:t>
      </w:r>
      <w:r w:rsidR="007F6C27" w:rsidRPr="002D2B16">
        <w:rPr>
          <w:rFonts w:ascii="Times New Roman" w:hAnsi="Times New Roman" w:cs="Times New Roman"/>
          <w:sz w:val="24"/>
          <w:szCs w:val="24"/>
        </w:rPr>
        <w:t xml:space="preserve"> </w:t>
      </w:r>
      <w:r w:rsidRPr="002D2B16">
        <w:rPr>
          <w:rFonts w:ascii="Times New Roman" w:hAnsi="Times New Roman" w:cs="Times New Roman"/>
          <w:sz w:val="24"/>
          <w:szCs w:val="24"/>
        </w:rPr>
        <w:t>22060-4446</w:t>
      </w:r>
    </w:p>
    <w:p w14:paraId="54A28FE7" w14:textId="77777777" w:rsidR="002D391A" w:rsidRPr="002D2B16" w:rsidRDefault="002D391A" w:rsidP="002D391A">
      <w:pPr>
        <w:spacing w:after="0" w:line="240" w:lineRule="auto"/>
        <w:ind w:left="4320" w:firstLine="720"/>
        <w:jc w:val="both"/>
        <w:rPr>
          <w:rFonts w:ascii="Times New Roman" w:hAnsi="Times New Roman" w:cs="Times New Roman"/>
          <w:sz w:val="24"/>
          <w:szCs w:val="24"/>
        </w:rPr>
      </w:pPr>
      <w:r w:rsidRPr="002D2B16">
        <w:rPr>
          <w:rFonts w:ascii="Times New Roman" w:hAnsi="Times New Roman" w:cs="Times New Roman"/>
          <w:sz w:val="24"/>
          <w:szCs w:val="24"/>
        </w:rPr>
        <w:t>Telephone: (703) 614-3918</w:t>
      </w:r>
    </w:p>
    <w:p w14:paraId="2F13A87A" w14:textId="17E66134" w:rsidR="002D391A" w:rsidRPr="002D2B16" w:rsidRDefault="002D391A" w:rsidP="002D391A">
      <w:pPr>
        <w:spacing w:after="0" w:line="240" w:lineRule="auto"/>
        <w:jc w:val="both"/>
        <w:rPr>
          <w:rStyle w:val="Hyperlink"/>
          <w:rFonts w:ascii="Times New Roman" w:hAnsi="Times New Roman" w:cs="Times New Roman"/>
          <w:sz w:val="24"/>
          <w:szCs w:val="24"/>
        </w:rPr>
      </w:pPr>
      <w:r w:rsidRPr="002D2B16">
        <w:rPr>
          <w:rFonts w:ascii="Times New Roman" w:hAnsi="Times New Roman" w:cs="Times New Roman"/>
          <w:sz w:val="24"/>
          <w:szCs w:val="24"/>
        </w:rPr>
        <w:t>December 8, 2022</w:t>
      </w: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r>
      <w:r w:rsidRPr="002D2B16">
        <w:rPr>
          <w:rFonts w:ascii="Times New Roman" w:hAnsi="Times New Roman" w:cs="Times New Roman"/>
          <w:sz w:val="24"/>
          <w:szCs w:val="24"/>
        </w:rPr>
        <w:tab/>
        <w:t xml:space="preserve">Email: </w:t>
      </w:r>
      <w:hyperlink r:id="rId9" w:history="1">
        <w:r w:rsidRPr="002D2B16">
          <w:rPr>
            <w:rStyle w:val="Hyperlink"/>
            <w:rFonts w:ascii="Times New Roman" w:hAnsi="Times New Roman" w:cs="Times New Roman"/>
            <w:sz w:val="24"/>
            <w:szCs w:val="24"/>
          </w:rPr>
          <w:t>emily.w.medlyn.civ@</w:t>
        </w:r>
        <w:r w:rsidR="000701DF" w:rsidRPr="002D2B16">
          <w:rPr>
            <w:rStyle w:val="Hyperlink"/>
            <w:rFonts w:ascii="Times New Roman" w:hAnsi="Times New Roman" w:cs="Times New Roman"/>
            <w:sz w:val="24"/>
            <w:szCs w:val="24"/>
          </w:rPr>
          <w:t>army</w:t>
        </w:r>
        <w:r w:rsidRPr="002D2B16">
          <w:rPr>
            <w:rStyle w:val="Hyperlink"/>
            <w:rFonts w:ascii="Times New Roman" w:hAnsi="Times New Roman" w:cs="Times New Roman"/>
            <w:sz w:val="24"/>
            <w:szCs w:val="24"/>
          </w:rPr>
          <w:t>.mil</w:t>
        </w:r>
      </w:hyperlink>
    </w:p>
    <w:sectPr w:rsidR="002D391A" w:rsidRPr="002D2B1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DF92" w14:textId="77777777" w:rsidR="007A5A24" w:rsidRDefault="007A5A24" w:rsidP="000C3C59">
      <w:pPr>
        <w:spacing w:after="0" w:line="240" w:lineRule="auto"/>
      </w:pPr>
      <w:r>
        <w:separator/>
      </w:r>
    </w:p>
  </w:endnote>
  <w:endnote w:type="continuationSeparator" w:id="0">
    <w:p w14:paraId="63DE549B" w14:textId="77777777" w:rsidR="007A5A24" w:rsidRDefault="007A5A24" w:rsidP="000C3C59">
      <w:pPr>
        <w:spacing w:after="0" w:line="240" w:lineRule="auto"/>
      </w:pPr>
      <w:r>
        <w:continuationSeparator/>
      </w:r>
    </w:p>
  </w:endnote>
  <w:endnote w:type="continuationNotice" w:id="1">
    <w:p w14:paraId="1068658D" w14:textId="77777777" w:rsidR="007A5A24" w:rsidRDefault="007A5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60C609E4" w14:textId="201BB583" w:rsidR="0086594B" w:rsidRDefault="0086594B" w:rsidP="007E5599">
        <w:pPr>
          <w:pStyle w:val="Footer"/>
          <w:jc w:val="center"/>
        </w:pPr>
        <w:r w:rsidRPr="00314F94">
          <w:rPr>
            <w:rFonts w:ascii="Times New Roman" w:hAnsi="Times New Roman" w:cs="Times New Roman"/>
            <w:sz w:val="20"/>
            <w:szCs w:val="20"/>
          </w:rPr>
          <w:t xml:space="preserve">Page </w:t>
        </w:r>
        <w:r w:rsidRPr="00314F94">
          <w:rPr>
            <w:rFonts w:ascii="Times New Roman" w:hAnsi="Times New Roman" w:cs="Times New Roman"/>
            <w:b/>
            <w:bCs/>
            <w:sz w:val="20"/>
            <w:szCs w:val="20"/>
          </w:rPr>
          <w:fldChar w:fldCharType="begin"/>
        </w:r>
        <w:r w:rsidRPr="00314F94">
          <w:rPr>
            <w:rFonts w:ascii="Times New Roman" w:hAnsi="Times New Roman" w:cs="Times New Roman"/>
            <w:b/>
            <w:bCs/>
            <w:sz w:val="20"/>
            <w:szCs w:val="20"/>
          </w:rPr>
          <w:instrText xml:space="preserve"> PAGE </w:instrText>
        </w:r>
        <w:r w:rsidRPr="00314F94">
          <w:rPr>
            <w:rFonts w:ascii="Times New Roman" w:hAnsi="Times New Roman" w:cs="Times New Roman"/>
            <w:b/>
            <w:bCs/>
            <w:sz w:val="20"/>
            <w:szCs w:val="20"/>
          </w:rPr>
          <w:fldChar w:fldCharType="separate"/>
        </w:r>
        <w:r w:rsidRPr="00314F94">
          <w:rPr>
            <w:rFonts w:ascii="Times New Roman" w:hAnsi="Times New Roman" w:cs="Times New Roman"/>
            <w:b/>
            <w:bCs/>
            <w:sz w:val="20"/>
            <w:szCs w:val="20"/>
          </w:rPr>
          <w:t>7</w:t>
        </w:r>
        <w:r w:rsidRPr="00314F94">
          <w:rPr>
            <w:rFonts w:ascii="Times New Roman" w:hAnsi="Times New Roman" w:cs="Times New Roman"/>
            <w:b/>
            <w:bCs/>
            <w:sz w:val="20"/>
            <w:szCs w:val="20"/>
          </w:rPr>
          <w:fldChar w:fldCharType="end"/>
        </w:r>
        <w:r w:rsidRPr="00314F94">
          <w:rPr>
            <w:rFonts w:ascii="Times New Roman" w:hAnsi="Times New Roman" w:cs="Times New Roman"/>
            <w:sz w:val="20"/>
            <w:szCs w:val="20"/>
          </w:rPr>
          <w:t xml:space="preserve"> of </w:t>
        </w:r>
        <w:r w:rsidRPr="00314F94">
          <w:rPr>
            <w:rFonts w:ascii="Times New Roman" w:hAnsi="Times New Roman" w:cs="Times New Roman"/>
            <w:b/>
            <w:bCs/>
            <w:sz w:val="20"/>
            <w:szCs w:val="20"/>
          </w:rPr>
          <w:fldChar w:fldCharType="begin"/>
        </w:r>
        <w:r w:rsidRPr="00314F94">
          <w:rPr>
            <w:rFonts w:ascii="Times New Roman" w:hAnsi="Times New Roman" w:cs="Times New Roman"/>
            <w:b/>
            <w:bCs/>
            <w:sz w:val="20"/>
            <w:szCs w:val="20"/>
          </w:rPr>
          <w:instrText xml:space="preserve"> NUMPAGES  </w:instrText>
        </w:r>
        <w:r w:rsidRPr="00314F94">
          <w:rPr>
            <w:rFonts w:ascii="Times New Roman" w:hAnsi="Times New Roman" w:cs="Times New Roman"/>
            <w:b/>
            <w:bCs/>
            <w:sz w:val="20"/>
            <w:szCs w:val="20"/>
          </w:rPr>
          <w:fldChar w:fldCharType="separate"/>
        </w:r>
        <w:r w:rsidRPr="00314F94">
          <w:rPr>
            <w:rFonts w:ascii="Times New Roman" w:hAnsi="Times New Roman" w:cs="Times New Roman"/>
            <w:b/>
            <w:bCs/>
            <w:sz w:val="20"/>
            <w:szCs w:val="20"/>
          </w:rPr>
          <w:t>10</w:t>
        </w:r>
        <w:r w:rsidRPr="00314F94">
          <w:rPr>
            <w:rFonts w:ascii="Times New Roman" w:hAnsi="Times New Roman" w:cs="Times New Roman"/>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97B13" w14:textId="77777777" w:rsidR="007A5A24" w:rsidRDefault="007A5A24" w:rsidP="000C3C59">
      <w:pPr>
        <w:spacing w:after="0" w:line="240" w:lineRule="auto"/>
      </w:pPr>
      <w:r>
        <w:separator/>
      </w:r>
    </w:p>
  </w:footnote>
  <w:footnote w:type="continuationSeparator" w:id="0">
    <w:p w14:paraId="506D6053" w14:textId="77777777" w:rsidR="007A5A24" w:rsidRDefault="007A5A24" w:rsidP="000C3C59">
      <w:pPr>
        <w:spacing w:after="0" w:line="240" w:lineRule="auto"/>
      </w:pPr>
      <w:r>
        <w:continuationSeparator/>
      </w:r>
    </w:p>
  </w:footnote>
  <w:footnote w:type="continuationNotice" w:id="1">
    <w:p w14:paraId="39326FDF" w14:textId="77777777" w:rsidR="007A5A24" w:rsidRDefault="007A5A24">
      <w:pPr>
        <w:spacing w:after="0" w:line="240" w:lineRule="auto"/>
      </w:pPr>
    </w:p>
  </w:footnote>
  <w:footnote w:id="2">
    <w:p w14:paraId="64859721" w14:textId="122629F8" w:rsidR="000C3C59" w:rsidRPr="00FF7383" w:rsidRDefault="000C3C59" w:rsidP="00633159">
      <w:pPr>
        <w:pStyle w:val="FootnoteText"/>
        <w:spacing w:after="80"/>
        <w:rPr>
          <w:szCs w:val="20"/>
        </w:rPr>
      </w:pPr>
      <w:r w:rsidRPr="00FF7383">
        <w:rPr>
          <w:rStyle w:val="FootnoteReference"/>
          <w:szCs w:val="20"/>
        </w:rPr>
        <w:footnoteRef/>
      </w:r>
      <w:r w:rsidRPr="00FF7383">
        <w:rPr>
          <w:szCs w:val="20"/>
        </w:rPr>
        <w:t xml:space="preserve"> </w:t>
      </w:r>
      <w:r w:rsidR="00E561D0" w:rsidRPr="00FF7383">
        <w:rPr>
          <w:szCs w:val="20"/>
        </w:rPr>
        <w:t>GPC</w:t>
      </w:r>
      <w:r w:rsidRPr="00FF7383">
        <w:rPr>
          <w:szCs w:val="20"/>
        </w:rPr>
        <w:t xml:space="preserve"> currently has two RTP rate schedule offerings: Real Time Pricing – Day-Ahead Schedule and Real Time Pricing – Hour-Ahead Schedule).</w:t>
      </w:r>
      <w:r w:rsidR="007F6C27" w:rsidRPr="00FF7383">
        <w:rPr>
          <w:szCs w:val="20"/>
        </w:rPr>
        <w:t xml:space="preserve"> </w:t>
      </w:r>
      <w:r w:rsidRPr="00FF7383">
        <w:rPr>
          <w:i/>
          <w:szCs w:val="20"/>
        </w:rPr>
        <w:t>See</w:t>
      </w:r>
      <w:r w:rsidRPr="00FF7383">
        <w:rPr>
          <w:szCs w:val="20"/>
        </w:rPr>
        <w:t xml:space="preserve"> MFR F-1.</w:t>
      </w:r>
    </w:p>
  </w:footnote>
  <w:footnote w:id="3">
    <w:p w14:paraId="576FA23F" w14:textId="448AC810" w:rsidR="00616D22" w:rsidRPr="00FF7383" w:rsidRDefault="00616D22" w:rsidP="00633159">
      <w:pPr>
        <w:pStyle w:val="FootnoteText"/>
        <w:spacing w:after="80"/>
        <w:rPr>
          <w:szCs w:val="20"/>
        </w:rPr>
      </w:pPr>
      <w:r w:rsidRPr="00FF7383">
        <w:rPr>
          <w:rStyle w:val="FootnoteReference"/>
          <w:szCs w:val="20"/>
        </w:rPr>
        <w:footnoteRef/>
      </w:r>
      <w:r w:rsidRPr="00FF7383">
        <w:rPr>
          <w:szCs w:val="20"/>
        </w:rPr>
        <w:t xml:space="preserve"> As sponsored by GPC witness Mr. Lee Evans, with results summarized in</w:t>
      </w:r>
      <w:bookmarkStart w:id="1" w:name="_Hlk121307957"/>
      <w:r w:rsidR="00F90115" w:rsidRPr="00FF7383">
        <w:rPr>
          <w:szCs w:val="20"/>
        </w:rPr>
        <w:t xml:space="preserve"> Exhibit GPC </w:t>
      </w:r>
      <w:r w:rsidR="00E22B33" w:rsidRPr="00FF7383">
        <w:rPr>
          <w:szCs w:val="20"/>
        </w:rPr>
        <w:t>31</w:t>
      </w:r>
      <w:r w:rsidR="00F90115" w:rsidRPr="00FF7383">
        <w:rPr>
          <w:szCs w:val="20"/>
        </w:rPr>
        <w:t xml:space="preserve"> - LPE-</w:t>
      </w:r>
      <w:r w:rsidR="00E22B33" w:rsidRPr="00FF7383">
        <w:rPr>
          <w:szCs w:val="20"/>
        </w:rPr>
        <w:t>5</w:t>
      </w:r>
      <w:r w:rsidR="00F90115" w:rsidRPr="00FF7383">
        <w:rPr>
          <w:szCs w:val="20"/>
        </w:rPr>
        <w:t xml:space="preserve"> and Exhibit GPC </w:t>
      </w:r>
      <w:r w:rsidR="00E22B33" w:rsidRPr="00FF7383">
        <w:rPr>
          <w:szCs w:val="20"/>
        </w:rPr>
        <w:t>32</w:t>
      </w:r>
      <w:r w:rsidR="00F90115" w:rsidRPr="00FF7383">
        <w:rPr>
          <w:szCs w:val="20"/>
        </w:rPr>
        <w:t xml:space="preserve"> – LPE-</w:t>
      </w:r>
      <w:r w:rsidR="00E22B33" w:rsidRPr="00FF7383">
        <w:rPr>
          <w:szCs w:val="20"/>
        </w:rPr>
        <w:t>6</w:t>
      </w:r>
      <w:bookmarkEnd w:id="1"/>
      <w:r w:rsidRPr="00FF7383">
        <w:rPr>
          <w:szCs w:val="20"/>
        </w:rPr>
        <w:t>.</w:t>
      </w:r>
    </w:p>
  </w:footnote>
  <w:footnote w:id="4">
    <w:p w14:paraId="0A0DBD58" w14:textId="7D1FE9D5" w:rsidR="00386F1D" w:rsidRPr="00FF7383" w:rsidRDefault="00386F1D" w:rsidP="00633159">
      <w:pPr>
        <w:pStyle w:val="FootnoteText"/>
        <w:spacing w:after="80"/>
        <w:rPr>
          <w:szCs w:val="20"/>
        </w:rPr>
      </w:pPr>
      <w:r w:rsidRPr="00FF7383">
        <w:rPr>
          <w:rStyle w:val="FootnoteReference"/>
          <w:szCs w:val="20"/>
        </w:rPr>
        <w:footnoteRef/>
      </w:r>
      <w:r w:rsidRPr="00FF7383">
        <w:rPr>
          <w:szCs w:val="20"/>
        </w:rPr>
        <w:t xml:space="preserve"> Tr. at 340</w:t>
      </w:r>
      <w:r w:rsidR="00BB47BB">
        <w:rPr>
          <w:szCs w:val="20"/>
        </w:rPr>
        <w:t>6-3407</w:t>
      </w:r>
      <w:r w:rsidRPr="00FF7383">
        <w:rPr>
          <w:szCs w:val="20"/>
        </w:rPr>
        <w:t>.</w:t>
      </w:r>
    </w:p>
  </w:footnote>
  <w:footnote w:id="5">
    <w:p w14:paraId="4C258B2C" w14:textId="77777777" w:rsidR="00386F1D" w:rsidRPr="00FF7383" w:rsidRDefault="00386F1D" w:rsidP="00633159">
      <w:pPr>
        <w:pStyle w:val="FootnoteText"/>
        <w:spacing w:after="80"/>
        <w:rPr>
          <w:szCs w:val="20"/>
        </w:rPr>
      </w:pPr>
      <w:r w:rsidRPr="00FF7383">
        <w:rPr>
          <w:rStyle w:val="FootnoteReference"/>
          <w:szCs w:val="20"/>
        </w:rPr>
        <w:footnoteRef/>
      </w:r>
      <w:r w:rsidRPr="00FF7383">
        <w:rPr>
          <w:szCs w:val="20"/>
        </w:rPr>
        <w:t xml:space="preserve"> Strikethrough font reflects proposed deletions; underlined font reflects proposed additions.</w:t>
      </w:r>
    </w:p>
  </w:footnote>
  <w:footnote w:id="6">
    <w:p w14:paraId="5758E549" w14:textId="4CCC1F01" w:rsidR="00386F1D" w:rsidRPr="00FF7383" w:rsidRDefault="00386F1D" w:rsidP="00633159">
      <w:pPr>
        <w:pStyle w:val="FootnoteText"/>
        <w:spacing w:after="80"/>
        <w:rPr>
          <w:szCs w:val="20"/>
        </w:rPr>
      </w:pPr>
      <w:r w:rsidRPr="00FF7383">
        <w:rPr>
          <w:rStyle w:val="FootnoteReference"/>
          <w:szCs w:val="20"/>
        </w:rPr>
        <w:footnoteRef/>
      </w:r>
      <w:r w:rsidRPr="00FF7383">
        <w:rPr>
          <w:szCs w:val="20"/>
        </w:rPr>
        <w:t xml:space="preserve"> Tr. at 3404</w:t>
      </w:r>
      <w:r w:rsidRPr="00FF7383">
        <w:rPr>
          <w:i/>
          <w:iCs/>
          <w:szCs w:val="20"/>
        </w:rPr>
        <w:t>.</w:t>
      </w:r>
    </w:p>
  </w:footnote>
  <w:footnote w:id="7">
    <w:p w14:paraId="0860F43E" w14:textId="4DCE5363" w:rsidR="00386F1D" w:rsidRPr="00FF7383" w:rsidRDefault="00386F1D" w:rsidP="00633159">
      <w:pPr>
        <w:pStyle w:val="FootnoteText"/>
        <w:spacing w:after="80"/>
        <w:rPr>
          <w:szCs w:val="20"/>
        </w:rPr>
      </w:pPr>
      <w:r w:rsidRPr="00FF7383">
        <w:rPr>
          <w:rStyle w:val="FootnoteReference"/>
          <w:szCs w:val="20"/>
        </w:rPr>
        <w:footnoteRef/>
      </w:r>
      <w:r w:rsidRPr="00FF7383">
        <w:rPr>
          <w:szCs w:val="20"/>
        </w:rPr>
        <w:t xml:space="preserve"> Tr. at 4243.</w:t>
      </w:r>
    </w:p>
  </w:footnote>
  <w:footnote w:id="8">
    <w:p w14:paraId="0A86B662" w14:textId="7F61D7A0" w:rsidR="00386F1D" w:rsidRPr="00FF7383" w:rsidRDefault="00386F1D" w:rsidP="00633159">
      <w:pPr>
        <w:pStyle w:val="FootnoteText"/>
        <w:spacing w:after="80"/>
        <w:rPr>
          <w:szCs w:val="20"/>
        </w:rPr>
      </w:pPr>
      <w:r w:rsidRPr="00FF7383">
        <w:rPr>
          <w:rStyle w:val="FootnoteReference"/>
          <w:szCs w:val="20"/>
        </w:rPr>
        <w:footnoteRef/>
      </w:r>
      <w:r w:rsidRPr="00FF7383">
        <w:rPr>
          <w:szCs w:val="20"/>
        </w:rPr>
        <w:t xml:space="preserve"> </w:t>
      </w:r>
      <w:r w:rsidR="00FF7383" w:rsidRPr="00FF7383">
        <w:rPr>
          <w:szCs w:val="20"/>
        </w:rPr>
        <w:t>Tr. at 4243</w:t>
      </w:r>
      <w:r w:rsidRPr="00FF7383">
        <w:rPr>
          <w:szCs w:val="20"/>
        </w:rPr>
        <w:t>.</w:t>
      </w:r>
    </w:p>
  </w:footnote>
  <w:footnote w:id="9">
    <w:p w14:paraId="6D0F887E" w14:textId="1AFBAFBA" w:rsidR="00386F1D" w:rsidRPr="00FF7383" w:rsidRDefault="00386F1D" w:rsidP="00633159">
      <w:pPr>
        <w:pStyle w:val="FootnoteText"/>
        <w:spacing w:after="80"/>
        <w:rPr>
          <w:szCs w:val="20"/>
        </w:rPr>
      </w:pPr>
      <w:r w:rsidRPr="00FF7383">
        <w:rPr>
          <w:rStyle w:val="FootnoteReference"/>
          <w:szCs w:val="20"/>
        </w:rPr>
        <w:footnoteRef/>
      </w:r>
      <w:r w:rsidRPr="00FF7383">
        <w:rPr>
          <w:szCs w:val="20"/>
        </w:rPr>
        <w:t xml:space="preserve"> </w:t>
      </w:r>
      <w:r w:rsidR="005312C0" w:rsidRPr="00FF7383">
        <w:rPr>
          <w:szCs w:val="20"/>
        </w:rPr>
        <w:t>Tr. at 3404-3405</w:t>
      </w:r>
      <w:r w:rsidR="005312C0" w:rsidRPr="00FF7383">
        <w:rPr>
          <w:i/>
          <w:iCs/>
          <w:szCs w:val="20"/>
        </w:rPr>
        <w:t>.</w:t>
      </w:r>
    </w:p>
  </w:footnote>
  <w:footnote w:id="10">
    <w:p w14:paraId="64139763" w14:textId="33E8970B" w:rsidR="00BB47BB" w:rsidRDefault="00BB47BB" w:rsidP="00BB47BB">
      <w:pPr>
        <w:pStyle w:val="FootnoteText"/>
        <w:spacing w:after="80"/>
      </w:pPr>
      <w:r>
        <w:rPr>
          <w:rStyle w:val="FootnoteReference"/>
        </w:rPr>
        <w:footnoteRef/>
      </w:r>
      <w:r>
        <w:t xml:space="preserve"> </w:t>
      </w:r>
      <w:r w:rsidRPr="00FF7383">
        <w:rPr>
          <w:szCs w:val="20"/>
        </w:rPr>
        <w:t>Tr. at 340</w:t>
      </w:r>
      <w:r>
        <w:rPr>
          <w:szCs w:val="20"/>
        </w:rPr>
        <w:t>6-3407</w:t>
      </w:r>
      <w:r w:rsidRPr="00FF7383">
        <w:rPr>
          <w:szCs w:val="20"/>
        </w:rPr>
        <w:t>.</w:t>
      </w:r>
    </w:p>
  </w:footnote>
  <w:footnote w:id="11">
    <w:p w14:paraId="07F44123" w14:textId="77777777" w:rsidR="00386F1D" w:rsidRPr="00FF7383" w:rsidRDefault="00386F1D" w:rsidP="00633159">
      <w:pPr>
        <w:pStyle w:val="FootnoteText"/>
        <w:spacing w:after="80"/>
        <w:rPr>
          <w:szCs w:val="20"/>
        </w:rPr>
      </w:pPr>
      <w:r w:rsidRPr="00FF7383">
        <w:rPr>
          <w:rStyle w:val="FootnoteReference"/>
          <w:szCs w:val="20"/>
        </w:rPr>
        <w:footnoteRef/>
      </w:r>
      <w:r w:rsidRPr="00FF7383">
        <w:rPr>
          <w:szCs w:val="20"/>
        </w:rPr>
        <w:t xml:space="preserve"> Strikethrough font reflects proposed deletions; underlined font reflects proposed additions.</w:t>
      </w:r>
    </w:p>
  </w:footnote>
  <w:footnote w:id="12">
    <w:p w14:paraId="3F1CB70B" w14:textId="449139D4" w:rsidR="001E228E" w:rsidRPr="00FF7383" w:rsidRDefault="001E228E" w:rsidP="00633159">
      <w:pPr>
        <w:pStyle w:val="FootnoteText"/>
        <w:spacing w:after="80"/>
        <w:rPr>
          <w:szCs w:val="20"/>
        </w:rPr>
      </w:pPr>
      <w:r w:rsidRPr="00FF7383">
        <w:rPr>
          <w:rStyle w:val="FootnoteReference"/>
          <w:szCs w:val="20"/>
        </w:rPr>
        <w:footnoteRef/>
      </w:r>
      <w:r w:rsidRPr="00FF7383">
        <w:rPr>
          <w:szCs w:val="20"/>
        </w:rPr>
        <w:t xml:space="preserve"> Tr. at 4243.</w:t>
      </w:r>
      <w:r w:rsidR="00BB47BB">
        <w:rPr>
          <w:szCs w:val="20"/>
        </w:rPr>
        <w:t xml:space="preserve"> Italics in original quote.</w:t>
      </w:r>
    </w:p>
  </w:footnote>
  <w:footnote w:id="13">
    <w:p w14:paraId="4BA70566" w14:textId="126449E4" w:rsidR="001E228E" w:rsidRPr="00FF7383" w:rsidRDefault="001E228E" w:rsidP="00633159">
      <w:pPr>
        <w:pStyle w:val="FootnoteText"/>
        <w:spacing w:after="80"/>
        <w:rPr>
          <w:szCs w:val="20"/>
        </w:rPr>
      </w:pPr>
      <w:r w:rsidRPr="00FF7383">
        <w:rPr>
          <w:rStyle w:val="FootnoteReference"/>
          <w:szCs w:val="20"/>
        </w:rPr>
        <w:footnoteRef/>
      </w:r>
      <w:r w:rsidRPr="00FF7383">
        <w:rPr>
          <w:szCs w:val="20"/>
        </w:rPr>
        <w:t xml:space="preserve"> </w:t>
      </w:r>
      <w:r w:rsidR="00FD1FFD" w:rsidRPr="00FF7383">
        <w:rPr>
          <w:szCs w:val="20"/>
        </w:rPr>
        <w:t>Tr. at 4243</w:t>
      </w:r>
      <w:r w:rsidRPr="00FF7383">
        <w:rPr>
          <w:szCs w:val="20"/>
        </w:rPr>
        <w:t>.</w:t>
      </w:r>
    </w:p>
  </w:footnote>
  <w:footnote w:id="14">
    <w:p w14:paraId="6187032D" w14:textId="0149FD6B" w:rsidR="001E228E" w:rsidRPr="00FF7383" w:rsidRDefault="001E228E" w:rsidP="00633159">
      <w:pPr>
        <w:pStyle w:val="FootnoteText"/>
        <w:spacing w:after="80"/>
        <w:rPr>
          <w:szCs w:val="20"/>
        </w:rPr>
      </w:pPr>
      <w:r w:rsidRPr="00FF7383">
        <w:rPr>
          <w:rStyle w:val="FootnoteReference"/>
          <w:szCs w:val="20"/>
        </w:rPr>
        <w:footnoteRef/>
      </w:r>
      <w:r w:rsidRPr="00FF7383">
        <w:rPr>
          <w:szCs w:val="20"/>
        </w:rPr>
        <w:t xml:space="preserve"> Tr. at 3411-3412.</w:t>
      </w:r>
    </w:p>
  </w:footnote>
  <w:footnote w:id="15">
    <w:p w14:paraId="1391CF7C" w14:textId="1EC05418" w:rsidR="001E228E" w:rsidRPr="00FF7383" w:rsidRDefault="001E228E" w:rsidP="00633159">
      <w:pPr>
        <w:pStyle w:val="FootnoteText"/>
        <w:spacing w:after="80"/>
        <w:rPr>
          <w:szCs w:val="20"/>
        </w:rPr>
      </w:pPr>
      <w:r w:rsidRPr="00FF7383">
        <w:rPr>
          <w:rStyle w:val="FootnoteReference"/>
          <w:szCs w:val="20"/>
        </w:rPr>
        <w:footnoteRef/>
      </w:r>
      <w:r w:rsidRPr="00FF7383">
        <w:rPr>
          <w:szCs w:val="20"/>
        </w:rPr>
        <w:t xml:space="preserve"> </w:t>
      </w:r>
      <w:r w:rsidR="00FD1FFD" w:rsidRPr="00FF7383">
        <w:rPr>
          <w:szCs w:val="20"/>
        </w:rPr>
        <w:t>Tr. at 3412</w:t>
      </w:r>
      <w:r w:rsidRPr="00FF7383">
        <w:rPr>
          <w:szCs w:val="20"/>
        </w:rPr>
        <w:t>.</w:t>
      </w:r>
    </w:p>
  </w:footnote>
  <w:footnote w:id="16">
    <w:p w14:paraId="5BD17E5E" w14:textId="7A95918E" w:rsidR="001E228E" w:rsidRPr="00FF7383" w:rsidRDefault="001E228E" w:rsidP="00633159">
      <w:pPr>
        <w:pStyle w:val="FootnoteText"/>
        <w:spacing w:after="80"/>
        <w:rPr>
          <w:szCs w:val="20"/>
        </w:rPr>
      </w:pPr>
      <w:r w:rsidRPr="00FF7383">
        <w:rPr>
          <w:rStyle w:val="FootnoteReference"/>
          <w:szCs w:val="20"/>
        </w:rPr>
        <w:footnoteRef/>
      </w:r>
      <w:r w:rsidRPr="00FF7383">
        <w:rPr>
          <w:szCs w:val="20"/>
        </w:rPr>
        <w:t xml:space="preserve"> Tr. at 3412.</w:t>
      </w:r>
    </w:p>
  </w:footnote>
  <w:footnote w:id="17">
    <w:p w14:paraId="0EE9D071" w14:textId="56FDFA08" w:rsidR="001E228E" w:rsidRPr="00FF7383" w:rsidRDefault="001E228E" w:rsidP="00633159">
      <w:pPr>
        <w:pStyle w:val="FootnoteText"/>
        <w:spacing w:after="80"/>
        <w:rPr>
          <w:szCs w:val="20"/>
        </w:rPr>
      </w:pPr>
      <w:r w:rsidRPr="00FF7383">
        <w:rPr>
          <w:rStyle w:val="FootnoteReference"/>
          <w:szCs w:val="20"/>
        </w:rPr>
        <w:footnoteRef/>
      </w:r>
      <w:r w:rsidRPr="00FF7383">
        <w:rPr>
          <w:szCs w:val="20"/>
        </w:rPr>
        <w:t xml:space="preserve"> </w:t>
      </w:r>
      <w:r w:rsidR="00FD1FFD" w:rsidRPr="00FF7383">
        <w:rPr>
          <w:szCs w:val="20"/>
        </w:rPr>
        <w:t>Tr. at 3412</w:t>
      </w:r>
      <w:r w:rsidR="00FD1FFD">
        <w:rPr>
          <w:szCs w:val="20"/>
        </w:rPr>
        <w:t>.</w:t>
      </w:r>
    </w:p>
  </w:footnote>
  <w:footnote w:id="18">
    <w:p w14:paraId="6362A5E7" w14:textId="641F0ED5" w:rsidR="001E228E" w:rsidRPr="00FF7383" w:rsidRDefault="001E228E" w:rsidP="00633159">
      <w:pPr>
        <w:pStyle w:val="FootnoteText"/>
        <w:spacing w:after="80"/>
        <w:rPr>
          <w:szCs w:val="20"/>
        </w:rPr>
      </w:pPr>
      <w:r w:rsidRPr="00FF7383">
        <w:rPr>
          <w:rStyle w:val="FootnoteReference"/>
          <w:szCs w:val="20"/>
        </w:rPr>
        <w:footnoteRef/>
      </w:r>
      <w:r w:rsidRPr="00FF7383">
        <w:rPr>
          <w:szCs w:val="20"/>
        </w:rPr>
        <w:t xml:space="preserve"> Tr. at 2225</w:t>
      </w:r>
      <w:r w:rsidR="005170E7">
        <w:rPr>
          <w:szCs w:val="20"/>
        </w:rPr>
        <w:t>:1-18</w:t>
      </w:r>
      <w:r w:rsidRPr="00FF7383">
        <w:rPr>
          <w:szCs w:val="20"/>
        </w:rPr>
        <w:t xml:space="preserve">. See also </w:t>
      </w:r>
      <w:r w:rsidRPr="00FF7383">
        <w:rPr>
          <w:i/>
          <w:iCs/>
          <w:szCs w:val="20"/>
        </w:rPr>
        <w:t>In Re: Georgia Power Company’s 2007 Rate Case</w:t>
      </w:r>
      <w:r w:rsidRPr="00FF7383">
        <w:rPr>
          <w:szCs w:val="20"/>
        </w:rPr>
        <w:t>, Docket No. 25060-U, Order</w:t>
      </w:r>
      <w:r w:rsidR="00FD1FFD">
        <w:rPr>
          <w:szCs w:val="20"/>
        </w:rPr>
        <w:t>, Exhibit A, Numeral 6 at 3</w:t>
      </w:r>
      <w:r w:rsidRPr="00FF7383">
        <w:rPr>
          <w:szCs w:val="20"/>
        </w:rPr>
        <w:t xml:space="preserve">. </w:t>
      </w:r>
    </w:p>
  </w:footnote>
  <w:footnote w:id="19">
    <w:p w14:paraId="5A8375DE" w14:textId="1688EB85" w:rsidR="001E228E" w:rsidRPr="00FF7383" w:rsidRDefault="001E228E" w:rsidP="00633159">
      <w:pPr>
        <w:pStyle w:val="FootnoteText"/>
        <w:spacing w:after="80"/>
        <w:rPr>
          <w:szCs w:val="20"/>
        </w:rPr>
      </w:pPr>
      <w:r w:rsidRPr="00FF7383">
        <w:rPr>
          <w:rStyle w:val="FootnoteReference"/>
          <w:szCs w:val="20"/>
        </w:rPr>
        <w:footnoteRef/>
      </w:r>
      <w:r w:rsidRPr="00FF7383">
        <w:rPr>
          <w:szCs w:val="20"/>
        </w:rPr>
        <w:t xml:space="preserve"> Tr. at 2148.</w:t>
      </w:r>
    </w:p>
  </w:footnote>
  <w:footnote w:id="20">
    <w:p w14:paraId="08C745B0" w14:textId="0A1D6111" w:rsidR="00100A8F" w:rsidRDefault="00100A8F" w:rsidP="00100A8F">
      <w:pPr>
        <w:pStyle w:val="FootnoteText"/>
        <w:spacing w:after="80"/>
      </w:pPr>
      <w:r>
        <w:rPr>
          <w:rStyle w:val="FootnoteReference"/>
        </w:rPr>
        <w:footnoteRef/>
      </w:r>
      <w:r>
        <w:t xml:space="preserve"> Tr. at </w:t>
      </w:r>
      <w:r w:rsidRPr="00100A8F">
        <w:rPr>
          <w:szCs w:val="20"/>
        </w:rPr>
        <w:t>4233</w:t>
      </w:r>
      <w:r>
        <w:t>.</w:t>
      </w:r>
    </w:p>
  </w:footnote>
  <w:footnote w:id="21">
    <w:p w14:paraId="15561C69" w14:textId="4F050BB2" w:rsidR="0093416F" w:rsidRPr="00FF7383" w:rsidRDefault="0093416F" w:rsidP="00633159">
      <w:pPr>
        <w:pStyle w:val="FootnoteText"/>
        <w:spacing w:after="80"/>
        <w:rPr>
          <w:szCs w:val="20"/>
          <w:u w:val="single"/>
        </w:rPr>
      </w:pPr>
      <w:r w:rsidRPr="00FF7383">
        <w:rPr>
          <w:rStyle w:val="FootnoteReference"/>
          <w:szCs w:val="20"/>
        </w:rPr>
        <w:footnoteRef/>
      </w:r>
      <w:r w:rsidR="00F90115" w:rsidRPr="00FF7383">
        <w:rPr>
          <w:szCs w:val="20"/>
        </w:rPr>
        <w:t xml:space="preserve"> </w:t>
      </w:r>
      <w:bookmarkStart w:id="4" w:name="_Hlk121309193"/>
      <w:r w:rsidR="00F90115" w:rsidRPr="00FF7383">
        <w:rPr>
          <w:szCs w:val="20"/>
          <w:u w:val="single"/>
        </w:rPr>
        <w:t>See</w:t>
      </w:r>
      <w:r w:rsidR="00F90115" w:rsidRPr="00FF7383">
        <w:rPr>
          <w:szCs w:val="20"/>
        </w:rPr>
        <w:t xml:space="preserve"> Tr. at 0633-0634; Tr. at 354</w:t>
      </w:r>
      <w:r w:rsidR="004D138A" w:rsidRPr="00FF7383">
        <w:rPr>
          <w:szCs w:val="20"/>
        </w:rPr>
        <w:t>8</w:t>
      </w:r>
      <w:r w:rsidR="00F90115" w:rsidRPr="00FF7383">
        <w:rPr>
          <w:szCs w:val="20"/>
        </w:rPr>
        <w:t>-354</w:t>
      </w:r>
      <w:r w:rsidR="004D138A" w:rsidRPr="00FF7383">
        <w:rPr>
          <w:szCs w:val="20"/>
        </w:rPr>
        <w:t>9</w:t>
      </w:r>
      <w:r w:rsidR="00F90115" w:rsidRPr="00FF7383">
        <w:rPr>
          <w:szCs w:val="20"/>
        </w:rPr>
        <w:t>; Tr. at 28</w:t>
      </w:r>
      <w:r w:rsidR="004D138A" w:rsidRPr="00FF7383">
        <w:rPr>
          <w:szCs w:val="20"/>
        </w:rPr>
        <w:t>34</w:t>
      </w:r>
      <w:r w:rsidR="00F90115" w:rsidRPr="00FF7383">
        <w:rPr>
          <w:szCs w:val="20"/>
        </w:rPr>
        <w:t>-283</w:t>
      </w:r>
      <w:r w:rsidR="004D138A" w:rsidRPr="00FF7383">
        <w:rPr>
          <w:szCs w:val="20"/>
        </w:rPr>
        <w:t>6</w:t>
      </w:r>
      <w:r w:rsidR="00F90115" w:rsidRPr="00FF7383">
        <w:rPr>
          <w:szCs w:val="20"/>
        </w:rPr>
        <w:t>; and</w:t>
      </w:r>
      <w:r w:rsidR="00F90115" w:rsidRPr="00FF7383" w:rsidDel="00A27296">
        <w:rPr>
          <w:szCs w:val="20"/>
        </w:rPr>
        <w:t xml:space="preserve"> </w:t>
      </w:r>
      <w:r w:rsidR="00F90115" w:rsidRPr="00FF7383">
        <w:rPr>
          <w:szCs w:val="20"/>
        </w:rPr>
        <w:t>Tr. at 343</w:t>
      </w:r>
      <w:r w:rsidR="004D138A" w:rsidRPr="00FF7383">
        <w:rPr>
          <w:szCs w:val="20"/>
        </w:rPr>
        <w:t>8</w:t>
      </w:r>
      <w:r w:rsidR="00F90115" w:rsidRPr="00FF7383">
        <w:rPr>
          <w:szCs w:val="20"/>
        </w:rPr>
        <w:t>-343</w:t>
      </w:r>
      <w:r w:rsidR="004D138A" w:rsidRPr="00FF7383">
        <w:rPr>
          <w:szCs w:val="20"/>
        </w:rPr>
        <w:t>9</w:t>
      </w:r>
      <w:bookmarkEnd w:id="4"/>
      <w:r w:rsidRPr="00FF7383">
        <w:rPr>
          <w:szCs w:val="20"/>
        </w:rPr>
        <w:t>.</w:t>
      </w:r>
    </w:p>
  </w:footnote>
  <w:footnote w:id="22">
    <w:p w14:paraId="1802E261" w14:textId="5028F5DF" w:rsidR="00B31095" w:rsidRPr="00FF7383" w:rsidRDefault="00B31095" w:rsidP="00633159">
      <w:pPr>
        <w:pStyle w:val="FootnoteText"/>
        <w:spacing w:after="80"/>
        <w:rPr>
          <w:szCs w:val="20"/>
        </w:rPr>
      </w:pPr>
      <w:r w:rsidRPr="00FF7383">
        <w:rPr>
          <w:rStyle w:val="FootnoteReference"/>
          <w:szCs w:val="20"/>
        </w:rPr>
        <w:footnoteRef/>
      </w:r>
      <w:r w:rsidRPr="00FF7383">
        <w:rPr>
          <w:szCs w:val="20"/>
        </w:rPr>
        <w:t xml:space="preserve"> </w:t>
      </w:r>
      <w:r w:rsidR="00D06F32" w:rsidRPr="00FF7383">
        <w:rPr>
          <w:i/>
          <w:iCs/>
          <w:szCs w:val="20"/>
        </w:rPr>
        <w:t>In Re:</w:t>
      </w:r>
      <w:r w:rsidR="00BA1325" w:rsidRPr="00FF7383">
        <w:rPr>
          <w:i/>
          <w:iCs/>
          <w:szCs w:val="20"/>
        </w:rPr>
        <w:t xml:space="preserve"> </w:t>
      </w:r>
      <w:r w:rsidR="00D06F32" w:rsidRPr="00FF7383">
        <w:rPr>
          <w:i/>
          <w:iCs/>
          <w:szCs w:val="20"/>
        </w:rPr>
        <w:t>Georgia Power Company’s</w:t>
      </w:r>
      <w:r w:rsidR="00BA1325" w:rsidRPr="00FF7383">
        <w:rPr>
          <w:i/>
          <w:iCs/>
          <w:szCs w:val="20"/>
        </w:rPr>
        <w:t xml:space="preserve"> </w:t>
      </w:r>
      <w:r w:rsidR="00F90115" w:rsidRPr="00FF7383">
        <w:rPr>
          <w:i/>
          <w:iCs/>
          <w:szCs w:val="20"/>
        </w:rPr>
        <w:t>2019</w:t>
      </w:r>
      <w:r w:rsidR="00D06F32" w:rsidRPr="00FF7383">
        <w:rPr>
          <w:i/>
          <w:iCs/>
          <w:szCs w:val="20"/>
        </w:rPr>
        <w:t xml:space="preserve"> Rate Case</w:t>
      </w:r>
      <w:r w:rsidR="00D06F32" w:rsidRPr="00FF7383">
        <w:rPr>
          <w:szCs w:val="20"/>
        </w:rPr>
        <w:t xml:space="preserve">, Docket No. </w:t>
      </w:r>
      <w:r w:rsidR="00F90115" w:rsidRPr="00FF7383">
        <w:rPr>
          <w:szCs w:val="20"/>
        </w:rPr>
        <w:t>44516, Short Order Adopting Settlement Agreement as Modified, at II, p</w:t>
      </w:r>
      <w:r w:rsidR="001821A3" w:rsidRPr="00FF7383">
        <w:rPr>
          <w:szCs w:val="20"/>
        </w:rPr>
        <w:t>.</w:t>
      </w:r>
      <w:r w:rsidR="00F90115" w:rsidRPr="00FF7383">
        <w:rPr>
          <w:szCs w:val="20"/>
        </w:rPr>
        <w:t xml:space="preserve"> 4.</w:t>
      </w:r>
    </w:p>
  </w:footnote>
  <w:footnote w:id="23">
    <w:p w14:paraId="238CB699" w14:textId="0683822E"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r w:rsidR="00F90115" w:rsidRPr="00FF7383">
        <w:rPr>
          <w:szCs w:val="20"/>
          <w:u w:val="single"/>
        </w:rPr>
        <w:t>See</w:t>
      </w:r>
      <w:r w:rsidR="00F90115" w:rsidRPr="00FF7383">
        <w:rPr>
          <w:szCs w:val="20"/>
        </w:rPr>
        <w:t xml:space="preserve"> </w:t>
      </w:r>
      <w:bookmarkStart w:id="5" w:name="_Hlk121309239"/>
      <w:r w:rsidR="00F90115" w:rsidRPr="00FF7383">
        <w:rPr>
          <w:szCs w:val="20"/>
        </w:rPr>
        <w:t>Tr. at 344</w:t>
      </w:r>
      <w:r w:rsidR="000B0E59" w:rsidRPr="00FF7383">
        <w:rPr>
          <w:szCs w:val="20"/>
        </w:rPr>
        <w:t>7</w:t>
      </w:r>
      <w:r w:rsidR="00F90115" w:rsidRPr="00FF7383">
        <w:rPr>
          <w:szCs w:val="20"/>
        </w:rPr>
        <w:t>.</w:t>
      </w:r>
      <w:bookmarkEnd w:id="5"/>
    </w:p>
  </w:footnote>
  <w:footnote w:id="24">
    <w:p w14:paraId="6845C5E0" w14:textId="7E25DFE5"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bookmarkStart w:id="6" w:name="_Hlk121309254"/>
      <w:r w:rsidR="00F90115" w:rsidRPr="00FF7383">
        <w:rPr>
          <w:szCs w:val="20"/>
        </w:rPr>
        <w:t>Tr. at 344</w:t>
      </w:r>
      <w:r w:rsidR="000B0E59" w:rsidRPr="00FF7383">
        <w:rPr>
          <w:szCs w:val="20"/>
        </w:rPr>
        <w:t>9</w:t>
      </w:r>
      <w:r w:rsidR="00F90115" w:rsidRPr="00FF7383">
        <w:rPr>
          <w:szCs w:val="20"/>
        </w:rPr>
        <w:t>-34</w:t>
      </w:r>
      <w:r w:rsidR="000B0E59" w:rsidRPr="00FF7383">
        <w:rPr>
          <w:szCs w:val="20"/>
        </w:rPr>
        <w:t>50</w:t>
      </w:r>
      <w:r w:rsidR="00F90115" w:rsidRPr="00FF7383">
        <w:rPr>
          <w:szCs w:val="20"/>
        </w:rPr>
        <w:t>.</w:t>
      </w:r>
      <w:bookmarkEnd w:id="6"/>
    </w:p>
  </w:footnote>
  <w:footnote w:id="25">
    <w:p w14:paraId="57C5085A" w14:textId="5E06964D" w:rsidR="0093416F" w:rsidRPr="00FF7383" w:rsidRDefault="0093416F" w:rsidP="00633159">
      <w:pPr>
        <w:pStyle w:val="FootnoteText"/>
        <w:spacing w:after="80"/>
        <w:rPr>
          <w:szCs w:val="20"/>
        </w:rPr>
      </w:pPr>
      <w:r w:rsidRPr="00FF7383">
        <w:rPr>
          <w:rStyle w:val="FootnoteReference"/>
          <w:szCs w:val="20"/>
        </w:rPr>
        <w:footnoteRef/>
      </w:r>
      <w:r w:rsidR="008E65DC" w:rsidRPr="00FF7383">
        <w:rPr>
          <w:szCs w:val="20"/>
        </w:rPr>
        <w:t xml:space="preserve"> </w:t>
      </w:r>
      <w:r w:rsidR="004E7D83" w:rsidRPr="00FF7383">
        <w:rPr>
          <w:szCs w:val="20"/>
          <w:u w:val="single"/>
        </w:rPr>
        <w:t>See</w:t>
      </w:r>
      <w:r w:rsidR="002F19E1" w:rsidRPr="00FF7383">
        <w:rPr>
          <w:szCs w:val="20"/>
        </w:rPr>
        <w:t xml:space="preserve"> Tr. 4204:9-21.</w:t>
      </w:r>
    </w:p>
  </w:footnote>
  <w:footnote w:id="26">
    <w:p w14:paraId="016A8F64" w14:textId="755979C4" w:rsidR="0038184C" w:rsidRPr="00FF7383" w:rsidRDefault="0038184C" w:rsidP="00633159">
      <w:pPr>
        <w:pStyle w:val="FootnoteText"/>
        <w:spacing w:after="80"/>
        <w:rPr>
          <w:szCs w:val="20"/>
        </w:rPr>
      </w:pPr>
      <w:r w:rsidRPr="00FF7383">
        <w:rPr>
          <w:rStyle w:val="FootnoteReference"/>
          <w:szCs w:val="20"/>
        </w:rPr>
        <w:footnoteRef/>
      </w:r>
      <w:r w:rsidRPr="00FF7383">
        <w:rPr>
          <w:szCs w:val="20"/>
        </w:rPr>
        <w:t xml:space="preserve"> </w:t>
      </w:r>
      <w:r w:rsidRPr="00FF7383">
        <w:rPr>
          <w:szCs w:val="20"/>
          <w:u w:val="single"/>
        </w:rPr>
        <w:t>See</w:t>
      </w:r>
      <w:r w:rsidRPr="00FF7383">
        <w:rPr>
          <w:szCs w:val="20"/>
        </w:rPr>
        <w:t xml:space="preserve"> </w:t>
      </w:r>
      <w:bookmarkStart w:id="7" w:name="_Hlk121310528"/>
      <w:r w:rsidR="00F90115" w:rsidRPr="00FF7383">
        <w:rPr>
          <w:szCs w:val="20"/>
        </w:rPr>
        <w:t xml:space="preserve">Tr. at </w:t>
      </w:r>
      <w:r w:rsidR="00B247AB" w:rsidRPr="00FF7383">
        <w:rPr>
          <w:szCs w:val="20"/>
        </w:rPr>
        <w:t>4121</w:t>
      </w:r>
      <w:r w:rsidR="00F90115" w:rsidRPr="00FF7383">
        <w:rPr>
          <w:szCs w:val="20"/>
        </w:rPr>
        <w:t>, Fig</w:t>
      </w:r>
      <w:r w:rsidR="00160A20" w:rsidRPr="00FF7383">
        <w:rPr>
          <w:szCs w:val="20"/>
        </w:rPr>
        <w:t>.</w:t>
      </w:r>
      <w:r w:rsidR="00F90115" w:rsidRPr="00FF7383">
        <w:rPr>
          <w:szCs w:val="20"/>
        </w:rPr>
        <w:t xml:space="preserve"> 2.</w:t>
      </w:r>
      <w:bookmarkEnd w:id="7"/>
      <w:r w:rsidRPr="00FF7383">
        <w:rPr>
          <w:szCs w:val="20"/>
        </w:rPr>
        <w:t xml:space="preserve"> </w:t>
      </w:r>
    </w:p>
  </w:footnote>
  <w:footnote w:id="27">
    <w:p w14:paraId="3BB10CE7" w14:textId="0584087A" w:rsidR="00645BCD" w:rsidRPr="00FF7383" w:rsidRDefault="00645BCD" w:rsidP="00633159">
      <w:pPr>
        <w:pStyle w:val="FootnoteText"/>
        <w:spacing w:after="80"/>
        <w:rPr>
          <w:szCs w:val="20"/>
        </w:rPr>
      </w:pPr>
      <w:r w:rsidRPr="00FF7383">
        <w:rPr>
          <w:rStyle w:val="FootnoteReference"/>
          <w:szCs w:val="20"/>
        </w:rPr>
        <w:footnoteRef/>
      </w:r>
      <w:r w:rsidRPr="00FF7383">
        <w:rPr>
          <w:szCs w:val="20"/>
        </w:rPr>
        <w:t xml:space="preserve"> RRA is a group within S&amp;P Global Market Intelligence</w:t>
      </w:r>
      <w:r w:rsidR="00F73EB3" w:rsidRPr="00FF7383">
        <w:rPr>
          <w:szCs w:val="20"/>
        </w:rPr>
        <w:t xml:space="preserve"> that provides analysis, data and consultation services for the utility services industry.</w:t>
      </w:r>
    </w:p>
  </w:footnote>
  <w:footnote w:id="28">
    <w:p w14:paraId="36A18E41" w14:textId="2D33542E" w:rsidR="00874D38" w:rsidRPr="00FF7383" w:rsidRDefault="00874D38" w:rsidP="00633159">
      <w:pPr>
        <w:pStyle w:val="FootnoteText"/>
        <w:spacing w:after="80"/>
        <w:rPr>
          <w:szCs w:val="20"/>
        </w:rPr>
      </w:pPr>
      <w:r w:rsidRPr="00FF7383">
        <w:rPr>
          <w:rStyle w:val="FootnoteReference"/>
          <w:szCs w:val="20"/>
        </w:rPr>
        <w:footnoteRef/>
      </w:r>
      <w:r w:rsidRPr="00FF7383">
        <w:rPr>
          <w:szCs w:val="20"/>
        </w:rPr>
        <w:t xml:space="preserve"> </w:t>
      </w:r>
      <w:r w:rsidR="00FD1FFD" w:rsidRPr="00FF7383">
        <w:rPr>
          <w:szCs w:val="20"/>
          <w:u w:val="single"/>
        </w:rPr>
        <w:t>See</w:t>
      </w:r>
      <w:r w:rsidR="00FD1FFD" w:rsidRPr="00FF7383">
        <w:rPr>
          <w:szCs w:val="20"/>
        </w:rPr>
        <w:t xml:space="preserve"> </w:t>
      </w:r>
      <w:r w:rsidRPr="00FF7383">
        <w:rPr>
          <w:szCs w:val="20"/>
        </w:rPr>
        <w:t xml:space="preserve">Tr. at </w:t>
      </w:r>
      <w:r w:rsidR="00480B50" w:rsidRPr="00FF7383">
        <w:rPr>
          <w:szCs w:val="20"/>
        </w:rPr>
        <w:t>421</w:t>
      </w:r>
      <w:r w:rsidR="00DF114D" w:rsidRPr="00FF7383">
        <w:rPr>
          <w:szCs w:val="20"/>
        </w:rPr>
        <w:t>6</w:t>
      </w:r>
      <w:r w:rsidR="00480B50" w:rsidRPr="00FF7383">
        <w:rPr>
          <w:szCs w:val="20"/>
        </w:rPr>
        <w:t>:19-2</w:t>
      </w:r>
      <w:r w:rsidR="00DF114D" w:rsidRPr="00FF7383">
        <w:rPr>
          <w:szCs w:val="20"/>
        </w:rPr>
        <w:t>5 and 4217:1-4</w:t>
      </w:r>
      <w:r w:rsidRPr="00FF7383">
        <w:rPr>
          <w:szCs w:val="20"/>
        </w:rPr>
        <w:t>.</w:t>
      </w:r>
    </w:p>
  </w:footnote>
  <w:footnote w:id="29">
    <w:p w14:paraId="14148578" w14:textId="52BFD79F" w:rsidR="00F2152E" w:rsidRPr="00FF7383" w:rsidRDefault="00F2152E" w:rsidP="00633159">
      <w:pPr>
        <w:pStyle w:val="FootnoteText"/>
        <w:spacing w:after="80"/>
        <w:rPr>
          <w:szCs w:val="20"/>
        </w:rPr>
      </w:pPr>
      <w:r w:rsidRPr="00FF7383">
        <w:rPr>
          <w:rStyle w:val="FootnoteReference"/>
          <w:szCs w:val="20"/>
        </w:rPr>
        <w:footnoteRef/>
      </w:r>
      <w:r w:rsidRPr="00FF7383">
        <w:rPr>
          <w:i/>
          <w:iCs/>
          <w:szCs w:val="20"/>
        </w:rPr>
        <w:t xml:space="preserve"> In the matter of the application of DTE ELECTRIC COMPANY for authority to increase its rates, amend its rate schedules and rules governing the distribution and supply of electric energy, and for miscellaneous accounting authority</w:t>
      </w:r>
      <w:r w:rsidR="00E933BF" w:rsidRPr="00FF7383">
        <w:rPr>
          <w:szCs w:val="20"/>
        </w:rPr>
        <w:t>, Michigan Public Service Commission</w:t>
      </w:r>
      <w:r w:rsidRPr="00FF7383">
        <w:rPr>
          <w:szCs w:val="20"/>
        </w:rPr>
        <w:t xml:space="preserve"> Case No. U-20836, Order </w:t>
      </w:r>
      <w:r w:rsidR="00F73EB3" w:rsidRPr="00FF7383">
        <w:rPr>
          <w:szCs w:val="20"/>
        </w:rPr>
        <w:t xml:space="preserve">dated November 18, 2022 </w:t>
      </w:r>
      <w:r w:rsidRPr="00FF7383">
        <w:rPr>
          <w:szCs w:val="20"/>
        </w:rPr>
        <w:t>at 243.</w:t>
      </w:r>
    </w:p>
  </w:footnote>
  <w:footnote w:id="30">
    <w:p w14:paraId="3CDE46B4" w14:textId="1A704D06"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bookmarkStart w:id="8" w:name="_Hlk121309330"/>
      <w:r w:rsidR="00F90115" w:rsidRPr="00FF7383">
        <w:rPr>
          <w:szCs w:val="20"/>
          <w:u w:val="single"/>
        </w:rPr>
        <w:t>See</w:t>
      </w:r>
      <w:r w:rsidR="00F90115" w:rsidRPr="00FF7383">
        <w:rPr>
          <w:szCs w:val="20"/>
        </w:rPr>
        <w:t xml:space="preserve"> Tr. at 357</w:t>
      </w:r>
      <w:r w:rsidR="00B247AB" w:rsidRPr="00FF7383">
        <w:rPr>
          <w:szCs w:val="20"/>
        </w:rPr>
        <w:t>6</w:t>
      </w:r>
      <w:r w:rsidR="00F90115" w:rsidRPr="00FF7383">
        <w:rPr>
          <w:szCs w:val="20"/>
        </w:rPr>
        <w:t>-357</w:t>
      </w:r>
      <w:r w:rsidR="00B247AB" w:rsidRPr="00FF7383">
        <w:rPr>
          <w:szCs w:val="20"/>
        </w:rPr>
        <w:t>8</w:t>
      </w:r>
      <w:r w:rsidR="00FD1FFD">
        <w:rPr>
          <w:szCs w:val="20"/>
        </w:rPr>
        <w:t>;</w:t>
      </w:r>
      <w:r w:rsidR="00F90115" w:rsidRPr="00FF7383">
        <w:rPr>
          <w:szCs w:val="20"/>
        </w:rPr>
        <w:t xml:space="preserve"> and Tr. at 360</w:t>
      </w:r>
      <w:r w:rsidR="00FD1FFD">
        <w:rPr>
          <w:szCs w:val="20"/>
        </w:rPr>
        <w:t>5</w:t>
      </w:r>
      <w:r w:rsidR="00F90115" w:rsidRPr="00FF7383">
        <w:rPr>
          <w:szCs w:val="20"/>
        </w:rPr>
        <w:t>.</w:t>
      </w:r>
      <w:bookmarkEnd w:id="8"/>
      <w:r w:rsidR="00F90115" w:rsidRPr="00FF7383">
        <w:rPr>
          <w:szCs w:val="20"/>
        </w:rPr>
        <w:t xml:space="preserve"> </w:t>
      </w:r>
    </w:p>
  </w:footnote>
  <w:footnote w:id="31">
    <w:p w14:paraId="25B6C1A6" w14:textId="6BFFE03C" w:rsidR="00B31095" w:rsidRPr="00FF7383" w:rsidRDefault="00B31095" w:rsidP="00633159">
      <w:pPr>
        <w:pStyle w:val="FootnoteText"/>
        <w:spacing w:after="80"/>
        <w:rPr>
          <w:szCs w:val="20"/>
        </w:rPr>
      </w:pPr>
      <w:r w:rsidRPr="00FF7383">
        <w:rPr>
          <w:rStyle w:val="FootnoteReference"/>
          <w:szCs w:val="20"/>
        </w:rPr>
        <w:footnoteRef/>
      </w:r>
      <w:r w:rsidRPr="00FF7383">
        <w:rPr>
          <w:szCs w:val="20"/>
        </w:rPr>
        <w:t xml:space="preserve"> </w:t>
      </w:r>
      <w:bookmarkStart w:id="9" w:name="_Hlk121309368"/>
      <w:r w:rsidR="00F90115" w:rsidRPr="00FF7383">
        <w:rPr>
          <w:szCs w:val="20"/>
        </w:rPr>
        <w:t>Tr. at 344</w:t>
      </w:r>
      <w:r w:rsidR="00B247AB" w:rsidRPr="00FF7383">
        <w:rPr>
          <w:szCs w:val="20"/>
        </w:rPr>
        <w:t>2</w:t>
      </w:r>
      <w:r w:rsidR="00F90115" w:rsidRPr="00FF7383">
        <w:rPr>
          <w:szCs w:val="20"/>
        </w:rPr>
        <w:t>.</w:t>
      </w:r>
      <w:bookmarkEnd w:id="9"/>
    </w:p>
  </w:footnote>
  <w:footnote w:id="32">
    <w:p w14:paraId="05C8A262" w14:textId="524A4D97"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bookmarkStart w:id="10" w:name="_Hlk121309385"/>
      <w:r w:rsidR="00F90115" w:rsidRPr="00FF7383">
        <w:rPr>
          <w:szCs w:val="20"/>
        </w:rPr>
        <w:t>Tr. at 344</w:t>
      </w:r>
      <w:r w:rsidR="00B247AB" w:rsidRPr="00FF7383">
        <w:rPr>
          <w:szCs w:val="20"/>
        </w:rPr>
        <w:t>2</w:t>
      </w:r>
      <w:r w:rsidR="00F90115" w:rsidRPr="00FF7383">
        <w:rPr>
          <w:szCs w:val="20"/>
        </w:rPr>
        <w:t>,</w:t>
      </w:r>
      <w:r w:rsidR="00155A8F" w:rsidRPr="00FF7383">
        <w:rPr>
          <w:szCs w:val="20"/>
        </w:rPr>
        <w:t xml:space="preserve"> </w:t>
      </w:r>
      <w:r w:rsidR="00F90115" w:rsidRPr="00FF7383">
        <w:rPr>
          <w:szCs w:val="20"/>
        </w:rPr>
        <w:t>346</w:t>
      </w:r>
      <w:r w:rsidR="00B247AB" w:rsidRPr="00FF7383">
        <w:rPr>
          <w:szCs w:val="20"/>
        </w:rPr>
        <w:t>8</w:t>
      </w:r>
      <w:r w:rsidR="00F90115" w:rsidRPr="00FF7383">
        <w:rPr>
          <w:szCs w:val="20"/>
        </w:rPr>
        <w:t xml:space="preserve">, </w:t>
      </w:r>
      <w:r w:rsidR="00FD1FFD">
        <w:rPr>
          <w:szCs w:val="20"/>
        </w:rPr>
        <w:t xml:space="preserve">and </w:t>
      </w:r>
      <w:r w:rsidR="00F90115" w:rsidRPr="00FF7383">
        <w:rPr>
          <w:szCs w:val="20"/>
        </w:rPr>
        <w:t>347</w:t>
      </w:r>
      <w:bookmarkEnd w:id="10"/>
      <w:r w:rsidR="00B247AB" w:rsidRPr="00FF7383">
        <w:rPr>
          <w:szCs w:val="20"/>
        </w:rPr>
        <w:t>8</w:t>
      </w:r>
      <w:r w:rsidRPr="00FF7383">
        <w:rPr>
          <w:szCs w:val="20"/>
        </w:rPr>
        <w:t>.</w:t>
      </w:r>
    </w:p>
  </w:footnote>
  <w:footnote w:id="33">
    <w:p w14:paraId="7D0A2ED6" w14:textId="1DC1BE7F"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bookmarkStart w:id="11" w:name="_Hlk121309412"/>
      <w:r w:rsidR="00F90115" w:rsidRPr="00FF7383">
        <w:rPr>
          <w:szCs w:val="20"/>
          <w:u w:val="single"/>
        </w:rPr>
        <w:t>See</w:t>
      </w:r>
      <w:r w:rsidR="00F90115" w:rsidRPr="00FF7383">
        <w:rPr>
          <w:szCs w:val="20"/>
        </w:rPr>
        <w:t xml:space="preserve"> Tr. at 0656, Fig. 7; Tr. at 35</w:t>
      </w:r>
      <w:r w:rsidR="00B247AB" w:rsidRPr="00FF7383">
        <w:rPr>
          <w:szCs w:val="20"/>
        </w:rPr>
        <w:t>80</w:t>
      </w:r>
      <w:r w:rsidR="00F90115" w:rsidRPr="00FF7383">
        <w:rPr>
          <w:szCs w:val="20"/>
        </w:rPr>
        <w:t>; and Tr. at 2</w:t>
      </w:r>
      <w:r w:rsidR="00B247AB" w:rsidRPr="00FF7383">
        <w:rPr>
          <w:szCs w:val="20"/>
        </w:rPr>
        <w:t>701</w:t>
      </w:r>
      <w:bookmarkEnd w:id="11"/>
      <w:r w:rsidR="00F90115" w:rsidRPr="00FF7383">
        <w:rPr>
          <w:szCs w:val="20"/>
        </w:rPr>
        <w:t>.</w:t>
      </w:r>
    </w:p>
  </w:footnote>
  <w:footnote w:id="34">
    <w:p w14:paraId="0AB3D283" w14:textId="2779EDDB"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bookmarkStart w:id="12" w:name="_Hlk121309428"/>
      <w:r w:rsidR="00F90115" w:rsidRPr="00FF7383">
        <w:rPr>
          <w:szCs w:val="20"/>
        </w:rPr>
        <w:t>Tr. at 347</w:t>
      </w:r>
      <w:r w:rsidR="00B247AB" w:rsidRPr="00FF7383">
        <w:rPr>
          <w:szCs w:val="20"/>
        </w:rPr>
        <w:t>8</w:t>
      </w:r>
      <w:bookmarkEnd w:id="12"/>
      <w:r w:rsidR="00F90115" w:rsidRPr="00FF7383">
        <w:rPr>
          <w:szCs w:val="20"/>
        </w:rPr>
        <w:t>.</w:t>
      </w:r>
    </w:p>
  </w:footnote>
  <w:footnote w:id="35">
    <w:p w14:paraId="2F9FAE5A" w14:textId="6028D724"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bookmarkStart w:id="13" w:name="_Hlk121309443"/>
      <w:r w:rsidR="00C56DCC" w:rsidRPr="00FF7383">
        <w:rPr>
          <w:szCs w:val="20"/>
        </w:rPr>
        <w:t xml:space="preserve">Tr. 3483-A, </w:t>
      </w:r>
      <w:r w:rsidR="00CF2EE8" w:rsidRPr="00FF7383">
        <w:rPr>
          <w:szCs w:val="20"/>
        </w:rPr>
        <w:t xml:space="preserve">Table 7. </w:t>
      </w:r>
      <w:bookmarkEnd w:id="13"/>
    </w:p>
  </w:footnote>
  <w:footnote w:id="36">
    <w:p w14:paraId="3A2132E4" w14:textId="24FBCD3F" w:rsidR="004A40D8" w:rsidRPr="00FF7383" w:rsidRDefault="004A40D8" w:rsidP="00633159">
      <w:pPr>
        <w:pStyle w:val="FootnoteText"/>
        <w:spacing w:after="80"/>
        <w:rPr>
          <w:szCs w:val="20"/>
        </w:rPr>
      </w:pPr>
      <w:r w:rsidRPr="00FF7383">
        <w:rPr>
          <w:rStyle w:val="FootnoteReference"/>
          <w:szCs w:val="20"/>
        </w:rPr>
        <w:footnoteRef/>
      </w:r>
      <w:r w:rsidRPr="00FF7383">
        <w:rPr>
          <w:szCs w:val="20"/>
        </w:rPr>
        <w:t xml:space="preserve"> See </w:t>
      </w:r>
      <w:r w:rsidR="00F90115" w:rsidRPr="00FF7383">
        <w:rPr>
          <w:szCs w:val="20"/>
        </w:rPr>
        <w:t>Tr. at 0662, Fig. 9</w:t>
      </w:r>
      <w:r w:rsidRPr="00FF7383">
        <w:rPr>
          <w:szCs w:val="20"/>
        </w:rPr>
        <w:t xml:space="preserve">; </w:t>
      </w:r>
      <w:r w:rsidR="00F90115" w:rsidRPr="00FF7383">
        <w:rPr>
          <w:szCs w:val="20"/>
        </w:rPr>
        <w:t>Tr. at 35</w:t>
      </w:r>
      <w:r w:rsidR="00CF2EE8" w:rsidRPr="00FF7383">
        <w:rPr>
          <w:szCs w:val="20"/>
        </w:rPr>
        <w:t>80</w:t>
      </w:r>
      <w:r w:rsidR="00F90115" w:rsidRPr="00FF7383">
        <w:rPr>
          <w:szCs w:val="20"/>
        </w:rPr>
        <w:t>, Table 16</w:t>
      </w:r>
      <w:r w:rsidR="00B03BDA" w:rsidRPr="00FF7383">
        <w:rPr>
          <w:szCs w:val="20"/>
        </w:rPr>
        <w:t>;</w:t>
      </w:r>
      <w:r w:rsidRPr="00FF7383">
        <w:rPr>
          <w:szCs w:val="20"/>
        </w:rPr>
        <w:t xml:space="preserve"> </w:t>
      </w:r>
      <w:r w:rsidR="009B0883" w:rsidRPr="00FF7383">
        <w:rPr>
          <w:szCs w:val="20"/>
        </w:rPr>
        <w:t>Tr. at 2</w:t>
      </w:r>
      <w:r w:rsidR="00CF2EE8" w:rsidRPr="00FF7383">
        <w:rPr>
          <w:szCs w:val="20"/>
        </w:rPr>
        <w:t>701</w:t>
      </w:r>
      <w:r w:rsidR="009B0883" w:rsidRPr="00FF7383">
        <w:rPr>
          <w:szCs w:val="20"/>
        </w:rPr>
        <w:t xml:space="preserve">, </w:t>
      </w:r>
      <w:r w:rsidR="00227CD3">
        <w:rPr>
          <w:szCs w:val="20"/>
        </w:rPr>
        <w:t xml:space="preserve">BSL </w:t>
      </w:r>
      <w:r w:rsidR="009B0883" w:rsidRPr="00FF7383">
        <w:rPr>
          <w:szCs w:val="20"/>
        </w:rPr>
        <w:t>Table 1</w:t>
      </w:r>
      <w:r w:rsidRPr="00FF7383">
        <w:rPr>
          <w:szCs w:val="20"/>
        </w:rPr>
        <w:t>; and</w:t>
      </w:r>
      <w:bookmarkStart w:id="15" w:name="_Hlk121309598"/>
      <w:r w:rsidR="009B0883" w:rsidRPr="00FF7383">
        <w:rPr>
          <w:szCs w:val="20"/>
        </w:rPr>
        <w:t xml:space="preserve"> Tr. at 2</w:t>
      </w:r>
      <w:r w:rsidR="00742A63" w:rsidRPr="00FF7383">
        <w:rPr>
          <w:szCs w:val="20"/>
        </w:rPr>
        <w:t>900</w:t>
      </w:r>
      <w:bookmarkEnd w:id="15"/>
      <w:r w:rsidRPr="00FF7383">
        <w:rPr>
          <w:szCs w:val="20"/>
        </w:rPr>
        <w:t xml:space="preserve">. </w:t>
      </w:r>
    </w:p>
  </w:footnote>
  <w:footnote w:id="37">
    <w:p w14:paraId="7B8E5628" w14:textId="01DC857D" w:rsidR="00B31095" w:rsidRPr="00FF7383" w:rsidRDefault="00B31095" w:rsidP="00633159">
      <w:pPr>
        <w:pStyle w:val="FootnoteText"/>
        <w:spacing w:after="80"/>
        <w:rPr>
          <w:szCs w:val="20"/>
        </w:rPr>
      </w:pPr>
      <w:r w:rsidRPr="00FF7383">
        <w:rPr>
          <w:rStyle w:val="FootnoteReference"/>
          <w:szCs w:val="20"/>
        </w:rPr>
        <w:footnoteRef/>
      </w:r>
      <w:r w:rsidRPr="00FF7383">
        <w:rPr>
          <w:szCs w:val="20"/>
        </w:rPr>
        <w:t xml:space="preserve"> </w:t>
      </w:r>
      <w:r w:rsidR="009B0883" w:rsidRPr="00FF7383">
        <w:rPr>
          <w:szCs w:val="20"/>
          <w:u w:val="single"/>
        </w:rPr>
        <w:t>See</w:t>
      </w:r>
      <w:r w:rsidR="009B0883" w:rsidRPr="00FF7383">
        <w:rPr>
          <w:szCs w:val="20"/>
        </w:rPr>
        <w:t xml:space="preserve"> Tr. at 347</w:t>
      </w:r>
      <w:r w:rsidR="00742A63" w:rsidRPr="00FF7383">
        <w:rPr>
          <w:szCs w:val="20"/>
        </w:rPr>
        <w:t>2</w:t>
      </w:r>
      <w:r w:rsidR="009B0883" w:rsidRPr="00FF7383">
        <w:rPr>
          <w:szCs w:val="20"/>
        </w:rPr>
        <w:t xml:space="preserve">; </w:t>
      </w:r>
      <w:bookmarkStart w:id="16" w:name="_Hlk121311091"/>
      <w:r w:rsidR="009B0883" w:rsidRPr="00FF7383">
        <w:rPr>
          <w:szCs w:val="20"/>
        </w:rPr>
        <w:t>Tr. at 35</w:t>
      </w:r>
      <w:r w:rsidR="00742A63" w:rsidRPr="00FF7383">
        <w:rPr>
          <w:szCs w:val="20"/>
        </w:rPr>
        <w:t>80</w:t>
      </w:r>
      <w:bookmarkEnd w:id="16"/>
      <w:r w:rsidR="009B0883" w:rsidRPr="00FF7383">
        <w:rPr>
          <w:szCs w:val="20"/>
        </w:rPr>
        <w:t xml:space="preserve">; and </w:t>
      </w:r>
      <w:bookmarkStart w:id="17" w:name="_Hlk121311185"/>
      <w:r w:rsidR="009B0883" w:rsidRPr="00FF7383">
        <w:rPr>
          <w:szCs w:val="20"/>
        </w:rPr>
        <w:t>Tr. at 2</w:t>
      </w:r>
      <w:r w:rsidR="00742A63" w:rsidRPr="00FF7383">
        <w:rPr>
          <w:szCs w:val="20"/>
        </w:rPr>
        <w:t>701</w:t>
      </w:r>
      <w:bookmarkEnd w:id="17"/>
      <w:r w:rsidR="009B0883" w:rsidRPr="00FF7383">
        <w:rPr>
          <w:szCs w:val="20"/>
        </w:rPr>
        <w:t>.</w:t>
      </w:r>
    </w:p>
  </w:footnote>
  <w:footnote w:id="38">
    <w:p w14:paraId="1BF08678" w14:textId="4406DB3B"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r w:rsidR="009B0883" w:rsidRPr="00FF7383">
        <w:rPr>
          <w:szCs w:val="20"/>
        </w:rPr>
        <w:t>Tr. at 347</w:t>
      </w:r>
      <w:r w:rsidR="00742A63" w:rsidRPr="00FF7383">
        <w:rPr>
          <w:szCs w:val="20"/>
        </w:rPr>
        <w:t>5</w:t>
      </w:r>
      <w:r w:rsidR="009B0883" w:rsidRPr="00FF7383">
        <w:rPr>
          <w:szCs w:val="20"/>
        </w:rPr>
        <w:t>, Table 6.</w:t>
      </w:r>
    </w:p>
  </w:footnote>
  <w:footnote w:id="39">
    <w:p w14:paraId="75635FEA" w14:textId="04EA58A0"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bookmarkStart w:id="18" w:name="_Hlk121309690"/>
      <w:r w:rsidR="009B0883" w:rsidRPr="00FF7383">
        <w:rPr>
          <w:szCs w:val="20"/>
        </w:rPr>
        <w:t>Tr. at 347</w:t>
      </w:r>
      <w:r w:rsidR="00742A63" w:rsidRPr="00FF7383">
        <w:rPr>
          <w:szCs w:val="20"/>
        </w:rPr>
        <w:t>2</w:t>
      </w:r>
      <w:r w:rsidR="009B0883" w:rsidRPr="00FF7383">
        <w:rPr>
          <w:szCs w:val="20"/>
        </w:rPr>
        <w:t>-347</w:t>
      </w:r>
      <w:r w:rsidR="00742A63" w:rsidRPr="00FF7383">
        <w:rPr>
          <w:szCs w:val="20"/>
        </w:rPr>
        <w:t>4</w:t>
      </w:r>
      <w:r w:rsidR="009B0883" w:rsidRPr="00FF7383">
        <w:rPr>
          <w:szCs w:val="20"/>
        </w:rPr>
        <w:t>.</w:t>
      </w:r>
      <w:bookmarkEnd w:id="18"/>
    </w:p>
  </w:footnote>
  <w:footnote w:id="40">
    <w:p w14:paraId="0063884D" w14:textId="56153854"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r w:rsidR="009B0883" w:rsidRPr="00FF7383">
        <w:rPr>
          <w:szCs w:val="20"/>
        </w:rPr>
        <w:t>Tr. at 0661, Fig. 8.</w:t>
      </w:r>
    </w:p>
  </w:footnote>
  <w:footnote w:id="41">
    <w:p w14:paraId="0570A1DB" w14:textId="071EDCD0"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bookmarkStart w:id="19" w:name="_Hlk121311063"/>
      <w:r w:rsidR="00876B82" w:rsidRPr="00FF7383">
        <w:rPr>
          <w:szCs w:val="20"/>
        </w:rPr>
        <w:t>Tr. at 0662, Fig. 9.</w:t>
      </w:r>
      <w:bookmarkEnd w:id="19"/>
    </w:p>
  </w:footnote>
  <w:footnote w:id="42">
    <w:p w14:paraId="4CFE04A8" w14:textId="4609D96D"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r w:rsidR="00876B82" w:rsidRPr="00FF7383">
        <w:rPr>
          <w:szCs w:val="20"/>
        </w:rPr>
        <w:t>Tr. at 0667, Fig. 12.</w:t>
      </w:r>
    </w:p>
  </w:footnote>
  <w:footnote w:id="43">
    <w:p w14:paraId="48058EC9" w14:textId="0DE5B5CA"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Tr. at 3500:16-23.</w:t>
      </w:r>
    </w:p>
  </w:footnote>
  <w:footnote w:id="44">
    <w:p w14:paraId="1843A258" w14:textId="0DEC4D12"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bookmarkStart w:id="20" w:name="_Hlk120872396"/>
      <w:r w:rsidRPr="00FF7383">
        <w:rPr>
          <w:szCs w:val="20"/>
        </w:rPr>
        <w:t>Tr. at 3490:5-16.</w:t>
      </w:r>
      <w:bookmarkEnd w:id="20"/>
    </w:p>
  </w:footnote>
  <w:footnote w:id="45">
    <w:p w14:paraId="75B7BDF7" w14:textId="00F81AEB"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Tr. at 0668</w:t>
      </w:r>
      <w:r w:rsidR="003A6044" w:rsidRPr="00FF7383">
        <w:rPr>
          <w:szCs w:val="20"/>
        </w:rPr>
        <w:t>-</w:t>
      </w:r>
      <w:r w:rsidRPr="00FF7383">
        <w:rPr>
          <w:szCs w:val="20"/>
        </w:rPr>
        <w:t>0670.</w:t>
      </w:r>
      <w:r w:rsidR="009B0883" w:rsidRPr="00FF7383">
        <w:rPr>
          <w:szCs w:val="20"/>
        </w:rPr>
        <w:t xml:space="preserve"> </w:t>
      </w:r>
    </w:p>
  </w:footnote>
  <w:footnote w:id="46">
    <w:p w14:paraId="350FADB2" w14:textId="11CC0C28" w:rsidR="006C28A7" w:rsidRPr="00FF7383" w:rsidRDefault="006C28A7" w:rsidP="00633159">
      <w:pPr>
        <w:pStyle w:val="FootnoteText"/>
        <w:spacing w:after="80"/>
        <w:rPr>
          <w:szCs w:val="20"/>
        </w:rPr>
      </w:pPr>
      <w:r w:rsidRPr="00FF7383">
        <w:rPr>
          <w:rStyle w:val="FootnoteReference"/>
          <w:szCs w:val="20"/>
        </w:rPr>
        <w:footnoteRef/>
      </w:r>
      <w:r w:rsidRPr="00FF7383">
        <w:rPr>
          <w:szCs w:val="20"/>
        </w:rPr>
        <w:t xml:space="preserve"> </w:t>
      </w:r>
      <w:r w:rsidR="00876B82" w:rsidRPr="00FF7383">
        <w:rPr>
          <w:szCs w:val="20"/>
          <w:u w:val="single"/>
        </w:rPr>
        <w:t>See</w:t>
      </w:r>
      <w:r w:rsidR="00876B82" w:rsidRPr="00FF7383">
        <w:rPr>
          <w:szCs w:val="20"/>
        </w:rPr>
        <w:t xml:space="preserve"> Tr. at 34</w:t>
      </w:r>
      <w:r w:rsidR="00742A63" w:rsidRPr="00FF7383">
        <w:rPr>
          <w:szCs w:val="20"/>
        </w:rPr>
        <w:t>81</w:t>
      </w:r>
      <w:r w:rsidR="00876B82" w:rsidRPr="00FF7383">
        <w:rPr>
          <w:szCs w:val="20"/>
        </w:rPr>
        <w:t>.</w:t>
      </w:r>
    </w:p>
  </w:footnote>
  <w:footnote w:id="47">
    <w:p w14:paraId="24FFAF2F" w14:textId="5BFB1F64"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bookmarkStart w:id="21" w:name="_Hlk121215672"/>
      <w:r w:rsidR="003A6044" w:rsidRPr="00FF7383">
        <w:rPr>
          <w:szCs w:val="20"/>
          <w:u w:val="single"/>
        </w:rPr>
        <w:t>See</w:t>
      </w:r>
      <w:r w:rsidR="003A6044" w:rsidRPr="00FF7383">
        <w:rPr>
          <w:szCs w:val="20"/>
        </w:rPr>
        <w:t xml:space="preserve"> </w:t>
      </w:r>
      <w:r w:rsidR="00FD1FFD" w:rsidRPr="00FF7383">
        <w:rPr>
          <w:szCs w:val="20"/>
        </w:rPr>
        <w:t>Tr. at 3481</w:t>
      </w:r>
      <w:r w:rsidR="00876B82" w:rsidRPr="00FF7383">
        <w:rPr>
          <w:szCs w:val="20"/>
        </w:rPr>
        <w:t xml:space="preserve">. </w:t>
      </w:r>
      <w:bookmarkEnd w:id="21"/>
    </w:p>
  </w:footnote>
  <w:footnote w:id="48">
    <w:p w14:paraId="7FF05AB0" w14:textId="6CCE11A5"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r w:rsidR="00742A63" w:rsidRPr="00FF7383">
        <w:rPr>
          <w:szCs w:val="20"/>
        </w:rPr>
        <w:t>Tr. at 3482.</w:t>
      </w:r>
    </w:p>
  </w:footnote>
  <w:footnote w:id="49">
    <w:p w14:paraId="42D4101E" w14:textId="65D4C0AE"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Tr. at 0572:12-18.</w:t>
      </w:r>
    </w:p>
  </w:footnote>
  <w:footnote w:id="50">
    <w:p w14:paraId="5C7B243E" w14:textId="4BA284C7" w:rsidR="0093416F" w:rsidRPr="00FF7383" w:rsidRDefault="0093416F" w:rsidP="00633159">
      <w:pPr>
        <w:pStyle w:val="FootnoteText"/>
        <w:spacing w:after="80"/>
        <w:rPr>
          <w:szCs w:val="20"/>
        </w:rPr>
      </w:pPr>
      <w:r w:rsidRPr="00FF7383">
        <w:rPr>
          <w:rStyle w:val="FootnoteReference"/>
          <w:szCs w:val="20"/>
        </w:rPr>
        <w:footnoteRef/>
      </w:r>
      <w:r w:rsidRPr="00FF7383">
        <w:rPr>
          <w:szCs w:val="20"/>
        </w:rPr>
        <w:t xml:space="preserve"> </w:t>
      </w:r>
      <w:r w:rsidR="00876B82" w:rsidRPr="00FF7383">
        <w:rPr>
          <w:szCs w:val="20"/>
          <w:u w:val="single"/>
        </w:rPr>
        <w:t>See</w:t>
      </w:r>
      <w:r w:rsidR="00876B82" w:rsidRPr="00FF7383">
        <w:rPr>
          <w:szCs w:val="20"/>
        </w:rPr>
        <w:t xml:space="preserve"> Tr. at 359</w:t>
      </w:r>
      <w:r w:rsidR="00742A63" w:rsidRPr="00FF7383">
        <w:rPr>
          <w:szCs w:val="20"/>
        </w:rPr>
        <w:t>2</w:t>
      </w:r>
      <w:r w:rsidR="00876B82" w:rsidRPr="00FF7383">
        <w:rPr>
          <w:szCs w:val="20"/>
        </w:rPr>
        <w:t>; Tr. at 2</w:t>
      </w:r>
      <w:r w:rsidR="001548BB" w:rsidRPr="00FF7383">
        <w:rPr>
          <w:szCs w:val="20"/>
        </w:rPr>
        <w:t>901</w:t>
      </w:r>
      <w:r w:rsidR="00876B82" w:rsidRPr="00FF7383">
        <w:rPr>
          <w:szCs w:val="20"/>
        </w:rPr>
        <w:t>-2</w:t>
      </w:r>
      <w:r w:rsidR="001548BB" w:rsidRPr="00FF7383">
        <w:rPr>
          <w:szCs w:val="20"/>
        </w:rPr>
        <w:t>903</w:t>
      </w:r>
      <w:r w:rsidR="00876B82" w:rsidRPr="00FF7383">
        <w:rPr>
          <w:szCs w:val="20"/>
        </w:rPr>
        <w:t>; and Tr. at 270</w:t>
      </w:r>
      <w:r w:rsidR="001548BB" w:rsidRPr="00FF7383">
        <w:rPr>
          <w:szCs w:val="20"/>
        </w:rPr>
        <w:t>5</w:t>
      </w:r>
      <w:r w:rsidR="00876B82" w:rsidRPr="00FF7383">
        <w:rPr>
          <w:szCs w:val="20"/>
        </w:rPr>
        <w:t>.</w:t>
      </w:r>
    </w:p>
  </w:footnote>
  <w:footnote w:id="51">
    <w:p w14:paraId="155A9FE4" w14:textId="6E1D913E" w:rsidR="005A17AB" w:rsidRPr="00FF7383" w:rsidRDefault="005A17AB" w:rsidP="00633159">
      <w:pPr>
        <w:pStyle w:val="FootnoteText"/>
        <w:spacing w:after="80"/>
        <w:rPr>
          <w:szCs w:val="20"/>
        </w:rPr>
      </w:pPr>
      <w:r w:rsidRPr="00FF7383">
        <w:rPr>
          <w:rStyle w:val="FootnoteReference"/>
          <w:szCs w:val="20"/>
        </w:rPr>
        <w:footnoteRef/>
      </w:r>
      <w:r w:rsidRPr="00FF7383">
        <w:rPr>
          <w:szCs w:val="20"/>
        </w:rPr>
        <w:t xml:space="preserve"> </w:t>
      </w:r>
      <w:r w:rsidR="00E86B11" w:rsidRPr="00FF7383">
        <w:rPr>
          <w:szCs w:val="20"/>
        </w:rPr>
        <w:t xml:space="preserve">Tr. at </w:t>
      </w:r>
      <w:r w:rsidR="00570A43">
        <w:rPr>
          <w:szCs w:val="20"/>
        </w:rPr>
        <w:t>3414-</w:t>
      </w:r>
      <w:r w:rsidR="00E86B11" w:rsidRPr="00FF7383">
        <w:rPr>
          <w:szCs w:val="20"/>
        </w:rPr>
        <w:t>3415.</w:t>
      </w:r>
    </w:p>
  </w:footnote>
  <w:footnote w:id="52">
    <w:p w14:paraId="1162A9A8" w14:textId="31BC0537" w:rsidR="005A17AB" w:rsidRPr="00FF7383" w:rsidRDefault="005A17AB" w:rsidP="00633159">
      <w:pPr>
        <w:pStyle w:val="FootnoteText"/>
        <w:spacing w:after="80"/>
        <w:rPr>
          <w:szCs w:val="20"/>
        </w:rPr>
      </w:pPr>
      <w:r w:rsidRPr="00FF7383">
        <w:rPr>
          <w:rStyle w:val="FootnoteReference"/>
          <w:szCs w:val="20"/>
        </w:rPr>
        <w:footnoteRef/>
      </w:r>
      <w:r w:rsidRPr="00FF7383">
        <w:rPr>
          <w:szCs w:val="20"/>
        </w:rPr>
        <w:t xml:space="preserve"> Tr. at 265:4-15.</w:t>
      </w:r>
    </w:p>
  </w:footnote>
  <w:footnote w:id="53">
    <w:p w14:paraId="0649A551" w14:textId="361827E8" w:rsidR="005A17AB" w:rsidRPr="00FF7383" w:rsidRDefault="005A17AB" w:rsidP="00633159">
      <w:pPr>
        <w:pStyle w:val="FootnoteText"/>
        <w:spacing w:after="80"/>
        <w:rPr>
          <w:szCs w:val="20"/>
        </w:rPr>
      </w:pPr>
      <w:r w:rsidRPr="00FF7383">
        <w:rPr>
          <w:rStyle w:val="FootnoteReference"/>
          <w:szCs w:val="20"/>
        </w:rPr>
        <w:footnoteRef/>
      </w:r>
      <w:r w:rsidRPr="00FF7383">
        <w:rPr>
          <w:szCs w:val="20"/>
        </w:rPr>
        <w:t xml:space="preserve"> Tr. at 208.</w:t>
      </w:r>
    </w:p>
  </w:footnote>
  <w:footnote w:id="54">
    <w:p w14:paraId="39DCC548" w14:textId="7A30FD87" w:rsidR="00416801" w:rsidRPr="00FF7383" w:rsidRDefault="00416801" w:rsidP="00633159">
      <w:pPr>
        <w:pStyle w:val="FootnoteText"/>
        <w:spacing w:after="80"/>
        <w:rPr>
          <w:szCs w:val="20"/>
        </w:rPr>
      </w:pPr>
      <w:r w:rsidRPr="00FF7383">
        <w:rPr>
          <w:rStyle w:val="FootnoteReference"/>
          <w:szCs w:val="20"/>
        </w:rPr>
        <w:footnoteRef/>
      </w:r>
      <w:r w:rsidRPr="00FF7383">
        <w:rPr>
          <w:szCs w:val="20"/>
        </w:rPr>
        <w:t xml:space="preserve"> </w:t>
      </w:r>
      <w:r w:rsidR="00876B82" w:rsidRPr="00FF7383">
        <w:rPr>
          <w:szCs w:val="20"/>
        </w:rPr>
        <w:t>Tr. at 341</w:t>
      </w:r>
      <w:r w:rsidR="00E86B11" w:rsidRPr="00FF7383">
        <w:rPr>
          <w:szCs w:val="20"/>
        </w:rPr>
        <w:t>4</w:t>
      </w:r>
      <w:r w:rsidR="00876B82" w:rsidRPr="00FF7383">
        <w:rPr>
          <w:szCs w:val="20"/>
        </w:rPr>
        <w:t>.</w:t>
      </w:r>
    </w:p>
  </w:footnote>
  <w:footnote w:id="55">
    <w:p w14:paraId="3FE3E129" w14:textId="6A7DAD03" w:rsidR="00100A8F" w:rsidRDefault="00100A8F" w:rsidP="00100A8F">
      <w:pPr>
        <w:pStyle w:val="FootnoteText"/>
        <w:spacing w:after="80"/>
      </w:pPr>
      <w:r>
        <w:rPr>
          <w:rStyle w:val="FootnoteReference"/>
        </w:rPr>
        <w:footnoteRef/>
      </w:r>
      <w:r>
        <w:t xml:space="preserve"> Tr. at 3414.</w:t>
      </w:r>
    </w:p>
  </w:footnote>
  <w:footnote w:id="56">
    <w:p w14:paraId="5C41669E" w14:textId="447B2C7D" w:rsidR="00416801" w:rsidRPr="00FF7383" w:rsidRDefault="00416801" w:rsidP="00633159">
      <w:pPr>
        <w:pStyle w:val="FootnoteText"/>
        <w:spacing w:after="80"/>
        <w:rPr>
          <w:szCs w:val="20"/>
        </w:rPr>
      </w:pPr>
      <w:r w:rsidRPr="00FF7383">
        <w:rPr>
          <w:rStyle w:val="FootnoteReference"/>
          <w:szCs w:val="20"/>
        </w:rPr>
        <w:footnoteRef/>
      </w:r>
      <w:r w:rsidRPr="00FF7383">
        <w:rPr>
          <w:szCs w:val="20"/>
        </w:rPr>
        <w:t xml:space="preserve"> </w:t>
      </w:r>
      <w:r w:rsidR="00FD1FFD" w:rsidRPr="00FF7383">
        <w:rPr>
          <w:szCs w:val="20"/>
        </w:rPr>
        <w:t>Tr. at 3414</w:t>
      </w:r>
      <w:r w:rsidR="00BE6651" w:rsidRPr="00FF7383">
        <w:rPr>
          <w:szCs w:val="20"/>
        </w:rPr>
        <w:t>.</w:t>
      </w:r>
      <w:r w:rsidR="00E86B11" w:rsidRPr="00FF7383">
        <w:rPr>
          <w:szCs w:val="20"/>
        </w:rPr>
        <w:t xml:space="preserve"> </w:t>
      </w:r>
    </w:p>
  </w:footnote>
  <w:footnote w:id="57">
    <w:p w14:paraId="540A9F47" w14:textId="765E5E67" w:rsidR="00416801" w:rsidRPr="00FF7383" w:rsidRDefault="00416801" w:rsidP="00633159">
      <w:pPr>
        <w:pStyle w:val="FootnoteText"/>
        <w:spacing w:after="80"/>
        <w:rPr>
          <w:szCs w:val="20"/>
        </w:rPr>
      </w:pPr>
      <w:r w:rsidRPr="00FF7383">
        <w:rPr>
          <w:rStyle w:val="FootnoteReference"/>
          <w:szCs w:val="20"/>
        </w:rPr>
        <w:footnoteRef/>
      </w:r>
      <w:r w:rsidRPr="00FF7383">
        <w:rPr>
          <w:szCs w:val="20"/>
        </w:rPr>
        <w:t xml:space="preserve"> </w:t>
      </w:r>
      <w:r w:rsidR="00E86B11" w:rsidRPr="00FF7383">
        <w:rPr>
          <w:szCs w:val="20"/>
        </w:rPr>
        <w:t>Tr. at 341</w:t>
      </w:r>
      <w:r w:rsidR="00570A43">
        <w:rPr>
          <w:szCs w:val="20"/>
        </w:rPr>
        <w:t>3-3414</w:t>
      </w:r>
      <w:r w:rsidR="00E86B11" w:rsidRPr="00FF7383">
        <w:rPr>
          <w:szCs w:val="20"/>
        </w:rPr>
        <w:t>.</w:t>
      </w:r>
    </w:p>
  </w:footnote>
  <w:footnote w:id="58">
    <w:p w14:paraId="368D4581" w14:textId="31DE9CFD" w:rsidR="00416801" w:rsidRPr="00FF7383" w:rsidRDefault="00416801" w:rsidP="00633159">
      <w:pPr>
        <w:pStyle w:val="FootnoteText"/>
        <w:spacing w:after="80"/>
        <w:rPr>
          <w:szCs w:val="20"/>
        </w:rPr>
      </w:pPr>
      <w:r w:rsidRPr="00FF7383">
        <w:rPr>
          <w:rStyle w:val="FootnoteReference"/>
          <w:szCs w:val="20"/>
        </w:rPr>
        <w:footnoteRef/>
      </w:r>
      <w:r w:rsidRPr="00FF7383">
        <w:rPr>
          <w:szCs w:val="20"/>
        </w:rPr>
        <w:t xml:space="preserve"> </w:t>
      </w:r>
      <w:r w:rsidR="00876B82" w:rsidRPr="00FF7383">
        <w:rPr>
          <w:szCs w:val="20"/>
        </w:rPr>
        <w:t xml:space="preserve">As sponsored by GPC witness Mr. Lee Evans, with results summarized in </w:t>
      </w:r>
      <w:r w:rsidR="001F76B3" w:rsidRPr="00FF7383">
        <w:rPr>
          <w:szCs w:val="20"/>
        </w:rPr>
        <w:t>GPC Exhibits 27-34 (Exhibits LPE-1 through LPE-8).</w:t>
      </w:r>
    </w:p>
  </w:footnote>
  <w:footnote w:id="59">
    <w:p w14:paraId="64B0301E" w14:textId="5A1D27C2" w:rsidR="00416801" w:rsidRPr="00FF7383" w:rsidRDefault="00416801" w:rsidP="00633159">
      <w:pPr>
        <w:pStyle w:val="FootnoteText"/>
        <w:spacing w:after="80"/>
        <w:rPr>
          <w:szCs w:val="20"/>
        </w:rPr>
      </w:pPr>
      <w:r w:rsidRPr="00FF7383">
        <w:rPr>
          <w:rStyle w:val="FootnoteReference"/>
          <w:szCs w:val="20"/>
        </w:rPr>
        <w:footnoteRef/>
      </w:r>
      <w:r w:rsidRPr="00FF7383">
        <w:rPr>
          <w:szCs w:val="20"/>
        </w:rPr>
        <w:t xml:space="preserve"> </w:t>
      </w:r>
      <w:bookmarkStart w:id="24" w:name="_Hlk120990997"/>
      <w:r w:rsidR="00876B82" w:rsidRPr="00FF7383">
        <w:rPr>
          <w:szCs w:val="20"/>
        </w:rPr>
        <w:t>Tr. at 341</w:t>
      </w:r>
      <w:r w:rsidR="00E86B11" w:rsidRPr="00FF7383">
        <w:rPr>
          <w:szCs w:val="20"/>
        </w:rPr>
        <w:t>5</w:t>
      </w:r>
      <w:r w:rsidR="00876B82" w:rsidRPr="00FF7383">
        <w:rPr>
          <w:szCs w:val="20"/>
        </w:rPr>
        <w:t>.</w:t>
      </w:r>
      <w:bookmarkEnd w:id="24"/>
    </w:p>
  </w:footnote>
  <w:footnote w:id="60">
    <w:p w14:paraId="0970B19D" w14:textId="51FDB669" w:rsidR="00760C14" w:rsidRPr="00FF7383" w:rsidRDefault="00760C14" w:rsidP="00633159">
      <w:pPr>
        <w:pStyle w:val="FootnoteText"/>
        <w:spacing w:after="80"/>
        <w:rPr>
          <w:szCs w:val="20"/>
        </w:rPr>
      </w:pPr>
      <w:r w:rsidRPr="00FF7383">
        <w:rPr>
          <w:rStyle w:val="FootnoteReference"/>
          <w:szCs w:val="20"/>
        </w:rPr>
        <w:footnoteRef/>
      </w:r>
      <w:r w:rsidRPr="00FF7383">
        <w:rPr>
          <w:szCs w:val="20"/>
        </w:rPr>
        <w:t xml:space="preserve"> </w:t>
      </w:r>
      <w:r w:rsidR="00E86B11" w:rsidRPr="00FF7383">
        <w:rPr>
          <w:szCs w:val="20"/>
        </w:rPr>
        <w:t>Tr. at 42</w:t>
      </w:r>
      <w:r w:rsidR="00FC1B3E" w:rsidRPr="00FF7383">
        <w:rPr>
          <w:szCs w:val="20"/>
        </w:rPr>
        <w:t>5</w:t>
      </w:r>
      <w:r w:rsidR="00E86B11" w:rsidRPr="00FF7383">
        <w:rPr>
          <w:szCs w:val="20"/>
        </w:rPr>
        <w:t>3</w:t>
      </w:r>
      <w:r w:rsidR="00876B82" w:rsidRPr="00FF7383">
        <w:rPr>
          <w:szCs w:val="20"/>
        </w:rPr>
        <w:t>.</w:t>
      </w:r>
    </w:p>
  </w:footnote>
  <w:footnote w:id="61">
    <w:p w14:paraId="5632C8F6" w14:textId="0D4BCAD7" w:rsidR="00416801" w:rsidRPr="00FF7383" w:rsidRDefault="00416801" w:rsidP="00633159">
      <w:pPr>
        <w:pStyle w:val="FootnoteText"/>
        <w:spacing w:after="80"/>
        <w:rPr>
          <w:szCs w:val="20"/>
        </w:rPr>
      </w:pPr>
      <w:r w:rsidRPr="00FF7383">
        <w:rPr>
          <w:rStyle w:val="FootnoteReference"/>
          <w:szCs w:val="20"/>
        </w:rPr>
        <w:footnoteRef/>
      </w:r>
      <w:r w:rsidRPr="00FF7383">
        <w:rPr>
          <w:szCs w:val="20"/>
        </w:rPr>
        <w:t xml:space="preserve"> </w:t>
      </w:r>
      <w:r w:rsidR="00FD1FFD" w:rsidRPr="00FF7383">
        <w:rPr>
          <w:szCs w:val="20"/>
        </w:rPr>
        <w:t>Tr. at 4253</w:t>
      </w:r>
      <w:r w:rsidR="00FC1B3E" w:rsidRPr="00FF7383">
        <w:rPr>
          <w:szCs w:val="20"/>
        </w:rPr>
        <w:t>.</w:t>
      </w:r>
    </w:p>
  </w:footnote>
  <w:footnote w:id="62">
    <w:p w14:paraId="40A48EE0" w14:textId="53E42D5D" w:rsidR="00594765" w:rsidRPr="00FF7383" w:rsidRDefault="00594765" w:rsidP="00633159">
      <w:pPr>
        <w:pStyle w:val="FootnoteText"/>
        <w:spacing w:after="80"/>
        <w:rPr>
          <w:szCs w:val="20"/>
        </w:rPr>
      </w:pPr>
      <w:r w:rsidRPr="00FF7383">
        <w:rPr>
          <w:rStyle w:val="FootnoteReference"/>
          <w:szCs w:val="20"/>
        </w:rPr>
        <w:footnoteRef/>
      </w:r>
      <w:r w:rsidRPr="00FF7383">
        <w:rPr>
          <w:szCs w:val="20"/>
        </w:rPr>
        <w:t xml:space="preserve"> </w:t>
      </w:r>
      <w:r w:rsidR="00876B82" w:rsidRPr="00FF7383">
        <w:rPr>
          <w:szCs w:val="20"/>
        </w:rPr>
        <w:t>Tr. at 341</w:t>
      </w:r>
      <w:r w:rsidR="00FC1B3E" w:rsidRPr="00FF7383">
        <w:rPr>
          <w:szCs w:val="20"/>
        </w:rPr>
        <w:t>6</w:t>
      </w:r>
      <w:r w:rsidR="00876B82" w:rsidRPr="00FF7383">
        <w:rPr>
          <w:szCs w:val="20"/>
        </w:rPr>
        <w:t>-341</w:t>
      </w:r>
      <w:r w:rsidR="00FC1B3E" w:rsidRPr="00FF7383">
        <w:rPr>
          <w:szCs w:val="20"/>
        </w:rPr>
        <w:t>8</w:t>
      </w:r>
      <w:r w:rsidR="00876B82" w:rsidRPr="00FF7383">
        <w:rPr>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376"/>
    <w:multiLevelType w:val="hybridMultilevel"/>
    <w:tmpl w:val="1D6C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F511C"/>
    <w:multiLevelType w:val="hybridMultilevel"/>
    <w:tmpl w:val="5CD6F488"/>
    <w:lvl w:ilvl="0" w:tplc="B832FADC">
      <w:start w:val="1"/>
      <w:numFmt w:val="decimal"/>
      <w:lvlText w:val="%1."/>
      <w:lvlJc w:val="left"/>
      <w:pPr>
        <w:ind w:left="1440" w:hanging="360"/>
      </w:pPr>
      <w:rPr>
        <w:rFonts w:ascii="Times New Roman" w:eastAsia="Calibri" w:hAnsi="Times New Roman" w:cs="Times New Roman" w:hint="default"/>
        <w:b w:val="0"/>
        <w:bCs w:val="0"/>
        <w:i w:val="0"/>
        <w:iCs w:val="0"/>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8DC595A"/>
    <w:multiLevelType w:val="hybridMultilevel"/>
    <w:tmpl w:val="CE5C4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46BE4"/>
    <w:multiLevelType w:val="multilevel"/>
    <w:tmpl w:val="359E72EA"/>
    <w:lvl w:ilvl="0">
      <w:start w:val="1"/>
      <w:numFmt w:val="none"/>
      <w:pStyle w:val="QuestionText"/>
      <w:lvlText w:val="Q."/>
      <w:lvlJc w:val="left"/>
      <w:pPr>
        <w:ind w:left="720" w:hanging="720"/>
      </w:pPr>
      <w:rPr>
        <w:rFonts w:ascii="Times New Roman Bold" w:hAnsi="Times New Roman Bold" w:hint="default"/>
        <w:b/>
        <w:caps/>
        <w:color w:val="auto"/>
        <w:sz w:val="24"/>
      </w:rPr>
    </w:lvl>
    <w:lvl w:ilvl="1">
      <w:start w:val="1"/>
      <w:numFmt w:val="none"/>
      <w:lvlRestart w:val="0"/>
      <w:pStyle w:val="AnswerText"/>
      <w:lvlText w:val="A."/>
      <w:lvlJc w:val="left"/>
      <w:pPr>
        <w:ind w:left="720" w:hanging="720"/>
      </w:pPr>
      <w:rPr>
        <w:rFonts w:ascii="Times New Roman" w:hAnsi="Times New Roman" w:hint="default"/>
        <w:sz w:val="24"/>
        <w:szCs w:val="24"/>
      </w:rPr>
    </w:lvl>
    <w:lvl w:ilvl="2">
      <w:start w:val="1"/>
      <w:numFmt w:val="decimal"/>
      <w:lvlText w:val="%3)"/>
      <w:lvlJc w:val="left"/>
      <w:pPr>
        <w:ind w:left="1440" w:hanging="720"/>
      </w:pPr>
      <w:rPr>
        <w:rFonts w:hint="default"/>
      </w:rPr>
    </w:lvl>
    <w:lvl w:ilvl="3">
      <w:start w:val="1"/>
      <w:numFmt w:val="lowerLetter"/>
      <w:lvlRestart w:val="2"/>
      <w:lvlText w:val="(%4)"/>
      <w:lvlJc w:val="left"/>
      <w:pPr>
        <w:tabs>
          <w:tab w:val="num" w:pos="1440"/>
        </w:tabs>
        <w:ind w:left="2160" w:hanging="720"/>
      </w:pPr>
      <w:rPr>
        <w:rFonts w:hint="default"/>
      </w:rPr>
    </w:lvl>
    <w:lvl w:ilvl="4">
      <w:start w:val="1"/>
      <w:numFmt w:val="lowerRoman"/>
      <w:lvlRestart w:val="2"/>
      <w:lvlText w:val="(%5)"/>
      <w:lvlJc w:val="left"/>
      <w:pPr>
        <w:tabs>
          <w:tab w:val="num" w:pos="2160"/>
        </w:tabs>
        <w:ind w:left="2880" w:hanging="720"/>
      </w:pPr>
      <w:rPr>
        <w:rFonts w:hint="default"/>
      </w:rPr>
    </w:lvl>
    <w:lvl w:ilvl="5">
      <w:start w:val="1"/>
      <w:numFmt w:val="bullet"/>
      <w:lvlRestart w:val="2"/>
      <w:lvlText w:val=""/>
      <w:lvlJc w:val="left"/>
      <w:pPr>
        <w:tabs>
          <w:tab w:val="num" w:pos="1440"/>
        </w:tabs>
        <w:ind w:left="1440" w:hanging="720"/>
      </w:pPr>
      <w:rPr>
        <w:rFonts w:ascii="Symbol" w:hAnsi="Symbol" w:hint="default"/>
        <w:color w:val="auto"/>
      </w:rPr>
    </w:lvl>
    <w:lvl w:ilvl="6">
      <w:start w:val="1"/>
      <w:numFmt w:val="bullet"/>
      <w:lvlRestart w:val="2"/>
      <w:lvlText w:val="○"/>
      <w:lvlJc w:val="left"/>
      <w:pPr>
        <w:tabs>
          <w:tab w:val="num" w:pos="2160"/>
        </w:tabs>
        <w:ind w:left="2160" w:hanging="720"/>
      </w:pPr>
      <w:rPr>
        <w:rFonts w:ascii="Courier New" w:hAnsi="Courier New" w:hint="default"/>
        <w:color w:val="auto"/>
      </w:rPr>
    </w:lvl>
    <w:lvl w:ilvl="7">
      <w:start w:val="1"/>
      <w:numFmt w:val="decimal"/>
      <w:lvlRestart w:val="2"/>
      <w:lvlText w:val="%8."/>
      <w:lvlJc w:val="left"/>
      <w:pPr>
        <w:tabs>
          <w:tab w:val="num" w:pos="1440"/>
        </w:tabs>
        <w:ind w:left="1440" w:hanging="720"/>
      </w:pPr>
      <w:rPr>
        <w:rFonts w:hint="default"/>
        <w:b w:val="0"/>
      </w:rPr>
    </w:lvl>
    <w:lvl w:ilvl="8">
      <w:start w:val="1"/>
      <w:numFmt w:val="lowerLetter"/>
      <w:lvlRestart w:val="2"/>
      <w:lvlText w:val="%9."/>
      <w:lvlJc w:val="left"/>
      <w:pPr>
        <w:tabs>
          <w:tab w:val="num" w:pos="1440"/>
        </w:tabs>
        <w:ind w:left="1440" w:hanging="720"/>
      </w:pPr>
      <w:rPr>
        <w:rFonts w:hint="default"/>
      </w:rPr>
    </w:lvl>
  </w:abstractNum>
  <w:abstractNum w:abstractNumId="4" w15:restartNumberingAfterBreak="0">
    <w:nsid w:val="62077CEF"/>
    <w:multiLevelType w:val="hybridMultilevel"/>
    <w:tmpl w:val="34E0C7F8"/>
    <w:lvl w:ilvl="0" w:tplc="E9366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59"/>
    <w:rsid w:val="00010321"/>
    <w:rsid w:val="00023D7C"/>
    <w:rsid w:val="0003067A"/>
    <w:rsid w:val="0003508F"/>
    <w:rsid w:val="00036AAB"/>
    <w:rsid w:val="0004437F"/>
    <w:rsid w:val="00051155"/>
    <w:rsid w:val="00057F25"/>
    <w:rsid w:val="00061B15"/>
    <w:rsid w:val="000701DF"/>
    <w:rsid w:val="0007447A"/>
    <w:rsid w:val="0007647E"/>
    <w:rsid w:val="000777E8"/>
    <w:rsid w:val="00091A49"/>
    <w:rsid w:val="000B0BE9"/>
    <w:rsid w:val="000B0E59"/>
    <w:rsid w:val="000B7A1E"/>
    <w:rsid w:val="000C3C59"/>
    <w:rsid w:val="000C50C0"/>
    <w:rsid w:val="000C527F"/>
    <w:rsid w:val="000C7853"/>
    <w:rsid w:val="000D283F"/>
    <w:rsid w:val="000D417C"/>
    <w:rsid w:val="000F6BD7"/>
    <w:rsid w:val="00100A8F"/>
    <w:rsid w:val="00101CE2"/>
    <w:rsid w:val="0010377E"/>
    <w:rsid w:val="001078DF"/>
    <w:rsid w:val="00115E2E"/>
    <w:rsid w:val="00132170"/>
    <w:rsid w:val="00134C2B"/>
    <w:rsid w:val="00135267"/>
    <w:rsid w:val="00141EDB"/>
    <w:rsid w:val="001524CB"/>
    <w:rsid w:val="001548BB"/>
    <w:rsid w:val="001554A3"/>
    <w:rsid w:val="00155A8F"/>
    <w:rsid w:val="00160A20"/>
    <w:rsid w:val="00162E9B"/>
    <w:rsid w:val="00181560"/>
    <w:rsid w:val="001821A3"/>
    <w:rsid w:val="00184B0F"/>
    <w:rsid w:val="00194DAC"/>
    <w:rsid w:val="001A2D7D"/>
    <w:rsid w:val="001B24EC"/>
    <w:rsid w:val="001B440E"/>
    <w:rsid w:val="001B6F38"/>
    <w:rsid w:val="001D2870"/>
    <w:rsid w:val="001D4A15"/>
    <w:rsid w:val="001E228E"/>
    <w:rsid w:val="001F76B3"/>
    <w:rsid w:val="00222979"/>
    <w:rsid w:val="002231D6"/>
    <w:rsid w:val="0022513F"/>
    <w:rsid w:val="00227CD3"/>
    <w:rsid w:val="00230A99"/>
    <w:rsid w:val="00234C3A"/>
    <w:rsid w:val="00236518"/>
    <w:rsid w:val="0025436B"/>
    <w:rsid w:val="00264FD0"/>
    <w:rsid w:val="0028310A"/>
    <w:rsid w:val="002941C2"/>
    <w:rsid w:val="002A445B"/>
    <w:rsid w:val="002A453D"/>
    <w:rsid w:val="002B6F0D"/>
    <w:rsid w:val="002C2CAF"/>
    <w:rsid w:val="002C6D28"/>
    <w:rsid w:val="002D2B16"/>
    <w:rsid w:val="002D391A"/>
    <w:rsid w:val="002E046F"/>
    <w:rsid w:val="002E0791"/>
    <w:rsid w:val="002E0A44"/>
    <w:rsid w:val="002F19E1"/>
    <w:rsid w:val="00300140"/>
    <w:rsid w:val="00306962"/>
    <w:rsid w:val="00314F94"/>
    <w:rsid w:val="003226BB"/>
    <w:rsid w:val="003279A4"/>
    <w:rsid w:val="0033356E"/>
    <w:rsid w:val="00334D79"/>
    <w:rsid w:val="00337E55"/>
    <w:rsid w:val="00340FE6"/>
    <w:rsid w:val="00345B31"/>
    <w:rsid w:val="0034662F"/>
    <w:rsid w:val="00353E16"/>
    <w:rsid w:val="0038184C"/>
    <w:rsid w:val="003821F4"/>
    <w:rsid w:val="00386F1D"/>
    <w:rsid w:val="003902D3"/>
    <w:rsid w:val="00391407"/>
    <w:rsid w:val="003A1DD2"/>
    <w:rsid w:val="003A6044"/>
    <w:rsid w:val="003C0780"/>
    <w:rsid w:val="003C283D"/>
    <w:rsid w:val="003E1026"/>
    <w:rsid w:val="00404C11"/>
    <w:rsid w:val="00416801"/>
    <w:rsid w:val="00436176"/>
    <w:rsid w:val="004446F0"/>
    <w:rsid w:val="00463889"/>
    <w:rsid w:val="004642D1"/>
    <w:rsid w:val="0046600A"/>
    <w:rsid w:val="00480B50"/>
    <w:rsid w:val="0049023F"/>
    <w:rsid w:val="0049068D"/>
    <w:rsid w:val="004A40D8"/>
    <w:rsid w:val="004A41C0"/>
    <w:rsid w:val="004B126F"/>
    <w:rsid w:val="004B2DD4"/>
    <w:rsid w:val="004B2E04"/>
    <w:rsid w:val="004B5505"/>
    <w:rsid w:val="004B61A0"/>
    <w:rsid w:val="004C778E"/>
    <w:rsid w:val="004D138A"/>
    <w:rsid w:val="004D516F"/>
    <w:rsid w:val="004D6D3D"/>
    <w:rsid w:val="004E020B"/>
    <w:rsid w:val="004E3A87"/>
    <w:rsid w:val="004E7D83"/>
    <w:rsid w:val="004F3052"/>
    <w:rsid w:val="005170E7"/>
    <w:rsid w:val="005240BF"/>
    <w:rsid w:val="00525832"/>
    <w:rsid w:val="005312C0"/>
    <w:rsid w:val="00536652"/>
    <w:rsid w:val="00540615"/>
    <w:rsid w:val="005438F0"/>
    <w:rsid w:val="00544781"/>
    <w:rsid w:val="005463E6"/>
    <w:rsid w:val="0055391B"/>
    <w:rsid w:val="0056680A"/>
    <w:rsid w:val="00570A43"/>
    <w:rsid w:val="005734DF"/>
    <w:rsid w:val="00576DAE"/>
    <w:rsid w:val="00583150"/>
    <w:rsid w:val="00586152"/>
    <w:rsid w:val="005907FB"/>
    <w:rsid w:val="00593B1E"/>
    <w:rsid w:val="00594765"/>
    <w:rsid w:val="005A1213"/>
    <w:rsid w:val="005A17AB"/>
    <w:rsid w:val="005A41AC"/>
    <w:rsid w:val="005C70AD"/>
    <w:rsid w:val="005E2B9C"/>
    <w:rsid w:val="00606441"/>
    <w:rsid w:val="00616D22"/>
    <w:rsid w:val="00620781"/>
    <w:rsid w:val="0062331A"/>
    <w:rsid w:val="00624CC9"/>
    <w:rsid w:val="00633159"/>
    <w:rsid w:val="00645BCD"/>
    <w:rsid w:val="00646718"/>
    <w:rsid w:val="00654B55"/>
    <w:rsid w:val="00662C6C"/>
    <w:rsid w:val="0067221A"/>
    <w:rsid w:val="006805E3"/>
    <w:rsid w:val="0068524D"/>
    <w:rsid w:val="006A6955"/>
    <w:rsid w:val="006A7605"/>
    <w:rsid w:val="006C28A7"/>
    <w:rsid w:val="006D0355"/>
    <w:rsid w:val="006F1B56"/>
    <w:rsid w:val="006F51E9"/>
    <w:rsid w:val="00724670"/>
    <w:rsid w:val="007368AA"/>
    <w:rsid w:val="00740019"/>
    <w:rsid w:val="00742A63"/>
    <w:rsid w:val="007532E0"/>
    <w:rsid w:val="00760C14"/>
    <w:rsid w:val="007648FF"/>
    <w:rsid w:val="00777BEB"/>
    <w:rsid w:val="00790A39"/>
    <w:rsid w:val="00791473"/>
    <w:rsid w:val="007A07E8"/>
    <w:rsid w:val="007A2066"/>
    <w:rsid w:val="007A59D8"/>
    <w:rsid w:val="007A5A24"/>
    <w:rsid w:val="007A6ECB"/>
    <w:rsid w:val="007A75F2"/>
    <w:rsid w:val="007B2B27"/>
    <w:rsid w:val="007B7050"/>
    <w:rsid w:val="007D4F71"/>
    <w:rsid w:val="007E5599"/>
    <w:rsid w:val="007E5A42"/>
    <w:rsid w:val="007E6595"/>
    <w:rsid w:val="007F31C4"/>
    <w:rsid w:val="007F6290"/>
    <w:rsid w:val="007F6C27"/>
    <w:rsid w:val="008006CC"/>
    <w:rsid w:val="00820345"/>
    <w:rsid w:val="00823C41"/>
    <w:rsid w:val="008338F5"/>
    <w:rsid w:val="00847230"/>
    <w:rsid w:val="00856833"/>
    <w:rsid w:val="008654D4"/>
    <w:rsid w:val="008655C0"/>
    <w:rsid w:val="0086594B"/>
    <w:rsid w:val="008700FA"/>
    <w:rsid w:val="00874D38"/>
    <w:rsid w:val="00876B82"/>
    <w:rsid w:val="00883AC3"/>
    <w:rsid w:val="008901F1"/>
    <w:rsid w:val="00890FF0"/>
    <w:rsid w:val="00891AE2"/>
    <w:rsid w:val="00894B06"/>
    <w:rsid w:val="00895A57"/>
    <w:rsid w:val="008A41A3"/>
    <w:rsid w:val="008C0776"/>
    <w:rsid w:val="008D2F0A"/>
    <w:rsid w:val="008D5A82"/>
    <w:rsid w:val="008E65DC"/>
    <w:rsid w:val="008F06CD"/>
    <w:rsid w:val="00900B3F"/>
    <w:rsid w:val="00901B02"/>
    <w:rsid w:val="009211A9"/>
    <w:rsid w:val="009231F8"/>
    <w:rsid w:val="009304C8"/>
    <w:rsid w:val="0093416F"/>
    <w:rsid w:val="00936496"/>
    <w:rsid w:val="009431CD"/>
    <w:rsid w:val="009474A3"/>
    <w:rsid w:val="0095380B"/>
    <w:rsid w:val="0095510C"/>
    <w:rsid w:val="009766D8"/>
    <w:rsid w:val="0098268D"/>
    <w:rsid w:val="00991C3F"/>
    <w:rsid w:val="00997ABB"/>
    <w:rsid w:val="009A20B7"/>
    <w:rsid w:val="009A4697"/>
    <w:rsid w:val="009B0883"/>
    <w:rsid w:val="009B46B9"/>
    <w:rsid w:val="009B7895"/>
    <w:rsid w:val="009C3701"/>
    <w:rsid w:val="009C405E"/>
    <w:rsid w:val="009D3FFE"/>
    <w:rsid w:val="009E2645"/>
    <w:rsid w:val="009E708F"/>
    <w:rsid w:val="009F7A8D"/>
    <w:rsid w:val="00A03D8D"/>
    <w:rsid w:val="00A2631C"/>
    <w:rsid w:val="00A273A9"/>
    <w:rsid w:val="00A313C6"/>
    <w:rsid w:val="00A359E2"/>
    <w:rsid w:val="00A421B6"/>
    <w:rsid w:val="00A508E8"/>
    <w:rsid w:val="00A520DD"/>
    <w:rsid w:val="00A54857"/>
    <w:rsid w:val="00A56368"/>
    <w:rsid w:val="00A60845"/>
    <w:rsid w:val="00A71063"/>
    <w:rsid w:val="00A75500"/>
    <w:rsid w:val="00A8595C"/>
    <w:rsid w:val="00A8777F"/>
    <w:rsid w:val="00A87B4E"/>
    <w:rsid w:val="00AD0C4B"/>
    <w:rsid w:val="00AE58EB"/>
    <w:rsid w:val="00B01E27"/>
    <w:rsid w:val="00B03BDA"/>
    <w:rsid w:val="00B13506"/>
    <w:rsid w:val="00B14E21"/>
    <w:rsid w:val="00B17957"/>
    <w:rsid w:val="00B23A76"/>
    <w:rsid w:val="00B23B21"/>
    <w:rsid w:val="00B247AB"/>
    <w:rsid w:val="00B31095"/>
    <w:rsid w:val="00B34331"/>
    <w:rsid w:val="00B43441"/>
    <w:rsid w:val="00B601B1"/>
    <w:rsid w:val="00B61FF7"/>
    <w:rsid w:val="00B64619"/>
    <w:rsid w:val="00B67FDE"/>
    <w:rsid w:val="00BA1325"/>
    <w:rsid w:val="00BB439C"/>
    <w:rsid w:val="00BB47BB"/>
    <w:rsid w:val="00BB4B55"/>
    <w:rsid w:val="00BE6651"/>
    <w:rsid w:val="00C02068"/>
    <w:rsid w:val="00C03396"/>
    <w:rsid w:val="00C13FD1"/>
    <w:rsid w:val="00C208D7"/>
    <w:rsid w:val="00C3370A"/>
    <w:rsid w:val="00C3444F"/>
    <w:rsid w:val="00C35306"/>
    <w:rsid w:val="00C376B0"/>
    <w:rsid w:val="00C47B22"/>
    <w:rsid w:val="00C56DCC"/>
    <w:rsid w:val="00C615D4"/>
    <w:rsid w:val="00C7132F"/>
    <w:rsid w:val="00C73D01"/>
    <w:rsid w:val="00C75A84"/>
    <w:rsid w:val="00C76B54"/>
    <w:rsid w:val="00CA4FBE"/>
    <w:rsid w:val="00CA6058"/>
    <w:rsid w:val="00CB07D9"/>
    <w:rsid w:val="00CB2BAB"/>
    <w:rsid w:val="00CC4802"/>
    <w:rsid w:val="00CF2EE8"/>
    <w:rsid w:val="00D00EBF"/>
    <w:rsid w:val="00D06AE7"/>
    <w:rsid w:val="00D06F32"/>
    <w:rsid w:val="00D10B0B"/>
    <w:rsid w:val="00D243C1"/>
    <w:rsid w:val="00D34752"/>
    <w:rsid w:val="00D55203"/>
    <w:rsid w:val="00D62142"/>
    <w:rsid w:val="00D66D27"/>
    <w:rsid w:val="00D729B7"/>
    <w:rsid w:val="00D77E9C"/>
    <w:rsid w:val="00D801F8"/>
    <w:rsid w:val="00D85862"/>
    <w:rsid w:val="00DA2D9F"/>
    <w:rsid w:val="00DA619E"/>
    <w:rsid w:val="00DB48B9"/>
    <w:rsid w:val="00DB5009"/>
    <w:rsid w:val="00DC5459"/>
    <w:rsid w:val="00DE0521"/>
    <w:rsid w:val="00DE085A"/>
    <w:rsid w:val="00DF114D"/>
    <w:rsid w:val="00DF635D"/>
    <w:rsid w:val="00DF7E9C"/>
    <w:rsid w:val="00E12B5B"/>
    <w:rsid w:val="00E204AA"/>
    <w:rsid w:val="00E22B33"/>
    <w:rsid w:val="00E31E19"/>
    <w:rsid w:val="00E335FB"/>
    <w:rsid w:val="00E37078"/>
    <w:rsid w:val="00E43673"/>
    <w:rsid w:val="00E5357A"/>
    <w:rsid w:val="00E561D0"/>
    <w:rsid w:val="00E75827"/>
    <w:rsid w:val="00E77231"/>
    <w:rsid w:val="00E86328"/>
    <w:rsid w:val="00E86B11"/>
    <w:rsid w:val="00E911C7"/>
    <w:rsid w:val="00E933BF"/>
    <w:rsid w:val="00E93571"/>
    <w:rsid w:val="00EA16C6"/>
    <w:rsid w:val="00EA1A11"/>
    <w:rsid w:val="00EA383B"/>
    <w:rsid w:val="00EB521B"/>
    <w:rsid w:val="00EE3480"/>
    <w:rsid w:val="00F0389E"/>
    <w:rsid w:val="00F05FDB"/>
    <w:rsid w:val="00F0644B"/>
    <w:rsid w:val="00F16C1D"/>
    <w:rsid w:val="00F2152E"/>
    <w:rsid w:val="00F26DE6"/>
    <w:rsid w:val="00F30BD7"/>
    <w:rsid w:val="00F30C22"/>
    <w:rsid w:val="00F445B4"/>
    <w:rsid w:val="00F46CA5"/>
    <w:rsid w:val="00F56B24"/>
    <w:rsid w:val="00F64E35"/>
    <w:rsid w:val="00F73EB3"/>
    <w:rsid w:val="00F77E14"/>
    <w:rsid w:val="00F85CB0"/>
    <w:rsid w:val="00F90115"/>
    <w:rsid w:val="00FC1B3E"/>
    <w:rsid w:val="00FD1FFD"/>
    <w:rsid w:val="00FE0F0D"/>
    <w:rsid w:val="00FF1B2A"/>
    <w:rsid w:val="00FF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22C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C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C3C59"/>
    <w:pPr>
      <w:spacing w:after="0" w:line="240" w:lineRule="auto"/>
    </w:pPr>
  </w:style>
  <w:style w:type="paragraph" w:styleId="FootnoteText">
    <w:name w:val="footnote text"/>
    <w:basedOn w:val="Normal"/>
    <w:link w:val="FootnoteTextChar"/>
    <w:unhideWhenUsed/>
    <w:rsid w:val="000C3C59"/>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0C3C59"/>
    <w:rPr>
      <w:rFonts w:ascii="Times New Roman" w:eastAsia="Times New Roman" w:hAnsi="Times New Roman" w:cs="Times New Roman"/>
      <w:sz w:val="20"/>
      <w:szCs w:val="24"/>
    </w:rPr>
  </w:style>
  <w:style w:type="character" w:styleId="FootnoteReference">
    <w:name w:val="footnote reference"/>
    <w:uiPriority w:val="99"/>
    <w:unhideWhenUsed/>
    <w:rsid w:val="000C3C59"/>
    <w:rPr>
      <w:vertAlign w:val="superscript"/>
    </w:rPr>
  </w:style>
  <w:style w:type="character" w:styleId="CommentReference">
    <w:name w:val="annotation reference"/>
    <w:basedOn w:val="DefaultParagraphFont"/>
    <w:uiPriority w:val="99"/>
    <w:semiHidden/>
    <w:unhideWhenUsed/>
    <w:rsid w:val="00115E2E"/>
    <w:rPr>
      <w:sz w:val="16"/>
      <w:szCs w:val="16"/>
    </w:rPr>
  </w:style>
  <w:style w:type="paragraph" w:styleId="CommentText">
    <w:name w:val="annotation text"/>
    <w:basedOn w:val="Normal"/>
    <w:link w:val="CommentTextChar"/>
    <w:uiPriority w:val="99"/>
    <w:unhideWhenUsed/>
    <w:rsid w:val="00115E2E"/>
    <w:pPr>
      <w:spacing w:line="240" w:lineRule="auto"/>
    </w:pPr>
    <w:rPr>
      <w:sz w:val="20"/>
      <w:szCs w:val="20"/>
    </w:rPr>
  </w:style>
  <w:style w:type="character" w:customStyle="1" w:styleId="CommentTextChar">
    <w:name w:val="Comment Text Char"/>
    <w:basedOn w:val="DefaultParagraphFont"/>
    <w:link w:val="CommentText"/>
    <w:uiPriority w:val="99"/>
    <w:rsid w:val="00115E2E"/>
    <w:rPr>
      <w:sz w:val="20"/>
      <w:szCs w:val="20"/>
    </w:rPr>
  </w:style>
  <w:style w:type="paragraph" w:styleId="CommentSubject">
    <w:name w:val="annotation subject"/>
    <w:basedOn w:val="CommentText"/>
    <w:next w:val="CommentText"/>
    <w:link w:val="CommentSubjectChar"/>
    <w:uiPriority w:val="99"/>
    <w:semiHidden/>
    <w:unhideWhenUsed/>
    <w:rsid w:val="00115E2E"/>
    <w:rPr>
      <w:b/>
      <w:bCs/>
    </w:rPr>
  </w:style>
  <w:style w:type="character" w:customStyle="1" w:styleId="CommentSubjectChar">
    <w:name w:val="Comment Subject Char"/>
    <w:basedOn w:val="CommentTextChar"/>
    <w:link w:val="CommentSubject"/>
    <w:uiPriority w:val="99"/>
    <w:semiHidden/>
    <w:rsid w:val="00115E2E"/>
    <w:rPr>
      <w:b/>
      <w:bCs/>
      <w:sz w:val="20"/>
      <w:szCs w:val="20"/>
    </w:rPr>
  </w:style>
  <w:style w:type="paragraph" w:customStyle="1" w:styleId="QuestionText">
    <w:name w:val="Question Text"/>
    <w:basedOn w:val="Normal"/>
    <w:next w:val="AnswerText"/>
    <w:uiPriority w:val="3"/>
    <w:qFormat/>
    <w:rsid w:val="00115E2E"/>
    <w:pPr>
      <w:numPr>
        <w:numId w:val="1"/>
      </w:numPr>
      <w:spacing w:after="0" w:line="480" w:lineRule="auto"/>
    </w:pPr>
    <w:rPr>
      <w:rFonts w:ascii="Times New Roman Bold" w:eastAsia="Times New Roman" w:hAnsi="Times New Roman Bold" w:cs="Times New Roman"/>
      <w:b/>
      <w:caps/>
      <w:sz w:val="24"/>
      <w:szCs w:val="24"/>
    </w:rPr>
  </w:style>
  <w:style w:type="paragraph" w:customStyle="1" w:styleId="AnswerText">
    <w:name w:val="Answer Text"/>
    <w:basedOn w:val="Normal"/>
    <w:next w:val="QuestionText"/>
    <w:link w:val="AnswerTextChar"/>
    <w:uiPriority w:val="4"/>
    <w:qFormat/>
    <w:rsid w:val="00115E2E"/>
    <w:pPr>
      <w:numPr>
        <w:ilvl w:val="1"/>
        <w:numId w:val="1"/>
      </w:numPr>
      <w:spacing w:after="0" w:line="480" w:lineRule="auto"/>
    </w:pPr>
    <w:rPr>
      <w:rFonts w:ascii="Times New Roman" w:eastAsia="Times New Roman" w:hAnsi="Times New Roman" w:cs="Times New Roman"/>
      <w:sz w:val="24"/>
      <w:szCs w:val="24"/>
    </w:rPr>
  </w:style>
  <w:style w:type="character" w:customStyle="1" w:styleId="AnswerTextChar">
    <w:name w:val="Answer Text Char"/>
    <w:link w:val="AnswerText"/>
    <w:uiPriority w:val="4"/>
    <w:rsid w:val="00115E2E"/>
    <w:rPr>
      <w:rFonts w:ascii="Times New Roman" w:eastAsia="Times New Roman" w:hAnsi="Times New Roman" w:cs="Times New Roman"/>
      <w:sz w:val="24"/>
      <w:szCs w:val="24"/>
    </w:rPr>
  </w:style>
  <w:style w:type="paragraph" w:styleId="ListParagraph">
    <w:name w:val="List Paragraph"/>
    <w:basedOn w:val="Normal"/>
    <w:uiPriority w:val="34"/>
    <w:qFormat/>
    <w:rsid w:val="0093416F"/>
    <w:pPr>
      <w:ind w:left="720"/>
      <w:contextualSpacing/>
    </w:pPr>
  </w:style>
  <w:style w:type="paragraph" w:styleId="Header">
    <w:name w:val="header"/>
    <w:basedOn w:val="Normal"/>
    <w:link w:val="HeaderChar"/>
    <w:uiPriority w:val="99"/>
    <w:unhideWhenUsed/>
    <w:rsid w:val="00865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94B"/>
  </w:style>
  <w:style w:type="paragraph" w:styleId="Footer">
    <w:name w:val="footer"/>
    <w:basedOn w:val="Normal"/>
    <w:link w:val="FooterChar"/>
    <w:uiPriority w:val="99"/>
    <w:unhideWhenUsed/>
    <w:rsid w:val="00865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4B"/>
  </w:style>
  <w:style w:type="character" w:styleId="Hyperlink">
    <w:name w:val="Hyperlink"/>
    <w:basedOn w:val="DefaultParagraphFont"/>
    <w:uiPriority w:val="99"/>
    <w:unhideWhenUsed/>
    <w:rsid w:val="002D3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70367">
      <w:bodyDiv w:val="1"/>
      <w:marLeft w:val="0"/>
      <w:marRight w:val="0"/>
      <w:marTop w:val="0"/>
      <w:marBottom w:val="0"/>
      <w:divBdr>
        <w:top w:val="none" w:sz="0" w:space="0" w:color="auto"/>
        <w:left w:val="none" w:sz="0" w:space="0" w:color="auto"/>
        <w:bottom w:val="none" w:sz="0" w:space="0" w:color="auto"/>
        <w:right w:val="none" w:sz="0" w:space="0" w:color="auto"/>
      </w:divBdr>
    </w:div>
    <w:div w:id="20389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ily.w.medlyn.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C1136-55EE-4F82-A746-CB0D9285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2022-12-08T19:33:00Z</dcterms:created>
  <dcterms:modified xsi:type="dcterms:W3CDTF">2022-12-08T20:04:00Z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