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011" w:rsidRDefault="00067011" w:rsidP="00D556FD">
      <w:pPr>
        <w:tabs>
          <w:tab w:val="center" w:pos="4464"/>
        </w:tabs>
        <w:jc w:val="center"/>
        <w:rPr>
          <w:b/>
          <w:bCs/>
        </w:rPr>
      </w:pPr>
      <w:r>
        <w:rPr>
          <w:b/>
          <w:bCs/>
        </w:rPr>
        <w:t>BEFORE THE</w:t>
      </w:r>
    </w:p>
    <w:p w:rsidR="00067011" w:rsidRDefault="00067011" w:rsidP="00D556FD">
      <w:pPr>
        <w:jc w:val="both"/>
        <w:rPr>
          <w:b/>
          <w:bCs/>
        </w:rPr>
      </w:pPr>
    </w:p>
    <w:p w:rsidR="00067011" w:rsidRDefault="00067011" w:rsidP="00D556FD">
      <w:pPr>
        <w:tabs>
          <w:tab w:val="center" w:pos="4464"/>
        </w:tabs>
        <w:jc w:val="both"/>
        <w:rPr>
          <w:b/>
          <w:bCs/>
        </w:rPr>
      </w:pPr>
      <w:r>
        <w:rPr>
          <w:b/>
          <w:bCs/>
        </w:rPr>
        <w:tab/>
        <w:t>GEORGIA PUBLIC SERVICE COMMISSION</w:t>
      </w:r>
    </w:p>
    <w:p w:rsidR="00067011" w:rsidRDefault="00067011" w:rsidP="00D556FD">
      <w:pPr>
        <w:ind w:firstLine="6480"/>
        <w:jc w:val="both"/>
        <w:rPr>
          <w:b/>
          <w:bCs/>
        </w:rPr>
      </w:pPr>
    </w:p>
    <w:p w:rsidR="00067011" w:rsidRDefault="00067011" w:rsidP="00D556FD">
      <w:pPr>
        <w:ind w:firstLine="6480"/>
        <w:jc w:val="both"/>
        <w:rPr>
          <w:b/>
          <w:bCs/>
        </w:rPr>
      </w:pPr>
    </w:p>
    <w:p w:rsidR="00067011" w:rsidRDefault="00067011" w:rsidP="001C4800">
      <w:pPr>
        <w:pStyle w:val="BodyText2"/>
        <w:suppressLineNumbers/>
        <w:spacing w:line="240" w:lineRule="auto"/>
        <w:ind w:firstLine="720"/>
      </w:pPr>
      <w:r>
        <w:t>In the Matter of:</w:t>
      </w:r>
      <w:r>
        <w:tab/>
      </w:r>
      <w:r>
        <w:tab/>
      </w:r>
      <w:r>
        <w:tab/>
      </w:r>
      <w:r>
        <w:tab/>
      </w:r>
      <w:r>
        <w:tab/>
        <w:t>)</w:t>
      </w:r>
    </w:p>
    <w:p w:rsidR="00067011" w:rsidRPr="00FD75C7" w:rsidRDefault="00067011" w:rsidP="001C4800">
      <w:pPr>
        <w:pStyle w:val="BodyText2"/>
        <w:suppressLineNumbers/>
        <w:spacing w:line="240" w:lineRule="auto"/>
        <w:ind w:firstLine="720"/>
        <w:rPr>
          <w:lang w:val="en-US"/>
        </w:rPr>
      </w:pPr>
      <w:r>
        <w:t>GEORGIA POWER COMPANY’S</w:t>
      </w:r>
      <w:r>
        <w:tab/>
      </w:r>
      <w:r>
        <w:tab/>
        <w:t xml:space="preserve">)    DOCKET NO. </w:t>
      </w:r>
      <w:r w:rsidR="00FD75C7">
        <w:rPr>
          <w:lang w:val="en-US"/>
        </w:rPr>
        <w:t>44280</w:t>
      </w:r>
    </w:p>
    <w:p w:rsidR="00067011" w:rsidRDefault="00F25370" w:rsidP="001C4800">
      <w:pPr>
        <w:suppressLineNumbers/>
        <w:ind w:firstLine="720"/>
        <w:jc w:val="both"/>
        <w:rPr>
          <w:b/>
          <w:bCs/>
        </w:rPr>
      </w:pPr>
      <w:r>
        <w:rPr>
          <w:b/>
          <w:bCs/>
        </w:rPr>
        <w:t xml:space="preserve">2022 </w:t>
      </w:r>
      <w:r w:rsidR="00067011">
        <w:rPr>
          <w:b/>
          <w:bCs/>
        </w:rPr>
        <w:t>RATE CASE</w:t>
      </w:r>
      <w:r w:rsidR="00067011">
        <w:rPr>
          <w:b/>
          <w:bCs/>
        </w:rPr>
        <w:tab/>
      </w:r>
      <w:r w:rsidR="00067011">
        <w:rPr>
          <w:b/>
          <w:bCs/>
        </w:rPr>
        <w:tab/>
      </w:r>
      <w:r w:rsidR="00067011">
        <w:rPr>
          <w:b/>
          <w:bCs/>
        </w:rPr>
        <w:tab/>
      </w:r>
      <w:r w:rsidR="00067011">
        <w:rPr>
          <w:b/>
          <w:bCs/>
        </w:rPr>
        <w:tab/>
      </w:r>
      <w:r w:rsidR="00067011">
        <w:rPr>
          <w:b/>
          <w:bCs/>
        </w:rPr>
        <w:tab/>
        <w:t>)</w:t>
      </w:r>
      <w:r w:rsidR="00067011">
        <w:rPr>
          <w:b/>
          <w:bCs/>
        </w:rPr>
        <w:tab/>
      </w:r>
    </w:p>
    <w:p w:rsidR="00067011" w:rsidRDefault="00067011" w:rsidP="00D556FD">
      <w:pPr>
        <w:suppressLineNumbers/>
        <w:spacing w:before="240"/>
        <w:jc w:val="both"/>
        <w:rPr>
          <w:b/>
          <w:bCs/>
        </w:rPr>
      </w:pPr>
      <w:r>
        <w:rPr>
          <w:b/>
          <w:bCs/>
        </w:rPr>
        <w:tab/>
      </w:r>
      <w:r>
        <w:rPr>
          <w:b/>
          <w:bCs/>
        </w:rPr>
        <w:tab/>
      </w:r>
      <w:r>
        <w:rPr>
          <w:b/>
          <w:bCs/>
        </w:rPr>
        <w:tab/>
        <w:t xml:space="preserve"> </w:t>
      </w:r>
      <w:r>
        <w:rPr>
          <w:b/>
          <w:bCs/>
        </w:rPr>
        <w:tab/>
      </w:r>
    </w:p>
    <w:tbl>
      <w:tblPr>
        <w:tblW w:w="0" w:type="auto"/>
        <w:jc w:val="center"/>
        <w:tblLayout w:type="fixed"/>
        <w:tblCellMar>
          <w:left w:w="177" w:type="dxa"/>
          <w:right w:w="177" w:type="dxa"/>
        </w:tblCellMar>
        <w:tblLook w:val="00A0" w:firstRow="1" w:lastRow="0" w:firstColumn="1" w:lastColumn="0" w:noHBand="0" w:noVBand="0"/>
      </w:tblPr>
      <w:tblGrid>
        <w:gridCol w:w="4752"/>
      </w:tblGrid>
      <w:tr w:rsidR="00067011">
        <w:trPr>
          <w:jc w:val="center"/>
        </w:trPr>
        <w:tc>
          <w:tcPr>
            <w:tcW w:w="4752" w:type="dxa"/>
            <w:tcBorders>
              <w:top w:val="double" w:sz="6" w:space="0" w:color="000000"/>
              <w:left w:val="double" w:sz="6" w:space="0" w:color="000000"/>
              <w:bottom w:val="double" w:sz="6" w:space="0" w:color="000000"/>
              <w:right w:val="double" w:sz="6" w:space="0" w:color="000000"/>
            </w:tcBorders>
          </w:tcPr>
          <w:p w:rsidR="00067011" w:rsidRDefault="00067011">
            <w:pPr>
              <w:spacing w:line="201" w:lineRule="exact"/>
            </w:pPr>
          </w:p>
          <w:p w:rsidR="00067011" w:rsidRDefault="00067011">
            <w:pPr>
              <w:tabs>
                <w:tab w:val="center" w:pos="2199"/>
              </w:tabs>
            </w:pPr>
            <w:r>
              <w:tab/>
            </w:r>
          </w:p>
          <w:p w:rsidR="00067011" w:rsidRDefault="00067011">
            <w:pPr>
              <w:tabs>
                <w:tab w:val="center" w:pos="2199"/>
              </w:tabs>
              <w:rPr>
                <w:b/>
                <w:bCs/>
              </w:rPr>
            </w:pPr>
            <w:r>
              <w:rPr>
                <w:b/>
                <w:bCs/>
              </w:rPr>
              <w:tab/>
            </w:r>
          </w:p>
          <w:p w:rsidR="00067011" w:rsidRDefault="00557337" w:rsidP="00566CBA">
            <w:pPr>
              <w:tabs>
                <w:tab w:val="center" w:pos="2199"/>
              </w:tabs>
              <w:jc w:val="center"/>
              <w:rPr>
                <w:b/>
                <w:bCs/>
              </w:rPr>
            </w:pPr>
            <w:r>
              <w:rPr>
                <w:b/>
                <w:bCs/>
              </w:rPr>
              <w:t xml:space="preserve">JOINT </w:t>
            </w:r>
            <w:r w:rsidR="00067011">
              <w:rPr>
                <w:b/>
                <w:bCs/>
              </w:rPr>
              <w:t>DIRECT TESTIMONY</w:t>
            </w:r>
          </w:p>
          <w:p w:rsidR="00067011" w:rsidRDefault="00067011">
            <w:pPr>
              <w:rPr>
                <w:b/>
                <w:bCs/>
              </w:rPr>
            </w:pPr>
          </w:p>
          <w:p w:rsidR="00067011" w:rsidRDefault="00067011" w:rsidP="00566CBA">
            <w:pPr>
              <w:tabs>
                <w:tab w:val="center" w:pos="2199"/>
              </w:tabs>
              <w:jc w:val="center"/>
              <w:rPr>
                <w:b/>
                <w:bCs/>
              </w:rPr>
            </w:pPr>
            <w:r>
              <w:rPr>
                <w:b/>
                <w:bCs/>
              </w:rPr>
              <w:t>AND EXHIBITS</w:t>
            </w:r>
          </w:p>
          <w:p w:rsidR="00067011" w:rsidRDefault="00067011" w:rsidP="00566CBA">
            <w:pPr>
              <w:jc w:val="center"/>
              <w:rPr>
                <w:b/>
                <w:bCs/>
              </w:rPr>
            </w:pPr>
          </w:p>
          <w:p w:rsidR="00067011" w:rsidRDefault="00067011" w:rsidP="00566CBA">
            <w:pPr>
              <w:tabs>
                <w:tab w:val="center" w:pos="2199"/>
              </w:tabs>
              <w:jc w:val="center"/>
              <w:rPr>
                <w:b/>
                <w:bCs/>
              </w:rPr>
            </w:pPr>
            <w:r>
              <w:rPr>
                <w:b/>
                <w:bCs/>
              </w:rPr>
              <w:t>OF</w:t>
            </w:r>
          </w:p>
          <w:p w:rsidR="00296192" w:rsidRDefault="00067011" w:rsidP="00296192">
            <w:pPr>
              <w:tabs>
                <w:tab w:val="center" w:pos="2199"/>
              </w:tabs>
              <w:rPr>
                <w:b/>
                <w:bCs/>
              </w:rPr>
            </w:pPr>
            <w:r>
              <w:rPr>
                <w:b/>
                <w:bCs/>
              </w:rPr>
              <w:tab/>
            </w:r>
          </w:p>
          <w:p w:rsidR="00947F96" w:rsidRDefault="00557337" w:rsidP="00185AF4">
            <w:pPr>
              <w:tabs>
                <w:tab w:val="center" w:pos="2199"/>
              </w:tabs>
              <w:spacing w:line="360" w:lineRule="auto"/>
              <w:jc w:val="center"/>
              <w:rPr>
                <w:b/>
                <w:bCs/>
              </w:rPr>
            </w:pPr>
            <w:r>
              <w:rPr>
                <w:b/>
                <w:bCs/>
              </w:rPr>
              <w:t>JAMIE BARBER</w:t>
            </w:r>
            <w:r w:rsidR="00296192">
              <w:rPr>
                <w:b/>
                <w:bCs/>
              </w:rPr>
              <w:t xml:space="preserve">, </w:t>
            </w:r>
          </w:p>
          <w:p w:rsidR="00947F96" w:rsidRDefault="00296192" w:rsidP="00185AF4">
            <w:pPr>
              <w:tabs>
                <w:tab w:val="center" w:pos="2199"/>
              </w:tabs>
              <w:spacing w:line="360" w:lineRule="auto"/>
              <w:jc w:val="center"/>
              <w:rPr>
                <w:b/>
                <w:bCs/>
              </w:rPr>
            </w:pPr>
            <w:r>
              <w:rPr>
                <w:b/>
                <w:bCs/>
              </w:rPr>
              <w:t>BEN</w:t>
            </w:r>
            <w:r w:rsidR="0001191B">
              <w:rPr>
                <w:b/>
                <w:bCs/>
              </w:rPr>
              <w:t>JAMIN</w:t>
            </w:r>
            <w:r w:rsidR="00947F96">
              <w:rPr>
                <w:b/>
                <w:bCs/>
              </w:rPr>
              <w:t xml:space="preserve"> </w:t>
            </w:r>
            <w:r>
              <w:rPr>
                <w:b/>
                <w:bCs/>
              </w:rPr>
              <w:t>DEITCHMAN,</w:t>
            </w:r>
          </w:p>
          <w:p w:rsidR="00947F96" w:rsidRDefault="00296192" w:rsidP="00185AF4">
            <w:pPr>
              <w:tabs>
                <w:tab w:val="center" w:pos="2199"/>
              </w:tabs>
              <w:spacing w:line="360" w:lineRule="auto"/>
              <w:jc w:val="center"/>
              <w:rPr>
                <w:b/>
                <w:bCs/>
              </w:rPr>
            </w:pPr>
            <w:r>
              <w:rPr>
                <w:b/>
                <w:bCs/>
              </w:rPr>
              <w:t>AND</w:t>
            </w:r>
          </w:p>
          <w:p w:rsidR="00557337" w:rsidRDefault="00296192" w:rsidP="00185AF4">
            <w:pPr>
              <w:tabs>
                <w:tab w:val="center" w:pos="2199"/>
              </w:tabs>
              <w:spacing w:line="360" w:lineRule="auto"/>
              <w:jc w:val="center"/>
              <w:rPr>
                <w:b/>
                <w:bCs/>
              </w:rPr>
            </w:pPr>
            <w:r>
              <w:rPr>
                <w:b/>
                <w:bCs/>
              </w:rPr>
              <w:t>GLENN</w:t>
            </w:r>
            <w:r w:rsidR="00947F96">
              <w:rPr>
                <w:b/>
                <w:bCs/>
              </w:rPr>
              <w:t xml:space="preserve"> </w:t>
            </w:r>
            <w:r>
              <w:rPr>
                <w:b/>
                <w:bCs/>
              </w:rPr>
              <w:t>A. WATKINS</w:t>
            </w:r>
          </w:p>
          <w:p w:rsidR="00067011" w:rsidRDefault="00067011"/>
          <w:p w:rsidR="00067011" w:rsidRDefault="00067011">
            <w:pPr>
              <w:spacing w:after="58"/>
            </w:pPr>
          </w:p>
        </w:tc>
      </w:tr>
    </w:tbl>
    <w:p w:rsidR="00067011" w:rsidRDefault="00067011" w:rsidP="00D556FD">
      <w:pPr>
        <w:jc w:val="both"/>
      </w:pPr>
    </w:p>
    <w:p w:rsidR="00067011" w:rsidRDefault="00067011" w:rsidP="00566CBA">
      <w:pPr>
        <w:tabs>
          <w:tab w:val="center" w:pos="4464"/>
        </w:tabs>
        <w:jc w:val="center"/>
        <w:rPr>
          <w:b/>
          <w:bCs/>
        </w:rPr>
      </w:pPr>
      <w:r>
        <w:rPr>
          <w:b/>
          <w:bCs/>
        </w:rPr>
        <w:t>ON BEHALF OF THE</w:t>
      </w:r>
    </w:p>
    <w:p w:rsidR="00067011" w:rsidRDefault="00067011" w:rsidP="00D556FD">
      <w:pPr>
        <w:jc w:val="both"/>
        <w:rPr>
          <w:b/>
          <w:bCs/>
        </w:rPr>
      </w:pPr>
    </w:p>
    <w:p w:rsidR="00067011" w:rsidRDefault="00067011" w:rsidP="00566CBA">
      <w:pPr>
        <w:tabs>
          <w:tab w:val="center" w:pos="4464"/>
        </w:tabs>
        <w:jc w:val="center"/>
        <w:rPr>
          <w:b/>
          <w:bCs/>
        </w:rPr>
      </w:pPr>
      <w:r>
        <w:rPr>
          <w:b/>
          <w:bCs/>
        </w:rPr>
        <w:t>GEORGIA PUBLIC SERVICE COMMISSION</w:t>
      </w:r>
    </w:p>
    <w:p w:rsidR="00067011" w:rsidRPr="00FD4CC8" w:rsidRDefault="00067011" w:rsidP="00FD4CC8">
      <w:pPr>
        <w:jc w:val="center"/>
        <w:rPr>
          <w:b/>
        </w:rPr>
      </w:pPr>
      <w:r w:rsidRPr="00FD4CC8">
        <w:rPr>
          <w:b/>
        </w:rPr>
        <w:t>PUBLIC INTEREST ADVOCACY STAFF</w:t>
      </w:r>
    </w:p>
    <w:p w:rsidR="00067011" w:rsidRPr="00FA1A03" w:rsidRDefault="00067011" w:rsidP="009D5B5B">
      <w:pPr>
        <w:jc w:val="center"/>
        <w:rPr>
          <w:b/>
          <w:bCs/>
          <w:sz w:val="28"/>
          <w:szCs w:val="28"/>
        </w:rPr>
      </w:pPr>
    </w:p>
    <w:p w:rsidR="00067011" w:rsidRPr="002F2816" w:rsidRDefault="005D307F" w:rsidP="009D5B5B">
      <w:pPr>
        <w:jc w:val="center"/>
        <w:rPr>
          <w:b/>
          <w:bCs/>
          <w:sz w:val="28"/>
          <w:szCs w:val="28"/>
          <w:u w:val="single"/>
        </w:rPr>
      </w:pPr>
      <w:r w:rsidRPr="005D307F">
        <w:rPr>
          <w:b/>
          <w:bCs/>
          <w:sz w:val="28"/>
          <w:szCs w:val="28"/>
          <w:u w:val="single"/>
        </w:rPr>
        <w:t>PUBLIC DISCLOSURE</w:t>
      </w:r>
    </w:p>
    <w:p w:rsidR="00067011" w:rsidRPr="00FA1A03" w:rsidRDefault="00067011" w:rsidP="009D5B5B">
      <w:pPr>
        <w:jc w:val="center"/>
        <w:rPr>
          <w:b/>
          <w:bCs/>
          <w:sz w:val="28"/>
          <w:szCs w:val="28"/>
        </w:rPr>
      </w:pPr>
    </w:p>
    <w:p w:rsidR="00067011" w:rsidRPr="00FA1A03" w:rsidRDefault="00067011" w:rsidP="009D5B5B">
      <w:pPr>
        <w:jc w:val="center"/>
        <w:rPr>
          <w:b/>
          <w:bCs/>
          <w:sz w:val="28"/>
          <w:szCs w:val="28"/>
        </w:rPr>
      </w:pPr>
    </w:p>
    <w:p w:rsidR="00067011" w:rsidRPr="00FA1A03" w:rsidRDefault="00067011" w:rsidP="009D5B5B">
      <w:pPr>
        <w:jc w:val="center"/>
        <w:rPr>
          <w:b/>
          <w:bCs/>
          <w:sz w:val="28"/>
          <w:szCs w:val="28"/>
        </w:rPr>
      </w:pPr>
    </w:p>
    <w:p w:rsidR="00067011" w:rsidRPr="002F2816" w:rsidRDefault="008F5D17" w:rsidP="009D5B5B">
      <w:pPr>
        <w:jc w:val="center"/>
        <w:rPr>
          <w:b/>
          <w:bCs/>
        </w:rPr>
        <w:sectPr w:rsidR="00067011" w:rsidRPr="002F2816" w:rsidSect="00FD4029">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r w:rsidRPr="00566CBA">
        <w:rPr>
          <w:b/>
          <w:bCs/>
        </w:rPr>
        <w:t xml:space="preserve">OCTOBER </w:t>
      </w:r>
      <w:r w:rsidR="00296192" w:rsidRPr="00566CBA">
        <w:rPr>
          <w:b/>
          <w:bCs/>
        </w:rPr>
        <w:t>20</w:t>
      </w:r>
      <w:r w:rsidRPr="00566CBA">
        <w:rPr>
          <w:b/>
          <w:bCs/>
        </w:rPr>
        <w:t>, 20</w:t>
      </w:r>
      <w:r w:rsidR="00296192" w:rsidRPr="00566CBA">
        <w:rPr>
          <w:b/>
          <w:bCs/>
        </w:rPr>
        <w:t>22</w:t>
      </w:r>
      <w:r w:rsidR="00067011" w:rsidRPr="00566CBA">
        <w:rPr>
          <w:b/>
          <w:bCs/>
        </w:rPr>
        <w:tab/>
      </w:r>
    </w:p>
    <w:p w:rsidR="00067011" w:rsidRPr="00F0356C" w:rsidRDefault="00067011" w:rsidP="004927DA">
      <w:pPr>
        <w:jc w:val="center"/>
        <w:rPr>
          <w:b/>
          <w:bCs/>
          <w:u w:val="single"/>
        </w:rPr>
      </w:pPr>
      <w:r w:rsidRPr="00F0356C">
        <w:rPr>
          <w:b/>
          <w:bCs/>
          <w:u w:val="single"/>
        </w:rPr>
        <w:lastRenderedPageBreak/>
        <w:t xml:space="preserve">TABLE OF CONTENTS </w:t>
      </w:r>
    </w:p>
    <w:p w:rsidR="00067011" w:rsidRDefault="00067011" w:rsidP="004927DA">
      <w:pPr>
        <w:jc w:val="center"/>
        <w:rPr>
          <w:b/>
          <w:bCs/>
        </w:rPr>
      </w:pPr>
    </w:p>
    <w:p w:rsidR="00067011" w:rsidRDefault="00067011" w:rsidP="00576CBF">
      <w:pPr>
        <w:jc w:val="right"/>
        <w:rPr>
          <w:b/>
          <w:bCs/>
          <w:u w:val="single"/>
        </w:rPr>
      </w:pPr>
    </w:p>
    <w:sdt>
      <w:sdtPr>
        <w:rPr>
          <w:rFonts w:eastAsia="Times New Roman" w:cs="Times New Roman"/>
          <w:color w:val="auto"/>
          <w:sz w:val="24"/>
          <w:szCs w:val="24"/>
        </w:rPr>
        <w:id w:val="1953831019"/>
        <w:docPartObj>
          <w:docPartGallery w:val="Table of Contents"/>
          <w:docPartUnique/>
        </w:docPartObj>
      </w:sdtPr>
      <w:sdtEndPr>
        <w:rPr>
          <w:b/>
          <w:bCs/>
          <w:noProof/>
        </w:rPr>
      </w:sdtEndPr>
      <w:sdtContent>
        <w:p w:rsidR="00A70E29" w:rsidRPr="00FD4CC8" w:rsidRDefault="00A70E29">
          <w:pPr>
            <w:pStyle w:val="TOCHeading"/>
            <w:rPr>
              <w:b/>
              <w:sz w:val="24"/>
              <w:szCs w:val="24"/>
            </w:rPr>
          </w:pPr>
        </w:p>
        <w:p w:rsidR="00FD4CC8" w:rsidRPr="00FD4CC8" w:rsidRDefault="00A70E29">
          <w:pPr>
            <w:pStyle w:val="TOC1"/>
            <w:tabs>
              <w:tab w:val="left" w:pos="480"/>
              <w:tab w:val="right" w:leader="dot" w:pos="9350"/>
            </w:tabs>
            <w:rPr>
              <w:rFonts w:asciiTheme="minorHAnsi" w:eastAsiaTheme="minorEastAsia" w:hAnsiTheme="minorHAnsi" w:cstheme="minorBidi"/>
              <w:b/>
              <w:noProof/>
              <w:sz w:val="22"/>
              <w:szCs w:val="22"/>
            </w:rPr>
          </w:pPr>
          <w:r w:rsidRPr="00FD4CC8">
            <w:rPr>
              <w:b/>
            </w:rPr>
            <w:fldChar w:fldCharType="begin"/>
          </w:r>
          <w:r w:rsidRPr="00FD4CC8">
            <w:rPr>
              <w:b/>
            </w:rPr>
            <w:instrText xml:space="preserve"> TOC \o "1-3" \h \z \u </w:instrText>
          </w:r>
          <w:r w:rsidRPr="00FD4CC8">
            <w:rPr>
              <w:b/>
            </w:rPr>
            <w:fldChar w:fldCharType="separate"/>
          </w:r>
          <w:hyperlink w:anchor="_Toc116370395" w:history="1">
            <w:r w:rsidR="00FD4CC8" w:rsidRPr="00FD4CC8">
              <w:rPr>
                <w:rStyle w:val="Hyperlink"/>
                <w:b/>
                <w:noProof/>
              </w:rPr>
              <w:t>I.</w:t>
            </w:r>
            <w:r w:rsidR="00FD4CC8" w:rsidRPr="00FD4CC8">
              <w:rPr>
                <w:rFonts w:asciiTheme="minorHAnsi" w:eastAsiaTheme="minorEastAsia" w:hAnsiTheme="minorHAnsi" w:cstheme="minorBidi"/>
                <w:b/>
                <w:noProof/>
                <w:sz w:val="22"/>
                <w:szCs w:val="22"/>
              </w:rPr>
              <w:tab/>
            </w:r>
            <w:r w:rsidR="00FD4CC8" w:rsidRPr="00FD4CC8">
              <w:rPr>
                <w:rStyle w:val="Hyperlink"/>
                <w:b/>
                <w:noProof/>
              </w:rPr>
              <w:t>INTRODUCTION</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_Toc116370395 \h </w:instrText>
            </w:r>
            <w:r w:rsidR="00FD4CC8" w:rsidRPr="00FD4CC8">
              <w:rPr>
                <w:b/>
                <w:noProof/>
                <w:webHidden/>
              </w:rPr>
            </w:r>
            <w:r w:rsidR="00FD4CC8" w:rsidRPr="00FD4CC8">
              <w:rPr>
                <w:b/>
                <w:noProof/>
                <w:webHidden/>
              </w:rPr>
              <w:fldChar w:fldCharType="separate"/>
            </w:r>
            <w:r w:rsidR="00641CFC">
              <w:rPr>
                <w:b/>
                <w:noProof/>
                <w:webHidden/>
              </w:rPr>
              <w:t>1</w:t>
            </w:r>
            <w:r w:rsidR="00FD4CC8" w:rsidRPr="00FD4CC8">
              <w:rPr>
                <w:b/>
                <w:noProof/>
                <w:webHidden/>
              </w:rPr>
              <w:fldChar w:fldCharType="end"/>
            </w:r>
          </w:hyperlink>
        </w:p>
        <w:p w:rsidR="00FD4CC8" w:rsidRPr="00FD4CC8" w:rsidRDefault="00AC0D1F">
          <w:pPr>
            <w:pStyle w:val="TOC1"/>
            <w:tabs>
              <w:tab w:val="left" w:pos="480"/>
              <w:tab w:val="right" w:leader="dot" w:pos="9350"/>
            </w:tabs>
            <w:rPr>
              <w:rFonts w:asciiTheme="minorHAnsi" w:eastAsiaTheme="minorEastAsia" w:hAnsiTheme="minorHAnsi" w:cstheme="minorBidi"/>
              <w:b/>
              <w:noProof/>
              <w:sz w:val="22"/>
              <w:szCs w:val="22"/>
            </w:rPr>
          </w:pPr>
          <w:hyperlink w:anchor="_Toc116370396" w:history="1">
            <w:r w:rsidR="00FD4CC8" w:rsidRPr="00FD4CC8">
              <w:rPr>
                <w:rStyle w:val="Hyperlink"/>
                <w:b/>
                <w:noProof/>
              </w:rPr>
              <w:t>II.</w:t>
            </w:r>
            <w:r w:rsidR="00FD4CC8" w:rsidRPr="00FD4CC8">
              <w:rPr>
                <w:rFonts w:asciiTheme="minorHAnsi" w:eastAsiaTheme="minorEastAsia" w:hAnsiTheme="minorHAnsi" w:cstheme="minorBidi"/>
                <w:b/>
                <w:noProof/>
                <w:sz w:val="22"/>
                <w:szCs w:val="22"/>
              </w:rPr>
              <w:tab/>
            </w:r>
            <w:r w:rsidR="00FD4CC8" w:rsidRPr="00FD4CC8">
              <w:rPr>
                <w:rStyle w:val="Hyperlink"/>
                <w:b/>
                <w:noProof/>
              </w:rPr>
              <w:t>CLASS COST OF SERVICE</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_Toc116370396 \h </w:instrText>
            </w:r>
            <w:r w:rsidR="00FD4CC8" w:rsidRPr="00FD4CC8">
              <w:rPr>
                <w:b/>
                <w:noProof/>
                <w:webHidden/>
              </w:rPr>
            </w:r>
            <w:r w:rsidR="00FD4CC8" w:rsidRPr="00FD4CC8">
              <w:rPr>
                <w:b/>
                <w:noProof/>
                <w:webHidden/>
              </w:rPr>
              <w:fldChar w:fldCharType="separate"/>
            </w:r>
            <w:r w:rsidR="00641CFC">
              <w:rPr>
                <w:b/>
                <w:noProof/>
                <w:webHidden/>
              </w:rPr>
              <w:t>5</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397" w:history="1">
            <w:r w:rsidR="00FD4CC8" w:rsidRPr="00FD4CC8">
              <w:rPr>
                <w:rStyle w:val="Hyperlink"/>
                <w:b/>
                <w:noProof/>
              </w:rPr>
              <w:t>A.</w:t>
            </w:r>
            <w:r w:rsidR="00FD4CC8" w:rsidRPr="00FD4CC8">
              <w:rPr>
                <w:rFonts w:asciiTheme="minorHAnsi" w:eastAsiaTheme="minorEastAsia" w:hAnsiTheme="minorHAnsi" w:cstheme="minorBidi"/>
                <w:b/>
                <w:noProof/>
                <w:sz w:val="22"/>
                <w:szCs w:val="22"/>
              </w:rPr>
              <w:tab/>
            </w:r>
            <w:r w:rsidR="00FD4CC8" w:rsidRPr="00FD4CC8">
              <w:rPr>
                <w:rStyle w:val="Hyperlink"/>
                <w:b/>
                <w:noProof/>
              </w:rPr>
              <w:t>Allocation of Generation Plant</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_Toc116370397 \h </w:instrText>
            </w:r>
            <w:r w:rsidR="00FD4CC8" w:rsidRPr="00FD4CC8">
              <w:rPr>
                <w:b/>
                <w:noProof/>
                <w:webHidden/>
              </w:rPr>
            </w:r>
            <w:r w:rsidR="00FD4CC8" w:rsidRPr="00FD4CC8">
              <w:rPr>
                <w:b/>
                <w:noProof/>
                <w:webHidden/>
              </w:rPr>
              <w:fldChar w:fldCharType="separate"/>
            </w:r>
            <w:r w:rsidR="00641CFC">
              <w:rPr>
                <w:b/>
                <w:noProof/>
                <w:webHidden/>
              </w:rPr>
              <w:t>9</w:t>
            </w:r>
            <w:r w:rsidR="00FD4CC8" w:rsidRPr="00FD4CC8">
              <w:rPr>
                <w:b/>
                <w:noProof/>
                <w:webHidden/>
              </w:rPr>
              <w:fldChar w:fldCharType="end"/>
            </w:r>
          </w:hyperlink>
        </w:p>
        <w:p w:rsidR="00FD4CC8" w:rsidRPr="00FD4CC8" w:rsidRDefault="00AC0D1F">
          <w:pPr>
            <w:pStyle w:val="TOC3"/>
            <w:tabs>
              <w:tab w:val="left" w:pos="1100"/>
              <w:tab w:val="right" w:leader="dot" w:pos="9350"/>
            </w:tabs>
            <w:rPr>
              <w:rFonts w:asciiTheme="minorHAnsi" w:eastAsiaTheme="minorEastAsia" w:hAnsiTheme="minorHAnsi" w:cstheme="minorBidi"/>
              <w:b/>
              <w:noProof/>
              <w:sz w:val="22"/>
              <w:szCs w:val="22"/>
            </w:rPr>
          </w:pPr>
          <w:hyperlink w:anchor="_Toc116370398" w:history="1">
            <w:r w:rsidR="00FD4CC8" w:rsidRPr="00FD4CC8">
              <w:rPr>
                <w:rStyle w:val="Hyperlink"/>
                <w:b/>
                <w:noProof/>
              </w:rPr>
              <w:t>1.</w:t>
            </w:r>
            <w:r w:rsidR="00FD4CC8" w:rsidRPr="00FD4CC8">
              <w:rPr>
                <w:rFonts w:asciiTheme="minorHAnsi" w:eastAsiaTheme="minorEastAsia" w:hAnsiTheme="minorHAnsi" w:cstheme="minorBidi"/>
                <w:b/>
                <w:noProof/>
                <w:sz w:val="22"/>
                <w:szCs w:val="22"/>
              </w:rPr>
              <w:tab/>
            </w:r>
            <w:r w:rsidR="00FD4CC8" w:rsidRPr="00FD4CC8">
              <w:rPr>
                <w:rStyle w:val="Hyperlink"/>
                <w:b/>
                <w:noProof/>
              </w:rPr>
              <w:t>Base-Intermediate-Peak (“BIP”) Method</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_Toc116370398 \h </w:instrText>
            </w:r>
            <w:r w:rsidR="00FD4CC8" w:rsidRPr="00FD4CC8">
              <w:rPr>
                <w:b/>
                <w:noProof/>
                <w:webHidden/>
              </w:rPr>
            </w:r>
            <w:r w:rsidR="00FD4CC8" w:rsidRPr="00FD4CC8">
              <w:rPr>
                <w:b/>
                <w:noProof/>
                <w:webHidden/>
              </w:rPr>
              <w:fldChar w:fldCharType="separate"/>
            </w:r>
            <w:r w:rsidR="00641CFC">
              <w:rPr>
                <w:b/>
                <w:noProof/>
                <w:webHidden/>
              </w:rPr>
              <w:t>25</w:t>
            </w:r>
            <w:r w:rsidR="00FD4CC8" w:rsidRPr="00FD4CC8">
              <w:rPr>
                <w:b/>
                <w:noProof/>
                <w:webHidden/>
              </w:rPr>
              <w:fldChar w:fldCharType="end"/>
            </w:r>
          </w:hyperlink>
        </w:p>
        <w:p w:rsidR="00FD4CC8" w:rsidRPr="00FD4CC8" w:rsidRDefault="00AC0D1F">
          <w:pPr>
            <w:pStyle w:val="TOC3"/>
            <w:tabs>
              <w:tab w:val="left" w:pos="1100"/>
              <w:tab w:val="right" w:leader="dot" w:pos="9350"/>
            </w:tabs>
            <w:rPr>
              <w:rFonts w:asciiTheme="minorHAnsi" w:eastAsiaTheme="minorEastAsia" w:hAnsiTheme="minorHAnsi" w:cstheme="minorBidi"/>
              <w:b/>
              <w:noProof/>
              <w:sz w:val="22"/>
              <w:szCs w:val="22"/>
            </w:rPr>
          </w:pPr>
          <w:hyperlink w:anchor="_Toc116370399" w:history="1">
            <w:r w:rsidR="00FD4CC8" w:rsidRPr="00FD4CC8">
              <w:rPr>
                <w:rStyle w:val="Hyperlink"/>
                <w:b/>
                <w:noProof/>
              </w:rPr>
              <w:t>2.</w:t>
            </w:r>
            <w:r w:rsidR="00FD4CC8" w:rsidRPr="00FD4CC8">
              <w:rPr>
                <w:rFonts w:asciiTheme="minorHAnsi" w:eastAsiaTheme="minorEastAsia" w:hAnsiTheme="minorHAnsi" w:cstheme="minorBidi"/>
                <w:b/>
                <w:noProof/>
                <w:sz w:val="22"/>
                <w:szCs w:val="22"/>
              </w:rPr>
              <w:tab/>
            </w:r>
            <w:r w:rsidR="00FD4CC8" w:rsidRPr="00FD4CC8">
              <w:rPr>
                <w:rStyle w:val="Hyperlink"/>
                <w:b/>
                <w:noProof/>
              </w:rPr>
              <w:t>Probability of Dispatch Method</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_Toc116370399 \h </w:instrText>
            </w:r>
            <w:r w:rsidR="00FD4CC8" w:rsidRPr="00FD4CC8">
              <w:rPr>
                <w:b/>
                <w:noProof/>
                <w:webHidden/>
              </w:rPr>
            </w:r>
            <w:r w:rsidR="00FD4CC8" w:rsidRPr="00FD4CC8">
              <w:rPr>
                <w:b/>
                <w:noProof/>
                <w:webHidden/>
              </w:rPr>
              <w:fldChar w:fldCharType="separate"/>
            </w:r>
            <w:r w:rsidR="00641CFC">
              <w:rPr>
                <w:b/>
                <w:noProof/>
                <w:webHidden/>
              </w:rPr>
              <w:t>28</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0" w:history="1">
            <w:r w:rsidR="00FD4CC8" w:rsidRPr="00FD4CC8">
              <w:rPr>
                <w:rStyle w:val="Hyperlink"/>
                <w:b/>
                <w:noProof/>
              </w:rPr>
              <w:t>B.</w:t>
            </w:r>
            <w:r w:rsidR="00FD4CC8" w:rsidRPr="00FD4CC8">
              <w:rPr>
                <w:rFonts w:asciiTheme="minorHAnsi" w:eastAsiaTheme="minorEastAsia" w:hAnsiTheme="minorHAnsi" w:cstheme="minorBidi"/>
                <w:b/>
                <w:noProof/>
                <w:sz w:val="22"/>
                <w:szCs w:val="22"/>
              </w:rPr>
              <w:tab/>
            </w:r>
            <w:r w:rsidR="00FD4CC8" w:rsidRPr="00FD4CC8">
              <w:rPr>
                <w:rStyle w:val="Hyperlink"/>
                <w:b/>
                <w:noProof/>
              </w:rPr>
              <w:t>Allocation of Transmission Plant</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_Toc116370400 \h </w:instrText>
            </w:r>
            <w:r w:rsidR="00FD4CC8" w:rsidRPr="00FD4CC8">
              <w:rPr>
                <w:b/>
                <w:noProof/>
                <w:webHidden/>
              </w:rPr>
            </w:r>
            <w:r w:rsidR="00FD4CC8" w:rsidRPr="00FD4CC8">
              <w:rPr>
                <w:b/>
                <w:noProof/>
                <w:webHidden/>
              </w:rPr>
              <w:fldChar w:fldCharType="separate"/>
            </w:r>
            <w:r w:rsidR="00641CFC">
              <w:rPr>
                <w:b/>
                <w:noProof/>
                <w:webHidden/>
              </w:rPr>
              <w:t>33</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1" w:history="1">
            <w:r w:rsidR="00FD4CC8" w:rsidRPr="00FD4CC8">
              <w:rPr>
                <w:rStyle w:val="Hyperlink"/>
                <w:b/>
                <w:noProof/>
              </w:rPr>
              <w:t>C.</w:t>
            </w:r>
            <w:r w:rsidR="00FD4CC8" w:rsidRPr="00FD4CC8">
              <w:rPr>
                <w:rFonts w:asciiTheme="minorHAnsi" w:eastAsiaTheme="minorEastAsia" w:hAnsiTheme="minorHAnsi" w:cstheme="minorBidi"/>
                <w:b/>
                <w:noProof/>
                <w:sz w:val="22"/>
                <w:szCs w:val="22"/>
              </w:rPr>
              <w:tab/>
            </w:r>
            <w:r w:rsidR="00FD4CC8" w:rsidRPr="00FD4CC8">
              <w:rPr>
                <w:rStyle w:val="Hyperlink"/>
                <w:b/>
                <w:noProof/>
              </w:rPr>
              <w:t>Classification &amp; Allocation of Distribution Plant</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_Toc116370401 \h </w:instrText>
            </w:r>
            <w:r w:rsidR="00FD4CC8" w:rsidRPr="00FD4CC8">
              <w:rPr>
                <w:b/>
                <w:noProof/>
                <w:webHidden/>
              </w:rPr>
            </w:r>
            <w:r w:rsidR="00FD4CC8" w:rsidRPr="00FD4CC8">
              <w:rPr>
                <w:b/>
                <w:noProof/>
                <w:webHidden/>
              </w:rPr>
              <w:fldChar w:fldCharType="separate"/>
            </w:r>
            <w:r w:rsidR="00641CFC">
              <w:rPr>
                <w:b/>
                <w:noProof/>
                <w:webHidden/>
              </w:rPr>
              <w:t>34</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2" w:history="1">
            <w:r w:rsidR="00FD4CC8" w:rsidRPr="00FD4CC8">
              <w:rPr>
                <w:rStyle w:val="Hyperlink"/>
                <w:b/>
                <w:noProof/>
              </w:rPr>
              <w:t>D.</w:t>
            </w:r>
            <w:r w:rsidR="00FD4CC8" w:rsidRPr="00FD4CC8">
              <w:rPr>
                <w:rFonts w:asciiTheme="minorHAnsi" w:eastAsiaTheme="minorEastAsia" w:hAnsiTheme="minorHAnsi" w:cstheme="minorBidi"/>
                <w:b/>
                <w:noProof/>
                <w:sz w:val="22"/>
                <w:szCs w:val="22"/>
              </w:rPr>
              <w:tab/>
            </w:r>
            <w:r w:rsidR="00FD4CC8" w:rsidRPr="00FD4CC8">
              <w:rPr>
                <w:rStyle w:val="Hyperlink"/>
                <w:b/>
                <w:noProof/>
              </w:rPr>
              <w:t>CCOSS Conclusions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_Toc116370402 \h </w:instrText>
            </w:r>
            <w:r w:rsidR="00FD4CC8" w:rsidRPr="00FD4CC8">
              <w:rPr>
                <w:b/>
                <w:noProof/>
                <w:webHidden/>
              </w:rPr>
            </w:r>
            <w:r w:rsidR="00FD4CC8" w:rsidRPr="00FD4CC8">
              <w:rPr>
                <w:b/>
                <w:noProof/>
                <w:webHidden/>
              </w:rPr>
              <w:fldChar w:fldCharType="separate"/>
            </w:r>
            <w:r w:rsidR="00641CFC">
              <w:rPr>
                <w:b/>
                <w:noProof/>
                <w:webHidden/>
              </w:rPr>
              <w:t>37</w:t>
            </w:r>
            <w:r w:rsidR="00FD4CC8" w:rsidRPr="00FD4CC8">
              <w:rPr>
                <w:b/>
                <w:noProof/>
                <w:webHidden/>
              </w:rPr>
              <w:fldChar w:fldCharType="end"/>
            </w:r>
          </w:hyperlink>
        </w:p>
        <w:p w:rsidR="00FD4CC8" w:rsidRPr="00FD4CC8" w:rsidRDefault="00AC0D1F">
          <w:pPr>
            <w:pStyle w:val="TOC1"/>
            <w:tabs>
              <w:tab w:val="left" w:pos="660"/>
              <w:tab w:val="right" w:leader="dot" w:pos="9350"/>
            </w:tabs>
            <w:rPr>
              <w:rFonts w:asciiTheme="minorHAnsi" w:eastAsiaTheme="minorEastAsia" w:hAnsiTheme="minorHAnsi" w:cstheme="minorBidi"/>
              <w:b/>
              <w:noProof/>
              <w:sz w:val="22"/>
              <w:szCs w:val="22"/>
            </w:rPr>
          </w:pPr>
          <w:hyperlink w:anchor="_Toc116370403" w:history="1">
            <w:r w:rsidR="00FD4CC8" w:rsidRPr="00FD4CC8">
              <w:rPr>
                <w:rStyle w:val="Hyperlink"/>
                <w:b/>
                <w:noProof/>
              </w:rPr>
              <w:t>III.</w:t>
            </w:r>
            <w:r w:rsidR="00FD4CC8" w:rsidRPr="00FD4CC8">
              <w:rPr>
                <w:rFonts w:asciiTheme="minorHAnsi" w:eastAsiaTheme="minorEastAsia" w:hAnsiTheme="minorHAnsi" w:cstheme="minorBidi"/>
                <w:b/>
                <w:noProof/>
                <w:sz w:val="22"/>
                <w:szCs w:val="22"/>
              </w:rPr>
              <w:tab/>
            </w:r>
            <w:r w:rsidR="00FD4CC8" w:rsidRPr="00FD4CC8">
              <w:rPr>
                <w:rStyle w:val="Hyperlink"/>
                <w:b/>
                <w:noProof/>
              </w:rPr>
              <w:t>CLASS AND RATE SCHEDULE REVENUE RESPONSIBILITY</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_Toc116370403 \h </w:instrText>
            </w:r>
            <w:r w:rsidR="00FD4CC8" w:rsidRPr="00FD4CC8">
              <w:rPr>
                <w:b/>
                <w:noProof/>
                <w:webHidden/>
              </w:rPr>
            </w:r>
            <w:r w:rsidR="00FD4CC8" w:rsidRPr="00FD4CC8">
              <w:rPr>
                <w:b/>
                <w:noProof/>
                <w:webHidden/>
              </w:rPr>
              <w:fldChar w:fldCharType="separate"/>
            </w:r>
            <w:r w:rsidR="00641CFC">
              <w:rPr>
                <w:b/>
                <w:noProof/>
                <w:webHidden/>
              </w:rPr>
              <w:t>37</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4" w:history="1">
            <w:r w:rsidR="00FD4CC8" w:rsidRPr="00FD4CC8">
              <w:rPr>
                <w:rStyle w:val="Hyperlink"/>
                <w:b/>
                <w:noProof/>
              </w:rPr>
              <w:t>A.</w:t>
            </w:r>
            <w:r w:rsidR="00FD4CC8" w:rsidRPr="00FD4CC8">
              <w:rPr>
                <w:rFonts w:asciiTheme="minorHAnsi" w:eastAsiaTheme="minorEastAsia" w:hAnsiTheme="minorHAnsi" w:cstheme="minorBidi"/>
                <w:b/>
                <w:noProof/>
                <w:sz w:val="22"/>
                <w:szCs w:val="22"/>
              </w:rPr>
              <w:tab/>
            </w:r>
            <w:r w:rsidR="00FD4CC8" w:rsidRPr="00FD4CC8">
              <w:rPr>
                <w:rStyle w:val="Hyperlink"/>
                <w:b/>
                <w:noProof/>
              </w:rPr>
              <w:t>Traditional Base Rates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_Toc116370404 \h </w:instrText>
            </w:r>
            <w:r w:rsidR="00FD4CC8" w:rsidRPr="00FD4CC8">
              <w:rPr>
                <w:b/>
                <w:noProof/>
                <w:webHidden/>
              </w:rPr>
            </w:r>
            <w:r w:rsidR="00FD4CC8" w:rsidRPr="00FD4CC8">
              <w:rPr>
                <w:b/>
                <w:noProof/>
                <w:webHidden/>
              </w:rPr>
              <w:fldChar w:fldCharType="separate"/>
            </w:r>
            <w:r w:rsidR="00641CFC">
              <w:rPr>
                <w:b/>
                <w:noProof/>
                <w:webHidden/>
              </w:rPr>
              <w:t>41</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5" w:history="1">
            <w:r w:rsidR="00FD4CC8" w:rsidRPr="00FD4CC8">
              <w:rPr>
                <w:rStyle w:val="Hyperlink"/>
                <w:b/>
                <w:noProof/>
              </w:rPr>
              <w:t>B.</w:t>
            </w:r>
            <w:r w:rsidR="00FD4CC8" w:rsidRPr="00FD4CC8">
              <w:rPr>
                <w:rFonts w:asciiTheme="minorHAnsi" w:eastAsiaTheme="minorEastAsia" w:hAnsiTheme="minorHAnsi" w:cstheme="minorBidi"/>
                <w:b/>
                <w:noProof/>
                <w:sz w:val="22"/>
                <w:szCs w:val="22"/>
              </w:rPr>
              <w:tab/>
            </w:r>
            <w:r w:rsidR="00FD4CC8" w:rsidRPr="00FD4CC8">
              <w:rPr>
                <w:rStyle w:val="Hyperlink"/>
                <w:b/>
                <w:noProof/>
              </w:rPr>
              <w:t>ECCR</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_Toc116370405 \h </w:instrText>
            </w:r>
            <w:r w:rsidR="00FD4CC8" w:rsidRPr="00FD4CC8">
              <w:rPr>
                <w:b/>
                <w:noProof/>
                <w:webHidden/>
              </w:rPr>
            </w:r>
            <w:r w:rsidR="00FD4CC8" w:rsidRPr="00FD4CC8">
              <w:rPr>
                <w:b/>
                <w:noProof/>
                <w:webHidden/>
              </w:rPr>
              <w:fldChar w:fldCharType="separate"/>
            </w:r>
            <w:r w:rsidR="00641CFC">
              <w:rPr>
                <w:b/>
                <w:noProof/>
                <w:webHidden/>
              </w:rPr>
              <w:t>50</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6" w:history="1">
            <w:r w:rsidR="00FD4CC8" w:rsidRPr="00FD4CC8">
              <w:rPr>
                <w:rStyle w:val="Hyperlink"/>
                <w:b/>
                <w:noProof/>
              </w:rPr>
              <w:t>C.</w:t>
            </w:r>
            <w:r w:rsidR="00FD4CC8" w:rsidRPr="00FD4CC8">
              <w:rPr>
                <w:rFonts w:asciiTheme="minorHAnsi" w:eastAsiaTheme="minorEastAsia" w:hAnsiTheme="minorHAnsi" w:cstheme="minorBidi"/>
                <w:b/>
                <w:noProof/>
                <w:sz w:val="22"/>
                <w:szCs w:val="22"/>
              </w:rPr>
              <w:tab/>
            </w:r>
            <w:r w:rsidR="00FD4CC8" w:rsidRPr="00FD4CC8">
              <w:rPr>
                <w:rStyle w:val="Hyperlink"/>
                <w:b/>
                <w:noProof/>
              </w:rPr>
              <w:t>DEMAND SIDE MANAGEMENT TARIFFS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_Toc116370406 \h </w:instrText>
            </w:r>
            <w:r w:rsidR="00FD4CC8" w:rsidRPr="00FD4CC8">
              <w:rPr>
                <w:b/>
                <w:noProof/>
                <w:webHidden/>
              </w:rPr>
            </w:r>
            <w:r w:rsidR="00FD4CC8" w:rsidRPr="00FD4CC8">
              <w:rPr>
                <w:b/>
                <w:noProof/>
                <w:webHidden/>
              </w:rPr>
              <w:fldChar w:fldCharType="separate"/>
            </w:r>
            <w:r w:rsidR="00641CFC">
              <w:rPr>
                <w:b/>
                <w:noProof/>
                <w:webHidden/>
              </w:rPr>
              <w:t>54</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7" w:history="1">
            <w:r w:rsidR="00FD4CC8" w:rsidRPr="00FD4CC8">
              <w:rPr>
                <w:rStyle w:val="Hyperlink"/>
                <w:b/>
                <w:noProof/>
              </w:rPr>
              <w:t>D.</w:t>
            </w:r>
            <w:r w:rsidR="00FD4CC8" w:rsidRPr="00FD4CC8">
              <w:rPr>
                <w:rFonts w:asciiTheme="minorHAnsi" w:eastAsiaTheme="minorEastAsia" w:hAnsiTheme="minorHAnsi" w:cstheme="minorBidi"/>
                <w:b/>
                <w:noProof/>
                <w:sz w:val="22"/>
                <w:szCs w:val="22"/>
              </w:rPr>
              <w:tab/>
            </w:r>
            <w:r w:rsidR="00FD4CC8" w:rsidRPr="00FD4CC8">
              <w:rPr>
                <w:rStyle w:val="Hyperlink"/>
                <w:b/>
                <w:noProof/>
              </w:rPr>
              <w:t>MUNICIPAL FRANCHISE FEE RIDER</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_Toc116370407 \h </w:instrText>
            </w:r>
            <w:r w:rsidR="00FD4CC8" w:rsidRPr="00FD4CC8">
              <w:rPr>
                <w:b/>
                <w:noProof/>
                <w:webHidden/>
              </w:rPr>
            </w:r>
            <w:r w:rsidR="00FD4CC8" w:rsidRPr="00FD4CC8">
              <w:rPr>
                <w:b/>
                <w:noProof/>
                <w:webHidden/>
              </w:rPr>
              <w:fldChar w:fldCharType="separate"/>
            </w:r>
            <w:r w:rsidR="00641CFC">
              <w:rPr>
                <w:b/>
                <w:noProof/>
                <w:webHidden/>
              </w:rPr>
              <w:t>55</w:t>
            </w:r>
            <w:r w:rsidR="00FD4CC8" w:rsidRPr="00FD4CC8">
              <w:rPr>
                <w:b/>
                <w:noProof/>
                <w:webHidden/>
              </w:rPr>
              <w:fldChar w:fldCharType="end"/>
            </w:r>
          </w:hyperlink>
        </w:p>
        <w:p w:rsidR="00FD4CC8" w:rsidRPr="00FD4CC8" w:rsidRDefault="00AC0D1F">
          <w:pPr>
            <w:pStyle w:val="TOC1"/>
            <w:tabs>
              <w:tab w:val="left" w:pos="660"/>
              <w:tab w:val="right" w:leader="dot" w:pos="9350"/>
            </w:tabs>
            <w:rPr>
              <w:rFonts w:asciiTheme="minorHAnsi" w:eastAsiaTheme="minorEastAsia" w:hAnsiTheme="minorHAnsi" w:cstheme="minorBidi"/>
              <w:b/>
              <w:noProof/>
              <w:sz w:val="22"/>
              <w:szCs w:val="22"/>
            </w:rPr>
          </w:pPr>
          <w:hyperlink w:anchor="_Toc116370408" w:history="1">
            <w:r w:rsidR="00FD4CC8" w:rsidRPr="00FD4CC8">
              <w:rPr>
                <w:rStyle w:val="Hyperlink"/>
                <w:b/>
                <w:noProof/>
              </w:rPr>
              <w:t>IV.</w:t>
            </w:r>
            <w:r w:rsidR="00FD4CC8" w:rsidRPr="00FD4CC8">
              <w:rPr>
                <w:rFonts w:asciiTheme="minorHAnsi" w:eastAsiaTheme="minorEastAsia" w:hAnsiTheme="minorHAnsi" w:cstheme="minorBidi"/>
                <w:b/>
                <w:noProof/>
                <w:sz w:val="22"/>
                <w:szCs w:val="22"/>
              </w:rPr>
              <w:tab/>
            </w:r>
            <w:r w:rsidR="00FD4CC8" w:rsidRPr="00FD4CC8">
              <w:rPr>
                <w:rStyle w:val="Hyperlink"/>
                <w:b/>
                <w:noProof/>
              </w:rPr>
              <w:t>RATE DESIGN AND OTHER TARIFF ISSUES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_Toc116370408 \h </w:instrText>
            </w:r>
            <w:r w:rsidR="00FD4CC8" w:rsidRPr="00FD4CC8">
              <w:rPr>
                <w:b/>
                <w:noProof/>
                <w:webHidden/>
              </w:rPr>
            </w:r>
            <w:r w:rsidR="00FD4CC8" w:rsidRPr="00FD4CC8">
              <w:rPr>
                <w:b/>
                <w:noProof/>
                <w:webHidden/>
              </w:rPr>
              <w:fldChar w:fldCharType="separate"/>
            </w:r>
            <w:r w:rsidR="00641CFC">
              <w:rPr>
                <w:b/>
                <w:noProof/>
                <w:webHidden/>
              </w:rPr>
              <w:t>58</w:t>
            </w:r>
            <w:r w:rsidR="00FD4CC8" w:rsidRPr="00FD4CC8">
              <w:rPr>
                <w:b/>
                <w:noProof/>
                <w:webHidden/>
              </w:rPr>
              <w:fldChar w:fldCharType="end"/>
            </w:r>
          </w:hyperlink>
        </w:p>
        <w:p w:rsidR="00FD4CC8" w:rsidRPr="00FD4CC8" w:rsidRDefault="00AC0D1F">
          <w:pPr>
            <w:pStyle w:val="TOC2"/>
            <w:tabs>
              <w:tab w:val="left" w:pos="880"/>
              <w:tab w:val="right" w:leader="dot" w:pos="9350"/>
            </w:tabs>
            <w:rPr>
              <w:rFonts w:asciiTheme="minorHAnsi" w:eastAsiaTheme="minorEastAsia" w:hAnsiTheme="minorHAnsi" w:cstheme="minorBidi"/>
              <w:b/>
              <w:noProof/>
              <w:sz w:val="22"/>
              <w:szCs w:val="22"/>
            </w:rPr>
          </w:pPr>
          <w:hyperlink w:anchor="_Toc116370409" w:history="1">
            <w:r w:rsidR="00FD4CC8" w:rsidRPr="00FD4CC8">
              <w:rPr>
                <w:rStyle w:val="Hyperlink"/>
                <w:b/>
                <w:noProof/>
              </w:rPr>
              <w:t>A.</w:t>
            </w:r>
            <w:r w:rsidR="00FD4CC8" w:rsidRPr="00FD4CC8">
              <w:rPr>
                <w:rFonts w:asciiTheme="minorHAnsi" w:eastAsiaTheme="minorEastAsia" w:hAnsiTheme="minorHAnsi" w:cstheme="minorBidi"/>
                <w:b/>
                <w:noProof/>
                <w:sz w:val="22"/>
                <w:szCs w:val="22"/>
              </w:rPr>
              <w:tab/>
            </w:r>
            <w:r w:rsidR="00FD4CC8" w:rsidRPr="00FD4CC8">
              <w:rPr>
                <w:rStyle w:val="Hyperlink"/>
                <w:b/>
                <w:noProof/>
              </w:rPr>
              <w:t>Proposed Changes to Existing Tariffs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_Toc116370409 \h </w:instrText>
            </w:r>
            <w:r w:rsidR="00FD4CC8" w:rsidRPr="00FD4CC8">
              <w:rPr>
                <w:b/>
                <w:noProof/>
                <w:webHidden/>
              </w:rPr>
            </w:r>
            <w:r w:rsidR="00FD4CC8" w:rsidRPr="00FD4CC8">
              <w:rPr>
                <w:b/>
                <w:noProof/>
                <w:webHidden/>
              </w:rPr>
              <w:fldChar w:fldCharType="separate"/>
            </w:r>
            <w:r w:rsidR="00641CFC">
              <w:rPr>
                <w:b/>
                <w:noProof/>
                <w:webHidden/>
              </w:rPr>
              <w:t>58</w:t>
            </w:r>
            <w:r w:rsidR="00FD4CC8" w:rsidRPr="00FD4CC8">
              <w:rPr>
                <w:b/>
                <w:noProof/>
                <w:webHidden/>
              </w:rPr>
              <w:fldChar w:fldCharType="end"/>
            </w:r>
          </w:hyperlink>
        </w:p>
        <w:p w:rsidR="00FD4CC8" w:rsidRPr="00FD4CC8" w:rsidRDefault="00AC0D1F">
          <w:pPr>
            <w:pStyle w:val="TOC1"/>
            <w:tabs>
              <w:tab w:val="left" w:pos="660"/>
              <w:tab w:val="right" w:leader="dot" w:pos="9350"/>
            </w:tabs>
            <w:rPr>
              <w:rFonts w:asciiTheme="minorHAnsi" w:eastAsiaTheme="minorEastAsia" w:hAnsiTheme="minorHAnsi" w:cstheme="minorBidi"/>
              <w:b/>
              <w:noProof/>
              <w:sz w:val="22"/>
              <w:szCs w:val="22"/>
            </w:rPr>
          </w:pPr>
          <w:hyperlink w:anchor="_Toc116370410" w:history="1">
            <w:r w:rsidR="00FD4CC8" w:rsidRPr="00FD4CC8">
              <w:rPr>
                <w:rStyle w:val="Hyperlink"/>
                <w:rFonts w:eastAsia="Calibri"/>
                <w:b/>
                <w:noProof/>
              </w:rPr>
              <w:t xml:space="preserve">V. </w:t>
            </w:r>
            <w:r w:rsidR="00FD4CC8" w:rsidRPr="00FD4CC8">
              <w:rPr>
                <w:rFonts w:asciiTheme="minorHAnsi" w:eastAsiaTheme="minorEastAsia" w:hAnsiTheme="minorHAnsi" w:cstheme="minorBidi"/>
                <w:b/>
                <w:noProof/>
                <w:sz w:val="22"/>
                <w:szCs w:val="22"/>
              </w:rPr>
              <w:tab/>
            </w:r>
            <w:r w:rsidR="00FD4CC8" w:rsidRPr="00FD4CC8">
              <w:rPr>
                <w:rStyle w:val="Hyperlink"/>
                <w:rFonts w:eastAsia="Calibri"/>
                <w:b/>
                <w:noProof/>
              </w:rPr>
              <w:t xml:space="preserve"> PROPOSED NEW TARIFF</w:t>
            </w:r>
            <w:r w:rsidR="00FF75C4">
              <w:rPr>
                <w:rStyle w:val="Hyperlink"/>
                <w:rFonts w:eastAsia="Calibri"/>
                <w:b/>
                <w:noProof/>
              </w:rPr>
              <w:t>S AND REQUIREMENTS</w:t>
            </w:r>
            <w:r w:rsidR="00FD4CC8" w:rsidRPr="00FD4CC8">
              <w:rPr>
                <w:b/>
                <w:noProof/>
                <w:webHidden/>
              </w:rPr>
              <w:tab/>
            </w:r>
            <w:r w:rsidR="00FD4CC8" w:rsidRPr="00FD4CC8">
              <w:rPr>
                <w:b/>
                <w:noProof/>
                <w:webHidden/>
              </w:rPr>
              <w:fldChar w:fldCharType="begin"/>
            </w:r>
            <w:r w:rsidR="00FD4CC8" w:rsidRPr="00FD4CC8">
              <w:rPr>
                <w:b/>
                <w:noProof/>
                <w:webHidden/>
              </w:rPr>
              <w:instrText xml:space="preserve"> PAGEREF _Toc116370410 \h </w:instrText>
            </w:r>
            <w:r w:rsidR="00FD4CC8" w:rsidRPr="00FD4CC8">
              <w:rPr>
                <w:b/>
                <w:noProof/>
                <w:webHidden/>
              </w:rPr>
            </w:r>
            <w:r w:rsidR="00FD4CC8" w:rsidRPr="00FD4CC8">
              <w:rPr>
                <w:b/>
                <w:noProof/>
                <w:webHidden/>
              </w:rPr>
              <w:fldChar w:fldCharType="separate"/>
            </w:r>
            <w:r w:rsidR="00641CFC">
              <w:rPr>
                <w:b/>
                <w:noProof/>
                <w:webHidden/>
              </w:rPr>
              <w:t>95</w:t>
            </w:r>
            <w:r w:rsidR="00FD4CC8" w:rsidRPr="00FD4CC8">
              <w:rPr>
                <w:b/>
                <w:noProof/>
                <w:webHidden/>
              </w:rPr>
              <w:fldChar w:fldCharType="end"/>
            </w:r>
          </w:hyperlink>
        </w:p>
        <w:p w:rsidR="00A70E29" w:rsidRDefault="00A70E29">
          <w:r w:rsidRPr="00FD4CC8">
            <w:rPr>
              <w:b/>
              <w:bCs/>
              <w:noProof/>
            </w:rPr>
            <w:fldChar w:fldCharType="end"/>
          </w:r>
        </w:p>
      </w:sdtContent>
    </w:sdt>
    <w:p w:rsidR="00F0356C" w:rsidRDefault="00F0356C" w:rsidP="00F0356C">
      <w:pPr>
        <w:tabs>
          <w:tab w:val="left" w:pos="720"/>
          <w:tab w:val="left" w:pos="1440"/>
          <w:tab w:val="right" w:leader="dot" w:pos="9360"/>
        </w:tabs>
        <w:rPr>
          <w:b/>
          <w:bCs/>
        </w:rPr>
      </w:pPr>
    </w:p>
    <w:p w:rsidR="00F0356C" w:rsidRDefault="00FA068B" w:rsidP="00A70E29">
      <w:pPr>
        <w:rPr>
          <w:b/>
          <w:bCs/>
        </w:rPr>
      </w:pPr>
      <w:r>
        <w:rPr>
          <w:b/>
          <w:bCs/>
        </w:rPr>
        <w:br w:type="page"/>
      </w:r>
    </w:p>
    <w:p w:rsidR="00F0356C" w:rsidRPr="005B6553" w:rsidRDefault="00F0356C" w:rsidP="00F0356C">
      <w:pPr>
        <w:tabs>
          <w:tab w:val="left" w:pos="720"/>
          <w:tab w:val="left" w:pos="1440"/>
          <w:tab w:val="right" w:leader="dot" w:pos="9360"/>
        </w:tabs>
        <w:jc w:val="center"/>
        <w:rPr>
          <w:b/>
          <w:u w:val="single"/>
        </w:rPr>
      </w:pPr>
      <w:r w:rsidRPr="005B6553">
        <w:rPr>
          <w:b/>
          <w:u w:val="single"/>
        </w:rPr>
        <w:lastRenderedPageBreak/>
        <w:t>LIST OF EXHIBITS</w:t>
      </w:r>
    </w:p>
    <w:p w:rsidR="00F0356C" w:rsidRPr="00F0356C" w:rsidRDefault="00F0356C" w:rsidP="00F0356C">
      <w:pPr>
        <w:tabs>
          <w:tab w:val="left" w:pos="720"/>
          <w:tab w:val="left" w:pos="1440"/>
          <w:tab w:val="right" w:leader="dot" w:pos="9360"/>
        </w:tabs>
        <w:jc w:val="center"/>
      </w:pPr>
    </w:p>
    <w:p w:rsidR="005B6553" w:rsidRPr="00F35F4C" w:rsidRDefault="005B6553" w:rsidP="005B6553">
      <w:pPr>
        <w:tabs>
          <w:tab w:val="left" w:pos="2160"/>
          <w:tab w:val="center" w:pos="4680"/>
          <w:tab w:val="right" w:pos="9360"/>
        </w:tabs>
        <w:spacing w:line="480" w:lineRule="auto"/>
        <w:rPr>
          <w:rFonts w:eastAsia="Calibri"/>
          <w:b/>
          <w:u w:val="single"/>
        </w:rPr>
      </w:pPr>
      <w:r w:rsidRPr="00F35F4C">
        <w:rPr>
          <w:rFonts w:eastAsia="Calibri"/>
          <w:b/>
          <w:u w:val="single"/>
        </w:rPr>
        <w:t>Staff Exhibit #</w:t>
      </w:r>
      <w:r w:rsidRPr="00F35F4C">
        <w:rPr>
          <w:rFonts w:eastAsia="Calibri"/>
          <w:b/>
        </w:rPr>
        <w:tab/>
      </w:r>
      <w:r>
        <w:rPr>
          <w:rFonts w:eastAsia="Calibri"/>
          <w:b/>
        </w:rPr>
        <w:tab/>
      </w:r>
      <w:r w:rsidRPr="00F35F4C">
        <w:rPr>
          <w:rFonts w:eastAsia="Calibri"/>
          <w:b/>
          <w:u w:val="single"/>
        </w:rPr>
        <w:t>Description</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(BDW-1)</w:t>
      </w:r>
      <w:r w:rsidRPr="00F0356C">
        <w:tab/>
        <w:t>–</w:t>
      </w:r>
      <w:r w:rsidRPr="00F0356C">
        <w:tab/>
        <w:t>Resume of Jamie Barber</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(BDW-2)</w:t>
      </w:r>
      <w:r w:rsidRPr="00F0356C">
        <w:tab/>
        <w:t>–</w:t>
      </w:r>
      <w:r w:rsidRPr="00F0356C">
        <w:tab/>
        <w:t>Resume of Ben</w:t>
      </w:r>
      <w:r w:rsidR="0001191B">
        <w:t>jamin</w:t>
      </w:r>
      <w:r w:rsidRPr="00F0356C">
        <w:t xml:space="preserve"> </w:t>
      </w:r>
      <w:proofErr w:type="spellStart"/>
      <w:r w:rsidRPr="00F0356C">
        <w:t>Deitchman</w:t>
      </w:r>
      <w:proofErr w:type="spellEnd"/>
      <w:r w:rsidRPr="00F0356C">
        <w:t xml:space="preserve"> </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(BDW-3)</w:t>
      </w:r>
      <w:r w:rsidRPr="00F0356C">
        <w:tab/>
        <w:t>–</w:t>
      </w:r>
      <w:r w:rsidRPr="00F0356C">
        <w:tab/>
        <w:t xml:space="preserve">Resume of Glenn </w:t>
      </w:r>
      <w:r w:rsidR="005B6553">
        <w:t xml:space="preserve">A. </w:t>
      </w:r>
      <w:r w:rsidRPr="00F0356C">
        <w:t>Watkins</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(BDW-4)</w:t>
      </w:r>
      <w:r w:rsidRPr="00F0356C">
        <w:tab/>
        <w:t>–</w:t>
      </w:r>
      <w:r w:rsidRPr="00F0356C">
        <w:tab/>
        <w:t>Base-Intermediate-Peak Classification</w:t>
      </w:r>
      <w:r w:rsidR="00CA320E">
        <w:t xml:space="preserve"> – Trade Secret</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(BDW-5)</w:t>
      </w:r>
      <w:r w:rsidRPr="00F0356C">
        <w:tab/>
        <w:t>–</w:t>
      </w:r>
      <w:r w:rsidRPr="00F0356C">
        <w:tab/>
        <w:t>Base-Intermediate-Peak CCOSS Summary w/Vogtle 3</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(BDW-6)</w:t>
      </w:r>
      <w:r w:rsidRPr="00F0356C">
        <w:tab/>
        <w:t>–</w:t>
      </w:r>
      <w:r w:rsidRPr="00F0356C">
        <w:tab/>
        <w:t>Base-Intermediate-Peak CCOSS Summary w/o Vogtle 3</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(BDW-7)</w:t>
      </w:r>
      <w:r w:rsidRPr="00F0356C">
        <w:tab/>
        <w:t>–</w:t>
      </w:r>
      <w:r w:rsidRPr="00F0356C">
        <w:tab/>
        <w:t>Probability of Dispatch CCOSS Summary w/Vogtle 3</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(BDW-8)</w:t>
      </w:r>
      <w:r w:rsidRPr="00F0356C">
        <w:tab/>
        <w:t>–</w:t>
      </w:r>
      <w:r w:rsidRPr="00F0356C">
        <w:tab/>
        <w:t>Probability of Dispatch CCOSS Summary w/o Vogtle 3</w:t>
      </w:r>
    </w:p>
    <w:p w:rsidR="00FC46D7" w:rsidRPr="00F0356C" w:rsidRDefault="00F0356C" w:rsidP="00FC46D7">
      <w:pPr>
        <w:tabs>
          <w:tab w:val="left" w:pos="720"/>
          <w:tab w:val="left" w:pos="1440"/>
          <w:tab w:val="left" w:pos="2880"/>
          <w:tab w:val="left" w:pos="3600"/>
          <w:tab w:val="right" w:leader="dot" w:pos="9360"/>
        </w:tabs>
        <w:jc w:val="both"/>
      </w:pPr>
      <w:r w:rsidRPr="00F0356C">
        <w:t>Staff Exhibit __ (BDW-</w:t>
      </w:r>
      <w:r w:rsidR="0095566C">
        <w:t>9</w:t>
      </w:r>
      <w:r w:rsidRPr="00F0356C">
        <w:t>)</w:t>
      </w:r>
      <w:r w:rsidRPr="00F0356C">
        <w:tab/>
        <w:t>–</w:t>
      </w:r>
      <w:r w:rsidRPr="00F0356C">
        <w:tab/>
      </w:r>
      <w:r w:rsidR="00FC46D7" w:rsidRPr="00F0356C">
        <w:t>Staff Direct Customer Cost Analysis</w:t>
      </w:r>
    </w:p>
    <w:p w:rsidR="00F0356C" w:rsidRPr="00F0356C" w:rsidRDefault="00F0356C" w:rsidP="00F0356C">
      <w:pPr>
        <w:tabs>
          <w:tab w:val="left" w:pos="720"/>
          <w:tab w:val="left" w:pos="1440"/>
          <w:tab w:val="left" w:pos="2880"/>
          <w:tab w:val="left" w:pos="3600"/>
          <w:tab w:val="right" w:leader="dot" w:pos="9360"/>
        </w:tabs>
        <w:jc w:val="both"/>
      </w:pPr>
      <w:r w:rsidRPr="00F0356C">
        <w:t>Staff Exhibit __ (BDW-1</w:t>
      </w:r>
      <w:r w:rsidR="0095566C">
        <w:t>0</w:t>
      </w:r>
      <w:r w:rsidRPr="00F0356C">
        <w:t>)</w:t>
      </w:r>
      <w:r w:rsidRPr="00F0356C">
        <w:tab/>
        <w:t>–</w:t>
      </w:r>
      <w:r w:rsidRPr="00F0356C">
        <w:tab/>
      </w:r>
      <w:r w:rsidR="00FC46D7">
        <w:t>Georgia Power Exhibit ___ (AF-2) from 2019 Rate Case</w:t>
      </w:r>
    </w:p>
    <w:p w:rsidR="00F0356C" w:rsidRPr="00F0356C" w:rsidRDefault="00F0356C" w:rsidP="00FC46D7">
      <w:pPr>
        <w:tabs>
          <w:tab w:val="left" w:pos="720"/>
          <w:tab w:val="left" w:pos="1440"/>
          <w:tab w:val="left" w:pos="2880"/>
          <w:tab w:val="left" w:pos="3600"/>
          <w:tab w:val="right" w:leader="dot" w:pos="9360"/>
        </w:tabs>
        <w:jc w:val="both"/>
      </w:pPr>
      <w:r w:rsidRPr="00F0356C">
        <w:t>Staff Exhibit __ (BDW-1</w:t>
      </w:r>
      <w:r w:rsidR="0095566C">
        <w:t>1</w:t>
      </w:r>
      <w:r w:rsidRPr="00F0356C">
        <w:t>)</w:t>
      </w:r>
      <w:r w:rsidRPr="00F0356C">
        <w:tab/>
        <w:t>–</w:t>
      </w:r>
      <w:r w:rsidR="00FC46D7">
        <w:tab/>
        <w:t>Typical Weekday &amp; Weekend Hourly Loads (January)</w:t>
      </w:r>
    </w:p>
    <w:p w:rsidR="00F0356C" w:rsidRPr="00F0356C" w:rsidRDefault="00F0356C" w:rsidP="00FC46D7">
      <w:pPr>
        <w:tabs>
          <w:tab w:val="left" w:pos="720"/>
          <w:tab w:val="left" w:pos="1440"/>
          <w:tab w:val="left" w:pos="2880"/>
          <w:tab w:val="left" w:pos="3600"/>
          <w:tab w:val="right" w:leader="dot" w:pos="9360"/>
        </w:tabs>
        <w:jc w:val="both"/>
      </w:pPr>
      <w:r w:rsidRPr="00F0356C">
        <w:t>Staff Exhibit __ (BDW-1</w:t>
      </w:r>
      <w:r w:rsidR="0095566C">
        <w:t>2</w:t>
      </w:r>
      <w:r w:rsidRPr="00F0356C">
        <w:t>)</w:t>
      </w:r>
      <w:r w:rsidRPr="00F0356C">
        <w:tab/>
        <w:t>–</w:t>
      </w:r>
      <w:r w:rsidR="00FC46D7">
        <w:tab/>
        <w:t>Typical Weekday &amp; Weekend Hourly Loads (July)</w:t>
      </w:r>
    </w:p>
    <w:p w:rsidR="00F0356C" w:rsidRPr="00FC46D7" w:rsidRDefault="00F0356C" w:rsidP="00FC46D7">
      <w:pPr>
        <w:tabs>
          <w:tab w:val="left" w:pos="720"/>
          <w:tab w:val="left" w:pos="1440"/>
          <w:tab w:val="left" w:pos="2880"/>
          <w:tab w:val="left" w:pos="3600"/>
          <w:tab w:val="right" w:leader="dot" w:pos="9360"/>
        </w:tabs>
        <w:jc w:val="both"/>
        <w:rPr>
          <w:color w:val="FF0000"/>
        </w:rPr>
      </w:pPr>
      <w:r w:rsidRPr="00F0356C">
        <w:t>Staff Exhibit __ (BDW-1</w:t>
      </w:r>
      <w:r w:rsidR="0095566C">
        <w:t>3</w:t>
      </w:r>
      <w:r w:rsidRPr="00F0356C">
        <w:t>)</w:t>
      </w:r>
      <w:r w:rsidRPr="00F0356C">
        <w:tab/>
        <w:t>–</w:t>
      </w:r>
      <w:r w:rsidR="00FC46D7">
        <w:tab/>
      </w:r>
      <w:r w:rsidR="00500BAD">
        <w:t>Income Qualified Report</w:t>
      </w:r>
    </w:p>
    <w:p w:rsidR="00F0356C" w:rsidRPr="00F0356C" w:rsidRDefault="00F0356C" w:rsidP="00F0356C">
      <w:pPr>
        <w:tabs>
          <w:tab w:val="left" w:pos="720"/>
          <w:tab w:val="left" w:pos="1440"/>
          <w:tab w:val="left" w:pos="2880"/>
          <w:tab w:val="right" w:leader="dot" w:pos="9360"/>
        </w:tabs>
        <w:jc w:val="both"/>
      </w:pPr>
      <w:r w:rsidRPr="00F0356C">
        <w:t>Staff Exhibit __ (BDW-1</w:t>
      </w:r>
      <w:r w:rsidR="0095566C">
        <w:t>4</w:t>
      </w:r>
      <w:r w:rsidRPr="00F0356C">
        <w:t>)</w:t>
      </w:r>
      <w:r w:rsidRPr="00F0356C">
        <w:tab/>
        <w:t>–</w:t>
      </w:r>
      <w:r w:rsidR="00500BAD">
        <w:t xml:space="preserve">          Current Renewable and Non-Renewable Tariff</w:t>
      </w:r>
    </w:p>
    <w:p w:rsidR="00F0356C" w:rsidRPr="00F0356C" w:rsidRDefault="00F0356C" w:rsidP="00F0356C">
      <w:pPr>
        <w:tabs>
          <w:tab w:val="left" w:pos="720"/>
          <w:tab w:val="left" w:pos="1440"/>
          <w:tab w:val="left" w:pos="2880"/>
          <w:tab w:val="right" w:leader="dot" w:pos="9360"/>
        </w:tabs>
        <w:jc w:val="both"/>
      </w:pPr>
      <w:r w:rsidRPr="00F0356C">
        <w:t>Staff Exhibit __ (BDW-1</w:t>
      </w:r>
      <w:r w:rsidR="0095566C">
        <w:t>5</w:t>
      </w:r>
      <w:r w:rsidRPr="00F0356C">
        <w:t>)</w:t>
      </w:r>
      <w:r w:rsidRPr="00F0356C">
        <w:tab/>
        <w:t>–</w:t>
      </w:r>
      <w:r w:rsidR="00500BAD">
        <w:t xml:space="preserve">          Community Solar Participation Chart</w:t>
      </w:r>
    </w:p>
    <w:p w:rsidR="00500BAD" w:rsidRDefault="00500BAD" w:rsidP="004927DA">
      <w:pPr>
        <w:jc w:val="both"/>
      </w:pPr>
      <w:r w:rsidRPr="00F0356C">
        <w:t>Staff Exhibit __ (BDW-1</w:t>
      </w:r>
      <w:r>
        <w:t>6</w:t>
      </w:r>
      <w:r w:rsidRPr="00F0356C">
        <w:t>)</w:t>
      </w:r>
      <w:r w:rsidRPr="00F0356C">
        <w:tab/>
        <w:t>–</w:t>
      </w:r>
      <w:r>
        <w:t xml:space="preserve">          Company Response to </w:t>
      </w:r>
      <w:r>
        <w:rPr>
          <w:rFonts w:eastAsia="Calibri"/>
        </w:rPr>
        <w:t>STF-DEA-2-11</w:t>
      </w:r>
    </w:p>
    <w:p w:rsidR="00067011" w:rsidRDefault="00500BAD" w:rsidP="004927DA">
      <w:pPr>
        <w:jc w:val="both"/>
      </w:pPr>
      <w:r w:rsidRPr="00F0356C">
        <w:t>Staff Exhibit __ (BDW-1</w:t>
      </w:r>
      <w:r>
        <w:t>7</w:t>
      </w:r>
      <w:r w:rsidRPr="00F0356C">
        <w:t>)</w:t>
      </w:r>
      <w:r w:rsidRPr="00F0356C">
        <w:tab/>
        <w:t>–</w:t>
      </w:r>
      <w:r>
        <w:t xml:space="preserve">  </w:t>
      </w:r>
      <w:r w:rsidR="00AF0876">
        <w:t xml:space="preserve">        </w:t>
      </w:r>
      <w:r w:rsidR="00AF0876" w:rsidRPr="00AF0876">
        <w:rPr>
          <w:rFonts w:eastAsia="Calibri"/>
        </w:rPr>
        <w:t>Company Response to STF-PIA-6-44</w:t>
      </w:r>
    </w:p>
    <w:p w:rsidR="00500BAD" w:rsidRDefault="00500BAD" w:rsidP="004927DA">
      <w:pPr>
        <w:jc w:val="both"/>
      </w:pPr>
      <w:r w:rsidRPr="00F0356C">
        <w:t>Staff Exhibit __ (BDW-1</w:t>
      </w:r>
      <w:r>
        <w:t>8</w:t>
      </w:r>
      <w:r w:rsidRPr="00F0356C">
        <w:t>)</w:t>
      </w:r>
      <w:r w:rsidRPr="00F0356C">
        <w:tab/>
        <w:t>–</w:t>
      </w:r>
      <w:r>
        <w:t xml:space="preserve">  </w:t>
      </w:r>
      <w:r w:rsidR="00AF0876">
        <w:t xml:space="preserve">        Company </w:t>
      </w:r>
      <w:r w:rsidR="00374984">
        <w:rPr>
          <w:rFonts w:eastAsia="Calibri"/>
        </w:rPr>
        <w:t>R</w:t>
      </w:r>
      <w:r w:rsidR="00AF0876">
        <w:rPr>
          <w:rFonts w:eastAsia="Calibri"/>
        </w:rPr>
        <w:t>esponse to</w:t>
      </w:r>
      <w:r w:rsidR="00AF0876" w:rsidRPr="00DB252E">
        <w:rPr>
          <w:rFonts w:eastAsia="Calibri"/>
        </w:rPr>
        <w:t xml:space="preserve"> </w:t>
      </w:r>
      <w:r w:rsidR="00AF0876" w:rsidRPr="000C03D9">
        <w:rPr>
          <w:rFonts w:eastAsia="Calibri"/>
        </w:rPr>
        <w:t>STF-TAI-1-46</w:t>
      </w:r>
    </w:p>
    <w:p w:rsidR="00500BAD" w:rsidRDefault="00500BAD" w:rsidP="004927DA">
      <w:pPr>
        <w:jc w:val="both"/>
      </w:pPr>
      <w:r w:rsidRPr="00F0356C">
        <w:t>Staff Exhibit __ (BDW-1</w:t>
      </w:r>
      <w:r>
        <w:t>9</w:t>
      </w:r>
      <w:r w:rsidRPr="00F0356C">
        <w:t>)</w:t>
      </w:r>
      <w:r w:rsidRPr="00F0356C">
        <w:tab/>
        <w:t>–</w:t>
      </w:r>
      <w:r>
        <w:t xml:space="preserve">  </w:t>
      </w:r>
      <w:r w:rsidR="00AF0876">
        <w:t xml:space="preserve">        </w:t>
      </w:r>
      <w:r w:rsidR="00AF0876">
        <w:rPr>
          <w:rFonts w:eastAsia="Calibri"/>
        </w:rPr>
        <w:t xml:space="preserve">Company </w:t>
      </w:r>
      <w:r w:rsidR="00AF0876" w:rsidRPr="000C03D9">
        <w:rPr>
          <w:rFonts w:eastAsia="Calibri"/>
        </w:rPr>
        <w:t>Response to STF-TAI-1-47</w:t>
      </w:r>
    </w:p>
    <w:p w:rsidR="00500BAD" w:rsidRDefault="00500BAD" w:rsidP="004927DA">
      <w:pPr>
        <w:jc w:val="both"/>
      </w:pPr>
      <w:r w:rsidRPr="00F0356C">
        <w:t>Staff Exhibit __ (BDW-</w:t>
      </w:r>
      <w:r>
        <w:t>20</w:t>
      </w:r>
      <w:r w:rsidRPr="00F0356C">
        <w:t>)</w:t>
      </w:r>
      <w:r w:rsidRPr="00F0356C">
        <w:tab/>
        <w:t>–</w:t>
      </w:r>
      <w:r>
        <w:t xml:space="preserve">  </w:t>
      </w:r>
      <w:r w:rsidR="00AF0876">
        <w:t xml:space="preserve">        Company R</w:t>
      </w:r>
      <w:r w:rsidR="00AF0876" w:rsidRPr="000C03D9">
        <w:rPr>
          <w:rFonts w:eastAsia="Calibri"/>
        </w:rPr>
        <w:t>esponse to STF-</w:t>
      </w:r>
      <w:r w:rsidR="00AF0876">
        <w:rPr>
          <w:rFonts w:eastAsia="Calibri"/>
        </w:rPr>
        <w:t>PIA</w:t>
      </w:r>
      <w:r w:rsidR="00AF0876" w:rsidRPr="000C03D9">
        <w:rPr>
          <w:rFonts w:eastAsia="Calibri"/>
        </w:rPr>
        <w:t>-</w:t>
      </w:r>
      <w:r w:rsidR="00AF0876">
        <w:rPr>
          <w:rFonts w:eastAsia="Calibri"/>
        </w:rPr>
        <w:t>6</w:t>
      </w:r>
      <w:r w:rsidR="00AF0876" w:rsidRPr="000C03D9">
        <w:rPr>
          <w:rFonts w:eastAsia="Calibri"/>
        </w:rPr>
        <w:t>-40</w:t>
      </w:r>
    </w:p>
    <w:p w:rsidR="00AF0876" w:rsidRDefault="00500BAD" w:rsidP="004927DA">
      <w:pPr>
        <w:jc w:val="both"/>
        <w:rPr>
          <w:rFonts w:eastAsia="Calibri"/>
        </w:rPr>
      </w:pPr>
      <w:r w:rsidRPr="00F0356C">
        <w:t>Staff Exhibit __ (BDW-</w:t>
      </w:r>
      <w:r>
        <w:t>21</w:t>
      </w:r>
      <w:r w:rsidRPr="00F0356C">
        <w:t>)</w:t>
      </w:r>
      <w:r w:rsidRPr="00F0356C">
        <w:tab/>
        <w:t>–</w:t>
      </w:r>
      <w:r>
        <w:t xml:space="preserve"> </w:t>
      </w:r>
      <w:r w:rsidR="00AF0876">
        <w:t xml:space="preserve">         </w:t>
      </w:r>
      <w:r w:rsidR="00AF0876">
        <w:rPr>
          <w:rFonts w:eastAsia="Calibri"/>
        </w:rPr>
        <w:t xml:space="preserve">Company </w:t>
      </w:r>
      <w:r w:rsidR="00374984">
        <w:rPr>
          <w:rFonts w:eastAsia="Calibri"/>
        </w:rPr>
        <w:t>R</w:t>
      </w:r>
      <w:r w:rsidR="00AF0876">
        <w:rPr>
          <w:rFonts w:eastAsia="Calibri"/>
        </w:rPr>
        <w:t xml:space="preserve">esponse to </w:t>
      </w:r>
      <w:r w:rsidR="00AF0876" w:rsidRPr="000C03D9">
        <w:rPr>
          <w:rFonts w:eastAsia="Calibri"/>
        </w:rPr>
        <w:t>STF-TAI-1-40</w:t>
      </w:r>
      <w:r w:rsidR="00AF0876">
        <w:rPr>
          <w:rFonts w:eastAsia="Calibri"/>
        </w:rPr>
        <w:t xml:space="preserve"> </w:t>
      </w:r>
    </w:p>
    <w:p w:rsidR="00500BAD" w:rsidRPr="004927DA" w:rsidRDefault="00500BAD" w:rsidP="004927DA">
      <w:pPr>
        <w:jc w:val="both"/>
        <w:sectPr w:rsidR="00500BAD" w:rsidRPr="004927DA" w:rsidSect="00374984">
          <w:headerReference w:type="first" r:id="rId15"/>
          <w:pgSz w:w="12240" w:h="15840" w:code="1"/>
          <w:pgMar w:top="1440" w:right="1440" w:bottom="1440" w:left="1440" w:header="720" w:footer="720" w:gutter="0"/>
          <w:pgNumType w:fmt="lowerRoman" w:start="1"/>
          <w:cols w:space="720"/>
          <w:docGrid w:linePitch="360"/>
        </w:sectPr>
      </w:pPr>
    </w:p>
    <w:p w:rsidR="00067011" w:rsidRPr="00D24841" w:rsidRDefault="00067011" w:rsidP="00D24841">
      <w:pPr>
        <w:pStyle w:val="Heading1"/>
      </w:pPr>
      <w:bookmarkStart w:id="0" w:name="_Toc116370395"/>
      <w:r w:rsidRPr="00D24841">
        <w:lastRenderedPageBreak/>
        <w:t>I.</w:t>
      </w:r>
      <w:r w:rsidRPr="00D24841">
        <w:tab/>
        <w:t>INTRODUCTION</w:t>
      </w:r>
      <w:bookmarkEnd w:id="0"/>
    </w:p>
    <w:p w:rsidR="00067011" w:rsidRDefault="00067011" w:rsidP="00D24841">
      <w:pPr>
        <w:pStyle w:val="Questions"/>
      </w:pPr>
      <w:r>
        <w:t>Q.</w:t>
      </w:r>
      <w:r>
        <w:tab/>
        <w:t>PLEASE STATE YOUR NAME</w:t>
      </w:r>
      <w:r w:rsidR="00557337">
        <w:t>S</w:t>
      </w:r>
      <w:r>
        <w:t xml:space="preserve"> AND BUSINESS ADDRESS</w:t>
      </w:r>
      <w:r w:rsidR="00557337">
        <w:t>ES</w:t>
      </w:r>
      <w:r>
        <w:t>.</w:t>
      </w:r>
    </w:p>
    <w:p w:rsidR="00067011" w:rsidRDefault="00067011" w:rsidP="004717AD">
      <w:pPr>
        <w:pStyle w:val="Answers"/>
      </w:pPr>
      <w:r>
        <w:t>A.</w:t>
      </w:r>
      <w:r>
        <w:tab/>
      </w:r>
      <w:r w:rsidR="00557337">
        <w:t>Our</w:t>
      </w:r>
      <w:r>
        <w:t xml:space="preserve"> name</w:t>
      </w:r>
      <w:r w:rsidR="00557337">
        <w:t>s</w:t>
      </w:r>
      <w:r>
        <w:t xml:space="preserve"> </w:t>
      </w:r>
      <w:r w:rsidR="00557337">
        <w:t>are</w:t>
      </w:r>
      <w:r>
        <w:t xml:space="preserve"> </w:t>
      </w:r>
      <w:r w:rsidR="004E73D9">
        <w:t>Jamie Barber and Ben</w:t>
      </w:r>
      <w:r w:rsidR="0001191B">
        <w:t>jamin</w:t>
      </w:r>
      <w:r w:rsidR="004E73D9">
        <w:t xml:space="preserve"> </w:t>
      </w:r>
      <w:proofErr w:type="spellStart"/>
      <w:r w:rsidR="004E73D9">
        <w:t>Deitchman</w:t>
      </w:r>
      <w:proofErr w:type="spellEnd"/>
      <w:r w:rsidR="004E73D9">
        <w:t>,</w:t>
      </w:r>
      <w:r w:rsidR="004E73D9" w:rsidRPr="004E73D9">
        <w:t xml:space="preserve"> </w:t>
      </w:r>
      <w:r w:rsidR="004E73D9">
        <w:t xml:space="preserve">244 Washington, Street, SW, Atlanta, Georgia 30334 and </w:t>
      </w:r>
      <w:r>
        <w:t>Glenn A. Watkins</w:t>
      </w:r>
      <w:r w:rsidR="00557337">
        <w:t xml:space="preserve">, </w:t>
      </w:r>
      <w:r w:rsidR="00871F22">
        <w:t>6377 Mattawan Trail, Mechanicsville, Virginia 23116.</w:t>
      </w:r>
    </w:p>
    <w:p w:rsidR="00296192" w:rsidRPr="0051212A" w:rsidRDefault="00296192" w:rsidP="00D24841">
      <w:pPr>
        <w:pStyle w:val="Questions"/>
      </w:pPr>
      <w:r w:rsidRPr="00042132">
        <w:t>Q.</w:t>
      </w:r>
      <w:r>
        <w:tab/>
        <w:t xml:space="preserve">MS. BARBER </w:t>
      </w:r>
      <w:r w:rsidRPr="00042132">
        <w:t xml:space="preserve">Please state your </w:t>
      </w:r>
      <w:r>
        <w:t xml:space="preserve">TITLE, EMPLOYER, </w:t>
      </w:r>
      <w:r w:rsidRPr="00042132">
        <w:t>educational background and work experience.</w:t>
      </w:r>
    </w:p>
    <w:p w:rsidR="00296192" w:rsidRPr="00D24841" w:rsidRDefault="00296192" w:rsidP="004717AD">
      <w:pPr>
        <w:pStyle w:val="Answers"/>
      </w:pPr>
      <w:r w:rsidRPr="00296192">
        <w:t>A.</w:t>
      </w:r>
      <w:r w:rsidRPr="00636B83">
        <w:tab/>
      </w:r>
      <w:r w:rsidRPr="00466607">
        <w:t xml:space="preserve">I am the </w:t>
      </w:r>
      <w:r>
        <w:t xml:space="preserve">Director of the </w:t>
      </w:r>
      <w:r w:rsidRPr="00466607">
        <w:t xml:space="preserve">Energy Efficiency and Renewable Energy </w:t>
      </w:r>
      <w:r>
        <w:t xml:space="preserve">Unit </w:t>
      </w:r>
      <w:r w:rsidRPr="00466607">
        <w:t>for the Georgia Public Service Commission</w:t>
      </w:r>
      <w:r>
        <w:t xml:space="preserve"> (“Commission”).  </w:t>
      </w:r>
      <w:r w:rsidRPr="00410E1E">
        <w:t>My educational background and work experience are provided in my resu</w:t>
      </w:r>
      <w:r>
        <w:t>me, which is attached as Staff Exhibit __ (</w:t>
      </w:r>
      <w:r w:rsidR="00D61EEF">
        <w:t>BDW-1</w:t>
      </w:r>
      <w:r>
        <w:t xml:space="preserve">).  </w:t>
      </w:r>
    </w:p>
    <w:p w:rsidR="00296192" w:rsidRPr="0051212A" w:rsidRDefault="00067011" w:rsidP="00D24841">
      <w:pPr>
        <w:pStyle w:val="Questions"/>
      </w:pPr>
      <w:r>
        <w:t>Q.</w:t>
      </w:r>
      <w:r>
        <w:tab/>
      </w:r>
      <w:r w:rsidR="00296192">
        <w:t>MR. DEITCHMAN PLEASE STATE</w:t>
      </w:r>
      <w:r w:rsidR="00296192" w:rsidRPr="00296192">
        <w:t xml:space="preserve"> </w:t>
      </w:r>
      <w:r w:rsidR="00296192" w:rsidRPr="00042132">
        <w:t xml:space="preserve">your </w:t>
      </w:r>
      <w:r w:rsidR="00296192">
        <w:t xml:space="preserve">TITLE, EMPLOYER, </w:t>
      </w:r>
      <w:r w:rsidR="00296192" w:rsidRPr="00042132">
        <w:t>educational background and work experience.</w:t>
      </w:r>
    </w:p>
    <w:p w:rsidR="00296192" w:rsidRPr="00D24841" w:rsidRDefault="00296192" w:rsidP="004717AD">
      <w:pPr>
        <w:pStyle w:val="Answers"/>
      </w:pPr>
      <w:r w:rsidRPr="00640D72">
        <w:rPr>
          <w:bCs/>
        </w:rPr>
        <w:t>A.</w:t>
      </w:r>
      <w:r>
        <w:rPr>
          <w:bCs/>
        </w:rPr>
        <w:tab/>
      </w:r>
      <w:r w:rsidR="006C4217" w:rsidRPr="00466607">
        <w:t xml:space="preserve">I am </w:t>
      </w:r>
      <w:r w:rsidR="00F25370">
        <w:t>a</w:t>
      </w:r>
      <w:r w:rsidR="00327CC8">
        <w:t xml:space="preserve"> Utilities Analyst </w:t>
      </w:r>
      <w:r w:rsidR="006C4217" w:rsidRPr="00466607">
        <w:t xml:space="preserve">for the </w:t>
      </w:r>
      <w:r w:rsidR="006C4217">
        <w:t xml:space="preserve">Commission.  </w:t>
      </w:r>
      <w:r w:rsidR="006C4217" w:rsidRPr="00410E1E">
        <w:t>My educational background and work experience are provided in my resu</w:t>
      </w:r>
      <w:r w:rsidR="006C4217">
        <w:t>me, which is attached as Staff Exhibit __ (BDW-</w:t>
      </w:r>
      <w:r w:rsidR="00327CC8">
        <w:t>2</w:t>
      </w:r>
      <w:r w:rsidR="006C4217">
        <w:t xml:space="preserve">).  </w:t>
      </w:r>
    </w:p>
    <w:p w:rsidR="00067011" w:rsidRDefault="00296192" w:rsidP="00D24841">
      <w:pPr>
        <w:pStyle w:val="Questions"/>
      </w:pPr>
      <w:r>
        <w:t>Q.</w:t>
      </w:r>
      <w:r>
        <w:tab/>
      </w:r>
      <w:r w:rsidR="00557337">
        <w:t xml:space="preserve">MR. WATKINS </w:t>
      </w:r>
      <w:r w:rsidR="00067011">
        <w:t>WHAT IS YOUR PROFESSIONAL AND EDUCATIONAL BACKGROUND?</w:t>
      </w:r>
    </w:p>
    <w:p w:rsidR="00067011" w:rsidRPr="004717AD" w:rsidRDefault="00067011" w:rsidP="00086427">
      <w:pPr>
        <w:spacing w:line="480" w:lineRule="auto"/>
        <w:ind w:left="720" w:hanging="720"/>
        <w:jc w:val="both"/>
        <w:rPr>
          <w:b/>
        </w:rPr>
      </w:pPr>
      <w:r>
        <w:t>A.</w:t>
      </w:r>
      <w:r>
        <w:tab/>
      </w:r>
      <w:r w:rsidR="00871F22">
        <w:t xml:space="preserve">Except for a </w:t>
      </w:r>
      <w:proofErr w:type="gramStart"/>
      <w:r w:rsidR="00871F22">
        <w:t>six month</w:t>
      </w:r>
      <w:proofErr w:type="gramEnd"/>
      <w:r w:rsidR="00871F22">
        <w:t xml:space="preserve"> period during 1987 in which</w:t>
      </w:r>
      <w:r w:rsidR="00871F22" w:rsidRPr="00C5364A">
        <w:rPr>
          <w:b/>
          <w:color w:val="FF0000"/>
        </w:rPr>
        <w:t xml:space="preserve"> </w:t>
      </w:r>
      <w:r w:rsidR="00871F22" w:rsidRPr="002F2816">
        <w:rPr>
          <w:bCs/>
        </w:rPr>
        <w:t>I was employed by Old Dominion Electric Cooperative, as its forecasting and rate economist, I have</w:t>
      </w:r>
      <w:r w:rsidR="00871F22">
        <w:t xml:space="preserve"> been employed by </w:t>
      </w:r>
      <w:r w:rsidR="00871F22">
        <w:lastRenderedPageBreak/>
        <w:t>Technical Associates continuously since 1980.</w:t>
      </w:r>
      <w:r w:rsidR="00537E46">
        <w:t xml:space="preserve">  </w:t>
      </w:r>
      <w:r w:rsidR="00871F22" w:rsidRPr="002F2816">
        <w:t xml:space="preserve">During my 42-year career at Technical Associates, I have conducted hundreds of marginal and embedded cost of service, rate design, cost of capital, revenue requirement, and load forecasting studies involving numerous electric, gas, water/wastewater, and telephone utilities, and have provided expert testimony in Alabama, Arizona, Delaware, Georgia, Illinois, Indiana, Kansas, Kentucky, Maine, Maryland, Massachusetts, Michigan, Montana, Nevada, New Jersey, North Carolina, Ohio, Pennsylvania, Vermont, Virginia, South Carolina, Washington, and West Virginia.  </w:t>
      </w:r>
      <w:r>
        <w:t>A more complete description of my education and experience is p</w:t>
      </w:r>
      <w:r w:rsidR="00557337">
        <w:t>rovided in Staff Exhibit</w:t>
      </w:r>
      <w:r w:rsidR="00703EBD">
        <w:t xml:space="preserve"> </w:t>
      </w:r>
      <w:r w:rsidR="00557337">
        <w:t>__</w:t>
      </w:r>
      <w:r w:rsidR="00611AAB">
        <w:t xml:space="preserve"> (</w:t>
      </w:r>
      <w:r w:rsidR="00327CC8">
        <w:t>BDW-3</w:t>
      </w:r>
      <w:r>
        <w:t>).</w:t>
      </w:r>
    </w:p>
    <w:p w:rsidR="00296192" w:rsidRDefault="00557337" w:rsidP="00D24841">
      <w:pPr>
        <w:pStyle w:val="Questions"/>
      </w:pPr>
      <w:bookmarkStart w:id="1" w:name="_Hlk113292775"/>
      <w:r>
        <w:t>Q.</w:t>
      </w:r>
      <w:r>
        <w:tab/>
      </w:r>
      <w:r w:rsidR="00296192">
        <w:t xml:space="preserve">MS. BARBER, </w:t>
      </w:r>
      <w:r w:rsidR="00296192" w:rsidRPr="00076025">
        <w:t xml:space="preserve">HAVE YOU </w:t>
      </w:r>
      <w:r w:rsidR="00296192">
        <w:t xml:space="preserve">PREVIOUSLY </w:t>
      </w:r>
      <w:r w:rsidR="00296192" w:rsidRPr="00076025">
        <w:t>TESTIFIED BEFORE THIS COMMISSION?</w:t>
      </w:r>
      <w:bookmarkEnd w:id="1"/>
    </w:p>
    <w:p w:rsidR="00296192" w:rsidRDefault="00327CC8" w:rsidP="004717AD">
      <w:pPr>
        <w:pStyle w:val="Answers"/>
      </w:pPr>
      <w:r w:rsidRPr="00327CC8">
        <w:t>A.</w:t>
      </w:r>
      <w:r w:rsidRPr="00327CC8">
        <w:tab/>
      </w:r>
      <w:r>
        <w:t>Y</w:t>
      </w:r>
      <w:r w:rsidRPr="006E30A8">
        <w:t>es. I testified in each of the 1998 through 2009 United Cities Gas Company (now known as Atmos Energy Corporation) Gas Supply Plan Proceedings. I also testified in Docket No. 10270, GPSC Determination of Lack of Market Constraints on Atlanta Gas Light Company’s Commodity Sales; Docket No. 11114, Rule Nisi Against United Gas Management of Georgia, Inc.; Docket No. 14311, Earnings Review to Establish Just and Reasonable Rates for Atlanta Gas Light Company; Docket No. 15296 Service Quality Standards for Certified Marketers and Regulated Provider; Docket No. 18638-Atlanta Gas Light Company’s 2004/2005 Rate Case; Docket No. 20298 Atmos Energy Corporation’s 2005 Rate Case; Docket No. 27163 Atmos Energy C</w:t>
      </w:r>
      <w:r>
        <w:t xml:space="preserve">orporation’s 2008 Rate Case; </w:t>
      </w:r>
      <w:r w:rsidRPr="006E30A8">
        <w:t>Docket No. 30442 Atmos Energy’s 2010 Rate Case</w:t>
      </w:r>
      <w:r>
        <w:t xml:space="preserve">; Docket No. 36498 Georgia Power Company’s </w:t>
      </w:r>
      <w:r>
        <w:lastRenderedPageBreak/>
        <w:t xml:space="preserve">2013 IRP Filing; Docket No. 36499 Georgia Power Company’s 2013 Demand Side Program Certification; Docket No. 37854, </w:t>
      </w:r>
      <w:r w:rsidRPr="004E06D2">
        <w:t>Georgia Power Company’s Application for the Certification of the Power Purchase Agreements for Wind Resources from the Blue Canyon II and Blue Canyon VI Wind Farms</w:t>
      </w:r>
      <w:r>
        <w:t>; Docket No. 38877,</w:t>
      </w:r>
      <w:r w:rsidRPr="00651F74">
        <w:t xml:space="preserve"> Georgia Power Company’s Application for the Certification of the 2015 and 2016 Advanced Solar Initiative Prime Power Purchase Agreements and Request for Approval of the 2015 Advanced Solar Initiative Power Purchase Agreements</w:t>
      </w:r>
      <w:r>
        <w:t xml:space="preserve">, Docket No. </w:t>
      </w:r>
      <w:r w:rsidRPr="00CE5766">
        <w:t>36989 Georgia Power Company’s 2013</w:t>
      </w:r>
      <w:r>
        <w:t xml:space="preserve"> Rate Case, Docket No. 40161</w:t>
      </w:r>
      <w:r w:rsidRPr="00CC0358">
        <w:t xml:space="preserve"> </w:t>
      </w:r>
      <w:r w:rsidRPr="00CA40DB">
        <w:t>Georgia Power Company</w:t>
      </w:r>
      <w:r>
        <w:t xml:space="preserve">’s 2016 IRP Filing, </w:t>
      </w:r>
      <w:r w:rsidRPr="00CA40DB">
        <w:t>40162 Georgia Power Company’s 2016 Demand Side Program Certification</w:t>
      </w:r>
      <w:r>
        <w:t>,</w:t>
      </w:r>
      <w:r w:rsidRPr="008F57CD">
        <w:t xml:space="preserve"> Docket No. 41596, Georgia Power Company’s Application for the Certification of the 2018/2019 Renewable Energy Development Initiative Utility Scale Power Purchase Agreements</w:t>
      </w:r>
      <w:r>
        <w:t xml:space="preserve">, </w:t>
      </w:r>
      <w:r w:rsidRPr="008F57CD">
        <w:t>Docket No. 41734, Georgia Power Company’s Application for the Certification of the 2018/2019 Renewable Energy Development Initiative Utility Scale Power Purchase Agreements for the Commercial and Industrial Program</w:t>
      </w:r>
      <w:r>
        <w:t>,</w:t>
      </w:r>
      <w:r w:rsidRPr="00B324D5">
        <w:t xml:space="preserve"> </w:t>
      </w:r>
      <w:r>
        <w:t>Docket No. 43210 Georgia Power</w:t>
      </w:r>
      <w:r w:rsidR="002C73EA">
        <w:t xml:space="preserve"> Company</w:t>
      </w:r>
      <w:r>
        <w:t xml:space="preserve">’s 2019 IRP Filing, </w:t>
      </w:r>
      <w:bookmarkStart w:id="2" w:name="_Hlk101849472"/>
      <w:r>
        <w:t>Docket No. 43211</w:t>
      </w:r>
      <w:bookmarkEnd w:id="2"/>
      <w:r>
        <w:t xml:space="preserve"> Georgia Power Company’s 2019 Application for the Certification, Decertification, and Amended Demand-Side Management Plan, Docket No. 42516 Georgia Power</w:t>
      </w:r>
      <w:r w:rsidR="002C73EA">
        <w:t xml:space="preserve"> Company</w:t>
      </w:r>
      <w:r>
        <w:t>’s 2019 Rate Case, Docket No. 44160 Georgia Power Company’s 2022 Integrated Resource Plan and Docket No. 44161 Georgia Power</w:t>
      </w:r>
      <w:r w:rsidR="002C73EA">
        <w:t xml:space="preserve"> Company</w:t>
      </w:r>
      <w:r>
        <w:t>’s Application for the Certification, Decertification and Amended Demand Side Plan.</w:t>
      </w:r>
    </w:p>
    <w:p w:rsidR="00296192" w:rsidRDefault="00296192" w:rsidP="00D24841">
      <w:pPr>
        <w:pStyle w:val="Questions"/>
      </w:pPr>
      <w:bookmarkStart w:id="3" w:name="_Hlk113449881"/>
      <w:r>
        <w:lastRenderedPageBreak/>
        <w:t>Q.</w:t>
      </w:r>
      <w:r>
        <w:tab/>
        <w:t xml:space="preserve">MR. DEITCHMAN, </w:t>
      </w:r>
      <w:r w:rsidRPr="00076025">
        <w:t xml:space="preserve">HAVE YOU </w:t>
      </w:r>
      <w:r>
        <w:t xml:space="preserve">PREVIOUSLY </w:t>
      </w:r>
      <w:r w:rsidRPr="00076025">
        <w:t>TESTIFIED BEFORE THIS COMMISSION?</w:t>
      </w:r>
    </w:p>
    <w:p w:rsidR="00594767" w:rsidRPr="00296192" w:rsidRDefault="00296192" w:rsidP="004717AD">
      <w:pPr>
        <w:pStyle w:val="Answers"/>
      </w:pPr>
      <w:r w:rsidRPr="00296192">
        <w:t xml:space="preserve">A. </w:t>
      </w:r>
      <w:r w:rsidRPr="00296192">
        <w:tab/>
        <w:t>Yes.</w:t>
      </w:r>
      <w:r w:rsidR="00EF0818">
        <w:t xml:space="preserve"> I testified in the 2019 Georgia </w:t>
      </w:r>
      <w:r w:rsidR="00C3261E">
        <w:t>Power</w:t>
      </w:r>
      <w:r w:rsidR="002C73EA">
        <w:t xml:space="preserve"> Company</w:t>
      </w:r>
      <w:r w:rsidR="00C3261E">
        <w:t xml:space="preserve"> Rate Case</w:t>
      </w:r>
      <w:r w:rsidR="00612803">
        <w:t>,</w:t>
      </w:r>
      <w:r w:rsidR="00C3261E">
        <w:t xml:space="preserve"> Docket No. 4</w:t>
      </w:r>
      <w:r w:rsidR="00612803">
        <w:t>2</w:t>
      </w:r>
      <w:r w:rsidR="00C3261E">
        <w:t>516.</w:t>
      </w:r>
    </w:p>
    <w:bookmarkEnd w:id="3"/>
    <w:p w:rsidR="00557337" w:rsidRDefault="00296192" w:rsidP="00D24841">
      <w:pPr>
        <w:pStyle w:val="Questions"/>
      </w:pPr>
      <w:r>
        <w:t>Q.</w:t>
      </w:r>
      <w:r>
        <w:tab/>
      </w:r>
      <w:r w:rsidR="00557337">
        <w:t>MR. WATKINS, HAVE YOU APPEARED BEFORE THIS COMMISSION ON PREVIOUS OCCASIONS?</w:t>
      </w:r>
    </w:p>
    <w:p w:rsidR="00871F22" w:rsidRDefault="00557337" w:rsidP="002F2816">
      <w:pPr>
        <w:spacing w:line="480" w:lineRule="auto"/>
        <w:ind w:left="720" w:hanging="720"/>
        <w:jc w:val="both"/>
      </w:pPr>
      <w:r>
        <w:t>A.</w:t>
      </w:r>
      <w:r>
        <w:tab/>
      </w:r>
      <w:r w:rsidR="00871F22" w:rsidRPr="002F2816">
        <w:t>Yes.  I appeared as a witness</w:t>
      </w:r>
      <w:r w:rsidR="00871F22">
        <w:t xml:space="preserve"> on behalf of the Commission Public Interest Advocacy </w:t>
      </w:r>
      <w:r w:rsidR="00974BEA">
        <w:t xml:space="preserve">(“PIA”) </w:t>
      </w:r>
      <w:r w:rsidR="00871F22">
        <w:t xml:space="preserve">Staff (“Staff”) in Georgia Power Company’s (“Georgia Power” or “Company”) general rate cases during 2007, 2010, and 2013.  </w:t>
      </w:r>
      <w:r w:rsidR="00871F22" w:rsidRPr="002F2816">
        <w:t>Furthermore, I provided</w:t>
      </w:r>
      <w:r w:rsidR="00871F22">
        <w:t xml:space="preserve"> testimony on behalf of the Staff many years ago in a Savannah Gas and Electric case. </w:t>
      </w:r>
    </w:p>
    <w:p w:rsidR="00CF42E4" w:rsidRDefault="00CF42E4" w:rsidP="00D24841">
      <w:pPr>
        <w:pStyle w:val="Questions"/>
      </w:pPr>
      <w:r>
        <w:t>Q.</w:t>
      </w:r>
      <w:r>
        <w:tab/>
        <w:t xml:space="preserve">PLEASE </w:t>
      </w:r>
      <w:r w:rsidR="00AE521D">
        <w:t xml:space="preserve">DESCRIBE </w:t>
      </w:r>
      <w:r>
        <w:t xml:space="preserve">THE ISSUES THAT EACH </w:t>
      </w:r>
      <w:r w:rsidR="00594767">
        <w:t>W</w:t>
      </w:r>
      <w:r>
        <w:t>ITNESS WILL BE RESPONSIBLE FOR ADDRESSING.</w:t>
      </w:r>
    </w:p>
    <w:p w:rsidR="00557337" w:rsidRDefault="00CF42E4" w:rsidP="004717AD">
      <w:pPr>
        <w:pStyle w:val="Answers"/>
        <w:rPr>
          <w:b/>
          <w:bCs/>
          <w:u w:val="single"/>
        </w:rPr>
      </w:pPr>
      <w:r>
        <w:t>A.</w:t>
      </w:r>
      <w:r>
        <w:tab/>
        <w:t xml:space="preserve">Mr. Watkins will address </w:t>
      </w:r>
      <w:r w:rsidR="005A06BE">
        <w:t>class cost of service study (“</w:t>
      </w:r>
      <w:r>
        <w:t>CCOSS</w:t>
      </w:r>
      <w:r w:rsidR="005A06BE">
        <w:t>”)</w:t>
      </w:r>
      <w:r>
        <w:t>, revenue allocation</w:t>
      </w:r>
      <w:r w:rsidR="00871F22">
        <w:t>s</w:t>
      </w:r>
      <w:r w:rsidR="00466607">
        <w:t xml:space="preserve"> and </w:t>
      </w:r>
      <w:r w:rsidR="00C31562">
        <w:t xml:space="preserve">specific </w:t>
      </w:r>
      <w:r w:rsidR="00466607">
        <w:t>rate design</w:t>
      </w:r>
      <w:r w:rsidR="00AA056B">
        <w:t xml:space="preserve"> issues</w:t>
      </w:r>
      <w:r>
        <w:t>.  Ms. Barber</w:t>
      </w:r>
      <w:r w:rsidR="00594767">
        <w:t xml:space="preserve"> will address proposed changes to the Community Solar</w:t>
      </w:r>
      <w:r w:rsidR="004516DA">
        <w:t xml:space="preserve"> “CS”)</w:t>
      </w:r>
      <w:r w:rsidR="00A90AD2">
        <w:t>, R</w:t>
      </w:r>
      <w:r w:rsidR="00EF000D">
        <w:t>enewable and Non</w:t>
      </w:r>
      <w:r w:rsidR="00234F81">
        <w:t>-</w:t>
      </w:r>
      <w:r w:rsidR="00EF000D">
        <w:t>Renewable (“R</w:t>
      </w:r>
      <w:r w:rsidR="00A90AD2">
        <w:t>NR</w:t>
      </w:r>
      <w:r w:rsidR="00EF000D">
        <w:t>”),</w:t>
      </w:r>
      <w:r w:rsidR="00A90AD2">
        <w:t xml:space="preserve"> and Simple Solar </w:t>
      </w:r>
      <w:r w:rsidR="00B83419">
        <w:t xml:space="preserve">(“SS”) </w:t>
      </w:r>
      <w:r w:rsidR="00594767">
        <w:t>tariffs</w:t>
      </w:r>
      <w:r w:rsidR="00AE521D">
        <w:t xml:space="preserve">, </w:t>
      </w:r>
      <w:r w:rsidR="00594767">
        <w:t xml:space="preserve">and </w:t>
      </w:r>
      <w:r w:rsidR="00EF000D">
        <w:t>the panel</w:t>
      </w:r>
      <w:r>
        <w:t xml:space="preserve"> will address the Company’s request for </w:t>
      </w:r>
      <w:r w:rsidR="00086427">
        <w:t xml:space="preserve">modifications to existing </w:t>
      </w:r>
      <w:r w:rsidR="00234F81">
        <w:t xml:space="preserve">tariffs, </w:t>
      </w:r>
      <w:r w:rsidR="0005578D">
        <w:t xml:space="preserve">request to eliminate tariffs, </w:t>
      </w:r>
      <w:r w:rsidR="00234F81">
        <w:t>approval</w:t>
      </w:r>
      <w:r>
        <w:t xml:space="preserve"> of </w:t>
      </w:r>
      <w:r w:rsidR="0005578D">
        <w:t xml:space="preserve">a </w:t>
      </w:r>
      <w:r>
        <w:t xml:space="preserve">new tariff, </w:t>
      </w:r>
      <w:r w:rsidR="0005578D">
        <w:t xml:space="preserve">proposed </w:t>
      </w:r>
      <w:r>
        <w:t>changes to its Rules and Regulations, and other tariff-related issues.</w:t>
      </w:r>
      <w:r w:rsidR="006A056D">
        <w:t xml:space="preserve">  </w:t>
      </w:r>
    </w:p>
    <w:p w:rsidR="00067011" w:rsidRDefault="00067011" w:rsidP="004717AD">
      <w:pPr>
        <w:pStyle w:val="Heading1"/>
      </w:pPr>
      <w:bookmarkStart w:id="4" w:name="_Toc116370396"/>
      <w:r>
        <w:lastRenderedPageBreak/>
        <w:t>II.</w:t>
      </w:r>
      <w:r>
        <w:tab/>
      </w:r>
      <w:r w:rsidR="002A1829">
        <w:t>C</w:t>
      </w:r>
      <w:r>
        <w:t>LASS COST OF SERVICE</w:t>
      </w:r>
      <w:bookmarkEnd w:id="4"/>
    </w:p>
    <w:p w:rsidR="00871F22" w:rsidRDefault="00871F22" w:rsidP="000D4458">
      <w:pPr>
        <w:spacing w:before="480" w:line="480" w:lineRule="auto"/>
        <w:ind w:left="749" w:hanging="749"/>
        <w:jc w:val="both"/>
        <w:rPr>
          <w:b/>
        </w:rPr>
      </w:pPr>
      <w:r>
        <w:rPr>
          <w:b/>
        </w:rPr>
        <w:t>Q.</w:t>
      </w:r>
      <w:r>
        <w:rPr>
          <w:b/>
        </w:rPr>
        <w:tab/>
        <w:t>PLEASE BRIEFLY EXPLAIN THE CONCEPT OF A CCOSS AND ITS PURPOSE IN A RATE PROCEEDING.</w:t>
      </w:r>
    </w:p>
    <w:p w:rsidR="00871F22" w:rsidRDefault="00871F22" w:rsidP="002F2816">
      <w:pPr>
        <w:spacing w:line="480" w:lineRule="auto"/>
        <w:ind w:left="748" w:hanging="748"/>
        <w:jc w:val="both"/>
      </w:pPr>
      <w:r>
        <w:t>A.</w:t>
      </w:r>
      <w:r>
        <w:tab/>
        <w:t>Generally, there are two types of cost of service studies used in public utility ratemaking:  marginal cost studies and embedded, or fully allocated, cost studies.  Consistent with the practices of this Commission, Georgia Power has utilized a traditional embedded cost of service study for purposes of establishing the overall revenue requirement in this case, as well as for class cost of service purposes.</w:t>
      </w:r>
    </w:p>
    <w:p w:rsidR="00871F22" w:rsidRDefault="00871F22" w:rsidP="000D4458">
      <w:pPr>
        <w:spacing w:before="360" w:line="480" w:lineRule="auto"/>
        <w:ind w:left="749" w:hanging="749"/>
        <w:jc w:val="both"/>
      </w:pPr>
      <w:r>
        <w:tab/>
        <w:t xml:space="preserve">Embedded class cost of service studies </w:t>
      </w:r>
      <w:proofErr w:type="gramStart"/>
      <w:r>
        <w:t>are</w:t>
      </w:r>
      <w:proofErr w:type="gramEnd"/>
      <w:r>
        <w:t xml:space="preserve"> also referred to as fully allocated cost studies because the majority of a public utility’s plant investment and expense is incurred to serve all customers in a joint manner.  Accordingly, most costs cannot be specifically attributed to a particular customer or group of customers.  To the extent that certain costs can be specifically attributed to a particular customer or group of customers, these costs are directly assigned to that customer or group in the CCOSS.  Most of the costs are jointly incurred to serve all or most customers; therefore, they must be allocated across specific customers or customer rate classes.</w:t>
      </w:r>
    </w:p>
    <w:p w:rsidR="00871F22" w:rsidRDefault="00871F22" w:rsidP="000D4458">
      <w:pPr>
        <w:spacing w:before="360" w:line="480" w:lineRule="auto"/>
        <w:ind w:left="749" w:hanging="29"/>
        <w:jc w:val="both"/>
      </w:pPr>
      <w:r>
        <w:t xml:space="preserve">It is generally accepted that to the extent possible, joint costs should be allocated to customer classes based on the concept of cost causation.  That is, costs are allocated to customer classes based on analyses that measure the causes of the incurrence of costs to the utility.  Although the cost analyst strives to abide by this concept to the greatest extent </w:t>
      </w:r>
      <w:r>
        <w:lastRenderedPageBreak/>
        <w:t>practical, some categories of costs, such as corporate overhead costs, cannot be attributed to specific exogenous measures or factors, and must be subjectively assigned or allocated to customer rate classes.  With regard to those costs in which cost causation can be attributed, there is often disagreement among cost of service experts on what is an appropriate cost causation measure or factor; e.g., peak demand, energy usage, number of customers, etc.</w:t>
      </w:r>
    </w:p>
    <w:p w:rsidR="00871F22" w:rsidRDefault="00871F22" w:rsidP="00086427">
      <w:pPr>
        <w:spacing w:before="480" w:line="480" w:lineRule="auto"/>
        <w:ind w:left="749" w:hanging="749"/>
        <w:jc w:val="both"/>
      </w:pPr>
      <w:r>
        <w:rPr>
          <w:b/>
        </w:rPr>
        <w:t>Q.</w:t>
      </w:r>
      <w:r>
        <w:rPr>
          <w:b/>
        </w:rPr>
        <w:tab/>
        <w:t>IN YOUR OPINION, HOW SHOULD THE RESULTS OF A CCOSS BE UTILIZED IN THE RATEMAKING PROCESS?</w:t>
      </w:r>
    </w:p>
    <w:p w:rsidR="00871F22" w:rsidRDefault="00871F22" w:rsidP="00281142">
      <w:pPr>
        <w:spacing w:line="480" w:lineRule="auto"/>
        <w:ind w:left="748" w:hanging="748"/>
        <w:jc w:val="both"/>
      </w:pPr>
      <w:r>
        <w:t>A.</w:t>
      </w:r>
      <w:r>
        <w:tab/>
        <w:t>Although there are certain principles used by all cost of service analysts, there are often significant disagreements on the specific factors that drive individual costs.  These disagreements can and do arise as a result of the quality of data and level of detail available from financial records.  There are also fundamental differences in opinions regarding the cost causation factors that should be considered to properly allocate costs to rate schedules or customer classes.  Furthermore, and as mentioned previously, subjective decisions are required.</w:t>
      </w:r>
    </w:p>
    <w:p w:rsidR="00871F22" w:rsidRDefault="00871F22" w:rsidP="000D4458">
      <w:pPr>
        <w:spacing w:before="360" w:line="480" w:lineRule="auto"/>
        <w:ind w:left="749" w:hanging="29"/>
        <w:jc w:val="both"/>
      </w:pPr>
      <w:r>
        <w:t>In these regards, two different cost studies conducted for the same utility and time period can, and often do, yield different results.  As such, regulators should consider CCOSS only as a guide, with the results being used as one of many tools to assign class revenue responsibility</w:t>
      </w:r>
      <w:r w:rsidRPr="000A58DC">
        <w:t xml:space="preserve"> </w:t>
      </w:r>
      <w:r>
        <w:t>when cost causation factors cannot be realistically ascribed to some costs.</w:t>
      </w:r>
    </w:p>
    <w:p w:rsidR="00871F22" w:rsidRDefault="00871F22" w:rsidP="000D4458">
      <w:pPr>
        <w:spacing w:before="480" w:line="480" w:lineRule="auto"/>
        <w:ind w:left="749" w:hanging="749"/>
        <w:jc w:val="both"/>
        <w:rPr>
          <w:b/>
        </w:rPr>
      </w:pPr>
      <w:r>
        <w:rPr>
          <w:b/>
        </w:rPr>
        <w:lastRenderedPageBreak/>
        <w:t>Q.</w:t>
      </w:r>
      <w:r>
        <w:rPr>
          <w:b/>
        </w:rPr>
        <w:tab/>
        <w:t>HAVE THE HIGHER COURTS OPINED ON THE USEFULNESS OF COST ALLOCATIONS FOR PURPOSES OF ESTABLISHING REVENUE RESPONSIBILITY AND RATES?</w:t>
      </w:r>
    </w:p>
    <w:p w:rsidR="00871F22" w:rsidRDefault="00871F22" w:rsidP="002F2816">
      <w:pPr>
        <w:spacing w:line="480" w:lineRule="auto"/>
        <w:ind w:left="748" w:hanging="748"/>
        <w:jc w:val="both"/>
      </w:pPr>
      <w:r>
        <w:t>A.</w:t>
      </w:r>
      <w:r>
        <w:tab/>
        <w:t xml:space="preserve">Yes.  In an important regulatory case involving Colorado Interstate Gas Company and the Federal Power Commission (predecessor to </w:t>
      </w:r>
      <w:r w:rsidR="00FE0556">
        <w:t>the Federal Energy Regulatory Commission (“</w:t>
      </w:r>
      <w:r>
        <w:t>FERC</w:t>
      </w:r>
      <w:r w:rsidR="00FE0556">
        <w:t>”)</w:t>
      </w:r>
      <w:r>
        <w:t>), the United States</w:t>
      </w:r>
      <w:r w:rsidR="005E43BA">
        <w:t xml:space="preserve"> (“US</w:t>
      </w:r>
      <w:r w:rsidR="00713683">
        <w:t>”) Supreme</w:t>
      </w:r>
      <w:r>
        <w:t xml:space="preserve"> Court stated:</w:t>
      </w:r>
    </w:p>
    <w:p w:rsidR="00871F22" w:rsidRPr="00D223AD" w:rsidRDefault="00871F22" w:rsidP="00086427">
      <w:pPr>
        <w:ind w:left="1440" w:right="720"/>
        <w:jc w:val="both"/>
        <w:rPr>
          <w:b/>
        </w:rPr>
      </w:pPr>
      <w:r>
        <w:t xml:space="preserve">“But </w:t>
      </w:r>
      <w:proofErr w:type="spellStart"/>
      <w:r>
        <w:t>where as</w:t>
      </w:r>
      <w:proofErr w:type="spellEnd"/>
      <w:r>
        <w:t xml:space="preserve"> here several classes of services have a common use of the same property, difficulties of separation are obvious.  Allocation of costs is not a matter for the slide-rule.  It involves judgment on a myriad of facts.  It has no claim to an exact science.</w:t>
      </w:r>
      <w:r>
        <w:rPr>
          <w:rStyle w:val="FootnoteReference"/>
        </w:rPr>
        <w:footnoteReference w:id="2"/>
      </w:r>
    </w:p>
    <w:p w:rsidR="00871F22" w:rsidRDefault="00871F22" w:rsidP="00086427">
      <w:pPr>
        <w:spacing w:before="480" w:line="480" w:lineRule="auto"/>
        <w:ind w:left="749" w:hanging="749"/>
        <w:jc w:val="both"/>
        <w:rPr>
          <w:b/>
        </w:rPr>
      </w:pPr>
      <w:r>
        <w:rPr>
          <w:b/>
        </w:rPr>
        <w:t>Q.</w:t>
      </w:r>
      <w:r>
        <w:rPr>
          <w:b/>
        </w:rPr>
        <w:tab/>
        <w:t>DOES YOUR OPINION AND THE FINDINGS OF THE U.S. SUPREME COURT IMPLY THAT COST ALLOCATIONS SHOULD PLAY NO ROLE IN THE RATEMAKING PROCESS?</w:t>
      </w:r>
    </w:p>
    <w:p w:rsidR="002F2816" w:rsidRPr="00D223AD" w:rsidRDefault="00871F22" w:rsidP="000D4458">
      <w:pPr>
        <w:spacing w:line="480" w:lineRule="auto"/>
        <w:ind w:left="748" w:hanging="748"/>
        <w:jc w:val="both"/>
      </w:pPr>
      <w:r>
        <w:t>A.</w:t>
      </w:r>
      <w:r>
        <w:tab/>
        <w:t>Not at all.  It simply means that regulators should consider the fact that cost allocation results are not surgically precise and that alternative, yet equally defensible</w:t>
      </w:r>
      <w:r w:rsidR="00590C59">
        <w:t>,</w:t>
      </w:r>
      <w:r>
        <w:t xml:space="preserve"> approaches may produce significantly different results.  In this regard, when all cost allocation approaches consistently show that certain classes are over or under contributing to costs and/or profits, there is a strong rationale for assigning smaller or greater percentage rate increases to these classes.  On the other hand, if one set of cost allocation approaches show dramatically different results than another approach, caution should be exercised in assigning disproportionately larger or smaller percentage increases to the classes in question.</w:t>
      </w:r>
    </w:p>
    <w:p w:rsidR="00871F22" w:rsidRDefault="00871F22" w:rsidP="000D4458">
      <w:pPr>
        <w:spacing w:before="480" w:line="480" w:lineRule="auto"/>
        <w:ind w:left="749" w:hanging="749"/>
        <w:jc w:val="both"/>
        <w:rPr>
          <w:b/>
          <w:bCs/>
        </w:rPr>
      </w:pPr>
      <w:r>
        <w:rPr>
          <w:b/>
          <w:bCs/>
        </w:rPr>
        <w:lastRenderedPageBreak/>
        <w:t>Q.</w:t>
      </w:r>
      <w:r>
        <w:rPr>
          <w:b/>
          <w:bCs/>
        </w:rPr>
        <w:tab/>
        <w:t>PLEASE EXPLAIN HOW YOU PROCEEDED WITH YOUR ANALYSIS OF GEORGIA POWER’S CCOSS.</w:t>
      </w:r>
    </w:p>
    <w:p w:rsidR="00871F22" w:rsidRDefault="00871F22" w:rsidP="000D4458">
      <w:pPr>
        <w:spacing w:line="480" w:lineRule="auto"/>
        <w:ind w:left="748" w:hanging="748"/>
        <w:jc w:val="both"/>
      </w:pPr>
      <w:r w:rsidRPr="006F0A58">
        <w:t>A.</w:t>
      </w:r>
      <w:r w:rsidRPr="006F0A58">
        <w:tab/>
      </w:r>
      <w:r>
        <w:t xml:space="preserve">In </w:t>
      </w:r>
      <w:r w:rsidR="005E43BA">
        <w:t>conducting Staff’s</w:t>
      </w:r>
      <w:r>
        <w:t xml:space="preserve"> independent analysis,</w:t>
      </w:r>
      <w:r w:rsidRPr="00C5364A">
        <w:rPr>
          <w:b/>
          <w:color w:val="FF0000"/>
        </w:rPr>
        <w:t xml:space="preserve"> </w:t>
      </w:r>
      <w:r w:rsidR="002F2816" w:rsidRPr="002F2816">
        <w:rPr>
          <w:bCs/>
        </w:rPr>
        <w:t>Mr. Watkins</w:t>
      </w:r>
      <w:r w:rsidRPr="00C5364A">
        <w:rPr>
          <w:b/>
          <w:color w:val="FF0000"/>
        </w:rPr>
        <w:t xml:space="preserve"> </w:t>
      </w:r>
      <w:r>
        <w:t xml:space="preserve">reviewed the structure and organization of the Company’s </w:t>
      </w:r>
      <w:r w:rsidR="00CD6666">
        <w:t xml:space="preserve">revised </w:t>
      </w:r>
      <w:r>
        <w:t>CCOSS</w:t>
      </w:r>
      <w:r w:rsidR="00CD6666">
        <w:rPr>
          <w:rStyle w:val="FootnoteReference"/>
        </w:rPr>
        <w:footnoteReference w:id="3"/>
      </w:r>
      <w:r>
        <w:t xml:space="preserve"> and reviewed the accuracy and completeness of the primary drivers (allocators) used to assign costs to rate </w:t>
      </w:r>
      <w:r w:rsidRPr="002F2816">
        <w:t>schedules and classes.  Next, Georgia Power’s selection of allocators to specific rate base, revenue, and expense accounts</w:t>
      </w:r>
      <w:r w:rsidR="002F2816">
        <w:t xml:space="preserve"> was examined</w:t>
      </w:r>
      <w:r w:rsidRPr="002F2816">
        <w:t xml:space="preserve">.  </w:t>
      </w:r>
      <w:r w:rsidR="002F2816">
        <w:t xml:space="preserve">Finally, </w:t>
      </w:r>
      <w:r w:rsidRPr="002F2816">
        <w:t xml:space="preserve">the accuracy of Georgia Power’s </w:t>
      </w:r>
      <w:r w:rsidR="00CD6666">
        <w:t xml:space="preserve">revised </w:t>
      </w:r>
      <w:r w:rsidRPr="002F2816">
        <w:t xml:space="preserve">CCOSS model </w:t>
      </w:r>
      <w:r w:rsidR="002F2816">
        <w:t xml:space="preserve">was verified </w:t>
      </w:r>
      <w:r w:rsidRPr="002F2816">
        <w:t xml:space="preserve">by replicating its results using </w:t>
      </w:r>
      <w:r w:rsidR="002F2816">
        <w:t xml:space="preserve">Mr. Watkins’ </w:t>
      </w:r>
      <w:r w:rsidRPr="002F2816">
        <w:t xml:space="preserve">own computer model.  </w:t>
      </w:r>
    </w:p>
    <w:p w:rsidR="00871F22" w:rsidRDefault="00871F22" w:rsidP="000D4458">
      <w:pPr>
        <w:spacing w:before="480" w:line="480" w:lineRule="auto"/>
        <w:ind w:left="749" w:hanging="749"/>
        <w:jc w:val="both"/>
      </w:pPr>
      <w:r>
        <w:rPr>
          <w:b/>
          <w:bCs/>
        </w:rPr>
        <w:t>Q.</w:t>
      </w:r>
      <w:r>
        <w:rPr>
          <w:b/>
          <w:bCs/>
        </w:rPr>
        <w:tab/>
        <w:t>DID YOU FIND THE COMPANY’S</w:t>
      </w:r>
      <w:r w:rsidR="00CD6666">
        <w:rPr>
          <w:b/>
          <w:bCs/>
        </w:rPr>
        <w:t xml:space="preserve"> REVISED</w:t>
      </w:r>
      <w:r>
        <w:rPr>
          <w:b/>
          <w:bCs/>
        </w:rPr>
        <w:t xml:space="preserve"> STUDY TO BE MATHEMATICALLY ACCURATE?</w:t>
      </w:r>
    </w:p>
    <w:p w:rsidR="00871F22" w:rsidRDefault="00871F22" w:rsidP="000D4458">
      <w:pPr>
        <w:spacing w:line="480" w:lineRule="auto"/>
        <w:ind w:left="748" w:hanging="748"/>
        <w:jc w:val="both"/>
      </w:pPr>
      <w:r>
        <w:t>A.</w:t>
      </w:r>
      <w:r>
        <w:tab/>
        <w:t xml:space="preserve">Yes.  Perhaps the most fundamental requirement of an embedded CCOSS is that the sum of the parts (classes) must equal the whole (system).  This is true with respect to the allocation of financial accounts, as well as the various allocation factors.  Furthermore, certain costs previously allocated are carried forward for other purposes such as for the development of composite or internal allocators and for the assignment of income taxes.  </w:t>
      </w:r>
      <w:r w:rsidRPr="002F2816">
        <w:t xml:space="preserve">In all regards, </w:t>
      </w:r>
      <w:r w:rsidR="00974BEA">
        <w:t>Company Witness Lee</w:t>
      </w:r>
      <w:r w:rsidRPr="002F2816">
        <w:t xml:space="preserve"> Evans’ </w:t>
      </w:r>
      <w:r w:rsidR="00CD6666">
        <w:t xml:space="preserve">revised </w:t>
      </w:r>
      <w:r w:rsidRPr="002F2816">
        <w:t xml:space="preserve">CCOSS </w:t>
      </w:r>
      <w:r w:rsidR="002F2816">
        <w:t xml:space="preserve">was found </w:t>
      </w:r>
      <w:r w:rsidRPr="002F2816">
        <w:t xml:space="preserve">to be mathematically accurate and was </w:t>
      </w:r>
      <w:r w:rsidR="002F2816">
        <w:t>replicated with Mr. Watkins’ computer model</w:t>
      </w:r>
      <w:r w:rsidRPr="002F2816">
        <w:t>.</w:t>
      </w:r>
    </w:p>
    <w:p w:rsidR="00CD6666" w:rsidRDefault="00CD6666" w:rsidP="00CD6666">
      <w:pPr>
        <w:suppressLineNumbers/>
        <w:spacing w:line="480" w:lineRule="auto"/>
        <w:ind w:left="748" w:hanging="748"/>
        <w:jc w:val="both"/>
      </w:pPr>
    </w:p>
    <w:p w:rsidR="00CD6666" w:rsidRPr="000D4458" w:rsidRDefault="00CD6666" w:rsidP="00CD6666">
      <w:pPr>
        <w:suppressLineNumbers/>
        <w:spacing w:line="480" w:lineRule="auto"/>
        <w:ind w:left="748" w:hanging="748"/>
        <w:jc w:val="both"/>
      </w:pPr>
    </w:p>
    <w:p w:rsidR="00871F22" w:rsidRPr="00A70E29" w:rsidRDefault="00871F22" w:rsidP="00B814CB">
      <w:pPr>
        <w:pStyle w:val="Heading2"/>
        <w:ind w:firstLine="720"/>
      </w:pPr>
      <w:bookmarkStart w:id="6" w:name="_Toc116370397"/>
      <w:r w:rsidRPr="00A70E29">
        <w:t>A.</w:t>
      </w:r>
      <w:r w:rsidRPr="00A70E29">
        <w:tab/>
        <w:t>Allocation of Generation Plant</w:t>
      </w:r>
      <w:bookmarkEnd w:id="6"/>
    </w:p>
    <w:p w:rsidR="00871F22" w:rsidRPr="00653690" w:rsidRDefault="00871F22" w:rsidP="000D4458">
      <w:pPr>
        <w:spacing w:before="480" w:line="480" w:lineRule="auto"/>
        <w:ind w:left="720" w:hanging="720"/>
        <w:jc w:val="both"/>
        <w:rPr>
          <w:b/>
          <w:bCs/>
        </w:rPr>
      </w:pPr>
      <w:r w:rsidRPr="00653690">
        <w:rPr>
          <w:b/>
          <w:bCs/>
        </w:rPr>
        <w:t>Q.</w:t>
      </w:r>
      <w:r w:rsidRPr="00653690">
        <w:rPr>
          <w:b/>
          <w:bCs/>
        </w:rPr>
        <w:tab/>
        <w:t>BEFORE YOU DISCUSS THE SPECIFICS OF THE COMPAN</w:t>
      </w:r>
      <w:r>
        <w:rPr>
          <w:b/>
          <w:bCs/>
        </w:rPr>
        <w:t>Y’S</w:t>
      </w:r>
      <w:r w:rsidRPr="00653690">
        <w:rPr>
          <w:b/>
          <w:bCs/>
        </w:rPr>
        <w:t xml:space="preserve"> PROPOSED METHOD TO ALLOCATE GENERATION</w:t>
      </w:r>
      <w:r w:rsidR="00117E55">
        <w:rPr>
          <w:b/>
          <w:bCs/>
        </w:rPr>
        <w:t xml:space="preserve"> </w:t>
      </w:r>
      <w:r w:rsidRPr="00653690">
        <w:rPr>
          <w:b/>
          <w:bCs/>
        </w:rPr>
        <w:t xml:space="preserve">RELATED COSTS, PLEASE EXPLAIN THE COST CAUSATION CONCEPTS RELATING TO THESE RESOURCES.   </w:t>
      </w:r>
    </w:p>
    <w:p w:rsidR="00871F22" w:rsidRDefault="00871F22" w:rsidP="002F2816">
      <w:pPr>
        <w:spacing w:line="480" w:lineRule="auto"/>
        <w:ind w:left="720" w:hanging="720"/>
        <w:jc w:val="both"/>
      </w:pPr>
      <w:r w:rsidRPr="00653690">
        <w:t>A.</w:t>
      </w:r>
      <w:r w:rsidRPr="00653690">
        <w:tab/>
        <w:t>Utilities design and build generation facilities to meet the energy and demand requirements of their customers on a collective basis.  Because of this, and the physical laws of electricity, it is impossible to determine which customers are being served by which facilities.  As such, production facilities are joint costs; i.e., used by all customers.  Because of this commonality, production</w:t>
      </w:r>
      <w:r w:rsidR="00117E55">
        <w:t xml:space="preserve"> </w:t>
      </w:r>
      <w:r w:rsidRPr="00653690">
        <w:t>related costs are not directly known for any customer or customer group and must somehow be allocated.</w:t>
      </w:r>
    </w:p>
    <w:p w:rsidR="00871F22" w:rsidRDefault="00871F22" w:rsidP="00281142">
      <w:pPr>
        <w:spacing w:before="360" w:line="480" w:lineRule="auto"/>
        <w:ind w:left="720" w:hanging="720"/>
        <w:jc w:val="both"/>
      </w:pPr>
      <w:r w:rsidRPr="00653690">
        <w:tab/>
        <w:t>If all customer classes used electricity at a constant rate (load) throughout the year, there would be no disagreement as to the proper assignment of generation</w:t>
      </w:r>
      <w:r w:rsidR="00117E55">
        <w:t xml:space="preserve"> </w:t>
      </w:r>
      <w:r w:rsidRPr="00653690">
        <w:t>related costs.  All analysts would agree that energy usage in terms of kilowatt-hour (“</w:t>
      </w:r>
      <w:r>
        <w:t>k</w:t>
      </w:r>
      <w:r w:rsidRPr="00653690">
        <w:t>W</w:t>
      </w:r>
      <w:r>
        <w:t>h</w:t>
      </w:r>
      <w:r w:rsidRPr="00653690">
        <w:t xml:space="preserve">”) would be the proper approach to reflect cost causation and cost incidence.  However, such is not the case in that </w:t>
      </w:r>
      <w:r>
        <w:t>Georgia Power</w:t>
      </w:r>
      <w:r w:rsidRPr="00653690">
        <w:t xml:space="preserve"> experience</w:t>
      </w:r>
      <w:r>
        <w:t>s</w:t>
      </w:r>
      <w:r w:rsidRPr="00653690">
        <w:t xml:space="preserve"> periods (hours) of higher demand during certain times of the year and across various hours of the day.  Moreover, all customer classes do not contribute in equal proportions to these varying demands placed on the generation system.  </w:t>
      </w:r>
    </w:p>
    <w:p w:rsidR="00871F22" w:rsidRPr="00653690" w:rsidRDefault="00871F22" w:rsidP="002F2816">
      <w:pPr>
        <w:spacing w:line="480" w:lineRule="auto"/>
        <w:ind w:left="720"/>
        <w:jc w:val="both"/>
      </w:pPr>
      <w:r w:rsidRPr="00653690">
        <w:lastRenderedPageBreak/>
        <w:t>To further complicate matters, the electric utility industry is somewhat unique in that there is a distinct energy (variable cost)/capacity (fixed cost) trade-off relating to production costs.  That is, utilities design their mix of production facilities to minimize the total costs of variable energy and fixed capacity, while also ensuring there is enough available capacity to meet peak demand requirements.  The trade-off occurs between the level of fixed investment per unit of capacity kilowatt (“</w:t>
      </w:r>
      <w:r>
        <w:t>k</w:t>
      </w:r>
      <w:r w:rsidRPr="00653690">
        <w:t>W”) and the variable cost of producing a unit of output (</w:t>
      </w:r>
      <w:r>
        <w:t>kWh</w:t>
      </w:r>
      <w:r w:rsidRPr="00653690">
        <w:t xml:space="preserve">).  </w:t>
      </w:r>
      <w:r>
        <w:t>Nuclear and c</w:t>
      </w:r>
      <w:r w:rsidRPr="00653690">
        <w:t xml:space="preserve">oal units require high capital expenditures resulting in large investments per </w:t>
      </w:r>
      <w:r>
        <w:t>k</w:t>
      </w:r>
      <w:r w:rsidRPr="00653690">
        <w:t xml:space="preserve">W of capacity but operate very efficiently such that their variable running costs per </w:t>
      </w:r>
      <w:r>
        <w:t>k</w:t>
      </w:r>
      <w:r w:rsidRPr="00653690">
        <w:t>W</w:t>
      </w:r>
      <w:r>
        <w:t>h</w:t>
      </w:r>
      <w:r w:rsidRPr="00653690">
        <w:t xml:space="preserve"> are very low.  Conversely, combustion turbine units are relatively inexpensive to build per </w:t>
      </w:r>
      <w:r>
        <w:t>k</w:t>
      </w:r>
      <w:r w:rsidRPr="00653690">
        <w:t xml:space="preserve">W of capacity but are much less efficient and incur significantly higher variable running costs per </w:t>
      </w:r>
      <w:r>
        <w:t>k</w:t>
      </w:r>
      <w:r w:rsidRPr="00653690">
        <w:t>W</w:t>
      </w:r>
      <w:r>
        <w:t>h</w:t>
      </w:r>
      <w:r w:rsidRPr="00653690">
        <w:t xml:space="preserve"> of output.  Due to varying levels of demand placed on a utility’s system over the course of each day, month, and year</w:t>
      </w:r>
      <w:r>
        <w:t>,</w:t>
      </w:r>
      <w:r w:rsidRPr="00653690">
        <w:t xml:space="preserve"> there is a unique optimal mix of production facilities for each utility that minimizes the total cost of capacity and energy; i.e., its total cost of service.</w:t>
      </w:r>
    </w:p>
    <w:p w:rsidR="002F2816" w:rsidRDefault="00871F22" w:rsidP="000D4458">
      <w:pPr>
        <w:spacing w:before="360" w:line="480" w:lineRule="auto"/>
        <w:ind w:left="720" w:hanging="720"/>
        <w:jc w:val="both"/>
      </w:pPr>
      <w:r w:rsidRPr="00653690">
        <w:tab/>
        <w:t xml:space="preserve">The investment (capacity) costs of generation facilities are fixed in nature and are considered sunk investment costs.  At the same time, the energy cost of running generation plants tends to be almost all variable in nature such that base load units tend to have low variable running costs whereas peaking units tend to have much higher variable running costs per </w:t>
      </w:r>
      <w:r>
        <w:t>k</w:t>
      </w:r>
      <w:r w:rsidRPr="00653690">
        <w:t>W</w:t>
      </w:r>
      <w:r>
        <w:t>h</w:t>
      </w:r>
      <w:r w:rsidRPr="00653690">
        <w:t xml:space="preserve">.  As a result, generation assets tend to be dispatched based upon the variable running costs of each unit wherein lower variable cost units are dispatched before higher cost units.  As such, total system production costs vary each hour of the year.  </w:t>
      </w:r>
    </w:p>
    <w:p w:rsidR="00871F22" w:rsidRPr="00D57E28" w:rsidRDefault="00871F22" w:rsidP="000D4458">
      <w:pPr>
        <w:spacing w:before="480" w:line="480" w:lineRule="auto"/>
        <w:ind w:left="749" w:hanging="749"/>
        <w:jc w:val="both"/>
      </w:pPr>
      <w:r w:rsidRPr="00D57E28">
        <w:rPr>
          <w:b/>
          <w:bCs/>
        </w:rPr>
        <w:lastRenderedPageBreak/>
        <w:t>Q.</w:t>
      </w:r>
      <w:r w:rsidRPr="00D57E28">
        <w:rPr>
          <w:b/>
          <w:bCs/>
        </w:rPr>
        <w:tab/>
        <w:t>APPROXIMATELY HOW MANY COST ALLOCATION METHODOLOGIES EXIST RELATING TO THE ALLOCATION OF GENERATION PLANT?</w:t>
      </w:r>
    </w:p>
    <w:p w:rsidR="00871F22" w:rsidRPr="00D57E28" w:rsidRDefault="00871F22" w:rsidP="002F2816">
      <w:pPr>
        <w:spacing w:line="480" w:lineRule="auto"/>
        <w:ind w:left="748" w:hanging="748"/>
        <w:jc w:val="both"/>
        <w:rPr>
          <w:b/>
          <w:bCs/>
        </w:rPr>
      </w:pPr>
      <w:r w:rsidRPr="00D57E28">
        <w:t>A.</w:t>
      </w:r>
      <w:r w:rsidRPr="00D57E28">
        <w:tab/>
        <w:t xml:space="preserve">The current National Association of Regulatory Utility Commissioners (“NARUC”) </w:t>
      </w:r>
      <w:r w:rsidRPr="00D57E28">
        <w:rPr>
          <w:u w:val="single"/>
        </w:rPr>
        <w:t>Electric Utility Cost Allocation Manual</w:t>
      </w:r>
      <w:r w:rsidRPr="00D57E28">
        <w:t xml:space="preserve"> discusses at least thirteen embedded demand allocation methods, while Dr. James </w:t>
      </w:r>
      <w:proofErr w:type="spellStart"/>
      <w:r w:rsidRPr="00D57E28">
        <w:t>Bonbright</w:t>
      </w:r>
      <w:proofErr w:type="spellEnd"/>
      <w:r w:rsidRPr="00D57E28">
        <w:t xml:space="preserve"> notes the existence of at least 29 demand allocation methods in his treatise </w:t>
      </w:r>
      <w:r w:rsidRPr="00D57E28">
        <w:rPr>
          <w:u w:val="single"/>
        </w:rPr>
        <w:t>Principles of Public Utility Rates</w:t>
      </w:r>
      <w:r w:rsidRPr="00D57E28">
        <w:t>.</w:t>
      </w:r>
      <w:r w:rsidRPr="00D57E28">
        <w:rPr>
          <w:rStyle w:val="FootnoteReference"/>
        </w:rPr>
        <w:footnoteReference w:id="4"/>
      </w:r>
      <w:r w:rsidRPr="00D57E28">
        <w:t xml:space="preserve"> </w:t>
      </w:r>
    </w:p>
    <w:p w:rsidR="00871F22" w:rsidRPr="00D57E28" w:rsidRDefault="00871F22" w:rsidP="000D4458">
      <w:pPr>
        <w:tabs>
          <w:tab w:val="left" w:pos="720"/>
        </w:tabs>
        <w:spacing w:before="480" w:line="480" w:lineRule="auto"/>
        <w:ind w:left="720" w:hanging="720"/>
        <w:jc w:val="both"/>
        <w:rPr>
          <w:b/>
          <w:bCs/>
        </w:rPr>
      </w:pPr>
      <w:r w:rsidRPr="00D57E28">
        <w:rPr>
          <w:b/>
          <w:lang w:val="en-CA"/>
        </w:rPr>
        <w:fldChar w:fldCharType="begin"/>
      </w:r>
      <w:r w:rsidRPr="00D57E28">
        <w:rPr>
          <w:b/>
          <w:lang w:val="en-CA"/>
        </w:rPr>
        <w:instrText xml:space="preserve"> SEQ CHAPTER \h \r 1</w:instrText>
      </w:r>
      <w:r w:rsidRPr="00D57E28">
        <w:rPr>
          <w:b/>
          <w:lang w:val="en-CA"/>
        </w:rPr>
        <w:fldChar w:fldCharType="end"/>
      </w:r>
      <w:r w:rsidRPr="00D57E28">
        <w:rPr>
          <w:b/>
          <w:bCs/>
        </w:rPr>
        <w:t>Q.</w:t>
      </w:r>
      <w:r w:rsidRPr="00D57E28">
        <w:rPr>
          <w:b/>
          <w:bCs/>
        </w:rPr>
        <w:tab/>
        <w:t>BRIEFLY DISCUSS THE STRENGTHS AND WEAKNESSES OF COMMON GENERATION COST ALLOCATION METHODOLOGIES.</w:t>
      </w:r>
    </w:p>
    <w:p w:rsidR="00094712" w:rsidRPr="00D57E28" w:rsidRDefault="00871F22" w:rsidP="00281142">
      <w:pPr>
        <w:tabs>
          <w:tab w:val="left" w:pos="720"/>
        </w:tabs>
        <w:spacing w:line="480" w:lineRule="auto"/>
        <w:ind w:left="722" w:hanging="722"/>
        <w:jc w:val="both"/>
      </w:pPr>
      <w:r w:rsidRPr="00D57E28">
        <w:t>A.</w:t>
      </w:r>
      <w:r w:rsidRPr="00D57E28">
        <w:tab/>
      </w:r>
      <w:r w:rsidRPr="00D57E28">
        <w:tab/>
        <w:t>A brief description of the most common fully allocated cost methodologies and attendant strengths and weaknesses are as follows:</w:t>
      </w:r>
    </w:p>
    <w:p w:rsidR="00871F22" w:rsidRDefault="00871F22" w:rsidP="00281142">
      <w:pPr>
        <w:spacing w:before="360" w:line="480" w:lineRule="auto"/>
        <w:ind w:left="720"/>
        <w:jc w:val="both"/>
      </w:pPr>
      <w:r w:rsidRPr="00D57E28">
        <w:rPr>
          <w:b/>
          <w:bCs/>
          <w:u w:val="single"/>
        </w:rPr>
        <w:t>Single Coincident Peak (“1-CP”)</w:t>
      </w:r>
      <w:r w:rsidR="001372CC">
        <w:rPr>
          <w:rStyle w:val="FootnoteReference"/>
          <w:b/>
          <w:bCs/>
          <w:u w:val="single"/>
        </w:rPr>
        <w:footnoteReference w:id="5"/>
      </w:r>
      <w:r w:rsidRPr="00D57E28">
        <w:rPr>
          <w:b/>
          <w:bCs/>
        </w:rPr>
        <w:t xml:space="preserve"> -- </w:t>
      </w:r>
      <w:r w:rsidRPr="00D57E28">
        <w:t>The basic concept underlying the 1-CP method is that an electric utility must have enough capacity available to meet its customers' peak coincident demand.  As such, advocates of the 1-CP method reason that customers (or classes) should be responsible for fixed capacity costs based on their respective contributions to this peak system load.  The major advantages to the 1-CP method are that the concepts are easy to understand, the analyses required to conduct a CCOSS are relatively simple, and the data requirements are significantly less than some of the more complex methods.</w:t>
      </w:r>
    </w:p>
    <w:p w:rsidR="0067728E" w:rsidRDefault="00073905" w:rsidP="00281142">
      <w:pPr>
        <w:spacing w:before="360" w:line="480" w:lineRule="auto"/>
        <w:ind w:left="720"/>
        <w:jc w:val="both"/>
      </w:pPr>
      <w:r>
        <w:lastRenderedPageBreak/>
        <w:t>However, t</w:t>
      </w:r>
      <w:r w:rsidR="00871F22" w:rsidRPr="00D57E28">
        <w:t>he 1-CP method has several shortcomings</w:t>
      </w:r>
      <w:r>
        <w:t>.</w:t>
      </w:r>
      <w:r w:rsidR="00871F22" w:rsidRPr="00D57E28">
        <w:t xml:space="preserve">  First, and foremost, is the fact that the 1-CP method totally ignores the capacity/energy trade-off inherent in the electric utility industry. That is, under this method, the sole criterion for assigning one hundred percent of fixed generation costs is the classes' relative contributions to load during a single hour of the year. This method does not consider, in any way, the extent to which customers use these facilities during the other 8,759 hours of the year.  This may have severe consequences because a utility's planning decisions regarding the amount and type of generation capacity to build and install is predicated not only on the maximum system load, but also on how customers demand electricity throughout the year, i.e., load duration.  To illustrate, if a utility such as </w:t>
      </w:r>
      <w:r w:rsidR="00871F22">
        <w:t>Georgia Power</w:t>
      </w:r>
      <w:r w:rsidR="00871F22" w:rsidRPr="00D57E28">
        <w:t xml:space="preserve"> had a peak load of </w:t>
      </w:r>
      <w:r w:rsidR="00871F22">
        <w:t>14,000</w:t>
      </w:r>
      <w:r w:rsidR="00871F22" w:rsidRPr="00C5364A">
        <w:t xml:space="preserve"> </w:t>
      </w:r>
      <w:r w:rsidR="00693F5D">
        <w:t xml:space="preserve">megawatts </w:t>
      </w:r>
      <w:r w:rsidR="00024E57">
        <w:t>(</w:t>
      </w:r>
      <w:r w:rsidR="00693F5D">
        <w:t>“</w:t>
      </w:r>
      <w:r w:rsidR="00117E55">
        <w:t>MW</w:t>
      </w:r>
      <w:r w:rsidR="00693F5D">
        <w:t>”</w:t>
      </w:r>
      <w:r w:rsidR="00024E57">
        <w:t>)</w:t>
      </w:r>
      <w:r w:rsidR="00871F22" w:rsidRPr="00C5364A">
        <w:t xml:space="preserve"> and its actual optimal generation mix included an assortment of nuclear, coal, combined cycle, combustion turbine natural gas units, hydro, and solar, the total cost of capacity is significantly higher than if the utility only had to consider meeting </w:t>
      </w:r>
      <w:r w:rsidR="00871F22">
        <w:t>14,000</w:t>
      </w:r>
      <w:r w:rsidR="00871F22" w:rsidRPr="00C5364A">
        <w:t xml:space="preserve"> </w:t>
      </w:r>
      <w:r w:rsidR="00117E55">
        <w:t>MW</w:t>
      </w:r>
      <w:r w:rsidR="00871F22" w:rsidRPr="00D57E28">
        <w:t xml:space="preserve"> for 1 hour of the year.  This is because the utility would install the cheapest type of plant (i.e., </w:t>
      </w:r>
      <w:proofErr w:type="spellStart"/>
      <w:r w:rsidR="00871F22" w:rsidRPr="00D57E28">
        <w:t>peaker</w:t>
      </w:r>
      <w:proofErr w:type="spellEnd"/>
      <w:r w:rsidR="00871F22" w:rsidRPr="00D57E28">
        <w:t xml:space="preserve"> units) if it only had to consider one hour a year.</w:t>
      </w:r>
      <w:r w:rsidR="00871F22">
        <w:t xml:space="preserve">  This major shortcoming of the 1-CP method is readily apparent for Georgia Power.  </w:t>
      </w:r>
    </w:p>
    <w:p w:rsidR="00871F22" w:rsidRDefault="00871F22" w:rsidP="00281142">
      <w:pPr>
        <w:spacing w:before="360" w:line="480" w:lineRule="auto"/>
        <w:ind w:left="720"/>
        <w:jc w:val="both"/>
      </w:pPr>
      <w:r>
        <w:t xml:space="preserve">Georgia Power is currently constructing two new nuclear units (Vogtle Units 3 and 4) wherein the capital (rate base) cost associated with these two </w:t>
      </w:r>
      <w:r w:rsidR="005E257A">
        <w:t>u</w:t>
      </w:r>
      <w:r>
        <w:t xml:space="preserve">nits are the highest of any generation units ever built (in terms of cost per kW of capacity), these two </w:t>
      </w:r>
      <w:r w:rsidR="005E257A">
        <w:t>u</w:t>
      </w:r>
      <w:r>
        <w:t xml:space="preserve">nits were planned, designed, and are being built to provide very </w:t>
      </w:r>
      <w:proofErr w:type="gramStart"/>
      <w:r>
        <w:t>low cost</w:t>
      </w:r>
      <w:proofErr w:type="gramEnd"/>
      <w:r>
        <w:t xml:space="preserve"> energy throughout the year for decades into the future.  Clearly, Vogtle 3 and 4 are not being built simply to meet peak load, but rather, to serve energy needs throughout the year due to their expected low </w:t>
      </w:r>
      <w:r>
        <w:lastRenderedPageBreak/>
        <w:t xml:space="preserve">variable running costs.  Under the 1-CP method, the cost of Vogtle 3 and 4 would be allocated across classes based only on peak demand with no recognition of the reality that these </w:t>
      </w:r>
      <w:r w:rsidR="005E257A">
        <w:t>u</w:t>
      </w:r>
      <w:r>
        <w:t xml:space="preserve">nits are not being built to meet peak load requirements but rather serve energy loads throughout the year.  </w:t>
      </w:r>
    </w:p>
    <w:p w:rsidR="00871F22" w:rsidRPr="00281142" w:rsidRDefault="00871F22" w:rsidP="00281142">
      <w:pPr>
        <w:spacing w:before="360" w:line="480" w:lineRule="auto"/>
        <w:ind w:left="720"/>
        <w:jc w:val="both"/>
      </w:pPr>
      <w:r w:rsidRPr="00D57E28">
        <w:t>There are two other major shortcomings of the 1-CP method.  First, the results produced with this method can be unstable from year to year.  This is because the hour in which a utility peaks annually is largely a function of weather.  Therefore, annual peak load depends on when severe weather occurs.  If this occurs on a weekend or holiday, relative class contributions to the peak load will likely be significantly different than if the peak occurred during a weekday.  The other major shortcoming of the 1-CP method is often referred to as the "free ride" problem.  This problem can easily be seen with a summer peaking utility that peaks about 5:00 p.m.  Because streetlights are not on at this time of day, this class will not be assigned any capacity costs and will, therefore, enjoy a “free ride” on the assignment of generation costs that this class requires.</w:t>
      </w:r>
    </w:p>
    <w:p w:rsidR="00094712" w:rsidRPr="00D57E28" w:rsidRDefault="00871F22" w:rsidP="00281142">
      <w:pPr>
        <w:spacing w:before="360" w:line="480" w:lineRule="auto"/>
        <w:ind w:left="720"/>
        <w:jc w:val="both"/>
      </w:pPr>
      <w:r w:rsidRPr="00D57E28">
        <w:rPr>
          <w:b/>
          <w:bCs/>
          <w:u w:val="single"/>
        </w:rPr>
        <w:t>4-CP</w:t>
      </w:r>
      <w:r w:rsidRPr="00D57E28">
        <w:rPr>
          <w:b/>
          <w:bCs/>
        </w:rPr>
        <w:t xml:space="preserve"> </w:t>
      </w:r>
      <w:r w:rsidRPr="00D57E28">
        <w:t xml:space="preserve">-- The 4-CP method is identical in concept to the 1-CP method except that the peak loads during the highest four months are utilized.  This method generally exhibits the same advantages and disadvantages as the 1-CP method. </w:t>
      </w:r>
    </w:p>
    <w:p w:rsidR="00094712" w:rsidRPr="00D57E28" w:rsidRDefault="00871F22" w:rsidP="00281142">
      <w:pPr>
        <w:spacing w:before="360" w:line="480" w:lineRule="auto"/>
        <w:ind w:left="720"/>
        <w:jc w:val="both"/>
      </w:pPr>
      <w:r w:rsidRPr="00D57E28">
        <w:rPr>
          <w:b/>
          <w:bCs/>
          <w:u w:val="single"/>
        </w:rPr>
        <w:t>Summer and Winter Coincident Peak (“S/W Peak”)</w:t>
      </w:r>
      <w:r w:rsidRPr="00D57E28">
        <w:t xml:space="preserve"> -- The S/W Peak method was developed because some utilities’ annual peak load</w:t>
      </w:r>
      <w:r w:rsidR="003F48D5">
        <w:t>s</w:t>
      </w:r>
      <w:r w:rsidRPr="00D57E28">
        <w:t xml:space="preserve"> occur in the summer during some years and in the winter during others. Because customers' usage and load characteristics </w:t>
      </w:r>
      <w:r w:rsidRPr="00D57E28">
        <w:lastRenderedPageBreak/>
        <w:t xml:space="preserve">may vary by season, the S/W Peak attempts to recognize this.  This method is essentially the same as the 1-CP method except that two hours of load are considered instead of one.  This method has essentially the same strengths and weaknesses as the 1-CP method </w:t>
      </w:r>
      <w:r w:rsidR="002F2816">
        <w:t xml:space="preserve">and </w:t>
      </w:r>
      <w:r w:rsidRPr="00D57E28">
        <w:t>is no more reasonable than the 1-CP</w:t>
      </w:r>
      <w:r>
        <w:t xml:space="preserve"> or 4-CP</w:t>
      </w:r>
      <w:r w:rsidRPr="00D57E28">
        <w:t xml:space="preserve"> method</w:t>
      </w:r>
      <w:r>
        <w:t>s</w:t>
      </w:r>
      <w:r w:rsidRPr="00D57E28">
        <w:t xml:space="preserve">.  </w:t>
      </w:r>
    </w:p>
    <w:p w:rsidR="00871F22" w:rsidRDefault="00871F22" w:rsidP="00281142">
      <w:pPr>
        <w:spacing w:before="360" w:line="480" w:lineRule="auto"/>
        <w:ind w:left="720"/>
        <w:jc w:val="both"/>
      </w:pPr>
      <w:r w:rsidRPr="00D57E28">
        <w:rPr>
          <w:b/>
          <w:bCs/>
          <w:u w:val="single"/>
        </w:rPr>
        <w:t>12-CP</w:t>
      </w:r>
      <w:r w:rsidRPr="00D57E28">
        <w:rPr>
          <w:b/>
          <w:bCs/>
        </w:rPr>
        <w:t xml:space="preserve"> -- </w:t>
      </w:r>
      <w:r w:rsidRPr="00D57E28">
        <w:t>Arithmetically, the 12-CP method is essentially the same as the 1-CP method except that class contributions to each monthly peak are considered.  Although the 12-CP method bears little resemblance to how utilities design and build their systems, the results produced by this method better reflect the cost incidence of a utility’s generation facilities than does the 1-CP or 4-CP methods.</w:t>
      </w:r>
    </w:p>
    <w:p w:rsidR="00871F22" w:rsidRDefault="00871F22" w:rsidP="00281142">
      <w:pPr>
        <w:spacing w:before="360" w:line="480" w:lineRule="auto"/>
        <w:ind w:left="720"/>
        <w:jc w:val="both"/>
      </w:pPr>
      <w:r w:rsidRPr="00D57E28">
        <w:t xml:space="preserve">Most electric utilities have distinct seasonal load patterns such that there are high system peaks during the winter and summer months, and significantly lower system peaks during the spring and autumn months.  By assigning class responsibilities based on their respective contributions throughout the year, consideration is given to the fact that utilities will call on all of their resources during the highest peaks, and only use their most efficient plants during lower peak periods.  Therefore, the capacity/energy trade-off is implicitly considered to some extent under this method. </w:t>
      </w:r>
    </w:p>
    <w:p w:rsidR="002F2816" w:rsidRPr="00D57E28" w:rsidRDefault="00871F22" w:rsidP="00281142">
      <w:pPr>
        <w:spacing w:before="360" w:line="480" w:lineRule="auto"/>
        <w:ind w:left="720"/>
        <w:jc w:val="both"/>
      </w:pPr>
      <w:r w:rsidRPr="00D57E28">
        <w:t>The major shortcoming of the 12-CP method is that accurate load data is required by class throughout the year.  This generally requires a utility to maintain ongoing load studies.  However, once a system to record class load data is in place, the administration and maintenance of such a system is not overly cumbersome for larger utilities.</w:t>
      </w:r>
    </w:p>
    <w:p w:rsidR="00871F22" w:rsidRPr="00D57E28" w:rsidRDefault="00871F22" w:rsidP="00264BE8">
      <w:pPr>
        <w:spacing w:before="360" w:after="240" w:line="480" w:lineRule="auto"/>
        <w:ind w:left="720"/>
        <w:jc w:val="both"/>
      </w:pPr>
      <w:r w:rsidRPr="00D57E28">
        <w:rPr>
          <w:lang w:val="en-CA"/>
        </w:rPr>
        <w:lastRenderedPageBreak/>
        <w:fldChar w:fldCharType="begin"/>
      </w:r>
      <w:r w:rsidRPr="00D57E28">
        <w:rPr>
          <w:lang w:val="en-CA"/>
        </w:rPr>
        <w:instrText xml:space="preserve"> SEQ CHAPTER \h \r 1</w:instrText>
      </w:r>
      <w:r w:rsidRPr="00D57E28">
        <w:rPr>
          <w:lang w:val="en-CA"/>
        </w:rPr>
        <w:fldChar w:fldCharType="end"/>
      </w:r>
      <w:r w:rsidR="008C5498">
        <w:rPr>
          <w:b/>
          <w:bCs/>
          <w:u w:val="single"/>
          <w:lang w:val="en-CA"/>
        </w:rPr>
        <w:t>Peak</w:t>
      </w:r>
      <w:r w:rsidRPr="00D57E28">
        <w:rPr>
          <w:b/>
          <w:bCs/>
          <w:u w:val="single"/>
        </w:rPr>
        <w:t xml:space="preserve"> and Average (“P&amp;A”)</w:t>
      </w:r>
      <w:r w:rsidRPr="00D57E28">
        <w:t xml:space="preserve"> -- The various P&amp;A methodologies rest on the premise that a utility's generation facilities are designed and placed into service to meet peak load </w:t>
      </w:r>
      <w:r w:rsidRPr="00D57E28">
        <w:rPr>
          <w:u w:val="single"/>
        </w:rPr>
        <w:t>and</w:t>
      </w:r>
      <w:r w:rsidRPr="00D57E28">
        <w:t xml:space="preserve"> serve consumers demands throughout the entire year.  Hence, the P&amp;A method assigns capacity costs partially on the basis of contributions to peak load and partially on the basis of consumption throughout the year.  Although there is not universal agreement on how peak demands should be measured or how the weighting between peak and average demands should be performed, most electric P&amp;A studies use class contributions to coincident-peak demand for the "peak" portion, and weight the peak and average loads based on some arbitrary factor such as system coincident load factor.</w:t>
      </w:r>
    </w:p>
    <w:p w:rsidR="00871F22" w:rsidRDefault="00871F22" w:rsidP="00281142">
      <w:pPr>
        <w:spacing w:line="480" w:lineRule="auto"/>
        <w:ind w:left="722"/>
        <w:jc w:val="both"/>
      </w:pPr>
      <w:r w:rsidRPr="00D57E28">
        <w:t>The major strengths of the P&amp;A method are that an attempt is made to recognize the capacity/energy trade-off in the assignment of fixed capacity costs, and that data requirements are minimal.</w:t>
      </w:r>
    </w:p>
    <w:p w:rsidR="00871F22" w:rsidRDefault="00871F22" w:rsidP="00281142">
      <w:pPr>
        <w:spacing w:before="360" w:line="480" w:lineRule="auto"/>
        <w:ind w:left="720"/>
        <w:jc w:val="both"/>
      </w:pPr>
      <w:r w:rsidRPr="00D57E28">
        <w:t xml:space="preserve">Although the recognition of the capacity/energy trade-off is admittedly arbitrary under the P&amp;A method, most other allocation methods also suffer some degree of arbitrariness.  A potential weakness of the P&amp;A method is that a significant amount of fixed capacity investment is allocated based on energy consumption, with no recognition given to lower variable fuel costs during off-peak periods.  To illustrate this shortcoming, consider an off-peak or very high load factor class.  This class will consume a constant amount of energy during the many cheaper off-peak periods.  As such, this class will be assigned a significant amount of fixed capacity costs, while variable fuel costs will be assigned on a system average basis. This can result in an overburdening of costs if fuel costs vary significantly </w:t>
      </w:r>
      <w:r w:rsidRPr="00D57E28">
        <w:lastRenderedPageBreak/>
        <w:t>by hour.  However, if the consumption patterns of the utility's various classes are such that there is little variation between class time differentiated fuel costs on an overall annual basis, the P&amp;A method can produce fair and reasonable results.</w:t>
      </w:r>
    </w:p>
    <w:p w:rsidR="00094712" w:rsidRPr="00D57E28" w:rsidRDefault="00871F22" w:rsidP="00281142">
      <w:pPr>
        <w:spacing w:before="360" w:line="480" w:lineRule="auto"/>
        <w:ind w:left="720"/>
        <w:jc w:val="both"/>
      </w:pPr>
      <w:r w:rsidRPr="00D57E28">
        <w:rPr>
          <w:b/>
          <w:bCs/>
          <w:u w:val="single"/>
        </w:rPr>
        <w:t>Average and Excess (“A&amp;E”)</w:t>
      </w:r>
      <w:r w:rsidRPr="00D57E28">
        <w:t xml:space="preserve"> -- The A&amp;E method also considers both peak demands and energy consumption throughout the year.  However, the A&amp;E method is much different than the P&amp;A method in both concept and application.  The A&amp;E method recognizes class load diversity within a system, such that all classes do not call on the utility's resources to the same degree, at the same times.  Mechanically, the A&amp;E method weights average and excess demands based on system coincident load factor.  Individual class "excess" demands represent the difference between the class non-coincident peak </w:t>
      </w:r>
      <w:r w:rsidR="00F2020D">
        <w:t xml:space="preserve">(“NCP”) </w:t>
      </w:r>
      <w:r w:rsidRPr="00D57E28">
        <w:t>demand and its average annual demand.  The classes' "excess" demands are then summed to determine the system excess demand.  Under this method, it is important to distinguish between coincident and non-coincident demands.  This is because if coincident, instead of non-coincident, demands are used when calculating class excesses, the end result will be exactly the same as that achieved under the 1-CP method.</w:t>
      </w:r>
    </w:p>
    <w:p w:rsidR="00871F22" w:rsidRDefault="00871F22" w:rsidP="00281142">
      <w:pPr>
        <w:spacing w:before="360" w:line="480" w:lineRule="auto"/>
        <w:ind w:left="720"/>
        <w:jc w:val="both"/>
      </w:pPr>
      <w:r w:rsidRPr="00D57E28">
        <w:t xml:space="preserve">Although the A&amp;E method bears virtually no resemblance to how generation systems are designed, this method can produce fair and reasonable results for some utilities.  This is because no class will receive a “free-ride” under this method, and because recognition is given to average consumption as well as to the additional costs imposed by not maintaining a perfectly constant load.  </w:t>
      </w:r>
    </w:p>
    <w:p w:rsidR="00871F22" w:rsidRPr="00281142" w:rsidRDefault="00871F22" w:rsidP="00281142">
      <w:pPr>
        <w:spacing w:before="360" w:line="480" w:lineRule="auto"/>
        <w:ind w:left="720"/>
        <w:jc w:val="both"/>
      </w:pPr>
      <w:r w:rsidRPr="00D57E28">
        <w:lastRenderedPageBreak/>
        <w:t xml:space="preserve">A potential shortcoming of this method is that customers that only use power during off-peak periods will be overburdened with costs.  Under the A&amp;E method, off-peak customers will be assigned a higher percentage of capacity costs because their non-coincident load factor may be very low even though they call on the utility's resources only during off-peak periods.  </w:t>
      </w:r>
    </w:p>
    <w:p w:rsidR="00871F22" w:rsidRDefault="00871F22" w:rsidP="00C11F0A">
      <w:pPr>
        <w:spacing w:before="360" w:line="480" w:lineRule="auto"/>
        <w:ind w:left="720"/>
        <w:jc w:val="both"/>
      </w:pPr>
      <w:r w:rsidRPr="00D57E28">
        <w:rPr>
          <w:b/>
          <w:bCs/>
          <w:u w:val="single"/>
        </w:rPr>
        <w:t>Base/Intermediate/Peak (“BIP”)</w:t>
      </w:r>
      <w:r w:rsidRPr="00D57E28">
        <w:t xml:space="preserve"> -- The BIP method is also known as a production stacking method that explicitly recognizes the capacity and energy tradeoff inherent with generating facilities in general, and specifically, recognizes the mix of a particular utility’s resources used to serve the varying demands throughout the year.  The BIP method classifies and assigns individual generating resources based on their specific purpose and role within the utility’s actual portfolio of production resources and also assigns the dollar amount of investment by type of plant such that a proper weighting of investment costs between expensive base load units relative to inexpensive </w:t>
      </w:r>
      <w:proofErr w:type="spellStart"/>
      <w:r w:rsidRPr="00D57E28">
        <w:t>peaker</w:t>
      </w:r>
      <w:proofErr w:type="spellEnd"/>
      <w:r w:rsidRPr="00D57E28">
        <w:t xml:space="preserve"> units is recognized within the cost allocation process.</w:t>
      </w:r>
    </w:p>
    <w:p w:rsidR="00871F22" w:rsidRDefault="00871F22" w:rsidP="00C11F0A">
      <w:pPr>
        <w:spacing w:before="360" w:line="480" w:lineRule="auto"/>
        <w:ind w:left="720"/>
        <w:jc w:val="both"/>
      </w:pPr>
      <w:r w:rsidRPr="00C11F0A">
        <w:t>A major strength of the BIP method is explicit recognition of the fact that individual generating units are placed into service to meet various needs of the system.  Expensive base load units, with high capacity factors tend to run constantly throughout the year to meet the energy needs of all customers.  These</w:t>
      </w:r>
      <w:r w:rsidRPr="00D57E28">
        <w:t xml:space="preserve"> units operate during all periods of demand including low system load as well as during peak use periods.  Base load units are, therefore, classified and allocated based on their roles within the utility’s portfolio of resource; i.e., energy requirements.  </w:t>
      </w:r>
    </w:p>
    <w:p w:rsidR="00871F22" w:rsidRDefault="00871F22" w:rsidP="00C11F0A">
      <w:pPr>
        <w:spacing w:before="360" w:line="480" w:lineRule="auto"/>
        <w:ind w:left="720"/>
        <w:jc w:val="both"/>
      </w:pPr>
      <w:r w:rsidRPr="00D57E28">
        <w:lastRenderedPageBreak/>
        <w:t xml:space="preserve">At the other extreme are the utility’s </w:t>
      </w:r>
      <w:proofErr w:type="spellStart"/>
      <w:r w:rsidRPr="00D57E28">
        <w:t>peaker</w:t>
      </w:r>
      <w:proofErr w:type="spellEnd"/>
      <w:r w:rsidRPr="00D57E28">
        <w:t xml:space="preserve"> units that are designed, built, and operated only to run a few hours of the year during peak system requirements.  These </w:t>
      </w:r>
      <w:proofErr w:type="spellStart"/>
      <w:r w:rsidRPr="00D57E28">
        <w:t>peaker</w:t>
      </w:r>
      <w:proofErr w:type="spellEnd"/>
      <w:r w:rsidRPr="00D57E28">
        <w:t xml:space="preserve"> units serve only peak loads and are, therefore, classified and allocated on peak demand.  </w:t>
      </w:r>
    </w:p>
    <w:p w:rsidR="00871F22" w:rsidRDefault="00871F22" w:rsidP="00C11F0A">
      <w:pPr>
        <w:spacing w:before="360" w:line="480" w:lineRule="auto"/>
        <w:ind w:left="720"/>
        <w:jc w:val="both"/>
      </w:pPr>
      <w:r w:rsidRPr="00D57E28">
        <w:t xml:space="preserve">Situated between the high capacity cost/low energy cost base load units and the low capacity cost/high energy cost </w:t>
      </w:r>
      <w:proofErr w:type="spellStart"/>
      <w:r w:rsidRPr="00D57E28">
        <w:t>peaker</w:t>
      </w:r>
      <w:proofErr w:type="spellEnd"/>
      <w:r w:rsidRPr="00D57E28">
        <w:t xml:space="preserve"> units are intermediate generating resources.  These units may not be dispatched during the lowest periods of system load but, due to their relatively efficient energy costs, are operated during many hours of the year.  Intermediate resources are classified and allocated based on their relative usage to peak capability ratios; i.e., their capacity factor.  </w:t>
      </w:r>
    </w:p>
    <w:p w:rsidR="00CB0F8F" w:rsidRPr="00D57E28" w:rsidRDefault="00871F22" w:rsidP="00C11F0A">
      <w:pPr>
        <w:spacing w:before="360" w:line="480" w:lineRule="auto"/>
        <w:ind w:left="720"/>
        <w:jc w:val="both"/>
      </w:pPr>
      <w:r w:rsidRPr="00D57E28">
        <w:t>Hydro units are evaluated on a case-by-case basis.  This is because there are several types of hydro generating facilities including run of the river units that run most of the time with no fuel costs, and units powered by stored water in reservoirs that operate under several environmental and hydrological constraints including flood control, downstream flow requirements, management of fisheries, and watershed replenishment.  Within the constraints just noted and due to their ability to store potential energy, these units are generally dispatched on a seasonal or diurnal basis to minimize short-term energy costs and also assist with peak load requirements.  Pumped storage units are unique in that water is pumped up to a reservoir during off-peak hours (with low energy costs) and released during peak hours of the day.  Depending on the characteristics of a unit, hydro facilities may be classified as energy</w:t>
      </w:r>
      <w:r w:rsidR="00117E55">
        <w:t xml:space="preserve"> </w:t>
      </w:r>
      <w:r w:rsidRPr="00D57E28">
        <w:t>related (e.g., run of the river), peak</w:t>
      </w:r>
      <w:r w:rsidR="00117E55">
        <w:t xml:space="preserve"> </w:t>
      </w:r>
      <w:r w:rsidRPr="00D57E28">
        <w:t>related (e.g., pumped storage) or a combination of energy and demand</w:t>
      </w:r>
      <w:r w:rsidR="00117E55">
        <w:t xml:space="preserve"> </w:t>
      </w:r>
      <w:r w:rsidRPr="00D57E28">
        <w:t xml:space="preserve">related (traditional reservoir storage).  </w:t>
      </w:r>
    </w:p>
    <w:p w:rsidR="00871F22" w:rsidRPr="00D57E28" w:rsidRDefault="00871F22" w:rsidP="00C11F0A">
      <w:pPr>
        <w:spacing w:before="360" w:line="480" w:lineRule="auto"/>
        <w:ind w:left="720"/>
        <w:jc w:val="both"/>
        <w:rPr>
          <w:bCs/>
        </w:rPr>
      </w:pPr>
      <w:r w:rsidRPr="00D57E28">
        <w:rPr>
          <w:bCs/>
        </w:rPr>
        <w:lastRenderedPageBreak/>
        <w:t xml:space="preserve">Finally, wind and solar generating facilities may only produce energy when environmental conditions are present; i.e., wind or sunshine.  As a result, their reliability factors are such that they may not be relied upon to meet peak loads at all times.  For example, many utilities experience peak demands in the early morning and evening hours when there is either no sunlight present or minimal sunlight available for solar generation.  </w:t>
      </w:r>
      <w:r w:rsidR="003D4B63">
        <w:rPr>
          <w:bCs/>
        </w:rPr>
        <w:t xml:space="preserve">While wind and solar </w:t>
      </w:r>
      <w:r w:rsidR="00156B9D">
        <w:rPr>
          <w:bCs/>
        </w:rPr>
        <w:t xml:space="preserve">provides capacity during the middle of the day when system loads tend to be increasing, it is reasonable to classify these generation resources as partially demand related and partially capacity related.  </w:t>
      </w:r>
      <w:r w:rsidRPr="00D57E28">
        <w:rPr>
          <w:bCs/>
        </w:rPr>
        <w:t xml:space="preserve">As such, wind and solar generating units are classified as </w:t>
      </w:r>
      <w:r w:rsidR="00156B9D">
        <w:rPr>
          <w:bCs/>
        </w:rPr>
        <w:t xml:space="preserve">50% </w:t>
      </w:r>
      <w:r w:rsidRPr="00D57E28">
        <w:rPr>
          <w:bCs/>
        </w:rPr>
        <w:t>energy related</w:t>
      </w:r>
      <w:r w:rsidR="00156B9D">
        <w:rPr>
          <w:bCs/>
        </w:rPr>
        <w:t xml:space="preserve"> and 50% demand related</w:t>
      </w:r>
      <w:r w:rsidRPr="00D57E28">
        <w:rPr>
          <w:bCs/>
        </w:rPr>
        <w:t xml:space="preserve">.  </w:t>
      </w:r>
    </w:p>
    <w:p w:rsidR="00871F22" w:rsidRPr="00DC788C" w:rsidRDefault="00871F22" w:rsidP="00DC788C">
      <w:pPr>
        <w:spacing w:before="360" w:line="480" w:lineRule="auto"/>
        <w:ind w:left="720"/>
        <w:jc w:val="both"/>
      </w:pPr>
      <w:r w:rsidRPr="00D57E28">
        <w:t>The potential weakness of the BIP method is the same as under other methods where no recognition is given to lower variable fuel costs during off-peak periods.</w:t>
      </w:r>
      <w:r>
        <w:t xml:space="preserve">  </w:t>
      </w:r>
      <w:r w:rsidRPr="00D57E28">
        <w:t xml:space="preserve">However, if the consumption patterns of the utility's various classes are such that there is little variation between class time differentiated fuel costs on an overall annual basis, the </w:t>
      </w:r>
      <w:r>
        <w:t>BIP</w:t>
      </w:r>
      <w:r w:rsidRPr="00D57E28">
        <w:t xml:space="preserve"> method </w:t>
      </w:r>
      <w:r>
        <w:t xml:space="preserve">will </w:t>
      </w:r>
      <w:r w:rsidRPr="00D57E28">
        <w:t xml:space="preserve">produce fair and reasonable results.    </w:t>
      </w:r>
    </w:p>
    <w:p w:rsidR="00094712" w:rsidRPr="00DC788C" w:rsidRDefault="00871F22" w:rsidP="00DC788C">
      <w:pPr>
        <w:spacing w:before="360" w:line="480" w:lineRule="auto"/>
        <w:ind w:left="720"/>
        <w:jc w:val="both"/>
        <w:rPr>
          <w:bCs/>
        </w:rPr>
      </w:pPr>
      <w:r w:rsidRPr="00D57E28">
        <w:rPr>
          <w:b/>
          <w:bCs/>
          <w:u w:val="single"/>
        </w:rPr>
        <w:t>Probability of Dispatch</w:t>
      </w:r>
      <w:r w:rsidRPr="00D57E28">
        <w:rPr>
          <w:b/>
          <w:bCs/>
        </w:rPr>
        <w:t xml:space="preserve"> </w:t>
      </w:r>
      <w:r w:rsidRPr="00D57E28">
        <w:rPr>
          <w:bCs/>
        </w:rPr>
        <w:t xml:space="preserve">-- The Probability of Dispatch method is the most theoretically correct as well as the most equitable method to allocate generation costs when specific data is available.  Under this approach, each generation asset (plant or unit) is evaluated on an hourly basis for every hour of the year (8,760 hours).  Each generating asset’s capital costs are assigned to individual hours based upon how that individual plant is dispatched or utilized.  As such, investment or capital costs are distributed based on how a particular plant is actually utilized.  For example, the investment costs associated with base load units </w:t>
      </w:r>
      <w:r w:rsidRPr="00D57E28">
        <w:rPr>
          <w:bCs/>
        </w:rPr>
        <w:lastRenderedPageBreak/>
        <w:t xml:space="preserve">which operate almost continuously throughout the year, are spread throughout several hours of the year while the investment cost associated with individual </w:t>
      </w:r>
      <w:proofErr w:type="spellStart"/>
      <w:r w:rsidRPr="00D57E28">
        <w:rPr>
          <w:bCs/>
        </w:rPr>
        <w:t>peaker</w:t>
      </w:r>
      <w:proofErr w:type="spellEnd"/>
      <w:r w:rsidRPr="00D57E28">
        <w:rPr>
          <w:bCs/>
        </w:rPr>
        <w:t xml:space="preserve"> units which operate only a few hours during peak periods are assigned to only those few peak hours.  The hourly capacity costs for each generating asset are summed to develop hourly investment cost responsibilities.  These hourly investments are then assigned to individual rate classes based on class contributions to system load for each hour of the year.  As such, the Probability of Dispatch method requires a significant amount of data such that hourly output from each generator is required as well as detailed load studies encompassing each hour of the year (8,760 hours).   </w:t>
      </w:r>
    </w:p>
    <w:p w:rsidR="00871F22" w:rsidRPr="00D57E28" w:rsidRDefault="00871F22" w:rsidP="00DC788C">
      <w:pPr>
        <w:spacing w:before="480" w:line="480" w:lineRule="auto"/>
        <w:ind w:left="720" w:hanging="720"/>
        <w:jc w:val="both"/>
        <w:rPr>
          <w:b/>
          <w:bCs/>
        </w:rPr>
      </w:pPr>
      <w:r w:rsidRPr="00D57E28">
        <w:rPr>
          <w:b/>
          <w:bCs/>
        </w:rPr>
        <w:t>Q.</w:t>
      </w:r>
      <w:r w:rsidRPr="00D57E28">
        <w:rPr>
          <w:b/>
          <w:bCs/>
        </w:rPr>
        <w:tab/>
        <w:t>YOU HAVE DISCUSSED THE STRENGTHS AND WEAKNESSES OF THE MORE COMMON GENERATION ALLOCATION METHODOLOGIES.  ARE ANY OF THESE METHODS CLEARLY INFERIOR IN YOUR VIEW?</w:t>
      </w:r>
    </w:p>
    <w:p w:rsidR="00871F22" w:rsidRPr="00DC788C" w:rsidRDefault="00871F22" w:rsidP="00DC788C">
      <w:pPr>
        <w:spacing w:line="480" w:lineRule="auto"/>
        <w:ind w:left="720" w:hanging="660"/>
        <w:jc w:val="both"/>
      </w:pPr>
      <w:r w:rsidRPr="00D57E28">
        <w:t>A.</w:t>
      </w:r>
      <w:r w:rsidRPr="00D57E28">
        <w:tab/>
        <w:t xml:space="preserve">Yes.  </w:t>
      </w:r>
      <w:r w:rsidR="00C03F3F">
        <w:t>T</w:t>
      </w:r>
      <w:r w:rsidRPr="00D57E28">
        <w:t xml:space="preserve">he 1-CP and seasonal CP (such as 4-CP) methods do not reasonably reflect cost causation for integrated electric utilities because these methods totally ignore the utilization of a utility’s facilities.  Perhaps the simplest way to explain this is to consider that the methodology selected is used to allocate generation plant investment.  Generation investment costs vary from a low of a few hundred dollars per kW of capacity for high operating cost (energy cost) </w:t>
      </w:r>
      <w:proofErr w:type="spellStart"/>
      <w:r w:rsidRPr="00D57E28">
        <w:t>peakers</w:t>
      </w:r>
      <w:proofErr w:type="spellEnd"/>
      <w:r w:rsidRPr="00D57E28">
        <w:t xml:space="preserve"> to several thousand dollars per kW for base load nuclear facilities with low operating costs.  If a utility were only concerned with being able to meet peak load with no regard to operating costs, it would simply install inexpensive </w:t>
      </w:r>
      <w:proofErr w:type="spellStart"/>
      <w:r w:rsidRPr="00D57E28">
        <w:t>peakers</w:t>
      </w:r>
      <w:proofErr w:type="spellEnd"/>
      <w:r w:rsidRPr="00D57E28">
        <w:t xml:space="preserve">.  Under such an unrealistic system design, plant costs would be much lower than </w:t>
      </w:r>
      <w:r w:rsidRPr="00D57E28">
        <w:lastRenderedPageBreak/>
        <w:t>in reality, but variable operating costs (primarily fuel costs) would be astronomical and would result in a higher overall cost to serve customers.  The 1-CP and seasonal CP methods totally ignore this very important fact.</w:t>
      </w:r>
    </w:p>
    <w:p w:rsidR="00871F22" w:rsidRPr="00653690" w:rsidRDefault="00871F22" w:rsidP="00DC788C">
      <w:pPr>
        <w:spacing w:before="480" w:line="480" w:lineRule="auto"/>
        <w:ind w:left="749" w:hanging="749"/>
        <w:jc w:val="both"/>
        <w:rPr>
          <w:b/>
          <w:bCs/>
        </w:rPr>
      </w:pPr>
      <w:r w:rsidRPr="00653690">
        <w:rPr>
          <w:b/>
          <w:bCs/>
        </w:rPr>
        <w:t>Q.</w:t>
      </w:r>
      <w:r w:rsidRPr="00653690">
        <w:rPr>
          <w:b/>
          <w:bCs/>
        </w:rPr>
        <w:tab/>
        <w:t xml:space="preserve">CAN YOU PROVIDE EXAMPLES OF THE ENERGY/CAPACITY TRADEOFF SPECIFIC TO </w:t>
      </w:r>
      <w:r>
        <w:rPr>
          <w:b/>
          <w:bCs/>
        </w:rPr>
        <w:t>GEORGIA POWER</w:t>
      </w:r>
      <w:r w:rsidRPr="00653690">
        <w:rPr>
          <w:b/>
          <w:bCs/>
        </w:rPr>
        <w:t>?</w:t>
      </w:r>
    </w:p>
    <w:p w:rsidR="00CB0F8F" w:rsidRPr="006722AE" w:rsidRDefault="00871F22" w:rsidP="006722AE">
      <w:pPr>
        <w:spacing w:line="480" w:lineRule="auto"/>
        <w:ind w:left="748" w:hanging="748"/>
        <w:jc w:val="both"/>
        <w:rPr>
          <w:bCs/>
          <w:color w:val="FF0000"/>
        </w:rPr>
      </w:pPr>
      <w:r w:rsidRPr="00653690">
        <w:rPr>
          <w:bCs/>
        </w:rPr>
        <w:t>A.</w:t>
      </w:r>
      <w:r w:rsidRPr="00653690">
        <w:rPr>
          <w:bCs/>
        </w:rPr>
        <w:tab/>
      </w:r>
      <w:r w:rsidRPr="00B363DF">
        <w:rPr>
          <w:bCs/>
        </w:rPr>
        <w:t xml:space="preserve">Yes.  Consider </w:t>
      </w:r>
      <w:r>
        <w:rPr>
          <w:bCs/>
        </w:rPr>
        <w:t xml:space="preserve">Vogtle </w:t>
      </w:r>
      <w:r w:rsidRPr="00B363DF">
        <w:rPr>
          <w:bCs/>
        </w:rPr>
        <w:t>Unit</w:t>
      </w:r>
      <w:r>
        <w:rPr>
          <w:bCs/>
        </w:rPr>
        <w:t>s</w:t>
      </w:r>
      <w:r w:rsidRPr="00B363DF">
        <w:rPr>
          <w:bCs/>
        </w:rPr>
        <w:t xml:space="preserve"> </w:t>
      </w:r>
      <w:r>
        <w:rPr>
          <w:bCs/>
        </w:rPr>
        <w:t>1 and 2</w:t>
      </w:r>
      <w:r w:rsidRPr="00B363DF">
        <w:rPr>
          <w:bCs/>
        </w:rPr>
        <w:t xml:space="preserve"> which </w:t>
      </w:r>
      <w:r>
        <w:rPr>
          <w:bCs/>
        </w:rPr>
        <w:t>are</w:t>
      </w:r>
      <w:r w:rsidRPr="00B363DF">
        <w:rPr>
          <w:bCs/>
        </w:rPr>
        <w:t xml:space="preserve"> base load unit</w:t>
      </w:r>
      <w:r>
        <w:rPr>
          <w:bCs/>
        </w:rPr>
        <w:t>s</w:t>
      </w:r>
      <w:r w:rsidRPr="00B363DF">
        <w:rPr>
          <w:bCs/>
        </w:rPr>
        <w:t xml:space="preserve"> </w:t>
      </w:r>
      <w:r>
        <w:rPr>
          <w:bCs/>
        </w:rPr>
        <w:t xml:space="preserve">that run almost continuously throughout the year and </w:t>
      </w:r>
      <w:r w:rsidRPr="00B363DF">
        <w:rPr>
          <w:bCs/>
        </w:rPr>
        <w:t>ha</w:t>
      </w:r>
      <w:r>
        <w:rPr>
          <w:bCs/>
        </w:rPr>
        <w:t>ve</w:t>
      </w:r>
      <w:r w:rsidRPr="00B363DF">
        <w:rPr>
          <w:bCs/>
        </w:rPr>
        <w:t xml:space="preserve"> a</w:t>
      </w:r>
      <w:r>
        <w:rPr>
          <w:bCs/>
        </w:rPr>
        <w:t xml:space="preserve"> combined</w:t>
      </w:r>
      <w:r w:rsidRPr="00B363DF">
        <w:rPr>
          <w:bCs/>
        </w:rPr>
        <w:t xml:space="preserve"> </w:t>
      </w:r>
      <w:r>
        <w:rPr>
          <w:bCs/>
        </w:rPr>
        <w:t xml:space="preserve">Georgia Power owned </w:t>
      </w:r>
      <w:r w:rsidRPr="00B363DF">
        <w:rPr>
          <w:bCs/>
        </w:rPr>
        <w:t xml:space="preserve">capacity of </w:t>
      </w:r>
      <w:r>
        <w:rPr>
          <w:bCs/>
        </w:rPr>
        <w:t>1,110.5</w:t>
      </w:r>
      <w:r w:rsidRPr="00B363DF">
        <w:rPr>
          <w:bCs/>
        </w:rPr>
        <w:t xml:space="preserve"> </w:t>
      </w:r>
      <w:r w:rsidR="0067728E">
        <w:rPr>
          <w:bCs/>
        </w:rPr>
        <w:t>M</w:t>
      </w:r>
      <w:r w:rsidRPr="00B363DF">
        <w:rPr>
          <w:bCs/>
        </w:rPr>
        <w:t>W</w:t>
      </w:r>
      <w:r w:rsidRPr="00B363DF">
        <w:rPr>
          <w:rStyle w:val="FootnoteReference"/>
          <w:bCs/>
        </w:rPr>
        <w:footnoteReference w:id="6"/>
      </w:r>
      <w:r w:rsidRPr="00B363DF">
        <w:rPr>
          <w:bCs/>
        </w:rPr>
        <w:t>:  the Compan</w:t>
      </w:r>
      <w:r>
        <w:rPr>
          <w:bCs/>
        </w:rPr>
        <w:t>y’s</w:t>
      </w:r>
      <w:r w:rsidRPr="00B363DF">
        <w:rPr>
          <w:bCs/>
        </w:rPr>
        <w:t xml:space="preserve"> gross investment in th</w:t>
      </w:r>
      <w:r>
        <w:rPr>
          <w:bCs/>
        </w:rPr>
        <w:t>ese</w:t>
      </w:r>
      <w:r w:rsidRPr="00B363DF">
        <w:rPr>
          <w:bCs/>
        </w:rPr>
        <w:t xml:space="preserve"> unit</w:t>
      </w:r>
      <w:r>
        <w:rPr>
          <w:bCs/>
        </w:rPr>
        <w:t>s</w:t>
      </w:r>
      <w:r w:rsidRPr="00B363DF">
        <w:rPr>
          <w:bCs/>
        </w:rPr>
        <w:t xml:space="preserve"> </w:t>
      </w:r>
      <w:r>
        <w:rPr>
          <w:bCs/>
        </w:rPr>
        <w:t>is</w:t>
      </w:r>
      <w:r w:rsidRPr="00B363DF">
        <w:rPr>
          <w:bCs/>
        </w:rPr>
        <w:t xml:space="preserve"> $</w:t>
      </w:r>
      <w:r>
        <w:rPr>
          <w:bCs/>
        </w:rPr>
        <w:t>3.580</w:t>
      </w:r>
      <w:r w:rsidRPr="00B363DF">
        <w:rPr>
          <w:bCs/>
        </w:rPr>
        <w:t xml:space="preserve"> billion, which equates to a capacity cost of $</w:t>
      </w:r>
      <w:r>
        <w:rPr>
          <w:bCs/>
        </w:rPr>
        <w:t>3,224</w:t>
      </w:r>
      <w:r w:rsidRPr="00B363DF">
        <w:rPr>
          <w:bCs/>
        </w:rPr>
        <w:t xml:space="preserve"> per </w:t>
      </w:r>
      <w:r>
        <w:rPr>
          <w:bCs/>
        </w:rPr>
        <w:t>k</w:t>
      </w:r>
      <w:r w:rsidRPr="00B363DF">
        <w:rPr>
          <w:bCs/>
        </w:rPr>
        <w:t>W.</w:t>
      </w:r>
      <w:r w:rsidRPr="00B363DF">
        <w:rPr>
          <w:rStyle w:val="FootnoteReference"/>
          <w:bCs/>
        </w:rPr>
        <w:footnoteReference w:id="7"/>
      </w:r>
      <w:r w:rsidRPr="00B363DF">
        <w:rPr>
          <w:bCs/>
        </w:rPr>
        <w:t xml:space="preserve">  </w:t>
      </w:r>
      <w:r>
        <w:rPr>
          <w:bCs/>
        </w:rPr>
        <w:t>However, t</w:t>
      </w:r>
      <w:r w:rsidRPr="00B363DF">
        <w:rPr>
          <w:bCs/>
        </w:rPr>
        <w:t>h</w:t>
      </w:r>
      <w:r>
        <w:rPr>
          <w:bCs/>
        </w:rPr>
        <w:t>ese</w:t>
      </w:r>
      <w:r w:rsidRPr="00B363DF">
        <w:rPr>
          <w:bCs/>
        </w:rPr>
        <w:t xml:space="preserve"> generating unit</w:t>
      </w:r>
      <w:r>
        <w:rPr>
          <w:bCs/>
        </w:rPr>
        <w:t>s</w:t>
      </w:r>
      <w:r w:rsidRPr="00B363DF">
        <w:rPr>
          <w:bCs/>
        </w:rPr>
        <w:t xml:space="preserve"> operate very efficiently with a forecasted fuel cost of </w:t>
      </w:r>
      <w:r w:rsidR="005D307F" w:rsidRPr="005D307F">
        <w:rPr>
          <w:bCs/>
          <w:highlight w:val="black"/>
        </w:rPr>
        <w:t>XXXX</w:t>
      </w:r>
      <w:r w:rsidRPr="00B363DF">
        <w:rPr>
          <w:bCs/>
        </w:rPr>
        <w:t xml:space="preserve"> per </w:t>
      </w:r>
      <w:r w:rsidRPr="00B363DF">
        <w:t>kWh</w:t>
      </w:r>
      <w:r w:rsidRPr="00B363DF">
        <w:rPr>
          <w:bCs/>
        </w:rPr>
        <w:t xml:space="preserve"> of output.</w:t>
      </w:r>
      <w:r w:rsidRPr="00B363DF">
        <w:rPr>
          <w:rStyle w:val="FootnoteReference"/>
          <w:bCs/>
        </w:rPr>
        <w:footnoteReference w:id="8"/>
      </w:r>
      <w:r w:rsidRPr="00B363DF">
        <w:rPr>
          <w:bCs/>
        </w:rPr>
        <w:t xml:space="preserve">  At the other extreme, consider </w:t>
      </w:r>
      <w:r>
        <w:rPr>
          <w:bCs/>
        </w:rPr>
        <w:t xml:space="preserve">McIntosh Combustion Turbine </w:t>
      </w:r>
      <w:r w:rsidRPr="00B363DF">
        <w:rPr>
          <w:bCs/>
        </w:rPr>
        <w:t>Unit 1 wh</w:t>
      </w:r>
      <w:bookmarkStart w:id="7" w:name="_GoBack"/>
      <w:bookmarkEnd w:id="7"/>
      <w:r w:rsidRPr="00B363DF">
        <w:rPr>
          <w:bCs/>
        </w:rPr>
        <w:t xml:space="preserve">ich </w:t>
      </w:r>
      <w:r>
        <w:rPr>
          <w:bCs/>
        </w:rPr>
        <w:t>is</w:t>
      </w:r>
      <w:r w:rsidRPr="00B363DF">
        <w:rPr>
          <w:bCs/>
        </w:rPr>
        <w:t xml:space="preserve"> </w:t>
      </w:r>
      <w:r w:rsidR="00E5373C">
        <w:rPr>
          <w:bCs/>
        </w:rPr>
        <w:t xml:space="preserve">a </w:t>
      </w:r>
      <w:proofErr w:type="spellStart"/>
      <w:r w:rsidRPr="00B363DF">
        <w:rPr>
          <w:bCs/>
        </w:rPr>
        <w:t>peaker</w:t>
      </w:r>
      <w:proofErr w:type="spellEnd"/>
      <w:r w:rsidRPr="00B363DF">
        <w:rPr>
          <w:bCs/>
        </w:rPr>
        <w:t xml:space="preserve"> unit </w:t>
      </w:r>
      <w:r>
        <w:rPr>
          <w:bCs/>
        </w:rPr>
        <w:t xml:space="preserve">that only operates a few hours a year and </w:t>
      </w:r>
      <w:r w:rsidRPr="00B363DF">
        <w:rPr>
          <w:bCs/>
        </w:rPr>
        <w:t>ha</w:t>
      </w:r>
      <w:r>
        <w:rPr>
          <w:bCs/>
        </w:rPr>
        <w:t>s</w:t>
      </w:r>
      <w:r w:rsidRPr="00B363DF">
        <w:rPr>
          <w:bCs/>
        </w:rPr>
        <w:t xml:space="preserve"> a capacity of  </w:t>
      </w:r>
      <w:r>
        <w:rPr>
          <w:bCs/>
        </w:rPr>
        <w:t xml:space="preserve">101 </w:t>
      </w:r>
      <w:r w:rsidR="0067728E">
        <w:rPr>
          <w:bCs/>
        </w:rPr>
        <w:t>M</w:t>
      </w:r>
      <w:r w:rsidRPr="00B363DF">
        <w:rPr>
          <w:bCs/>
        </w:rPr>
        <w:t>W</w:t>
      </w:r>
      <w:r>
        <w:rPr>
          <w:rStyle w:val="FootnoteReference"/>
          <w:bCs/>
        </w:rPr>
        <w:footnoteReference w:id="9"/>
      </w:r>
      <w:r w:rsidRPr="00B363DF">
        <w:rPr>
          <w:bCs/>
        </w:rPr>
        <w:t>:  the Compan</w:t>
      </w:r>
      <w:r>
        <w:rPr>
          <w:bCs/>
        </w:rPr>
        <w:t>y’s</w:t>
      </w:r>
      <w:r w:rsidRPr="00B363DF">
        <w:rPr>
          <w:bCs/>
        </w:rPr>
        <w:t xml:space="preserve"> gross investment in th</w:t>
      </w:r>
      <w:r>
        <w:rPr>
          <w:bCs/>
        </w:rPr>
        <w:t>is</w:t>
      </w:r>
      <w:r w:rsidRPr="00B363DF">
        <w:rPr>
          <w:bCs/>
        </w:rPr>
        <w:t xml:space="preserve"> unit is $</w:t>
      </w:r>
      <w:r>
        <w:rPr>
          <w:bCs/>
        </w:rPr>
        <w:t>34.797</w:t>
      </w:r>
      <w:r w:rsidRPr="00B363DF">
        <w:rPr>
          <w:bCs/>
        </w:rPr>
        <w:t xml:space="preserve"> million, which equates to a capacity cost of </w:t>
      </w:r>
      <w:r>
        <w:rPr>
          <w:bCs/>
        </w:rPr>
        <w:t xml:space="preserve">only </w:t>
      </w:r>
      <w:r w:rsidRPr="00B363DF">
        <w:rPr>
          <w:bCs/>
        </w:rPr>
        <w:t>$</w:t>
      </w:r>
      <w:r>
        <w:rPr>
          <w:bCs/>
        </w:rPr>
        <w:t>343</w:t>
      </w:r>
      <w:r w:rsidRPr="00B363DF">
        <w:rPr>
          <w:bCs/>
        </w:rPr>
        <w:t xml:space="preserve"> per </w:t>
      </w:r>
      <w:r>
        <w:rPr>
          <w:bCs/>
        </w:rPr>
        <w:t>k</w:t>
      </w:r>
      <w:r w:rsidRPr="00B363DF">
        <w:rPr>
          <w:bCs/>
        </w:rPr>
        <w:t>W.</w:t>
      </w:r>
      <w:r>
        <w:rPr>
          <w:rStyle w:val="FootnoteReference"/>
          <w:bCs/>
        </w:rPr>
        <w:footnoteReference w:id="10"/>
      </w:r>
      <w:r w:rsidRPr="00B363DF">
        <w:rPr>
          <w:bCs/>
        </w:rPr>
        <w:t xml:space="preserve">  Th</w:t>
      </w:r>
      <w:r>
        <w:rPr>
          <w:bCs/>
        </w:rPr>
        <w:t>is</w:t>
      </w:r>
      <w:r w:rsidRPr="00B363DF">
        <w:rPr>
          <w:bCs/>
        </w:rPr>
        <w:t xml:space="preserve"> unit </w:t>
      </w:r>
      <w:r>
        <w:rPr>
          <w:bCs/>
        </w:rPr>
        <w:t>is</w:t>
      </w:r>
      <w:r w:rsidRPr="00B363DF">
        <w:rPr>
          <w:bCs/>
        </w:rPr>
        <w:t xml:space="preserve"> much less efficient and operate</w:t>
      </w:r>
      <w:r>
        <w:rPr>
          <w:bCs/>
        </w:rPr>
        <w:t>s</w:t>
      </w:r>
      <w:r w:rsidRPr="00B363DF">
        <w:rPr>
          <w:bCs/>
        </w:rPr>
        <w:t xml:space="preserve"> with an average forecasted fuel cost of </w:t>
      </w:r>
      <w:r w:rsidR="005D307F" w:rsidRPr="005D307F">
        <w:rPr>
          <w:bCs/>
          <w:highlight w:val="black"/>
        </w:rPr>
        <w:t>XXXX</w:t>
      </w:r>
      <w:r w:rsidRPr="00B363DF">
        <w:rPr>
          <w:bCs/>
        </w:rPr>
        <w:t xml:space="preserve"> per </w:t>
      </w:r>
      <w:r w:rsidRPr="00B363DF">
        <w:t>kWh</w:t>
      </w:r>
      <w:r w:rsidRPr="00B363DF">
        <w:rPr>
          <w:bCs/>
        </w:rPr>
        <w:t xml:space="preserve"> of output.</w:t>
      </w:r>
      <w:r>
        <w:rPr>
          <w:rStyle w:val="FootnoteReference"/>
          <w:bCs/>
        </w:rPr>
        <w:footnoteReference w:id="11"/>
      </w:r>
      <w:r w:rsidRPr="00B363DF">
        <w:rPr>
          <w:bCs/>
        </w:rPr>
        <w:t xml:space="preserve">      </w:t>
      </w:r>
    </w:p>
    <w:p w:rsidR="007452DE" w:rsidRDefault="007452DE" w:rsidP="007452DE">
      <w:pPr>
        <w:suppressLineNumbers/>
        <w:spacing w:before="480" w:line="480" w:lineRule="auto"/>
        <w:ind w:left="749" w:hanging="749"/>
        <w:jc w:val="both"/>
        <w:rPr>
          <w:b/>
          <w:bCs/>
        </w:rPr>
      </w:pPr>
    </w:p>
    <w:p w:rsidR="00871F22" w:rsidRDefault="00871F22" w:rsidP="006722AE">
      <w:pPr>
        <w:spacing w:before="480" w:line="480" w:lineRule="auto"/>
        <w:ind w:left="749" w:hanging="749"/>
        <w:jc w:val="both"/>
        <w:rPr>
          <w:b/>
          <w:bCs/>
        </w:rPr>
      </w:pPr>
      <w:r>
        <w:rPr>
          <w:b/>
          <w:bCs/>
        </w:rPr>
        <w:lastRenderedPageBreak/>
        <w:t>Q.</w:t>
      </w:r>
      <w:r>
        <w:rPr>
          <w:b/>
          <w:bCs/>
        </w:rPr>
        <w:tab/>
        <w:t>PLEASE EXPLAIN WHY THE ENERGY/CAPACITY TRADEOFF OF GENERATION RESOURCES IS PARTICULARLY IMPORTANT AS IT RELATES TO THE PROPER ALLOCATION OF GEORGIA POWER’S PORTFOLIO OF GENERATION ASSETS.</w:t>
      </w:r>
    </w:p>
    <w:p w:rsidR="00947F96" w:rsidRDefault="00871F22" w:rsidP="009F1FCB">
      <w:pPr>
        <w:keepLines/>
        <w:spacing w:line="480" w:lineRule="auto"/>
        <w:ind w:left="748" w:hanging="748"/>
        <w:jc w:val="both"/>
      </w:pPr>
      <w:r>
        <w:t>A.</w:t>
      </w:r>
      <w:r>
        <w:tab/>
        <w:t xml:space="preserve">Georgia Power has a large and diverse portfolio of generation assets including base load nuclear and natural gas combined cycle units, large coal units, pumped storage units, hydro facilities, solar facilities, and gas/oil </w:t>
      </w:r>
      <w:proofErr w:type="spellStart"/>
      <w:r>
        <w:t>peaker</w:t>
      </w:r>
      <w:proofErr w:type="spellEnd"/>
      <w:r>
        <w:t xml:space="preserve"> units.  As shown in the following table, the vast majority of Georgia Power’s net investment in generation plant is associated with large nuclear, natural gas, and coal generating units that have high fixed investment costs and relatively low variable operating costs and operate to serve load throughout the year (85.61%).  At the other extreme, Georgia Power’s portfolio of </w:t>
      </w:r>
      <w:proofErr w:type="spellStart"/>
      <w:r>
        <w:t>peaker</w:t>
      </w:r>
      <w:proofErr w:type="spellEnd"/>
      <w:r>
        <w:t xml:space="preserve"> units that only operate a few hours of the year to meet peak load is very small in terms of its overall net investment in generation plant (0.99%).</w:t>
      </w:r>
    </w:p>
    <w:tbl>
      <w:tblPr>
        <w:tblW w:w="5974" w:type="dxa"/>
        <w:jc w:val="center"/>
        <w:tblLook w:val="04A0" w:firstRow="1" w:lastRow="0" w:firstColumn="1" w:lastColumn="0" w:noHBand="0" w:noVBand="1"/>
      </w:tblPr>
      <w:tblGrid>
        <w:gridCol w:w="3060"/>
        <w:gridCol w:w="276"/>
        <w:gridCol w:w="1283"/>
        <w:gridCol w:w="276"/>
        <w:gridCol w:w="1079"/>
      </w:tblGrid>
      <w:tr w:rsidR="00871F22" w:rsidTr="000A5210">
        <w:trPr>
          <w:trHeight w:val="60"/>
          <w:jc w:val="center"/>
        </w:trPr>
        <w:tc>
          <w:tcPr>
            <w:tcW w:w="5974" w:type="dxa"/>
            <w:gridSpan w:val="5"/>
            <w:tcBorders>
              <w:top w:val="nil"/>
              <w:left w:val="nil"/>
              <w:bottom w:val="nil"/>
              <w:right w:val="nil"/>
            </w:tcBorders>
            <w:shd w:val="clear" w:color="auto" w:fill="auto"/>
            <w:noWrap/>
            <w:vAlign w:val="bottom"/>
            <w:hideMark/>
          </w:tcPr>
          <w:p w:rsidR="00871F22" w:rsidRPr="00484F27" w:rsidRDefault="00871F22" w:rsidP="000A5210">
            <w:pPr>
              <w:keepLines/>
              <w:jc w:val="center"/>
              <w:rPr>
                <w:color w:val="000000"/>
                <w:sz w:val="22"/>
                <w:szCs w:val="22"/>
              </w:rPr>
            </w:pPr>
            <w:bookmarkStart w:id="8" w:name="_Hlk116028886"/>
            <w:r w:rsidRPr="00484F27">
              <w:rPr>
                <w:color w:val="000000"/>
                <w:sz w:val="22"/>
                <w:szCs w:val="22"/>
              </w:rPr>
              <w:t>TABLE 1</w:t>
            </w:r>
          </w:p>
        </w:tc>
      </w:tr>
      <w:tr w:rsidR="00871F22" w:rsidTr="000A5210">
        <w:trPr>
          <w:trHeight w:val="60"/>
          <w:jc w:val="center"/>
        </w:trPr>
        <w:tc>
          <w:tcPr>
            <w:tcW w:w="5974" w:type="dxa"/>
            <w:gridSpan w:val="5"/>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r>
              <w:rPr>
                <w:color w:val="000000"/>
              </w:rPr>
              <w:t>Georgia Power Portfolio of Generating Assets</w:t>
            </w:r>
          </w:p>
        </w:tc>
      </w:tr>
      <w:tr w:rsidR="00871F22" w:rsidTr="000A5210">
        <w:trPr>
          <w:trHeight w:val="60"/>
          <w:jc w:val="center"/>
        </w:trPr>
        <w:tc>
          <w:tcPr>
            <w:tcW w:w="5974" w:type="dxa"/>
            <w:gridSpan w:val="5"/>
            <w:tcBorders>
              <w:top w:val="nil"/>
              <w:left w:val="nil"/>
              <w:bottom w:val="single" w:sz="4" w:space="0" w:color="auto"/>
              <w:right w:val="nil"/>
            </w:tcBorders>
            <w:shd w:val="clear" w:color="auto" w:fill="auto"/>
            <w:noWrap/>
            <w:vAlign w:val="bottom"/>
            <w:hideMark/>
          </w:tcPr>
          <w:p w:rsidR="00871F22" w:rsidRDefault="00871F22" w:rsidP="000A5210">
            <w:pPr>
              <w:keepLines/>
              <w:jc w:val="center"/>
              <w:rPr>
                <w:color w:val="000000"/>
              </w:rPr>
            </w:pPr>
            <w:r>
              <w:rPr>
                <w:color w:val="000000"/>
              </w:rPr>
              <w:t xml:space="preserve">($ Millions) </w:t>
            </w:r>
            <w:r>
              <w:rPr>
                <w:rStyle w:val="FootnoteReference"/>
                <w:color w:val="000000"/>
              </w:rPr>
              <w:footnoteReference w:id="12"/>
            </w:r>
          </w:p>
        </w:tc>
      </w:tr>
      <w:tr w:rsidR="00871F22" w:rsidTr="000A5210">
        <w:trPr>
          <w:trHeight w:val="5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p>
        </w:tc>
        <w:tc>
          <w:tcPr>
            <w:tcW w:w="276" w:type="dxa"/>
            <w:tcBorders>
              <w:top w:val="nil"/>
              <w:left w:val="nil"/>
              <w:bottom w:val="nil"/>
              <w:right w:val="nil"/>
            </w:tcBorders>
            <w:shd w:val="clear" w:color="auto" w:fill="auto"/>
            <w:noWrap/>
            <w:vAlign w:val="bottom"/>
            <w:hideMark/>
          </w:tcPr>
          <w:p w:rsidR="00871F22" w:rsidRDefault="00871F22" w:rsidP="000A5210">
            <w:pPr>
              <w:keepLines/>
              <w:jc w:val="center"/>
              <w:rPr>
                <w:sz w:val="20"/>
                <w:szCs w:val="20"/>
              </w:rPr>
            </w:pPr>
          </w:p>
        </w:tc>
        <w:tc>
          <w:tcPr>
            <w:tcW w:w="1283"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r>
              <w:rPr>
                <w:color w:val="000000"/>
              </w:rPr>
              <w:t>Net</w:t>
            </w:r>
          </w:p>
        </w:tc>
        <w:tc>
          <w:tcPr>
            <w:tcW w:w="276"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p>
        </w:tc>
        <w:tc>
          <w:tcPr>
            <w:tcW w:w="1079"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r>
              <w:rPr>
                <w:color w:val="000000"/>
              </w:rPr>
              <w:t>% of</w:t>
            </w:r>
          </w:p>
        </w:tc>
      </w:tr>
      <w:tr w:rsidR="00871F22" w:rsidTr="000A5210">
        <w:trPr>
          <w:trHeight w:val="60"/>
          <w:jc w:val="center"/>
        </w:trPr>
        <w:tc>
          <w:tcPr>
            <w:tcW w:w="3060" w:type="dxa"/>
            <w:tcBorders>
              <w:top w:val="nil"/>
              <w:left w:val="nil"/>
              <w:bottom w:val="single" w:sz="4" w:space="0" w:color="auto"/>
              <w:right w:val="nil"/>
            </w:tcBorders>
            <w:shd w:val="clear" w:color="auto" w:fill="auto"/>
            <w:noWrap/>
            <w:vAlign w:val="bottom"/>
            <w:hideMark/>
          </w:tcPr>
          <w:p w:rsidR="00871F22" w:rsidRDefault="00871F22" w:rsidP="000A5210">
            <w:pPr>
              <w:keepLines/>
              <w:jc w:val="center"/>
              <w:rPr>
                <w:color w:val="000000"/>
              </w:rPr>
            </w:pPr>
            <w:r>
              <w:rPr>
                <w:color w:val="000000"/>
              </w:rPr>
              <w:t>Type</w:t>
            </w:r>
          </w:p>
        </w:tc>
        <w:tc>
          <w:tcPr>
            <w:tcW w:w="276"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p>
        </w:tc>
        <w:tc>
          <w:tcPr>
            <w:tcW w:w="1283" w:type="dxa"/>
            <w:tcBorders>
              <w:top w:val="nil"/>
              <w:left w:val="nil"/>
              <w:bottom w:val="single" w:sz="4" w:space="0" w:color="auto"/>
              <w:right w:val="nil"/>
            </w:tcBorders>
            <w:shd w:val="clear" w:color="auto" w:fill="auto"/>
            <w:noWrap/>
            <w:vAlign w:val="bottom"/>
            <w:hideMark/>
          </w:tcPr>
          <w:p w:rsidR="00871F22" w:rsidRDefault="00871F22" w:rsidP="000A5210">
            <w:pPr>
              <w:keepLines/>
              <w:jc w:val="center"/>
              <w:rPr>
                <w:color w:val="000000"/>
              </w:rPr>
            </w:pPr>
            <w:r>
              <w:rPr>
                <w:color w:val="000000"/>
              </w:rPr>
              <w:t>Investment</w:t>
            </w:r>
          </w:p>
        </w:tc>
        <w:tc>
          <w:tcPr>
            <w:tcW w:w="276" w:type="dxa"/>
            <w:tcBorders>
              <w:top w:val="nil"/>
              <w:left w:val="nil"/>
              <w:bottom w:val="nil"/>
              <w:right w:val="nil"/>
            </w:tcBorders>
            <w:shd w:val="clear" w:color="auto" w:fill="auto"/>
            <w:noWrap/>
            <w:vAlign w:val="bottom"/>
            <w:hideMark/>
          </w:tcPr>
          <w:p w:rsidR="00871F22" w:rsidRDefault="00871F22" w:rsidP="000A5210">
            <w:pPr>
              <w:keepLines/>
              <w:jc w:val="center"/>
              <w:rPr>
                <w:color w:val="000000"/>
              </w:rPr>
            </w:pPr>
          </w:p>
        </w:tc>
        <w:tc>
          <w:tcPr>
            <w:tcW w:w="1079" w:type="dxa"/>
            <w:tcBorders>
              <w:top w:val="nil"/>
              <w:left w:val="nil"/>
              <w:bottom w:val="single" w:sz="4" w:space="0" w:color="auto"/>
              <w:right w:val="nil"/>
            </w:tcBorders>
            <w:shd w:val="clear" w:color="auto" w:fill="auto"/>
            <w:noWrap/>
            <w:vAlign w:val="bottom"/>
            <w:hideMark/>
          </w:tcPr>
          <w:p w:rsidR="00871F22" w:rsidRDefault="00871F22" w:rsidP="000A5210">
            <w:pPr>
              <w:keepLines/>
              <w:jc w:val="center"/>
              <w:rPr>
                <w:color w:val="000000"/>
              </w:rPr>
            </w:pPr>
            <w:r>
              <w:rPr>
                <w:color w:val="000000"/>
              </w:rPr>
              <w:t>Total</w:t>
            </w:r>
          </w:p>
        </w:tc>
      </w:tr>
      <w:tr w:rsidR="00871F22" w:rsidTr="000A5210">
        <w:trPr>
          <w:trHeight w:val="5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Nuclear</w:t>
            </w:r>
            <w:r>
              <w:rPr>
                <w:rStyle w:val="FootnoteReference"/>
                <w:color w:val="000000"/>
              </w:rPr>
              <w:footnoteReference w:id="13"/>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$1,959.3</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20.05%</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Natural Gas Combined Cycle</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$2,467.6</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25.25%</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Coal</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$3,938.5</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40.31%</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Natural Gas Intermediate</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$168.7</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1.73%</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 xml:space="preserve">Oil/Gas </w:t>
            </w:r>
            <w:proofErr w:type="spellStart"/>
            <w:r>
              <w:rPr>
                <w:color w:val="000000"/>
              </w:rPr>
              <w:t>Peakers</w:t>
            </w:r>
            <w:proofErr w:type="spellEnd"/>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$203.2</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2.08%</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Hydro</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$360.0</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3.68%</w:t>
            </w:r>
          </w:p>
        </w:tc>
      </w:tr>
      <w:tr w:rsidR="00871F22" w:rsidTr="000A5210">
        <w:trPr>
          <w:trHeight w:val="6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Pumped Storage</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$96.5</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nil"/>
              <w:left w:val="nil"/>
              <w:right w:val="nil"/>
            </w:tcBorders>
            <w:shd w:val="clear" w:color="auto" w:fill="auto"/>
            <w:noWrap/>
            <w:vAlign w:val="bottom"/>
          </w:tcPr>
          <w:p w:rsidR="00871F22" w:rsidRDefault="00871F22" w:rsidP="000A5210">
            <w:pPr>
              <w:keepLines/>
              <w:jc w:val="right"/>
              <w:rPr>
                <w:color w:val="000000"/>
              </w:rPr>
            </w:pPr>
            <w:r>
              <w:rPr>
                <w:color w:val="000000"/>
              </w:rPr>
              <w:t>0.99%</w:t>
            </w:r>
          </w:p>
        </w:tc>
      </w:tr>
      <w:tr w:rsidR="00871F22" w:rsidTr="000A5210">
        <w:trPr>
          <w:trHeight w:val="60"/>
          <w:jc w:val="center"/>
        </w:trPr>
        <w:tc>
          <w:tcPr>
            <w:tcW w:w="3060" w:type="dxa"/>
            <w:tcBorders>
              <w:top w:val="nil"/>
              <w:left w:val="nil"/>
              <w:bottom w:val="single" w:sz="4" w:space="0" w:color="auto"/>
              <w:right w:val="nil"/>
            </w:tcBorders>
            <w:shd w:val="clear" w:color="auto" w:fill="auto"/>
            <w:noWrap/>
            <w:vAlign w:val="bottom"/>
            <w:hideMark/>
          </w:tcPr>
          <w:p w:rsidR="00871F22" w:rsidRDefault="00871F22" w:rsidP="000A5210">
            <w:pPr>
              <w:keepLines/>
              <w:rPr>
                <w:color w:val="000000"/>
              </w:rPr>
            </w:pPr>
            <w:r>
              <w:rPr>
                <w:color w:val="000000"/>
              </w:rPr>
              <w:t>Solar</w:t>
            </w:r>
          </w:p>
        </w:tc>
        <w:tc>
          <w:tcPr>
            <w:tcW w:w="276" w:type="dxa"/>
            <w:tcBorders>
              <w:top w:val="nil"/>
              <w:left w:val="nil"/>
              <w:bottom w:val="single" w:sz="4" w:space="0" w:color="auto"/>
              <w:right w:val="nil"/>
            </w:tcBorders>
            <w:shd w:val="clear" w:color="auto" w:fill="auto"/>
            <w:noWrap/>
            <w:vAlign w:val="bottom"/>
            <w:hideMark/>
          </w:tcPr>
          <w:p w:rsidR="00871F22" w:rsidRDefault="00871F22" w:rsidP="000A5210">
            <w:pPr>
              <w:keepLines/>
              <w:rPr>
                <w:color w:val="000000"/>
              </w:rPr>
            </w:pPr>
            <w:r>
              <w:rPr>
                <w:color w:val="000000"/>
              </w:rPr>
              <w:t> </w:t>
            </w:r>
          </w:p>
        </w:tc>
        <w:tc>
          <w:tcPr>
            <w:tcW w:w="1283" w:type="dxa"/>
            <w:tcBorders>
              <w:top w:val="nil"/>
              <w:left w:val="nil"/>
              <w:bottom w:val="single" w:sz="4" w:space="0" w:color="auto"/>
              <w:right w:val="nil"/>
            </w:tcBorders>
            <w:shd w:val="clear" w:color="auto" w:fill="auto"/>
            <w:noWrap/>
            <w:vAlign w:val="bottom"/>
          </w:tcPr>
          <w:p w:rsidR="00871F22" w:rsidRDefault="00871F22" w:rsidP="000A5210">
            <w:pPr>
              <w:keepLines/>
              <w:jc w:val="right"/>
              <w:rPr>
                <w:color w:val="000000"/>
              </w:rPr>
            </w:pPr>
            <w:r>
              <w:rPr>
                <w:color w:val="000000"/>
              </w:rPr>
              <w:t>$577.9</w:t>
            </w:r>
          </w:p>
        </w:tc>
        <w:tc>
          <w:tcPr>
            <w:tcW w:w="276" w:type="dxa"/>
            <w:tcBorders>
              <w:top w:val="nil"/>
              <w:left w:val="nil"/>
              <w:bottom w:val="single" w:sz="4" w:space="0" w:color="auto"/>
              <w:right w:val="nil"/>
            </w:tcBorders>
            <w:shd w:val="clear" w:color="auto" w:fill="auto"/>
            <w:noWrap/>
            <w:vAlign w:val="bottom"/>
          </w:tcPr>
          <w:p w:rsidR="00871F22" w:rsidRDefault="00871F22" w:rsidP="000A5210">
            <w:pPr>
              <w:keepLines/>
              <w:rPr>
                <w:color w:val="000000"/>
              </w:rPr>
            </w:pPr>
          </w:p>
        </w:tc>
        <w:tc>
          <w:tcPr>
            <w:tcW w:w="1079" w:type="dxa"/>
            <w:tcBorders>
              <w:top w:val="nil"/>
              <w:left w:val="nil"/>
              <w:bottom w:val="single" w:sz="4" w:space="0" w:color="auto"/>
              <w:right w:val="nil"/>
            </w:tcBorders>
            <w:shd w:val="clear" w:color="auto" w:fill="auto"/>
            <w:noWrap/>
            <w:vAlign w:val="bottom"/>
          </w:tcPr>
          <w:p w:rsidR="00871F22" w:rsidRDefault="00871F22" w:rsidP="000A5210">
            <w:pPr>
              <w:keepLines/>
              <w:jc w:val="right"/>
              <w:rPr>
                <w:color w:val="000000"/>
              </w:rPr>
            </w:pPr>
            <w:r>
              <w:rPr>
                <w:color w:val="000000"/>
              </w:rPr>
              <w:t>5.91%</w:t>
            </w:r>
          </w:p>
        </w:tc>
      </w:tr>
      <w:tr w:rsidR="00871F22" w:rsidTr="000A5210">
        <w:trPr>
          <w:trHeight w:val="50"/>
          <w:jc w:val="center"/>
        </w:trPr>
        <w:tc>
          <w:tcPr>
            <w:tcW w:w="3060" w:type="dxa"/>
            <w:tcBorders>
              <w:top w:val="nil"/>
              <w:left w:val="nil"/>
              <w:bottom w:val="nil"/>
              <w:right w:val="nil"/>
            </w:tcBorders>
            <w:shd w:val="clear" w:color="auto" w:fill="auto"/>
            <w:noWrap/>
            <w:vAlign w:val="bottom"/>
            <w:hideMark/>
          </w:tcPr>
          <w:p w:rsidR="00871F22" w:rsidRDefault="00871F22" w:rsidP="000A5210">
            <w:pPr>
              <w:keepLines/>
              <w:rPr>
                <w:color w:val="000000"/>
              </w:rPr>
            </w:pPr>
            <w:r>
              <w:rPr>
                <w:color w:val="000000"/>
              </w:rPr>
              <w:t>Total</w:t>
            </w:r>
          </w:p>
        </w:tc>
        <w:tc>
          <w:tcPr>
            <w:tcW w:w="276" w:type="dxa"/>
            <w:tcBorders>
              <w:top w:val="nil"/>
              <w:left w:val="nil"/>
              <w:bottom w:val="nil"/>
              <w:right w:val="nil"/>
            </w:tcBorders>
            <w:shd w:val="clear" w:color="auto" w:fill="auto"/>
            <w:noWrap/>
            <w:vAlign w:val="bottom"/>
            <w:hideMark/>
          </w:tcPr>
          <w:p w:rsidR="00871F22" w:rsidRDefault="00871F22" w:rsidP="000A5210">
            <w:pPr>
              <w:keepLines/>
              <w:rPr>
                <w:color w:val="000000"/>
              </w:rPr>
            </w:pPr>
          </w:p>
        </w:tc>
        <w:tc>
          <w:tcPr>
            <w:tcW w:w="1283" w:type="dxa"/>
            <w:tcBorders>
              <w:top w:val="nil"/>
              <w:left w:val="nil"/>
              <w:bottom w:val="nil"/>
              <w:right w:val="nil"/>
            </w:tcBorders>
            <w:shd w:val="clear" w:color="auto" w:fill="auto"/>
            <w:noWrap/>
            <w:vAlign w:val="bottom"/>
          </w:tcPr>
          <w:p w:rsidR="00871F22" w:rsidRDefault="00871F22" w:rsidP="000A5210">
            <w:pPr>
              <w:keepLines/>
              <w:jc w:val="right"/>
              <w:rPr>
                <w:color w:val="000000"/>
              </w:rPr>
            </w:pPr>
            <w:r>
              <w:rPr>
                <w:color w:val="000000"/>
              </w:rPr>
              <w:t>$9,771.7</w:t>
            </w:r>
          </w:p>
        </w:tc>
        <w:tc>
          <w:tcPr>
            <w:tcW w:w="276" w:type="dxa"/>
            <w:tcBorders>
              <w:top w:val="nil"/>
              <w:left w:val="nil"/>
              <w:bottom w:val="nil"/>
              <w:right w:val="nil"/>
            </w:tcBorders>
            <w:shd w:val="clear" w:color="auto" w:fill="auto"/>
            <w:noWrap/>
            <w:vAlign w:val="bottom"/>
          </w:tcPr>
          <w:p w:rsidR="00871F22" w:rsidRDefault="00871F22" w:rsidP="000A5210">
            <w:pPr>
              <w:keepLines/>
              <w:jc w:val="right"/>
              <w:rPr>
                <w:color w:val="000000"/>
              </w:rPr>
            </w:pPr>
          </w:p>
        </w:tc>
        <w:tc>
          <w:tcPr>
            <w:tcW w:w="1079" w:type="dxa"/>
            <w:tcBorders>
              <w:top w:val="single" w:sz="4" w:space="0" w:color="auto"/>
              <w:left w:val="nil"/>
              <w:bottom w:val="nil"/>
              <w:right w:val="nil"/>
            </w:tcBorders>
            <w:shd w:val="clear" w:color="auto" w:fill="auto"/>
            <w:noWrap/>
            <w:vAlign w:val="bottom"/>
          </w:tcPr>
          <w:p w:rsidR="00871F22" w:rsidRDefault="00871F22" w:rsidP="000A5210">
            <w:pPr>
              <w:keepLines/>
              <w:jc w:val="right"/>
              <w:rPr>
                <w:color w:val="000000"/>
              </w:rPr>
            </w:pPr>
            <w:r>
              <w:rPr>
                <w:color w:val="000000"/>
              </w:rPr>
              <w:t>100.00%</w:t>
            </w:r>
          </w:p>
        </w:tc>
      </w:tr>
    </w:tbl>
    <w:bookmarkEnd w:id="8"/>
    <w:p w:rsidR="00871F22" w:rsidRPr="00FD35BF" w:rsidRDefault="00871F22" w:rsidP="000A5210">
      <w:pPr>
        <w:spacing w:before="480" w:line="480" w:lineRule="auto"/>
        <w:ind w:left="749" w:hanging="749"/>
        <w:jc w:val="both"/>
        <w:rPr>
          <w:b/>
          <w:bCs/>
        </w:rPr>
      </w:pPr>
      <w:r w:rsidRPr="00FD35BF">
        <w:rPr>
          <w:b/>
          <w:bCs/>
        </w:rPr>
        <w:lastRenderedPageBreak/>
        <w:t>Q.</w:t>
      </w:r>
      <w:r w:rsidRPr="00FD35BF">
        <w:rPr>
          <w:b/>
          <w:bCs/>
        </w:rPr>
        <w:tab/>
        <w:t xml:space="preserve">WHAT </w:t>
      </w:r>
      <w:r>
        <w:rPr>
          <w:b/>
          <w:bCs/>
        </w:rPr>
        <w:t xml:space="preserve">GENERATION </w:t>
      </w:r>
      <w:r w:rsidRPr="00FD35BF">
        <w:rPr>
          <w:b/>
          <w:bCs/>
        </w:rPr>
        <w:t>COST ALLOCATION METHODOLOG</w:t>
      </w:r>
      <w:r>
        <w:rPr>
          <w:b/>
          <w:bCs/>
        </w:rPr>
        <w:t>Y</w:t>
      </w:r>
      <w:r w:rsidRPr="00FD35BF">
        <w:rPr>
          <w:b/>
          <w:bCs/>
        </w:rPr>
        <w:t xml:space="preserve"> DID MR. </w:t>
      </w:r>
      <w:r>
        <w:rPr>
          <w:b/>
          <w:bCs/>
        </w:rPr>
        <w:t xml:space="preserve">EVANS </w:t>
      </w:r>
      <w:r w:rsidRPr="00FD35BF">
        <w:rPr>
          <w:b/>
          <w:bCs/>
        </w:rPr>
        <w:t>UTILIZE WITHIN HIS RECOMMENDED CCOSS?</w:t>
      </w:r>
    </w:p>
    <w:p w:rsidR="00871F22" w:rsidRDefault="00871F22" w:rsidP="0019106D">
      <w:pPr>
        <w:spacing w:line="480" w:lineRule="auto"/>
        <w:ind w:left="748" w:hanging="748"/>
        <w:jc w:val="both"/>
      </w:pPr>
      <w:r>
        <w:t>A.</w:t>
      </w:r>
      <w:r>
        <w:tab/>
        <w:t xml:space="preserve">Mr. Evans’ recommended CCOSS employs the 12-CP method to allocate generation plant costs.  </w:t>
      </w:r>
    </w:p>
    <w:p w:rsidR="00871F22" w:rsidRDefault="00871F22" w:rsidP="0019106D">
      <w:pPr>
        <w:spacing w:before="480" w:line="480" w:lineRule="auto"/>
        <w:ind w:left="749" w:hanging="749"/>
        <w:jc w:val="both"/>
        <w:rPr>
          <w:b/>
          <w:bCs/>
        </w:rPr>
      </w:pPr>
      <w:r>
        <w:rPr>
          <w:b/>
          <w:bCs/>
        </w:rPr>
        <w:t>Q.</w:t>
      </w:r>
      <w:r>
        <w:rPr>
          <w:b/>
          <w:bCs/>
        </w:rPr>
        <w:tab/>
        <w:t>DID MR. EVANS ALSO CONDUCT A CCOSS UTILIZING AN ALTERNATIVE METHODOLOGY TO ALLOCATE GENERATION PLANT?</w:t>
      </w:r>
    </w:p>
    <w:p w:rsidR="00871F22" w:rsidRDefault="00871F22" w:rsidP="0019106D">
      <w:pPr>
        <w:spacing w:line="480" w:lineRule="auto"/>
        <w:ind w:left="748" w:hanging="748"/>
        <w:jc w:val="both"/>
      </w:pPr>
      <w:r>
        <w:t>A.</w:t>
      </w:r>
      <w:r>
        <w:tab/>
        <w:t>Yes.  Mr. Evans also conducted a CCOSS utilizing the 4-CP approach to allocate generation plant.  However, as noted on page 4</w:t>
      </w:r>
      <w:r w:rsidR="004D7DE6">
        <w:t>, lines 9 through 11</w:t>
      </w:r>
      <w:r>
        <w:t xml:space="preserve"> of his </w:t>
      </w:r>
      <w:r w:rsidR="00F0356C">
        <w:t>D</w:t>
      </w:r>
      <w:r>
        <w:t xml:space="preserve">irect </w:t>
      </w:r>
      <w:r w:rsidR="00F0356C">
        <w:t>T</w:t>
      </w:r>
      <w:r>
        <w:t>estimony, Mr. Evans specifically indicates that he does not recommend this study or approach.</w:t>
      </w:r>
    </w:p>
    <w:p w:rsidR="00871F22" w:rsidRDefault="00871F22" w:rsidP="0019106D">
      <w:pPr>
        <w:spacing w:before="480" w:line="480" w:lineRule="auto"/>
        <w:ind w:left="749" w:hanging="749"/>
        <w:jc w:val="both"/>
        <w:rPr>
          <w:b/>
          <w:bCs/>
        </w:rPr>
      </w:pPr>
      <w:r>
        <w:rPr>
          <w:b/>
          <w:bCs/>
        </w:rPr>
        <w:t>Q.</w:t>
      </w:r>
      <w:r>
        <w:rPr>
          <w:b/>
          <w:bCs/>
        </w:rPr>
        <w:tab/>
        <w:t>PLEASE PROVIDE A SUMMARY OF THE RESULTS OBTAINED UNDER MR. EVANS’ 12-CP AND 4-CP GENERATION ALLOCATION METHODS.</w:t>
      </w:r>
    </w:p>
    <w:p w:rsidR="00117E55" w:rsidRDefault="00871F22" w:rsidP="002F2816">
      <w:pPr>
        <w:spacing w:line="480" w:lineRule="auto"/>
        <w:ind w:left="748" w:hanging="748"/>
        <w:jc w:val="both"/>
        <w:sectPr w:rsidR="00117E55" w:rsidSect="00537E46">
          <w:footerReference w:type="default" r:id="rId16"/>
          <w:pgSz w:w="12240" w:h="15840" w:code="1"/>
          <w:pgMar w:top="1440" w:right="1440" w:bottom="1440" w:left="1440" w:header="720" w:footer="720" w:gutter="0"/>
          <w:lnNumType w:countBy="1"/>
          <w:pgNumType w:start="1"/>
          <w:cols w:space="720"/>
          <w:docGrid w:linePitch="360"/>
        </w:sectPr>
      </w:pPr>
      <w:r>
        <w:t>A.</w:t>
      </w:r>
      <w:r>
        <w:tab/>
        <w:t>The following table provides a summary of each rate schedule’s rate of return (“ROR”) and indexed ROR</w:t>
      </w:r>
      <w:r>
        <w:rPr>
          <w:rStyle w:val="FootnoteReference"/>
        </w:rPr>
        <w:footnoteReference w:id="14"/>
      </w:r>
      <w:r>
        <w:t xml:space="preserve"> under the 12-CP and 4-CP methods:</w:t>
      </w:r>
    </w:p>
    <w:p w:rsidR="00D66019" w:rsidRDefault="00D66019" w:rsidP="00D66019">
      <w:pPr>
        <w:suppressLineNumbers/>
        <w:spacing w:before="480" w:line="480" w:lineRule="auto"/>
        <w:ind w:left="720" w:hanging="720"/>
        <w:jc w:val="both"/>
        <w:rPr>
          <w:b/>
          <w:bCs/>
        </w:rPr>
      </w:pPr>
      <w:r w:rsidRPr="00D66019">
        <w:rPr>
          <w:noProof/>
        </w:rPr>
        <w:lastRenderedPageBreak/>
        <w:drawing>
          <wp:inline distT="0" distB="0" distL="0" distR="0" wp14:anchorId="6E88466A" wp14:editId="7D023668">
            <wp:extent cx="5943600" cy="5824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5824855"/>
                    </a:xfrm>
                    <a:prstGeom prst="rect">
                      <a:avLst/>
                    </a:prstGeom>
                    <a:noFill/>
                    <a:ln>
                      <a:noFill/>
                    </a:ln>
                  </pic:spPr>
                </pic:pic>
              </a:graphicData>
            </a:graphic>
          </wp:inline>
        </w:drawing>
      </w:r>
    </w:p>
    <w:p w:rsidR="00871F22" w:rsidRDefault="00871F22" w:rsidP="00AF37ED">
      <w:pPr>
        <w:spacing w:before="480" w:line="480" w:lineRule="auto"/>
        <w:ind w:left="720" w:hanging="720"/>
        <w:jc w:val="both"/>
        <w:rPr>
          <w:b/>
          <w:bCs/>
        </w:rPr>
      </w:pPr>
      <w:r>
        <w:rPr>
          <w:b/>
          <w:bCs/>
        </w:rPr>
        <w:t>Q.</w:t>
      </w:r>
      <w:r>
        <w:rPr>
          <w:b/>
          <w:bCs/>
        </w:rPr>
        <w:tab/>
        <w:t>HA</w:t>
      </w:r>
      <w:r w:rsidR="002A7A15">
        <w:rPr>
          <w:b/>
          <w:bCs/>
        </w:rPr>
        <w:t>S</w:t>
      </w:r>
      <w:r>
        <w:rPr>
          <w:b/>
          <w:bCs/>
        </w:rPr>
        <w:t xml:space="preserve"> </w:t>
      </w:r>
      <w:r w:rsidR="002A7A15">
        <w:rPr>
          <w:b/>
          <w:bCs/>
        </w:rPr>
        <w:t>STAFF</w:t>
      </w:r>
      <w:r>
        <w:rPr>
          <w:b/>
          <w:bCs/>
        </w:rPr>
        <w:t xml:space="preserve"> CONDUCTED ALTERNATIVE CCOSS THAT MORE ACCURATELY REPRESENTS THE CAPACITY AND ENERGY TRADE-OFF EXHIBITED IN GEORGIA POWER’S GENERATION PLANT INVESTMENT?</w:t>
      </w:r>
    </w:p>
    <w:p w:rsidR="0099159A" w:rsidRDefault="00871F22" w:rsidP="0099159A">
      <w:pPr>
        <w:spacing w:line="480" w:lineRule="auto"/>
        <w:ind w:left="720" w:hanging="720"/>
        <w:jc w:val="both"/>
      </w:pPr>
      <w:r>
        <w:lastRenderedPageBreak/>
        <w:t>A.</w:t>
      </w:r>
      <w:r>
        <w:tab/>
        <w:t>Yes</w:t>
      </w:r>
      <w:r w:rsidR="002A7A15">
        <w:t>, Mr. Watkins has</w:t>
      </w:r>
      <w:r>
        <w:t>.  As discussed earlier</w:t>
      </w:r>
      <w:r w:rsidR="002F2816">
        <w:t>, t</w:t>
      </w:r>
      <w:r>
        <w:t>he BIP and Probability of Dispatch methods better reflect the capacity/energy tradeoff that exists within an electric utility’s generation</w:t>
      </w:r>
      <w:r w:rsidR="00117E55">
        <w:t xml:space="preserve"> </w:t>
      </w:r>
      <w:r>
        <w:t>related costs.  As such,</w:t>
      </w:r>
      <w:r w:rsidRPr="00C5364A">
        <w:rPr>
          <w:b/>
          <w:color w:val="FF0000"/>
        </w:rPr>
        <w:t xml:space="preserve"> </w:t>
      </w:r>
      <w:r>
        <w:t>two alternative CCOSS utilizing the BIP method and Probability of Dispatch methods</w:t>
      </w:r>
      <w:r w:rsidR="00703EBD">
        <w:t xml:space="preserve"> were conducted</w:t>
      </w:r>
      <w:r>
        <w:t xml:space="preserve">.  </w:t>
      </w:r>
    </w:p>
    <w:p w:rsidR="00871F22" w:rsidRPr="00D57E28" w:rsidRDefault="00871F22" w:rsidP="00A70E29">
      <w:pPr>
        <w:pStyle w:val="Heading3"/>
        <w:ind w:left="720"/>
      </w:pPr>
      <w:bookmarkStart w:id="9" w:name="_Toc116370398"/>
      <w:r w:rsidRPr="006B6BE9">
        <w:t>1.</w:t>
      </w:r>
      <w:r w:rsidRPr="006B6BE9">
        <w:tab/>
        <w:t>Base-Intermediate-Peak (“BIP”) Method</w:t>
      </w:r>
      <w:bookmarkEnd w:id="9"/>
    </w:p>
    <w:p w:rsidR="00871F22" w:rsidRPr="00D57E28" w:rsidRDefault="00871F22" w:rsidP="00990DF0">
      <w:pPr>
        <w:spacing w:before="480" w:line="480" w:lineRule="auto"/>
        <w:ind w:left="720" w:hanging="720"/>
        <w:jc w:val="both"/>
        <w:rPr>
          <w:b/>
          <w:bCs/>
        </w:rPr>
      </w:pPr>
      <w:r w:rsidRPr="00D57E28">
        <w:rPr>
          <w:b/>
          <w:bCs/>
        </w:rPr>
        <w:t>Q.</w:t>
      </w:r>
      <w:r w:rsidRPr="00D57E28">
        <w:rPr>
          <w:b/>
          <w:bCs/>
        </w:rPr>
        <w:tab/>
        <w:t>PLEASE EXPLAIN HOW</w:t>
      </w:r>
      <w:r w:rsidR="00EB15BD">
        <w:rPr>
          <w:b/>
          <w:bCs/>
        </w:rPr>
        <w:t xml:space="preserve"> </w:t>
      </w:r>
      <w:r w:rsidR="002A7A15">
        <w:rPr>
          <w:b/>
          <w:bCs/>
        </w:rPr>
        <w:t xml:space="preserve">THE </w:t>
      </w:r>
      <w:r w:rsidRPr="00D57E28">
        <w:rPr>
          <w:b/>
          <w:bCs/>
        </w:rPr>
        <w:t xml:space="preserve">CCOSS UTILIZING THE </w:t>
      </w:r>
      <w:r w:rsidR="0019021C">
        <w:rPr>
          <w:b/>
          <w:bCs/>
        </w:rPr>
        <w:t xml:space="preserve">BIP </w:t>
      </w:r>
      <w:r w:rsidRPr="00D57E28">
        <w:rPr>
          <w:b/>
          <w:bCs/>
        </w:rPr>
        <w:t>METHOD</w:t>
      </w:r>
      <w:r w:rsidR="002A7A15">
        <w:rPr>
          <w:b/>
          <w:bCs/>
        </w:rPr>
        <w:t xml:space="preserve"> WAS CONDUCTED</w:t>
      </w:r>
      <w:r w:rsidRPr="00D57E28">
        <w:rPr>
          <w:b/>
          <w:bCs/>
        </w:rPr>
        <w:t xml:space="preserve">.  </w:t>
      </w:r>
    </w:p>
    <w:p w:rsidR="00871F22" w:rsidRDefault="00871F22" w:rsidP="0099159A">
      <w:pPr>
        <w:spacing w:line="480" w:lineRule="auto"/>
        <w:ind w:left="720" w:hanging="720"/>
        <w:jc w:val="both"/>
      </w:pPr>
      <w:r w:rsidRPr="00D57E28">
        <w:t>A.</w:t>
      </w:r>
      <w:r w:rsidRPr="00D57E28">
        <w:tab/>
        <w:t xml:space="preserve">In order to reflect the capacity/energy trade-off inherent in </w:t>
      </w:r>
      <w:r>
        <w:t>the Company’s</w:t>
      </w:r>
      <w:r w:rsidRPr="00D57E28">
        <w:t xml:space="preserve"> mix of generating resources, each plant’s owned capacity (</w:t>
      </w:r>
      <w:r w:rsidR="00EB15BD">
        <w:t>MW</w:t>
      </w:r>
      <w:r w:rsidRPr="00D57E28">
        <w:t>) and output (</w:t>
      </w:r>
      <w:r w:rsidR="00693F5D">
        <w:t>megawatt-hours “</w:t>
      </w:r>
      <w:r w:rsidR="002A7A15">
        <w:t>M</w:t>
      </w:r>
      <w:r w:rsidR="001372CC">
        <w:t>W</w:t>
      </w:r>
      <w:r w:rsidR="002A7A15">
        <w:t>h</w:t>
      </w:r>
      <w:r w:rsidR="00693F5D">
        <w:t>”</w:t>
      </w:r>
      <w:r w:rsidRPr="00D57E28">
        <w:t>) is required.  The BIP method evaluates each plant based on its</w:t>
      </w:r>
      <w:r>
        <w:t xml:space="preserve"> variable fuel costs as well as the extent to which each unit is utilized throughout the year (capacity factor)</w:t>
      </w:r>
      <w:r w:rsidRPr="00D57E28">
        <w:t xml:space="preserve"> to determine whether that plant operates to serve primarily energy needs throughout the year, only peak loads, or is of an intermediate type that serves both energy and peak load requirements.    </w:t>
      </w:r>
    </w:p>
    <w:p w:rsidR="00871F22" w:rsidRPr="00990DF0" w:rsidRDefault="00871F22" w:rsidP="0099159A">
      <w:pPr>
        <w:spacing w:before="360" w:line="480" w:lineRule="auto"/>
        <w:ind w:left="720" w:hanging="720"/>
        <w:jc w:val="both"/>
        <w:rPr>
          <w:bCs/>
        </w:rPr>
      </w:pPr>
      <w:r>
        <w:tab/>
      </w:r>
      <w:r w:rsidRPr="002C2A6A">
        <w:t xml:space="preserve">Confidential </w:t>
      </w:r>
      <w:r w:rsidR="00703EBD" w:rsidRPr="002C2A6A">
        <w:t xml:space="preserve">Staff </w:t>
      </w:r>
      <w:r w:rsidRPr="002C2A6A">
        <w:t>Exhibit</w:t>
      </w:r>
      <w:r w:rsidR="00703EBD" w:rsidRPr="002C2A6A">
        <w:t xml:space="preserve"> </w:t>
      </w:r>
      <w:r w:rsidRPr="002C2A6A">
        <w:t>__ (</w:t>
      </w:r>
      <w:r w:rsidR="00703EBD" w:rsidRPr="002C2A6A">
        <w:t>BDW-4</w:t>
      </w:r>
      <w:r w:rsidRPr="002C2A6A">
        <w:t>)</w:t>
      </w:r>
      <w:r w:rsidRPr="00D57E28">
        <w:t xml:space="preserve"> provides the classification between energy and demand for </w:t>
      </w:r>
      <w:r>
        <w:t xml:space="preserve">the Company’s combined </w:t>
      </w:r>
      <w:r w:rsidRPr="00D57E28">
        <w:t>generation plant under the BIP method.</w:t>
      </w:r>
      <w:r>
        <w:t xml:space="preserve">  In conducting this analysis,</w:t>
      </w:r>
      <w:r w:rsidRPr="00C5364A">
        <w:rPr>
          <w:b/>
          <w:color w:val="FF0000"/>
        </w:rPr>
        <w:t xml:space="preserve"> </w:t>
      </w:r>
      <w:r>
        <w:t xml:space="preserve">the classification between demand and energy </w:t>
      </w:r>
      <w:r w:rsidR="00703EBD">
        <w:t xml:space="preserve">was calculated </w:t>
      </w:r>
      <w:r>
        <w:t>in two ways</w:t>
      </w:r>
      <w:r w:rsidR="00EB15BD">
        <w:t>:</w:t>
      </w:r>
      <w:r>
        <w:t xml:space="preserve"> one that includes Vogtle 3 and another that excludes Vogtle 3.  In </w:t>
      </w:r>
      <w:r w:rsidR="002A7A15">
        <w:t xml:space="preserve">the Company’s response to </w:t>
      </w:r>
      <w:r>
        <w:t>STF-TAI-1-5,</w:t>
      </w:r>
      <w:r w:rsidRPr="00C5364A">
        <w:rPr>
          <w:b/>
          <w:color w:val="FF0000"/>
        </w:rPr>
        <w:t xml:space="preserve"> </w:t>
      </w:r>
      <w:r>
        <w:t xml:space="preserve">relevant information for each generating unit </w:t>
      </w:r>
      <w:r w:rsidR="00703EBD">
        <w:t xml:space="preserve">was </w:t>
      </w:r>
      <w:r>
        <w:t xml:space="preserve">included in the Company’s Period II (12-months ending July 31, 2023).  In this response, Georgia </w:t>
      </w:r>
      <w:r>
        <w:lastRenderedPageBreak/>
        <w:t xml:space="preserve">Power provided Vogtle 3’s nameplate capacity, investment data, and energy output for this unit.  Furthermore, in </w:t>
      </w:r>
      <w:r w:rsidR="002A7A15">
        <w:t xml:space="preserve">the Company’s </w:t>
      </w:r>
      <w:r>
        <w:t>response to STF-TAI-1-9, the Company provided each generating unit’s hourly output during the forecasted test year in which Vogtle 3 was included.  While the investment associated with Vogtle 3 is not included in the Company’s rate application,</w:t>
      </w:r>
      <w:r>
        <w:rPr>
          <w:b/>
          <w:color w:val="FF0000"/>
        </w:rPr>
        <w:t xml:space="preserve"> </w:t>
      </w:r>
      <w:r w:rsidR="00703EBD" w:rsidRPr="00703EBD">
        <w:rPr>
          <w:bCs/>
        </w:rPr>
        <w:t xml:space="preserve">these </w:t>
      </w:r>
      <w:r w:rsidRPr="00703EBD">
        <w:rPr>
          <w:bCs/>
        </w:rPr>
        <w:t xml:space="preserve">analyses were conducted with and without Vogtle 3.     </w:t>
      </w:r>
    </w:p>
    <w:p w:rsidR="00871F22" w:rsidRPr="00D57E28" w:rsidRDefault="00871F22" w:rsidP="00990DF0">
      <w:pPr>
        <w:spacing w:before="480" w:line="480" w:lineRule="auto"/>
        <w:ind w:left="720" w:hanging="720"/>
        <w:jc w:val="both"/>
        <w:rPr>
          <w:b/>
          <w:bCs/>
        </w:rPr>
      </w:pPr>
      <w:r w:rsidRPr="00D57E28">
        <w:rPr>
          <w:b/>
          <w:bCs/>
        </w:rPr>
        <w:t>Q.</w:t>
      </w:r>
      <w:r w:rsidRPr="00D57E28">
        <w:rPr>
          <w:b/>
          <w:bCs/>
        </w:rPr>
        <w:tab/>
        <w:t xml:space="preserve">DOES </w:t>
      </w:r>
      <w:r w:rsidR="00703EBD">
        <w:rPr>
          <w:b/>
          <w:bCs/>
        </w:rPr>
        <w:t xml:space="preserve">STAFF </w:t>
      </w:r>
      <w:r w:rsidRPr="00703EBD">
        <w:rPr>
          <w:b/>
          <w:bCs/>
        </w:rPr>
        <w:t>EXHIBIT</w:t>
      </w:r>
      <w:r w:rsidR="00A2426E">
        <w:rPr>
          <w:b/>
          <w:bCs/>
        </w:rPr>
        <w:t xml:space="preserve"> _</w:t>
      </w:r>
      <w:r w:rsidR="00EF000D">
        <w:rPr>
          <w:b/>
          <w:bCs/>
        </w:rPr>
        <w:t>_</w:t>
      </w:r>
      <w:r w:rsidR="00A2426E">
        <w:rPr>
          <w:b/>
          <w:bCs/>
        </w:rPr>
        <w:t xml:space="preserve"> </w:t>
      </w:r>
      <w:r w:rsidRPr="00703EBD">
        <w:rPr>
          <w:b/>
          <w:bCs/>
        </w:rPr>
        <w:t>(</w:t>
      </w:r>
      <w:r w:rsidR="00703EBD" w:rsidRPr="00703EBD">
        <w:rPr>
          <w:b/>
          <w:bCs/>
        </w:rPr>
        <w:t>BDW-4</w:t>
      </w:r>
      <w:r w:rsidRPr="00703EBD">
        <w:rPr>
          <w:b/>
          <w:bCs/>
        </w:rPr>
        <w:t>)</w:t>
      </w:r>
      <w:r w:rsidRPr="00D57E28">
        <w:rPr>
          <w:b/>
          <w:bCs/>
        </w:rPr>
        <w:t xml:space="preserve"> HELP EXPLAIN THE CAPACITY/ENERGY TRADE-OFF CONSIDERATION USED BY ELECTRIC UTILITIES IN DEVELOPING A PARTICULAR MIX OF GENERATING FACILITIES?</w:t>
      </w:r>
    </w:p>
    <w:p w:rsidR="00871F22" w:rsidRPr="00D57E28" w:rsidRDefault="00871F22" w:rsidP="00854D21">
      <w:pPr>
        <w:spacing w:line="480" w:lineRule="auto"/>
        <w:ind w:left="720" w:hanging="720"/>
        <w:jc w:val="both"/>
      </w:pPr>
      <w:r w:rsidRPr="00D57E28">
        <w:t>A.</w:t>
      </w:r>
      <w:r w:rsidRPr="00D57E28">
        <w:tab/>
        <w:t xml:space="preserve">Yes.  As can be seen </w:t>
      </w:r>
      <w:r w:rsidRPr="00703EBD">
        <w:t xml:space="preserve">in Confidential </w:t>
      </w:r>
      <w:r w:rsidR="00703EBD" w:rsidRPr="00703EBD">
        <w:t xml:space="preserve">Staff </w:t>
      </w:r>
      <w:r w:rsidRPr="00703EBD">
        <w:t>Exhibit __ (</w:t>
      </w:r>
      <w:r w:rsidR="00703EBD" w:rsidRPr="00703EBD">
        <w:t>BDW-4</w:t>
      </w:r>
      <w:r w:rsidRPr="00703EBD">
        <w:t>), Georgia</w:t>
      </w:r>
      <w:r>
        <w:t xml:space="preserve"> Power’s</w:t>
      </w:r>
      <w:r w:rsidRPr="00D57E28">
        <w:t xml:space="preserve"> larger, more expensive generating plants have high capacity factors and lower fuel costs.  The</w:t>
      </w:r>
      <w:r>
        <w:t>se</w:t>
      </w:r>
      <w:r w:rsidRPr="00D57E28">
        <w:t xml:space="preserve"> large units run most hours of the year supplying energy to all customers.  In contrast, the smaller, high operating (fuel) cost plants tend to have lower capacity factors meaning they are primarily used to meet peak loads.  Because the vast preponderance of </w:t>
      </w:r>
      <w:r>
        <w:t xml:space="preserve">Georgia Power’s </w:t>
      </w:r>
      <w:r w:rsidRPr="00D57E28">
        <w:t>investment in generation plant is associated with its base load units, a very large percentage of generation plant is classified as energy</w:t>
      </w:r>
      <w:r w:rsidR="00117E55">
        <w:t xml:space="preserve"> </w:t>
      </w:r>
      <w:r w:rsidRPr="00D57E28">
        <w:t>related under the BIP method.</w:t>
      </w:r>
      <w:r>
        <w:t xml:space="preserve">  Specifically, when Vogtle 3 is included, the energy classification is 74.27% and 62.69% without Vogtle 3.  </w:t>
      </w:r>
      <w:r w:rsidRPr="00D57E28">
        <w:t xml:space="preserve">      </w:t>
      </w:r>
    </w:p>
    <w:p w:rsidR="00871F22" w:rsidRPr="00D57E28" w:rsidRDefault="00871F22" w:rsidP="00854D21">
      <w:pPr>
        <w:spacing w:before="480" w:line="480" w:lineRule="auto"/>
        <w:ind w:left="720" w:hanging="720"/>
        <w:jc w:val="both"/>
        <w:rPr>
          <w:b/>
          <w:bCs/>
        </w:rPr>
      </w:pPr>
      <w:r w:rsidRPr="00D57E28">
        <w:rPr>
          <w:b/>
          <w:bCs/>
        </w:rPr>
        <w:t>Q.</w:t>
      </w:r>
      <w:r w:rsidRPr="00D57E28">
        <w:rPr>
          <w:b/>
          <w:bCs/>
        </w:rPr>
        <w:tab/>
        <w:t xml:space="preserve">PLEASE PROVIDE A SUMMARY OF RESULTS OBTAINED UTILIZING THE </w:t>
      </w:r>
      <w:r w:rsidR="0019021C">
        <w:rPr>
          <w:b/>
          <w:bCs/>
        </w:rPr>
        <w:t>BIP</w:t>
      </w:r>
      <w:r w:rsidRPr="00D57E28">
        <w:rPr>
          <w:b/>
          <w:bCs/>
        </w:rPr>
        <w:t xml:space="preserve"> METHOD.</w:t>
      </w:r>
    </w:p>
    <w:p w:rsidR="0037448A" w:rsidRDefault="00871F22" w:rsidP="002E6FEA">
      <w:pPr>
        <w:spacing w:line="480" w:lineRule="auto"/>
        <w:ind w:left="720" w:hanging="720"/>
        <w:jc w:val="both"/>
        <w:rPr>
          <w:bCs/>
        </w:rPr>
      </w:pPr>
      <w:r w:rsidRPr="00D57E28">
        <w:rPr>
          <w:bCs/>
        </w:rPr>
        <w:t>A.</w:t>
      </w:r>
      <w:r w:rsidRPr="00D57E28">
        <w:rPr>
          <w:bCs/>
        </w:rPr>
        <w:tab/>
        <w:t xml:space="preserve">The following </w:t>
      </w:r>
      <w:r>
        <w:rPr>
          <w:bCs/>
        </w:rPr>
        <w:t xml:space="preserve">table provides a </w:t>
      </w:r>
      <w:r w:rsidRPr="00D57E28">
        <w:rPr>
          <w:bCs/>
        </w:rPr>
        <w:t xml:space="preserve">summary </w:t>
      </w:r>
      <w:r>
        <w:rPr>
          <w:bCs/>
        </w:rPr>
        <w:t>of each rate schedule’s ROR and indexed ROR under the BIP method</w:t>
      </w:r>
      <w:r w:rsidRPr="00D57E28">
        <w:rPr>
          <w:bCs/>
        </w:rPr>
        <w:t>:</w:t>
      </w:r>
    </w:p>
    <w:p w:rsidR="0037448A" w:rsidRDefault="0037448A" w:rsidP="0037448A">
      <w:pPr>
        <w:suppressLineNumbers/>
        <w:spacing w:line="480" w:lineRule="auto"/>
        <w:ind w:left="720" w:hanging="720"/>
        <w:jc w:val="both"/>
        <w:rPr>
          <w:bCs/>
        </w:rPr>
      </w:pPr>
    </w:p>
    <w:p w:rsidR="0037448A" w:rsidRPr="00D57E28" w:rsidRDefault="008A3179" w:rsidP="0037448A">
      <w:pPr>
        <w:suppressLineNumbers/>
        <w:spacing w:line="480" w:lineRule="auto"/>
        <w:ind w:left="720" w:hanging="720"/>
        <w:jc w:val="both"/>
        <w:rPr>
          <w:bCs/>
        </w:rPr>
      </w:pPr>
      <w:r w:rsidRPr="008A3179">
        <w:rPr>
          <w:noProof/>
        </w:rPr>
        <w:drawing>
          <wp:inline distT="0" distB="0" distL="0" distR="0" wp14:anchorId="58EE352E" wp14:editId="457B1A39">
            <wp:extent cx="5943600" cy="5735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5735955"/>
                    </a:xfrm>
                    <a:prstGeom prst="rect">
                      <a:avLst/>
                    </a:prstGeom>
                    <a:noFill/>
                    <a:ln>
                      <a:noFill/>
                    </a:ln>
                  </pic:spPr>
                </pic:pic>
              </a:graphicData>
            </a:graphic>
          </wp:inline>
        </w:drawing>
      </w:r>
    </w:p>
    <w:p w:rsidR="00F0356C" w:rsidRDefault="00AA6060" w:rsidP="0099159A">
      <w:pPr>
        <w:widowControl w:val="0"/>
        <w:spacing w:before="360" w:line="480" w:lineRule="auto"/>
        <w:ind w:left="720"/>
        <w:jc w:val="both"/>
        <w:rPr>
          <w:bCs/>
        </w:rPr>
      </w:pPr>
      <w:r>
        <w:rPr>
          <w:bCs/>
        </w:rPr>
        <w:t>Staff has included a s</w:t>
      </w:r>
      <w:r w:rsidR="00703EBD" w:rsidRPr="00703EBD">
        <w:rPr>
          <w:bCs/>
        </w:rPr>
        <w:t>ummary of the</w:t>
      </w:r>
      <w:r w:rsidR="00703EBD">
        <w:rPr>
          <w:bCs/>
        </w:rPr>
        <w:t xml:space="preserve"> BIP </w:t>
      </w:r>
      <w:r w:rsidR="00703EBD" w:rsidRPr="00703EBD">
        <w:rPr>
          <w:bCs/>
        </w:rPr>
        <w:t xml:space="preserve">method results </w:t>
      </w:r>
      <w:r w:rsidR="001372CC">
        <w:rPr>
          <w:bCs/>
        </w:rPr>
        <w:t>with and without Vogtle</w:t>
      </w:r>
      <w:r w:rsidR="00703EBD" w:rsidRPr="00703EBD">
        <w:rPr>
          <w:bCs/>
        </w:rPr>
        <w:t xml:space="preserve"> </w:t>
      </w:r>
      <w:r>
        <w:rPr>
          <w:bCs/>
        </w:rPr>
        <w:t>as</w:t>
      </w:r>
      <w:r w:rsidR="00703EBD" w:rsidRPr="00703EBD">
        <w:rPr>
          <w:bCs/>
        </w:rPr>
        <w:t xml:space="preserve"> provided in Staff Exhibit __ (BDW-</w:t>
      </w:r>
      <w:r w:rsidR="00703EBD">
        <w:rPr>
          <w:bCs/>
        </w:rPr>
        <w:t>5</w:t>
      </w:r>
      <w:r w:rsidR="00703EBD" w:rsidRPr="00703EBD">
        <w:rPr>
          <w:bCs/>
        </w:rPr>
        <w:t>) and Staff Exhibit __ (BDW-</w:t>
      </w:r>
      <w:r w:rsidR="00703EBD">
        <w:rPr>
          <w:bCs/>
        </w:rPr>
        <w:t>6</w:t>
      </w:r>
      <w:r w:rsidR="00703EBD" w:rsidRPr="00703EBD">
        <w:rPr>
          <w:bCs/>
        </w:rPr>
        <w:t>)</w:t>
      </w:r>
      <w:r w:rsidR="001372CC">
        <w:rPr>
          <w:bCs/>
        </w:rPr>
        <w:t>, respectively</w:t>
      </w:r>
      <w:r w:rsidR="00703EBD" w:rsidRPr="00703EBD">
        <w:rPr>
          <w:bCs/>
        </w:rPr>
        <w:t xml:space="preserve">. </w:t>
      </w:r>
    </w:p>
    <w:p w:rsidR="0037448A" w:rsidRDefault="0037448A" w:rsidP="0037448A">
      <w:pPr>
        <w:widowControl w:val="0"/>
        <w:suppressLineNumbers/>
        <w:spacing w:before="360" w:line="480" w:lineRule="auto"/>
        <w:ind w:left="720"/>
        <w:jc w:val="both"/>
        <w:rPr>
          <w:bCs/>
        </w:rPr>
      </w:pPr>
    </w:p>
    <w:p w:rsidR="00871F22" w:rsidRDefault="00871F22" w:rsidP="00A70E29">
      <w:pPr>
        <w:pStyle w:val="Heading3"/>
        <w:ind w:firstLine="720"/>
      </w:pPr>
      <w:bookmarkStart w:id="10" w:name="_Toc116370399"/>
      <w:r w:rsidRPr="00CD3916">
        <w:lastRenderedPageBreak/>
        <w:t>2</w:t>
      </w:r>
      <w:r>
        <w:t>.</w:t>
      </w:r>
      <w:r>
        <w:tab/>
        <w:t>Probability of Dispatch Method</w:t>
      </w:r>
      <w:bookmarkEnd w:id="10"/>
    </w:p>
    <w:p w:rsidR="00871F22" w:rsidRPr="00D57E28" w:rsidRDefault="00871F22" w:rsidP="0099159A">
      <w:pPr>
        <w:spacing w:before="480" w:line="480" w:lineRule="auto"/>
        <w:ind w:left="720" w:hanging="720"/>
        <w:jc w:val="both"/>
        <w:rPr>
          <w:b/>
          <w:bCs/>
        </w:rPr>
      </w:pPr>
      <w:r w:rsidRPr="00D57E28">
        <w:rPr>
          <w:b/>
          <w:bCs/>
        </w:rPr>
        <w:t>Q.</w:t>
      </w:r>
      <w:r w:rsidRPr="00D57E28">
        <w:rPr>
          <w:b/>
          <w:bCs/>
        </w:rPr>
        <w:tab/>
        <w:t xml:space="preserve">PLEASE EXPLAIN HOW </w:t>
      </w:r>
      <w:r w:rsidR="00F97843">
        <w:rPr>
          <w:b/>
          <w:bCs/>
        </w:rPr>
        <w:t xml:space="preserve">STAFF </w:t>
      </w:r>
      <w:r w:rsidRPr="00D57E28">
        <w:rPr>
          <w:b/>
          <w:bCs/>
        </w:rPr>
        <w:t xml:space="preserve">CONDUCTED </w:t>
      </w:r>
      <w:r w:rsidR="00F97843">
        <w:rPr>
          <w:b/>
          <w:bCs/>
        </w:rPr>
        <w:t>THE</w:t>
      </w:r>
      <w:r w:rsidRPr="00D57E28">
        <w:rPr>
          <w:b/>
          <w:bCs/>
        </w:rPr>
        <w:t xml:space="preserve"> CCOSS UTILIZING THE PROBABILITY OF DISPATCH METHOD.</w:t>
      </w:r>
    </w:p>
    <w:p w:rsidR="00871F22" w:rsidRDefault="00871F22" w:rsidP="00221D9B">
      <w:pPr>
        <w:spacing w:line="480" w:lineRule="auto"/>
        <w:ind w:left="720" w:hanging="720"/>
        <w:jc w:val="both"/>
        <w:rPr>
          <w:bCs/>
        </w:rPr>
      </w:pPr>
      <w:r w:rsidRPr="00D57E28">
        <w:rPr>
          <w:bCs/>
        </w:rPr>
        <w:t>A.</w:t>
      </w:r>
      <w:r w:rsidRPr="00D57E28">
        <w:rPr>
          <w:bCs/>
        </w:rPr>
        <w:tab/>
        <w:t xml:space="preserve">As discussed earlier, the Probability of Dispatch method is the most theoretically correct methodology to assign embedded (historical) generation plant investment.  However, the data required to utilize this methodology is often not available because this approach requires detailed hourly output data for each generating facility as well as hourly class loads.  In this case, </w:t>
      </w:r>
      <w:r>
        <w:rPr>
          <w:bCs/>
        </w:rPr>
        <w:t xml:space="preserve">Georgia Power </w:t>
      </w:r>
      <w:r w:rsidRPr="00D57E28">
        <w:rPr>
          <w:bCs/>
        </w:rPr>
        <w:t xml:space="preserve">provided both of these </w:t>
      </w:r>
      <w:r w:rsidRPr="00703EBD">
        <w:rPr>
          <w:bCs/>
        </w:rPr>
        <w:t xml:space="preserve">critical data sets.  As such, </w:t>
      </w:r>
      <w:r w:rsidR="00703EBD" w:rsidRPr="00703EBD">
        <w:rPr>
          <w:bCs/>
        </w:rPr>
        <w:t>it was possible</w:t>
      </w:r>
      <w:r w:rsidR="00F97843">
        <w:rPr>
          <w:bCs/>
        </w:rPr>
        <w:t xml:space="preserve"> for Mr. Watkins</w:t>
      </w:r>
      <w:r w:rsidR="00703EBD" w:rsidRPr="00703EBD">
        <w:rPr>
          <w:bCs/>
        </w:rPr>
        <w:t xml:space="preserve"> </w:t>
      </w:r>
      <w:r w:rsidRPr="00703EBD">
        <w:rPr>
          <w:bCs/>
        </w:rPr>
        <w:t xml:space="preserve">to conduct a CCOSS utilizing the Probability of Dispatch method.  Similar to the BIP method, the Probability of Dispatch generation allocation factors </w:t>
      </w:r>
      <w:r w:rsidR="00703EBD">
        <w:rPr>
          <w:bCs/>
        </w:rPr>
        <w:t xml:space="preserve">were calculated </w:t>
      </w:r>
      <w:r w:rsidRPr="00703EBD">
        <w:rPr>
          <w:bCs/>
        </w:rPr>
        <w:t xml:space="preserve">with and without Vogtle 3.   </w:t>
      </w:r>
    </w:p>
    <w:p w:rsidR="00871F22" w:rsidRPr="00AA6800" w:rsidRDefault="00871F22" w:rsidP="00221D9B">
      <w:pPr>
        <w:spacing w:before="360" w:line="480" w:lineRule="auto"/>
        <w:ind w:left="720" w:hanging="720"/>
        <w:jc w:val="both"/>
        <w:rPr>
          <w:bCs/>
        </w:rPr>
      </w:pPr>
      <w:r w:rsidRPr="00D57E28">
        <w:rPr>
          <w:b/>
          <w:bCs/>
        </w:rPr>
        <w:tab/>
      </w:r>
      <w:r>
        <w:t>T</w:t>
      </w:r>
      <w:r w:rsidRPr="00D57E28">
        <w:rPr>
          <w:bCs/>
        </w:rPr>
        <w:t xml:space="preserve">he first step in conducting the Probability of Dispatch method </w:t>
      </w:r>
      <w:r>
        <w:rPr>
          <w:bCs/>
        </w:rPr>
        <w:t>wa</w:t>
      </w:r>
      <w:r w:rsidRPr="00D57E28">
        <w:rPr>
          <w:bCs/>
        </w:rPr>
        <w:t xml:space="preserve">s to assign individual generating plant investments to specific hours.  In accordance with the procedures set forth in the </w:t>
      </w:r>
      <w:r w:rsidRPr="00D57E28">
        <w:rPr>
          <w:bCs/>
          <w:u w:val="single"/>
        </w:rPr>
        <w:t>NARUC:</w:t>
      </w:r>
      <w:r w:rsidR="00D0653C">
        <w:rPr>
          <w:bCs/>
          <w:u w:val="single"/>
        </w:rPr>
        <w:t xml:space="preserve"> </w:t>
      </w:r>
      <w:r w:rsidRPr="00D57E28">
        <w:rPr>
          <w:bCs/>
          <w:u w:val="single"/>
        </w:rPr>
        <w:t>Electric Utility Cost Allocation Manual</w:t>
      </w:r>
      <w:r w:rsidRPr="00D57E28">
        <w:rPr>
          <w:bCs/>
        </w:rPr>
        <w:t>,</w:t>
      </w:r>
      <w:r w:rsidRPr="00D57E28">
        <w:rPr>
          <w:rStyle w:val="FootnoteReference"/>
          <w:bCs/>
        </w:rPr>
        <w:footnoteReference w:id="15"/>
      </w:r>
      <w:r w:rsidRPr="00D57E28">
        <w:rPr>
          <w:bCs/>
        </w:rPr>
        <w:t xml:space="preserve"> each plant’s total gross investment was assigned pro-ratably to each hour of the year based on each respective unit’s load (output) in that hour</w:t>
      </w:r>
      <w:r w:rsidRPr="00393501">
        <w:rPr>
          <w:bCs/>
        </w:rPr>
        <w:t>.</w:t>
      </w:r>
      <w:r w:rsidRPr="00393501">
        <w:rPr>
          <w:rStyle w:val="FootnoteReference"/>
          <w:bCs/>
        </w:rPr>
        <w:footnoteReference w:id="16"/>
      </w:r>
      <w:r>
        <w:rPr>
          <w:bCs/>
        </w:rPr>
        <w:t xml:space="preserve">  </w:t>
      </w:r>
    </w:p>
    <w:p w:rsidR="00871F22" w:rsidRPr="003E1720" w:rsidRDefault="00871F22" w:rsidP="003E1720">
      <w:pPr>
        <w:spacing w:before="360" w:line="480" w:lineRule="auto"/>
        <w:ind w:left="720" w:hanging="720"/>
        <w:jc w:val="both"/>
        <w:rPr>
          <w:bCs/>
        </w:rPr>
      </w:pPr>
      <w:r>
        <w:rPr>
          <w:bCs/>
        </w:rPr>
        <w:tab/>
      </w:r>
      <w:r w:rsidRPr="00703EBD">
        <w:rPr>
          <w:bCs/>
        </w:rPr>
        <w:t>Once the total hourly gross investment for each unit</w:t>
      </w:r>
      <w:r w:rsidR="00703EBD" w:rsidRPr="00703EBD">
        <w:rPr>
          <w:bCs/>
        </w:rPr>
        <w:t xml:space="preserve"> was determined</w:t>
      </w:r>
      <w:r w:rsidRPr="00703EBD">
        <w:rPr>
          <w:bCs/>
        </w:rPr>
        <w:t xml:space="preserve">, </w:t>
      </w:r>
      <w:r w:rsidR="00703EBD" w:rsidRPr="00703EBD">
        <w:rPr>
          <w:bCs/>
        </w:rPr>
        <w:t xml:space="preserve">these costs were </w:t>
      </w:r>
      <w:r w:rsidRPr="00703EBD">
        <w:rPr>
          <w:bCs/>
        </w:rPr>
        <w:t>assign</w:t>
      </w:r>
      <w:r w:rsidR="00703EBD" w:rsidRPr="00703EBD">
        <w:rPr>
          <w:bCs/>
        </w:rPr>
        <w:t>ed</w:t>
      </w:r>
      <w:r w:rsidRPr="00703EBD">
        <w:rPr>
          <w:bCs/>
        </w:rPr>
        <w:t xml:space="preserve"> to individual rate </w:t>
      </w:r>
      <w:r w:rsidR="00703EBD">
        <w:rPr>
          <w:bCs/>
        </w:rPr>
        <w:t>schedules</w:t>
      </w:r>
      <w:r w:rsidRPr="00703EBD">
        <w:rPr>
          <w:bCs/>
        </w:rPr>
        <w:t xml:space="preserve"> on an hour-by-hour basis.  As indicated earlier, the </w:t>
      </w:r>
      <w:r w:rsidRPr="00703EBD">
        <w:rPr>
          <w:bCs/>
        </w:rPr>
        <w:lastRenderedPageBreak/>
        <w:t xml:space="preserve">Company provided individual class loads for each hour of the forecasted test year.  </w:t>
      </w:r>
      <w:r w:rsidR="00703EBD" w:rsidRPr="00703EBD">
        <w:rPr>
          <w:bCs/>
        </w:rPr>
        <w:t>E</w:t>
      </w:r>
      <w:r w:rsidRPr="00703EBD">
        <w:rPr>
          <w:bCs/>
        </w:rPr>
        <w:t xml:space="preserve">ach </w:t>
      </w:r>
      <w:r w:rsidR="00703EBD" w:rsidRPr="00703EBD">
        <w:rPr>
          <w:bCs/>
        </w:rPr>
        <w:t xml:space="preserve">rate schedule’s </w:t>
      </w:r>
      <w:r w:rsidRPr="00703EBD">
        <w:rPr>
          <w:bCs/>
        </w:rPr>
        <w:t>hourly percentage contribution</w:t>
      </w:r>
      <w:r w:rsidR="00703EBD" w:rsidRPr="00703EBD">
        <w:rPr>
          <w:bCs/>
        </w:rPr>
        <w:t>s (adjusted for line losses) were multiplied</w:t>
      </w:r>
      <w:r w:rsidRPr="00703EBD">
        <w:rPr>
          <w:bCs/>
        </w:rPr>
        <w:t xml:space="preserve"> by the hourly generation investment cost for each hour of the year.</w:t>
      </w:r>
      <w:r w:rsidRPr="00703EBD">
        <w:rPr>
          <w:rStyle w:val="FootnoteReference"/>
          <w:bCs/>
        </w:rPr>
        <w:footnoteReference w:id="17"/>
      </w:r>
      <w:r w:rsidRPr="00703EBD">
        <w:rPr>
          <w:bCs/>
        </w:rPr>
        <w:t xml:space="preserve"> </w:t>
      </w:r>
      <w:r w:rsidRPr="00703EBD">
        <w:rPr>
          <w:b/>
          <w:bCs/>
        </w:rPr>
        <w:t xml:space="preserve"> </w:t>
      </w:r>
    </w:p>
    <w:p w:rsidR="00871F22" w:rsidRDefault="00871F22" w:rsidP="003E1720">
      <w:pPr>
        <w:spacing w:before="480" w:line="480" w:lineRule="auto"/>
        <w:ind w:left="720" w:hanging="720"/>
        <w:jc w:val="both"/>
        <w:rPr>
          <w:b/>
          <w:bCs/>
        </w:rPr>
      </w:pPr>
      <w:r>
        <w:rPr>
          <w:b/>
          <w:bCs/>
        </w:rPr>
        <w:t>Q.</w:t>
      </w:r>
      <w:r>
        <w:rPr>
          <w:b/>
          <w:bCs/>
        </w:rPr>
        <w:tab/>
        <w:t>PLEASE PROVIDE A SUMMARY OF RESULTS OBTAINED UTILIZING THE PROBABILITY OF DISPATCH METHOD.</w:t>
      </w:r>
    </w:p>
    <w:p w:rsidR="00CA690E" w:rsidRDefault="00871F22" w:rsidP="00CA690E">
      <w:pPr>
        <w:spacing w:line="480" w:lineRule="auto"/>
        <w:ind w:left="720" w:hanging="720"/>
        <w:jc w:val="both"/>
        <w:rPr>
          <w:bCs/>
        </w:rPr>
      </w:pPr>
      <w:r>
        <w:rPr>
          <w:bCs/>
        </w:rPr>
        <w:t>A.</w:t>
      </w:r>
      <w:r>
        <w:rPr>
          <w:bCs/>
        </w:rPr>
        <w:tab/>
        <w:t>The following table provides a comparison of each rate schedule’s ROR and indexed ROR at current rates with and without Vogtle 3:</w:t>
      </w:r>
      <w:r w:rsidR="00CA690E">
        <w:rPr>
          <w:bCs/>
        </w:rPr>
        <w:br w:type="page"/>
      </w:r>
    </w:p>
    <w:p w:rsidR="00020999" w:rsidRDefault="00020999" w:rsidP="00CA690E">
      <w:pPr>
        <w:suppressLineNumbers/>
        <w:spacing w:line="480" w:lineRule="auto"/>
        <w:rPr>
          <w:bCs/>
        </w:rPr>
        <w:sectPr w:rsidR="00020999" w:rsidSect="008116F8">
          <w:pgSz w:w="12240" w:h="15840" w:code="1"/>
          <w:pgMar w:top="1440" w:right="1440" w:bottom="1440" w:left="1440" w:header="720" w:footer="720" w:gutter="0"/>
          <w:lnNumType w:countBy="1"/>
          <w:cols w:space="720"/>
          <w:docGrid w:linePitch="360"/>
        </w:sectPr>
      </w:pPr>
    </w:p>
    <w:p w:rsidR="00000251" w:rsidRDefault="00051DEC" w:rsidP="00051DEC">
      <w:pPr>
        <w:suppressLineNumbers/>
        <w:spacing w:before="360" w:line="480" w:lineRule="auto"/>
        <w:ind w:left="270"/>
        <w:jc w:val="center"/>
        <w:rPr>
          <w:bCs/>
        </w:rPr>
      </w:pPr>
      <w:r w:rsidRPr="00051DEC">
        <w:rPr>
          <w:noProof/>
        </w:rPr>
        <w:lastRenderedPageBreak/>
        <w:drawing>
          <wp:inline distT="0" distB="0" distL="0" distR="0" wp14:anchorId="1EA9E7DB" wp14:editId="77308CA7">
            <wp:extent cx="5943600" cy="5804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5804535"/>
                    </a:xfrm>
                    <a:prstGeom prst="rect">
                      <a:avLst/>
                    </a:prstGeom>
                    <a:noFill/>
                    <a:ln>
                      <a:noFill/>
                    </a:ln>
                  </pic:spPr>
                </pic:pic>
              </a:graphicData>
            </a:graphic>
          </wp:inline>
        </w:drawing>
      </w:r>
    </w:p>
    <w:p w:rsidR="00871F22" w:rsidRPr="00035BEF" w:rsidRDefault="00871F22" w:rsidP="00020999">
      <w:pPr>
        <w:spacing w:before="360" w:line="480" w:lineRule="auto"/>
        <w:ind w:left="720"/>
        <w:jc w:val="both"/>
        <w:rPr>
          <w:bCs/>
        </w:rPr>
      </w:pPr>
      <w:r w:rsidRPr="00703EBD">
        <w:rPr>
          <w:bCs/>
        </w:rPr>
        <w:t xml:space="preserve">A summary of </w:t>
      </w:r>
      <w:r w:rsidR="00703EBD" w:rsidRPr="00703EBD">
        <w:rPr>
          <w:bCs/>
        </w:rPr>
        <w:t xml:space="preserve">the </w:t>
      </w:r>
      <w:r w:rsidRPr="00703EBD">
        <w:rPr>
          <w:bCs/>
        </w:rPr>
        <w:t xml:space="preserve">Probability of Dispatch method </w:t>
      </w:r>
      <w:r w:rsidR="00703EBD" w:rsidRPr="00703EBD">
        <w:rPr>
          <w:bCs/>
        </w:rPr>
        <w:t xml:space="preserve">results </w:t>
      </w:r>
      <w:r w:rsidR="001372CC">
        <w:rPr>
          <w:bCs/>
        </w:rPr>
        <w:t xml:space="preserve">with and without Vogtle </w:t>
      </w:r>
      <w:r w:rsidRPr="00703EBD">
        <w:rPr>
          <w:bCs/>
        </w:rPr>
        <w:t xml:space="preserve">is provided in </w:t>
      </w:r>
      <w:r w:rsidR="00703EBD" w:rsidRPr="00703EBD">
        <w:rPr>
          <w:bCs/>
        </w:rPr>
        <w:t>Staff Exhibit __ (BDW-</w:t>
      </w:r>
      <w:r w:rsidR="00703EBD">
        <w:rPr>
          <w:bCs/>
        </w:rPr>
        <w:t>7</w:t>
      </w:r>
      <w:r w:rsidR="00703EBD" w:rsidRPr="00703EBD">
        <w:rPr>
          <w:bCs/>
        </w:rPr>
        <w:t>) and Staff Exhibit __ (BDW-</w:t>
      </w:r>
      <w:r w:rsidR="00703EBD">
        <w:rPr>
          <w:bCs/>
        </w:rPr>
        <w:t>8</w:t>
      </w:r>
      <w:r w:rsidR="00703EBD" w:rsidRPr="00703EBD">
        <w:rPr>
          <w:bCs/>
        </w:rPr>
        <w:t>)</w:t>
      </w:r>
      <w:r w:rsidR="001372CC">
        <w:rPr>
          <w:bCs/>
        </w:rPr>
        <w:t>, respectively</w:t>
      </w:r>
      <w:r w:rsidRPr="00703EBD">
        <w:rPr>
          <w:bCs/>
        </w:rPr>
        <w:t xml:space="preserve">. </w:t>
      </w:r>
    </w:p>
    <w:p w:rsidR="00871F22" w:rsidRPr="00E13B06" w:rsidRDefault="00871F22" w:rsidP="00035BEF">
      <w:pPr>
        <w:spacing w:before="480" w:line="480" w:lineRule="auto"/>
        <w:ind w:left="720" w:hanging="720"/>
        <w:jc w:val="both"/>
        <w:rPr>
          <w:b/>
        </w:rPr>
      </w:pPr>
      <w:r w:rsidRPr="00E13B06">
        <w:rPr>
          <w:b/>
        </w:rPr>
        <w:lastRenderedPageBreak/>
        <w:t>Q.</w:t>
      </w:r>
      <w:r w:rsidRPr="00E13B06">
        <w:rPr>
          <w:b/>
        </w:rPr>
        <w:tab/>
        <w:t xml:space="preserve">EARLIER IN </w:t>
      </w:r>
      <w:r w:rsidR="00F97843">
        <w:rPr>
          <w:b/>
        </w:rPr>
        <w:t>THIS</w:t>
      </w:r>
      <w:r w:rsidRPr="00E13B06">
        <w:rPr>
          <w:b/>
        </w:rPr>
        <w:t xml:space="preserve"> TESTIMONY, YOU INDICATED THAT THE </w:t>
      </w:r>
      <w:r w:rsidR="0019021C">
        <w:rPr>
          <w:b/>
        </w:rPr>
        <w:t>BIP</w:t>
      </w:r>
      <w:r w:rsidRPr="00E13B06">
        <w:rPr>
          <w:b/>
        </w:rPr>
        <w:t xml:space="preserve"> AND PROBABILITY OF DISPATCH METHODS MAY NOT PROPERLY RECOGNIZE CLASS VARIANCES IN VARIABLE </w:t>
      </w:r>
      <w:r>
        <w:rPr>
          <w:b/>
        </w:rPr>
        <w:t xml:space="preserve">FUEL </w:t>
      </w:r>
      <w:r w:rsidRPr="00E13B06">
        <w:rPr>
          <w:b/>
        </w:rPr>
        <w:t>COSTS.  HA</w:t>
      </w:r>
      <w:r w:rsidR="00F97843">
        <w:rPr>
          <w:b/>
        </w:rPr>
        <w:t>S STAFF</w:t>
      </w:r>
      <w:r w:rsidRPr="00E13B06">
        <w:rPr>
          <w:b/>
        </w:rPr>
        <w:t xml:space="preserve"> EXAMINED IF THERE ARE MATERIAL DIFFERENCES IN CLASS FUEL COSTS WHEN ANALYZED ON AN HOURLY (TIME DIFFERENTIATED) BASIS?</w:t>
      </w:r>
    </w:p>
    <w:p w:rsidR="00CB0F8F" w:rsidRDefault="00871F22" w:rsidP="009142E1">
      <w:pPr>
        <w:spacing w:line="480" w:lineRule="auto"/>
        <w:ind w:left="720" w:hanging="720"/>
        <w:jc w:val="both"/>
      </w:pPr>
      <w:r w:rsidRPr="00E13B06">
        <w:t>A.</w:t>
      </w:r>
      <w:r w:rsidRPr="00E13B06">
        <w:tab/>
        <w:t>Yes. As discussed earlier, the Compan</w:t>
      </w:r>
      <w:r>
        <w:t>y</w:t>
      </w:r>
      <w:r w:rsidRPr="00E13B06">
        <w:t xml:space="preserve"> provided each generation plant’s</w:t>
      </w:r>
      <w:r w:rsidRPr="00E13B06">
        <w:rPr>
          <w:b/>
        </w:rPr>
        <w:t xml:space="preserve"> </w:t>
      </w:r>
      <w:r w:rsidRPr="00E13B06">
        <w:t>hourly output</w:t>
      </w:r>
      <w:r>
        <w:t xml:space="preserve"> for the forecasted test year</w:t>
      </w:r>
      <w:r w:rsidRPr="00E13B06">
        <w:t xml:space="preserve">.  In addition, in </w:t>
      </w:r>
      <w:r>
        <w:t xml:space="preserve">Confidential </w:t>
      </w:r>
      <w:r w:rsidRPr="00E13B06">
        <w:t xml:space="preserve">response to </w:t>
      </w:r>
      <w:r w:rsidRPr="00837A47">
        <w:t>STF-TAI-</w:t>
      </w:r>
      <w:r>
        <w:t>1-14</w:t>
      </w:r>
      <w:r w:rsidRPr="00837A47">
        <w:t>,</w:t>
      </w:r>
      <w:r w:rsidRPr="00E13B06">
        <w:t xml:space="preserve"> the Compan</w:t>
      </w:r>
      <w:r>
        <w:t>y</w:t>
      </w:r>
      <w:r w:rsidRPr="00E13B06">
        <w:t xml:space="preserve"> provided monthly fuel costs (per kWh) for each plant.  With this data,</w:t>
      </w:r>
      <w:r w:rsidRPr="00E13B06">
        <w:rPr>
          <w:b/>
        </w:rPr>
        <w:t xml:space="preserve"> </w:t>
      </w:r>
      <w:r w:rsidRPr="00E13B06">
        <w:t>hourly fuel costs by individual generating plant based on each unit’s hourly output</w:t>
      </w:r>
      <w:r w:rsidR="00703EBD">
        <w:t xml:space="preserve"> was calculated</w:t>
      </w:r>
      <w:r w:rsidRPr="00E13B06">
        <w:t xml:space="preserve">. </w:t>
      </w:r>
      <w:r w:rsidRPr="00E13B06">
        <w:rPr>
          <w:b/>
        </w:rPr>
        <w:t xml:space="preserve"> </w:t>
      </w:r>
      <w:r w:rsidR="00703EBD">
        <w:rPr>
          <w:bCs/>
        </w:rPr>
        <w:t xml:space="preserve">These </w:t>
      </w:r>
      <w:r w:rsidRPr="00E13B06">
        <w:t xml:space="preserve">hourly fuel costs to individual rate </w:t>
      </w:r>
      <w:r w:rsidR="00703EBD">
        <w:t xml:space="preserve">schedules were then assigned </w:t>
      </w:r>
      <w:r w:rsidRPr="00E13B06">
        <w:t xml:space="preserve">on an hour-by-hour basis based on </w:t>
      </w:r>
      <w:r w:rsidR="00703EBD">
        <w:t>individual rate schedule h</w:t>
      </w:r>
      <w:r w:rsidRPr="00E13B06">
        <w:t>ourly loads previously discussed.</w:t>
      </w:r>
      <w:r w:rsidRPr="00E13B06">
        <w:rPr>
          <w:rStyle w:val="FootnoteReference"/>
        </w:rPr>
        <w:footnoteReference w:id="18"/>
      </w:r>
      <w:r w:rsidRPr="00E13B06">
        <w:t xml:space="preserve">  The result</w:t>
      </w:r>
      <w:r w:rsidR="00703EBD">
        <w:t>s</w:t>
      </w:r>
      <w:r w:rsidRPr="00E13B06">
        <w:t xml:space="preserve"> of this analysis yielded similar hourly fuel costs for all classes.  Because hourly fuel costs were assigned to each </w:t>
      </w:r>
      <w:r w:rsidR="00703EBD">
        <w:t xml:space="preserve">rate schedule </w:t>
      </w:r>
      <w:r w:rsidRPr="00E13B06">
        <w:t>based on hourly loads at generation (in order to reflect line losses),</w:t>
      </w:r>
      <w:r w:rsidRPr="00E13B06">
        <w:rPr>
          <w:b/>
        </w:rPr>
        <w:t xml:space="preserve"> </w:t>
      </w:r>
      <w:r w:rsidRPr="00E13B06">
        <w:t xml:space="preserve">each </w:t>
      </w:r>
      <w:r w:rsidR="00703EBD">
        <w:t xml:space="preserve">rate schedule’s </w:t>
      </w:r>
      <w:r w:rsidRPr="00E13B06">
        <w:t xml:space="preserve">average fuel cost </w:t>
      </w:r>
      <w:r>
        <w:t>per k</w:t>
      </w:r>
      <w:r w:rsidRPr="00E13B06">
        <w:t>Wh at the meter</w:t>
      </w:r>
      <w:r w:rsidR="00703EBD">
        <w:t xml:space="preserve"> was then calculated</w:t>
      </w:r>
      <w:r w:rsidRPr="00E13B06">
        <w:t>.  The table below provides each class</w:t>
      </w:r>
      <w:r>
        <w:t>’s</w:t>
      </w:r>
      <w:r w:rsidRPr="00E13B06">
        <w:t xml:space="preserve"> time differentiated fuel cost (per </w:t>
      </w:r>
      <w:r>
        <w:t>k</w:t>
      </w:r>
      <w:r w:rsidRPr="00E13B06">
        <w:t xml:space="preserve">Wh) at the meter.  </w:t>
      </w:r>
    </w:p>
    <w:p w:rsidR="00E11877" w:rsidRDefault="00F6115D" w:rsidP="00A72BBE">
      <w:pPr>
        <w:suppressLineNumbers/>
        <w:spacing w:line="480" w:lineRule="auto"/>
        <w:ind w:left="720" w:hanging="720"/>
        <w:jc w:val="both"/>
        <w:rPr>
          <w:noProof/>
        </w:rPr>
      </w:pPr>
      <w:r>
        <w:rPr>
          <w:noProof/>
        </w:rPr>
        <w:lastRenderedPageBreak/>
        <mc:AlternateContent>
          <mc:Choice Requires="wpc">
            <w:drawing>
              <wp:inline distT="0" distB="0" distL="0" distR="0" wp14:anchorId="1C90E98B" wp14:editId="7E5C2B2C">
                <wp:extent cx="6247765" cy="2966720"/>
                <wp:effectExtent l="0" t="0" r="0" b="0"/>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8" name="Rectangle 5"/>
                        <wps:cNvSpPr>
                          <a:spLocks noChangeArrowheads="1"/>
                        </wps:cNvSpPr>
                        <wps:spPr bwMode="auto">
                          <a:xfrm>
                            <a:off x="304165" y="571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49" name="Rectangle 8"/>
                        <wps:cNvSpPr>
                          <a:spLocks noChangeArrowheads="1"/>
                        </wps:cNvSpPr>
                        <wps:spPr bwMode="auto">
                          <a:xfrm>
                            <a:off x="2962275" y="140335"/>
                            <a:ext cx="605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TABLE 5</w:t>
                              </w:r>
                            </w:p>
                          </w:txbxContent>
                        </wps:txbx>
                        <wps:bodyPr rot="0" vert="horz" wrap="none" lIns="0" tIns="0" rIns="0" bIns="0" anchor="t" anchorCtr="0">
                          <a:spAutoFit/>
                        </wps:bodyPr>
                      </wps:wsp>
                      <wps:wsp>
                        <wps:cNvPr id="150" name="Rectangle 9"/>
                        <wps:cNvSpPr>
                          <a:spLocks noChangeArrowheads="1"/>
                        </wps:cNvSpPr>
                        <wps:spPr bwMode="auto">
                          <a:xfrm>
                            <a:off x="3566160" y="14033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51" name="Rectangle 10"/>
                        <wps:cNvSpPr>
                          <a:spLocks noChangeArrowheads="1"/>
                        </wps:cNvSpPr>
                        <wps:spPr bwMode="auto">
                          <a:xfrm>
                            <a:off x="2316480" y="315595"/>
                            <a:ext cx="1524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Time Differentiated Fuel</w:t>
                              </w:r>
                            </w:p>
                          </w:txbxContent>
                        </wps:txbx>
                        <wps:bodyPr rot="0" vert="horz" wrap="none" lIns="0" tIns="0" rIns="0" bIns="0" anchor="t" anchorCtr="0">
                          <a:spAutoFit/>
                        </wps:bodyPr>
                      </wps:wsp>
                      <wps:wsp>
                        <wps:cNvPr id="152" name="Rectangle 11"/>
                        <wps:cNvSpPr>
                          <a:spLocks noChangeArrowheads="1"/>
                        </wps:cNvSpPr>
                        <wps:spPr bwMode="auto">
                          <a:xfrm>
                            <a:off x="3837305" y="31559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53" name="Rectangle 12"/>
                        <wps:cNvSpPr>
                          <a:spLocks noChangeArrowheads="1"/>
                        </wps:cNvSpPr>
                        <wps:spPr bwMode="auto">
                          <a:xfrm>
                            <a:off x="3874770" y="315595"/>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Costs</w:t>
                              </w:r>
                            </w:p>
                          </w:txbxContent>
                        </wps:txbx>
                        <wps:bodyPr rot="0" vert="horz" wrap="none" lIns="0" tIns="0" rIns="0" bIns="0" anchor="t" anchorCtr="0">
                          <a:spAutoFit/>
                        </wps:bodyPr>
                      </wps:wsp>
                      <wps:wsp>
                        <wps:cNvPr id="154" name="Rectangle 13"/>
                        <wps:cNvSpPr>
                          <a:spLocks noChangeArrowheads="1"/>
                        </wps:cNvSpPr>
                        <wps:spPr bwMode="auto">
                          <a:xfrm>
                            <a:off x="4212590" y="31559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55" name="Rectangle 14"/>
                        <wps:cNvSpPr>
                          <a:spLocks noChangeArrowheads="1"/>
                        </wps:cNvSpPr>
                        <wps:spPr bwMode="auto">
                          <a:xfrm>
                            <a:off x="2703830" y="490855"/>
                            <a:ext cx="203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Per</w:t>
                              </w:r>
                            </w:p>
                          </w:txbxContent>
                        </wps:txbx>
                        <wps:bodyPr rot="0" vert="horz" wrap="none" lIns="0" tIns="0" rIns="0" bIns="0" anchor="t" anchorCtr="0">
                          <a:spAutoFit/>
                        </wps:bodyPr>
                      </wps:wsp>
                      <wps:wsp>
                        <wps:cNvPr id="156" name="Rectangle 15"/>
                        <wps:cNvSpPr>
                          <a:spLocks noChangeArrowheads="1"/>
                        </wps:cNvSpPr>
                        <wps:spPr bwMode="auto">
                          <a:xfrm>
                            <a:off x="2906395" y="49085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57" name="Rectangle 16"/>
                        <wps:cNvSpPr>
                          <a:spLocks noChangeArrowheads="1"/>
                        </wps:cNvSpPr>
                        <wps:spPr bwMode="auto">
                          <a:xfrm>
                            <a:off x="2944495" y="490855"/>
                            <a:ext cx="296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kWh</w:t>
                              </w:r>
                            </w:p>
                          </w:txbxContent>
                        </wps:txbx>
                        <wps:bodyPr rot="0" vert="horz" wrap="none" lIns="0" tIns="0" rIns="0" bIns="0" anchor="t" anchorCtr="0">
                          <a:spAutoFit/>
                        </wps:bodyPr>
                      </wps:wsp>
                      <wps:wsp>
                        <wps:cNvPr id="158" name="Rectangle 17"/>
                        <wps:cNvSpPr>
                          <a:spLocks noChangeArrowheads="1"/>
                        </wps:cNvSpPr>
                        <wps:spPr bwMode="auto">
                          <a:xfrm>
                            <a:off x="3272790" y="49085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59" name="Rectangle 18"/>
                        <wps:cNvSpPr>
                          <a:spLocks noChangeArrowheads="1"/>
                        </wps:cNvSpPr>
                        <wps:spPr bwMode="auto">
                          <a:xfrm>
                            <a:off x="3310890" y="490855"/>
                            <a:ext cx="512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at Meter</w:t>
                              </w:r>
                            </w:p>
                          </w:txbxContent>
                        </wps:txbx>
                        <wps:bodyPr rot="0" vert="horz" wrap="none" lIns="0" tIns="0" rIns="0" bIns="0" anchor="t" anchorCtr="0">
                          <a:spAutoFit/>
                        </wps:bodyPr>
                      </wps:wsp>
                      <wps:wsp>
                        <wps:cNvPr id="160" name="Rectangle 19"/>
                        <wps:cNvSpPr>
                          <a:spLocks noChangeArrowheads="1"/>
                        </wps:cNvSpPr>
                        <wps:spPr bwMode="auto">
                          <a:xfrm>
                            <a:off x="3823335" y="49085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61" name="Rectangle 20"/>
                        <wps:cNvSpPr>
                          <a:spLocks noChangeArrowheads="1"/>
                        </wps:cNvSpPr>
                        <wps:spPr bwMode="auto">
                          <a:xfrm>
                            <a:off x="2037715" y="72771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62" name="Rectangle 21"/>
                        <wps:cNvSpPr>
                          <a:spLocks noChangeArrowheads="1"/>
                        </wps:cNvSpPr>
                        <wps:spPr bwMode="auto">
                          <a:xfrm>
                            <a:off x="2860675" y="72771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63" name="Rectangle 22"/>
                        <wps:cNvSpPr>
                          <a:spLocks noChangeArrowheads="1"/>
                        </wps:cNvSpPr>
                        <wps:spPr bwMode="auto">
                          <a:xfrm>
                            <a:off x="3239135" y="67246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Fuel</w:t>
                              </w:r>
                            </w:p>
                          </w:txbxContent>
                        </wps:txbx>
                        <wps:bodyPr rot="0" vert="horz" wrap="none" lIns="0" tIns="0" rIns="0" bIns="0" anchor="t" anchorCtr="0">
                          <a:spAutoFit/>
                        </wps:bodyPr>
                      </wps:wsp>
                      <wps:wsp>
                        <wps:cNvPr id="164" name="Rectangle 23"/>
                        <wps:cNvSpPr>
                          <a:spLocks noChangeArrowheads="1"/>
                        </wps:cNvSpPr>
                        <wps:spPr bwMode="auto">
                          <a:xfrm>
                            <a:off x="3510280" y="6724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65" name="Rectangle 24"/>
                        <wps:cNvSpPr>
                          <a:spLocks noChangeArrowheads="1"/>
                        </wps:cNvSpPr>
                        <wps:spPr bwMode="auto">
                          <a:xfrm>
                            <a:off x="3907155" y="7061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66" name="Rectangle 25"/>
                        <wps:cNvSpPr>
                          <a:spLocks noChangeArrowheads="1"/>
                        </wps:cNvSpPr>
                        <wps:spPr bwMode="auto">
                          <a:xfrm>
                            <a:off x="4309745" y="672465"/>
                            <a:ext cx="622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Percent of</w:t>
                              </w:r>
                            </w:p>
                          </w:txbxContent>
                        </wps:txbx>
                        <wps:bodyPr rot="0" vert="horz" wrap="none" lIns="0" tIns="0" rIns="0" bIns="0" anchor="t" anchorCtr="0">
                          <a:spAutoFit/>
                        </wps:bodyPr>
                      </wps:wsp>
                      <wps:wsp>
                        <wps:cNvPr id="167" name="Rectangle 26"/>
                        <wps:cNvSpPr>
                          <a:spLocks noChangeArrowheads="1"/>
                        </wps:cNvSpPr>
                        <wps:spPr bwMode="auto">
                          <a:xfrm>
                            <a:off x="4930775" y="6724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68" name="Rectangle 27"/>
                        <wps:cNvSpPr>
                          <a:spLocks noChangeArrowheads="1"/>
                        </wps:cNvSpPr>
                        <wps:spPr bwMode="auto">
                          <a:xfrm>
                            <a:off x="1297305" y="660400"/>
                            <a:ext cx="14827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28"/>
                        <wps:cNvSpPr>
                          <a:spLocks noChangeArrowheads="1"/>
                        </wps:cNvSpPr>
                        <wps:spPr bwMode="auto">
                          <a:xfrm>
                            <a:off x="2780030" y="66040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29"/>
                        <wps:cNvSpPr>
                          <a:spLocks noChangeArrowheads="1"/>
                        </wps:cNvSpPr>
                        <wps:spPr bwMode="auto">
                          <a:xfrm>
                            <a:off x="2786380" y="660400"/>
                            <a:ext cx="156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30"/>
                        <wps:cNvSpPr>
                          <a:spLocks noChangeArrowheads="1"/>
                        </wps:cNvSpPr>
                        <wps:spPr bwMode="auto">
                          <a:xfrm>
                            <a:off x="2942590" y="66040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1"/>
                        <wps:cNvSpPr>
                          <a:spLocks noChangeArrowheads="1"/>
                        </wps:cNvSpPr>
                        <wps:spPr bwMode="auto">
                          <a:xfrm>
                            <a:off x="2948940" y="660400"/>
                            <a:ext cx="8578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32"/>
                        <wps:cNvSpPr>
                          <a:spLocks noChangeArrowheads="1"/>
                        </wps:cNvSpPr>
                        <wps:spPr bwMode="auto">
                          <a:xfrm>
                            <a:off x="3806825" y="66040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33"/>
                        <wps:cNvSpPr>
                          <a:spLocks noChangeArrowheads="1"/>
                        </wps:cNvSpPr>
                        <wps:spPr bwMode="auto">
                          <a:xfrm>
                            <a:off x="3812540" y="660400"/>
                            <a:ext cx="194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34"/>
                        <wps:cNvSpPr>
                          <a:spLocks noChangeArrowheads="1"/>
                        </wps:cNvSpPr>
                        <wps:spPr bwMode="auto">
                          <a:xfrm>
                            <a:off x="4007485" y="66040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35"/>
                        <wps:cNvSpPr>
                          <a:spLocks noChangeArrowheads="1"/>
                        </wps:cNvSpPr>
                        <wps:spPr bwMode="auto">
                          <a:xfrm>
                            <a:off x="4013200" y="660400"/>
                            <a:ext cx="1219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36"/>
                        <wps:cNvSpPr>
                          <a:spLocks noChangeArrowheads="1"/>
                        </wps:cNvSpPr>
                        <wps:spPr bwMode="auto">
                          <a:xfrm>
                            <a:off x="2037715" y="8813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78" name="Rectangle 37"/>
                        <wps:cNvSpPr>
                          <a:spLocks noChangeArrowheads="1"/>
                        </wps:cNvSpPr>
                        <wps:spPr bwMode="auto">
                          <a:xfrm>
                            <a:off x="2860675" y="90297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79" name="Rectangle 38"/>
                        <wps:cNvSpPr>
                          <a:spLocks noChangeArrowheads="1"/>
                        </wps:cNvSpPr>
                        <wps:spPr bwMode="auto">
                          <a:xfrm>
                            <a:off x="3114675" y="848360"/>
                            <a:ext cx="521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Cost Per</w:t>
                              </w:r>
                            </w:p>
                          </w:txbxContent>
                        </wps:txbx>
                        <wps:bodyPr rot="0" vert="horz" wrap="none" lIns="0" tIns="0" rIns="0" bIns="0" anchor="t" anchorCtr="0">
                          <a:spAutoFit/>
                        </wps:bodyPr>
                      </wps:wsp>
                      <wps:wsp>
                        <wps:cNvPr id="180" name="Rectangle 39"/>
                        <wps:cNvSpPr>
                          <a:spLocks noChangeArrowheads="1"/>
                        </wps:cNvSpPr>
                        <wps:spPr bwMode="auto">
                          <a:xfrm>
                            <a:off x="3634740" y="84836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1" name="Rectangle 40"/>
                        <wps:cNvSpPr>
                          <a:spLocks noChangeArrowheads="1"/>
                        </wps:cNvSpPr>
                        <wps:spPr bwMode="auto">
                          <a:xfrm>
                            <a:off x="3907155" y="8813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2" name="Rectangle 41"/>
                        <wps:cNvSpPr>
                          <a:spLocks noChangeArrowheads="1"/>
                        </wps:cNvSpPr>
                        <wps:spPr bwMode="auto">
                          <a:xfrm>
                            <a:off x="4258310" y="848360"/>
                            <a:ext cx="723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Total Retail</w:t>
                              </w:r>
                            </w:p>
                          </w:txbxContent>
                        </wps:txbx>
                        <wps:bodyPr rot="0" vert="horz" wrap="none" lIns="0" tIns="0" rIns="0" bIns="0" anchor="t" anchorCtr="0">
                          <a:spAutoFit/>
                        </wps:bodyPr>
                      </wps:wsp>
                      <wps:wsp>
                        <wps:cNvPr id="183" name="Rectangle 42"/>
                        <wps:cNvSpPr>
                          <a:spLocks noChangeArrowheads="1"/>
                        </wps:cNvSpPr>
                        <wps:spPr bwMode="auto">
                          <a:xfrm>
                            <a:off x="4980940" y="84836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4" name="Rectangle 43"/>
                        <wps:cNvSpPr>
                          <a:spLocks noChangeArrowheads="1"/>
                        </wps:cNvSpPr>
                        <wps:spPr bwMode="auto">
                          <a:xfrm>
                            <a:off x="1873885" y="1023620"/>
                            <a:ext cx="330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Class</w:t>
                              </w:r>
                            </w:p>
                          </w:txbxContent>
                        </wps:txbx>
                        <wps:bodyPr rot="0" vert="horz" wrap="none" lIns="0" tIns="0" rIns="0" bIns="0" anchor="t" anchorCtr="0">
                          <a:spAutoFit/>
                        </wps:bodyPr>
                      </wps:wsp>
                      <wps:wsp>
                        <wps:cNvPr id="185" name="Rectangle 44"/>
                        <wps:cNvSpPr>
                          <a:spLocks noChangeArrowheads="1"/>
                        </wps:cNvSpPr>
                        <wps:spPr bwMode="auto">
                          <a:xfrm>
                            <a:off x="2203450" y="10236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6" name="Rectangle 45"/>
                        <wps:cNvSpPr>
                          <a:spLocks noChangeArrowheads="1"/>
                        </wps:cNvSpPr>
                        <wps:spPr bwMode="auto">
                          <a:xfrm>
                            <a:off x="2860675" y="105727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7" name="Rectangle 46"/>
                        <wps:cNvSpPr>
                          <a:spLocks noChangeArrowheads="1"/>
                        </wps:cNvSpPr>
                        <wps:spPr bwMode="auto">
                          <a:xfrm>
                            <a:off x="3227070" y="1023620"/>
                            <a:ext cx="296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kWh</w:t>
                              </w:r>
                            </w:p>
                          </w:txbxContent>
                        </wps:txbx>
                        <wps:bodyPr rot="0" vert="horz" wrap="none" lIns="0" tIns="0" rIns="0" bIns="0" anchor="t" anchorCtr="0">
                          <a:spAutoFit/>
                        </wps:bodyPr>
                      </wps:wsp>
                      <wps:wsp>
                        <wps:cNvPr id="188" name="Rectangle 47"/>
                        <wps:cNvSpPr>
                          <a:spLocks noChangeArrowheads="1"/>
                        </wps:cNvSpPr>
                        <wps:spPr bwMode="auto">
                          <a:xfrm>
                            <a:off x="3522345" y="10236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89" name="Rectangle 48"/>
                        <wps:cNvSpPr>
                          <a:spLocks noChangeArrowheads="1"/>
                        </wps:cNvSpPr>
                        <wps:spPr bwMode="auto">
                          <a:xfrm>
                            <a:off x="3907155" y="105727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90" name="Rectangle 49"/>
                        <wps:cNvSpPr>
                          <a:spLocks noChangeArrowheads="1"/>
                        </wps:cNvSpPr>
                        <wps:spPr bwMode="auto">
                          <a:xfrm>
                            <a:off x="4197350" y="1023620"/>
                            <a:ext cx="512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Cost per</w:t>
                              </w:r>
                            </w:p>
                          </w:txbxContent>
                        </wps:txbx>
                        <wps:bodyPr rot="0" vert="horz" wrap="none" lIns="0" tIns="0" rIns="0" bIns="0" anchor="t" anchorCtr="0">
                          <a:spAutoFit/>
                        </wps:bodyPr>
                      </wps:wsp>
                      <wps:wsp>
                        <wps:cNvPr id="191" name="Rectangle 50"/>
                        <wps:cNvSpPr>
                          <a:spLocks noChangeArrowheads="1"/>
                        </wps:cNvSpPr>
                        <wps:spPr bwMode="auto">
                          <a:xfrm>
                            <a:off x="4708525" y="10236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92" name="Rectangle 51"/>
                        <wps:cNvSpPr>
                          <a:spLocks noChangeArrowheads="1"/>
                        </wps:cNvSpPr>
                        <wps:spPr bwMode="auto">
                          <a:xfrm>
                            <a:off x="4746625" y="102362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k</w:t>
                              </w:r>
                            </w:p>
                          </w:txbxContent>
                        </wps:txbx>
                        <wps:bodyPr rot="0" vert="horz" wrap="none" lIns="0" tIns="0" rIns="0" bIns="0" anchor="t" anchorCtr="0">
                          <a:spAutoFit/>
                        </wps:bodyPr>
                      </wps:wsp>
                      <wps:wsp>
                        <wps:cNvPr id="193" name="Rectangle 52"/>
                        <wps:cNvSpPr>
                          <a:spLocks noChangeArrowheads="1"/>
                        </wps:cNvSpPr>
                        <wps:spPr bwMode="auto">
                          <a:xfrm>
                            <a:off x="4822825" y="1023620"/>
                            <a:ext cx="220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Wh</w:t>
                              </w:r>
                            </w:p>
                          </w:txbxContent>
                        </wps:txbx>
                        <wps:bodyPr rot="0" vert="horz" wrap="none" lIns="0" tIns="0" rIns="0" bIns="0" anchor="t" anchorCtr="0">
                          <a:spAutoFit/>
                        </wps:bodyPr>
                      </wps:wsp>
                      <wps:wsp>
                        <wps:cNvPr id="194" name="Rectangle 53"/>
                        <wps:cNvSpPr>
                          <a:spLocks noChangeArrowheads="1"/>
                        </wps:cNvSpPr>
                        <wps:spPr bwMode="auto">
                          <a:xfrm>
                            <a:off x="5043170" y="10236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95" name="Rectangle 54"/>
                        <wps:cNvSpPr>
                          <a:spLocks noChangeArrowheads="1"/>
                        </wps:cNvSpPr>
                        <wps:spPr bwMode="auto">
                          <a:xfrm>
                            <a:off x="1365885" y="11239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196" name="Rectangle 55"/>
                        <wps:cNvSpPr>
                          <a:spLocks noChangeArrowheads="1"/>
                        </wps:cNvSpPr>
                        <wps:spPr bwMode="auto">
                          <a:xfrm>
                            <a:off x="2848610" y="114554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97" name="Rectangle 56"/>
                        <wps:cNvSpPr>
                          <a:spLocks noChangeArrowheads="1"/>
                        </wps:cNvSpPr>
                        <wps:spPr bwMode="auto">
                          <a:xfrm>
                            <a:off x="3011170" y="114554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98" name="Rectangle 57"/>
                        <wps:cNvSpPr>
                          <a:spLocks noChangeArrowheads="1"/>
                        </wps:cNvSpPr>
                        <wps:spPr bwMode="auto">
                          <a:xfrm>
                            <a:off x="3874770" y="114554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199" name="Rectangle 58"/>
                        <wps:cNvSpPr>
                          <a:spLocks noChangeArrowheads="1"/>
                        </wps:cNvSpPr>
                        <wps:spPr bwMode="auto">
                          <a:xfrm>
                            <a:off x="4076065" y="1145540"/>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sz w:val="20"/>
                                  <w:szCs w:val="20"/>
                                </w:rPr>
                                <w:t xml:space="preserve"> </w:t>
                              </w:r>
                            </w:p>
                          </w:txbxContent>
                        </wps:txbx>
                        <wps:bodyPr rot="0" vert="horz" wrap="none" lIns="0" tIns="0" rIns="0" bIns="0" anchor="t" anchorCtr="0">
                          <a:spAutoFit/>
                        </wps:bodyPr>
                      </wps:wsp>
                      <wps:wsp>
                        <wps:cNvPr id="200" name="Rectangle 59"/>
                        <wps:cNvSpPr>
                          <a:spLocks noChangeArrowheads="1"/>
                        </wps:cNvSpPr>
                        <wps:spPr bwMode="auto">
                          <a:xfrm>
                            <a:off x="1297305" y="1193165"/>
                            <a:ext cx="1482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60"/>
                        <wps:cNvSpPr>
                          <a:spLocks noChangeArrowheads="1"/>
                        </wps:cNvSpPr>
                        <wps:spPr bwMode="auto">
                          <a:xfrm>
                            <a:off x="2942590" y="1193165"/>
                            <a:ext cx="8642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61"/>
                        <wps:cNvSpPr>
                          <a:spLocks noChangeArrowheads="1"/>
                        </wps:cNvSpPr>
                        <wps:spPr bwMode="auto">
                          <a:xfrm>
                            <a:off x="4007485" y="1193165"/>
                            <a:ext cx="12255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2"/>
                        <wps:cNvSpPr>
                          <a:spLocks noChangeArrowheads="1"/>
                        </wps:cNvSpPr>
                        <wps:spPr bwMode="auto">
                          <a:xfrm>
                            <a:off x="1365885" y="1266190"/>
                            <a:ext cx="584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Domestic</w:t>
                              </w:r>
                            </w:p>
                          </w:txbxContent>
                        </wps:txbx>
                        <wps:bodyPr rot="0" vert="horz" wrap="none" lIns="0" tIns="0" rIns="0" bIns="0" anchor="t" anchorCtr="0">
                          <a:spAutoFit/>
                        </wps:bodyPr>
                      </wps:wsp>
                      <wps:wsp>
                        <wps:cNvPr id="204" name="Rectangle 63"/>
                        <wps:cNvSpPr>
                          <a:spLocks noChangeArrowheads="1"/>
                        </wps:cNvSpPr>
                        <wps:spPr bwMode="auto">
                          <a:xfrm>
                            <a:off x="1948180" y="12661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05" name="Rectangle 64"/>
                        <wps:cNvSpPr>
                          <a:spLocks noChangeArrowheads="1"/>
                        </wps:cNvSpPr>
                        <wps:spPr bwMode="auto">
                          <a:xfrm>
                            <a:off x="2848610" y="129984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06" name="Rectangle 65"/>
                        <wps:cNvSpPr>
                          <a:spLocks noChangeArrowheads="1"/>
                        </wps:cNvSpPr>
                        <wps:spPr bwMode="auto">
                          <a:xfrm>
                            <a:off x="3168015" y="126619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$0.02093</w:t>
                              </w:r>
                            </w:p>
                          </w:txbxContent>
                        </wps:txbx>
                        <wps:bodyPr rot="0" vert="horz" wrap="none" lIns="0" tIns="0" rIns="0" bIns="0" anchor="t" anchorCtr="0">
                          <a:spAutoFit/>
                        </wps:bodyPr>
                      </wps:wsp>
                      <wps:wsp>
                        <wps:cNvPr id="207" name="Rectangle 66"/>
                        <wps:cNvSpPr>
                          <a:spLocks noChangeArrowheads="1"/>
                        </wps:cNvSpPr>
                        <wps:spPr bwMode="auto">
                          <a:xfrm>
                            <a:off x="3738245" y="12661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08" name="Rectangle 67"/>
                        <wps:cNvSpPr>
                          <a:spLocks noChangeArrowheads="1"/>
                        </wps:cNvSpPr>
                        <wps:spPr bwMode="auto">
                          <a:xfrm>
                            <a:off x="3938905" y="129984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09" name="Rectangle 68"/>
                        <wps:cNvSpPr>
                          <a:spLocks noChangeArrowheads="1"/>
                        </wps:cNvSpPr>
                        <wps:spPr bwMode="auto">
                          <a:xfrm>
                            <a:off x="4696460" y="1266190"/>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100.8%</w:t>
                              </w:r>
                            </w:p>
                          </w:txbxContent>
                        </wps:txbx>
                        <wps:bodyPr rot="0" vert="horz" wrap="none" lIns="0" tIns="0" rIns="0" bIns="0" anchor="t" anchorCtr="0">
                          <a:spAutoFit/>
                        </wps:bodyPr>
                      </wps:wsp>
                      <wps:wsp>
                        <wps:cNvPr id="210" name="Rectangle 69"/>
                        <wps:cNvSpPr>
                          <a:spLocks noChangeArrowheads="1"/>
                        </wps:cNvSpPr>
                        <wps:spPr bwMode="auto">
                          <a:xfrm>
                            <a:off x="5164455" y="12661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1" name="Rectangle 70"/>
                        <wps:cNvSpPr>
                          <a:spLocks noChangeArrowheads="1"/>
                        </wps:cNvSpPr>
                        <wps:spPr bwMode="auto">
                          <a:xfrm>
                            <a:off x="1365885" y="1441450"/>
                            <a:ext cx="935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Small Business</w:t>
                              </w:r>
                            </w:p>
                          </w:txbxContent>
                        </wps:txbx>
                        <wps:bodyPr rot="0" vert="horz" wrap="none" lIns="0" tIns="0" rIns="0" bIns="0" anchor="t" anchorCtr="0">
                          <a:spAutoFit/>
                        </wps:bodyPr>
                      </wps:wsp>
                      <wps:wsp>
                        <wps:cNvPr id="212" name="Rectangle 71"/>
                        <wps:cNvSpPr>
                          <a:spLocks noChangeArrowheads="1"/>
                        </wps:cNvSpPr>
                        <wps:spPr bwMode="auto">
                          <a:xfrm>
                            <a:off x="2299335" y="14414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3" name="Rectangle 72"/>
                        <wps:cNvSpPr>
                          <a:spLocks noChangeArrowheads="1"/>
                        </wps:cNvSpPr>
                        <wps:spPr bwMode="auto">
                          <a:xfrm>
                            <a:off x="2848610" y="14751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4" name="Rectangle 73"/>
                        <wps:cNvSpPr>
                          <a:spLocks noChangeArrowheads="1"/>
                        </wps:cNvSpPr>
                        <wps:spPr bwMode="auto">
                          <a:xfrm>
                            <a:off x="3168015" y="144145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$0.02074</w:t>
                              </w:r>
                            </w:p>
                          </w:txbxContent>
                        </wps:txbx>
                        <wps:bodyPr rot="0" vert="horz" wrap="none" lIns="0" tIns="0" rIns="0" bIns="0" anchor="t" anchorCtr="0">
                          <a:spAutoFit/>
                        </wps:bodyPr>
                      </wps:wsp>
                      <wps:wsp>
                        <wps:cNvPr id="215" name="Rectangle 74"/>
                        <wps:cNvSpPr>
                          <a:spLocks noChangeArrowheads="1"/>
                        </wps:cNvSpPr>
                        <wps:spPr bwMode="auto">
                          <a:xfrm>
                            <a:off x="3738245" y="14414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6" name="Rectangle 75"/>
                        <wps:cNvSpPr>
                          <a:spLocks noChangeArrowheads="1"/>
                        </wps:cNvSpPr>
                        <wps:spPr bwMode="auto">
                          <a:xfrm>
                            <a:off x="3938905" y="14751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7" name="Rectangle 76"/>
                        <wps:cNvSpPr>
                          <a:spLocks noChangeArrowheads="1"/>
                        </wps:cNvSpPr>
                        <wps:spPr bwMode="auto">
                          <a:xfrm>
                            <a:off x="4772660" y="144145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99.9%</w:t>
                              </w:r>
                            </w:p>
                          </w:txbxContent>
                        </wps:txbx>
                        <wps:bodyPr rot="0" vert="horz" wrap="none" lIns="0" tIns="0" rIns="0" bIns="0" anchor="t" anchorCtr="0">
                          <a:spAutoFit/>
                        </wps:bodyPr>
                      </wps:wsp>
                      <wps:wsp>
                        <wps:cNvPr id="218" name="Rectangle 77"/>
                        <wps:cNvSpPr>
                          <a:spLocks noChangeArrowheads="1"/>
                        </wps:cNvSpPr>
                        <wps:spPr bwMode="auto">
                          <a:xfrm>
                            <a:off x="5164455" y="144145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19" name="Rectangle 78"/>
                        <wps:cNvSpPr>
                          <a:spLocks noChangeArrowheads="1"/>
                        </wps:cNvSpPr>
                        <wps:spPr bwMode="auto">
                          <a:xfrm>
                            <a:off x="1365885" y="1616710"/>
                            <a:ext cx="10966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Medium Business</w:t>
                              </w:r>
                            </w:p>
                          </w:txbxContent>
                        </wps:txbx>
                        <wps:bodyPr rot="0" vert="horz" wrap="none" lIns="0" tIns="0" rIns="0" bIns="0" anchor="t" anchorCtr="0">
                          <a:spAutoFit/>
                        </wps:bodyPr>
                      </wps:wsp>
                      <wps:wsp>
                        <wps:cNvPr id="220" name="Rectangle 79"/>
                        <wps:cNvSpPr>
                          <a:spLocks noChangeArrowheads="1"/>
                        </wps:cNvSpPr>
                        <wps:spPr bwMode="auto">
                          <a:xfrm>
                            <a:off x="2460625" y="161671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1" name="Rectangle 80"/>
                        <wps:cNvSpPr>
                          <a:spLocks noChangeArrowheads="1"/>
                        </wps:cNvSpPr>
                        <wps:spPr bwMode="auto">
                          <a:xfrm>
                            <a:off x="2848610" y="16503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2" name="Rectangle 81"/>
                        <wps:cNvSpPr>
                          <a:spLocks noChangeArrowheads="1"/>
                        </wps:cNvSpPr>
                        <wps:spPr bwMode="auto">
                          <a:xfrm>
                            <a:off x="3168015" y="161671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$0.02069</w:t>
                              </w:r>
                            </w:p>
                          </w:txbxContent>
                        </wps:txbx>
                        <wps:bodyPr rot="0" vert="horz" wrap="none" lIns="0" tIns="0" rIns="0" bIns="0" anchor="t" anchorCtr="0">
                          <a:spAutoFit/>
                        </wps:bodyPr>
                      </wps:wsp>
                      <wps:wsp>
                        <wps:cNvPr id="223" name="Rectangle 82"/>
                        <wps:cNvSpPr>
                          <a:spLocks noChangeArrowheads="1"/>
                        </wps:cNvSpPr>
                        <wps:spPr bwMode="auto">
                          <a:xfrm>
                            <a:off x="3738245" y="161671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4" name="Rectangle 83"/>
                        <wps:cNvSpPr>
                          <a:spLocks noChangeArrowheads="1"/>
                        </wps:cNvSpPr>
                        <wps:spPr bwMode="auto">
                          <a:xfrm>
                            <a:off x="3938905" y="16503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5" name="Rectangle 84"/>
                        <wps:cNvSpPr>
                          <a:spLocks noChangeArrowheads="1"/>
                        </wps:cNvSpPr>
                        <wps:spPr bwMode="auto">
                          <a:xfrm>
                            <a:off x="4772660" y="161671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99.6%</w:t>
                              </w:r>
                            </w:p>
                          </w:txbxContent>
                        </wps:txbx>
                        <wps:bodyPr rot="0" vert="horz" wrap="none" lIns="0" tIns="0" rIns="0" bIns="0" anchor="t" anchorCtr="0">
                          <a:spAutoFit/>
                        </wps:bodyPr>
                      </wps:wsp>
                      <wps:wsp>
                        <wps:cNvPr id="226" name="Rectangle 85"/>
                        <wps:cNvSpPr>
                          <a:spLocks noChangeArrowheads="1"/>
                        </wps:cNvSpPr>
                        <wps:spPr bwMode="auto">
                          <a:xfrm>
                            <a:off x="5164455" y="161671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7" name="Rectangle 86"/>
                        <wps:cNvSpPr>
                          <a:spLocks noChangeArrowheads="1"/>
                        </wps:cNvSpPr>
                        <wps:spPr bwMode="auto">
                          <a:xfrm>
                            <a:off x="1365885" y="1792605"/>
                            <a:ext cx="935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Large Business</w:t>
                              </w:r>
                            </w:p>
                          </w:txbxContent>
                        </wps:txbx>
                        <wps:bodyPr rot="0" vert="horz" wrap="none" lIns="0" tIns="0" rIns="0" bIns="0" anchor="t" anchorCtr="0">
                          <a:spAutoFit/>
                        </wps:bodyPr>
                      </wps:wsp>
                      <wps:wsp>
                        <wps:cNvPr id="228" name="Rectangle 87"/>
                        <wps:cNvSpPr>
                          <a:spLocks noChangeArrowheads="1"/>
                        </wps:cNvSpPr>
                        <wps:spPr bwMode="auto">
                          <a:xfrm>
                            <a:off x="2299335" y="17926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29" name="Rectangle 88"/>
                        <wps:cNvSpPr>
                          <a:spLocks noChangeArrowheads="1"/>
                        </wps:cNvSpPr>
                        <wps:spPr bwMode="auto">
                          <a:xfrm>
                            <a:off x="2848610" y="182626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0" name="Rectangle 89"/>
                        <wps:cNvSpPr>
                          <a:spLocks noChangeArrowheads="1"/>
                        </wps:cNvSpPr>
                        <wps:spPr bwMode="auto">
                          <a:xfrm>
                            <a:off x="3168015" y="179260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$0.02065</w:t>
                              </w:r>
                            </w:p>
                          </w:txbxContent>
                        </wps:txbx>
                        <wps:bodyPr rot="0" vert="horz" wrap="none" lIns="0" tIns="0" rIns="0" bIns="0" anchor="t" anchorCtr="0">
                          <a:spAutoFit/>
                        </wps:bodyPr>
                      </wps:wsp>
                      <wps:wsp>
                        <wps:cNvPr id="231" name="Rectangle 90"/>
                        <wps:cNvSpPr>
                          <a:spLocks noChangeArrowheads="1"/>
                        </wps:cNvSpPr>
                        <wps:spPr bwMode="auto">
                          <a:xfrm>
                            <a:off x="3738245" y="17926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2" name="Rectangle 91"/>
                        <wps:cNvSpPr>
                          <a:spLocks noChangeArrowheads="1"/>
                        </wps:cNvSpPr>
                        <wps:spPr bwMode="auto">
                          <a:xfrm>
                            <a:off x="3938905" y="182626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3" name="Rectangle 92"/>
                        <wps:cNvSpPr>
                          <a:spLocks noChangeArrowheads="1"/>
                        </wps:cNvSpPr>
                        <wps:spPr bwMode="auto">
                          <a:xfrm>
                            <a:off x="4772660" y="179260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99.5%</w:t>
                              </w:r>
                            </w:p>
                          </w:txbxContent>
                        </wps:txbx>
                        <wps:bodyPr rot="0" vert="horz" wrap="none" lIns="0" tIns="0" rIns="0" bIns="0" anchor="t" anchorCtr="0">
                          <a:spAutoFit/>
                        </wps:bodyPr>
                      </wps:wsp>
                      <wps:wsp>
                        <wps:cNvPr id="234" name="Rectangle 93"/>
                        <wps:cNvSpPr>
                          <a:spLocks noChangeArrowheads="1"/>
                        </wps:cNvSpPr>
                        <wps:spPr bwMode="auto">
                          <a:xfrm>
                            <a:off x="5164455" y="179260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5" name="Rectangle 94"/>
                        <wps:cNvSpPr>
                          <a:spLocks noChangeArrowheads="1"/>
                        </wps:cNvSpPr>
                        <wps:spPr bwMode="auto">
                          <a:xfrm>
                            <a:off x="1365885" y="1967865"/>
                            <a:ext cx="702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Agriculture</w:t>
                              </w:r>
                            </w:p>
                          </w:txbxContent>
                        </wps:txbx>
                        <wps:bodyPr rot="0" vert="horz" wrap="none" lIns="0" tIns="0" rIns="0" bIns="0" anchor="t" anchorCtr="0">
                          <a:spAutoFit/>
                        </wps:bodyPr>
                      </wps:wsp>
                      <wps:wsp>
                        <wps:cNvPr id="236" name="Rectangle 95"/>
                        <wps:cNvSpPr>
                          <a:spLocks noChangeArrowheads="1"/>
                        </wps:cNvSpPr>
                        <wps:spPr bwMode="auto">
                          <a:xfrm>
                            <a:off x="2066925" y="19678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7" name="Rectangle 96"/>
                        <wps:cNvSpPr>
                          <a:spLocks noChangeArrowheads="1"/>
                        </wps:cNvSpPr>
                        <wps:spPr bwMode="auto">
                          <a:xfrm>
                            <a:off x="2848610" y="20015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38" name="Rectangle 97"/>
                        <wps:cNvSpPr>
                          <a:spLocks noChangeArrowheads="1"/>
                        </wps:cNvSpPr>
                        <wps:spPr bwMode="auto">
                          <a:xfrm>
                            <a:off x="3168015" y="196786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$0.02056</w:t>
                              </w:r>
                            </w:p>
                          </w:txbxContent>
                        </wps:txbx>
                        <wps:bodyPr rot="0" vert="horz" wrap="none" lIns="0" tIns="0" rIns="0" bIns="0" anchor="t" anchorCtr="0">
                          <a:spAutoFit/>
                        </wps:bodyPr>
                      </wps:wsp>
                      <wps:wsp>
                        <wps:cNvPr id="239" name="Rectangle 98"/>
                        <wps:cNvSpPr>
                          <a:spLocks noChangeArrowheads="1"/>
                        </wps:cNvSpPr>
                        <wps:spPr bwMode="auto">
                          <a:xfrm>
                            <a:off x="3738245" y="19678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0" name="Rectangle 99"/>
                        <wps:cNvSpPr>
                          <a:spLocks noChangeArrowheads="1"/>
                        </wps:cNvSpPr>
                        <wps:spPr bwMode="auto">
                          <a:xfrm>
                            <a:off x="3938905" y="20015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1" name="Rectangle 100"/>
                        <wps:cNvSpPr>
                          <a:spLocks noChangeArrowheads="1"/>
                        </wps:cNvSpPr>
                        <wps:spPr bwMode="auto">
                          <a:xfrm>
                            <a:off x="4772660" y="196786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99.0%</w:t>
                              </w:r>
                            </w:p>
                          </w:txbxContent>
                        </wps:txbx>
                        <wps:bodyPr rot="0" vert="horz" wrap="none" lIns="0" tIns="0" rIns="0" bIns="0" anchor="t" anchorCtr="0">
                          <a:spAutoFit/>
                        </wps:bodyPr>
                      </wps:wsp>
                      <wps:wsp>
                        <wps:cNvPr id="242" name="Rectangle 101"/>
                        <wps:cNvSpPr>
                          <a:spLocks noChangeArrowheads="1"/>
                        </wps:cNvSpPr>
                        <wps:spPr bwMode="auto">
                          <a:xfrm>
                            <a:off x="5164455" y="196786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3" name="Rectangle 102"/>
                        <wps:cNvSpPr>
                          <a:spLocks noChangeArrowheads="1"/>
                        </wps:cNvSpPr>
                        <wps:spPr bwMode="auto">
                          <a:xfrm>
                            <a:off x="1365885" y="2143125"/>
                            <a:ext cx="762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Government</w:t>
                              </w:r>
                            </w:p>
                          </w:txbxContent>
                        </wps:txbx>
                        <wps:bodyPr rot="0" vert="horz" wrap="none" lIns="0" tIns="0" rIns="0" bIns="0" anchor="t" anchorCtr="0">
                          <a:spAutoFit/>
                        </wps:bodyPr>
                      </wps:wsp>
                      <wps:wsp>
                        <wps:cNvPr id="244" name="Rectangle 103"/>
                        <wps:cNvSpPr>
                          <a:spLocks noChangeArrowheads="1"/>
                        </wps:cNvSpPr>
                        <wps:spPr bwMode="auto">
                          <a:xfrm>
                            <a:off x="2125980" y="21431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5" name="Rectangle 104"/>
                        <wps:cNvSpPr>
                          <a:spLocks noChangeArrowheads="1"/>
                        </wps:cNvSpPr>
                        <wps:spPr bwMode="auto">
                          <a:xfrm>
                            <a:off x="2848610" y="21767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6" name="Rectangle 105"/>
                        <wps:cNvSpPr>
                          <a:spLocks noChangeArrowheads="1"/>
                        </wps:cNvSpPr>
                        <wps:spPr bwMode="auto">
                          <a:xfrm>
                            <a:off x="3168015" y="214312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$0.02079</w:t>
                              </w:r>
                            </w:p>
                          </w:txbxContent>
                        </wps:txbx>
                        <wps:bodyPr rot="0" vert="horz" wrap="none" lIns="0" tIns="0" rIns="0" bIns="0" anchor="t" anchorCtr="0">
                          <a:spAutoFit/>
                        </wps:bodyPr>
                      </wps:wsp>
                      <wps:wsp>
                        <wps:cNvPr id="247" name="Rectangle 106"/>
                        <wps:cNvSpPr>
                          <a:spLocks noChangeArrowheads="1"/>
                        </wps:cNvSpPr>
                        <wps:spPr bwMode="auto">
                          <a:xfrm>
                            <a:off x="3738245" y="21431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8" name="Rectangle 107"/>
                        <wps:cNvSpPr>
                          <a:spLocks noChangeArrowheads="1"/>
                        </wps:cNvSpPr>
                        <wps:spPr bwMode="auto">
                          <a:xfrm>
                            <a:off x="3938905" y="21767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49" name="Rectangle 108"/>
                        <wps:cNvSpPr>
                          <a:spLocks noChangeArrowheads="1"/>
                        </wps:cNvSpPr>
                        <wps:spPr bwMode="auto">
                          <a:xfrm>
                            <a:off x="4696460" y="2143125"/>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100.1%</w:t>
                              </w:r>
                            </w:p>
                          </w:txbxContent>
                        </wps:txbx>
                        <wps:bodyPr rot="0" vert="horz" wrap="none" lIns="0" tIns="0" rIns="0" bIns="0" anchor="t" anchorCtr="0">
                          <a:spAutoFit/>
                        </wps:bodyPr>
                      </wps:wsp>
                      <wps:wsp>
                        <wps:cNvPr id="250" name="Rectangle 109"/>
                        <wps:cNvSpPr>
                          <a:spLocks noChangeArrowheads="1"/>
                        </wps:cNvSpPr>
                        <wps:spPr bwMode="auto">
                          <a:xfrm>
                            <a:off x="5164455" y="214312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1" name="Rectangle 110"/>
                        <wps:cNvSpPr>
                          <a:spLocks noChangeArrowheads="1"/>
                        </wps:cNvSpPr>
                        <wps:spPr bwMode="auto">
                          <a:xfrm>
                            <a:off x="1365885" y="2319020"/>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Lighting</w:t>
                              </w:r>
                            </w:p>
                          </w:txbxContent>
                        </wps:txbx>
                        <wps:bodyPr rot="0" vert="horz" wrap="none" lIns="0" tIns="0" rIns="0" bIns="0" anchor="t" anchorCtr="0">
                          <a:spAutoFit/>
                        </wps:bodyPr>
                      </wps:wsp>
                      <wps:wsp>
                        <wps:cNvPr id="252" name="Rectangle 111"/>
                        <wps:cNvSpPr>
                          <a:spLocks noChangeArrowheads="1"/>
                        </wps:cNvSpPr>
                        <wps:spPr bwMode="auto">
                          <a:xfrm>
                            <a:off x="1889125" y="23190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3" name="Rectangle 112"/>
                        <wps:cNvSpPr>
                          <a:spLocks noChangeArrowheads="1"/>
                        </wps:cNvSpPr>
                        <wps:spPr bwMode="auto">
                          <a:xfrm>
                            <a:off x="2848610" y="235204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4" name="Rectangle 113"/>
                        <wps:cNvSpPr>
                          <a:spLocks noChangeArrowheads="1"/>
                        </wps:cNvSpPr>
                        <wps:spPr bwMode="auto">
                          <a:xfrm>
                            <a:off x="3168015" y="231902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$0.02174</w:t>
                              </w:r>
                            </w:p>
                          </w:txbxContent>
                        </wps:txbx>
                        <wps:bodyPr rot="0" vert="horz" wrap="none" lIns="0" tIns="0" rIns="0" bIns="0" anchor="t" anchorCtr="0">
                          <a:spAutoFit/>
                        </wps:bodyPr>
                      </wps:wsp>
                      <wps:wsp>
                        <wps:cNvPr id="255" name="Rectangle 114"/>
                        <wps:cNvSpPr>
                          <a:spLocks noChangeArrowheads="1"/>
                        </wps:cNvSpPr>
                        <wps:spPr bwMode="auto">
                          <a:xfrm>
                            <a:off x="3738245" y="23190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6" name="Rectangle 115"/>
                        <wps:cNvSpPr>
                          <a:spLocks noChangeArrowheads="1"/>
                        </wps:cNvSpPr>
                        <wps:spPr bwMode="auto">
                          <a:xfrm>
                            <a:off x="3938905" y="235204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7" name="Rectangle 116"/>
                        <wps:cNvSpPr>
                          <a:spLocks noChangeArrowheads="1"/>
                        </wps:cNvSpPr>
                        <wps:spPr bwMode="auto">
                          <a:xfrm>
                            <a:off x="4696460" y="2319020"/>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104.7%</w:t>
                              </w:r>
                            </w:p>
                          </w:txbxContent>
                        </wps:txbx>
                        <wps:bodyPr rot="0" vert="horz" wrap="none" lIns="0" tIns="0" rIns="0" bIns="0" anchor="t" anchorCtr="0">
                          <a:spAutoFit/>
                        </wps:bodyPr>
                      </wps:wsp>
                      <wps:wsp>
                        <wps:cNvPr id="258" name="Rectangle 117"/>
                        <wps:cNvSpPr>
                          <a:spLocks noChangeArrowheads="1"/>
                        </wps:cNvSpPr>
                        <wps:spPr bwMode="auto">
                          <a:xfrm>
                            <a:off x="5164455" y="231902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59" name="Rectangle 118"/>
                        <wps:cNvSpPr>
                          <a:spLocks noChangeArrowheads="1"/>
                        </wps:cNvSpPr>
                        <wps:spPr bwMode="auto">
                          <a:xfrm>
                            <a:off x="1365885" y="2494280"/>
                            <a:ext cx="558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Marginal</w:t>
                              </w:r>
                            </w:p>
                          </w:txbxContent>
                        </wps:txbx>
                        <wps:bodyPr rot="0" vert="horz" wrap="none" lIns="0" tIns="0" rIns="0" bIns="0" anchor="t" anchorCtr="0">
                          <a:spAutoFit/>
                        </wps:bodyPr>
                      </wps:wsp>
                      <wps:wsp>
                        <wps:cNvPr id="260" name="Rectangle 119"/>
                        <wps:cNvSpPr>
                          <a:spLocks noChangeArrowheads="1"/>
                        </wps:cNvSpPr>
                        <wps:spPr bwMode="auto">
                          <a:xfrm>
                            <a:off x="1924050" y="24942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1" name="Rectangle 120"/>
                        <wps:cNvSpPr>
                          <a:spLocks noChangeArrowheads="1"/>
                        </wps:cNvSpPr>
                        <wps:spPr bwMode="auto">
                          <a:xfrm>
                            <a:off x="2848610" y="252793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2" name="Rectangle 121"/>
                        <wps:cNvSpPr>
                          <a:spLocks noChangeArrowheads="1"/>
                        </wps:cNvSpPr>
                        <wps:spPr bwMode="auto">
                          <a:xfrm>
                            <a:off x="3168015" y="249428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$0.02051</w:t>
                              </w:r>
                            </w:p>
                          </w:txbxContent>
                        </wps:txbx>
                        <wps:bodyPr rot="0" vert="horz" wrap="none" lIns="0" tIns="0" rIns="0" bIns="0" anchor="t" anchorCtr="0">
                          <a:spAutoFit/>
                        </wps:bodyPr>
                      </wps:wsp>
                      <wps:wsp>
                        <wps:cNvPr id="263" name="Rectangle 122"/>
                        <wps:cNvSpPr>
                          <a:spLocks noChangeArrowheads="1"/>
                        </wps:cNvSpPr>
                        <wps:spPr bwMode="auto">
                          <a:xfrm>
                            <a:off x="3738245" y="24942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4" name="Rectangle 123"/>
                        <wps:cNvSpPr>
                          <a:spLocks noChangeArrowheads="1"/>
                        </wps:cNvSpPr>
                        <wps:spPr bwMode="auto">
                          <a:xfrm>
                            <a:off x="3938905" y="2527935"/>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5" name="Rectangle 124"/>
                        <wps:cNvSpPr>
                          <a:spLocks noChangeArrowheads="1"/>
                        </wps:cNvSpPr>
                        <wps:spPr bwMode="auto">
                          <a:xfrm>
                            <a:off x="4772660" y="249428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98.8%</w:t>
                              </w:r>
                            </w:p>
                          </w:txbxContent>
                        </wps:txbx>
                        <wps:bodyPr rot="0" vert="horz" wrap="none" lIns="0" tIns="0" rIns="0" bIns="0" anchor="t" anchorCtr="0">
                          <a:spAutoFit/>
                        </wps:bodyPr>
                      </wps:wsp>
                      <wps:wsp>
                        <wps:cNvPr id="266" name="Rectangle 125"/>
                        <wps:cNvSpPr>
                          <a:spLocks noChangeArrowheads="1"/>
                        </wps:cNvSpPr>
                        <wps:spPr bwMode="auto">
                          <a:xfrm>
                            <a:off x="5164455" y="249428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7" name="Rectangle 126"/>
                        <wps:cNvSpPr>
                          <a:spLocks noChangeArrowheads="1"/>
                        </wps:cNvSpPr>
                        <wps:spPr bwMode="auto">
                          <a:xfrm>
                            <a:off x="1365885" y="2675890"/>
                            <a:ext cx="723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Total Retail</w:t>
                              </w:r>
                            </w:p>
                          </w:txbxContent>
                        </wps:txbx>
                        <wps:bodyPr rot="0" vert="horz" wrap="none" lIns="0" tIns="0" rIns="0" bIns="0" anchor="t" anchorCtr="0">
                          <a:spAutoFit/>
                        </wps:bodyPr>
                      </wps:wsp>
                      <wps:wsp>
                        <wps:cNvPr id="268" name="Rectangle 127"/>
                        <wps:cNvSpPr>
                          <a:spLocks noChangeArrowheads="1"/>
                        </wps:cNvSpPr>
                        <wps:spPr bwMode="auto">
                          <a:xfrm>
                            <a:off x="2087880" y="26758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69" name="Rectangle 128"/>
                        <wps:cNvSpPr>
                          <a:spLocks noChangeArrowheads="1"/>
                        </wps:cNvSpPr>
                        <wps:spPr bwMode="auto">
                          <a:xfrm>
                            <a:off x="3168015" y="267589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$0.02076</w:t>
                              </w:r>
                            </w:p>
                          </w:txbxContent>
                        </wps:txbx>
                        <wps:bodyPr rot="0" vert="horz" wrap="none" lIns="0" tIns="0" rIns="0" bIns="0" anchor="t" anchorCtr="0">
                          <a:spAutoFit/>
                        </wps:bodyPr>
                      </wps:wsp>
                      <wps:wsp>
                        <wps:cNvPr id="270" name="Rectangle 129"/>
                        <wps:cNvSpPr>
                          <a:spLocks noChangeArrowheads="1"/>
                        </wps:cNvSpPr>
                        <wps:spPr bwMode="auto">
                          <a:xfrm>
                            <a:off x="3738245" y="26758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71" name="Rectangle 130"/>
                        <wps:cNvSpPr>
                          <a:spLocks noChangeArrowheads="1"/>
                        </wps:cNvSpPr>
                        <wps:spPr bwMode="auto">
                          <a:xfrm>
                            <a:off x="4696460" y="2675890"/>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100.0%</w:t>
                              </w:r>
                            </w:p>
                          </w:txbxContent>
                        </wps:txbx>
                        <wps:bodyPr rot="0" vert="horz" wrap="none" lIns="0" tIns="0" rIns="0" bIns="0" anchor="t" anchorCtr="0">
                          <a:spAutoFit/>
                        </wps:bodyPr>
                      </wps:wsp>
                      <wps:wsp>
                        <wps:cNvPr id="272" name="Rectangle 131"/>
                        <wps:cNvSpPr>
                          <a:spLocks noChangeArrowheads="1"/>
                        </wps:cNvSpPr>
                        <wps:spPr bwMode="auto">
                          <a:xfrm>
                            <a:off x="5164455" y="267589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813" w:rsidRDefault="002D4813" w:rsidP="00F6115D">
                              <w:r>
                                <w:rPr>
                                  <w:color w:val="000000"/>
                                </w:rPr>
                                <w:t xml:space="preserve"> </w:t>
                              </w:r>
                            </w:p>
                          </w:txbxContent>
                        </wps:txbx>
                        <wps:bodyPr rot="0" vert="horz" wrap="none" lIns="0" tIns="0" rIns="0" bIns="0" anchor="t" anchorCtr="0">
                          <a:spAutoFit/>
                        </wps:bodyPr>
                      </wps:wsp>
                      <wps:wsp>
                        <wps:cNvPr id="273" name="Rectangle 132"/>
                        <wps:cNvSpPr>
                          <a:spLocks noChangeArrowheads="1"/>
                        </wps:cNvSpPr>
                        <wps:spPr bwMode="auto">
                          <a:xfrm>
                            <a:off x="1297305" y="2663825"/>
                            <a:ext cx="1482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33"/>
                        <wps:cNvSpPr>
                          <a:spLocks noChangeArrowheads="1"/>
                        </wps:cNvSpPr>
                        <wps:spPr bwMode="auto">
                          <a:xfrm>
                            <a:off x="2780030" y="266382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134"/>
                        <wps:cNvSpPr>
                          <a:spLocks noChangeArrowheads="1"/>
                        </wps:cNvSpPr>
                        <wps:spPr bwMode="auto">
                          <a:xfrm>
                            <a:off x="2786380" y="2663825"/>
                            <a:ext cx="15621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135"/>
                        <wps:cNvSpPr>
                          <a:spLocks noChangeArrowheads="1"/>
                        </wps:cNvSpPr>
                        <wps:spPr bwMode="auto">
                          <a:xfrm>
                            <a:off x="2942590" y="266382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136"/>
                        <wps:cNvSpPr>
                          <a:spLocks noChangeArrowheads="1"/>
                        </wps:cNvSpPr>
                        <wps:spPr bwMode="auto">
                          <a:xfrm>
                            <a:off x="2948940" y="2663825"/>
                            <a:ext cx="8578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37"/>
                        <wps:cNvSpPr>
                          <a:spLocks noChangeArrowheads="1"/>
                        </wps:cNvSpPr>
                        <wps:spPr bwMode="auto">
                          <a:xfrm>
                            <a:off x="3806825" y="266382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138"/>
                        <wps:cNvSpPr>
                          <a:spLocks noChangeArrowheads="1"/>
                        </wps:cNvSpPr>
                        <wps:spPr bwMode="auto">
                          <a:xfrm>
                            <a:off x="3812540" y="2663825"/>
                            <a:ext cx="194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139"/>
                        <wps:cNvSpPr>
                          <a:spLocks noChangeArrowheads="1"/>
                        </wps:cNvSpPr>
                        <wps:spPr bwMode="auto">
                          <a:xfrm>
                            <a:off x="4007485" y="266382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40"/>
                        <wps:cNvSpPr>
                          <a:spLocks noChangeArrowheads="1"/>
                        </wps:cNvSpPr>
                        <wps:spPr bwMode="auto">
                          <a:xfrm>
                            <a:off x="4013200" y="2663825"/>
                            <a:ext cx="121983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C90E98B" id="Canvas 282" o:spid="_x0000_s1026" editas="canvas" style="width:491.95pt;height:233.6pt;mso-position-horizontal-relative:char;mso-position-vertical-relative:line" coordsize="62477,29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77;height:29667;visibility:visible;mso-wrap-style:square">
                  <v:fill o:detectmouseclick="t"/>
                  <v:path o:connecttype="none"/>
                </v:shape>
                <v:rect id="Rectangle 5" o:spid="_x0000_s1028" style="position:absolute;left:3041;top:57;width:3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8" o:spid="_x0000_s1029" style="position:absolute;left:29622;top:1403;width:605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rsidR="002D4813" w:rsidRDefault="002D4813" w:rsidP="00F6115D">
                        <w:r>
                          <w:rPr>
                            <w:color w:val="000000"/>
                          </w:rPr>
                          <w:t>TABLE 5</w:t>
                        </w:r>
                      </w:p>
                    </w:txbxContent>
                  </v:textbox>
                </v:rect>
                <v:rect id="Rectangle 9" o:spid="_x0000_s1030" style="position:absolute;left:35661;top:1403;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10" o:spid="_x0000_s1031" style="position:absolute;left:23164;top:3155;width:1524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2D4813" w:rsidRDefault="002D4813" w:rsidP="00F6115D">
                        <w:r>
                          <w:rPr>
                            <w:color w:val="000000"/>
                          </w:rPr>
                          <w:t>Time Differentiated Fuel</w:t>
                        </w:r>
                      </w:p>
                    </w:txbxContent>
                  </v:textbox>
                </v:rect>
                <v:rect id="Rectangle 11" o:spid="_x0000_s1032" style="position:absolute;left:38373;top:3155;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12" o:spid="_x0000_s1033" style="position:absolute;left:38747;top:3155;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2D4813" w:rsidRDefault="002D4813" w:rsidP="00F6115D">
                        <w:r>
                          <w:rPr>
                            <w:color w:val="000000"/>
                          </w:rPr>
                          <w:t>Costs</w:t>
                        </w:r>
                      </w:p>
                    </w:txbxContent>
                  </v:textbox>
                </v:rect>
                <v:rect id="Rectangle 13" o:spid="_x0000_s1034" style="position:absolute;left:42125;top:3155;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14" o:spid="_x0000_s1035" style="position:absolute;left:27038;top:4908;width:203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2D4813" w:rsidRDefault="002D4813" w:rsidP="00F6115D">
                        <w:r>
                          <w:rPr>
                            <w:color w:val="000000"/>
                          </w:rPr>
                          <w:t>Per</w:t>
                        </w:r>
                      </w:p>
                    </w:txbxContent>
                  </v:textbox>
                </v:rect>
                <v:rect id="Rectangle 15" o:spid="_x0000_s1036" style="position:absolute;left:29063;top:4908;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6" o:spid="_x0000_s1037" style="position:absolute;left:29444;top:4908;width:296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2D4813" w:rsidRDefault="002D4813" w:rsidP="00F6115D">
                        <w:r>
                          <w:rPr>
                            <w:color w:val="000000"/>
                          </w:rPr>
                          <w:t>kWh</w:t>
                        </w:r>
                      </w:p>
                    </w:txbxContent>
                  </v:textbox>
                </v:rect>
                <v:rect id="Rectangle 17" o:spid="_x0000_s1038" style="position:absolute;left:32727;top:4908;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18" o:spid="_x0000_s1039" style="position:absolute;left:33108;top:4908;width:51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2D4813" w:rsidRDefault="002D4813" w:rsidP="00F6115D">
                        <w:r>
                          <w:rPr>
                            <w:color w:val="000000"/>
                          </w:rPr>
                          <w:t>at Meter</w:t>
                        </w:r>
                      </w:p>
                    </w:txbxContent>
                  </v:textbox>
                </v:rect>
                <v:rect id="Rectangle 19" o:spid="_x0000_s1040" style="position:absolute;left:38233;top:490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20" o:spid="_x0000_s1041" style="position:absolute;left:20377;top:7277;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2D4813" w:rsidRDefault="002D4813" w:rsidP="00F6115D">
                        <w:r>
                          <w:rPr>
                            <w:color w:val="000000"/>
                            <w:sz w:val="20"/>
                            <w:szCs w:val="20"/>
                          </w:rPr>
                          <w:t xml:space="preserve"> </w:t>
                        </w:r>
                      </w:p>
                    </w:txbxContent>
                  </v:textbox>
                </v:rect>
                <v:rect id="Rectangle 21" o:spid="_x0000_s1042" style="position:absolute;left:28606;top:7277;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2D4813" w:rsidRDefault="002D4813" w:rsidP="00F6115D">
                        <w:r>
                          <w:rPr>
                            <w:color w:val="000000"/>
                            <w:sz w:val="20"/>
                            <w:szCs w:val="20"/>
                          </w:rPr>
                          <w:t xml:space="preserve"> </w:t>
                        </w:r>
                      </w:p>
                    </w:txbxContent>
                  </v:textbox>
                </v:rect>
                <v:rect id="Rectangle 22" o:spid="_x0000_s1043" style="position:absolute;left:32391;top:6724;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rsidR="002D4813" w:rsidRDefault="002D4813" w:rsidP="00F6115D">
                        <w:r>
                          <w:rPr>
                            <w:color w:val="000000"/>
                          </w:rPr>
                          <w:t>Fuel</w:t>
                        </w:r>
                      </w:p>
                    </w:txbxContent>
                  </v:textbox>
                </v:rect>
                <v:rect id="Rectangle 23" o:spid="_x0000_s1044" style="position:absolute;left:35102;top:6724;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24" o:spid="_x0000_s1045" style="position:absolute;left:39071;top:7061;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25" o:spid="_x0000_s1046" style="position:absolute;left:43097;top:6724;width:62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rsidR="002D4813" w:rsidRDefault="002D4813" w:rsidP="00F6115D">
                        <w:r>
                          <w:rPr>
                            <w:color w:val="000000"/>
                          </w:rPr>
                          <w:t>Percent of</w:t>
                        </w:r>
                      </w:p>
                    </w:txbxContent>
                  </v:textbox>
                </v:rect>
                <v:rect id="Rectangle 26" o:spid="_x0000_s1047" style="position:absolute;left:49307;top:6724;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27" o:spid="_x0000_s1048" style="position:absolute;left:12973;top:6604;width:1482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28" o:spid="_x0000_s1049" style="position:absolute;left:27800;top:6604;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rect id="Rectangle 29" o:spid="_x0000_s1050" style="position:absolute;left:27863;top:6604;width:1562;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30" o:spid="_x0000_s1051" style="position:absolute;left:29425;top:6604;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31" o:spid="_x0000_s1052" style="position:absolute;left:29489;top:6604;width:857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32" o:spid="_x0000_s1053" style="position:absolute;left:38068;top:6604;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33" o:spid="_x0000_s1054" style="position:absolute;left:38125;top:6604;width:194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34" o:spid="_x0000_s1055" style="position:absolute;left:40074;top:6604;width:5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35" o:spid="_x0000_s1056" style="position:absolute;left:40132;top:6604;width:1219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36" o:spid="_x0000_s1057" style="position:absolute;left:20377;top:88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37" o:spid="_x0000_s1058" style="position:absolute;left:28606;top:902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rsidR="002D4813" w:rsidRDefault="002D4813" w:rsidP="00F6115D">
                        <w:r>
                          <w:rPr>
                            <w:color w:val="000000"/>
                            <w:sz w:val="20"/>
                            <w:szCs w:val="20"/>
                          </w:rPr>
                          <w:t xml:space="preserve"> </w:t>
                        </w:r>
                      </w:p>
                    </w:txbxContent>
                  </v:textbox>
                </v:rect>
                <v:rect id="Rectangle 38" o:spid="_x0000_s1059" style="position:absolute;left:31146;top:8483;width:52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2D4813" w:rsidRDefault="002D4813" w:rsidP="00F6115D">
                        <w:r>
                          <w:rPr>
                            <w:color w:val="000000"/>
                          </w:rPr>
                          <w:t>Cost Per</w:t>
                        </w:r>
                      </w:p>
                    </w:txbxContent>
                  </v:textbox>
                </v:rect>
                <v:rect id="Rectangle 39" o:spid="_x0000_s1060" style="position:absolute;left:36347;top:848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40" o:spid="_x0000_s1061" style="position:absolute;left:39071;top:88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41" o:spid="_x0000_s1062" style="position:absolute;left:42583;top:8483;width:72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rsidR="002D4813" w:rsidRDefault="002D4813" w:rsidP="00F6115D">
                        <w:r>
                          <w:rPr>
                            <w:color w:val="000000"/>
                          </w:rPr>
                          <w:t>Total Retail</w:t>
                        </w:r>
                      </w:p>
                    </w:txbxContent>
                  </v:textbox>
                </v:rect>
                <v:rect id="Rectangle 42" o:spid="_x0000_s1063" style="position:absolute;left:49809;top:848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43" o:spid="_x0000_s1064" style="position:absolute;left:18738;top:10236;width:330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2D4813" w:rsidRDefault="002D4813" w:rsidP="00F6115D">
                        <w:r>
                          <w:rPr>
                            <w:color w:val="000000"/>
                          </w:rPr>
                          <w:t>Class</w:t>
                        </w:r>
                      </w:p>
                    </w:txbxContent>
                  </v:textbox>
                </v:rect>
                <v:rect id="Rectangle 44" o:spid="_x0000_s1065" style="position:absolute;left:22034;top:1023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45" o:spid="_x0000_s1066" style="position:absolute;left:28606;top:10572;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46" o:spid="_x0000_s1067" style="position:absolute;left:32270;top:10236;width:29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2D4813" w:rsidRDefault="002D4813" w:rsidP="00F6115D">
                        <w:r>
                          <w:rPr>
                            <w:color w:val="000000"/>
                          </w:rPr>
                          <w:t>kWh</w:t>
                        </w:r>
                      </w:p>
                    </w:txbxContent>
                  </v:textbox>
                </v:rect>
                <v:rect id="Rectangle 47" o:spid="_x0000_s1068" style="position:absolute;left:35223;top:1023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2D4813" w:rsidRDefault="002D4813" w:rsidP="00F6115D">
                        <w:r>
                          <w:rPr>
                            <w:color w:val="000000"/>
                          </w:rPr>
                          <w:t xml:space="preserve"> </w:t>
                        </w:r>
                      </w:p>
                    </w:txbxContent>
                  </v:textbox>
                </v:rect>
                <v:rect id="Rectangle 48" o:spid="_x0000_s1069" style="position:absolute;left:39071;top:1057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49" o:spid="_x0000_s1070" style="position:absolute;left:41973;top:10236;width:51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2D4813" w:rsidRDefault="002D4813" w:rsidP="00F6115D">
                        <w:r>
                          <w:rPr>
                            <w:color w:val="000000"/>
                          </w:rPr>
                          <w:t>Cost per</w:t>
                        </w:r>
                      </w:p>
                    </w:txbxContent>
                  </v:textbox>
                </v:rect>
                <v:rect id="Rectangle 50" o:spid="_x0000_s1071" style="position:absolute;left:47085;top:1023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51" o:spid="_x0000_s1072" style="position:absolute;left:47466;top:1023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2D4813" w:rsidRDefault="002D4813" w:rsidP="00F6115D">
                        <w:r>
                          <w:rPr>
                            <w:color w:val="000000"/>
                          </w:rPr>
                          <w:t>k</w:t>
                        </w:r>
                      </w:p>
                    </w:txbxContent>
                  </v:textbox>
                </v:rect>
                <v:rect id="Rectangle 52" o:spid="_x0000_s1073" style="position:absolute;left:48228;top:10236;width:220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2D4813" w:rsidRDefault="002D4813" w:rsidP="00F6115D">
                        <w:proofErr w:type="spellStart"/>
                        <w:r>
                          <w:rPr>
                            <w:color w:val="000000"/>
                          </w:rPr>
                          <w:t>Wh</w:t>
                        </w:r>
                        <w:proofErr w:type="spellEnd"/>
                      </w:p>
                    </w:txbxContent>
                  </v:textbox>
                </v:rect>
                <v:rect id="Rectangle 53" o:spid="_x0000_s1074" style="position:absolute;left:50431;top:10236;width:3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54" o:spid="_x0000_s1075" style="position:absolute;left:13658;top:11239;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55" o:spid="_x0000_s1076" style="position:absolute;left:28486;top:11455;width:3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rsidR="002D4813" w:rsidRDefault="002D4813" w:rsidP="00F6115D">
                        <w:r>
                          <w:rPr>
                            <w:color w:val="000000"/>
                            <w:sz w:val="20"/>
                            <w:szCs w:val="20"/>
                          </w:rPr>
                          <w:t xml:space="preserve"> </w:t>
                        </w:r>
                      </w:p>
                    </w:txbxContent>
                  </v:textbox>
                </v:rect>
                <v:rect id="Rectangle 56" o:spid="_x0000_s1077" style="position:absolute;left:30111;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2D4813" w:rsidRDefault="002D4813" w:rsidP="00F6115D">
                        <w:r>
                          <w:rPr>
                            <w:color w:val="000000"/>
                            <w:sz w:val="20"/>
                            <w:szCs w:val="20"/>
                          </w:rPr>
                          <w:t xml:space="preserve"> </w:t>
                        </w:r>
                      </w:p>
                    </w:txbxContent>
                  </v:textbox>
                </v:rect>
                <v:rect id="Rectangle 57" o:spid="_x0000_s1078" style="position:absolute;left:38747;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2D4813" w:rsidRDefault="002D4813" w:rsidP="00F6115D">
                        <w:r>
                          <w:rPr>
                            <w:color w:val="000000"/>
                            <w:sz w:val="20"/>
                            <w:szCs w:val="20"/>
                          </w:rPr>
                          <w:t xml:space="preserve"> </w:t>
                        </w:r>
                      </w:p>
                    </w:txbxContent>
                  </v:textbox>
                </v:rect>
                <v:rect id="Rectangle 58" o:spid="_x0000_s1079" style="position:absolute;left:40760;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2D4813" w:rsidRDefault="002D4813" w:rsidP="00F6115D">
                        <w:r>
                          <w:rPr>
                            <w:color w:val="000000"/>
                            <w:sz w:val="20"/>
                            <w:szCs w:val="20"/>
                          </w:rPr>
                          <w:t xml:space="preserve"> </w:t>
                        </w:r>
                      </w:p>
                    </w:txbxContent>
                  </v:textbox>
                </v:rect>
                <v:rect id="Rectangle 59" o:spid="_x0000_s1080" style="position:absolute;left:12973;top:11931;width:1482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60" o:spid="_x0000_s1081" style="position:absolute;left:29425;top:11931;width:864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61" o:spid="_x0000_s1082" style="position:absolute;left:40074;top:11931;width:12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62" o:spid="_x0000_s1083" style="position:absolute;left:13658;top:12661;width:584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rsidR="002D4813" w:rsidRDefault="002D4813" w:rsidP="00F6115D">
                        <w:r>
                          <w:rPr>
                            <w:color w:val="000000"/>
                          </w:rPr>
                          <w:t>Domestic</w:t>
                        </w:r>
                      </w:p>
                    </w:txbxContent>
                  </v:textbox>
                </v:rect>
                <v:rect id="Rectangle 63" o:spid="_x0000_s1084" style="position:absolute;left:19481;top:12661;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64" o:spid="_x0000_s1085" style="position:absolute;left:28486;top:1299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65" o:spid="_x0000_s1086" style="position:absolute;left:31680;top:12661;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rsidR="002D4813" w:rsidRDefault="002D4813" w:rsidP="00F6115D">
                        <w:r>
                          <w:rPr>
                            <w:color w:val="000000"/>
                          </w:rPr>
                          <w:t>$0.02093</w:t>
                        </w:r>
                      </w:p>
                    </w:txbxContent>
                  </v:textbox>
                </v:rect>
                <v:rect id="Rectangle 66" o:spid="_x0000_s1087" style="position:absolute;left:37382;top:12661;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67" o:spid="_x0000_s1088" style="position:absolute;left:39389;top:1299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68" o:spid="_x0000_s1089" style="position:absolute;left:46964;top:12661;width:469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rsidR="002D4813" w:rsidRDefault="002D4813" w:rsidP="00F6115D">
                        <w:r>
                          <w:rPr>
                            <w:color w:val="000000"/>
                          </w:rPr>
                          <w:t>100.8%</w:t>
                        </w:r>
                      </w:p>
                    </w:txbxContent>
                  </v:textbox>
                </v:rect>
                <v:rect id="Rectangle 69" o:spid="_x0000_s1090" style="position:absolute;left:51644;top:12661;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70" o:spid="_x0000_s1091" style="position:absolute;left:13658;top:14414;width:93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rsidR="002D4813" w:rsidRDefault="002D4813" w:rsidP="00F6115D">
                        <w:r>
                          <w:rPr>
                            <w:color w:val="000000"/>
                          </w:rPr>
                          <w:t>Small Business</w:t>
                        </w:r>
                      </w:p>
                    </w:txbxContent>
                  </v:textbox>
                </v:rect>
                <v:rect id="Rectangle 71" o:spid="_x0000_s1092" style="position:absolute;left:22993;top:1441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72" o:spid="_x0000_s1093" style="position:absolute;left:28486;top:14751;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73" o:spid="_x0000_s1094" style="position:absolute;left:31680;top:14414;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rsidR="002D4813" w:rsidRDefault="002D4813" w:rsidP="00F6115D">
                        <w:r>
                          <w:rPr>
                            <w:color w:val="000000"/>
                          </w:rPr>
                          <w:t>$0.02074</w:t>
                        </w:r>
                      </w:p>
                    </w:txbxContent>
                  </v:textbox>
                </v:rect>
                <v:rect id="Rectangle 74" o:spid="_x0000_s1095" style="position:absolute;left:37382;top:1441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75" o:spid="_x0000_s1096" style="position:absolute;left:39389;top:14751;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76" o:spid="_x0000_s1097" style="position:absolute;left:47726;top:14414;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rsidR="002D4813" w:rsidRDefault="002D4813" w:rsidP="00F6115D">
                        <w:r>
                          <w:rPr>
                            <w:color w:val="000000"/>
                          </w:rPr>
                          <w:t>99.9%</w:t>
                        </w:r>
                      </w:p>
                    </w:txbxContent>
                  </v:textbox>
                </v:rect>
                <v:rect id="Rectangle 77" o:spid="_x0000_s1098" style="position:absolute;left:51644;top:1441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78" o:spid="_x0000_s1099" style="position:absolute;left:13658;top:16167;width:1096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rsidR="002D4813" w:rsidRDefault="002D4813" w:rsidP="00F6115D">
                        <w:r>
                          <w:rPr>
                            <w:color w:val="000000"/>
                          </w:rPr>
                          <w:t>Medium Business</w:t>
                        </w:r>
                      </w:p>
                    </w:txbxContent>
                  </v:textbox>
                </v:rect>
                <v:rect id="Rectangle 79" o:spid="_x0000_s1100" style="position:absolute;left:24606;top:16167;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80" o:spid="_x0000_s1101" style="position:absolute;left:28486;top:1650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81" o:spid="_x0000_s1102" style="position:absolute;left:31680;top:16167;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rsidR="002D4813" w:rsidRDefault="002D4813" w:rsidP="00F6115D">
                        <w:r>
                          <w:rPr>
                            <w:color w:val="000000"/>
                          </w:rPr>
                          <w:t>$0.02069</w:t>
                        </w:r>
                      </w:p>
                    </w:txbxContent>
                  </v:textbox>
                </v:rect>
                <v:rect id="Rectangle 82" o:spid="_x0000_s1103" style="position:absolute;left:37382;top:16167;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83" o:spid="_x0000_s1104" style="position:absolute;left:39389;top:1650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84" o:spid="_x0000_s1105" style="position:absolute;left:47726;top:16167;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rsidR="002D4813" w:rsidRDefault="002D4813" w:rsidP="00F6115D">
                        <w:r>
                          <w:rPr>
                            <w:color w:val="000000"/>
                          </w:rPr>
                          <w:t>99.6%</w:t>
                        </w:r>
                      </w:p>
                    </w:txbxContent>
                  </v:textbox>
                </v:rect>
                <v:rect id="Rectangle 85" o:spid="_x0000_s1106" style="position:absolute;left:51644;top:16167;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86" o:spid="_x0000_s1107" style="position:absolute;left:13658;top:17926;width:93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rsidR="002D4813" w:rsidRDefault="002D4813" w:rsidP="00F6115D">
                        <w:r>
                          <w:rPr>
                            <w:color w:val="000000"/>
                          </w:rPr>
                          <w:t>Large Business</w:t>
                        </w:r>
                      </w:p>
                    </w:txbxContent>
                  </v:textbox>
                </v:rect>
                <v:rect id="Rectangle 87" o:spid="_x0000_s1108" style="position:absolute;left:22993;top:1792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88" o:spid="_x0000_s1109" style="position:absolute;left:28486;top:1826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89" o:spid="_x0000_s1110" style="position:absolute;left:31680;top:17926;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rsidR="002D4813" w:rsidRDefault="002D4813" w:rsidP="00F6115D">
                        <w:r>
                          <w:rPr>
                            <w:color w:val="000000"/>
                          </w:rPr>
                          <w:t>$0.02065</w:t>
                        </w:r>
                      </w:p>
                    </w:txbxContent>
                  </v:textbox>
                </v:rect>
                <v:rect id="Rectangle 90" o:spid="_x0000_s1111" style="position:absolute;left:37382;top:1792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91" o:spid="_x0000_s1112" style="position:absolute;left:39389;top:1826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92" o:spid="_x0000_s1113" style="position:absolute;left:47726;top:17926;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rsidR="002D4813" w:rsidRDefault="002D4813" w:rsidP="00F6115D">
                        <w:r>
                          <w:rPr>
                            <w:color w:val="000000"/>
                          </w:rPr>
                          <w:t>99.5%</w:t>
                        </w:r>
                      </w:p>
                    </w:txbxContent>
                  </v:textbox>
                </v:rect>
                <v:rect id="Rectangle 93" o:spid="_x0000_s1114" style="position:absolute;left:51644;top:17926;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94" o:spid="_x0000_s1115" style="position:absolute;left:13658;top:19678;width:703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rsidR="002D4813" w:rsidRDefault="002D4813" w:rsidP="00F6115D">
                        <w:r>
                          <w:rPr>
                            <w:color w:val="000000"/>
                          </w:rPr>
                          <w:t>Agriculture</w:t>
                        </w:r>
                      </w:p>
                    </w:txbxContent>
                  </v:textbox>
                </v:rect>
                <v:rect id="Rectangle 95" o:spid="_x0000_s1116" style="position:absolute;left:20669;top:1967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96" o:spid="_x0000_s1117" style="position:absolute;left:28486;top:20015;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97" o:spid="_x0000_s1118" style="position:absolute;left:31680;top:19678;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rsidR="002D4813" w:rsidRDefault="002D4813" w:rsidP="00F6115D">
                        <w:r>
                          <w:rPr>
                            <w:color w:val="000000"/>
                          </w:rPr>
                          <w:t>$0.02056</w:t>
                        </w:r>
                      </w:p>
                    </w:txbxContent>
                  </v:textbox>
                </v:rect>
                <v:rect id="Rectangle 98" o:spid="_x0000_s1119" style="position:absolute;left:37382;top:1967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99" o:spid="_x0000_s1120" style="position:absolute;left:39389;top:20015;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00" o:spid="_x0000_s1121" style="position:absolute;left:47726;top:19678;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rsidR="002D4813" w:rsidRDefault="002D4813" w:rsidP="00F6115D">
                        <w:r>
                          <w:rPr>
                            <w:color w:val="000000"/>
                          </w:rPr>
                          <w:t>99.0%</w:t>
                        </w:r>
                      </w:p>
                    </w:txbxContent>
                  </v:textbox>
                </v:rect>
                <v:rect id="Rectangle 101" o:spid="_x0000_s1122" style="position:absolute;left:51644;top:1967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02" o:spid="_x0000_s1123" style="position:absolute;left:13658;top:21431;width:762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rsidR="002D4813" w:rsidRDefault="002D4813" w:rsidP="00F6115D">
                        <w:r>
                          <w:rPr>
                            <w:color w:val="000000"/>
                          </w:rPr>
                          <w:t>Government</w:t>
                        </w:r>
                      </w:p>
                    </w:txbxContent>
                  </v:textbox>
                </v:rect>
                <v:rect id="Rectangle 103" o:spid="_x0000_s1124" style="position:absolute;left:21259;top:21431;width:38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04" o:spid="_x0000_s1125" style="position:absolute;left:28486;top:21767;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105" o:spid="_x0000_s1126" style="position:absolute;left:31680;top:21431;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rsidR="002D4813" w:rsidRDefault="002D4813" w:rsidP="00F6115D">
                        <w:r>
                          <w:rPr>
                            <w:color w:val="000000"/>
                          </w:rPr>
                          <w:t>$0.02079</w:t>
                        </w:r>
                      </w:p>
                    </w:txbxContent>
                  </v:textbox>
                </v:rect>
                <v:rect id="Rectangle 106" o:spid="_x0000_s1127" style="position:absolute;left:37382;top:21431;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107" o:spid="_x0000_s1128" style="position:absolute;left:39389;top:21767;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08" o:spid="_x0000_s1129" style="position:absolute;left:46964;top:21431;width:469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rsidR="002D4813" w:rsidRDefault="002D4813" w:rsidP="00F6115D">
                        <w:r>
                          <w:rPr>
                            <w:color w:val="000000"/>
                          </w:rPr>
                          <w:t>100.1%</w:t>
                        </w:r>
                      </w:p>
                    </w:txbxContent>
                  </v:textbox>
                </v:rect>
                <v:rect id="Rectangle 109" o:spid="_x0000_s1130" style="position:absolute;left:51644;top:21431;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10" o:spid="_x0000_s1131" style="position:absolute;left:13658;top:23190;width:525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rsidR="002D4813" w:rsidRDefault="002D4813" w:rsidP="00F6115D">
                        <w:r>
                          <w:rPr>
                            <w:color w:val="000000"/>
                          </w:rPr>
                          <w:t>Lighting</w:t>
                        </w:r>
                      </w:p>
                    </w:txbxContent>
                  </v:textbox>
                </v:rect>
                <v:rect id="Rectangle 111" o:spid="_x0000_s1132" style="position:absolute;left:18891;top:23190;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12" o:spid="_x0000_s1133" style="position:absolute;left:28486;top:23520;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113" o:spid="_x0000_s1134" style="position:absolute;left:31680;top:23190;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rsidR="002D4813" w:rsidRDefault="002D4813" w:rsidP="00F6115D">
                        <w:r>
                          <w:rPr>
                            <w:color w:val="000000"/>
                          </w:rPr>
                          <w:t>$0.02174</w:t>
                        </w:r>
                      </w:p>
                    </w:txbxContent>
                  </v:textbox>
                </v:rect>
                <v:rect id="Rectangle 114" o:spid="_x0000_s1135" style="position:absolute;left:37382;top:23190;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15" o:spid="_x0000_s1136" style="position:absolute;left:39389;top:23520;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16" o:spid="_x0000_s1137" style="position:absolute;left:46964;top:23190;width:469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rsidR="002D4813" w:rsidRDefault="002D4813" w:rsidP="00F6115D">
                        <w:r>
                          <w:rPr>
                            <w:color w:val="000000"/>
                          </w:rPr>
                          <w:t>104.7%</w:t>
                        </w:r>
                      </w:p>
                    </w:txbxContent>
                  </v:textbox>
                </v:rect>
                <v:rect id="Rectangle 117" o:spid="_x0000_s1138" style="position:absolute;left:51644;top:23190;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18" o:spid="_x0000_s1139" style="position:absolute;left:13658;top:24942;width:55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rsidR="002D4813" w:rsidRDefault="002D4813" w:rsidP="00F6115D">
                        <w:r>
                          <w:rPr>
                            <w:color w:val="000000"/>
                          </w:rPr>
                          <w:t>Marginal</w:t>
                        </w:r>
                      </w:p>
                    </w:txbxContent>
                  </v:textbox>
                </v:rect>
                <v:rect id="Rectangle 119" o:spid="_x0000_s1140" style="position:absolute;left:19240;top:2494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120" o:spid="_x0000_s1141" style="position:absolute;left:28486;top:25279;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21" o:spid="_x0000_s1142" style="position:absolute;left:31680;top:24942;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rsidR="002D4813" w:rsidRDefault="002D4813" w:rsidP="00F6115D">
                        <w:r>
                          <w:rPr>
                            <w:color w:val="000000"/>
                          </w:rPr>
                          <w:t>$0.02051</w:t>
                        </w:r>
                      </w:p>
                    </w:txbxContent>
                  </v:textbox>
                </v:rect>
                <v:rect id="Rectangle 122" o:spid="_x0000_s1143" style="position:absolute;left:37382;top:2494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23" o:spid="_x0000_s1144" style="position:absolute;left:39389;top:25279;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24" o:spid="_x0000_s1145" style="position:absolute;left:47726;top:24942;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rsidR="002D4813" w:rsidRDefault="002D4813" w:rsidP="00F6115D">
                        <w:r>
                          <w:rPr>
                            <w:color w:val="000000"/>
                          </w:rPr>
                          <w:t>98.8%</w:t>
                        </w:r>
                      </w:p>
                    </w:txbxContent>
                  </v:textbox>
                </v:rect>
                <v:rect id="Rectangle 125" o:spid="_x0000_s1146" style="position:absolute;left:51644;top:24942;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rsidR="002D4813" w:rsidRDefault="002D4813" w:rsidP="00F6115D">
                        <w:r>
                          <w:rPr>
                            <w:color w:val="000000"/>
                          </w:rPr>
                          <w:t xml:space="preserve"> </w:t>
                        </w:r>
                      </w:p>
                    </w:txbxContent>
                  </v:textbox>
                </v:rect>
                <v:rect id="Rectangle 126" o:spid="_x0000_s1147" style="position:absolute;left:13658;top:26758;width:72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rsidR="002D4813" w:rsidRDefault="002D4813" w:rsidP="00F6115D">
                        <w:r>
                          <w:rPr>
                            <w:color w:val="000000"/>
                          </w:rPr>
                          <w:t>Total Retail</w:t>
                        </w:r>
                      </w:p>
                    </w:txbxContent>
                  </v:textbox>
                </v:rect>
                <v:rect id="Rectangle 127" o:spid="_x0000_s1148" style="position:absolute;left:20878;top:26758;width:38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rsidR="002D4813" w:rsidRDefault="002D4813" w:rsidP="00F6115D">
                        <w:r>
                          <w:rPr>
                            <w:color w:val="000000"/>
                          </w:rPr>
                          <w:t xml:space="preserve"> </w:t>
                        </w:r>
                      </w:p>
                    </w:txbxContent>
                  </v:textbox>
                </v:rect>
                <v:rect id="Rectangle 128" o:spid="_x0000_s1149" style="position:absolute;left:31680;top:26758;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rsidR="002D4813" w:rsidRDefault="002D4813" w:rsidP="00F6115D">
                        <w:r>
                          <w:rPr>
                            <w:color w:val="000000"/>
                          </w:rPr>
                          <w:t>$0.02076</w:t>
                        </w:r>
                      </w:p>
                    </w:txbxContent>
                  </v:textbox>
                </v:rect>
                <v:rect id="Rectangle 129" o:spid="_x0000_s1150" style="position:absolute;left:37382;top:2675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rsidR="002D4813" w:rsidRDefault="002D4813" w:rsidP="00F6115D">
                        <w:r>
                          <w:rPr>
                            <w:color w:val="000000"/>
                          </w:rPr>
                          <w:t xml:space="preserve"> </w:t>
                        </w:r>
                      </w:p>
                    </w:txbxContent>
                  </v:textbox>
                </v:rect>
                <v:rect id="Rectangle 130" o:spid="_x0000_s1151" style="position:absolute;left:46964;top:26758;width:469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rsidR="002D4813" w:rsidRDefault="002D4813" w:rsidP="00F6115D">
                        <w:r>
                          <w:rPr>
                            <w:color w:val="000000"/>
                          </w:rPr>
                          <w:t>100.0%</w:t>
                        </w:r>
                      </w:p>
                    </w:txbxContent>
                  </v:textbox>
                </v:rect>
                <v:rect id="Rectangle 131" o:spid="_x0000_s1152" style="position:absolute;left:51644;top:26758;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rsidR="002D4813" w:rsidRDefault="002D4813" w:rsidP="00F6115D">
                        <w:r>
                          <w:rPr>
                            <w:color w:val="000000"/>
                          </w:rPr>
                          <w:t xml:space="preserve"> </w:t>
                        </w:r>
                      </w:p>
                    </w:txbxContent>
                  </v:textbox>
                </v:rect>
                <v:rect id="Rectangle 132" o:spid="_x0000_s1153" style="position:absolute;left:12973;top:26638;width:1482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133" o:spid="_x0000_s1154" style="position:absolute;left:27800;top:26638;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134" o:spid="_x0000_s1155" style="position:absolute;left:27863;top:26638;width:15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135" o:spid="_x0000_s1156" style="position:absolute;left:29425;top:26638;width:6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136" o:spid="_x0000_s1157" style="position:absolute;left:29489;top:26638;width:857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137" o:spid="_x0000_s1158" style="position:absolute;left:38068;top:2663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138" o:spid="_x0000_s1159" style="position:absolute;left:38125;top:26638;width:194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139" o:spid="_x0000_s1160" style="position:absolute;left:40074;top:26638;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140" o:spid="_x0000_s1161" style="position:absolute;left:40132;top:26638;width:121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w10:anchorlock/>
              </v:group>
            </w:pict>
          </mc:Fallback>
        </mc:AlternateContent>
      </w:r>
    </w:p>
    <w:p w:rsidR="00871F22" w:rsidRDefault="00871F22" w:rsidP="00A72BBE">
      <w:pPr>
        <w:spacing w:line="480" w:lineRule="auto"/>
        <w:ind w:left="720"/>
        <w:jc w:val="both"/>
        <w:rPr>
          <w:color w:val="FF0000"/>
        </w:rPr>
      </w:pPr>
      <w:r w:rsidRPr="00837A47">
        <w:t xml:space="preserve">In examining these time differentiated fuel costs by class and voltage level, the results are </w:t>
      </w:r>
      <w:r>
        <w:t>fairly similar across classes.  It is observed that the Lighting class’s time differentiated fuel costs are somewhat greater than the system average, which was further investigated.  It was determined that there are two reasons why the Lighting class’s fuel costs were higher than the system average.  First, Georgia Power loses solar generation during the nighttime hours (when outdoor lighting is operated), and second, the Company’s pumped storage facilities incur fuel costs during the nighttime hours with no generation, which somewhat skews these results for Lighting.  It was also observed that the time differentiated fuel costs for the Marginal class are somewhat lower than the system average.  However, it should be remembered that the current Fuel Cost Recovery mechanism (FCR-25) is both seasonally differentiated and voltage differentiated such that the Marginal class pays lower fuel costs per kWh than do other customers.</w:t>
      </w:r>
      <w:r w:rsidRPr="00837A47">
        <w:t xml:space="preserve"> </w:t>
      </w:r>
    </w:p>
    <w:p w:rsidR="00871F22" w:rsidRPr="003E1720" w:rsidRDefault="00871F22" w:rsidP="003E1720">
      <w:pPr>
        <w:spacing w:before="360" w:line="480" w:lineRule="auto"/>
        <w:ind w:left="720"/>
        <w:jc w:val="both"/>
      </w:pPr>
      <w:r w:rsidRPr="00837A47">
        <w:lastRenderedPageBreak/>
        <w:t>In conclusion, there is no</w:t>
      </w:r>
      <w:r>
        <w:t xml:space="preserve"> material difference </w:t>
      </w:r>
      <w:r w:rsidRPr="00837A47">
        <w:t xml:space="preserve">in per unit fuel costs on a time differentiated basis </w:t>
      </w:r>
      <w:r>
        <w:t xml:space="preserve">when all factors </w:t>
      </w:r>
      <w:r w:rsidRPr="00837A47">
        <w:t xml:space="preserve">are considered.    </w:t>
      </w:r>
    </w:p>
    <w:p w:rsidR="00871F22" w:rsidRPr="00A70E29" w:rsidRDefault="00871F22" w:rsidP="00CE0CFB">
      <w:pPr>
        <w:pStyle w:val="Heading2"/>
        <w:ind w:firstLine="720"/>
      </w:pPr>
      <w:bookmarkStart w:id="11" w:name="_Toc116370400"/>
      <w:r w:rsidRPr="00A70E29">
        <w:t>B.</w:t>
      </w:r>
      <w:r w:rsidRPr="00A70E29">
        <w:tab/>
        <w:t>Allocation of Transmission Plant</w:t>
      </w:r>
      <w:bookmarkEnd w:id="11"/>
    </w:p>
    <w:p w:rsidR="00871F22" w:rsidRDefault="00871F22" w:rsidP="003E1720">
      <w:pPr>
        <w:spacing w:before="480" w:line="480" w:lineRule="auto"/>
        <w:ind w:left="749" w:hanging="749"/>
        <w:jc w:val="both"/>
        <w:rPr>
          <w:b/>
          <w:bCs/>
        </w:rPr>
      </w:pPr>
      <w:r>
        <w:rPr>
          <w:b/>
          <w:bCs/>
        </w:rPr>
        <w:t>Q.</w:t>
      </w:r>
      <w:r>
        <w:rPr>
          <w:b/>
          <w:bCs/>
        </w:rPr>
        <w:tab/>
        <w:t>PLEASE EXPLAIN HOW MR. EVANS ALLOCATED TRANSMISSION</w:t>
      </w:r>
      <w:r w:rsidR="00117E55">
        <w:rPr>
          <w:b/>
          <w:bCs/>
        </w:rPr>
        <w:t xml:space="preserve"> </w:t>
      </w:r>
      <w:r>
        <w:rPr>
          <w:b/>
          <w:bCs/>
        </w:rPr>
        <w:t>RELATED COSTS.</w:t>
      </w:r>
    </w:p>
    <w:p w:rsidR="00871F22" w:rsidRDefault="00871F22" w:rsidP="003E1720">
      <w:pPr>
        <w:spacing w:line="480" w:lineRule="auto"/>
        <w:ind w:left="748" w:hanging="748"/>
        <w:jc w:val="both"/>
      </w:pPr>
      <w:r>
        <w:t>A.</w:t>
      </w:r>
      <w:r>
        <w:tab/>
        <w:t>Mr. Evans provides a complete description of the methods and procedures he used to allocate transmission</w:t>
      </w:r>
      <w:r w:rsidR="00117E55">
        <w:t xml:space="preserve"> </w:t>
      </w:r>
      <w:r>
        <w:t xml:space="preserve">related costs on pages 16 through 18 of his </w:t>
      </w:r>
      <w:r w:rsidR="00F0356C">
        <w:t>D</w:t>
      </w:r>
      <w:r>
        <w:t xml:space="preserve">irect </w:t>
      </w:r>
      <w:r w:rsidR="00F0356C">
        <w:t>T</w:t>
      </w:r>
      <w:r>
        <w:t>estimony.  With regard to step-up substations from the generator, Mr. Evans allocated these costs based on 12-CP demands.  For high voltage (bulk power) transmission</w:t>
      </w:r>
      <w:r w:rsidR="00117E55">
        <w:t xml:space="preserve"> </w:t>
      </w:r>
      <w:r>
        <w:t>related costs, Mr. Evans used a blended approach that considers both 12-CP and 4-CP demands.  Specifically, Mr. Evans</w:t>
      </w:r>
      <w:r w:rsidR="00703EBD">
        <w:t xml:space="preserve">’ </w:t>
      </w:r>
      <w:r>
        <w:t>blended high voltage transmission method utilizes a weighting of 20% 12-CP and 80% 4-CP.  Lower voltage facility accounts are allocated based on either the 4-CP or class NCP methods.</w:t>
      </w:r>
    </w:p>
    <w:p w:rsidR="00871F22" w:rsidRDefault="00871F22" w:rsidP="003E1720">
      <w:pPr>
        <w:spacing w:before="480" w:line="480" w:lineRule="auto"/>
        <w:ind w:left="749" w:hanging="749"/>
        <w:jc w:val="both"/>
        <w:rPr>
          <w:b/>
          <w:bCs/>
        </w:rPr>
      </w:pPr>
      <w:r>
        <w:rPr>
          <w:b/>
          <w:bCs/>
        </w:rPr>
        <w:t>Q.</w:t>
      </w:r>
      <w:r>
        <w:rPr>
          <w:b/>
          <w:bCs/>
        </w:rPr>
        <w:tab/>
        <w:t>DO YOU AGREE WITH MR. EVANS’ APPROACHES TO ALLOCATE TRANSMISSION</w:t>
      </w:r>
      <w:r w:rsidR="00117E55">
        <w:rPr>
          <w:b/>
          <w:bCs/>
        </w:rPr>
        <w:t xml:space="preserve"> </w:t>
      </w:r>
      <w:r>
        <w:rPr>
          <w:b/>
          <w:bCs/>
        </w:rPr>
        <w:t>RELATED COSTS?</w:t>
      </w:r>
    </w:p>
    <w:p w:rsidR="00703EBD" w:rsidRPr="003E1720" w:rsidRDefault="00871F22" w:rsidP="003E1720">
      <w:pPr>
        <w:spacing w:line="480" w:lineRule="auto"/>
        <w:ind w:left="748" w:hanging="748"/>
        <w:jc w:val="both"/>
      </w:pPr>
      <w:r>
        <w:t>A.</w:t>
      </w:r>
      <w:r>
        <w:tab/>
        <w:t>Yes</w:t>
      </w:r>
      <w:r w:rsidRPr="00703EBD">
        <w:t xml:space="preserve">.  </w:t>
      </w:r>
      <w:r w:rsidR="00703EBD" w:rsidRPr="00703EBD">
        <w:t>E</w:t>
      </w:r>
      <w:r w:rsidRPr="00703EBD">
        <w:t>ach sub-category</w:t>
      </w:r>
      <w:r>
        <w:t xml:space="preserve"> of transmission plant </w:t>
      </w:r>
      <w:r w:rsidR="00703EBD">
        <w:t xml:space="preserve">was evaluated wherein we </w:t>
      </w:r>
      <w:r>
        <w:t xml:space="preserve">conclude that Mr. Evans’ approach is reasonable and appropriate.  </w:t>
      </w:r>
    </w:p>
    <w:p w:rsidR="00FF27F4" w:rsidRDefault="00FF27F4" w:rsidP="00FF27F4">
      <w:pPr>
        <w:suppressLineNumbers/>
        <w:spacing w:before="480" w:line="480" w:lineRule="auto"/>
        <w:ind w:firstLine="720"/>
        <w:jc w:val="both"/>
        <w:rPr>
          <w:b/>
        </w:rPr>
      </w:pPr>
    </w:p>
    <w:p w:rsidR="00871F22" w:rsidRPr="00A70E29" w:rsidRDefault="00871F22" w:rsidP="00CE0CFB">
      <w:pPr>
        <w:pStyle w:val="Heading2"/>
        <w:ind w:firstLine="720"/>
      </w:pPr>
      <w:bookmarkStart w:id="12" w:name="_Toc116370401"/>
      <w:r w:rsidRPr="00A70E29">
        <w:lastRenderedPageBreak/>
        <w:t>C.</w:t>
      </w:r>
      <w:r w:rsidRPr="00A70E29">
        <w:tab/>
        <w:t>Classification &amp; Allocation of Distribution Plant</w:t>
      </w:r>
      <w:bookmarkEnd w:id="12"/>
    </w:p>
    <w:p w:rsidR="00871F22" w:rsidRPr="00000282" w:rsidRDefault="00871F22" w:rsidP="003E1720">
      <w:pPr>
        <w:tabs>
          <w:tab w:val="left" w:pos="720"/>
        </w:tabs>
        <w:spacing w:before="480" w:line="480" w:lineRule="auto"/>
        <w:ind w:left="720" w:hanging="720"/>
        <w:jc w:val="both"/>
        <w:rPr>
          <w:b/>
          <w:bCs/>
        </w:rPr>
      </w:pPr>
      <w:r>
        <w:rPr>
          <w:b/>
          <w:bCs/>
        </w:rPr>
        <w:t>Q.</w:t>
      </w:r>
      <w:r>
        <w:rPr>
          <w:b/>
          <w:bCs/>
        </w:rPr>
        <w:tab/>
      </w:r>
      <w:r w:rsidRPr="00000282">
        <w:rPr>
          <w:lang w:val="en-CA"/>
        </w:rPr>
        <w:fldChar w:fldCharType="begin"/>
      </w:r>
      <w:r w:rsidRPr="00000282">
        <w:rPr>
          <w:lang w:val="en-CA"/>
        </w:rPr>
        <w:instrText xml:space="preserve"> SEQ CHAPTER \h \r 1</w:instrText>
      </w:r>
      <w:r w:rsidRPr="00000282">
        <w:rPr>
          <w:lang w:val="en-CA"/>
        </w:rPr>
        <w:fldChar w:fldCharType="end"/>
      </w:r>
      <w:r w:rsidRPr="00000282">
        <w:rPr>
          <w:b/>
          <w:bCs/>
        </w:rPr>
        <w:t>PLEASE EXPLAIN THE PHRASE "CLASSIFICATION OF DISTRIBUTION PLANT."</w:t>
      </w:r>
    </w:p>
    <w:p w:rsidR="00871F22" w:rsidRDefault="00871F22" w:rsidP="008E0A4A">
      <w:pPr>
        <w:tabs>
          <w:tab w:val="left" w:pos="720"/>
        </w:tabs>
        <w:spacing w:line="480" w:lineRule="auto"/>
        <w:ind w:left="722" w:hanging="722"/>
        <w:jc w:val="both"/>
      </w:pPr>
      <w:r w:rsidRPr="00000282">
        <w:t>A.</w:t>
      </w:r>
      <w:r w:rsidRPr="00000282">
        <w:tab/>
        <w:t>It is generally recognized that there are no energy</w:t>
      </w:r>
      <w:r w:rsidR="00117E55">
        <w:t xml:space="preserve"> </w:t>
      </w:r>
      <w:r w:rsidRPr="00000282">
        <w:t>related costs associated with distribution plant.  That is, the distribution system is designed to meet localized peak demands.  However, largely as a result of differences in customer densities throughout a utility's service area,</w:t>
      </w:r>
      <w:r>
        <w:t xml:space="preserve"> some </w:t>
      </w:r>
      <w:r w:rsidRPr="00000282">
        <w:t xml:space="preserve">electric utility distribution plant </w:t>
      </w:r>
      <w:r>
        <w:t xml:space="preserve">accounts are </w:t>
      </w:r>
      <w:r w:rsidRPr="00000282">
        <w:t>sometimes classified as partially demand</w:t>
      </w:r>
      <w:r w:rsidR="00117E55">
        <w:t xml:space="preserve"> </w:t>
      </w:r>
      <w:r w:rsidRPr="00000282">
        <w:t>related and partially customer</w:t>
      </w:r>
      <w:r w:rsidR="00117E55">
        <w:t xml:space="preserve"> </w:t>
      </w:r>
      <w:r w:rsidRPr="00000282">
        <w:t>related.</w:t>
      </w:r>
      <w:r>
        <w:rPr>
          <w:rStyle w:val="FootnoteReference"/>
        </w:rPr>
        <w:footnoteReference w:id="19"/>
      </w:r>
      <w:r>
        <w:t xml:space="preserve">  </w:t>
      </w:r>
    </w:p>
    <w:p w:rsidR="00871F22" w:rsidRPr="009F5162" w:rsidRDefault="00871F22" w:rsidP="008E0A4A">
      <w:pPr>
        <w:spacing w:before="480" w:line="480" w:lineRule="auto"/>
        <w:ind w:left="749" w:hanging="749"/>
        <w:jc w:val="both"/>
        <w:rPr>
          <w:b/>
        </w:rPr>
      </w:pPr>
      <w:r w:rsidRPr="009F5162">
        <w:rPr>
          <w:b/>
        </w:rPr>
        <w:t>Q.</w:t>
      </w:r>
      <w:r w:rsidRPr="009F5162">
        <w:rPr>
          <w:b/>
        </w:rPr>
        <w:tab/>
      </w:r>
      <w:r>
        <w:rPr>
          <w:b/>
        </w:rPr>
        <w:t xml:space="preserve">PLEASE EXPLAIN </w:t>
      </w:r>
      <w:r w:rsidRPr="009F5162">
        <w:rPr>
          <w:b/>
        </w:rPr>
        <w:t xml:space="preserve">WHY </w:t>
      </w:r>
      <w:r>
        <w:rPr>
          <w:b/>
        </w:rPr>
        <w:t xml:space="preserve">DIFFERENCES IN CUSTOMER DENSITIES THROUGHOUT A UTILITY’S SERVICE AREA ARE IMPORTANT IN DETERMINING WHETHER A PORTION OF </w:t>
      </w:r>
      <w:r w:rsidRPr="009F5162">
        <w:rPr>
          <w:b/>
        </w:rPr>
        <w:t xml:space="preserve">DISTRIBUTION </w:t>
      </w:r>
      <w:r>
        <w:rPr>
          <w:b/>
        </w:rPr>
        <w:t>PLANT</w:t>
      </w:r>
      <w:r w:rsidRPr="009F5162">
        <w:rPr>
          <w:b/>
        </w:rPr>
        <w:t xml:space="preserve"> </w:t>
      </w:r>
      <w:r>
        <w:rPr>
          <w:b/>
        </w:rPr>
        <w:t xml:space="preserve">SHOULD BE </w:t>
      </w:r>
      <w:r w:rsidRPr="009F5162">
        <w:rPr>
          <w:b/>
        </w:rPr>
        <w:t>CLASSIFIED AS PARTIALLY CUSTOMER</w:t>
      </w:r>
      <w:r w:rsidR="00117E55">
        <w:rPr>
          <w:b/>
        </w:rPr>
        <w:t xml:space="preserve"> </w:t>
      </w:r>
      <w:r w:rsidRPr="009F5162">
        <w:rPr>
          <w:b/>
        </w:rPr>
        <w:t>RELATED AND PARTIALLY DEMAND</w:t>
      </w:r>
      <w:r w:rsidR="00117E55">
        <w:rPr>
          <w:b/>
        </w:rPr>
        <w:t xml:space="preserve"> </w:t>
      </w:r>
      <w:r w:rsidRPr="009F5162">
        <w:rPr>
          <w:b/>
        </w:rPr>
        <w:t>RELATED</w:t>
      </w:r>
      <w:r>
        <w:rPr>
          <w:b/>
        </w:rPr>
        <w:t>.</w:t>
      </w:r>
    </w:p>
    <w:p w:rsidR="00871F22" w:rsidRDefault="00871F22" w:rsidP="0052613A">
      <w:pPr>
        <w:spacing w:line="480" w:lineRule="auto"/>
        <w:ind w:left="749" w:hanging="749"/>
        <w:jc w:val="both"/>
      </w:pPr>
      <w:r w:rsidRPr="009F5162">
        <w:t>A.</w:t>
      </w:r>
      <w:r w:rsidRPr="009F5162">
        <w:tab/>
        <w:t xml:space="preserve">Even though investments are made in distribution </w:t>
      </w:r>
      <w:r>
        <w:t>plant</w:t>
      </w:r>
      <w:r w:rsidRPr="009F5162">
        <w:t xml:space="preserve"> and </w:t>
      </w:r>
      <w:r>
        <w:t xml:space="preserve">related </w:t>
      </w:r>
      <w:r w:rsidRPr="009F5162">
        <w:t xml:space="preserve">equipment </w:t>
      </w:r>
      <w:r>
        <w:t xml:space="preserve">in order </w:t>
      </w:r>
      <w:r w:rsidRPr="009F5162">
        <w:t xml:space="preserve">to meet the </w:t>
      </w:r>
      <w:r>
        <w:t xml:space="preserve">power requirements </w:t>
      </w:r>
      <w:r w:rsidRPr="009F5162">
        <w:t xml:space="preserve">of its </w:t>
      </w:r>
      <w:r>
        <w:t xml:space="preserve">collective </w:t>
      </w:r>
      <w:r w:rsidRPr="009F5162">
        <w:t xml:space="preserve">customers, there may be considerable differences in both customer densities and the mix of customers throughout a utility’s service area.  As a hypothetical, suppose a utility serves both an urban area and a rural area.  In this situation, many customers’ </w:t>
      </w:r>
      <w:r>
        <w:t>loads</w:t>
      </w:r>
      <w:r w:rsidRPr="009F5162">
        <w:t xml:space="preserve"> are served with relatively few miles of </w:t>
      </w:r>
      <w:r>
        <w:t xml:space="preserve">poles and conductors in the </w:t>
      </w:r>
      <w:r w:rsidRPr="009F5162">
        <w:t xml:space="preserve">urban area, while many more miles of </w:t>
      </w:r>
      <w:r>
        <w:t xml:space="preserve">poles and conductors </w:t>
      </w:r>
      <w:r w:rsidRPr="009F5162">
        <w:t xml:space="preserve">are </w:t>
      </w:r>
      <w:r w:rsidRPr="009F5162">
        <w:lastRenderedPageBreak/>
        <w:t xml:space="preserve">required to serve the requirements of relatively few customers in the rural area.  If the distribution of classes of customers (class customer mix) is relatively similar in both the rural and urban areas, there is no need to consider customer counts (number of customers) within the allocation process, because all classes use the utility’s joint distribution facilities proportionately across the service area.  However, if the customer mix is such that </w:t>
      </w:r>
      <w:r>
        <w:t>c</w:t>
      </w:r>
      <w:r w:rsidRPr="009F5162">
        <w:t xml:space="preserve">ommercial and </w:t>
      </w:r>
      <w:r>
        <w:t>i</w:t>
      </w:r>
      <w:r w:rsidRPr="009F5162">
        <w:t xml:space="preserve">ndustrial customers are predominately clustered in the urban area, while the rural portion of the service territory consists almost entirely of </w:t>
      </w:r>
      <w:r w:rsidR="00FC4ACD">
        <w:t>r</w:t>
      </w:r>
      <w:r w:rsidRPr="009F5162">
        <w:t>esidential customers, it may be unreasonable to allocate the total Company’s investment based only on demand</w:t>
      </w:r>
      <w:r>
        <w:t xml:space="preserve">; </w:t>
      </w:r>
      <w:r w:rsidRPr="009F5162">
        <w:t xml:space="preserve">i.e., a large investment in many miles of </w:t>
      </w:r>
      <w:r>
        <w:t>poles and conductors are</w:t>
      </w:r>
      <w:r w:rsidRPr="009F5162">
        <w:t xml:space="preserve"> required to serve predominately Residential customers in the rural area while the </w:t>
      </w:r>
      <w:r>
        <w:t>c</w:t>
      </w:r>
      <w:r w:rsidRPr="009F5162">
        <w:t xml:space="preserve">ommercial and </w:t>
      </w:r>
      <w:r>
        <w:t>i</w:t>
      </w:r>
      <w:r w:rsidRPr="009F5162">
        <w:t>ndustrial</w:t>
      </w:r>
      <w:r>
        <w:t xml:space="preserve"> power</w:t>
      </w:r>
      <w:r w:rsidRPr="009F5162">
        <w:t xml:space="preserve"> needs are met with much fewer miles of </w:t>
      </w:r>
      <w:r>
        <w:t>poles and conductors</w:t>
      </w:r>
      <w:r w:rsidRPr="009F5162">
        <w:t xml:space="preserve"> in the urban area.  Under this circumstance, an allocation </w:t>
      </w:r>
      <w:r>
        <w:t xml:space="preserve">method that considers number of customers </w:t>
      </w:r>
      <w:r w:rsidRPr="009F5162">
        <w:t>can be considered equitable and appropriate.</w:t>
      </w:r>
    </w:p>
    <w:p w:rsidR="00871F22" w:rsidRPr="00000282" w:rsidRDefault="00871F22" w:rsidP="00440B2E">
      <w:pPr>
        <w:spacing w:before="360" w:line="480" w:lineRule="auto"/>
        <w:ind w:left="749" w:hanging="749"/>
        <w:jc w:val="both"/>
      </w:pPr>
      <w:r>
        <w:tab/>
        <w:t>Because of the diverse geographic and demographic characteristics of Georgia Power’s service area, a classification of distribution poles, conductors, and line transformers is appropriate.</w:t>
      </w:r>
    </w:p>
    <w:p w:rsidR="00871F22" w:rsidRDefault="00871F22" w:rsidP="008E0A4A">
      <w:pPr>
        <w:spacing w:before="480" w:line="480" w:lineRule="auto"/>
        <w:ind w:left="720" w:hanging="662"/>
        <w:jc w:val="both"/>
        <w:rPr>
          <w:b/>
        </w:rPr>
      </w:pPr>
      <w:r>
        <w:rPr>
          <w:b/>
        </w:rPr>
        <w:t>Q.</w:t>
      </w:r>
      <w:r>
        <w:rPr>
          <w:b/>
        </w:rPr>
        <w:tab/>
        <w:t>HOW DID MR. EVANS CLASSIFY DISTRIBUTION PLANT RELATED COSTS?</w:t>
      </w:r>
    </w:p>
    <w:p w:rsidR="00871F22" w:rsidRDefault="00871F22" w:rsidP="002F2816">
      <w:pPr>
        <w:spacing w:line="480" w:lineRule="auto"/>
        <w:ind w:left="720" w:hanging="662"/>
        <w:jc w:val="both"/>
      </w:pPr>
      <w:r>
        <w:t>A.</w:t>
      </w:r>
      <w:r>
        <w:tab/>
        <w:t xml:space="preserve"> Mr. Evans utilized what is known as the Zero-Intercept method to separately classify distribution poles, conductors, and transformers.  Under the Zero-Intercept method, statistical linear regression techniques are used to estimate the cost of a theoretical “zero-size” pole, conductor, or transformer.</w:t>
      </w:r>
    </w:p>
    <w:p w:rsidR="00871F22" w:rsidRDefault="00871F22" w:rsidP="003E1720">
      <w:pPr>
        <w:spacing w:before="480" w:line="480" w:lineRule="auto"/>
        <w:ind w:left="720" w:hanging="662"/>
        <w:jc w:val="both"/>
        <w:rPr>
          <w:b/>
          <w:bCs/>
        </w:rPr>
      </w:pPr>
      <w:r>
        <w:rPr>
          <w:b/>
          <w:bCs/>
        </w:rPr>
        <w:lastRenderedPageBreak/>
        <w:t>Q.</w:t>
      </w:r>
      <w:r>
        <w:rPr>
          <w:b/>
          <w:bCs/>
        </w:rPr>
        <w:tab/>
        <w:t>WHAT ARE THE RESULTS OF MR. EVANS’ DISTRIBUTION PLANT CLASSIFICATIONS BETWEEN CUSTOMER AND DEMAND?</w:t>
      </w:r>
    </w:p>
    <w:p w:rsidR="00871F22" w:rsidRDefault="00871F22" w:rsidP="004D6B46">
      <w:pPr>
        <w:spacing w:after="360" w:line="480" w:lineRule="auto"/>
        <w:ind w:left="720" w:hanging="662"/>
        <w:jc w:val="both"/>
      </w:pPr>
      <w:r>
        <w:t>A.</w:t>
      </w:r>
      <w:r>
        <w:tab/>
        <w:t>The following table presents Mr. Evans’ distribution classification results for each plant account:</w:t>
      </w:r>
    </w:p>
    <w:tbl>
      <w:tblPr>
        <w:tblW w:w="0" w:type="auto"/>
        <w:jc w:val="center"/>
        <w:tblLook w:val="04A0" w:firstRow="1" w:lastRow="0" w:firstColumn="1" w:lastColumn="0" w:noHBand="0" w:noVBand="1"/>
      </w:tblPr>
      <w:tblGrid>
        <w:gridCol w:w="2718"/>
        <w:gridCol w:w="236"/>
        <w:gridCol w:w="2558"/>
        <w:gridCol w:w="254"/>
        <w:gridCol w:w="1150"/>
      </w:tblGrid>
      <w:tr w:rsidR="00871F22" w:rsidTr="0052613A">
        <w:trPr>
          <w:jc w:val="center"/>
        </w:trPr>
        <w:tc>
          <w:tcPr>
            <w:tcW w:w="6914" w:type="dxa"/>
            <w:gridSpan w:val="5"/>
            <w:tcBorders>
              <w:bottom w:val="single" w:sz="4" w:space="0" w:color="auto"/>
            </w:tcBorders>
            <w:shd w:val="clear" w:color="auto" w:fill="auto"/>
          </w:tcPr>
          <w:p w:rsidR="00871F22" w:rsidRDefault="00871F22" w:rsidP="0052613A">
            <w:pPr>
              <w:jc w:val="center"/>
            </w:pPr>
            <w:r>
              <w:t xml:space="preserve">TABLE </w:t>
            </w:r>
            <w:r w:rsidR="00703EBD">
              <w:t>6</w:t>
            </w:r>
          </w:p>
          <w:p w:rsidR="00871F22" w:rsidRDefault="00871F22" w:rsidP="0052613A">
            <w:pPr>
              <w:jc w:val="center"/>
            </w:pPr>
            <w:r>
              <w:t>Georgia Power Classification of Distribution Plant</w:t>
            </w:r>
          </w:p>
        </w:tc>
      </w:tr>
      <w:tr w:rsidR="00871F22" w:rsidTr="0052613A">
        <w:trPr>
          <w:jc w:val="center"/>
        </w:trPr>
        <w:tc>
          <w:tcPr>
            <w:tcW w:w="2718" w:type="dxa"/>
            <w:tcBorders>
              <w:top w:val="single" w:sz="4" w:space="0" w:color="auto"/>
            </w:tcBorders>
            <w:shd w:val="clear" w:color="auto" w:fill="auto"/>
          </w:tcPr>
          <w:p w:rsidR="00871F22" w:rsidRDefault="00871F22" w:rsidP="0052613A">
            <w:pPr>
              <w:jc w:val="both"/>
            </w:pPr>
          </w:p>
        </w:tc>
        <w:tc>
          <w:tcPr>
            <w:tcW w:w="236" w:type="dxa"/>
            <w:tcBorders>
              <w:top w:val="single" w:sz="4" w:space="0" w:color="auto"/>
            </w:tcBorders>
            <w:shd w:val="clear" w:color="auto" w:fill="auto"/>
          </w:tcPr>
          <w:p w:rsidR="00871F22" w:rsidRDefault="00871F22" w:rsidP="0052613A">
            <w:pPr>
              <w:jc w:val="both"/>
            </w:pPr>
          </w:p>
        </w:tc>
        <w:tc>
          <w:tcPr>
            <w:tcW w:w="2558" w:type="dxa"/>
            <w:tcBorders>
              <w:top w:val="single" w:sz="4" w:space="0" w:color="auto"/>
            </w:tcBorders>
            <w:shd w:val="clear" w:color="auto" w:fill="auto"/>
          </w:tcPr>
          <w:p w:rsidR="00871F22" w:rsidRDefault="00871F22" w:rsidP="0052613A">
            <w:pPr>
              <w:jc w:val="both"/>
            </w:pPr>
          </w:p>
        </w:tc>
        <w:tc>
          <w:tcPr>
            <w:tcW w:w="254" w:type="dxa"/>
            <w:tcBorders>
              <w:top w:val="single" w:sz="4" w:space="0" w:color="auto"/>
            </w:tcBorders>
            <w:shd w:val="clear" w:color="auto" w:fill="auto"/>
          </w:tcPr>
          <w:p w:rsidR="00871F22" w:rsidRDefault="00871F22" w:rsidP="0052613A">
            <w:pPr>
              <w:jc w:val="both"/>
            </w:pPr>
          </w:p>
        </w:tc>
        <w:tc>
          <w:tcPr>
            <w:tcW w:w="1150" w:type="dxa"/>
            <w:tcBorders>
              <w:top w:val="single" w:sz="4" w:space="0" w:color="auto"/>
            </w:tcBorders>
            <w:shd w:val="clear" w:color="auto" w:fill="auto"/>
          </w:tcPr>
          <w:p w:rsidR="00871F22" w:rsidRDefault="00871F22" w:rsidP="0052613A">
            <w:pPr>
              <w:jc w:val="center"/>
            </w:pPr>
            <w:r>
              <w:t>Percent</w:t>
            </w:r>
          </w:p>
        </w:tc>
      </w:tr>
      <w:tr w:rsidR="00871F22" w:rsidTr="0052613A">
        <w:trPr>
          <w:jc w:val="center"/>
        </w:trPr>
        <w:tc>
          <w:tcPr>
            <w:tcW w:w="5510" w:type="dxa"/>
            <w:gridSpan w:val="3"/>
            <w:tcBorders>
              <w:bottom w:val="single" w:sz="4" w:space="0" w:color="auto"/>
            </w:tcBorders>
            <w:shd w:val="clear" w:color="auto" w:fill="auto"/>
          </w:tcPr>
          <w:p w:rsidR="00871F22" w:rsidRDefault="00871F22" w:rsidP="0052613A">
            <w:pPr>
              <w:jc w:val="center"/>
            </w:pPr>
            <w:r>
              <w:t>Account</w:t>
            </w:r>
          </w:p>
        </w:tc>
        <w:tc>
          <w:tcPr>
            <w:tcW w:w="254" w:type="dxa"/>
            <w:shd w:val="clear" w:color="auto" w:fill="auto"/>
          </w:tcPr>
          <w:p w:rsidR="00871F22" w:rsidRDefault="00871F22" w:rsidP="0052613A">
            <w:pPr>
              <w:jc w:val="both"/>
            </w:pPr>
          </w:p>
        </w:tc>
        <w:tc>
          <w:tcPr>
            <w:tcW w:w="1150" w:type="dxa"/>
            <w:tcBorders>
              <w:bottom w:val="single" w:sz="4" w:space="0" w:color="auto"/>
            </w:tcBorders>
            <w:shd w:val="clear" w:color="auto" w:fill="auto"/>
          </w:tcPr>
          <w:p w:rsidR="00871F22" w:rsidRDefault="00871F22" w:rsidP="0052613A">
            <w:pPr>
              <w:jc w:val="center"/>
            </w:pPr>
            <w:r>
              <w:t>Customer</w:t>
            </w:r>
          </w:p>
        </w:tc>
      </w:tr>
      <w:tr w:rsidR="00871F22" w:rsidTr="0052613A">
        <w:trPr>
          <w:jc w:val="center"/>
        </w:trPr>
        <w:tc>
          <w:tcPr>
            <w:tcW w:w="2718" w:type="dxa"/>
            <w:tcBorders>
              <w:top w:val="single" w:sz="4" w:space="0" w:color="auto"/>
            </w:tcBorders>
            <w:shd w:val="clear" w:color="auto" w:fill="auto"/>
          </w:tcPr>
          <w:p w:rsidR="00871F22" w:rsidRDefault="00871F22" w:rsidP="0052613A">
            <w:pPr>
              <w:jc w:val="both"/>
            </w:pPr>
            <w:r>
              <w:t>364 - Poles</w:t>
            </w:r>
          </w:p>
        </w:tc>
        <w:tc>
          <w:tcPr>
            <w:tcW w:w="236" w:type="dxa"/>
            <w:tcBorders>
              <w:top w:val="single" w:sz="4" w:space="0" w:color="auto"/>
            </w:tcBorders>
            <w:shd w:val="clear" w:color="auto" w:fill="auto"/>
          </w:tcPr>
          <w:p w:rsidR="00871F22" w:rsidRDefault="00871F22" w:rsidP="0052613A">
            <w:pPr>
              <w:jc w:val="both"/>
            </w:pPr>
          </w:p>
        </w:tc>
        <w:tc>
          <w:tcPr>
            <w:tcW w:w="2558" w:type="dxa"/>
            <w:tcBorders>
              <w:top w:val="single" w:sz="4" w:space="0" w:color="auto"/>
            </w:tcBorders>
            <w:shd w:val="clear" w:color="auto" w:fill="auto"/>
          </w:tcPr>
          <w:p w:rsidR="00871F22" w:rsidRDefault="00871F22" w:rsidP="0052613A">
            <w:pPr>
              <w:jc w:val="both"/>
            </w:pPr>
            <w:r>
              <w:t>Primary &amp; Secondary</w:t>
            </w:r>
          </w:p>
        </w:tc>
        <w:tc>
          <w:tcPr>
            <w:tcW w:w="254" w:type="dxa"/>
            <w:shd w:val="clear" w:color="auto" w:fill="auto"/>
          </w:tcPr>
          <w:p w:rsidR="00871F22" w:rsidRDefault="00871F22" w:rsidP="0052613A">
            <w:pPr>
              <w:jc w:val="both"/>
            </w:pPr>
          </w:p>
        </w:tc>
        <w:tc>
          <w:tcPr>
            <w:tcW w:w="1150" w:type="dxa"/>
            <w:tcBorders>
              <w:top w:val="single" w:sz="4" w:space="0" w:color="auto"/>
            </w:tcBorders>
            <w:shd w:val="clear" w:color="auto" w:fill="auto"/>
          </w:tcPr>
          <w:p w:rsidR="00871F22" w:rsidRDefault="00871F22" w:rsidP="0052613A">
            <w:pPr>
              <w:jc w:val="center"/>
            </w:pPr>
            <w:r>
              <w:t>39.2%</w:t>
            </w:r>
          </w:p>
        </w:tc>
      </w:tr>
      <w:tr w:rsidR="00871F22" w:rsidTr="0052613A">
        <w:trPr>
          <w:jc w:val="center"/>
        </w:trPr>
        <w:tc>
          <w:tcPr>
            <w:tcW w:w="2718" w:type="dxa"/>
            <w:shd w:val="clear" w:color="auto" w:fill="auto"/>
          </w:tcPr>
          <w:p w:rsidR="00871F22" w:rsidRDefault="00871F22" w:rsidP="0052613A">
            <w:pPr>
              <w:jc w:val="both"/>
            </w:pPr>
            <w:r>
              <w:t>365 – OH Conductors</w:t>
            </w:r>
          </w:p>
        </w:tc>
        <w:tc>
          <w:tcPr>
            <w:tcW w:w="236" w:type="dxa"/>
            <w:shd w:val="clear" w:color="auto" w:fill="auto"/>
          </w:tcPr>
          <w:p w:rsidR="00871F22" w:rsidRDefault="00871F22" w:rsidP="0052613A">
            <w:pPr>
              <w:jc w:val="both"/>
            </w:pPr>
          </w:p>
        </w:tc>
        <w:tc>
          <w:tcPr>
            <w:tcW w:w="2558" w:type="dxa"/>
            <w:shd w:val="clear" w:color="auto" w:fill="auto"/>
          </w:tcPr>
          <w:p w:rsidR="00871F22" w:rsidRDefault="00871F22" w:rsidP="0052613A">
            <w:pPr>
              <w:jc w:val="both"/>
            </w:pPr>
            <w:r>
              <w:t>Primary &amp; Secondary</w:t>
            </w:r>
          </w:p>
        </w:tc>
        <w:tc>
          <w:tcPr>
            <w:tcW w:w="254" w:type="dxa"/>
            <w:shd w:val="clear" w:color="auto" w:fill="auto"/>
          </w:tcPr>
          <w:p w:rsidR="00871F22" w:rsidRDefault="00871F22" w:rsidP="0052613A">
            <w:pPr>
              <w:jc w:val="both"/>
            </w:pPr>
          </w:p>
        </w:tc>
        <w:tc>
          <w:tcPr>
            <w:tcW w:w="1150" w:type="dxa"/>
            <w:shd w:val="clear" w:color="auto" w:fill="auto"/>
          </w:tcPr>
          <w:p w:rsidR="00871F22" w:rsidRDefault="00871F22" w:rsidP="0052613A">
            <w:pPr>
              <w:jc w:val="center"/>
            </w:pPr>
            <w:r>
              <w:t>43.4%</w:t>
            </w:r>
          </w:p>
        </w:tc>
      </w:tr>
      <w:tr w:rsidR="00871F22" w:rsidTr="0052613A">
        <w:trPr>
          <w:jc w:val="center"/>
        </w:trPr>
        <w:tc>
          <w:tcPr>
            <w:tcW w:w="2718" w:type="dxa"/>
            <w:shd w:val="clear" w:color="auto" w:fill="auto"/>
          </w:tcPr>
          <w:p w:rsidR="00871F22" w:rsidRDefault="00871F22" w:rsidP="0052613A">
            <w:pPr>
              <w:jc w:val="both"/>
            </w:pPr>
            <w:r>
              <w:t>366 – UG Conduit</w:t>
            </w:r>
          </w:p>
        </w:tc>
        <w:tc>
          <w:tcPr>
            <w:tcW w:w="236" w:type="dxa"/>
            <w:shd w:val="clear" w:color="auto" w:fill="auto"/>
          </w:tcPr>
          <w:p w:rsidR="00871F22" w:rsidRDefault="00871F22" w:rsidP="0052613A">
            <w:pPr>
              <w:jc w:val="both"/>
            </w:pPr>
          </w:p>
        </w:tc>
        <w:tc>
          <w:tcPr>
            <w:tcW w:w="2558" w:type="dxa"/>
            <w:shd w:val="clear" w:color="auto" w:fill="auto"/>
          </w:tcPr>
          <w:p w:rsidR="00871F22" w:rsidRDefault="00871F22" w:rsidP="0052613A">
            <w:pPr>
              <w:jc w:val="both"/>
            </w:pPr>
            <w:r>
              <w:t>Primary</w:t>
            </w:r>
          </w:p>
        </w:tc>
        <w:tc>
          <w:tcPr>
            <w:tcW w:w="254" w:type="dxa"/>
            <w:shd w:val="clear" w:color="auto" w:fill="auto"/>
          </w:tcPr>
          <w:p w:rsidR="00871F22" w:rsidRDefault="00871F22" w:rsidP="0052613A">
            <w:pPr>
              <w:jc w:val="both"/>
            </w:pPr>
          </w:p>
        </w:tc>
        <w:tc>
          <w:tcPr>
            <w:tcW w:w="1150" w:type="dxa"/>
            <w:shd w:val="clear" w:color="auto" w:fill="auto"/>
          </w:tcPr>
          <w:p w:rsidR="00871F22" w:rsidRDefault="00871F22" w:rsidP="0052613A">
            <w:pPr>
              <w:jc w:val="center"/>
            </w:pPr>
            <w:r>
              <w:t>11.7%</w:t>
            </w:r>
          </w:p>
        </w:tc>
      </w:tr>
      <w:tr w:rsidR="00871F22" w:rsidTr="0052613A">
        <w:trPr>
          <w:jc w:val="center"/>
        </w:trPr>
        <w:tc>
          <w:tcPr>
            <w:tcW w:w="2718" w:type="dxa"/>
            <w:shd w:val="clear" w:color="auto" w:fill="auto"/>
          </w:tcPr>
          <w:p w:rsidR="00871F22" w:rsidRDefault="00871F22" w:rsidP="0052613A">
            <w:pPr>
              <w:jc w:val="both"/>
            </w:pPr>
            <w:r>
              <w:t xml:space="preserve"> </w:t>
            </w:r>
          </w:p>
        </w:tc>
        <w:tc>
          <w:tcPr>
            <w:tcW w:w="236" w:type="dxa"/>
            <w:shd w:val="clear" w:color="auto" w:fill="auto"/>
          </w:tcPr>
          <w:p w:rsidR="00871F22" w:rsidRDefault="00871F22" w:rsidP="0052613A">
            <w:pPr>
              <w:jc w:val="both"/>
            </w:pPr>
          </w:p>
        </w:tc>
        <w:tc>
          <w:tcPr>
            <w:tcW w:w="2558" w:type="dxa"/>
            <w:shd w:val="clear" w:color="auto" w:fill="auto"/>
          </w:tcPr>
          <w:p w:rsidR="00871F22" w:rsidRDefault="00871F22" w:rsidP="0052613A">
            <w:pPr>
              <w:jc w:val="both"/>
            </w:pPr>
            <w:r>
              <w:t>Secondary</w:t>
            </w:r>
          </w:p>
        </w:tc>
        <w:tc>
          <w:tcPr>
            <w:tcW w:w="254" w:type="dxa"/>
            <w:shd w:val="clear" w:color="auto" w:fill="auto"/>
          </w:tcPr>
          <w:p w:rsidR="00871F22" w:rsidRDefault="00871F22" w:rsidP="0052613A">
            <w:pPr>
              <w:jc w:val="both"/>
            </w:pPr>
          </w:p>
        </w:tc>
        <w:tc>
          <w:tcPr>
            <w:tcW w:w="1150" w:type="dxa"/>
            <w:shd w:val="clear" w:color="auto" w:fill="auto"/>
          </w:tcPr>
          <w:p w:rsidR="00871F22" w:rsidRDefault="00871F22" w:rsidP="0052613A">
            <w:pPr>
              <w:jc w:val="center"/>
            </w:pPr>
            <w:r>
              <w:t>26.3%</w:t>
            </w:r>
          </w:p>
        </w:tc>
      </w:tr>
      <w:tr w:rsidR="00871F22" w:rsidTr="0052613A">
        <w:trPr>
          <w:jc w:val="center"/>
        </w:trPr>
        <w:tc>
          <w:tcPr>
            <w:tcW w:w="2718" w:type="dxa"/>
            <w:shd w:val="clear" w:color="auto" w:fill="auto"/>
          </w:tcPr>
          <w:p w:rsidR="00871F22" w:rsidRDefault="00871F22" w:rsidP="0052613A">
            <w:pPr>
              <w:jc w:val="both"/>
            </w:pPr>
          </w:p>
        </w:tc>
        <w:tc>
          <w:tcPr>
            <w:tcW w:w="236" w:type="dxa"/>
            <w:shd w:val="clear" w:color="auto" w:fill="auto"/>
          </w:tcPr>
          <w:p w:rsidR="00871F22" w:rsidRDefault="00871F22" w:rsidP="0052613A">
            <w:pPr>
              <w:jc w:val="both"/>
            </w:pPr>
          </w:p>
        </w:tc>
        <w:tc>
          <w:tcPr>
            <w:tcW w:w="2558" w:type="dxa"/>
            <w:shd w:val="clear" w:color="auto" w:fill="auto"/>
          </w:tcPr>
          <w:p w:rsidR="00871F22" w:rsidRDefault="00871F22" w:rsidP="0052613A">
            <w:pPr>
              <w:jc w:val="both"/>
            </w:pPr>
          </w:p>
        </w:tc>
        <w:tc>
          <w:tcPr>
            <w:tcW w:w="254" w:type="dxa"/>
            <w:shd w:val="clear" w:color="auto" w:fill="auto"/>
          </w:tcPr>
          <w:p w:rsidR="00871F22" w:rsidRDefault="00871F22" w:rsidP="0052613A">
            <w:pPr>
              <w:jc w:val="both"/>
            </w:pPr>
          </w:p>
        </w:tc>
        <w:tc>
          <w:tcPr>
            <w:tcW w:w="1150" w:type="dxa"/>
            <w:shd w:val="clear" w:color="auto" w:fill="auto"/>
          </w:tcPr>
          <w:p w:rsidR="00871F22" w:rsidRDefault="00871F22" w:rsidP="0052613A">
            <w:pPr>
              <w:jc w:val="center"/>
            </w:pPr>
          </w:p>
        </w:tc>
      </w:tr>
      <w:tr w:rsidR="00871F22" w:rsidTr="0052613A">
        <w:trPr>
          <w:jc w:val="center"/>
        </w:trPr>
        <w:tc>
          <w:tcPr>
            <w:tcW w:w="2718" w:type="dxa"/>
            <w:shd w:val="clear" w:color="auto" w:fill="auto"/>
          </w:tcPr>
          <w:p w:rsidR="00871F22" w:rsidRDefault="00871F22" w:rsidP="0052613A">
            <w:pPr>
              <w:jc w:val="both"/>
            </w:pPr>
            <w:r>
              <w:t>367 – UG Conductors</w:t>
            </w:r>
          </w:p>
        </w:tc>
        <w:tc>
          <w:tcPr>
            <w:tcW w:w="236" w:type="dxa"/>
            <w:shd w:val="clear" w:color="auto" w:fill="auto"/>
          </w:tcPr>
          <w:p w:rsidR="00871F22" w:rsidRDefault="00871F22" w:rsidP="0052613A">
            <w:pPr>
              <w:jc w:val="both"/>
            </w:pPr>
          </w:p>
        </w:tc>
        <w:tc>
          <w:tcPr>
            <w:tcW w:w="2558" w:type="dxa"/>
            <w:shd w:val="clear" w:color="auto" w:fill="auto"/>
          </w:tcPr>
          <w:p w:rsidR="00871F22" w:rsidRDefault="00871F22" w:rsidP="0052613A">
            <w:pPr>
              <w:jc w:val="both"/>
            </w:pPr>
            <w:r>
              <w:t>Primary &amp; Secondary</w:t>
            </w:r>
          </w:p>
        </w:tc>
        <w:tc>
          <w:tcPr>
            <w:tcW w:w="254" w:type="dxa"/>
            <w:shd w:val="clear" w:color="auto" w:fill="auto"/>
          </w:tcPr>
          <w:p w:rsidR="00871F22" w:rsidRDefault="00871F22" w:rsidP="0052613A">
            <w:pPr>
              <w:jc w:val="both"/>
            </w:pPr>
          </w:p>
        </w:tc>
        <w:tc>
          <w:tcPr>
            <w:tcW w:w="1150" w:type="dxa"/>
            <w:shd w:val="clear" w:color="auto" w:fill="auto"/>
          </w:tcPr>
          <w:p w:rsidR="00871F22" w:rsidRDefault="00871F22" w:rsidP="0052613A">
            <w:pPr>
              <w:jc w:val="center"/>
            </w:pPr>
            <w:r>
              <w:t>11.7%</w:t>
            </w:r>
          </w:p>
        </w:tc>
      </w:tr>
      <w:tr w:rsidR="00871F22" w:rsidTr="0052613A">
        <w:trPr>
          <w:jc w:val="center"/>
        </w:trPr>
        <w:tc>
          <w:tcPr>
            <w:tcW w:w="2718" w:type="dxa"/>
            <w:tcBorders>
              <w:bottom w:val="single" w:sz="4" w:space="0" w:color="auto"/>
            </w:tcBorders>
            <w:shd w:val="clear" w:color="auto" w:fill="auto"/>
          </w:tcPr>
          <w:p w:rsidR="00871F22" w:rsidRDefault="00871F22" w:rsidP="0052613A">
            <w:pPr>
              <w:jc w:val="both"/>
            </w:pPr>
            <w:r>
              <w:t>368 – Line Transformers</w:t>
            </w:r>
          </w:p>
        </w:tc>
        <w:tc>
          <w:tcPr>
            <w:tcW w:w="236" w:type="dxa"/>
            <w:tcBorders>
              <w:bottom w:val="single" w:sz="4" w:space="0" w:color="auto"/>
            </w:tcBorders>
            <w:shd w:val="clear" w:color="auto" w:fill="auto"/>
          </w:tcPr>
          <w:p w:rsidR="00871F22" w:rsidRDefault="00871F22" w:rsidP="0052613A">
            <w:pPr>
              <w:jc w:val="both"/>
            </w:pPr>
          </w:p>
        </w:tc>
        <w:tc>
          <w:tcPr>
            <w:tcW w:w="2558" w:type="dxa"/>
            <w:tcBorders>
              <w:bottom w:val="single" w:sz="4" w:space="0" w:color="auto"/>
            </w:tcBorders>
            <w:shd w:val="clear" w:color="auto" w:fill="auto"/>
          </w:tcPr>
          <w:p w:rsidR="00871F22" w:rsidRDefault="00871F22" w:rsidP="0052613A">
            <w:pPr>
              <w:jc w:val="both"/>
            </w:pPr>
          </w:p>
        </w:tc>
        <w:tc>
          <w:tcPr>
            <w:tcW w:w="254" w:type="dxa"/>
            <w:tcBorders>
              <w:bottom w:val="single" w:sz="4" w:space="0" w:color="auto"/>
            </w:tcBorders>
            <w:shd w:val="clear" w:color="auto" w:fill="auto"/>
          </w:tcPr>
          <w:p w:rsidR="00871F22" w:rsidRDefault="00871F22" w:rsidP="0052613A">
            <w:pPr>
              <w:jc w:val="both"/>
            </w:pPr>
          </w:p>
        </w:tc>
        <w:tc>
          <w:tcPr>
            <w:tcW w:w="1150" w:type="dxa"/>
            <w:tcBorders>
              <w:bottom w:val="single" w:sz="4" w:space="0" w:color="auto"/>
            </w:tcBorders>
            <w:shd w:val="clear" w:color="auto" w:fill="auto"/>
          </w:tcPr>
          <w:p w:rsidR="00871F22" w:rsidRDefault="00871F22" w:rsidP="0052613A">
            <w:pPr>
              <w:jc w:val="center"/>
            </w:pPr>
            <w:r>
              <w:t>53.7%</w:t>
            </w:r>
          </w:p>
        </w:tc>
      </w:tr>
      <w:tr w:rsidR="00871F22" w:rsidTr="0052613A">
        <w:trPr>
          <w:jc w:val="center"/>
        </w:trPr>
        <w:tc>
          <w:tcPr>
            <w:tcW w:w="2718" w:type="dxa"/>
            <w:tcBorders>
              <w:top w:val="single" w:sz="4" w:space="0" w:color="auto"/>
            </w:tcBorders>
            <w:shd w:val="clear" w:color="auto" w:fill="auto"/>
          </w:tcPr>
          <w:p w:rsidR="00871F22" w:rsidRDefault="00871F22" w:rsidP="0052613A">
            <w:pPr>
              <w:jc w:val="both"/>
            </w:pPr>
            <w:r>
              <w:t>Total Accts. 364-368</w:t>
            </w:r>
          </w:p>
        </w:tc>
        <w:tc>
          <w:tcPr>
            <w:tcW w:w="236" w:type="dxa"/>
            <w:tcBorders>
              <w:top w:val="single" w:sz="4" w:space="0" w:color="auto"/>
            </w:tcBorders>
            <w:shd w:val="clear" w:color="auto" w:fill="auto"/>
          </w:tcPr>
          <w:p w:rsidR="00871F22" w:rsidRDefault="00871F22" w:rsidP="0052613A">
            <w:pPr>
              <w:jc w:val="both"/>
            </w:pPr>
          </w:p>
        </w:tc>
        <w:tc>
          <w:tcPr>
            <w:tcW w:w="2558" w:type="dxa"/>
            <w:tcBorders>
              <w:top w:val="single" w:sz="4" w:space="0" w:color="auto"/>
            </w:tcBorders>
            <w:shd w:val="clear" w:color="auto" w:fill="auto"/>
          </w:tcPr>
          <w:p w:rsidR="00871F22" w:rsidRDefault="00871F22" w:rsidP="0052613A">
            <w:pPr>
              <w:jc w:val="both"/>
            </w:pPr>
          </w:p>
        </w:tc>
        <w:tc>
          <w:tcPr>
            <w:tcW w:w="254" w:type="dxa"/>
            <w:tcBorders>
              <w:top w:val="single" w:sz="4" w:space="0" w:color="auto"/>
            </w:tcBorders>
            <w:shd w:val="clear" w:color="auto" w:fill="auto"/>
          </w:tcPr>
          <w:p w:rsidR="00871F22" w:rsidRDefault="00871F22" w:rsidP="0052613A">
            <w:pPr>
              <w:jc w:val="both"/>
            </w:pPr>
          </w:p>
        </w:tc>
        <w:tc>
          <w:tcPr>
            <w:tcW w:w="1150" w:type="dxa"/>
            <w:tcBorders>
              <w:top w:val="single" w:sz="4" w:space="0" w:color="auto"/>
            </w:tcBorders>
            <w:shd w:val="clear" w:color="auto" w:fill="auto"/>
          </w:tcPr>
          <w:p w:rsidR="00871F22" w:rsidRDefault="00871F22" w:rsidP="0052613A">
            <w:pPr>
              <w:jc w:val="center"/>
            </w:pPr>
            <w:r>
              <w:t>32.8%</w:t>
            </w:r>
          </w:p>
        </w:tc>
      </w:tr>
    </w:tbl>
    <w:p w:rsidR="00871F22" w:rsidRDefault="00871F22" w:rsidP="00A13D61">
      <w:pPr>
        <w:suppressLineNumbers/>
        <w:spacing w:line="360" w:lineRule="auto"/>
        <w:ind w:left="720" w:hanging="662"/>
        <w:jc w:val="both"/>
      </w:pPr>
    </w:p>
    <w:p w:rsidR="00871F22" w:rsidRDefault="00871F22" w:rsidP="007452DE">
      <w:pPr>
        <w:spacing w:before="480" w:line="480" w:lineRule="auto"/>
        <w:ind w:left="720" w:hanging="720"/>
        <w:jc w:val="both"/>
        <w:rPr>
          <w:b/>
        </w:rPr>
      </w:pPr>
      <w:r w:rsidRPr="00F004F1">
        <w:rPr>
          <w:b/>
        </w:rPr>
        <w:t>Q.</w:t>
      </w:r>
      <w:r w:rsidRPr="00F004F1">
        <w:rPr>
          <w:b/>
        </w:rPr>
        <w:tab/>
      </w:r>
      <w:r>
        <w:rPr>
          <w:b/>
        </w:rPr>
        <w:t>WHAT ARE YOUR FINDINGS REGARDING MR. EVANS’ CLASSIFICATION OF DISTRIBUTION PLANT BETWEEN CUSTOMER AND DEMAND?</w:t>
      </w:r>
    </w:p>
    <w:p w:rsidR="00440B2E" w:rsidRPr="003515B8" w:rsidRDefault="00871F22" w:rsidP="003515B8">
      <w:pPr>
        <w:spacing w:line="480" w:lineRule="auto"/>
        <w:ind w:left="720" w:hanging="720"/>
        <w:jc w:val="both"/>
        <w:rPr>
          <w:bCs/>
        </w:rPr>
      </w:pPr>
      <w:r>
        <w:rPr>
          <w:bCs/>
        </w:rPr>
        <w:t>A.</w:t>
      </w:r>
      <w:r>
        <w:rPr>
          <w:bCs/>
        </w:rPr>
        <w:tab/>
        <w:t xml:space="preserve">While classification studies of distribution plant involve considerable judgment and can be controversial, based on the geography and demographics of Georgia Power’s service </w:t>
      </w:r>
      <w:r w:rsidRPr="00703EBD">
        <w:rPr>
          <w:bCs/>
        </w:rPr>
        <w:t xml:space="preserve">area, </w:t>
      </w:r>
      <w:r w:rsidR="00703EBD" w:rsidRPr="00703EBD">
        <w:rPr>
          <w:bCs/>
        </w:rPr>
        <w:t>we</w:t>
      </w:r>
      <w:r w:rsidRPr="00703EBD">
        <w:rPr>
          <w:bCs/>
        </w:rPr>
        <w:t xml:space="preserve"> </w:t>
      </w:r>
      <w:r>
        <w:rPr>
          <w:bCs/>
        </w:rPr>
        <w:t xml:space="preserve">find that Mr. Evans’ classification of distribution plant is reasonable. </w:t>
      </w:r>
    </w:p>
    <w:p w:rsidR="00871F22" w:rsidRDefault="00871F22" w:rsidP="008E0A4A">
      <w:pPr>
        <w:spacing w:before="480" w:line="480" w:lineRule="auto"/>
        <w:ind w:left="720" w:hanging="720"/>
        <w:jc w:val="both"/>
        <w:rPr>
          <w:b/>
        </w:rPr>
      </w:pPr>
      <w:r>
        <w:rPr>
          <w:b/>
        </w:rPr>
        <w:t>Q.</w:t>
      </w:r>
      <w:r>
        <w:rPr>
          <w:b/>
        </w:rPr>
        <w:tab/>
      </w:r>
      <w:r w:rsidR="00B25E7F">
        <w:rPr>
          <w:b/>
        </w:rPr>
        <w:t xml:space="preserve">EARLIER IN THIS TESTIMONY </w:t>
      </w:r>
      <w:r>
        <w:rPr>
          <w:b/>
        </w:rPr>
        <w:t>YOU EXPLAINED HOW GEORGIA POWER CLASSIFIED DISTRIBUTION PLANT BETWEEN CUSTOMER AND DEMAND.  HOW WERE THESE CLASSIFIED DISTRIBUTION COSTS THEN ALLOCATED ACROSS RATE SCHEDULES?</w:t>
      </w:r>
    </w:p>
    <w:p w:rsidR="00871F22" w:rsidRPr="008E0A4A" w:rsidRDefault="00871F22" w:rsidP="008E0A4A">
      <w:pPr>
        <w:spacing w:line="480" w:lineRule="auto"/>
        <w:ind w:left="720" w:hanging="720"/>
        <w:jc w:val="both"/>
        <w:rPr>
          <w:bCs/>
        </w:rPr>
      </w:pPr>
      <w:r>
        <w:rPr>
          <w:bCs/>
        </w:rPr>
        <w:lastRenderedPageBreak/>
        <w:t>A.</w:t>
      </w:r>
      <w:r>
        <w:rPr>
          <w:bCs/>
        </w:rPr>
        <w:tab/>
        <w:t>The above-referenced plant accounts classified as “customer-related” were allocated based on number of customers (primary and/or secondary).  Demand-related costs were allocated utilizing class NCPs (primary and/or secondary).  This is an accepted industry approach and</w:t>
      </w:r>
      <w:r w:rsidRPr="00C5364A">
        <w:rPr>
          <w:b/>
          <w:bCs/>
          <w:color w:val="FF0000"/>
        </w:rPr>
        <w:t xml:space="preserve"> </w:t>
      </w:r>
      <w:r w:rsidR="00703EBD" w:rsidRPr="00703EBD">
        <w:t>we</w:t>
      </w:r>
      <w:r w:rsidR="00703EBD">
        <w:rPr>
          <w:b/>
          <w:bCs/>
          <w:color w:val="FF0000"/>
        </w:rPr>
        <w:t xml:space="preserve"> </w:t>
      </w:r>
      <w:r>
        <w:rPr>
          <w:bCs/>
        </w:rPr>
        <w:t xml:space="preserve">agree with Mr. Evans’ allocation of distribution plant.  </w:t>
      </w:r>
    </w:p>
    <w:p w:rsidR="00871F22" w:rsidRPr="00A70E29" w:rsidRDefault="00A3232F" w:rsidP="00A70E29">
      <w:pPr>
        <w:pStyle w:val="Heading2"/>
      </w:pPr>
      <w:r w:rsidRPr="00A70E29">
        <w:tab/>
      </w:r>
      <w:bookmarkStart w:id="13" w:name="_Toc116370402"/>
      <w:r w:rsidR="00871F22" w:rsidRPr="00A70E29">
        <w:t>D.</w:t>
      </w:r>
      <w:r w:rsidR="00871F22" w:rsidRPr="00A70E29">
        <w:tab/>
        <w:t>CCOSS Conclusions</w:t>
      </w:r>
      <w:bookmarkEnd w:id="13"/>
    </w:p>
    <w:p w:rsidR="00871F22" w:rsidRDefault="00871F22" w:rsidP="008E0A4A">
      <w:pPr>
        <w:spacing w:before="480" w:line="480" w:lineRule="auto"/>
        <w:ind w:left="720" w:hanging="720"/>
        <w:jc w:val="both"/>
        <w:rPr>
          <w:b/>
        </w:rPr>
      </w:pPr>
      <w:r>
        <w:rPr>
          <w:b/>
        </w:rPr>
        <w:t>Q.</w:t>
      </w:r>
      <w:r>
        <w:rPr>
          <w:b/>
        </w:rPr>
        <w:tab/>
        <w:t>PLEASE PROVIDE YOUR CONCLUSIONS REGARDING CCOSS FOR THIS CASE.</w:t>
      </w:r>
    </w:p>
    <w:p w:rsidR="00440B2E" w:rsidRPr="004D6B46" w:rsidRDefault="00871F22" w:rsidP="004D6B46">
      <w:pPr>
        <w:spacing w:line="480" w:lineRule="auto"/>
        <w:ind w:left="720" w:hanging="720"/>
        <w:jc w:val="both"/>
        <w:rPr>
          <w:bCs/>
        </w:rPr>
      </w:pPr>
      <w:r>
        <w:rPr>
          <w:bCs/>
        </w:rPr>
        <w:t>A.</w:t>
      </w:r>
      <w:r>
        <w:rPr>
          <w:bCs/>
        </w:rPr>
        <w:tab/>
        <w:t xml:space="preserve">While no class cost allocation study (CCOSS) can be considered surgically precise as they require a myriad of subjective judgments and approximations, some allocation methodologies are better than others in reflecting cost causation and are </w:t>
      </w:r>
      <w:r w:rsidR="00413DE4">
        <w:rPr>
          <w:bCs/>
        </w:rPr>
        <w:t>fairer and more equitable</w:t>
      </w:r>
      <w:r>
        <w:rPr>
          <w:bCs/>
        </w:rPr>
        <w:t xml:space="preserve"> across all classes.  In this regard, there are never-ending debates on whether one </w:t>
      </w:r>
      <w:r w:rsidRPr="00703EBD">
        <w:rPr>
          <w:bCs/>
        </w:rPr>
        <w:t xml:space="preserve">particular method is superior to all others.  As a result, </w:t>
      </w:r>
      <w:r w:rsidR="00AC7B1D">
        <w:rPr>
          <w:bCs/>
        </w:rPr>
        <w:t>Staff</w:t>
      </w:r>
      <w:r w:rsidR="00703EBD">
        <w:rPr>
          <w:bCs/>
        </w:rPr>
        <w:t xml:space="preserve"> </w:t>
      </w:r>
      <w:r w:rsidRPr="00703EBD">
        <w:rPr>
          <w:bCs/>
        </w:rPr>
        <w:t xml:space="preserve">considered all CCOSS presented in </w:t>
      </w:r>
      <w:r w:rsidR="00703EBD">
        <w:rPr>
          <w:bCs/>
        </w:rPr>
        <w:t>this</w:t>
      </w:r>
      <w:r w:rsidRPr="00703EBD">
        <w:rPr>
          <w:bCs/>
        </w:rPr>
        <w:t xml:space="preserve"> testimony </w:t>
      </w:r>
      <w:r w:rsidR="00B25E7F">
        <w:rPr>
          <w:bCs/>
        </w:rPr>
        <w:t xml:space="preserve">while </w:t>
      </w:r>
      <w:r w:rsidRPr="00703EBD">
        <w:rPr>
          <w:bCs/>
        </w:rPr>
        <w:t xml:space="preserve">evaluating individual rate schedule revenue responsibility which will be discussed in the next section of </w:t>
      </w:r>
      <w:r w:rsidR="00703EBD">
        <w:rPr>
          <w:bCs/>
        </w:rPr>
        <w:t>this</w:t>
      </w:r>
      <w:r w:rsidRPr="00703EBD">
        <w:rPr>
          <w:bCs/>
        </w:rPr>
        <w:t xml:space="preserve"> testimony.</w:t>
      </w:r>
      <w:r>
        <w:rPr>
          <w:bCs/>
        </w:rPr>
        <w:t xml:space="preserve">       </w:t>
      </w:r>
    </w:p>
    <w:p w:rsidR="00871F22" w:rsidRDefault="00871F22" w:rsidP="00081604">
      <w:pPr>
        <w:pStyle w:val="Heading1"/>
      </w:pPr>
      <w:bookmarkStart w:id="14" w:name="_Toc116370403"/>
      <w:r>
        <w:t>III.</w:t>
      </w:r>
      <w:r>
        <w:tab/>
        <w:t>CLASS AND RATE SCHEDULE REVENUE RESPONSIBILITY</w:t>
      </w:r>
      <w:bookmarkEnd w:id="14"/>
    </w:p>
    <w:p w:rsidR="00871F22" w:rsidRDefault="00871F22" w:rsidP="008E0A4A">
      <w:pPr>
        <w:spacing w:before="480" w:line="480" w:lineRule="auto"/>
        <w:ind w:left="720" w:hanging="720"/>
        <w:jc w:val="both"/>
        <w:rPr>
          <w:b/>
          <w:bCs/>
        </w:rPr>
      </w:pPr>
      <w:bookmarkStart w:id="15" w:name="_Hlk114643014"/>
      <w:r>
        <w:rPr>
          <w:b/>
          <w:bCs/>
        </w:rPr>
        <w:t>Q.</w:t>
      </w:r>
      <w:r>
        <w:rPr>
          <w:b/>
          <w:bCs/>
        </w:rPr>
        <w:tab/>
        <w:t>PLEASE EXPLAIN HOW THE COMPANY’S OVERALL REQUESTED INCREASE IN REVENUES IS STRUCTURED.</w:t>
      </w:r>
    </w:p>
    <w:p w:rsidR="00871F22" w:rsidRDefault="00871F22" w:rsidP="008E0A4A">
      <w:pPr>
        <w:spacing w:line="480" w:lineRule="auto"/>
        <w:ind w:left="720" w:hanging="720"/>
        <w:jc w:val="both"/>
      </w:pPr>
      <w:r>
        <w:t>A.</w:t>
      </w:r>
      <w:r>
        <w:tab/>
        <w:t xml:space="preserve">As set forth in the </w:t>
      </w:r>
      <w:r w:rsidR="0099451B">
        <w:t xml:space="preserve">Direct </w:t>
      </w:r>
      <w:r>
        <w:t xml:space="preserve">Testimony of </w:t>
      </w:r>
      <w:proofErr w:type="spellStart"/>
      <w:r>
        <w:t>Abramovitz</w:t>
      </w:r>
      <w:proofErr w:type="spellEnd"/>
      <w:r>
        <w:t xml:space="preserve">, Adams, Houston, and Robinson, Georgia Power proposes a three-year Alternative Rate Plan (“ARP”) wherein the revenue </w:t>
      </w:r>
      <w:r>
        <w:lastRenderedPageBreak/>
        <w:t>requirement for each of the three years is first established and is generally composed of its requested increases to:  traditional base rates; Environmental Compliance Cost Recovery (“ECCR”)</w:t>
      </w:r>
      <w:r w:rsidR="00634BCD">
        <w:t>,</w:t>
      </w:r>
      <w:r>
        <w:t xml:space="preserve"> Demand Side Management (“DSM”)</w:t>
      </w:r>
      <w:r w:rsidR="00634BCD">
        <w:t>,</w:t>
      </w:r>
      <w:r>
        <w:t xml:space="preserve"> and</w:t>
      </w:r>
      <w:r w:rsidR="00EB15BD">
        <w:t xml:space="preserve"> </w:t>
      </w:r>
      <w:r>
        <w:t xml:space="preserve">Municipal Franchise Fee (“MFF”).  </w:t>
      </w:r>
    </w:p>
    <w:p w:rsidR="00871F22" w:rsidRDefault="00871F22" w:rsidP="008E0A4A">
      <w:pPr>
        <w:spacing w:before="360" w:line="480" w:lineRule="auto"/>
        <w:ind w:left="720"/>
        <w:jc w:val="both"/>
      </w:pPr>
      <w:r>
        <w:t>With regard to traditional base rates and the traditional (legacy) ECCR rider, the Company’s initial revenue requirement filing proposed a three-year “levelized” increase of $738.</w:t>
      </w:r>
      <w:r w:rsidR="004A571A">
        <w:t>7</w:t>
      </w:r>
      <w:r>
        <w:t xml:space="preserve"> million and -$1.2 million, respectively, that will be realized each year of the ARP; i.e., these increases would be implemented incrementally each year such that over the three-year rate plan, base rate revenues would increase by a total of $2,21</w:t>
      </w:r>
      <w:r w:rsidR="00776F64">
        <w:t>6.0</w:t>
      </w:r>
      <w:r>
        <w:t xml:space="preserve"> million over current base rate levels and the traditional ECCR rider would decrease by a total of $3.6 million over current rider revenue levels.</w:t>
      </w:r>
      <w:r>
        <w:rPr>
          <w:rStyle w:val="FootnoteReference"/>
        </w:rPr>
        <w:footnoteReference w:id="20"/>
      </w:r>
    </w:p>
    <w:p w:rsidR="00871F22" w:rsidRDefault="00871F22" w:rsidP="008E0A4A">
      <w:pPr>
        <w:spacing w:before="360" w:line="480" w:lineRule="auto"/>
        <w:ind w:left="720"/>
        <w:jc w:val="both"/>
      </w:pPr>
      <w:r>
        <w:t>With regard to the Coal Combustion Residual Asset Retirement Obligation (“CCR ARO”) component of ECCR, DSM, and MFF revenue increases, the Company proposes varying increases each year of the proposed ARP.</w:t>
      </w:r>
    </w:p>
    <w:p w:rsidR="00871F22" w:rsidRDefault="00871F22" w:rsidP="00A228EE">
      <w:pPr>
        <w:spacing w:before="360" w:after="360" w:line="480" w:lineRule="auto"/>
        <w:ind w:left="720"/>
        <w:jc w:val="both"/>
      </w:pPr>
      <w:r>
        <w:t>For rate design purposes, the Company’s as</w:t>
      </w:r>
      <w:r w:rsidR="00117E55">
        <w:t xml:space="preserve"> </w:t>
      </w:r>
      <w:r>
        <w:t>filed class and rate schedule revenue allocations, rate designs, and proposed tariffs were based only on the Company’s “test year” requested increase and not those actually proposed under its “levelized” approach.</w:t>
      </w:r>
      <w:r>
        <w:rPr>
          <w:rStyle w:val="FootnoteReference"/>
        </w:rPr>
        <w:footnoteReference w:id="21"/>
      </w:r>
      <w:r>
        <w:t xml:space="preserve">  However, in </w:t>
      </w:r>
      <w:r w:rsidR="00B25E7F">
        <w:t xml:space="preserve">the Company’s </w:t>
      </w:r>
      <w:r>
        <w:t xml:space="preserve">response to STF-BAI-1-1 (Legg), the Company provided its </w:t>
      </w:r>
      <w:r>
        <w:lastRenderedPageBreak/>
        <w:t>actual proposed revenue allocations and rate designs for Rate Year 1 of the ARP based on its requested “levelized” increases for base rates and traditional ECCR, as well as its requested Rate Year 1 CCR ARO, ECCR, DSM, and MFF riders.  To further explain, in the Company’s filing, its proposed rates and tariffs do not reflect the increases the Company is actually requesting in its rate application wherein the following table provides a comparison of the Company’s as</w:t>
      </w:r>
      <w:r w:rsidR="00117E55">
        <w:t xml:space="preserve"> </w:t>
      </w:r>
      <w:r>
        <w:t>filed proposed increases to those it is actually requesting in this case</w:t>
      </w:r>
      <w:r>
        <w:rPr>
          <w:rStyle w:val="FootnoteReference"/>
        </w:rPr>
        <w:footnoteReference w:id="22"/>
      </w:r>
      <w:r>
        <w:t>:</w:t>
      </w:r>
    </w:p>
    <w:tbl>
      <w:tblPr>
        <w:tblW w:w="8267" w:type="dxa"/>
        <w:jc w:val="right"/>
        <w:tblLook w:val="04A0" w:firstRow="1" w:lastRow="0" w:firstColumn="1" w:lastColumn="0" w:noHBand="0" w:noVBand="1"/>
      </w:tblPr>
      <w:tblGrid>
        <w:gridCol w:w="2340"/>
        <w:gridCol w:w="271"/>
        <w:gridCol w:w="974"/>
        <w:gridCol w:w="271"/>
        <w:gridCol w:w="766"/>
        <w:gridCol w:w="271"/>
        <w:gridCol w:w="766"/>
        <w:gridCol w:w="271"/>
        <w:gridCol w:w="916"/>
        <w:gridCol w:w="271"/>
        <w:gridCol w:w="1150"/>
      </w:tblGrid>
      <w:tr w:rsidR="00871F22" w:rsidRPr="00440B2E" w:rsidTr="00A228EE">
        <w:trPr>
          <w:trHeight w:val="612"/>
          <w:jc w:val="right"/>
        </w:trPr>
        <w:tc>
          <w:tcPr>
            <w:tcW w:w="8267" w:type="dxa"/>
            <w:gridSpan w:val="11"/>
            <w:tcBorders>
              <w:top w:val="nil"/>
              <w:left w:val="nil"/>
              <w:bottom w:val="single" w:sz="4" w:space="0" w:color="auto"/>
              <w:right w:val="nil"/>
            </w:tcBorders>
            <w:shd w:val="clear" w:color="auto" w:fill="auto"/>
            <w:noWrap/>
            <w:vAlign w:val="bottom"/>
          </w:tcPr>
          <w:p w:rsidR="00871F22" w:rsidRPr="00440B2E" w:rsidRDefault="00871F22" w:rsidP="00A228EE">
            <w:pPr>
              <w:jc w:val="center"/>
              <w:rPr>
                <w:sz w:val="20"/>
                <w:szCs w:val="20"/>
              </w:rPr>
            </w:pPr>
            <w:r w:rsidRPr="00440B2E">
              <w:rPr>
                <w:sz w:val="20"/>
                <w:szCs w:val="20"/>
              </w:rPr>
              <w:t xml:space="preserve">TABLE </w:t>
            </w:r>
            <w:r w:rsidR="00703EBD" w:rsidRPr="00440B2E">
              <w:rPr>
                <w:sz w:val="20"/>
                <w:szCs w:val="20"/>
              </w:rPr>
              <w:t>7</w:t>
            </w:r>
          </w:p>
          <w:p w:rsidR="00871F22" w:rsidRPr="00440B2E" w:rsidRDefault="00871F22" w:rsidP="00A228EE">
            <w:pPr>
              <w:jc w:val="center"/>
              <w:rPr>
                <w:sz w:val="20"/>
                <w:szCs w:val="20"/>
              </w:rPr>
            </w:pPr>
            <w:r w:rsidRPr="00440B2E">
              <w:rPr>
                <w:sz w:val="20"/>
                <w:szCs w:val="20"/>
              </w:rPr>
              <w:t>Comparison of Georgia Power’s Proposed Revenue Increases</w:t>
            </w:r>
          </w:p>
          <w:p w:rsidR="00871F22" w:rsidRPr="00440B2E" w:rsidRDefault="00871F22" w:rsidP="00A228EE">
            <w:pPr>
              <w:jc w:val="center"/>
              <w:rPr>
                <w:sz w:val="20"/>
                <w:szCs w:val="20"/>
              </w:rPr>
            </w:pPr>
            <w:r w:rsidRPr="00440B2E">
              <w:rPr>
                <w:sz w:val="20"/>
                <w:szCs w:val="20"/>
              </w:rPr>
              <w:t>As</w:t>
            </w:r>
            <w:r w:rsidR="00117E55" w:rsidRPr="00440B2E">
              <w:rPr>
                <w:sz w:val="20"/>
                <w:szCs w:val="20"/>
              </w:rPr>
              <w:t xml:space="preserve"> </w:t>
            </w:r>
            <w:r w:rsidRPr="00440B2E">
              <w:rPr>
                <w:sz w:val="20"/>
                <w:szCs w:val="20"/>
              </w:rPr>
              <w:t>Filed Tariff Changes &amp; Those Actually Proposed</w:t>
            </w:r>
          </w:p>
          <w:p w:rsidR="00871F22" w:rsidRPr="00440B2E" w:rsidRDefault="00871F22" w:rsidP="00A228EE">
            <w:pPr>
              <w:jc w:val="center"/>
              <w:rPr>
                <w:sz w:val="20"/>
                <w:szCs w:val="20"/>
              </w:rPr>
            </w:pPr>
            <w:r w:rsidRPr="00440B2E">
              <w:rPr>
                <w:sz w:val="20"/>
                <w:szCs w:val="20"/>
              </w:rPr>
              <w:t xml:space="preserve">($ Millions) </w:t>
            </w:r>
            <w:r w:rsidRPr="00440B2E">
              <w:rPr>
                <w:rStyle w:val="FootnoteReference"/>
                <w:sz w:val="20"/>
                <w:szCs w:val="20"/>
              </w:rPr>
              <w:footnoteReference w:id="23"/>
            </w:r>
          </w:p>
        </w:tc>
      </w:tr>
      <w:tr w:rsidR="00871F22" w:rsidRPr="00440B2E" w:rsidTr="00A228EE">
        <w:trPr>
          <w:trHeight w:val="50"/>
          <w:jc w:val="right"/>
        </w:trPr>
        <w:tc>
          <w:tcPr>
            <w:tcW w:w="2340" w:type="dxa"/>
            <w:tcBorders>
              <w:top w:val="single" w:sz="4" w:space="0" w:color="auto"/>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271"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single" w:sz="4" w:space="0" w:color="auto"/>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As</w:t>
            </w:r>
            <w:r w:rsidR="00117E55" w:rsidRPr="00440B2E">
              <w:rPr>
                <w:color w:val="000000"/>
                <w:sz w:val="20"/>
                <w:szCs w:val="20"/>
              </w:rPr>
              <w:t xml:space="preserve"> </w:t>
            </w:r>
            <w:r w:rsidRPr="00440B2E">
              <w:rPr>
                <w:color w:val="000000"/>
                <w:sz w:val="20"/>
                <w:szCs w:val="20"/>
              </w:rPr>
              <w:t>Filed</w:t>
            </w:r>
          </w:p>
        </w:tc>
        <w:tc>
          <w:tcPr>
            <w:tcW w:w="271" w:type="dxa"/>
            <w:tcBorders>
              <w:top w:val="single" w:sz="4" w:space="0" w:color="auto"/>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76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91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c>
          <w:tcPr>
            <w:tcW w:w="1150" w:type="dxa"/>
            <w:tcBorders>
              <w:top w:val="single" w:sz="4" w:space="0" w:color="auto"/>
              <w:left w:val="nil"/>
              <w:bottom w:val="nil"/>
              <w:right w:val="nil"/>
            </w:tcBorders>
            <w:shd w:val="clear" w:color="auto" w:fill="auto"/>
            <w:noWrap/>
            <w:vAlign w:val="bottom"/>
            <w:hideMark/>
          </w:tcPr>
          <w:p w:rsidR="00871F22" w:rsidRPr="00440B2E" w:rsidRDefault="00871F22" w:rsidP="00A228EE">
            <w:pPr>
              <w:rPr>
                <w:sz w:val="20"/>
                <w:szCs w:val="20"/>
              </w:rPr>
            </w:pP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Tariff</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4411" w:type="dxa"/>
            <w:gridSpan w:val="7"/>
            <w:tcBorders>
              <w:top w:val="nil"/>
              <w:left w:val="nil"/>
              <w:bottom w:val="single" w:sz="4" w:space="0" w:color="auto"/>
              <w:right w:val="nil"/>
            </w:tcBorders>
            <w:shd w:val="clear" w:color="auto" w:fill="auto"/>
            <w:noWrap/>
            <w:vAlign w:val="bottom"/>
            <w:hideMark/>
          </w:tcPr>
          <w:p w:rsidR="00871F22" w:rsidRPr="00440B2E" w:rsidRDefault="00871F22" w:rsidP="00A228EE">
            <w:pPr>
              <w:jc w:val="center"/>
              <w:rPr>
                <w:sz w:val="20"/>
                <w:szCs w:val="20"/>
              </w:rPr>
            </w:pPr>
            <w:r w:rsidRPr="00440B2E">
              <w:rPr>
                <w:color w:val="000000"/>
                <w:sz w:val="20"/>
                <w:szCs w:val="20"/>
              </w:rPr>
              <w:t>Actually Proposed</w:t>
            </w:r>
          </w:p>
        </w:tc>
      </w:tr>
      <w:tr w:rsidR="00871F22" w:rsidRPr="00440B2E" w:rsidTr="00A228EE">
        <w:trPr>
          <w:trHeight w:val="5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Changes</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Year 1</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Year 2</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Year 3</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1150"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center"/>
              <w:rPr>
                <w:color w:val="000000"/>
                <w:sz w:val="20"/>
                <w:szCs w:val="20"/>
              </w:rPr>
            </w:pPr>
            <w:r w:rsidRPr="00440B2E">
              <w:rPr>
                <w:color w:val="000000"/>
                <w:sz w:val="20"/>
                <w:szCs w:val="20"/>
              </w:rPr>
              <w:t>Cumulative</w:t>
            </w:r>
          </w:p>
        </w:tc>
      </w:tr>
      <w:tr w:rsidR="00871F22" w:rsidRPr="00440B2E" w:rsidTr="00A228EE">
        <w:trPr>
          <w:trHeight w:val="71"/>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jc w:val="center"/>
              <w:rPr>
                <w:color w:val="000000"/>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single" w:sz="4" w:space="0" w:color="auto"/>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76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76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16" w:type="dxa"/>
            <w:tcBorders>
              <w:top w:val="single" w:sz="4" w:space="0" w:color="auto"/>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Base Rates (Levelized)</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$312.2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$738.</w:t>
            </w:r>
            <w:r w:rsidR="00392483" w:rsidRPr="00440B2E">
              <w:rPr>
                <w:color w:val="000000"/>
                <w:sz w:val="20"/>
                <w:szCs w:val="20"/>
              </w:rPr>
              <w:t>7</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$738.</w:t>
            </w:r>
            <w:r w:rsidR="00392483" w:rsidRPr="00440B2E">
              <w:rPr>
                <w:color w:val="000000"/>
                <w:sz w:val="20"/>
                <w:szCs w:val="20"/>
              </w:rPr>
              <w:t>7</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$738.</w:t>
            </w:r>
            <w:r w:rsidR="00392483" w:rsidRPr="00440B2E">
              <w:rPr>
                <w:color w:val="000000"/>
                <w:sz w:val="20"/>
                <w:szCs w:val="20"/>
              </w:rPr>
              <w:t>7</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$2,21</w:t>
            </w:r>
            <w:r w:rsidR="00392483" w:rsidRPr="00440B2E">
              <w:rPr>
                <w:color w:val="000000"/>
                <w:sz w:val="20"/>
                <w:szCs w:val="20"/>
              </w:rPr>
              <w:t>6</w:t>
            </w:r>
            <w:r w:rsidRPr="00440B2E">
              <w:rPr>
                <w:color w:val="000000"/>
                <w:sz w:val="20"/>
                <w:szCs w:val="20"/>
              </w:rPr>
              <w:t>.</w:t>
            </w:r>
            <w:r w:rsidR="00392483" w:rsidRPr="00440B2E">
              <w:rPr>
                <w:color w:val="000000"/>
                <w:sz w:val="20"/>
                <w:szCs w:val="20"/>
              </w:rPr>
              <w:t>0</w:t>
            </w:r>
            <w:r w:rsidRPr="00440B2E">
              <w:rPr>
                <w:color w:val="000000"/>
                <w:sz w:val="20"/>
                <w:szCs w:val="20"/>
              </w:rPr>
              <w:t xml:space="preserve"> </w:t>
            </w:r>
          </w:p>
        </w:tc>
      </w:tr>
      <w:tr w:rsidR="00871F22" w:rsidRPr="00440B2E" w:rsidTr="00A228EE">
        <w:trPr>
          <w:trHeight w:val="126"/>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ECCR</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xml:space="preserve">     Traditional (Levelized)</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$45.6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($1.2)</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($1.2)</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($1.2)</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($3.6)</w:t>
            </w: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xml:space="preserve">     </w:t>
            </w:r>
            <w:r w:rsidRPr="00440B2E">
              <w:rPr>
                <w:color w:val="000000"/>
                <w:sz w:val="20"/>
                <w:szCs w:val="20"/>
                <w:u w:val="single"/>
              </w:rPr>
              <w:t>CCR ARO</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r w:rsidRPr="00440B2E">
              <w:rPr>
                <w:color w:val="000000"/>
                <w:sz w:val="20"/>
                <w:szCs w:val="20"/>
                <w:u w:val="single"/>
              </w:rPr>
              <w:t xml:space="preserve">$60.0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r w:rsidRPr="00440B2E">
              <w:rPr>
                <w:color w:val="000000"/>
                <w:sz w:val="20"/>
                <w:szCs w:val="20"/>
                <w:u w:val="single"/>
              </w:rPr>
              <w:t xml:space="preserve">$64.5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r w:rsidRPr="00440B2E">
              <w:rPr>
                <w:color w:val="000000"/>
                <w:sz w:val="20"/>
                <w:szCs w:val="20"/>
                <w:u w:val="single"/>
              </w:rPr>
              <w:t xml:space="preserve">$142.5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r w:rsidRPr="00440B2E">
              <w:rPr>
                <w:color w:val="000000"/>
                <w:sz w:val="20"/>
                <w:szCs w:val="20"/>
                <w:u w:val="single"/>
              </w:rPr>
              <w:t xml:space="preserve">$189.2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u w:val="single"/>
              </w:rPr>
            </w:pPr>
            <w:r w:rsidRPr="00440B2E">
              <w:rPr>
                <w:color w:val="000000"/>
                <w:sz w:val="20"/>
                <w:szCs w:val="20"/>
                <w:u w:val="single"/>
              </w:rPr>
              <w:t xml:space="preserve">$396.2 </w:t>
            </w: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Total ECCR</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$105.6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$63.3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$141.3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$188.0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$392.6 </w:t>
            </w:r>
          </w:p>
        </w:tc>
      </w:tr>
      <w:tr w:rsidR="00871F22" w:rsidRPr="00440B2E" w:rsidTr="00A228EE">
        <w:trPr>
          <w:trHeight w:val="179"/>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rPr>
                <w:sz w:val="20"/>
                <w:szCs w:val="20"/>
              </w:rPr>
            </w:pPr>
          </w:p>
        </w:tc>
      </w:tr>
      <w:tr w:rsidR="00871F22" w:rsidRPr="00440B2E" w:rsidTr="00A228EE">
        <w:trPr>
          <w:trHeight w:val="6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DSM</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$29.6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$29.7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$56.5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$54.0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$140.2 </w:t>
            </w:r>
          </w:p>
        </w:tc>
      </w:tr>
      <w:tr w:rsidR="00871F22" w:rsidRPr="00440B2E" w:rsidTr="00A228EE">
        <w:trPr>
          <w:trHeight w:val="60"/>
          <w:jc w:val="right"/>
        </w:trPr>
        <w:tc>
          <w:tcPr>
            <w:tcW w:w="2340"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xml:space="preserve">MFF </w:t>
            </w:r>
          </w:p>
        </w:tc>
        <w:tc>
          <w:tcPr>
            <w:tcW w:w="271"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974"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$11.1 </w:t>
            </w:r>
          </w:p>
        </w:tc>
        <w:tc>
          <w:tcPr>
            <w:tcW w:w="271"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766"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$20.2 </w:t>
            </w:r>
          </w:p>
        </w:tc>
        <w:tc>
          <w:tcPr>
            <w:tcW w:w="271"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766"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$22.6 </w:t>
            </w:r>
          </w:p>
        </w:tc>
        <w:tc>
          <w:tcPr>
            <w:tcW w:w="271"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916"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$23.6 </w:t>
            </w:r>
          </w:p>
        </w:tc>
        <w:tc>
          <w:tcPr>
            <w:tcW w:w="271" w:type="dxa"/>
            <w:tcBorders>
              <w:top w:val="nil"/>
              <w:left w:val="nil"/>
              <w:bottom w:val="single" w:sz="4" w:space="0" w:color="auto"/>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w:t>
            </w:r>
          </w:p>
        </w:tc>
        <w:tc>
          <w:tcPr>
            <w:tcW w:w="1150" w:type="dxa"/>
            <w:tcBorders>
              <w:top w:val="nil"/>
              <w:left w:val="nil"/>
              <w:bottom w:val="single" w:sz="4" w:space="0" w:color="auto"/>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$66.4 </w:t>
            </w:r>
          </w:p>
        </w:tc>
      </w:tr>
      <w:tr w:rsidR="00871F22" w:rsidRPr="00440B2E" w:rsidTr="00A228EE">
        <w:trPr>
          <w:trHeight w:val="50"/>
          <w:jc w:val="right"/>
        </w:trPr>
        <w:tc>
          <w:tcPr>
            <w:tcW w:w="2340"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r w:rsidRPr="00440B2E">
              <w:rPr>
                <w:color w:val="000000"/>
                <w:sz w:val="20"/>
                <w:szCs w:val="20"/>
              </w:rPr>
              <w:t xml:space="preserve">Total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rPr>
                <w:color w:val="000000"/>
                <w:sz w:val="20"/>
                <w:szCs w:val="20"/>
              </w:rPr>
            </w:pPr>
          </w:p>
        </w:tc>
        <w:tc>
          <w:tcPr>
            <w:tcW w:w="974"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 xml:space="preserve">$458.5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$851.</w:t>
            </w:r>
            <w:r w:rsidR="00974F9A" w:rsidRPr="00440B2E">
              <w:rPr>
                <w:color w:val="000000"/>
                <w:sz w:val="20"/>
                <w:szCs w:val="20"/>
              </w:rPr>
              <w:t>9</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76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$959.</w:t>
            </w:r>
            <w:r w:rsidR="00974F9A" w:rsidRPr="00440B2E">
              <w:rPr>
                <w:color w:val="000000"/>
                <w:sz w:val="20"/>
                <w:szCs w:val="20"/>
              </w:rPr>
              <w:t>1</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916"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$1,004.</w:t>
            </w:r>
            <w:r w:rsidR="00974F9A" w:rsidRPr="00440B2E">
              <w:rPr>
                <w:color w:val="000000"/>
                <w:sz w:val="20"/>
                <w:szCs w:val="20"/>
              </w:rPr>
              <w:t>3</w:t>
            </w:r>
            <w:r w:rsidRPr="00440B2E">
              <w:rPr>
                <w:color w:val="000000"/>
                <w:sz w:val="20"/>
                <w:szCs w:val="20"/>
              </w:rPr>
              <w:t xml:space="preserve"> </w:t>
            </w:r>
          </w:p>
        </w:tc>
        <w:tc>
          <w:tcPr>
            <w:tcW w:w="271"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p>
        </w:tc>
        <w:tc>
          <w:tcPr>
            <w:tcW w:w="1150" w:type="dxa"/>
            <w:tcBorders>
              <w:top w:val="nil"/>
              <w:left w:val="nil"/>
              <w:bottom w:val="nil"/>
              <w:right w:val="nil"/>
            </w:tcBorders>
            <w:shd w:val="clear" w:color="auto" w:fill="auto"/>
            <w:noWrap/>
            <w:vAlign w:val="bottom"/>
            <w:hideMark/>
          </w:tcPr>
          <w:p w:rsidR="00871F22" w:rsidRPr="00440B2E" w:rsidRDefault="00871F22" w:rsidP="00A228EE">
            <w:pPr>
              <w:jc w:val="right"/>
              <w:rPr>
                <w:color w:val="000000"/>
                <w:sz w:val="20"/>
                <w:szCs w:val="20"/>
              </w:rPr>
            </w:pPr>
            <w:r w:rsidRPr="00440B2E">
              <w:rPr>
                <w:color w:val="000000"/>
                <w:sz w:val="20"/>
                <w:szCs w:val="20"/>
              </w:rPr>
              <w:t>$2,815.</w:t>
            </w:r>
            <w:r w:rsidR="00D0387E" w:rsidRPr="00440B2E">
              <w:rPr>
                <w:color w:val="000000"/>
                <w:sz w:val="20"/>
                <w:szCs w:val="20"/>
              </w:rPr>
              <w:t>3</w:t>
            </w:r>
            <w:r w:rsidRPr="00440B2E">
              <w:rPr>
                <w:color w:val="000000"/>
                <w:sz w:val="20"/>
                <w:szCs w:val="20"/>
              </w:rPr>
              <w:t xml:space="preserve"> </w:t>
            </w:r>
          </w:p>
        </w:tc>
      </w:tr>
    </w:tbl>
    <w:p w:rsidR="00871F22" w:rsidRDefault="00871F22" w:rsidP="00A13D61">
      <w:pPr>
        <w:suppressLineNumbers/>
        <w:spacing w:line="360" w:lineRule="auto"/>
        <w:ind w:left="720"/>
        <w:jc w:val="both"/>
      </w:pPr>
    </w:p>
    <w:bookmarkEnd w:id="15"/>
    <w:p w:rsidR="00871F22" w:rsidRDefault="00871F22" w:rsidP="00990DF0">
      <w:pPr>
        <w:spacing w:before="480" w:line="480" w:lineRule="auto"/>
        <w:ind w:left="720" w:hanging="720"/>
        <w:jc w:val="both"/>
        <w:rPr>
          <w:b/>
          <w:bCs/>
        </w:rPr>
      </w:pPr>
      <w:r>
        <w:rPr>
          <w:b/>
          <w:bCs/>
        </w:rPr>
        <w:t>Q.</w:t>
      </w:r>
      <w:r w:rsidR="00A94BF9">
        <w:rPr>
          <w:b/>
          <w:bCs/>
        </w:rPr>
        <w:t xml:space="preserve"> </w:t>
      </w:r>
      <w:r w:rsidR="00FF27F4">
        <w:rPr>
          <w:b/>
          <w:bCs/>
        </w:rPr>
        <w:tab/>
      </w:r>
      <w:r>
        <w:rPr>
          <w:b/>
          <w:bCs/>
        </w:rPr>
        <w:t>WHAT ARE THE GENERAL CRITERIA THAT SHOULD BE CONSIDERED IN ESTABLISHING CLASS REVENUE RESPONSIBILITY FOR ELECTRIC</w:t>
      </w:r>
      <w:r w:rsidR="00A94BF9">
        <w:rPr>
          <w:b/>
          <w:bCs/>
        </w:rPr>
        <w:t xml:space="preserve"> </w:t>
      </w:r>
      <w:r>
        <w:rPr>
          <w:b/>
          <w:bCs/>
        </w:rPr>
        <w:t>UTILITY RATES?</w:t>
      </w:r>
    </w:p>
    <w:p w:rsidR="00871F22" w:rsidRDefault="00871F22" w:rsidP="008E0A4A">
      <w:pPr>
        <w:spacing w:line="480" w:lineRule="auto"/>
        <w:ind w:left="720" w:hanging="720"/>
        <w:jc w:val="both"/>
        <w:rPr>
          <w:b/>
          <w:bCs/>
        </w:rPr>
      </w:pPr>
      <w:r>
        <w:rPr>
          <w:bCs/>
        </w:rPr>
        <w:lastRenderedPageBreak/>
        <w:t>A.</w:t>
      </w:r>
      <w:r>
        <w:rPr>
          <w:bCs/>
        </w:rPr>
        <w:tab/>
        <w:t xml:space="preserve">There are several criteria that should be considered in evaluating rate schedule revenue responsibility.  First, cost allocation results should be considered, but as discussed in detail earlier in our testimony, CCOSS results are not surgically precise.  They should only be used as a guide and as one of many tools in evaluating revenue responsibility.  Other criteria that should be considered include:  gradualism, wherein rates should not drastically change instantaneously; rate stability, which is similar in concept to gradualism but relates to specific rate elements within a given rate structure; affordability of electricity across various classes as well as a relative comparison of electricity prices across classes; and, public policy concerning current economic conditions as well as economic development.       </w:t>
      </w:r>
    </w:p>
    <w:p w:rsidR="00871F22" w:rsidRDefault="00871F22" w:rsidP="008E0A4A">
      <w:pPr>
        <w:spacing w:before="480" w:line="480" w:lineRule="auto"/>
        <w:ind w:left="720" w:hanging="720"/>
        <w:jc w:val="both"/>
        <w:rPr>
          <w:b/>
          <w:bCs/>
        </w:rPr>
      </w:pPr>
      <w:r>
        <w:rPr>
          <w:b/>
          <w:bCs/>
        </w:rPr>
        <w:t>Q.</w:t>
      </w:r>
      <w:r>
        <w:rPr>
          <w:b/>
          <w:bCs/>
        </w:rPr>
        <w:tab/>
        <w:t>PLEASE EXPLAIN HOW THE COMPANY PROPOSES TO SPREAD ITS VARIOUS REQUESTED REVENUE INCREASES ACROSS INDIVIDUAL RATE SCHEDULES.</w:t>
      </w:r>
    </w:p>
    <w:p w:rsidR="00871F22" w:rsidRDefault="00871F22" w:rsidP="008E0A4A">
      <w:pPr>
        <w:spacing w:line="480" w:lineRule="auto"/>
        <w:ind w:left="720" w:hanging="720"/>
        <w:jc w:val="both"/>
      </w:pPr>
      <w:r>
        <w:t>A.</w:t>
      </w:r>
      <w:r>
        <w:tab/>
        <w:t>As discussed on page 5</w:t>
      </w:r>
      <w:r w:rsidR="001372CC">
        <w:t>, lines 6 through 12</w:t>
      </w:r>
      <w:r>
        <w:t xml:space="preserve"> of his </w:t>
      </w:r>
      <w:r w:rsidR="00F0356C">
        <w:t>D</w:t>
      </w:r>
      <w:r>
        <w:t xml:space="preserve">irect </w:t>
      </w:r>
      <w:r w:rsidR="00F0356C">
        <w:t>T</w:t>
      </w:r>
      <w:r>
        <w:t xml:space="preserve">estimony, Georgia Power witness Legg proposes (with minor exceptions) to increase all rate schedules’ revenues and rate elements on an equal percentage basis.  Specifically, and based on the Company’s initial filing, for Year </w:t>
      </w:r>
      <w:r w:rsidR="001372CC">
        <w:t>2023</w:t>
      </w:r>
      <w:r w:rsidR="00703EBD">
        <w:t>,</w:t>
      </w:r>
      <w:r>
        <w:t xml:space="preserve"> Mr. Legg proposes an approximate 16.0% increase to base tariff rates (excluding </w:t>
      </w:r>
      <w:r w:rsidR="00CD5AB9">
        <w:rPr>
          <w:bCs/>
        </w:rPr>
        <w:t>Real Time Pricing (“</w:t>
      </w:r>
      <w:r>
        <w:t>RTP</w:t>
      </w:r>
      <w:r w:rsidR="00CD5AB9">
        <w:t>”)</w:t>
      </w:r>
      <w:r>
        <w:t xml:space="preserve"> incremental rates), an approximate 7.6% increase to ECCR rates and revenues, an approximate 73.1% increase to Residential DSM rider rates and revenues, an approximate 56.4% increase to Commercial DSM rider rates and revenues, and an approximate 10.5% increase to MFF revenues.  In this regard, Georgia </w:t>
      </w:r>
      <w:r>
        <w:lastRenderedPageBreak/>
        <w:t xml:space="preserve">Power proposes no increase to RTP incremental rates and revenues and that the various riders are collected as a percentage of base rate revenues.  </w:t>
      </w:r>
    </w:p>
    <w:p w:rsidR="00871F22" w:rsidRDefault="00871F22" w:rsidP="008E0A4A">
      <w:pPr>
        <w:spacing w:before="360" w:line="480" w:lineRule="auto"/>
        <w:ind w:left="720" w:hanging="720"/>
        <w:jc w:val="both"/>
      </w:pPr>
      <w:r>
        <w:tab/>
      </w:r>
      <w:r w:rsidRPr="00703EBD">
        <w:t>With regard to ECCR and DSM rider revenues, these riders are collec</w:t>
      </w:r>
      <w:r>
        <w:t>ted as a percentage of base rate revenues and therefore, follow Mr. Legg’s increases to base rates.  With regard to MFF rider revenues, these revenues are collected as a percentage of usage and bifurcated between those customers inside city limits and those outside city limits.</w:t>
      </w:r>
    </w:p>
    <w:p w:rsidR="007F29EE" w:rsidRPr="00A70E29" w:rsidRDefault="007F29EE" w:rsidP="00A70E29">
      <w:pPr>
        <w:pStyle w:val="Heading2"/>
      </w:pPr>
      <w:r w:rsidRPr="00A70E29">
        <w:tab/>
      </w:r>
      <w:bookmarkStart w:id="17" w:name="_Toc116370404"/>
      <w:r w:rsidRPr="00A70E29">
        <w:t>A.</w:t>
      </w:r>
      <w:r w:rsidRPr="00A70E29">
        <w:tab/>
        <w:t>Traditional Base Rates</w:t>
      </w:r>
      <w:bookmarkEnd w:id="17"/>
    </w:p>
    <w:p w:rsidR="00871F22" w:rsidRDefault="00871F22" w:rsidP="008E0A4A">
      <w:pPr>
        <w:spacing w:before="480" w:line="480" w:lineRule="auto"/>
        <w:ind w:left="720" w:hanging="720"/>
        <w:jc w:val="both"/>
        <w:rPr>
          <w:b/>
          <w:bCs/>
        </w:rPr>
      </w:pPr>
      <w:r>
        <w:rPr>
          <w:b/>
          <w:bCs/>
        </w:rPr>
        <w:t>Q.</w:t>
      </w:r>
      <w:r>
        <w:rPr>
          <w:b/>
          <w:bCs/>
        </w:rPr>
        <w:tab/>
      </w:r>
      <w:r w:rsidR="00703EBD">
        <w:rPr>
          <w:b/>
          <w:bCs/>
        </w:rPr>
        <w:t>DOES STAFF RECOMMEND AN ALTERNATIVE</w:t>
      </w:r>
      <w:r w:rsidR="007F29EE">
        <w:rPr>
          <w:b/>
          <w:bCs/>
        </w:rPr>
        <w:t xml:space="preserve"> BASE RATE</w:t>
      </w:r>
      <w:r w:rsidR="00703EBD">
        <w:rPr>
          <w:b/>
          <w:bCs/>
        </w:rPr>
        <w:t xml:space="preserve"> REVENUE DISTRIBUTION ACROSS INDIVIDUAL RATE SCHEDULES</w:t>
      </w:r>
      <w:r>
        <w:rPr>
          <w:b/>
          <w:bCs/>
        </w:rPr>
        <w:t>?</w:t>
      </w:r>
    </w:p>
    <w:p w:rsidR="00012618" w:rsidRDefault="00871F22" w:rsidP="008E0A4A">
      <w:pPr>
        <w:spacing w:line="480" w:lineRule="auto"/>
        <w:ind w:left="720" w:hanging="720"/>
        <w:jc w:val="both"/>
      </w:pPr>
      <w:r>
        <w:t>A.</w:t>
      </w:r>
      <w:r>
        <w:tab/>
      </w:r>
      <w:r w:rsidR="00703EBD">
        <w:t>Yes</w:t>
      </w:r>
      <w:r>
        <w:t xml:space="preserve">.  </w:t>
      </w:r>
      <w:r w:rsidR="00703EBD">
        <w:t>While t</w:t>
      </w:r>
      <w:r>
        <w:t>he Company has given no consideration to cost of service as it relates to individual rate schedules</w:t>
      </w:r>
      <w:r w:rsidR="00703EBD">
        <w:t>,</w:t>
      </w:r>
      <w:r>
        <w:t xml:space="preserve"> </w:t>
      </w:r>
      <w:r w:rsidR="00703EBD">
        <w:t xml:space="preserve">Staff observed that </w:t>
      </w:r>
      <w:r w:rsidRPr="00703EBD">
        <w:t>many rate schedules are reasonably close to parity (i.e., RORs at current rates are close to the system average)</w:t>
      </w:r>
      <w:r w:rsidR="00703EBD">
        <w:t xml:space="preserve">.  As shown in </w:t>
      </w:r>
      <w:r w:rsidR="00012618">
        <w:t>the following tables,</w:t>
      </w:r>
      <w:r w:rsidRPr="00703EBD">
        <w:t xml:space="preserve"> several rate schedules are either significantly above or significantly below the system average ROR under every CCOSS evaluated.  </w:t>
      </w:r>
    </w:p>
    <w:p w:rsidR="00012618" w:rsidRDefault="00BA6499" w:rsidP="00BA6499">
      <w:pPr>
        <w:suppressLineNumbers/>
        <w:spacing w:line="480" w:lineRule="auto"/>
        <w:ind w:left="720" w:hanging="720"/>
        <w:jc w:val="both"/>
      </w:pPr>
      <w:r w:rsidRPr="00BA6499">
        <w:rPr>
          <w:noProof/>
        </w:rPr>
        <w:lastRenderedPageBreak/>
        <w:drawing>
          <wp:inline distT="0" distB="0" distL="0" distR="0" wp14:anchorId="30F1213C" wp14:editId="2D94C427">
            <wp:extent cx="5943600" cy="76123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612380"/>
                    </a:xfrm>
                    <a:prstGeom prst="rect">
                      <a:avLst/>
                    </a:prstGeom>
                    <a:noFill/>
                    <a:ln>
                      <a:noFill/>
                    </a:ln>
                  </pic:spPr>
                </pic:pic>
              </a:graphicData>
            </a:graphic>
          </wp:inline>
        </w:drawing>
      </w:r>
    </w:p>
    <w:p w:rsidR="000617D0" w:rsidRDefault="00AA6EF1" w:rsidP="00AA6EF1">
      <w:pPr>
        <w:suppressLineNumbers/>
        <w:spacing w:line="480" w:lineRule="auto"/>
        <w:ind w:left="720" w:hanging="720"/>
        <w:jc w:val="both"/>
      </w:pPr>
      <w:r w:rsidRPr="00AA6EF1">
        <w:rPr>
          <w:noProof/>
        </w:rPr>
        <w:lastRenderedPageBreak/>
        <w:drawing>
          <wp:inline distT="0" distB="0" distL="0" distR="0" wp14:anchorId="3F35DF57" wp14:editId="10C5D7E9">
            <wp:extent cx="5943600" cy="76123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7612380"/>
                    </a:xfrm>
                    <a:prstGeom prst="rect">
                      <a:avLst/>
                    </a:prstGeom>
                    <a:noFill/>
                    <a:ln>
                      <a:noFill/>
                    </a:ln>
                  </pic:spPr>
                </pic:pic>
              </a:graphicData>
            </a:graphic>
          </wp:inline>
        </w:drawing>
      </w:r>
    </w:p>
    <w:p w:rsidR="00871F22" w:rsidRDefault="00871F22" w:rsidP="00490AA1">
      <w:pPr>
        <w:spacing w:line="480" w:lineRule="auto"/>
        <w:ind w:left="720"/>
        <w:jc w:val="both"/>
      </w:pPr>
      <w:r w:rsidRPr="00703EBD">
        <w:lastRenderedPageBreak/>
        <w:t>As discussed earlier</w:t>
      </w:r>
      <w:r>
        <w:t>, when every cost allocation approach produces a situation of consistently high RORs (consistently low RORs), there is a strong basis to assign less than (more than) the system average percentage increase to a particular class or rate schedule.  As a result,</w:t>
      </w:r>
      <w:r w:rsidRPr="00C5364A">
        <w:rPr>
          <w:b/>
          <w:color w:val="FF0000"/>
        </w:rPr>
        <w:t xml:space="preserve"> </w:t>
      </w:r>
      <w:r>
        <w:t>a very gradual movement of certain rate schedules toward parity is recommended.</w:t>
      </w:r>
    </w:p>
    <w:p w:rsidR="00871F22" w:rsidRDefault="00871F22" w:rsidP="008E0A4A">
      <w:pPr>
        <w:spacing w:before="480" w:line="480" w:lineRule="auto"/>
        <w:ind w:left="720" w:hanging="720"/>
        <w:jc w:val="both"/>
        <w:rPr>
          <w:b/>
          <w:bCs/>
        </w:rPr>
      </w:pPr>
      <w:r>
        <w:rPr>
          <w:b/>
          <w:bCs/>
        </w:rPr>
        <w:t>Q.</w:t>
      </w:r>
      <w:r>
        <w:rPr>
          <w:b/>
          <w:bCs/>
        </w:rPr>
        <w:tab/>
        <w:t xml:space="preserve">PLEASE EXPLAIN HOW </w:t>
      </w:r>
      <w:r w:rsidR="009008C9">
        <w:rPr>
          <w:b/>
          <w:bCs/>
        </w:rPr>
        <w:t xml:space="preserve">STAFF </w:t>
      </w:r>
      <w:r>
        <w:rPr>
          <w:b/>
          <w:bCs/>
        </w:rPr>
        <w:t xml:space="preserve">DEVELOPED </w:t>
      </w:r>
      <w:r w:rsidR="009008C9">
        <w:rPr>
          <w:b/>
          <w:bCs/>
        </w:rPr>
        <w:t>ITS</w:t>
      </w:r>
      <w:r>
        <w:rPr>
          <w:b/>
          <w:bCs/>
        </w:rPr>
        <w:t xml:space="preserve"> RECOMMENDED BASE RATE REVENUE ALLOCATION ACROSS INDIVIDUAL RATE SCHEDULES.</w:t>
      </w:r>
    </w:p>
    <w:p w:rsidR="00703EBD" w:rsidRDefault="00871F22" w:rsidP="00990DF0">
      <w:pPr>
        <w:spacing w:line="480" w:lineRule="auto"/>
        <w:ind w:left="720" w:hanging="720"/>
        <w:jc w:val="both"/>
      </w:pPr>
      <w:r>
        <w:t>A.</w:t>
      </w:r>
      <w:r>
        <w:tab/>
        <w:t>For those rate schedules whose indexed RORs are greater than approximately 125% under every CCOSS evaluated,</w:t>
      </w:r>
      <w:r w:rsidRPr="00C5364A">
        <w:rPr>
          <w:b/>
          <w:color w:val="FF0000"/>
        </w:rPr>
        <w:t xml:space="preserve"> </w:t>
      </w:r>
      <w:r>
        <w:t>a somewhat smaller percentage increase than the system average percentage increase was assigned to base rates.  Conversely, for those rate schedules whose indexed RORs are less than approximately 75% under every CCOSS evaluated,</w:t>
      </w:r>
      <w:r w:rsidRPr="00C5364A">
        <w:rPr>
          <w:b/>
          <w:color w:val="FF0000"/>
        </w:rPr>
        <w:t xml:space="preserve"> </w:t>
      </w:r>
      <w:r>
        <w:t>a somewhat greater percentage increase than the system average percentage increase was assigned to base rates.  Specifically, for those rate schedules that receive a smaller percentage increase,</w:t>
      </w:r>
      <w:r w:rsidRPr="00C5364A">
        <w:rPr>
          <w:b/>
          <w:color w:val="FF0000"/>
        </w:rPr>
        <w:t xml:space="preserve"> </w:t>
      </w:r>
      <w:r>
        <w:t>constraints of 75.0% and 87.5% of the system average were utilized.  For those rate schedules that receive a larger percentage increase,</w:t>
      </w:r>
      <w:r w:rsidRPr="00C5364A">
        <w:rPr>
          <w:b/>
          <w:color w:val="FF0000"/>
        </w:rPr>
        <w:t xml:space="preserve"> </w:t>
      </w:r>
      <w:r>
        <w:t xml:space="preserve">constraints of </w:t>
      </w:r>
      <w:r w:rsidR="00537AD1">
        <w:t>112 %</w:t>
      </w:r>
      <w:r>
        <w:t xml:space="preserve"> and 125% of the system average were employed.  All other rate schedules receive an equal percentage increase of the remaining base rate revenue requirement.  The following table provides those rate schedules that receive less than or greater than the remaining average percentage increase:</w:t>
      </w:r>
    </w:p>
    <w:p w:rsidR="00871F22" w:rsidRDefault="00871F22" w:rsidP="002236CF">
      <w:pPr>
        <w:suppressLineNumbers/>
        <w:spacing w:line="360" w:lineRule="auto"/>
        <w:ind w:left="720" w:hanging="720"/>
        <w:jc w:val="both"/>
      </w:pPr>
    </w:p>
    <w:p w:rsidR="00EF401E" w:rsidRDefault="00EF401E" w:rsidP="00EF401E">
      <w:pPr>
        <w:suppressLineNumbers/>
        <w:spacing w:before="480" w:line="480" w:lineRule="auto"/>
        <w:ind w:left="720" w:hanging="720"/>
        <w:jc w:val="both"/>
        <w:rPr>
          <w:b/>
          <w:bCs/>
        </w:rPr>
      </w:pPr>
    </w:p>
    <w:tbl>
      <w:tblPr>
        <w:tblpPr w:leftFromText="180" w:rightFromText="180" w:vertAnchor="text" w:horzAnchor="margin" w:tblpXSpec="center" w:tblpY="300"/>
        <w:tblW w:w="0" w:type="auto"/>
        <w:tblLook w:val="04A0" w:firstRow="1" w:lastRow="0" w:firstColumn="1" w:lastColumn="0" w:noHBand="0" w:noVBand="1"/>
      </w:tblPr>
      <w:tblGrid>
        <w:gridCol w:w="270"/>
        <w:gridCol w:w="1980"/>
        <w:gridCol w:w="2250"/>
        <w:gridCol w:w="1890"/>
      </w:tblGrid>
      <w:tr w:rsidR="00EF401E" w:rsidRPr="00B42BE9" w:rsidTr="00940733">
        <w:tc>
          <w:tcPr>
            <w:tcW w:w="6390" w:type="dxa"/>
            <w:gridSpan w:val="4"/>
            <w:tcBorders>
              <w:bottom w:val="single" w:sz="4" w:space="0" w:color="auto"/>
            </w:tcBorders>
            <w:shd w:val="clear" w:color="auto" w:fill="auto"/>
          </w:tcPr>
          <w:p w:rsidR="00EF401E" w:rsidRPr="00B42BE9" w:rsidRDefault="00EF401E" w:rsidP="00940733">
            <w:pPr>
              <w:jc w:val="center"/>
              <w:rPr>
                <w:sz w:val="22"/>
                <w:szCs w:val="22"/>
              </w:rPr>
            </w:pPr>
            <w:bookmarkStart w:id="18" w:name="_Hlk116031906"/>
            <w:r w:rsidRPr="00B42BE9">
              <w:rPr>
                <w:sz w:val="22"/>
                <w:szCs w:val="22"/>
              </w:rPr>
              <w:lastRenderedPageBreak/>
              <w:t>TABLE 10</w:t>
            </w:r>
          </w:p>
          <w:p w:rsidR="00EF401E" w:rsidRPr="00B42BE9" w:rsidRDefault="00EF401E" w:rsidP="00940733">
            <w:pPr>
              <w:jc w:val="center"/>
              <w:rPr>
                <w:sz w:val="22"/>
                <w:szCs w:val="22"/>
              </w:rPr>
            </w:pPr>
            <w:r w:rsidRPr="00B42BE9">
              <w:rPr>
                <w:sz w:val="22"/>
                <w:szCs w:val="22"/>
              </w:rPr>
              <w:t>Staff’s Proposed Base Rate Revenue Allocation</w:t>
            </w:r>
          </w:p>
        </w:tc>
      </w:tr>
      <w:tr w:rsidR="00EF401E" w:rsidRPr="00B42BE9" w:rsidTr="00940733">
        <w:tc>
          <w:tcPr>
            <w:tcW w:w="270" w:type="dxa"/>
            <w:tcBorders>
              <w:top w:val="single" w:sz="4" w:space="0" w:color="auto"/>
            </w:tcBorders>
            <w:shd w:val="clear" w:color="auto" w:fill="auto"/>
          </w:tcPr>
          <w:p w:rsidR="00EF401E" w:rsidRPr="00B42BE9" w:rsidRDefault="00EF401E" w:rsidP="00940733">
            <w:pPr>
              <w:jc w:val="both"/>
              <w:rPr>
                <w:sz w:val="22"/>
                <w:szCs w:val="22"/>
              </w:rPr>
            </w:pPr>
          </w:p>
        </w:tc>
        <w:tc>
          <w:tcPr>
            <w:tcW w:w="1980" w:type="dxa"/>
            <w:tcBorders>
              <w:top w:val="single" w:sz="4" w:space="0" w:color="auto"/>
            </w:tcBorders>
            <w:shd w:val="clear" w:color="auto" w:fill="auto"/>
          </w:tcPr>
          <w:p w:rsidR="00EF401E" w:rsidRPr="00B42BE9" w:rsidRDefault="00EF401E" w:rsidP="00940733">
            <w:pPr>
              <w:jc w:val="center"/>
              <w:rPr>
                <w:sz w:val="22"/>
                <w:szCs w:val="22"/>
              </w:rPr>
            </w:pPr>
          </w:p>
          <w:p w:rsidR="00EF401E" w:rsidRPr="00B42BE9" w:rsidRDefault="00EF401E" w:rsidP="00940733">
            <w:pPr>
              <w:jc w:val="center"/>
              <w:rPr>
                <w:sz w:val="22"/>
                <w:szCs w:val="22"/>
              </w:rPr>
            </w:pPr>
            <w:r w:rsidRPr="00B42BE9">
              <w:rPr>
                <w:sz w:val="22"/>
                <w:szCs w:val="22"/>
              </w:rPr>
              <w:t>Rate Schedule</w:t>
            </w:r>
          </w:p>
        </w:tc>
        <w:tc>
          <w:tcPr>
            <w:tcW w:w="2250" w:type="dxa"/>
            <w:tcBorders>
              <w:top w:val="single" w:sz="4" w:space="0" w:color="auto"/>
            </w:tcBorders>
            <w:shd w:val="clear" w:color="auto" w:fill="auto"/>
          </w:tcPr>
          <w:p w:rsidR="00EF401E" w:rsidRPr="00B42BE9" w:rsidRDefault="00EF401E" w:rsidP="00940733">
            <w:pPr>
              <w:jc w:val="center"/>
              <w:rPr>
                <w:sz w:val="22"/>
                <w:szCs w:val="22"/>
              </w:rPr>
            </w:pPr>
          </w:p>
          <w:p w:rsidR="00EF401E" w:rsidRPr="00B42BE9" w:rsidRDefault="00EF401E" w:rsidP="00940733">
            <w:pPr>
              <w:jc w:val="center"/>
              <w:rPr>
                <w:sz w:val="22"/>
                <w:szCs w:val="22"/>
              </w:rPr>
            </w:pPr>
            <w:r w:rsidRPr="00B42BE9">
              <w:rPr>
                <w:sz w:val="22"/>
                <w:szCs w:val="22"/>
              </w:rPr>
              <w:t>Class</w:t>
            </w:r>
          </w:p>
        </w:tc>
        <w:tc>
          <w:tcPr>
            <w:tcW w:w="1890" w:type="dxa"/>
            <w:tcBorders>
              <w:top w:val="single" w:sz="4" w:space="0" w:color="auto"/>
            </w:tcBorders>
            <w:shd w:val="clear" w:color="auto" w:fill="auto"/>
          </w:tcPr>
          <w:p w:rsidR="00EF401E" w:rsidRPr="00B42BE9" w:rsidRDefault="00EF401E" w:rsidP="00940733">
            <w:pPr>
              <w:jc w:val="center"/>
              <w:rPr>
                <w:sz w:val="22"/>
                <w:szCs w:val="22"/>
              </w:rPr>
            </w:pPr>
            <w:r w:rsidRPr="00B42BE9">
              <w:rPr>
                <w:sz w:val="22"/>
                <w:szCs w:val="22"/>
              </w:rPr>
              <w:t>Pct. of System</w:t>
            </w:r>
          </w:p>
          <w:p w:rsidR="00EF401E" w:rsidRPr="00B42BE9" w:rsidRDefault="00EF401E" w:rsidP="00940733">
            <w:pPr>
              <w:jc w:val="center"/>
              <w:rPr>
                <w:sz w:val="22"/>
                <w:szCs w:val="22"/>
              </w:rPr>
            </w:pPr>
            <w:r w:rsidRPr="00B42BE9">
              <w:rPr>
                <w:sz w:val="22"/>
                <w:szCs w:val="22"/>
              </w:rPr>
              <w:t>Avg. Increase</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4230" w:type="dxa"/>
            <w:gridSpan w:val="2"/>
            <w:shd w:val="clear" w:color="auto" w:fill="auto"/>
          </w:tcPr>
          <w:p w:rsidR="00EF401E" w:rsidRPr="00B42BE9" w:rsidRDefault="00EF401E" w:rsidP="00940733">
            <w:pPr>
              <w:rPr>
                <w:sz w:val="22"/>
                <w:szCs w:val="22"/>
              </w:rPr>
            </w:pPr>
            <w:r w:rsidRPr="00B42BE9">
              <w:rPr>
                <w:sz w:val="22"/>
                <w:szCs w:val="22"/>
                <w:u w:val="single"/>
              </w:rPr>
              <w:t>Less Than the System Average</w:t>
            </w:r>
            <w:r w:rsidRPr="00B42BE9">
              <w:rPr>
                <w:sz w:val="22"/>
                <w:szCs w:val="22"/>
              </w:rPr>
              <w:t>:</w:t>
            </w:r>
          </w:p>
        </w:tc>
        <w:tc>
          <w:tcPr>
            <w:tcW w:w="1890" w:type="dxa"/>
            <w:shd w:val="clear" w:color="auto" w:fill="auto"/>
          </w:tcPr>
          <w:p w:rsidR="00EF401E" w:rsidRPr="00B42BE9" w:rsidRDefault="00EF401E" w:rsidP="00940733">
            <w:pPr>
              <w:jc w:val="both"/>
              <w:rPr>
                <w:sz w:val="22"/>
                <w:szCs w:val="22"/>
              </w:rPr>
            </w:pP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TOU-RD</w:t>
            </w:r>
          </w:p>
        </w:tc>
        <w:tc>
          <w:tcPr>
            <w:tcW w:w="2250" w:type="dxa"/>
            <w:shd w:val="clear" w:color="auto" w:fill="auto"/>
          </w:tcPr>
          <w:p w:rsidR="00EF401E" w:rsidRPr="00B42BE9" w:rsidRDefault="00EF401E" w:rsidP="00940733">
            <w:pPr>
              <w:jc w:val="both"/>
              <w:rPr>
                <w:sz w:val="22"/>
                <w:szCs w:val="22"/>
              </w:rPr>
            </w:pPr>
            <w:r w:rsidRPr="00B42BE9">
              <w:rPr>
                <w:sz w:val="22"/>
                <w:szCs w:val="22"/>
              </w:rPr>
              <w:t>Domestic</w:t>
            </w:r>
          </w:p>
        </w:tc>
        <w:tc>
          <w:tcPr>
            <w:tcW w:w="1890" w:type="dxa"/>
            <w:shd w:val="clear" w:color="auto" w:fill="auto"/>
          </w:tcPr>
          <w:p w:rsidR="00EF401E" w:rsidRPr="00B42BE9" w:rsidRDefault="00EF401E" w:rsidP="00940733">
            <w:pPr>
              <w:jc w:val="center"/>
              <w:rPr>
                <w:sz w:val="22"/>
                <w:szCs w:val="22"/>
              </w:rPr>
            </w:pPr>
            <w:r w:rsidRPr="00B42BE9">
              <w:rPr>
                <w:sz w:val="22"/>
                <w:szCs w:val="22"/>
              </w:rPr>
              <w:t>87.5%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OGS</w:t>
            </w:r>
          </w:p>
        </w:tc>
        <w:tc>
          <w:tcPr>
            <w:tcW w:w="2250" w:type="dxa"/>
            <w:shd w:val="clear" w:color="auto" w:fill="auto"/>
          </w:tcPr>
          <w:p w:rsidR="00EF401E" w:rsidRPr="00B42BE9" w:rsidRDefault="00EF401E" w:rsidP="00940733">
            <w:pPr>
              <w:jc w:val="both"/>
              <w:rPr>
                <w:sz w:val="22"/>
                <w:szCs w:val="22"/>
              </w:rPr>
            </w:pPr>
            <w:r w:rsidRPr="00B42BE9">
              <w:rPr>
                <w:sz w:val="22"/>
                <w:szCs w:val="22"/>
              </w:rPr>
              <w:t>Small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75.0%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PLS</w:t>
            </w:r>
          </w:p>
        </w:tc>
        <w:tc>
          <w:tcPr>
            <w:tcW w:w="2250" w:type="dxa"/>
            <w:shd w:val="clear" w:color="auto" w:fill="auto"/>
          </w:tcPr>
          <w:p w:rsidR="00EF401E" w:rsidRPr="00B42BE9" w:rsidRDefault="00EF401E" w:rsidP="00940733">
            <w:pPr>
              <w:jc w:val="both"/>
              <w:rPr>
                <w:sz w:val="22"/>
                <w:szCs w:val="22"/>
              </w:rPr>
            </w:pPr>
            <w:r w:rsidRPr="00B42BE9">
              <w:rPr>
                <w:sz w:val="22"/>
                <w:szCs w:val="22"/>
              </w:rPr>
              <w:t>Small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87.5%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TOU-EO</w:t>
            </w:r>
          </w:p>
        </w:tc>
        <w:tc>
          <w:tcPr>
            <w:tcW w:w="2250" w:type="dxa"/>
            <w:shd w:val="clear" w:color="auto" w:fill="auto"/>
          </w:tcPr>
          <w:p w:rsidR="00EF401E" w:rsidRPr="00B42BE9" w:rsidRDefault="00EF401E" w:rsidP="00940733">
            <w:pPr>
              <w:jc w:val="both"/>
              <w:rPr>
                <w:sz w:val="22"/>
                <w:szCs w:val="22"/>
              </w:rPr>
            </w:pPr>
            <w:r w:rsidRPr="00B42BE9">
              <w:rPr>
                <w:sz w:val="22"/>
                <w:szCs w:val="22"/>
              </w:rPr>
              <w:t>Small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87.5%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PLM</w:t>
            </w:r>
          </w:p>
        </w:tc>
        <w:tc>
          <w:tcPr>
            <w:tcW w:w="2250" w:type="dxa"/>
            <w:shd w:val="clear" w:color="auto" w:fill="auto"/>
          </w:tcPr>
          <w:p w:rsidR="00EF401E" w:rsidRPr="00B42BE9" w:rsidRDefault="00EF401E" w:rsidP="00940733">
            <w:pPr>
              <w:jc w:val="both"/>
              <w:rPr>
                <w:sz w:val="22"/>
                <w:szCs w:val="22"/>
              </w:rPr>
            </w:pPr>
            <w:r w:rsidRPr="00B42BE9">
              <w:rPr>
                <w:sz w:val="22"/>
                <w:szCs w:val="22"/>
              </w:rPr>
              <w:t>Medium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87.5%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TOU-GSD</w:t>
            </w:r>
          </w:p>
        </w:tc>
        <w:tc>
          <w:tcPr>
            <w:tcW w:w="2250" w:type="dxa"/>
            <w:shd w:val="clear" w:color="auto" w:fill="auto"/>
          </w:tcPr>
          <w:p w:rsidR="00EF401E" w:rsidRPr="00B42BE9" w:rsidRDefault="00EF401E" w:rsidP="00940733">
            <w:pPr>
              <w:jc w:val="both"/>
              <w:rPr>
                <w:sz w:val="22"/>
                <w:szCs w:val="22"/>
              </w:rPr>
            </w:pPr>
            <w:r w:rsidRPr="00B42BE9">
              <w:rPr>
                <w:sz w:val="22"/>
                <w:szCs w:val="22"/>
              </w:rPr>
              <w:t>Medium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75.0%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PLL</w:t>
            </w:r>
          </w:p>
        </w:tc>
        <w:tc>
          <w:tcPr>
            <w:tcW w:w="2250" w:type="dxa"/>
            <w:shd w:val="clear" w:color="auto" w:fill="auto"/>
          </w:tcPr>
          <w:p w:rsidR="00EF401E" w:rsidRPr="00B42BE9" w:rsidRDefault="00EF401E" w:rsidP="00940733">
            <w:pPr>
              <w:jc w:val="both"/>
              <w:rPr>
                <w:sz w:val="22"/>
                <w:szCs w:val="22"/>
              </w:rPr>
            </w:pPr>
            <w:r w:rsidRPr="00B42BE9">
              <w:rPr>
                <w:sz w:val="22"/>
                <w:szCs w:val="22"/>
              </w:rPr>
              <w:t>Large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87.5%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SCH</w:t>
            </w:r>
          </w:p>
        </w:tc>
        <w:tc>
          <w:tcPr>
            <w:tcW w:w="2250" w:type="dxa"/>
            <w:shd w:val="clear" w:color="auto" w:fill="auto"/>
          </w:tcPr>
          <w:p w:rsidR="00EF401E" w:rsidRPr="00B42BE9" w:rsidRDefault="00EF401E" w:rsidP="00940733">
            <w:pPr>
              <w:jc w:val="both"/>
              <w:rPr>
                <w:sz w:val="22"/>
                <w:szCs w:val="22"/>
              </w:rPr>
            </w:pPr>
            <w:r w:rsidRPr="00B42BE9">
              <w:rPr>
                <w:sz w:val="22"/>
                <w:szCs w:val="22"/>
              </w:rPr>
              <w:t>Government</w:t>
            </w:r>
          </w:p>
        </w:tc>
        <w:tc>
          <w:tcPr>
            <w:tcW w:w="1890" w:type="dxa"/>
            <w:shd w:val="clear" w:color="auto" w:fill="auto"/>
          </w:tcPr>
          <w:p w:rsidR="00EF401E" w:rsidRPr="00B42BE9" w:rsidRDefault="00EF401E" w:rsidP="00940733">
            <w:pPr>
              <w:jc w:val="center"/>
              <w:rPr>
                <w:sz w:val="22"/>
                <w:szCs w:val="22"/>
              </w:rPr>
            </w:pPr>
            <w:r w:rsidRPr="00B42BE9">
              <w:rPr>
                <w:sz w:val="22"/>
                <w:szCs w:val="22"/>
              </w:rPr>
              <w:t>75.0%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p>
        </w:tc>
        <w:tc>
          <w:tcPr>
            <w:tcW w:w="2250" w:type="dxa"/>
            <w:shd w:val="clear" w:color="auto" w:fill="auto"/>
          </w:tcPr>
          <w:p w:rsidR="00EF401E" w:rsidRPr="00B42BE9" w:rsidRDefault="00EF401E" w:rsidP="00940733">
            <w:pPr>
              <w:jc w:val="both"/>
              <w:rPr>
                <w:sz w:val="22"/>
                <w:szCs w:val="22"/>
              </w:rPr>
            </w:pPr>
          </w:p>
        </w:tc>
        <w:tc>
          <w:tcPr>
            <w:tcW w:w="1890" w:type="dxa"/>
            <w:shd w:val="clear" w:color="auto" w:fill="auto"/>
          </w:tcPr>
          <w:p w:rsidR="00EF401E" w:rsidRPr="00B42BE9" w:rsidRDefault="00EF401E" w:rsidP="00940733">
            <w:pPr>
              <w:jc w:val="center"/>
              <w:rPr>
                <w:sz w:val="22"/>
                <w:szCs w:val="22"/>
              </w:rPr>
            </w:pPr>
          </w:p>
        </w:tc>
      </w:tr>
      <w:tr w:rsidR="00EF401E" w:rsidRPr="00B42BE9" w:rsidTr="00940733">
        <w:tc>
          <w:tcPr>
            <w:tcW w:w="6390" w:type="dxa"/>
            <w:gridSpan w:val="4"/>
            <w:shd w:val="clear" w:color="auto" w:fill="auto"/>
          </w:tcPr>
          <w:p w:rsidR="00EF401E" w:rsidRPr="00B42BE9" w:rsidRDefault="00EF401E" w:rsidP="00940733">
            <w:pPr>
              <w:rPr>
                <w:sz w:val="22"/>
                <w:szCs w:val="22"/>
              </w:rPr>
            </w:pPr>
            <w:r w:rsidRPr="00B42BE9">
              <w:rPr>
                <w:sz w:val="22"/>
                <w:szCs w:val="22"/>
                <w:u w:val="single"/>
              </w:rPr>
              <w:t>More Than the System Average</w:t>
            </w:r>
            <w:r w:rsidRPr="00B42BE9">
              <w:rPr>
                <w:sz w:val="22"/>
                <w:szCs w:val="22"/>
              </w:rPr>
              <w:t>:</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GS</w:t>
            </w:r>
          </w:p>
        </w:tc>
        <w:tc>
          <w:tcPr>
            <w:tcW w:w="2250" w:type="dxa"/>
            <w:shd w:val="clear" w:color="auto" w:fill="auto"/>
          </w:tcPr>
          <w:p w:rsidR="00EF401E" w:rsidRPr="00B42BE9" w:rsidRDefault="00EF401E" w:rsidP="00940733">
            <w:pPr>
              <w:jc w:val="both"/>
              <w:rPr>
                <w:sz w:val="22"/>
                <w:szCs w:val="22"/>
              </w:rPr>
            </w:pPr>
            <w:r w:rsidRPr="00B42BE9">
              <w:rPr>
                <w:sz w:val="22"/>
                <w:szCs w:val="22"/>
              </w:rPr>
              <w:t>Small Business</w:t>
            </w:r>
          </w:p>
        </w:tc>
        <w:tc>
          <w:tcPr>
            <w:tcW w:w="1890" w:type="dxa"/>
            <w:shd w:val="clear" w:color="auto" w:fill="auto"/>
          </w:tcPr>
          <w:p w:rsidR="00EF401E" w:rsidRPr="00B42BE9" w:rsidRDefault="00EF401E" w:rsidP="00940733">
            <w:pPr>
              <w:jc w:val="center"/>
              <w:rPr>
                <w:sz w:val="22"/>
                <w:szCs w:val="22"/>
              </w:rPr>
            </w:pPr>
            <w:r w:rsidRPr="00B42BE9">
              <w:rPr>
                <w:sz w:val="22"/>
                <w:szCs w:val="22"/>
              </w:rPr>
              <w:t>112.5%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SAS ND</w:t>
            </w:r>
          </w:p>
        </w:tc>
        <w:tc>
          <w:tcPr>
            <w:tcW w:w="2250" w:type="dxa"/>
            <w:shd w:val="clear" w:color="auto" w:fill="auto"/>
          </w:tcPr>
          <w:p w:rsidR="00EF401E" w:rsidRPr="00B42BE9" w:rsidRDefault="00EF401E" w:rsidP="00940733">
            <w:pPr>
              <w:jc w:val="both"/>
              <w:rPr>
                <w:sz w:val="22"/>
                <w:szCs w:val="22"/>
              </w:rPr>
            </w:pPr>
            <w:r w:rsidRPr="00B42BE9">
              <w:rPr>
                <w:sz w:val="22"/>
                <w:szCs w:val="22"/>
              </w:rPr>
              <w:t>Agriculture</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SAS</w:t>
            </w:r>
          </w:p>
        </w:tc>
        <w:tc>
          <w:tcPr>
            <w:tcW w:w="2250" w:type="dxa"/>
            <w:shd w:val="clear" w:color="auto" w:fill="auto"/>
          </w:tcPr>
          <w:p w:rsidR="00EF401E" w:rsidRPr="00B42BE9" w:rsidRDefault="00EF401E" w:rsidP="00940733">
            <w:pPr>
              <w:jc w:val="both"/>
              <w:rPr>
                <w:sz w:val="22"/>
                <w:szCs w:val="22"/>
              </w:rPr>
            </w:pPr>
            <w:r w:rsidRPr="00B42BE9">
              <w:rPr>
                <w:sz w:val="22"/>
                <w:szCs w:val="22"/>
              </w:rPr>
              <w:t>Agriculture</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SLM</w:t>
            </w:r>
          </w:p>
        </w:tc>
        <w:tc>
          <w:tcPr>
            <w:tcW w:w="2250" w:type="dxa"/>
            <w:shd w:val="clear" w:color="auto" w:fill="auto"/>
          </w:tcPr>
          <w:p w:rsidR="00EF401E" w:rsidRPr="00B42BE9" w:rsidRDefault="00EF401E" w:rsidP="00940733">
            <w:pPr>
              <w:jc w:val="both"/>
              <w:rPr>
                <w:sz w:val="22"/>
                <w:szCs w:val="22"/>
              </w:rPr>
            </w:pPr>
            <w:r w:rsidRPr="00B42BE9">
              <w:rPr>
                <w:sz w:val="22"/>
                <w:szCs w:val="22"/>
              </w:rPr>
              <w:t>Government</w:t>
            </w:r>
          </w:p>
        </w:tc>
        <w:tc>
          <w:tcPr>
            <w:tcW w:w="1890" w:type="dxa"/>
            <w:shd w:val="clear" w:color="auto" w:fill="auto"/>
          </w:tcPr>
          <w:p w:rsidR="00EF401E" w:rsidRPr="00B42BE9" w:rsidRDefault="00EF401E" w:rsidP="00940733">
            <w:pPr>
              <w:jc w:val="center"/>
              <w:rPr>
                <w:sz w:val="22"/>
                <w:szCs w:val="22"/>
              </w:rPr>
            </w:pPr>
            <w:r w:rsidRPr="00B42BE9">
              <w:rPr>
                <w:sz w:val="22"/>
                <w:szCs w:val="22"/>
              </w:rPr>
              <w:t>112.5%</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TC-M</w:t>
            </w:r>
          </w:p>
        </w:tc>
        <w:tc>
          <w:tcPr>
            <w:tcW w:w="2250" w:type="dxa"/>
            <w:shd w:val="clear" w:color="auto" w:fill="auto"/>
          </w:tcPr>
          <w:p w:rsidR="00EF401E" w:rsidRPr="00B42BE9" w:rsidRDefault="00EF401E" w:rsidP="00940733">
            <w:pPr>
              <w:jc w:val="both"/>
              <w:rPr>
                <w:sz w:val="22"/>
                <w:szCs w:val="22"/>
              </w:rPr>
            </w:pPr>
            <w:r w:rsidRPr="00B42BE9">
              <w:rPr>
                <w:sz w:val="22"/>
                <w:szCs w:val="22"/>
              </w:rPr>
              <w:t>Government</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TC-U</w:t>
            </w:r>
          </w:p>
        </w:tc>
        <w:tc>
          <w:tcPr>
            <w:tcW w:w="2250" w:type="dxa"/>
            <w:shd w:val="clear" w:color="auto" w:fill="auto"/>
          </w:tcPr>
          <w:p w:rsidR="00EF401E" w:rsidRPr="00B42BE9" w:rsidRDefault="00EF401E" w:rsidP="00940733">
            <w:pPr>
              <w:jc w:val="both"/>
              <w:rPr>
                <w:sz w:val="22"/>
                <w:szCs w:val="22"/>
              </w:rPr>
            </w:pPr>
            <w:r w:rsidRPr="00B42BE9">
              <w:rPr>
                <w:sz w:val="22"/>
                <w:szCs w:val="22"/>
              </w:rPr>
              <w:t>Government</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FPA</w:t>
            </w:r>
          </w:p>
        </w:tc>
        <w:tc>
          <w:tcPr>
            <w:tcW w:w="2250" w:type="dxa"/>
            <w:shd w:val="clear" w:color="auto" w:fill="auto"/>
          </w:tcPr>
          <w:p w:rsidR="00EF401E" w:rsidRPr="00B42BE9" w:rsidRDefault="00EF401E" w:rsidP="00940733">
            <w:pPr>
              <w:jc w:val="both"/>
              <w:rPr>
                <w:sz w:val="22"/>
                <w:szCs w:val="22"/>
              </w:rPr>
            </w:pPr>
            <w:r w:rsidRPr="00B42BE9">
              <w:rPr>
                <w:sz w:val="22"/>
                <w:szCs w:val="22"/>
              </w:rPr>
              <w:t>Marginal</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r w:rsidRPr="00B42BE9">
              <w:rPr>
                <w:sz w:val="22"/>
                <w:szCs w:val="22"/>
              </w:rPr>
              <w:t>TOU-SC</w:t>
            </w:r>
          </w:p>
        </w:tc>
        <w:tc>
          <w:tcPr>
            <w:tcW w:w="2250" w:type="dxa"/>
            <w:shd w:val="clear" w:color="auto" w:fill="auto"/>
          </w:tcPr>
          <w:p w:rsidR="00EF401E" w:rsidRPr="00B42BE9" w:rsidRDefault="00EF401E" w:rsidP="00940733">
            <w:pPr>
              <w:jc w:val="both"/>
              <w:rPr>
                <w:sz w:val="22"/>
                <w:szCs w:val="22"/>
              </w:rPr>
            </w:pPr>
            <w:r w:rsidRPr="00B42BE9">
              <w:rPr>
                <w:sz w:val="22"/>
                <w:szCs w:val="22"/>
              </w:rPr>
              <w:t>Marginal</w:t>
            </w:r>
          </w:p>
        </w:tc>
        <w:tc>
          <w:tcPr>
            <w:tcW w:w="1890" w:type="dxa"/>
            <w:shd w:val="clear" w:color="auto" w:fill="auto"/>
          </w:tcPr>
          <w:p w:rsidR="00EF401E" w:rsidRPr="00B42BE9" w:rsidRDefault="00EF401E" w:rsidP="00940733">
            <w:pPr>
              <w:jc w:val="center"/>
              <w:rPr>
                <w:sz w:val="22"/>
                <w:szCs w:val="22"/>
              </w:rPr>
            </w:pPr>
            <w:r w:rsidRPr="00B42BE9">
              <w:rPr>
                <w:sz w:val="22"/>
                <w:szCs w:val="22"/>
              </w:rPr>
              <w:t>125.0%</w:t>
            </w:r>
          </w:p>
        </w:tc>
      </w:tr>
      <w:tr w:rsidR="00EF401E" w:rsidRPr="00B42BE9" w:rsidTr="00940733">
        <w:tc>
          <w:tcPr>
            <w:tcW w:w="270" w:type="dxa"/>
            <w:shd w:val="clear" w:color="auto" w:fill="auto"/>
          </w:tcPr>
          <w:p w:rsidR="00EF401E" w:rsidRPr="00B42BE9" w:rsidRDefault="00EF401E" w:rsidP="00940733">
            <w:pPr>
              <w:jc w:val="both"/>
              <w:rPr>
                <w:sz w:val="22"/>
                <w:szCs w:val="22"/>
              </w:rPr>
            </w:pPr>
          </w:p>
        </w:tc>
        <w:tc>
          <w:tcPr>
            <w:tcW w:w="1980" w:type="dxa"/>
            <w:shd w:val="clear" w:color="auto" w:fill="auto"/>
          </w:tcPr>
          <w:p w:rsidR="00EF401E" w:rsidRPr="00B42BE9" w:rsidRDefault="00EF401E" w:rsidP="00940733">
            <w:pPr>
              <w:jc w:val="both"/>
              <w:rPr>
                <w:sz w:val="22"/>
                <w:szCs w:val="22"/>
              </w:rPr>
            </w:pPr>
          </w:p>
        </w:tc>
        <w:tc>
          <w:tcPr>
            <w:tcW w:w="2250" w:type="dxa"/>
            <w:shd w:val="clear" w:color="auto" w:fill="auto"/>
          </w:tcPr>
          <w:p w:rsidR="00EF401E" w:rsidRPr="00B42BE9" w:rsidRDefault="00EF401E" w:rsidP="00940733">
            <w:pPr>
              <w:jc w:val="both"/>
              <w:rPr>
                <w:sz w:val="22"/>
                <w:szCs w:val="22"/>
              </w:rPr>
            </w:pPr>
          </w:p>
        </w:tc>
        <w:tc>
          <w:tcPr>
            <w:tcW w:w="1890" w:type="dxa"/>
            <w:shd w:val="clear" w:color="auto" w:fill="auto"/>
          </w:tcPr>
          <w:p w:rsidR="00EF401E" w:rsidRPr="00B42BE9" w:rsidRDefault="00EF401E" w:rsidP="00940733">
            <w:pPr>
              <w:jc w:val="both"/>
              <w:rPr>
                <w:sz w:val="22"/>
                <w:szCs w:val="22"/>
              </w:rPr>
            </w:pPr>
          </w:p>
        </w:tc>
      </w:tr>
      <w:tr w:rsidR="00EF401E" w:rsidRPr="00B42BE9" w:rsidTr="00940733">
        <w:tc>
          <w:tcPr>
            <w:tcW w:w="6390" w:type="dxa"/>
            <w:gridSpan w:val="4"/>
            <w:shd w:val="clear" w:color="auto" w:fill="auto"/>
          </w:tcPr>
          <w:p w:rsidR="00EF401E" w:rsidRPr="00B42BE9" w:rsidRDefault="00EF401E" w:rsidP="00940733">
            <w:pPr>
              <w:rPr>
                <w:sz w:val="22"/>
                <w:szCs w:val="22"/>
              </w:rPr>
            </w:pPr>
            <w:r w:rsidRPr="00B42BE9">
              <w:rPr>
                <w:sz w:val="22"/>
                <w:szCs w:val="22"/>
                <w:u w:val="single"/>
              </w:rPr>
              <w:t>All Other Rate Schedules</w:t>
            </w:r>
            <w:r w:rsidRPr="00B42BE9">
              <w:rPr>
                <w:sz w:val="22"/>
                <w:szCs w:val="22"/>
              </w:rPr>
              <w:t>:</w:t>
            </w:r>
          </w:p>
          <w:p w:rsidR="00EF401E" w:rsidRPr="00B42BE9" w:rsidRDefault="00EF401E" w:rsidP="00940733">
            <w:pPr>
              <w:rPr>
                <w:sz w:val="22"/>
                <w:szCs w:val="22"/>
              </w:rPr>
            </w:pPr>
            <w:r w:rsidRPr="00B42BE9">
              <w:rPr>
                <w:sz w:val="22"/>
                <w:szCs w:val="22"/>
              </w:rPr>
              <w:t xml:space="preserve">    Equal Percentage of Remaining Increase</w:t>
            </w:r>
          </w:p>
        </w:tc>
      </w:tr>
      <w:bookmarkEnd w:id="18"/>
    </w:tbl>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EF401E">
      <w:pPr>
        <w:suppressLineNumbers/>
        <w:spacing w:before="480" w:line="480" w:lineRule="auto"/>
        <w:ind w:left="720" w:hanging="720"/>
        <w:jc w:val="both"/>
        <w:rPr>
          <w:b/>
          <w:bCs/>
        </w:rPr>
      </w:pPr>
    </w:p>
    <w:p w:rsidR="00EF401E" w:rsidRDefault="00EF401E" w:rsidP="00430DC9">
      <w:pPr>
        <w:suppressLineNumbers/>
        <w:spacing w:line="480" w:lineRule="auto"/>
        <w:ind w:left="720" w:hanging="720"/>
        <w:jc w:val="both"/>
        <w:rPr>
          <w:b/>
          <w:bCs/>
        </w:rPr>
      </w:pPr>
    </w:p>
    <w:p w:rsidR="00871F22" w:rsidRDefault="00871F22" w:rsidP="00683917">
      <w:pPr>
        <w:tabs>
          <w:tab w:val="left" w:pos="1440"/>
        </w:tabs>
        <w:spacing w:before="480" w:line="480" w:lineRule="auto"/>
        <w:ind w:left="720" w:hanging="720"/>
        <w:jc w:val="both"/>
        <w:rPr>
          <w:b/>
          <w:bCs/>
        </w:rPr>
      </w:pPr>
      <w:r>
        <w:rPr>
          <w:b/>
          <w:bCs/>
        </w:rPr>
        <w:t>Q.</w:t>
      </w:r>
      <w:r w:rsidR="00EF401E">
        <w:rPr>
          <w:b/>
          <w:bCs/>
        </w:rPr>
        <w:tab/>
      </w:r>
      <w:r>
        <w:rPr>
          <w:b/>
          <w:bCs/>
        </w:rPr>
        <w:t>WHAT IS THE BASIS FOR ASSIGNING 87.5% OF THE SYSTEM AVERAGE TO SOME RATE SCHEDULES AND 75.0% OF THE SYSTEM AVERAGE TO OTHER RATE SCHEDULES?</w:t>
      </w:r>
    </w:p>
    <w:p w:rsidR="00871F22" w:rsidRDefault="00871F22" w:rsidP="008E0A4A">
      <w:pPr>
        <w:spacing w:line="480" w:lineRule="auto"/>
        <w:ind w:left="720" w:hanging="720"/>
        <w:jc w:val="both"/>
      </w:pPr>
      <w:r>
        <w:t>A.</w:t>
      </w:r>
      <w:r>
        <w:tab/>
      </w:r>
      <w:r w:rsidR="00703EBD">
        <w:t xml:space="preserve">Individual rate schedules were </w:t>
      </w:r>
      <w:r>
        <w:t xml:space="preserve">delineated </w:t>
      </w:r>
      <w:r w:rsidR="00C72EC1">
        <w:t xml:space="preserve">between </w:t>
      </w:r>
      <w:r>
        <w:t xml:space="preserve">those rate schedules whose indexed RORs are more than 125% </w:t>
      </w:r>
      <w:r w:rsidR="00C72EC1">
        <w:t xml:space="preserve">and </w:t>
      </w:r>
      <w:r>
        <w:t xml:space="preserve">those </w:t>
      </w:r>
      <w:r w:rsidR="00C72EC1">
        <w:t>that a</w:t>
      </w:r>
      <w:r>
        <w:t>re somewhat more</w:t>
      </w:r>
      <w:r w:rsidR="001D3BB8">
        <w:t xml:space="preserve"> than 100%</w:t>
      </w:r>
      <w:r>
        <w:t xml:space="preserve"> and those whose indexed RORs are significantly above 125%.  To illustrate, and as shown in </w:t>
      </w:r>
      <w:r w:rsidR="006F7D30">
        <w:t>Table 9</w:t>
      </w:r>
      <w:r>
        <w:t xml:space="preserve">, </w:t>
      </w:r>
      <w:r w:rsidR="00A54AA5">
        <w:t xml:space="preserve">the </w:t>
      </w:r>
      <w:r>
        <w:t xml:space="preserve">TOU-RD’s indexed RORs are at, or somewhat greater than </w:t>
      </w:r>
      <w:r w:rsidRPr="001D3BB8">
        <w:t>125% under all CCOSS such that</w:t>
      </w:r>
      <w:r w:rsidR="001D3BB8" w:rsidRPr="001D3BB8">
        <w:t xml:space="preserve"> this rate schedule was assigned</w:t>
      </w:r>
      <w:r>
        <w:t xml:space="preserve"> 87.5% of the system average percentage increase.  With </w:t>
      </w:r>
      <w:r>
        <w:lastRenderedPageBreak/>
        <w:t>regard</w:t>
      </w:r>
      <w:r w:rsidR="005A3C2A">
        <w:t>s</w:t>
      </w:r>
      <w:r>
        <w:t xml:space="preserve"> to OGS, this rate schedule’s indexed </w:t>
      </w:r>
      <w:r w:rsidRPr="00B15AD2">
        <w:t xml:space="preserve">ROR is significantly above 125% under all CCOSS such that </w:t>
      </w:r>
      <w:r w:rsidR="00B15AD2" w:rsidRPr="00B15AD2">
        <w:t xml:space="preserve">this rate schedule was </w:t>
      </w:r>
      <w:r>
        <w:t xml:space="preserve">assigned only 75% of the system average percentage increase. </w:t>
      </w:r>
    </w:p>
    <w:p w:rsidR="00871F22" w:rsidRDefault="00871F22" w:rsidP="008E0A4A">
      <w:pPr>
        <w:spacing w:before="480" w:line="480" w:lineRule="auto"/>
        <w:ind w:left="720" w:hanging="720"/>
        <w:jc w:val="both"/>
        <w:rPr>
          <w:b/>
          <w:bCs/>
        </w:rPr>
      </w:pPr>
      <w:r>
        <w:rPr>
          <w:b/>
          <w:bCs/>
        </w:rPr>
        <w:t>Q.</w:t>
      </w:r>
      <w:r>
        <w:rPr>
          <w:b/>
          <w:bCs/>
        </w:rPr>
        <w:tab/>
        <w:t>WAS THE SAME LOGIC USED FOR THOSE CLASSES THAT WERE ASSIGNED 112.5% OR 125% OF THE SYSTEM AVERAGE PERCENTAGE INCREASE?</w:t>
      </w:r>
    </w:p>
    <w:p w:rsidR="00871F22" w:rsidRPr="008E0A4A" w:rsidRDefault="00871F22" w:rsidP="008E0A4A">
      <w:pPr>
        <w:spacing w:line="480" w:lineRule="auto"/>
        <w:ind w:left="720" w:hanging="720"/>
        <w:jc w:val="both"/>
      </w:pPr>
      <w:r>
        <w:t>A.</w:t>
      </w:r>
      <w:r>
        <w:tab/>
        <w:t>Yes.</w:t>
      </w:r>
      <w:r>
        <w:rPr>
          <w:b/>
          <w:bCs/>
        </w:rPr>
        <w:t xml:space="preserve"> </w:t>
      </w:r>
      <w:r>
        <w:t xml:space="preserve">    </w:t>
      </w:r>
    </w:p>
    <w:p w:rsidR="00871F22" w:rsidRDefault="00871F22" w:rsidP="008E0A4A">
      <w:pPr>
        <w:spacing w:before="480" w:line="480" w:lineRule="auto"/>
        <w:ind w:left="720" w:hanging="720"/>
        <w:jc w:val="both"/>
        <w:rPr>
          <w:b/>
          <w:bCs/>
        </w:rPr>
      </w:pPr>
      <w:r>
        <w:rPr>
          <w:b/>
          <w:bCs/>
        </w:rPr>
        <w:t>Q.</w:t>
      </w:r>
      <w:r>
        <w:rPr>
          <w:b/>
          <w:bCs/>
        </w:rPr>
        <w:tab/>
        <w:t>PLEASE PROVIDE A SUMMARY OF STAFF’S PROPOSED BASE RATE REVENUE INCREASES BY RATE SCHEDULE.</w:t>
      </w:r>
    </w:p>
    <w:p w:rsidR="00990DF0" w:rsidRDefault="00990DF0" w:rsidP="002F2816">
      <w:pPr>
        <w:spacing w:line="480" w:lineRule="auto"/>
        <w:ind w:left="720" w:hanging="720"/>
        <w:jc w:val="both"/>
        <w:rPr>
          <w:b/>
          <w:bCs/>
        </w:rPr>
      </w:pPr>
      <w:r>
        <w:t>A.</w:t>
      </w:r>
      <w:r>
        <w:tab/>
        <w:t>In order to provide an apples-to-apples comparison to Georgia Power’s proposed base rate revenue increases, the following table shows Staff’s recommended revenue increases by rate schedule utilizing the Company’s originally filed $738.77 million overall base rate increase</w:t>
      </w:r>
      <w:r w:rsidR="00440B2E">
        <w:t>:</w:t>
      </w:r>
      <w:r>
        <w:rPr>
          <w:rStyle w:val="FootnoteReference"/>
        </w:rPr>
        <w:footnoteReference w:id="24"/>
      </w:r>
    </w:p>
    <w:p w:rsidR="00871F22" w:rsidRDefault="00871F22" w:rsidP="00EB5DF5">
      <w:pPr>
        <w:suppressLineNumbers/>
        <w:spacing w:line="480" w:lineRule="auto"/>
        <w:ind w:left="720" w:hanging="720"/>
        <w:jc w:val="both"/>
      </w:pPr>
    </w:p>
    <w:p w:rsidR="00871F22" w:rsidRDefault="00871F22" w:rsidP="00EB5DF5">
      <w:pPr>
        <w:suppressLineNumbers/>
        <w:spacing w:line="360" w:lineRule="auto"/>
        <w:ind w:left="720" w:hanging="720"/>
        <w:jc w:val="both"/>
      </w:pPr>
    </w:p>
    <w:p w:rsidR="00FD01F5" w:rsidRDefault="00FD01F5" w:rsidP="00EB5DF5">
      <w:pPr>
        <w:suppressLineNumbers/>
        <w:spacing w:line="360" w:lineRule="auto"/>
        <w:ind w:left="720" w:hanging="720"/>
        <w:jc w:val="both"/>
      </w:pPr>
    </w:p>
    <w:p w:rsidR="00871F22" w:rsidRDefault="00871F22" w:rsidP="00EB5DF5">
      <w:pPr>
        <w:suppressLineNumbers/>
        <w:spacing w:line="360" w:lineRule="auto"/>
        <w:ind w:left="720" w:hanging="720"/>
        <w:jc w:val="both"/>
      </w:pPr>
    </w:p>
    <w:p w:rsidR="00871F22" w:rsidRDefault="00871F22" w:rsidP="00EB5DF5">
      <w:pPr>
        <w:suppressLineNumbers/>
        <w:spacing w:line="360" w:lineRule="auto"/>
        <w:ind w:left="720" w:hanging="720"/>
        <w:jc w:val="both"/>
      </w:pPr>
    </w:p>
    <w:p w:rsidR="00871F22" w:rsidRDefault="00871F22" w:rsidP="00EB5DF5">
      <w:pPr>
        <w:suppressLineNumbers/>
        <w:spacing w:line="360" w:lineRule="auto"/>
        <w:ind w:left="720" w:hanging="720"/>
        <w:jc w:val="both"/>
      </w:pPr>
    </w:p>
    <w:p w:rsidR="00871F22" w:rsidRDefault="00871F22" w:rsidP="00EB5DF5">
      <w:pPr>
        <w:suppressLineNumbers/>
        <w:spacing w:line="360" w:lineRule="auto"/>
        <w:ind w:left="720" w:hanging="720"/>
        <w:jc w:val="both"/>
      </w:pPr>
    </w:p>
    <w:p w:rsidR="00871F22" w:rsidRDefault="00871F22" w:rsidP="00EB5DF5">
      <w:pPr>
        <w:suppressLineNumbers/>
        <w:spacing w:line="360" w:lineRule="auto"/>
        <w:ind w:left="720" w:hanging="720"/>
        <w:jc w:val="both"/>
      </w:pPr>
    </w:p>
    <w:tbl>
      <w:tblPr>
        <w:tblpPr w:leftFromText="180" w:rightFromText="180" w:vertAnchor="text" w:horzAnchor="margin" w:tblpXSpec="center" w:tblpY="153"/>
        <w:tblW w:w="7650" w:type="dxa"/>
        <w:tblLook w:val="04A0" w:firstRow="1" w:lastRow="0" w:firstColumn="1" w:lastColumn="0" w:noHBand="0" w:noVBand="1"/>
      </w:tblPr>
      <w:tblGrid>
        <w:gridCol w:w="2160"/>
        <w:gridCol w:w="1186"/>
        <w:gridCol w:w="1080"/>
        <w:gridCol w:w="266"/>
        <w:gridCol w:w="904"/>
        <w:gridCol w:w="990"/>
        <w:gridCol w:w="1076"/>
      </w:tblGrid>
      <w:tr w:rsidR="00B04ACC" w:rsidRPr="00B04ACC" w:rsidTr="00874324">
        <w:trPr>
          <w:trHeight w:val="60"/>
        </w:trPr>
        <w:tc>
          <w:tcPr>
            <w:tcW w:w="7650" w:type="dxa"/>
            <w:gridSpan w:val="7"/>
            <w:tcBorders>
              <w:top w:val="nil"/>
              <w:left w:val="nil"/>
              <w:bottom w:val="single" w:sz="4" w:space="0" w:color="auto"/>
              <w:right w:val="nil"/>
            </w:tcBorders>
            <w:shd w:val="clear" w:color="auto" w:fill="auto"/>
            <w:noWrap/>
            <w:vAlign w:val="bottom"/>
          </w:tcPr>
          <w:p w:rsidR="00B04ACC" w:rsidRPr="00B04ACC" w:rsidRDefault="00B04ACC" w:rsidP="00B04ACC">
            <w:pPr>
              <w:jc w:val="center"/>
              <w:rPr>
                <w:sz w:val="18"/>
                <w:szCs w:val="18"/>
              </w:rPr>
            </w:pPr>
            <w:bookmarkStart w:id="19" w:name="_Hlk116029550"/>
            <w:r w:rsidRPr="00B04ACC">
              <w:rPr>
                <w:sz w:val="18"/>
                <w:szCs w:val="18"/>
              </w:rPr>
              <w:t xml:space="preserve">TABLE </w:t>
            </w:r>
            <w:r w:rsidR="00FD01F5">
              <w:rPr>
                <w:sz w:val="18"/>
                <w:szCs w:val="18"/>
              </w:rPr>
              <w:t>11</w:t>
            </w:r>
          </w:p>
          <w:p w:rsidR="00B04ACC" w:rsidRPr="00B04ACC" w:rsidRDefault="00B04ACC" w:rsidP="00B04ACC">
            <w:pPr>
              <w:jc w:val="center"/>
              <w:rPr>
                <w:sz w:val="18"/>
                <w:szCs w:val="18"/>
              </w:rPr>
            </w:pPr>
            <w:r w:rsidRPr="00B04ACC">
              <w:rPr>
                <w:sz w:val="18"/>
                <w:szCs w:val="18"/>
              </w:rPr>
              <w:t>Summary of Staff Proposed Base Rate Revenues</w:t>
            </w:r>
          </w:p>
          <w:p w:rsidR="00B04ACC" w:rsidRPr="00B04ACC" w:rsidRDefault="00B04ACC" w:rsidP="00B04ACC">
            <w:pPr>
              <w:jc w:val="center"/>
              <w:rPr>
                <w:sz w:val="18"/>
                <w:szCs w:val="18"/>
              </w:rPr>
            </w:pPr>
            <w:r w:rsidRPr="00B04ACC">
              <w:rPr>
                <w:sz w:val="18"/>
                <w:szCs w:val="18"/>
              </w:rPr>
              <w:t>Under Georgia Power’s Original Proposed Increase</w:t>
            </w:r>
          </w:p>
          <w:p w:rsidR="00B04ACC" w:rsidRPr="00B04ACC" w:rsidRDefault="00B04ACC" w:rsidP="00B04ACC">
            <w:pPr>
              <w:jc w:val="center"/>
              <w:rPr>
                <w:sz w:val="18"/>
                <w:szCs w:val="18"/>
              </w:rPr>
            </w:pPr>
            <w:r w:rsidRPr="00B04ACC">
              <w:rPr>
                <w:sz w:val="18"/>
                <w:szCs w:val="18"/>
              </w:rPr>
              <w:t>($ Thousands)</w:t>
            </w:r>
          </w:p>
        </w:tc>
      </w:tr>
      <w:tr w:rsidR="00B04ACC" w:rsidRPr="00B04ACC" w:rsidTr="00874324">
        <w:trPr>
          <w:trHeight w:val="60"/>
        </w:trPr>
        <w:tc>
          <w:tcPr>
            <w:tcW w:w="2160" w:type="dxa"/>
            <w:tcBorders>
              <w:top w:val="single" w:sz="4" w:space="0" w:color="auto"/>
              <w:left w:val="nil"/>
              <w:bottom w:val="nil"/>
              <w:right w:val="nil"/>
            </w:tcBorders>
            <w:shd w:val="clear" w:color="auto" w:fill="auto"/>
            <w:noWrap/>
            <w:vAlign w:val="bottom"/>
            <w:hideMark/>
          </w:tcPr>
          <w:p w:rsidR="00B04ACC" w:rsidRPr="00B04ACC" w:rsidRDefault="00B04ACC" w:rsidP="00B04ACC">
            <w:pPr>
              <w:rPr>
                <w:sz w:val="18"/>
                <w:szCs w:val="18"/>
              </w:rPr>
            </w:pPr>
          </w:p>
        </w:tc>
        <w:tc>
          <w:tcPr>
            <w:tcW w:w="1260" w:type="dxa"/>
            <w:tcBorders>
              <w:top w:val="single" w:sz="4" w:space="0" w:color="auto"/>
              <w:left w:val="nil"/>
              <w:bottom w:val="nil"/>
              <w:right w:val="nil"/>
            </w:tcBorders>
          </w:tcPr>
          <w:p w:rsidR="00B04ACC" w:rsidRPr="00B04ACC" w:rsidRDefault="00B04ACC" w:rsidP="00B04ACC">
            <w:pPr>
              <w:rPr>
                <w:sz w:val="18"/>
                <w:szCs w:val="18"/>
              </w:rPr>
            </w:pPr>
          </w:p>
        </w:tc>
        <w:tc>
          <w:tcPr>
            <w:tcW w:w="1080" w:type="dxa"/>
            <w:tcBorders>
              <w:top w:val="single" w:sz="4" w:space="0" w:color="auto"/>
              <w:left w:val="nil"/>
              <w:bottom w:val="nil"/>
              <w:right w:val="nil"/>
            </w:tcBorders>
            <w:shd w:val="clear" w:color="auto" w:fill="auto"/>
            <w:noWrap/>
            <w:vAlign w:val="bottom"/>
            <w:hideMark/>
          </w:tcPr>
          <w:p w:rsidR="00B04ACC" w:rsidRPr="00B04ACC" w:rsidRDefault="00B04ACC" w:rsidP="00B04ACC">
            <w:pPr>
              <w:rPr>
                <w:sz w:val="18"/>
                <w:szCs w:val="18"/>
              </w:rPr>
            </w:pPr>
          </w:p>
        </w:tc>
        <w:tc>
          <w:tcPr>
            <w:tcW w:w="266"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center"/>
              <w:rPr>
                <w:sz w:val="18"/>
                <w:szCs w:val="18"/>
              </w:rPr>
            </w:pPr>
          </w:p>
        </w:tc>
        <w:tc>
          <w:tcPr>
            <w:tcW w:w="2884" w:type="dxa"/>
            <w:gridSpan w:val="3"/>
            <w:tcBorders>
              <w:top w:val="single" w:sz="4" w:space="0" w:color="auto"/>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Staff Proposed </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jc w:val="center"/>
              <w:rPr>
                <w:sz w:val="18"/>
                <w:szCs w:val="18"/>
              </w:rPr>
            </w:pPr>
          </w:p>
        </w:tc>
        <w:tc>
          <w:tcPr>
            <w:tcW w:w="1260" w:type="dxa"/>
            <w:tcBorders>
              <w:top w:val="nil"/>
              <w:left w:val="nil"/>
              <w:bottom w:val="nil"/>
              <w:right w:val="nil"/>
            </w:tcBorders>
          </w:tcPr>
          <w:p w:rsidR="00B04ACC" w:rsidRPr="00B04ACC" w:rsidRDefault="00B04ACC" w:rsidP="00B04ACC">
            <w:pPr>
              <w:jc w:val="center"/>
              <w:rPr>
                <w:sz w:val="18"/>
                <w:szCs w:val="18"/>
              </w:rPr>
            </w:pPr>
          </w:p>
        </w:tc>
        <w:tc>
          <w:tcPr>
            <w:tcW w:w="1080" w:type="dxa"/>
            <w:tcBorders>
              <w:top w:val="nil"/>
              <w:left w:val="nil"/>
              <w:bottom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Current </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center"/>
              <w:rPr>
                <w:sz w:val="18"/>
                <w:szCs w:val="18"/>
              </w:rPr>
            </w:pPr>
          </w:p>
        </w:tc>
        <w:tc>
          <w:tcPr>
            <w:tcW w:w="904"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Pct. of </w:t>
            </w:r>
          </w:p>
        </w:tc>
        <w:tc>
          <w:tcPr>
            <w:tcW w:w="990"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center"/>
              <w:rPr>
                <w:sz w:val="18"/>
                <w:szCs w:val="18"/>
              </w:rPr>
            </w:pPr>
          </w:p>
        </w:tc>
        <w:tc>
          <w:tcPr>
            <w:tcW w:w="990"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 Increase </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jc w:val="center"/>
              <w:rPr>
                <w:sz w:val="18"/>
                <w:szCs w:val="18"/>
              </w:rPr>
            </w:pPr>
          </w:p>
        </w:tc>
        <w:tc>
          <w:tcPr>
            <w:tcW w:w="1260" w:type="dxa"/>
            <w:tcBorders>
              <w:top w:val="nil"/>
              <w:left w:val="nil"/>
              <w:bottom w:val="nil"/>
              <w:right w:val="nil"/>
            </w:tcBorders>
          </w:tcPr>
          <w:p w:rsidR="00B04ACC" w:rsidRPr="00B04ACC" w:rsidRDefault="00B04ACC" w:rsidP="00B04ACC">
            <w:pPr>
              <w:jc w:val="center"/>
              <w:rPr>
                <w:sz w:val="18"/>
                <w:szCs w:val="18"/>
              </w:rPr>
            </w:pPr>
          </w:p>
        </w:tc>
        <w:tc>
          <w:tcPr>
            <w:tcW w:w="1080" w:type="dxa"/>
            <w:tcBorders>
              <w:top w:val="nil"/>
              <w:left w:val="nil"/>
              <w:bottom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Base Rate </w:t>
            </w:r>
          </w:p>
        </w:tc>
        <w:tc>
          <w:tcPr>
            <w:tcW w:w="266" w:type="dxa"/>
            <w:tcBorders>
              <w:top w:val="nil"/>
              <w:left w:val="nil"/>
              <w:right w:val="nil"/>
            </w:tcBorders>
            <w:shd w:val="clear" w:color="auto" w:fill="auto"/>
            <w:noWrap/>
            <w:vAlign w:val="bottom"/>
            <w:hideMark/>
          </w:tcPr>
          <w:p w:rsidR="00B04ACC" w:rsidRPr="00B04ACC" w:rsidRDefault="00B04ACC" w:rsidP="00B04ACC">
            <w:pPr>
              <w:jc w:val="center"/>
              <w:rPr>
                <w:sz w:val="18"/>
                <w:szCs w:val="18"/>
              </w:rPr>
            </w:pPr>
          </w:p>
        </w:tc>
        <w:tc>
          <w:tcPr>
            <w:tcW w:w="904" w:type="dxa"/>
            <w:tcBorders>
              <w:top w:val="nil"/>
              <w:left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System </w:t>
            </w:r>
          </w:p>
        </w:tc>
        <w:tc>
          <w:tcPr>
            <w:tcW w:w="990" w:type="dxa"/>
            <w:tcBorders>
              <w:top w:val="nil"/>
              <w:left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  </w:t>
            </w:r>
          </w:p>
        </w:tc>
        <w:tc>
          <w:tcPr>
            <w:tcW w:w="990" w:type="dxa"/>
            <w:tcBorders>
              <w:top w:val="nil"/>
              <w:left w:val="nil"/>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 Excluding </w:t>
            </w:r>
          </w:p>
        </w:tc>
      </w:tr>
      <w:tr w:rsidR="00B04ACC" w:rsidRPr="00B04ACC" w:rsidTr="00874324">
        <w:trPr>
          <w:trHeight w:val="60"/>
        </w:trPr>
        <w:tc>
          <w:tcPr>
            <w:tcW w:w="2160"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Rate</w:t>
            </w:r>
          </w:p>
        </w:tc>
        <w:tc>
          <w:tcPr>
            <w:tcW w:w="1260" w:type="dxa"/>
            <w:tcBorders>
              <w:top w:val="nil"/>
              <w:left w:val="nil"/>
              <w:bottom w:val="single" w:sz="4" w:space="0" w:color="auto"/>
              <w:right w:val="nil"/>
            </w:tcBorders>
          </w:tcPr>
          <w:p w:rsidR="00B04ACC" w:rsidRPr="00B04ACC" w:rsidRDefault="00B04ACC" w:rsidP="00B04ACC">
            <w:pPr>
              <w:jc w:val="center"/>
              <w:rPr>
                <w:sz w:val="18"/>
                <w:szCs w:val="18"/>
              </w:rPr>
            </w:pPr>
            <w:r w:rsidRPr="00B04ACC">
              <w:rPr>
                <w:sz w:val="18"/>
                <w:szCs w:val="18"/>
              </w:rPr>
              <w:t>Class</w:t>
            </w:r>
          </w:p>
        </w:tc>
        <w:tc>
          <w:tcPr>
            <w:tcW w:w="1080"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 xml:space="preserve">Revenue  </w:t>
            </w:r>
            <w:r w:rsidRPr="00B04ACC">
              <w:rPr>
                <w:sz w:val="18"/>
                <w:szCs w:val="18"/>
                <w:vertAlign w:val="superscript"/>
              </w:rPr>
              <w:footnoteReference w:id="25"/>
            </w:r>
            <w:r w:rsidRPr="00B04ACC">
              <w:rPr>
                <w:sz w:val="18"/>
                <w:szCs w:val="18"/>
              </w:rPr>
              <w:t xml:space="preserve"> </w:t>
            </w:r>
          </w:p>
        </w:tc>
        <w:tc>
          <w:tcPr>
            <w:tcW w:w="266"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p>
        </w:tc>
        <w:tc>
          <w:tcPr>
            <w:tcW w:w="904"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Avg.</w:t>
            </w:r>
          </w:p>
        </w:tc>
        <w:tc>
          <w:tcPr>
            <w:tcW w:w="990"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Increase</w:t>
            </w:r>
          </w:p>
        </w:tc>
        <w:tc>
          <w:tcPr>
            <w:tcW w:w="990"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center"/>
              <w:rPr>
                <w:sz w:val="18"/>
                <w:szCs w:val="18"/>
              </w:rPr>
            </w:pPr>
            <w:r w:rsidRPr="00B04ACC">
              <w:rPr>
                <w:sz w:val="18"/>
                <w:szCs w:val="18"/>
              </w:rPr>
              <w:t>Incremental</w:t>
            </w:r>
          </w:p>
        </w:tc>
      </w:tr>
      <w:tr w:rsidR="00B04ACC" w:rsidRPr="00B04ACC" w:rsidTr="00874324">
        <w:trPr>
          <w:trHeight w:val="5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R, RM, SCD, OPT</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single" w:sz="4" w:space="0" w:color="auto"/>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$2,099,712</w:t>
            </w:r>
          </w:p>
        </w:tc>
        <w:tc>
          <w:tcPr>
            <w:tcW w:w="266"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single" w:sz="4" w:space="0" w:color="auto"/>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$350,589</w:t>
            </w:r>
          </w:p>
        </w:tc>
        <w:tc>
          <w:tcPr>
            <w:tcW w:w="990"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proofErr w:type="spellStart"/>
            <w:r w:rsidRPr="00B04ACC">
              <w:rPr>
                <w:sz w:val="18"/>
                <w:szCs w:val="18"/>
              </w:rPr>
              <w:t>FlatBill</w:t>
            </w:r>
            <w:proofErr w:type="spellEnd"/>
            <w:r w:rsidRPr="00B04ACC">
              <w:rPr>
                <w:sz w:val="18"/>
                <w:szCs w:val="18"/>
              </w:rPr>
              <w:t xml:space="preserve"> Risk Premium</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$36,483</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$3,764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10.32%</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TOU-REO</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$6,674</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$1,114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TOU-PEV</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$7,722</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$1,289</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PPS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$93,384</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$15,592</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PBD Risk Premium</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$862</w:t>
            </w:r>
          </w:p>
        </w:tc>
        <w:tc>
          <w:tcPr>
            <w:tcW w:w="266"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$97</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11.29%</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TOU-RD</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DOM</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$72,597</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87.5%</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$10,194</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14.04%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GS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$185,508</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112.5%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$33,491</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18.05%</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proofErr w:type="spellStart"/>
            <w:r w:rsidRPr="00B04ACC">
              <w:rPr>
                <w:sz w:val="18"/>
                <w:szCs w:val="18"/>
              </w:rPr>
              <w:t>FlatBill</w:t>
            </w:r>
            <w:proofErr w:type="spellEnd"/>
            <w:r w:rsidRPr="00B04ACC">
              <w:rPr>
                <w:sz w:val="18"/>
                <w:szCs w:val="18"/>
              </w:rPr>
              <w:t xml:space="preserve"> GS Risk Premium</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$574</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$61</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OGS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$1,367</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75.0%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$164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PLS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$262,853</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87.5%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$36,909</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14.04%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TOU-EO</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$47,834</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87.5%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$6,717</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14.04%</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UD</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SM. BUS.</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$11,583</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$1,934</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PLM</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MD.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$696,530</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87.5%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$97,804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14.04%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TOU-GSD</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MD.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$31,408</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75.0%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$3,780</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12.04%</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TOU-FD</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MD. BUS.</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$39,164</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$6,539</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PLL</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LG.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$128,575</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87.5%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$18,054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14.04%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TOU-HLF</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LG. BUS.</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$2,703</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$451</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TOU-RN</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LG. BUS.</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$39,534</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$6,601</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APS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AGRIC.</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$2,549</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$426</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IOP</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AGRIC.</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$3,088</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$516</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SAS-ND</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AGRIC.</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$132</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$26</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SAS</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AGRIC.</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$1,400</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$281</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TOU-FS</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AGRIC.</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$4,090</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$683</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G</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GOV’T</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$4,917</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$821</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SCH</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GOV’T</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$12,657</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75.0%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$1,523</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12.04%</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SLM</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GOV’T</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$73,226</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112.5%</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$13,220</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18.05%</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TC-M</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GOV’T</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$167</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TC-U</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GOV’T</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$689</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$138</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EOL</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LIGHTING</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$18,584</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$3,103</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7"/>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OLG</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LIGHTING</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$19,068</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$3,184</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OLNG</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LIGHTING</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$21,423</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$3,577</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RLG</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LIGHTING</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$35,958</w:t>
            </w:r>
          </w:p>
        </w:tc>
        <w:tc>
          <w:tcPr>
            <w:tcW w:w="266"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$6,004</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FPA</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$78,216</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$15,690</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xml:space="preserve">RTP-DA (Excl. </w:t>
            </w:r>
            <w:proofErr w:type="spellStart"/>
            <w:r w:rsidRPr="00B04ACC">
              <w:rPr>
                <w:sz w:val="18"/>
                <w:szCs w:val="18"/>
              </w:rPr>
              <w:t>Increm</w:t>
            </w:r>
            <w:proofErr w:type="spellEnd"/>
            <w:r w:rsidRPr="00B04ACC">
              <w:rPr>
                <w:sz w:val="18"/>
                <w:szCs w:val="18"/>
              </w:rPr>
              <w:t>.)</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$358,566</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$59,870</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 xml:space="preserve">RTP-HA (Excl. </w:t>
            </w:r>
            <w:proofErr w:type="spellStart"/>
            <w:r w:rsidRPr="00B04ACC">
              <w:rPr>
                <w:sz w:val="18"/>
                <w:szCs w:val="18"/>
              </w:rPr>
              <w:t>Increm</w:t>
            </w:r>
            <w:proofErr w:type="spellEnd"/>
            <w:r w:rsidRPr="00B04ACC">
              <w:rPr>
                <w:sz w:val="18"/>
                <w:szCs w:val="18"/>
              </w:rPr>
              <w:t>.)</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$188,292</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104.0%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$31,439</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16.70%</w:t>
            </w:r>
          </w:p>
        </w:tc>
      </w:tr>
      <w:tr w:rsidR="00B04ACC" w:rsidRPr="00B04ACC" w:rsidTr="00874324">
        <w:trPr>
          <w:trHeight w:val="60"/>
        </w:trPr>
        <w:tc>
          <w:tcPr>
            <w:tcW w:w="2160" w:type="dxa"/>
            <w:tcBorders>
              <w:top w:val="nil"/>
              <w:left w:val="nil"/>
              <w:bottom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TOU-SC</w:t>
            </w:r>
          </w:p>
        </w:tc>
        <w:tc>
          <w:tcPr>
            <w:tcW w:w="1260" w:type="dxa"/>
            <w:tcBorders>
              <w:top w:val="nil"/>
              <w:left w:val="nil"/>
              <w:bottom w:val="nil"/>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$6,407</w:t>
            </w:r>
          </w:p>
        </w:tc>
        <w:tc>
          <w:tcPr>
            <w:tcW w:w="266"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$1,285</w:t>
            </w:r>
          </w:p>
        </w:tc>
        <w:tc>
          <w:tcPr>
            <w:tcW w:w="990" w:type="dxa"/>
            <w:tcBorders>
              <w:top w:val="nil"/>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right w:val="nil"/>
            </w:tcBorders>
            <w:shd w:val="clear" w:color="auto" w:fill="auto"/>
            <w:noWrap/>
            <w:vAlign w:val="bottom"/>
            <w:hideMark/>
          </w:tcPr>
          <w:p w:rsidR="00B04ACC" w:rsidRPr="00B04ACC" w:rsidRDefault="00B04ACC" w:rsidP="00B04ACC">
            <w:pPr>
              <w:rPr>
                <w:sz w:val="18"/>
                <w:szCs w:val="18"/>
              </w:rPr>
            </w:pPr>
            <w:r w:rsidRPr="00B04ACC">
              <w:rPr>
                <w:sz w:val="18"/>
                <w:szCs w:val="18"/>
              </w:rPr>
              <w:t>TOU-SC Fixed</w:t>
            </w:r>
          </w:p>
        </w:tc>
        <w:tc>
          <w:tcPr>
            <w:tcW w:w="1260" w:type="dxa"/>
            <w:tcBorders>
              <w:top w:val="nil"/>
              <w:left w:val="nil"/>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$1,515</w:t>
            </w:r>
          </w:p>
        </w:tc>
        <w:tc>
          <w:tcPr>
            <w:tcW w:w="266"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p>
        </w:tc>
        <w:tc>
          <w:tcPr>
            <w:tcW w:w="904"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$304</w:t>
            </w:r>
          </w:p>
        </w:tc>
        <w:tc>
          <w:tcPr>
            <w:tcW w:w="990" w:type="dxa"/>
            <w:tcBorders>
              <w:top w:val="nil"/>
              <w:left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60"/>
        </w:trPr>
        <w:tc>
          <w:tcPr>
            <w:tcW w:w="2160" w:type="dxa"/>
            <w:tcBorders>
              <w:top w:val="nil"/>
              <w:left w:val="nil"/>
              <w:bottom w:val="single" w:sz="4" w:space="0" w:color="auto"/>
              <w:right w:val="nil"/>
            </w:tcBorders>
            <w:shd w:val="clear" w:color="auto" w:fill="auto"/>
            <w:noWrap/>
            <w:vAlign w:val="bottom"/>
            <w:hideMark/>
          </w:tcPr>
          <w:p w:rsidR="00B04ACC" w:rsidRPr="00B04ACC" w:rsidRDefault="00B04ACC" w:rsidP="00B04ACC">
            <w:pPr>
              <w:rPr>
                <w:sz w:val="18"/>
                <w:szCs w:val="18"/>
              </w:rPr>
            </w:pPr>
            <w:r w:rsidRPr="00B04ACC">
              <w:rPr>
                <w:sz w:val="18"/>
                <w:szCs w:val="18"/>
              </w:rPr>
              <w:t>EAF</w:t>
            </w:r>
          </w:p>
        </w:tc>
        <w:tc>
          <w:tcPr>
            <w:tcW w:w="1260" w:type="dxa"/>
            <w:tcBorders>
              <w:top w:val="nil"/>
              <w:left w:val="nil"/>
              <w:bottom w:val="single" w:sz="4" w:space="0" w:color="auto"/>
              <w:right w:val="nil"/>
            </w:tcBorders>
          </w:tcPr>
          <w:p w:rsidR="00B04ACC" w:rsidRPr="00B04ACC" w:rsidRDefault="00B04ACC" w:rsidP="00B04ACC">
            <w:pPr>
              <w:rPr>
                <w:sz w:val="18"/>
                <w:szCs w:val="18"/>
              </w:rPr>
            </w:pPr>
            <w:r w:rsidRPr="00B04ACC">
              <w:rPr>
                <w:sz w:val="18"/>
                <w:szCs w:val="18"/>
              </w:rPr>
              <w:t>MARGINAL</w:t>
            </w:r>
          </w:p>
        </w:tc>
        <w:tc>
          <w:tcPr>
            <w:tcW w:w="1080" w:type="dxa"/>
            <w:tcBorders>
              <w:top w:val="nil"/>
              <w:left w:val="nil"/>
              <w:bottom w:val="single" w:sz="4" w:space="0" w:color="auto"/>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$6,971</w:t>
            </w:r>
          </w:p>
        </w:tc>
        <w:tc>
          <w:tcPr>
            <w:tcW w:w="266" w:type="dxa"/>
            <w:tcBorders>
              <w:top w:val="nil"/>
              <w:left w:val="nil"/>
              <w:bottom w:val="single" w:sz="4" w:space="0" w:color="auto"/>
              <w:right w:val="nil"/>
            </w:tcBorders>
            <w:shd w:val="clear" w:color="auto" w:fill="auto"/>
            <w:noWrap/>
            <w:vAlign w:val="bottom"/>
            <w:hideMark/>
          </w:tcPr>
          <w:p w:rsidR="00B04ACC" w:rsidRPr="00B04ACC" w:rsidRDefault="00B04ACC" w:rsidP="00B04ACC">
            <w:pPr>
              <w:rPr>
                <w:sz w:val="18"/>
                <w:szCs w:val="18"/>
              </w:rPr>
            </w:pPr>
            <w:r w:rsidRPr="00B04ACC">
              <w:rPr>
                <w:sz w:val="18"/>
                <w:szCs w:val="18"/>
              </w:rPr>
              <w:t> </w:t>
            </w:r>
          </w:p>
        </w:tc>
        <w:tc>
          <w:tcPr>
            <w:tcW w:w="904"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125.0%</w:t>
            </w:r>
          </w:p>
        </w:tc>
        <w:tc>
          <w:tcPr>
            <w:tcW w:w="990" w:type="dxa"/>
            <w:tcBorders>
              <w:top w:val="nil"/>
              <w:left w:val="nil"/>
              <w:bottom w:val="single" w:sz="4" w:space="0" w:color="auto"/>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$1,398</w:t>
            </w:r>
          </w:p>
        </w:tc>
        <w:tc>
          <w:tcPr>
            <w:tcW w:w="990" w:type="dxa"/>
            <w:tcBorders>
              <w:top w:val="nil"/>
              <w:left w:val="nil"/>
              <w:bottom w:val="single" w:sz="4" w:space="0" w:color="auto"/>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20.06%</w:t>
            </w:r>
          </w:p>
        </w:tc>
      </w:tr>
      <w:tr w:rsidR="00B04ACC" w:rsidRPr="00B04ACC" w:rsidTr="00874324">
        <w:trPr>
          <w:trHeight w:val="171"/>
        </w:trPr>
        <w:tc>
          <w:tcPr>
            <w:tcW w:w="2160" w:type="dxa"/>
            <w:tcBorders>
              <w:top w:val="single" w:sz="4" w:space="0" w:color="auto"/>
              <w:left w:val="nil"/>
              <w:bottom w:val="nil"/>
              <w:right w:val="nil"/>
            </w:tcBorders>
            <w:shd w:val="clear" w:color="auto" w:fill="auto"/>
            <w:noWrap/>
            <w:vAlign w:val="center"/>
            <w:hideMark/>
          </w:tcPr>
          <w:p w:rsidR="00B04ACC" w:rsidRPr="00B04ACC" w:rsidRDefault="00B04ACC" w:rsidP="00B04ACC">
            <w:pPr>
              <w:rPr>
                <w:sz w:val="18"/>
                <w:szCs w:val="18"/>
              </w:rPr>
            </w:pPr>
            <w:r w:rsidRPr="00B04ACC">
              <w:rPr>
                <w:sz w:val="18"/>
                <w:szCs w:val="18"/>
              </w:rPr>
              <w:t>TOTAL</w:t>
            </w:r>
          </w:p>
        </w:tc>
        <w:tc>
          <w:tcPr>
            <w:tcW w:w="1260" w:type="dxa"/>
            <w:tcBorders>
              <w:top w:val="single" w:sz="4" w:space="0" w:color="auto"/>
              <w:left w:val="nil"/>
              <w:bottom w:val="nil"/>
              <w:right w:val="nil"/>
            </w:tcBorders>
          </w:tcPr>
          <w:p w:rsidR="00B04ACC" w:rsidRPr="00B04ACC" w:rsidRDefault="00B04ACC" w:rsidP="00B04ACC">
            <w:pPr>
              <w:jc w:val="right"/>
              <w:rPr>
                <w:sz w:val="18"/>
                <w:szCs w:val="18"/>
              </w:rPr>
            </w:pPr>
          </w:p>
        </w:tc>
        <w:tc>
          <w:tcPr>
            <w:tcW w:w="1080" w:type="dxa"/>
            <w:tcBorders>
              <w:top w:val="single" w:sz="4" w:space="0" w:color="auto"/>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$4,602,983</w:t>
            </w:r>
          </w:p>
        </w:tc>
        <w:tc>
          <w:tcPr>
            <w:tcW w:w="266"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right"/>
              <w:rPr>
                <w:b/>
                <w:bCs/>
                <w:sz w:val="18"/>
                <w:szCs w:val="18"/>
              </w:rPr>
            </w:pPr>
          </w:p>
        </w:tc>
        <w:tc>
          <w:tcPr>
            <w:tcW w:w="904" w:type="dxa"/>
            <w:tcBorders>
              <w:top w:val="single" w:sz="4" w:space="0" w:color="auto"/>
              <w:left w:val="nil"/>
              <w:bottom w:val="nil"/>
              <w:right w:val="nil"/>
            </w:tcBorders>
            <w:shd w:val="clear" w:color="auto" w:fill="auto"/>
            <w:noWrap/>
            <w:vAlign w:val="bottom"/>
            <w:hideMark/>
          </w:tcPr>
          <w:p w:rsidR="00B04ACC" w:rsidRPr="00B04ACC" w:rsidRDefault="00B04ACC" w:rsidP="00B04ACC">
            <w:pPr>
              <w:rPr>
                <w:sz w:val="18"/>
                <w:szCs w:val="18"/>
              </w:rPr>
            </w:pPr>
          </w:p>
        </w:tc>
        <w:tc>
          <w:tcPr>
            <w:tcW w:w="990" w:type="dxa"/>
            <w:tcBorders>
              <w:top w:val="single" w:sz="4" w:space="0" w:color="auto"/>
              <w:left w:val="nil"/>
              <w:bottom w:val="nil"/>
              <w:right w:val="nil"/>
            </w:tcBorders>
            <w:shd w:val="clear" w:color="auto" w:fill="auto"/>
            <w:noWrap/>
            <w:vAlign w:val="bottom"/>
          </w:tcPr>
          <w:p w:rsidR="00B04ACC" w:rsidRPr="00B04ACC" w:rsidRDefault="00B04ACC" w:rsidP="00B04ACC">
            <w:pPr>
              <w:jc w:val="right"/>
              <w:rPr>
                <w:sz w:val="18"/>
                <w:szCs w:val="18"/>
              </w:rPr>
            </w:pPr>
            <w:r w:rsidRPr="00B04ACC">
              <w:rPr>
                <w:sz w:val="18"/>
                <w:szCs w:val="18"/>
              </w:rPr>
              <w:t>$738,667</w:t>
            </w:r>
          </w:p>
        </w:tc>
        <w:tc>
          <w:tcPr>
            <w:tcW w:w="990" w:type="dxa"/>
            <w:tcBorders>
              <w:top w:val="single" w:sz="4" w:space="0" w:color="auto"/>
              <w:left w:val="nil"/>
              <w:bottom w:val="nil"/>
              <w:right w:val="nil"/>
            </w:tcBorders>
            <w:shd w:val="clear" w:color="auto" w:fill="auto"/>
            <w:noWrap/>
            <w:vAlign w:val="bottom"/>
            <w:hideMark/>
          </w:tcPr>
          <w:p w:rsidR="00B04ACC" w:rsidRPr="00B04ACC" w:rsidRDefault="00B04ACC" w:rsidP="00B04ACC">
            <w:pPr>
              <w:jc w:val="right"/>
              <w:rPr>
                <w:sz w:val="18"/>
                <w:szCs w:val="18"/>
              </w:rPr>
            </w:pPr>
            <w:r w:rsidRPr="00B04ACC">
              <w:rPr>
                <w:sz w:val="18"/>
                <w:szCs w:val="18"/>
              </w:rPr>
              <w:t>16.05%</w:t>
            </w:r>
          </w:p>
        </w:tc>
      </w:tr>
      <w:bookmarkEnd w:id="19"/>
    </w:tbl>
    <w:p w:rsidR="00990DF0" w:rsidRDefault="00990DF0" w:rsidP="00B04ACC">
      <w:pPr>
        <w:suppressLineNumbers/>
        <w:spacing w:line="360" w:lineRule="auto"/>
        <w:ind w:left="720" w:hanging="720"/>
        <w:jc w:val="both"/>
      </w:pPr>
    </w:p>
    <w:p w:rsidR="00990DF0" w:rsidRDefault="00990DF0" w:rsidP="00B04ACC">
      <w:pPr>
        <w:suppressLineNumbers/>
        <w:spacing w:line="360" w:lineRule="auto"/>
        <w:ind w:left="720" w:hanging="720"/>
        <w:jc w:val="both"/>
      </w:pPr>
    </w:p>
    <w:p w:rsidR="00990DF0" w:rsidRDefault="00990DF0"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874324" w:rsidRDefault="00874324" w:rsidP="00B04ACC">
      <w:pPr>
        <w:suppressLineNumbers/>
        <w:spacing w:line="360" w:lineRule="auto"/>
        <w:ind w:left="720" w:hanging="720"/>
        <w:jc w:val="both"/>
      </w:pPr>
    </w:p>
    <w:p w:rsidR="00A5534E" w:rsidRDefault="00A5534E" w:rsidP="00990DF0">
      <w:pPr>
        <w:spacing w:before="480" w:line="480" w:lineRule="auto"/>
        <w:ind w:left="720" w:hanging="720"/>
        <w:jc w:val="both"/>
        <w:rPr>
          <w:b/>
        </w:rPr>
      </w:pPr>
      <w:r>
        <w:rPr>
          <w:b/>
        </w:rPr>
        <w:lastRenderedPageBreak/>
        <w:t>Q.</w:t>
      </w:r>
      <w:r>
        <w:rPr>
          <w:b/>
        </w:rPr>
        <w:tab/>
      </w:r>
      <w:r w:rsidR="00FD01F5">
        <w:rPr>
          <w:b/>
        </w:rPr>
        <w:t>TABLE 9</w:t>
      </w:r>
      <w:r>
        <w:rPr>
          <w:b/>
        </w:rPr>
        <w:t xml:space="preserve"> INDICATES THAT </w:t>
      </w:r>
      <w:r w:rsidR="001C24D9">
        <w:rPr>
          <w:b/>
        </w:rPr>
        <w:t xml:space="preserve">THE RESIDENTIAL PRE-PAY INDEXED RORs ARE SIGNIFICANTLY BELOW 100% FOR EVERY CCOSS EVALUATED.  PLEASE EXPLAIN WHY </w:t>
      </w:r>
      <w:r w:rsidR="009008C9">
        <w:rPr>
          <w:b/>
        </w:rPr>
        <w:t>STAFF</w:t>
      </w:r>
      <w:r w:rsidR="001C24D9">
        <w:rPr>
          <w:b/>
        </w:rPr>
        <w:t xml:space="preserve"> DO</w:t>
      </w:r>
      <w:r w:rsidR="009008C9">
        <w:rPr>
          <w:b/>
        </w:rPr>
        <w:t>ES</w:t>
      </w:r>
      <w:r w:rsidR="001C24D9">
        <w:rPr>
          <w:b/>
        </w:rPr>
        <w:t xml:space="preserve"> NOT RECOMMEND A LARGER PERCENTAGE INCREASE TO THIS RATE SCHEDULE.</w:t>
      </w:r>
    </w:p>
    <w:p w:rsidR="00A5534E" w:rsidRDefault="001C24D9" w:rsidP="008E0A4A">
      <w:pPr>
        <w:spacing w:line="480" w:lineRule="auto"/>
        <w:ind w:left="720" w:hanging="720"/>
        <w:jc w:val="both"/>
        <w:rPr>
          <w:bCs/>
        </w:rPr>
      </w:pPr>
      <w:r>
        <w:rPr>
          <w:bCs/>
        </w:rPr>
        <w:t>A.</w:t>
      </w:r>
      <w:r>
        <w:rPr>
          <w:bCs/>
        </w:rPr>
        <w:tab/>
      </w:r>
      <w:r w:rsidR="00E55D06">
        <w:rPr>
          <w:bCs/>
        </w:rPr>
        <w:t xml:space="preserve">The only reason that the </w:t>
      </w:r>
      <w:r w:rsidR="004018FB">
        <w:rPr>
          <w:bCs/>
        </w:rPr>
        <w:t>r</w:t>
      </w:r>
      <w:r w:rsidR="00E55D06">
        <w:rPr>
          <w:bCs/>
        </w:rPr>
        <w:t xml:space="preserve">esidential Pre-Pay RORs are significantly deficient is due to the fact that $21.8 million of pre-pay program expenses (Account 903) are directly assigned to this rate schedule.  If these program costs are socialized across the entire </w:t>
      </w:r>
      <w:r w:rsidR="004018FB">
        <w:rPr>
          <w:bCs/>
        </w:rPr>
        <w:t>r</w:t>
      </w:r>
      <w:r w:rsidR="00E55D06">
        <w:rPr>
          <w:bCs/>
        </w:rPr>
        <w:t>esidential class, the Pre-Pay rate schedule’s RORs increase substantially to levels close to the system average ROR; i.e., indexed RORs of 100%.</w:t>
      </w:r>
      <w:r w:rsidR="005D49D6">
        <w:rPr>
          <w:bCs/>
        </w:rPr>
        <w:t xml:space="preserve">  Furthermore, this rate schedule’s basic service charge and weighted average energy charge is already higher than </w:t>
      </w:r>
      <w:r w:rsidR="004F668F">
        <w:rPr>
          <w:bCs/>
        </w:rPr>
        <w:t xml:space="preserve">on the R </w:t>
      </w:r>
      <w:r w:rsidR="00C27F17">
        <w:rPr>
          <w:bCs/>
        </w:rPr>
        <w:t xml:space="preserve">rate.  </w:t>
      </w:r>
      <w:r w:rsidR="005D49D6">
        <w:rPr>
          <w:bCs/>
        </w:rPr>
        <w:t xml:space="preserve">This rate schedule has been very effective in reducing </w:t>
      </w:r>
      <w:proofErr w:type="spellStart"/>
      <w:r w:rsidR="005D49D6">
        <w:rPr>
          <w:bCs/>
        </w:rPr>
        <w:t>uncollectibles</w:t>
      </w:r>
      <w:proofErr w:type="spellEnd"/>
      <w:r w:rsidR="005D49D6">
        <w:rPr>
          <w:bCs/>
        </w:rPr>
        <w:t xml:space="preserve"> such that Staff recommends that this rate schedule incur the same level of increase as all other </w:t>
      </w:r>
      <w:r w:rsidR="004018FB">
        <w:rPr>
          <w:bCs/>
        </w:rPr>
        <w:t>r</w:t>
      </w:r>
      <w:r w:rsidR="005D49D6">
        <w:rPr>
          <w:bCs/>
        </w:rPr>
        <w:t xml:space="preserve">esidential rates and that the </w:t>
      </w:r>
      <w:r w:rsidR="004018FB">
        <w:rPr>
          <w:bCs/>
        </w:rPr>
        <w:t>P</w:t>
      </w:r>
      <w:r w:rsidR="005D49D6">
        <w:rPr>
          <w:bCs/>
        </w:rPr>
        <w:t>re-</w:t>
      </w:r>
      <w:r w:rsidR="004018FB">
        <w:rPr>
          <w:bCs/>
        </w:rPr>
        <w:t>P</w:t>
      </w:r>
      <w:r w:rsidR="005D49D6">
        <w:rPr>
          <w:bCs/>
        </w:rPr>
        <w:t xml:space="preserve">ay program costs be socialized across all </w:t>
      </w:r>
      <w:r w:rsidR="004018FB">
        <w:rPr>
          <w:bCs/>
        </w:rPr>
        <w:t>r</w:t>
      </w:r>
      <w:r w:rsidR="005D49D6">
        <w:rPr>
          <w:bCs/>
        </w:rPr>
        <w:t xml:space="preserve">esidential rate schedules.   </w:t>
      </w:r>
      <w:r w:rsidR="00E55D06">
        <w:rPr>
          <w:bCs/>
        </w:rPr>
        <w:t xml:space="preserve"> </w:t>
      </w:r>
    </w:p>
    <w:p w:rsidR="00871F22" w:rsidRDefault="00871F22" w:rsidP="008E0A4A">
      <w:pPr>
        <w:spacing w:before="480" w:line="480" w:lineRule="auto"/>
        <w:ind w:left="720" w:hanging="720"/>
        <w:jc w:val="both"/>
        <w:rPr>
          <w:b/>
        </w:rPr>
      </w:pPr>
      <w:r>
        <w:rPr>
          <w:b/>
        </w:rPr>
        <w:t>Q.</w:t>
      </w:r>
      <w:r>
        <w:rPr>
          <w:b/>
        </w:rPr>
        <w:tab/>
        <w:t>PLEASE PROVIDE A COMPARISON OF THE COMPANY’S AND STAFF’S RECOMMENDED BASE RATE INCREASES UTILIZING GEORGIA POWER’S PROPOSED BASE RATE INCREASE OF $73</w:t>
      </w:r>
      <w:r w:rsidR="005D49D6">
        <w:rPr>
          <w:b/>
        </w:rPr>
        <w:t>9</w:t>
      </w:r>
      <w:r>
        <w:rPr>
          <w:b/>
        </w:rPr>
        <w:t xml:space="preserve"> MILLION.</w:t>
      </w:r>
    </w:p>
    <w:p w:rsidR="00871F22" w:rsidRDefault="00871F22" w:rsidP="005D49D6">
      <w:pPr>
        <w:spacing w:line="480" w:lineRule="auto"/>
        <w:ind w:left="720" w:hanging="720"/>
        <w:jc w:val="both"/>
        <w:rPr>
          <w:bCs/>
        </w:rPr>
      </w:pPr>
      <w:r>
        <w:rPr>
          <w:bCs/>
        </w:rPr>
        <w:t>A.</w:t>
      </w:r>
      <w:r>
        <w:rPr>
          <w:bCs/>
        </w:rPr>
        <w:tab/>
      </w:r>
      <w:r w:rsidR="005D49D6">
        <w:rPr>
          <w:bCs/>
        </w:rPr>
        <w:t>As shown in the table</w:t>
      </w:r>
      <w:r w:rsidR="00436B38">
        <w:rPr>
          <w:bCs/>
        </w:rPr>
        <w:t xml:space="preserve"> 12</w:t>
      </w:r>
      <w:r w:rsidR="005D49D6">
        <w:rPr>
          <w:bCs/>
        </w:rPr>
        <w:t xml:space="preserve"> below, Staff recognized that some rate schedules are either consistently above or below </w:t>
      </w:r>
      <w:r w:rsidR="007F22E2">
        <w:rPr>
          <w:bCs/>
        </w:rPr>
        <w:t xml:space="preserve">the </w:t>
      </w:r>
      <w:r w:rsidR="005D49D6">
        <w:rPr>
          <w:bCs/>
        </w:rPr>
        <w:t xml:space="preserve">allocated cost of service and, therefore, recommends that these rate schedules receive somewhat less (somewhat more) of the system average increase as shown in the table below.  Staff’s recommendation provides some movement towards cost of service.  </w:t>
      </w:r>
    </w:p>
    <w:tbl>
      <w:tblPr>
        <w:tblpPr w:leftFromText="180" w:rightFromText="180" w:vertAnchor="text" w:horzAnchor="page" w:tblpX="1987" w:tblpY="51"/>
        <w:tblW w:w="9227" w:type="dxa"/>
        <w:tblLook w:val="04A0" w:firstRow="1" w:lastRow="0" w:firstColumn="1" w:lastColumn="0" w:noHBand="0" w:noVBand="1"/>
      </w:tblPr>
      <w:tblGrid>
        <w:gridCol w:w="2340"/>
        <w:gridCol w:w="1294"/>
        <w:gridCol w:w="1130"/>
        <w:gridCol w:w="967"/>
        <w:gridCol w:w="266"/>
        <w:gridCol w:w="966"/>
        <w:gridCol w:w="266"/>
        <w:gridCol w:w="866"/>
        <w:gridCol w:w="266"/>
        <w:gridCol w:w="866"/>
      </w:tblGrid>
      <w:tr w:rsidR="0022235D" w:rsidRPr="0022235D" w:rsidTr="00FA6D12">
        <w:trPr>
          <w:trHeight w:val="197"/>
        </w:trPr>
        <w:tc>
          <w:tcPr>
            <w:tcW w:w="9227" w:type="dxa"/>
            <w:gridSpan w:val="10"/>
            <w:tcBorders>
              <w:top w:val="nil"/>
              <w:left w:val="nil"/>
              <w:bottom w:val="single" w:sz="4" w:space="0" w:color="auto"/>
              <w:right w:val="nil"/>
            </w:tcBorders>
            <w:shd w:val="clear" w:color="auto" w:fill="auto"/>
            <w:vAlign w:val="bottom"/>
          </w:tcPr>
          <w:p w:rsidR="0022235D" w:rsidRPr="0022235D" w:rsidRDefault="0022235D" w:rsidP="00FA6D12">
            <w:pPr>
              <w:jc w:val="center"/>
              <w:rPr>
                <w:sz w:val="18"/>
                <w:szCs w:val="18"/>
              </w:rPr>
            </w:pPr>
            <w:bookmarkStart w:id="20" w:name="_Hlk115782078"/>
            <w:r w:rsidRPr="0022235D">
              <w:rPr>
                <w:sz w:val="18"/>
                <w:szCs w:val="18"/>
              </w:rPr>
              <w:lastRenderedPageBreak/>
              <w:t>TABLE 1</w:t>
            </w:r>
            <w:r w:rsidR="00FD01F5">
              <w:rPr>
                <w:sz w:val="18"/>
                <w:szCs w:val="18"/>
              </w:rPr>
              <w:t>2</w:t>
            </w:r>
          </w:p>
          <w:p w:rsidR="0022235D" w:rsidRPr="0022235D" w:rsidRDefault="0022235D" w:rsidP="00FA6D12">
            <w:pPr>
              <w:jc w:val="center"/>
              <w:rPr>
                <w:sz w:val="18"/>
                <w:szCs w:val="18"/>
              </w:rPr>
            </w:pPr>
            <w:r w:rsidRPr="0022235D">
              <w:rPr>
                <w:sz w:val="18"/>
                <w:szCs w:val="18"/>
              </w:rPr>
              <w:t>Comparison of Georgia Power and Staff Base Rate Increases</w:t>
            </w:r>
          </w:p>
          <w:p w:rsidR="0022235D" w:rsidRPr="0022235D" w:rsidRDefault="0022235D" w:rsidP="00FA6D12">
            <w:pPr>
              <w:jc w:val="center"/>
              <w:rPr>
                <w:sz w:val="18"/>
                <w:szCs w:val="18"/>
              </w:rPr>
            </w:pPr>
            <w:r w:rsidRPr="0022235D">
              <w:rPr>
                <w:sz w:val="18"/>
                <w:szCs w:val="18"/>
              </w:rPr>
              <w:t xml:space="preserve">At Georgia Power’s Proposed $739 million </w:t>
            </w:r>
            <w:r w:rsidR="00DB5F5D">
              <w:rPr>
                <w:sz w:val="18"/>
                <w:szCs w:val="18"/>
              </w:rPr>
              <w:t>I</w:t>
            </w:r>
            <w:r w:rsidRPr="0022235D">
              <w:rPr>
                <w:sz w:val="18"/>
                <w:szCs w:val="18"/>
              </w:rPr>
              <w:t>ncrease</w:t>
            </w:r>
            <w:r w:rsidR="00DB5F5D">
              <w:rPr>
                <w:sz w:val="18"/>
                <w:szCs w:val="18"/>
              </w:rPr>
              <w:t xml:space="preserve"> </w:t>
            </w:r>
            <w:r w:rsidR="00DB5F5D">
              <w:rPr>
                <w:rStyle w:val="FootnoteReference"/>
                <w:sz w:val="18"/>
                <w:szCs w:val="18"/>
              </w:rPr>
              <w:footnoteReference w:id="26"/>
            </w:r>
          </w:p>
          <w:p w:rsidR="0022235D" w:rsidRPr="0022235D" w:rsidRDefault="0022235D" w:rsidP="00FA6D12">
            <w:pPr>
              <w:jc w:val="center"/>
              <w:rPr>
                <w:sz w:val="18"/>
                <w:szCs w:val="18"/>
              </w:rPr>
            </w:pPr>
            <w:r w:rsidRPr="0022235D">
              <w:rPr>
                <w:sz w:val="18"/>
                <w:szCs w:val="18"/>
              </w:rPr>
              <w:t xml:space="preserve">($ Thousands) </w:t>
            </w:r>
          </w:p>
        </w:tc>
      </w:tr>
      <w:tr w:rsidR="0022235D" w:rsidRPr="0022235D" w:rsidTr="00FA6D12">
        <w:trPr>
          <w:trHeight w:val="197"/>
        </w:trPr>
        <w:tc>
          <w:tcPr>
            <w:tcW w:w="2340"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1294"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1130" w:type="dxa"/>
            <w:tcBorders>
              <w:top w:val="single" w:sz="4" w:space="0" w:color="auto"/>
              <w:left w:val="nil"/>
              <w:right w:val="nil"/>
            </w:tcBorders>
            <w:shd w:val="clear" w:color="auto" w:fill="auto"/>
            <w:vAlign w:val="bottom"/>
            <w:hideMark/>
          </w:tcPr>
          <w:p w:rsidR="0022235D" w:rsidRPr="0022235D" w:rsidRDefault="0022235D" w:rsidP="00FA6D12">
            <w:pPr>
              <w:jc w:val="center"/>
              <w:rPr>
                <w:sz w:val="18"/>
                <w:szCs w:val="18"/>
              </w:rPr>
            </w:pPr>
            <w:r w:rsidRPr="0022235D">
              <w:rPr>
                <w:sz w:val="18"/>
                <w:szCs w:val="18"/>
              </w:rPr>
              <w:t xml:space="preserve"> Current </w:t>
            </w:r>
          </w:p>
        </w:tc>
        <w:tc>
          <w:tcPr>
            <w:tcW w:w="2199" w:type="dxa"/>
            <w:gridSpan w:val="3"/>
            <w:tcBorders>
              <w:top w:val="single" w:sz="4" w:space="0" w:color="auto"/>
              <w:left w:val="nil"/>
              <w:bottom w:val="single" w:sz="4" w:space="0" w:color="auto"/>
              <w:right w:val="nil"/>
            </w:tcBorders>
            <w:shd w:val="clear" w:color="auto" w:fill="auto"/>
            <w:vAlign w:val="bottom"/>
          </w:tcPr>
          <w:p w:rsidR="0022235D" w:rsidRPr="0022235D" w:rsidRDefault="0022235D" w:rsidP="00FA6D12">
            <w:pPr>
              <w:jc w:val="center"/>
              <w:rPr>
                <w:sz w:val="18"/>
                <w:szCs w:val="18"/>
              </w:rPr>
            </w:pPr>
            <w:r w:rsidRPr="0022235D">
              <w:rPr>
                <w:sz w:val="18"/>
                <w:szCs w:val="18"/>
              </w:rPr>
              <w:t>$ Increase</w:t>
            </w:r>
          </w:p>
        </w:tc>
        <w:tc>
          <w:tcPr>
            <w:tcW w:w="2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1998" w:type="dxa"/>
            <w:gridSpan w:val="3"/>
            <w:tcBorders>
              <w:top w:val="single" w:sz="4" w:space="0" w:color="auto"/>
              <w:left w:val="nil"/>
              <w:bottom w:val="single" w:sz="4" w:space="0" w:color="auto"/>
              <w:right w:val="nil"/>
            </w:tcBorders>
            <w:shd w:val="clear" w:color="auto" w:fill="auto"/>
            <w:vAlign w:val="bottom"/>
          </w:tcPr>
          <w:p w:rsidR="0022235D" w:rsidRPr="0022235D" w:rsidRDefault="0022235D" w:rsidP="00FA6D12">
            <w:pPr>
              <w:jc w:val="center"/>
              <w:rPr>
                <w:sz w:val="18"/>
                <w:szCs w:val="18"/>
              </w:rPr>
            </w:pPr>
            <w:r w:rsidRPr="0022235D">
              <w:rPr>
                <w:sz w:val="18"/>
                <w:szCs w:val="18"/>
              </w:rPr>
              <w:t>% Increase</w:t>
            </w:r>
          </w:p>
        </w:tc>
      </w:tr>
      <w:tr w:rsidR="0022235D" w:rsidRPr="0022235D" w:rsidTr="00FA6D12">
        <w:trPr>
          <w:trHeight w:val="197"/>
        </w:trPr>
        <w:tc>
          <w:tcPr>
            <w:tcW w:w="2340" w:type="dxa"/>
            <w:tcBorders>
              <w:top w:val="nil"/>
              <w:left w:val="nil"/>
              <w:right w:val="nil"/>
            </w:tcBorders>
            <w:shd w:val="clear" w:color="auto" w:fill="auto"/>
            <w:vAlign w:val="bottom"/>
          </w:tcPr>
          <w:p w:rsidR="0022235D" w:rsidRPr="0022235D" w:rsidRDefault="0022235D" w:rsidP="00FA6D12">
            <w:pPr>
              <w:jc w:val="center"/>
              <w:rPr>
                <w:sz w:val="18"/>
                <w:szCs w:val="18"/>
              </w:rPr>
            </w:pPr>
          </w:p>
        </w:tc>
        <w:tc>
          <w:tcPr>
            <w:tcW w:w="1294" w:type="dxa"/>
            <w:tcBorders>
              <w:top w:val="nil"/>
              <w:left w:val="nil"/>
              <w:right w:val="nil"/>
            </w:tcBorders>
            <w:shd w:val="clear" w:color="auto" w:fill="auto"/>
            <w:vAlign w:val="bottom"/>
          </w:tcPr>
          <w:p w:rsidR="0022235D" w:rsidRPr="0022235D" w:rsidRDefault="0022235D" w:rsidP="00FA6D12">
            <w:pPr>
              <w:jc w:val="center"/>
              <w:rPr>
                <w:sz w:val="18"/>
                <w:szCs w:val="18"/>
              </w:rPr>
            </w:pPr>
          </w:p>
        </w:tc>
        <w:tc>
          <w:tcPr>
            <w:tcW w:w="1130" w:type="dxa"/>
            <w:tcBorders>
              <w:top w:val="nil"/>
              <w:left w:val="nil"/>
              <w:right w:val="nil"/>
            </w:tcBorders>
            <w:shd w:val="clear" w:color="auto" w:fill="auto"/>
            <w:vAlign w:val="bottom"/>
          </w:tcPr>
          <w:p w:rsidR="0022235D" w:rsidRPr="0022235D" w:rsidRDefault="0022235D" w:rsidP="00FA6D12">
            <w:pPr>
              <w:jc w:val="center"/>
              <w:rPr>
                <w:sz w:val="18"/>
                <w:szCs w:val="18"/>
              </w:rPr>
            </w:pPr>
            <w:r w:rsidRPr="0022235D">
              <w:rPr>
                <w:sz w:val="18"/>
                <w:szCs w:val="18"/>
              </w:rPr>
              <w:t>Base Rate</w:t>
            </w:r>
          </w:p>
        </w:tc>
        <w:tc>
          <w:tcPr>
            <w:tcW w:w="967"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r w:rsidRPr="0022235D">
              <w:rPr>
                <w:sz w:val="18"/>
                <w:szCs w:val="18"/>
              </w:rPr>
              <w:t>Georgia</w:t>
            </w:r>
          </w:p>
        </w:tc>
        <w:tc>
          <w:tcPr>
            <w:tcW w:w="2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9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266" w:type="dxa"/>
            <w:tcBorders>
              <w:top w:val="nil"/>
              <w:left w:val="nil"/>
              <w:right w:val="nil"/>
            </w:tcBorders>
            <w:shd w:val="clear" w:color="auto" w:fill="auto"/>
            <w:vAlign w:val="bottom"/>
          </w:tcPr>
          <w:p w:rsidR="0022235D" w:rsidRPr="0022235D" w:rsidRDefault="0022235D" w:rsidP="00FA6D12">
            <w:pPr>
              <w:jc w:val="center"/>
              <w:rPr>
                <w:sz w:val="18"/>
                <w:szCs w:val="18"/>
              </w:rPr>
            </w:pPr>
          </w:p>
        </w:tc>
        <w:tc>
          <w:tcPr>
            <w:tcW w:w="8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r w:rsidRPr="0022235D">
              <w:rPr>
                <w:sz w:val="18"/>
                <w:szCs w:val="18"/>
              </w:rPr>
              <w:t>Georgia</w:t>
            </w:r>
          </w:p>
        </w:tc>
        <w:tc>
          <w:tcPr>
            <w:tcW w:w="2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c>
          <w:tcPr>
            <w:tcW w:w="866" w:type="dxa"/>
            <w:tcBorders>
              <w:top w:val="single" w:sz="4" w:space="0" w:color="auto"/>
              <w:left w:val="nil"/>
              <w:right w:val="nil"/>
            </w:tcBorders>
            <w:shd w:val="clear" w:color="auto" w:fill="auto"/>
            <w:vAlign w:val="bottom"/>
          </w:tcPr>
          <w:p w:rsidR="0022235D" w:rsidRPr="0022235D" w:rsidRDefault="0022235D" w:rsidP="00FA6D12">
            <w:pPr>
              <w:jc w:val="center"/>
              <w:rPr>
                <w:sz w:val="18"/>
                <w:szCs w:val="18"/>
              </w:rPr>
            </w:pPr>
          </w:p>
        </w:tc>
      </w:tr>
      <w:tr w:rsidR="0022235D" w:rsidRPr="0022235D" w:rsidTr="00FA6D12">
        <w:trPr>
          <w:trHeight w:val="60"/>
        </w:trPr>
        <w:tc>
          <w:tcPr>
            <w:tcW w:w="2340"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r w:rsidRPr="0022235D">
              <w:rPr>
                <w:sz w:val="18"/>
                <w:szCs w:val="18"/>
              </w:rPr>
              <w:t>Rate</w:t>
            </w:r>
          </w:p>
        </w:tc>
        <w:tc>
          <w:tcPr>
            <w:tcW w:w="1294"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r w:rsidRPr="0022235D">
              <w:rPr>
                <w:sz w:val="18"/>
                <w:szCs w:val="18"/>
              </w:rPr>
              <w:t>Class</w:t>
            </w:r>
          </w:p>
        </w:tc>
        <w:tc>
          <w:tcPr>
            <w:tcW w:w="1130" w:type="dxa"/>
            <w:tcBorders>
              <w:left w:val="nil"/>
              <w:bottom w:val="single" w:sz="4" w:space="0" w:color="auto"/>
              <w:right w:val="nil"/>
            </w:tcBorders>
            <w:shd w:val="clear" w:color="auto" w:fill="auto"/>
            <w:vAlign w:val="center"/>
            <w:hideMark/>
          </w:tcPr>
          <w:p w:rsidR="0022235D" w:rsidRPr="0022235D" w:rsidRDefault="0022235D" w:rsidP="00FA6D12">
            <w:pPr>
              <w:jc w:val="center"/>
              <w:rPr>
                <w:sz w:val="18"/>
                <w:szCs w:val="18"/>
              </w:rPr>
            </w:pPr>
            <w:r w:rsidRPr="0022235D">
              <w:rPr>
                <w:sz w:val="18"/>
                <w:szCs w:val="18"/>
              </w:rPr>
              <w:t xml:space="preserve">Revenue </w:t>
            </w:r>
            <w:r w:rsidRPr="0022235D">
              <w:rPr>
                <w:sz w:val="18"/>
                <w:szCs w:val="18"/>
                <w:vertAlign w:val="superscript"/>
              </w:rPr>
              <w:footnoteReference w:id="27"/>
            </w:r>
          </w:p>
        </w:tc>
        <w:tc>
          <w:tcPr>
            <w:tcW w:w="967" w:type="dxa"/>
            <w:tcBorders>
              <w:left w:val="nil"/>
              <w:bottom w:val="single" w:sz="4" w:space="0" w:color="auto"/>
              <w:right w:val="nil"/>
            </w:tcBorders>
            <w:shd w:val="clear" w:color="auto" w:fill="auto"/>
            <w:vAlign w:val="center"/>
            <w:hideMark/>
          </w:tcPr>
          <w:p w:rsidR="0022235D" w:rsidRPr="0022235D" w:rsidRDefault="0022235D" w:rsidP="00FA6D12">
            <w:pPr>
              <w:jc w:val="center"/>
              <w:rPr>
                <w:sz w:val="18"/>
                <w:szCs w:val="18"/>
              </w:rPr>
            </w:pPr>
            <w:r w:rsidRPr="0022235D">
              <w:rPr>
                <w:sz w:val="18"/>
                <w:szCs w:val="18"/>
              </w:rPr>
              <w:t>Power</w:t>
            </w:r>
          </w:p>
        </w:tc>
        <w:tc>
          <w:tcPr>
            <w:tcW w:w="266" w:type="dxa"/>
            <w:tcBorders>
              <w:left w:val="nil"/>
              <w:bottom w:val="single" w:sz="4" w:space="0" w:color="auto"/>
              <w:right w:val="nil"/>
            </w:tcBorders>
            <w:shd w:val="clear" w:color="auto" w:fill="auto"/>
            <w:vAlign w:val="center"/>
            <w:hideMark/>
          </w:tcPr>
          <w:p w:rsidR="0022235D" w:rsidRPr="0022235D" w:rsidRDefault="0022235D" w:rsidP="00FA6D12">
            <w:pPr>
              <w:jc w:val="center"/>
              <w:rPr>
                <w:sz w:val="18"/>
                <w:szCs w:val="18"/>
              </w:rPr>
            </w:pPr>
          </w:p>
        </w:tc>
        <w:tc>
          <w:tcPr>
            <w:tcW w:w="966" w:type="dxa"/>
            <w:tcBorders>
              <w:left w:val="nil"/>
              <w:bottom w:val="single" w:sz="4" w:space="0" w:color="auto"/>
              <w:right w:val="nil"/>
            </w:tcBorders>
            <w:shd w:val="clear" w:color="auto" w:fill="auto"/>
            <w:vAlign w:val="center"/>
            <w:hideMark/>
          </w:tcPr>
          <w:p w:rsidR="0022235D" w:rsidRPr="0022235D" w:rsidRDefault="0022235D" w:rsidP="00FA6D12">
            <w:pPr>
              <w:jc w:val="center"/>
              <w:rPr>
                <w:sz w:val="18"/>
                <w:szCs w:val="18"/>
              </w:rPr>
            </w:pPr>
            <w:r w:rsidRPr="0022235D">
              <w:rPr>
                <w:sz w:val="18"/>
                <w:szCs w:val="18"/>
              </w:rPr>
              <w:t>Staff</w:t>
            </w:r>
          </w:p>
        </w:tc>
        <w:tc>
          <w:tcPr>
            <w:tcW w:w="266"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p>
        </w:tc>
        <w:tc>
          <w:tcPr>
            <w:tcW w:w="866"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r w:rsidRPr="0022235D">
              <w:rPr>
                <w:sz w:val="18"/>
                <w:szCs w:val="18"/>
              </w:rPr>
              <w:t>Power</w:t>
            </w:r>
          </w:p>
        </w:tc>
        <w:tc>
          <w:tcPr>
            <w:tcW w:w="266"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p>
        </w:tc>
        <w:tc>
          <w:tcPr>
            <w:tcW w:w="866" w:type="dxa"/>
            <w:tcBorders>
              <w:left w:val="nil"/>
              <w:bottom w:val="single" w:sz="4" w:space="0" w:color="auto"/>
              <w:right w:val="nil"/>
            </w:tcBorders>
            <w:shd w:val="clear" w:color="auto" w:fill="auto"/>
            <w:vAlign w:val="bottom"/>
            <w:hideMark/>
          </w:tcPr>
          <w:p w:rsidR="0022235D" w:rsidRPr="0022235D" w:rsidRDefault="0022235D" w:rsidP="00FA6D12">
            <w:pPr>
              <w:jc w:val="center"/>
              <w:rPr>
                <w:sz w:val="18"/>
                <w:szCs w:val="18"/>
              </w:rPr>
            </w:pPr>
            <w:r w:rsidRPr="0022235D">
              <w:rPr>
                <w:sz w:val="18"/>
                <w:szCs w:val="18"/>
              </w:rPr>
              <w:t>Staff</w:t>
            </w:r>
          </w:p>
        </w:tc>
      </w:tr>
      <w:tr w:rsidR="0022235D" w:rsidRPr="0022235D" w:rsidTr="00FA6D12">
        <w:trPr>
          <w:trHeight w:val="50"/>
        </w:trPr>
        <w:tc>
          <w:tcPr>
            <w:tcW w:w="2340" w:type="dxa"/>
            <w:tcBorders>
              <w:top w:val="single" w:sz="4" w:space="0" w:color="auto"/>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R, RM, SCD, OPT</w:t>
            </w:r>
          </w:p>
        </w:tc>
        <w:tc>
          <w:tcPr>
            <w:tcW w:w="1294" w:type="dxa"/>
            <w:tcBorders>
              <w:top w:val="single" w:sz="4" w:space="0" w:color="auto"/>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single" w:sz="4" w:space="0" w:color="auto"/>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$2,099,712</w:t>
            </w:r>
          </w:p>
        </w:tc>
        <w:tc>
          <w:tcPr>
            <w:tcW w:w="967"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$336,095</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single" w:sz="4" w:space="0" w:color="auto"/>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$350,589</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16.01%</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single" w:sz="4" w:space="0" w:color="auto"/>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proofErr w:type="spellStart"/>
            <w:r w:rsidRPr="0022235D">
              <w:rPr>
                <w:sz w:val="18"/>
                <w:szCs w:val="18"/>
              </w:rPr>
              <w:t>FlatBill</w:t>
            </w:r>
            <w:proofErr w:type="spellEnd"/>
            <w:r w:rsidRPr="0022235D">
              <w:rPr>
                <w:sz w:val="18"/>
                <w:szCs w:val="18"/>
              </w:rPr>
              <w:t xml:space="preserve"> Risk Premium</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$36,483</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$3,764</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$3,764</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10.32%</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10.32%</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TOU-REO</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$6,674</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$1,080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$1,114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TOU-PEV</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$7,722</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$1,250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$1,289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PPS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$93,384</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$15,019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$15,592</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16.08%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PBD Risk Premium</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$862</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$97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$97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11.29%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11.29%</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TOU-RD</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DOM</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$72,597</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$11,751</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$10,194</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14.04%</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$185,508</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$29,965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$33,491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18.05%</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proofErr w:type="spellStart"/>
            <w:r w:rsidRPr="0022235D">
              <w:rPr>
                <w:sz w:val="18"/>
                <w:szCs w:val="18"/>
              </w:rPr>
              <w:t>FlatBill</w:t>
            </w:r>
            <w:proofErr w:type="spellEnd"/>
            <w:r w:rsidRPr="0022235D">
              <w:rPr>
                <w:sz w:val="18"/>
                <w:szCs w:val="18"/>
              </w:rPr>
              <w:t xml:space="preserve"> GS Risk Premium</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$574</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$61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10.70%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10.70%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OGS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$1,367</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$221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12.04%</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PLS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$262,853</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$42,534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$36,909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14.04%</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TOU-EO</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$47,834</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$7,711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$6,717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16.12%</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14.04%</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UD</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SM. BUS.</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$11,583</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$1,875</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$1,934</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PLM</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MD.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$696,530</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$112,195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$97,804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14.04%</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TOU-GSD</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MD.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$31,408</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$5,046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$3,780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16.06%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12.04%</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TOU-FD</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MD. BUS.</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$39,164</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$6,339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$6,539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PLL</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LG.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$128,575</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$20,692</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$18,054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16.09%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14.04%</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TOU-HLF</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LG. BUS.</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$2,703</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$436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$451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16.13%</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TOU-RN</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LG. BUS.</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$39,534</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$6,305</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$6,601</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15.95%</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APS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AGRIC.</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$2,549</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$413</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$426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IOP</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AGRIC.</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$3,088</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$500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$516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SAS-ND</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AGRIC.</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$132</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SAS</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AGRIC.</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$1,400</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$227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$281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TOU-FS</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AGRIC.</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$4,090</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$662</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$683</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GOV'T</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$4,917</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$792</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$821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SCH</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GOV'T</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$12,657</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$2,047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$1,523</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12.04%</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SLM</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GOV'T</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$73,226</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$11,831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$13,220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16.16%</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18.05%</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TC-M</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GOV'T</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$27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TC-U</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GOV'T</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$689</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$112</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$138</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EOL</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LIGHTING</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$18,584</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$3,009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$3,103</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OLG</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LIGHTING</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$19,068</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$3,085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$3,184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OLNG</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LIGHTING</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$21,423</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$3,471</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$3,577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16.20%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RLG</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LIGHTING</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$35,958</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$5,814</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$6,004</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16.17%</w:t>
            </w:r>
          </w:p>
        </w:tc>
        <w:tc>
          <w:tcPr>
            <w:tcW w:w="266"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5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FPA</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$78,216</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$12,644</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$15,690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RTP-DA</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$358,566</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$58,715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$59,870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16.38%</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RTP-HA</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$188,292</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$30,695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$31,439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16.30%</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16.70%</w:t>
            </w:r>
          </w:p>
        </w:tc>
      </w:tr>
      <w:tr w:rsidR="0022235D" w:rsidRPr="0022235D" w:rsidTr="00FA6D12">
        <w:trPr>
          <w:trHeight w:val="60"/>
        </w:trPr>
        <w:tc>
          <w:tcPr>
            <w:tcW w:w="2340"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TOU-SC</w:t>
            </w:r>
          </w:p>
        </w:tc>
        <w:tc>
          <w:tcPr>
            <w:tcW w:w="1294" w:type="dxa"/>
            <w:tcBorders>
              <w:top w:val="nil"/>
              <w:left w:val="nil"/>
              <w:bottom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$6,407</w:t>
            </w:r>
          </w:p>
        </w:tc>
        <w:tc>
          <w:tcPr>
            <w:tcW w:w="967"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$1,037</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$1,285</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TOU-SC Fixed</w:t>
            </w:r>
          </w:p>
        </w:tc>
        <w:tc>
          <w:tcPr>
            <w:tcW w:w="1294" w:type="dxa"/>
            <w:tcBorders>
              <w:top w:val="nil"/>
              <w:left w:val="nil"/>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$1,515</w:t>
            </w:r>
          </w:p>
        </w:tc>
        <w:tc>
          <w:tcPr>
            <w:tcW w:w="967"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$0</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nil"/>
              <w:left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$304</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0.00%</w:t>
            </w:r>
          </w:p>
        </w:tc>
        <w:tc>
          <w:tcPr>
            <w:tcW w:w="266" w:type="dxa"/>
            <w:tcBorders>
              <w:top w:val="nil"/>
              <w:left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60"/>
        </w:trPr>
        <w:tc>
          <w:tcPr>
            <w:tcW w:w="2340" w:type="dxa"/>
            <w:tcBorders>
              <w:top w:val="nil"/>
              <w:left w:val="nil"/>
              <w:bottom w:val="single" w:sz="4" w:space="0" w:color="auto"/>
              <w:right w:val="nil"/>
            </w:tcBorders>
            <w:shd w:val="clear" w:color="auto" w:fill="auto"/>
            <w:noWrap/>
            <w:vAlign w:val="bottom"/>
            <w:hideMark/>
          </w:tcPr>
          <w:p w:rsidR="0022235D" w:rsidRPr="0022235D" w:rsidRDefault="0022235D" w:rsidP="00FA6D12">
            <w:pPr>
              <w:rPr>
                <w:sz w:val="18"/>
                <w:szCs w:val="18"/>
              </w:rPr>
            </w:pPr>
            <w:r w:rsidRPr="0022235D">
              <w:rPr>
                <w:sz w:val="18"/>
                <w:szCs w:val="18"/>
              </w:rPr>
              <w:t>EAF</w:t>
            </w:r>
          </w:p>
        </w:tc>
        <w:tc>
          <w:tcPr>
            <w:tcW w:w="1294" w:type="dxa"/>
            <w:tcBorders>
              <w:top w:val="nil"/>
              <w:left w:val="nil"/>
              <w:bottom w:val="single" w:sz="4" w:space="0" w:color="auto"/>
              <w:right w:val="nil"/>
            </w:tcBorders>
            <w:shd w:val="clear" w:color="auto" w:fill="auto"/>
            <w:noWrap/>
            <w:vAlign w:val="bottom"/>
            <w:hideMark/>
          </w:tcPr>
          <w:p w:rsidR="0022235D" w:rsidRPr="0022235D" w:rsidRDefault="0022235D" w:rsidP="00FA6D12">
            <w:pPr>
              <w:rPr>
                <w:sz w:val="18"/>
                <w:szCs w:val="18"/>
              </w:rPr>
            </w:pPr>
            <w:r w:rsidRPr="0022235D">
              <w:rPr>
                <w:sz w:val="18"/>
                <w:szCs w:val="18"/>
              </w:rPr>
              <w:t>MARGINAL</w:t>
            </w:r>
          </w:p>
        </w:tc>
        <w:tc>
          <w:tcPr>
            <w:tcW w:w="1130" w:type="dxa"/>
            <w:tcBorders>
              <w:top w:val="nil"/>
              <w:left w:val="nil"/>
              <w:bottom w:val="single" w:sz="4" w:space="0" w:color="auto"/>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$6,971</w:t>
            </w:r>
          </w:p>
        </w:tc>
        <w:tc>
          <w:tcPr>
            <w:tcW w:w="967" w:type="dxa"/>
            <w:tcBorders>
              <w:top w:val="nil"/>
              <w:left w:val="nil"/>
              <w:bottom w:val="single" w:sz="4" w:space="0" w:color="auto"/>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$1,128</w:t>
            </w:r>
          </w:p>
        </w:tc>
        <w:tc>
          <w:tcPr>
            <w:tcW w:w="266" w:type="dxa"/>
            <w:tcBorders>
              <w:top w:val="nil"/>
              <w:left w:val="nil"/>
              <w:bottom w:val="single" w:sz="4" w:space="0" w:color="auto"/>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966" w:type="dxa"/>
            <w:tcBorders>
              <w:top w:val="nil"/>
              <w:left w:val="nil"/>
              <w:bottom w:val="single" w:sz="4" w:space="0" w:color="auto"/>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$1,398</w:t>
            </w:r>
          </w:p>
        </w:tc>
        <w:tc>
          <w:tcPr>
            <w:tcW w:w="266" w:type="dxa"/>
            <w:tcBorders>
              <w:top w:val="nil"/>
              <w:left w:val="nil"/>
              <w:bottom w:val="single" w:sz="4" w:space="0" w:color="auto"/>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bottom w:val="single" w:sz="4" w:space="0" w:color="auto"/>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16.19%</w:t>
            </w:r>
          </w:p>
        </w:tc>
        <w:tc>
          <w:tcPr>
            <w:tcW w:w="266" w:type="dxa"/>
            <w:tcBorders>
              <w:top w:val="nil"/>
              <w:left w:val="nil"/>
              <w:bottom w:val="single" w:sz="4" w:space="0" w:color="auto"/>
              <w:right w:val="nil"/>
            </w:tcBorders>
            <w:shd w:val="clear" w:color="auto" w:fill="auto"/>
            <w:noWrap/>
            <w:vAlign w:val="bottom"/>
            <w:hideMark/>
          </w:tcPr>
          <w:p w:rsidR="0022235D" w:rsidRPr="0022235D" w:rsidRDefault="0022235D" w:rsidP="00FA6D12">
            <w:pPr>
              <w:rPr>
                <w:sz w:val="18"/>
                <w:szCs w:val="18"/>
              </w:rPr>
            </w:pPr>
            <w:r w:rsidRPr="0022235D">
              <w:rPr>
                <w:sz w:val="18"/>
                <w:szCs w:val="18"/>
              </w:rPr>
              <w:t> </w:t>
            </w:r>
          </w:p>
        </w:tc>
        <w:tc>
          <w:tcPr>
            <w:tcW w:w="866" w:type="dxa"/>
            <w:tcBorders>
              <w:top w:val="nil"/>
              <w:left w:val="nil"/>
              <w:bottom w:val="single" w:sz="4" w:space="0" w:color="auto"/>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20.06%</w:t>
            </w:r>
          </w:p>
        </w:tc>
      </w:tr>
      <w:tr w:rsidR="0022235D" w:rsidRPr="0022235D" w:rsidTr="00FA6D12">
        <w:trPr>
          <w:trHeight w:val="50"/>
        </w:trPr>
        <w:tc>
          <w:tcPr>
            <w:tcW w:w="2340" w:type="dxa"/>
            <w:tcBorders>
              <w:top w:val="single" w:sz="4" w:space="0" w:color="auto"/>
              <w:left w:val="nil"/>
              <w:bottom w:val="nil"/>
              <w:right w:val="nil"/>
            </w:tcBorders>
            <w:shd w:val="clear" w:color="auto" w:fill="auto"/>
            <w:noWrap/>
            <w:vAlign w:val="center"/>
            <w:hideMark/>
          </w:tcPr>
          <w:p w:rsidR="0022235D" w:rsidRPr="0022235D" w:rsidRDefault="0022235D" w:rsidP="00FA6D12">
            <w:pPr>
              <w:rPr>
                <w:sz w:val="18"/>
                <w:szCs w:val="18"/>
              </w:rPr>
            </w:pPr>
            <w:r w:rsidRPr="0022235D">
              <w:rPr>
                <w:sz w:val="18"/>
                <w:szCs w:val="18"/>
              </w:rPr>
              <w:t>TOTAL</w:t>
            </w:r>
          </w:p>
        </w:tc>
        <w:tc>
          <w:tcPr>
            <w:tcW w:w="1294" w:type="dxa"/>
            <w:tcBorders>
              <w:top w:val="single" w:sz="4" w:space="0" w:color="auto"/>
              <w:left w:val="nil"/>
              <w:bottom w:val="nil"/>
              <w:right w:val="nil"/>
            </w:tcBorders>
            <w:shd w:val="clear" w:color="auto" w:fill="auto"/>
            <w:noWrap/>
            <w:vAlign w:val="center"/>
            <w:hideMark/>
          </w:tcPr>
          <w:p w:rsidR="0022235D" w:rsidRPr="0022235D" w:rsidRDefault="0022235D" w:rsidP="00FA6D12">
            <w:pPr>
              <w:rPr>
                <w:sz w:val="18"/>
                <w:szCs w:val="18"/>
              </w:rPr>
            </w:pPr>
          </w:p>
        </w:tc>
        <w:tc>
          <w:tcPr>
            <w:tcW w:w="1130" w:type="dxa"/>
            <w:tcBorders>
              <w:top w:val="single" w:sz="4" w:space="0" w:color="auto"/>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$4,602,983</w:t>
            </w:r>
          </w:p>
        </w:tc>
        <w:tc>
          <w:tcPr>
            <w:tcW w:w="967"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$738,667</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966" w:type="dxa"/>
            <w:tcBorders>
              <w:top w:val="single" w:sz="4" w:space="0" w:color="auto"/>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$738,667</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r w:rsidRPr="0022235D">
              <w:rPr>
                <w:sz w:val="18"/>
                <w:szCs w:val="18"/>
              </w:rPr>
              <w:t>16.05%</w:t>
            </w:r>
          </w:p>
        </w:tc>
        <w:tc>
          <w:tcPr>
            <w:tcW w:w="266" w:type="dxa"/>
            <w:tcBorders>
              <w:top w:val="single" w:sz="4" w:space="0" w:color="auto"/>
              <w:left w:val="nil"/>
              <w:bottom w:val="nil"/>
              <w:right w:val="nil"/>
            </w:tcBorders>
            <w:shd w:val="clear" w:color="auto" w:fill="auto"/>
            <w:noWrap/>
            <w:vAlign w:val="bottom"/>
            <w:hideMark/>
          </w:tcPr>
          <w:p w:rsidR="0022235D" w:rsidRPr="0022235D" w:rsidRDefault="0022235D" w:rsidP="00FA6D12">
            <w:pPr>
              <w:jc w:val="right"/>
              <w:rPr>
                <w:sz w:val="18"/>
                <w:szCs w:val="18"/>
              </w:rPr>
            </w:pPr>
          </w:p>
        </w:tc>
        <w:tc>
          <w:tcPr>
            <w:tcW w:w="866" w:type="dxa"/>
            <w:tcBorders>
              <w:top w:val="nil"/>
              <w:left w:val="nil"/>
              <w:bottom w:val="nil"/>
              <w:right w:val="nil"/>
            </w:tcBorders>
            <w:shd w:val="clear" w:color="auto" w:fill="auto"/>
            <w:noWrap/>
            <w:vAlign w:val="bottom"/>
          </w:tcPr>
          <w:p w:rsidR="0022235D" w:rsidRPr="0022235D" w:rsidRDefault="0022235D" w:rsidP="00FA6D12">
            <w:pPr>
              <w:jc w:val="right"/>
              <w:rPr>
                <w:sz w:val="18"/>
                <w:szCs w:val="18"/>
              </w:rPr>
            </w:pPr>
            <w:r w:rsidRPr="0022235D">
              <w:rPr>
                <w:sz w:val="18"/>
                <w:szCs w:val="18"/>
              </w:rPr>
              <w:t>16.05%</w:t>
            </w:r>
          </w:p>
        </w:tc>
      </w:tr>
      <w:bookmarkEnd w:id="20"/>
    </w:tbl>
    <w:p w:rsidR="005D49D6" w:rsidRDefault="005D49D6" w:rsidP="00FA6D12">
      <w:pPr>
        <w:suppressLineNumbers/>
        <w:spacing w:line="360" w:lineRule="auto"/>
        <w:jc w:val="both"/>
        <w:rPr>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FA6D12" w:rsidRDefault="00FA6D12" w:rsidP="00FA6D12">
      <w:pPr>
        <w:suppressLineNumbers/>
        <w:spacing w:before="480" w:line="480" w:lineRule="auto"/>
        <w:ind w:left="720" w:hanging="720"/>
        <w:jc w:val="both"/>
        <w:rPr>
          <w:b/>
          <w:bCs/>
        </w:rPr>
      </w:pPr>
    </w:p>
    <w:p w:rsidR="00990DF0" w:rsidRDefault="00990DF0" w:rsidP="00FA6D12">
      <w:pPr>
        <w:suppressLineNumbers/>
        <w:spacing w:before="480" w:line="480" w:lineRule="auto"/>
        <w:ind w:left="720" w:hanging="720"/>
        <w:jc w:val="both"/>
        <w:rPr>
          <w:b/>
          <w:bCs/>
        </w:rPr>
      </w:pPr>
    </w:p>
    <w:p w:rsidR="00FD01F5" w:rsidRDefault="00FD01F5" w:rsidP="00FD01F5">
      <w:pPr>
        <w:suppressLineNumbers/>
        <w:spacing w:before="480" w:line="480" w:lineRule="auto"/>
        <w:ind w:left="720" w:hanging="720"/>
        <w:jc w:val="both"/>
        <w:rPr>
          <w:b/>
          <w:bCs/>
        </w:rPr>
      </w:pPr>
    </w:p>
    <w:p w:rsidR="00871F22" w:rsidRDefault="00871F22" w:rsidP="00FA6D12">
      <w:pPr>
        <w:spacing w:before="480" w:line="480" w:lineRule="auto"/>
        <w:ind w:left="720" w:hanging="720"/>
        <w:jc w:val="both"/>
        <w:rPr>
          <w:b/>
          <w:bCs/>
        </w:rPr>
      </w:pPr>
      <w:r>
        <w:rPr>
          <w:b/>
          <w:bCs/>
        </w:rPr>
        <w:lastRenderedPageBreak/>
        <w:t>Q.</w:t>
      </w:r>
      <w:r>
        <w:rPr>
          <w:b/>
          <w:bCs/>
        </w:rPr>
        <w:tab/>
      </w:r>
      <w:r w:rsidR="007F22E2">
        <w:rPr>
          <w:b/>
          <w:bCs/>
        </w:rPr>
        <w:t xml:space="preserve">IF </w:t>
      </w:r>
      <w:r>
        <w:rPr>
          <w:b/>
          <w:bCs/>
        </w:rPr>
        <w:t xml:space="preserve">THE COMMISSION </w:t>
      </w:r>
      <w:r w:rsidR="007F22E2">
        <w:rPr>
          <w:b/>
          <w:bCs/>
        </w:rPr>
        <w:t xml:space="preserve">WERE TO </w:t>
      </w:r>
      <w:r>
        <w:rPr>
          <w:b/>
          <w:bCs/>
        </w:rPr>
        <w:t>AUTHORIZE AN OVERALL BASE RATE INCREASE LESS THAN THE $73</w:t>
      </w:r>
      <w:r w:rsidR="005D49D6">
        <w:rPr>
          <w:b/>
          <w:bCs/>
        </w:rPr>
        <w:t>9</w:t>
      </w:r>
      <w:r>
        <w:rPr>
          <w:b/>
          <w:bCs/>
        </w:rPr>
        <w:t xml:space="preserve"> MILLION REQUESTED BY GEORGIA POWER, HOW SHOULD THE REVENUE INCREASE BE ASSIGNED TO INDIVIDUAL RATE SCHEDULES?</w:t>
      </w:r>
    </w:p>
    <w:p w:rsidR="00871F22" w:rsidRDefault="00871F22" w:rsidP="00FA6D12">
      <w:pPr>
        <w:spacing w:line="480" w:lineRule="auto"/>
        <w:ind w:left="720" w:hanging="720"/>
        <w:jc w:val="both"/>
      </w:pPr>
      <w:r w:rsidRPr="005D49D6">
        <w:t>A.</w:t>
      </w:r>
      <w:r w:rsidRPr="005D49D6">
        <w:tab/>
      </w:r>
      <w:r w:rsidR="005D49D6" w:rsidRPr="005D49D6">
        <w:t>Staff de</w:t>
      </w:r>
      <w:r w:rsidRPr="005D49D6">
        <w:t xml:space="preserve">signed </w:t>
      </w:r>
      <w:r w:rsidR="005D49D6" w:rsidRPr="005D49D6">
        <w:t xml:space="preserve">its </w:t>
      </w:r>
      <w:r w:rsidR="005D49D6">
        <w:t>base rate r</w:t>
      </w:r>
      <w:r>
        <w:t xml:space="preserve">evenue distribution method </w:t>
      </w:r>
      <w:r w:rsidR="005D49D6">
        <w:t xml:space="preserve">in a way </w:t>
      </w:r>
      <w:r>
        <w:t xml:space="preserve">that can be applied to any revenue increase authorized by the Commission.  That is, the methodology described earlier can (and should) be applied regardless of the revenue increase </w:t>
      </w:r>
      <w:r w:rsidR="009008C9">
        <w:t xml:space="preserve">that is </w:t>
      </w:r>
      <w:r>
        <w:t xml:space="preserve">authorized by the Commission.  </w:t>
      </w:r>
    </w:p>
    <w:p w:rsidR="001F18B9" w:rsidRDefault="001F18B9" w:rsidP="00FC46D7">
      <w:pPr>
        <w:spacing w:before="360" w:line="480" w:lineRule="auto"/>
        <w:ind w:left="720" w:hanging="720"/>
        <w:jc w:val="both"/>
        <w:rPr>
          <w:b/>
          <w:bCs/>
        </w:rPr>
      </w:pPr>
      <w:r>
        <w:rPr>
          <w:b/>
          <w:bCs/>
        </w:rPr>
        <w:t>Q.</w:t>
      </w:r>
      <w:r>
        <w:rPr>
          <w:b/>
          <w:bCs/>
        </w:rPr>
        <w:tab/>
        <w:t xml:space="preserve">STAFF </w:t>
      </w:r>
      <w:r w:rsidR="00FC46D7">
        <w:rPr>
          <w:b/>
          <w:bCs/>
        </w:rPr>
        <w:t>RECOMMENDS THAT THE COMPANY’S PROPOSED THREE-YEAR LEVELIZED ANNUAL INCREASES BE REJECTED AND THAT THERE BE SEPARATE ANNUAL INCREASES DURING EACH YEAR OF THE THREE-YEAR RATE PLAN.  HOW SHOULD BASE RATE INCREASES BE ASSIGNED TO INDIVIDUAL RATE SCHEDULES IN RATE YEAR 2 (2024) AND RATE YEAR 3 (2025)?</w:t>
      </w:r>
    </w:p>
    <w:p w:rsidR="00FC46D7" w:rsidRPr="00FC46D7" w:rsidRDefault="00FC46D7" w:rsidP="00FA6D12">
      <w:pPr>
        <w:spacing w:line="480" w:lineRule="auto"/>
        <w:ind w:left="720" w:hanging="720"/>
        <w:jc w:val="both"/>
        <w:rPr>
          <w:color w:val="FF0000"/>
        </w:rPr>
      </w:pPr>
      <w:r>
        <w:t>A.</w:t>
      </w:r>
      <w:r>
        <w:tab/>
        <w:t xml:space="preserve">Staff recommends that annual increases to base rates in Rate Years 2024 and 2025 be assigned to rate schedules based on revenues in Rate Year 2023. </w:t>
      </w:r>
    </w:p>
    <w:p w:rsidR="00871F22" w:rsidRPr="00A70E29" w:rsidRDefault="00DF69B4" w:rsidP="00FB23D6">
      <w:pPr>
        <w:pStyle w:val="Heading2"/>
        <w:ind w:firstLine="720"/>
      </w:pPr>
      <w:bookmarkStart w:id="21" w:name="_Toc116370405"/>
      <w:r w:rsidRPr="00A70E29">
        <w:t>B.</w:t>
      </w:r>
      <w:r w:rsidRPr="00A70E29">
        <w:tab/>
        <w:t>ECCR</w:t>
      </w:r>
      <w:bookmarkEnd w:id="21"/>
    </w:p>
    <w:p w:rsidR="001656BB" w:rsidRDefault="00DF69B4" w:rsidP="008E0A4A">
      <w:pPr>
        <w:spacing w:before="480" w:line="480" w:lineRule="auto"/>
        <w:ind w:left="720" w:hanging="720"/>
        <w:jc w:val="both"/>
        <w:rPr>
          <w:b/>
        </w:rPr>
      </w:pPr>
      <w:r>
        <w:rPr>
          <w:b/>
        </w:rPr>
        <w:t>Q.</w:t>
      </w:r>
      <w:r>
        <w:rPr>
          <w:b/>
        </w:rPr>
        <w:tab/>
      </w:r>
      <w:r w:rsidR="005660E2">
        <w:rPr>
          <w:b/>
        </w:rPr>
        <w:t xml:space="preserve">PLEASE EXPLAIN HOW </w:t>
      </w:r>
      <w:r w:rsidR="00385251">
        <w:rPr>
          <w:b/>
        </w:rPr>
        <w:t xml:space="preserve">THE ECCR REVENUE REQUIREMENT </w:t>
      </w:r>
      <w:r w:rsidR="001656BB">
        <w:rPr>
          <w:b/>
        </w:rPr>
        <w:t>IS COLLECTED ACROSS INDIVIDUAL RATE SCHEDULES.</w:t>
      </w:r>
    </w:p>
    <w:p w:rsidR="007B2020" w:rsidRDefault="001656BB" w:rsidP="005660E2">
      <w:pPr>
        <w:spacing w:line="480" w:lineRule="auto"/>
        <w:ind w:left="720" w:hanging="720"/>
        <w:jc w:val="both"/>
        <w:rPr>
          <w:bCs/>
        </w:rPr>
      </w:pPr>
      <w:r>
        <w:rPr>
          <w:bCs/>
        </w:rPr>
        <w:lastRenderedPageBreak/>
        <w:t>A.</w:t>
      </w:r>
      <w:r>
        <w:rPr>
          <w:bCs/>
        </w:rPr>
        <w:tab/>
        <w:t xml:space="preserve">Currently, </w:t>
      </w:r>
      <w:r w:rsidR="005F5A4E">
        <w:rPr>
          <w:bCs/>
        </w:rPr>
        <w:t xml:space="preserve">RTP incremental usage is exempt from </w:t>
      </w:r>
      <w:r w:rsidR="0083634E">
        <w:rPr>
          <w:bCs/>
        </w:rPr>
        <w:t xml:space="preserve">the </w:t>
      </w:r>
      <w:r w:rsidR="005F5A4E">
        <w:rPr>
          <w:bCs/>
        </w:rPr>
        <w:t>ECCR</w:t>
      </w:r>
      <w:r w:rsidR="0083634E">
        <w:rPr>
          <w:bCs/>
        </w:rPr>
        <w:t xml:space="preserve"> rider</w:t>
      </w:r>
      <w:r w:rsidR="00E404E8">
        <w:rPr>
          <w:bCs/>
        </w:rPr>
        <w:t>.  Additionally,</w:t>
      </w:r>
      <w:r w:rsidR="0083634E">
        <w:rPr>
          <w:bCs/>
        </w:rPr>
        <w:t xml:space="preserve"> Rate Fixed Price Alternative (“FPA”) and Rate Electric Arc Furnace (“EAF”)</w:t>
      </w:r>
      <w:r w:rsidR="00E404E8">
        <w:rPr>
          <w:bCs/>
        </w:rPr>
        <w:t xml:space="preserve"> only pay </w:t>
      </w:r>
      <w:r w:rsidR="00884EA6">
        <w:rPr>
          <w:bCs/>
        </w:rPr>
        <w:t xml:space="preserve">65% of its base billed revenue.  All other rate schedules </w:t>
      </w:r>
      <w:r w:rsidR="00007F3A">
        <w:rPr>
          <w:bCs/>
        </w:rPr>
        <w:t>are subject to</w:t>
      </w:r>
      <w:r w:rsidR="00474237">
        <w:rPr>
          <w:bCs/>
        </w:rPr>
        <w:t xml:space="preserve"> a </w:t>
      </w:r>
      <w:r w:rsidR="00007F3A">
        <w:rPr>
          <w:bCs/>
        </w:rPr>
        <w:t>fixed percentage of base rate revenues.</w:t>
      </w:r>
      <w:r w:rsidR="007B2020">
        <w:rPr>
          <w:bCs/>
        </w:rPr>
        <w:t xml:space="preserve">  </w:t>
      </w:r>
    </w:p>
    <w:p w:rsidR="008475B2" w:rsidRPr="008475B2" w:rsidRDefault="008475B2" w:rsidP="008475B2">
      <w:pPr>
        <w:spacing w:before="480" w:line="480" w:lineRule="auto"/>
        <w:ind w:left="720" w:hanging="720"/>
        <w:jc w:val="both"/>
        <w:rPr>
          <w:b/>
        </w:rPr>
      </w:pPr>
      <w:r w:rsidRPr="008475B2">
        <w:rPr>
          <w:b/>
        </w:rPr>
        <w:t>Q.</w:t>
      </w:r>
      <w:r w:rsidRPr="008475B2">
        <w:rPr>
          <w:b/>
        </w:rPr>
        <w:tab/>
        <w:t xml:space="preserve">IS </w:t>
      </w:r>
      <w:r w:rsidR="00011ABE" w:rsidRPr="008475B2">
        <w:rPr>
          <w:b/>
        </w:rPr>
        <w:t xml:space="preserve">THE CURRENT METHOD IN WHICH ECCR REVENUES ARE COLLECTED </w:t>
      </w:r>
      <w:r w:rsidR="00CF6D79" w:rsidRPr="008475B2">
        <w:rPr>
          <w:b/>
        </w:rPr>
        <w:t xml:space="preserve">CONSISTENT WITH COST CAUSATION AND ARE THEY </w:t>
      </w:r>
      <w:r w:rsidR="00011ABE" w:rsidRPr="008475B2">
        <w:rPr>
          <w:b/>
        </w:rPr>
        <w:t>FAIR AND REASONABLE</w:t>
      </w:r>
      <w:r w:rsidR="004018FB">
        <w:rPr>
          <w:b/>
        </w:rPr>
        <w:t>?</w:t>
      </w:r>
    </w:p>
    <w:p w:rsidR="00CE169A" w:rsidRDefault="008475B2" w:rsidP="005660E2">
      <w:pPr>
        <w:spacing w:line="480" w:lineRule="auto"/>
        <w:ind w:left="720" w:hanging="720"/>
        <w:jc w:val="both"/>
        <w:rPr>
          <w:bCs/>
        </w:rPr>
      </w:pPr>
      <w:r>
        <w:rPr>
          <w:bCs/>
        </w:rPr>
        <w:t>A.</w:t>
      </w:r>
      <w:r>
        <w:rPr>
          <w:bCs/>
        </w:rPr>
        <w:tab/>
      </w:r>
      <w:r w:rsidR="00CF6D79">
        <w:rPr>
          <w:bCs/>
        </w:rPr>
        <w:t xml:space="preserve">No.  </w:t>
      </w:r>
      <w:r w:rsidR="00375770">
        <w:rPr>
          <w:bCs/>
        </w:rPr>
        <w:t xml:space="preserve">The ECCR rider recovers costs associated with </w:t>
      </w:r>
      <w:r w:rsidR="00314C09">
        <w:rPr>
          <w:bCs/>
        </w:rPr>
        <w:t xml:space="preserve">environmental compliance </w:t>
      </w:r>
      <w:r w:rsidR="004F4C26">
        <w:rPr>
          <w:bCs/>
        </w:rPr>
        <w:t>resulting from the burning of fuel for generation.</w:t>
      </w:r>
      <w:r w:rsidR="00CE169A">
        <w:rPr>
          <w:bCs/>
        </w:rPr>
        <w:t xml:space="preserve">  These costs are the result of both decades of prior fuel burning as well as</w:t>
      </w:r>
      <w:r w:rsidR="009B1413">
        <w:rPr>
          <w:bCs/>
        </w:rPr>
        <w:t xml:space="preserve"> the environmental </w:t>
      </w:r>
      <w:r w:rsidR="00CE169A">
        <w:rPr>
          <w:bCs/>
        </w:rPr>
        <w:t xml:space="preserve">compliance with the current burning of fuel.  Because the amount of fuel burned is 100% variable in nature and is therefore a function of the production of </w:t>
      </w:r>
      <w:r w:rsidR="009B1413">
        <w:rPr>
          <w:bCs/>
        </w:rPr>
        <w:t>energy (</w:t>
      </w:r>
      <w:r w:rsidR="009142E1">
        <w:rPr>
          <w:bCs/>
        </w:rPr>
        <w:t>k</w:t>
      </w:r>
      <w:r w:rsidR="009B1413">
        <w:rPr>
          <w:bCs/>
        </w:rPr>
        <w:t>W</w:t>
      </w:r>
      <w:r w:rsidR="009142E1">
        <w:rPr>
          <w:bCs/>
        </w:rPr>
        <w:t>h</w:t>
      </w:r>
      <w:r w:rsidR="009B1413">
        <w:rPr>
          <w:bCs/>
        </w:rPr>
        <w:t>)</w:t>
      </w:r>
      <w:r w:rsidR="00CE169A">
        <w:rPr>
          <w:bCs/>
        </w:rPr>
        <w:t>, ECCR costs are unquestionably a function of</w:t>
      </w:r>
      <w:r w:rsidR="00117E55">
        <w:rPr>
          <w:bCs/>
        </w:rPr>
        <w:t xml:space="preserve"> </w:t>
      </w:r>
      <w:r w:rsidR="009142E1">
        <w:rPr>
          <w:bCs/>
        </w:rPr>
        <w:t>k</w:t>
      </w:r>
      <w:r w:rsidR="00117E55">
        <w:rPr>
          <w:bCs/>
        </w:rPr>
        <w:t>Wh</w:t>
      </w:r>
      <w:r w:rsidR="00CE169A">
        <w:rPr>
          <w:bCs/>
        </w:rPr>
        <w:t xml:space="preserve">.  </w:t>
      </w:r>
    </w:p>
    <w:p w:rsidR="009B1413" w:rsidRDefault="00CE169A" w:rsidP="008E0A4A">
      <w:pPr>
        <w:spacing w:line="480" w:lineRule="auto"/>
        <w:ind w:left="720" w:hanging="720"/>
        <w:jc w:val="both"/>
        <w:rPr>
          <w:bCs/>
        </w:rPr>
      </w:pPr>
      <w:r>
        <w:rPr>
          <w:bCs/>
        </w:rPr>
        <w:tab/>
        <w:t>The current method to recover ECCR costs is based on base rate revenues.  However, base rates for several rate schedules are comprised of a much higher percentage of distribution and transmission</w:t>
      </w:r>
      <w:r w:rsidR="009B1413">
        <w:rPr>
          <w:bCs/>
        </w:rPr>
        <w:t xml:space="preserve"> related </w:t>
      </w:r>
      <w:r>
        <w:rPr>
          <w:bCs/>
        </w:rPr>
        <w:t>costs (and a much lower percentage of generation</w:t>
      </w:r>
      <w:r w:rsidR="009B1413">
        <w:rPr>
          <w:bCs/>
        </w:rPr>
        <w:t xml:space="preserve"> </w:t>
      </w:r>
      <w:r>
        <w:rPr>
          <w:bCs/>
        </w:rPr>
        <w:t>related costs) than other rate schedules.  To illustrate, outdoor and street lighting’s total base rates are comprised largely of distribution</w:t>
      </w:r>
      <w:r w:rsidR="009B1413">
        <w:rPr>
          <w:bCs/>
        </w:rPr>
        <w:t xml:space="preserve"> </w:t>
      </w:r>
      <w:r>
        <w:rPr>
          <w:bCs/>
        </w:rPr>
        <w:t>related costs (that include dedicated street lighting poles, lamp fixtures, etc.) with a relatively small percentage relating to generation costs.  At the other extreme, large industrial customers’ total base rates reflect a much higher percentage of generation</w:t>
      </w:r>
      <w:r w:rsidR="009B1413">
        <w:rPr>
          <w:bCs/>
        </w:rPr>
        <w:t xml:space="preserve"> </w:t>
      </w:r>
      <w:r>
        <w:rPr>
          <w:bCs/>
        </w:rPr>
        <w:t>related costs and a much smaller percentage of distribution</w:t>
      </w:r>
      <w:r w:rsidR="009B1413">
        <w:rPr>
          <w:bCs/>
        </w:rPr>
        <w:t xml:space="preserve"> </w:t>
      </w:r>
      <w:r>
        <w:rPr>
          <w:bCs/>
        </w:rPr>
        <w:t>related costs.</w:t>
      </w:r>
      <w:r w:rsidR="009B1413">
        <w:rPr>
          <w:bCs/>
        </w:rPr>
        <w:t xml:space="preserve">  As </w:t>
      </w:r>
      <w:r w:rsidR="009B1413">
        <w:rPr>
          <w:bCs/>
        </w:rPr>
        <w:lastRenderedPageBreak/>
        <w:t xml:space="preserve">such, the current ECCR cost recovery method is contrary to cost causation and inequitable across rate schedules.  </w:t>
      </w:r>
    </w:p>
    <w:p w:rsidR="009B1413" w:rsidRDefault="009B1413" w:rsidP="008E0A4A">
      <w:pPr>
        <w:spacing w:before="480" w:line="480" w:lineRule="auto"/>
        <w:ind w:left="720" w:hanging="720"/>
        <w:jc w:val="both"/>
        <w:rPr>
          <w:b/>
        </w:rPr>
      </w:pPr>
      <w:r>
        <w:rPr>
          <w:b/>
        </w:rPr>
        <w:t>Q.</w:t>
      </w:r>
      <w:r>
        <w:rPr>
          <w:b/>
        </w:rPr>
        <w:tab/>
        <w:t>PLEASE PROVIDE SPECIFIC EXAMPLES OF THE INEQUITABLE RECOVERY OF ECCR COSTS ACROSS RATE SCHEDULES.</w:t>
      </w:r>
    </w:p>
    <w:tbl>
      <w:tblPr>
        <w:tblStyle w:val="TableGrid"/>
        <w:tblpPr w:leftFromText="180" w:rightFromText="180" w:vertAnchor="text" w:horzAnchor="margin" w:tblpXSpec="center" w:tblpY="7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236"/>
        <w:gridCol w:w="1336"/>
        <w:gridCol w:w="243"/>
        <w:gridCol w:w="1189"/>
        <w:gridCol w:w="236"/>
        <w:gridCol w:w="1204"/>
      </w:tblGrid>
      <w:tr w:rsidR="00F87147" w:rsidTr="00F87147">
        <w:tc>
          <w:tcPr>
            <w:tcW w:w="8010" w:type="dxa"/>
            <w:gridSpan w:val="7"/>
            <w:tcBorders>
              <w:bottom w:val="single" w:sz="4" w:space="0" w:color="auto"/>
            </w:tcBorders>
          </w:tcPr>
          <w:p w:rsidR="00F87147" w:rsidRDefault="00F87147" w:rsidP="00F87147">
            <w:pPr>
              <w:jc w:val="center"/>
              <w:rPr>
                <w:bCs/>
              </w:rPr>
            </w:pPr>
            <w:r>
              <w:rPr>
                <w:bCs/>
              </w:rPr>
              <w:t>TABLE 13</w:t>
            </w:r>
          </w:p>
          <w:p w:rsidR="00F87147" w:rsidRDefault="00F87147" w:rsidP="00F87147">
            <w:pPr>
              <w:jc w:val="center"/>
              <w:rPr>
                <w:bCs/>
              </w:rPr>
            </w:pPr>
            <w:r>
              <w:rPr>
                <w:bCs/>
              </w:rPr>
              <w:t>Examples of Present ECCR Rate per kWh</w:t>
            </w:r>
          </w:p>
        </w:tc>
      </w:tr>
      <w:tr w:rsidR="00F87147" w:rsidTr="00F87147">
        <w:tc>
          <w:tcPr>
            <w:tcW w:w="3566" w:type="dxa"/>
            <w:tcBorders>
              <w:top w:val="single" w:sz="4" w:space="0" w:color="auto"/>
            </w:tcBorders>
          </w:tcPr>
          <w:p w:rsidR="00F87147" w:rsidRDefault="00F87147" w:rsidP="00F87147">
            <w:pPr>
              <w:jc w:val="center"/>
              <w:rPr>
                <w:bCs/>
              </w:rPr>
            </w:pPr>
          </w:p>
        </w:tc>
        <w:tc>
          <w:tcPr>
            <w:tcW w:w="236" w:type="dxa"/>
            <w:tcBorders>
              <w:top w:val="single" w:sz="4" w:space="0" w:color="auto"/>
            </w:tcBorders>
          </w:tcPr>
          <w:p w:rsidR="00F87147" w:rsidRDefault="00F87147" w:rsidP="00F87147">
            <w:pPr>
              <w:jc w:val="center"/>
              <w:rPr>
                <w:bCs/>
              </w:rPr>
            </w:pPr>
          </w:p>
        </w:tc>
        <w:tc>
          <w:tcPr>
            <w:tcW w:w="1336" w:type="dxa"/>
            <w:tcBorders>
              <w:top w:val="single" w:sz="4" w:space="0" w:color="auto"/>
            </w:tcBorders>
          </w:tcPr>
          <w:p w:rsidR="00F87147" w:rsidRDefault="00F87147" w:rsidP="00F87147">
            <w:pPr>
              <w:jc w:val="center"/>
              <w:rPr>
                <w:bCs/>
              </w:rPr>
            </w:pPr>
          </w:p>
        </w:tc>
        <w:tc>
          <w:tcPr>
            <w:tcW w:w="243" w:type="dxa"/>
            <w:tcBorders>
              <w:top w:val="single" w:sz="4" w:space="0" w:color="auto"/>
            </w:tcBorders>
          </w:tcPr>
          <w:p w:rsidR="00F87147" w:rsidRDefault="00F87147" w:rsidP="00F87147">
            <w:pPr>
              <w:jc w:val="center"/>
              <w:rPr>
                <w:bCs/>
              </w:rPr>
            </w:pPr>
          </w:p>
        </w:tc>
        <w:tc>
          <w:tcPr>
            <w:tcW w:w="1189" w:type="dxa"/>
            <w:tcBorders>
              <w:top w:val="single" w:sz="4" w:space="0" w:color="auto"/>
            </w:tcBorders>
          </w:tcPr>
          <w:p w:rsidR="00F87147" w:rsidRDefault="00F87147" w:rsidP="00F87147">
            <w:pPr>
              <w:jc w:val="center"/>
              <w:rPr>
                <w:bCs/>
              </w:rPr>
            </w:pPr>
            <w:r>
              <w:rPr>
                <w:bCs/>
              </w:rPr>
              <w:t>Present</w:t>
            </w:r>
          </w:p>
        </w:tc>
        <w:tc>
          <w:tcPr>
            <w:tcW w:w="236" w:type="dxa"/>
            <w:tcBorders>
              <w:top w:val="single" w:sz="4" w:space="0" w:color="auto"/>
            </w:tcBorders>
          </w:tcPr>
          <w:p w:rsidR="00F87147" w:rsidRDefault="00F87147" w:rsidP="00F87147">
            <w:pPr>
              <w:jc w:val="center"/>
              <w:rPr>
                <w:bCs/>
              </w:rPr>
            </w:pPr>
          </w:p>
        </w:tc>
        <w:tc>
          <w:tcPr>
            <w:tcW w:w="1204" w:type="dxa"/>
            <w:tcBorders>
              <w:top w:val="single" w:sz="4" w:space="0" w:color="auto"/>
            </w:tcBorders>
          </w:tcPr>
          <w:p w:rsidR="00F87147" w:rsidRDefault="00F87147" w:rsidP="00F87147">
            <w:pPr>
              <w:jc w:val="center"/>
              <w:rPr>
                <w:bCs/>
              </w:rPr>
            </w:pPr>
          </w:p>
        </w:tc>
      </w:tr>
      <w:tr w:rsidR="00F87147" w:rsidTr="00F87147">
        <w:tc>
          <w:tcPr>
            <w:tcW w:w="3566" w:type="dxa"/>
          </w:tcPr>
          <w:p w:rsidR="00F87147" w:rsidRDefault="00F87147" w:rsidP="00F87147">
            <w:pPr>
              <w:jc w:val="center"/>
              <w:rPr>
                <w:bCs/>
              </w:rPr>
            </w:pPr>
          </w:p>
        </w:tc>
        <w:tc>
          <w:tcPr>
            <w:tcW w:w="236" w:type="dxa"/>
          </w:tcPr>
          <w:p w:rsidR="00F87147" w:rsidRDefault="00F87147" w:rsidP="00F87147">
            <w:pPr>
              <w:jc w:val="center"/>
              <w:rPr>
                <w:bCs/>
              </w:rPr>
            </w:pPr>
          </w:p>
        </w:tc>
        <w:tc>
          <w:tcPr>
            <w:tcW w:w="1336" w:type="dxa"/>
          </w:tcPr>
          <w:p w:rsidR="00F87147" w:rsidRDefault="00F87147" w:rsidP="00F87147">
            <w:pPr>
              <w:jc w:val="center"/>
              <w:rPr>
                <w:bCs/>
              </w:rPr>
            </w:pPr>
          </w:p>
        </w:tc>
        <w:tc>
          <w:tcPr>
            <w:tcW w:w="243" w:type="dxa"/>
          </w:tcPr>
          <w:p w:rsidR="00F87147" w:rsidRDefault="00F87147" w:rsidP="00F87147">
            <w:pPr>
              <w:jc w:val="center"/>
              <w:rPr>
                <w:bCs/>
              </w:rPr>
            </w:pPr>
          </w:p>
        </w:tc>
        <w:tc>
          <w:tcPr>
            <w:tcW w:w="1189" w:type="dxa"/>
          </w:tcPr>
          <w:p w:rsidR="00F87147" w:rsidRDefault="00F87147" w:rsidP="00F87147">
            <w:pPr>
              <w:jc w:val="center"/>
              <w:rPr>
                <w:bCs/>
              </w:rPr>
            </w:pPr>
            <w:r>
              <w:rPr>
                <w:bCs/>
              </w:rPr>
              <w:t>ECCR</w:t>
            </w:r>
          </w:p>
        </w:tc>
        <w:tc>
          <w:tcPr>
            <w:tcW w:w="236" w:type="dxa"/>
          </w:tcPr>
          <w:p w:rsidR="00F87147" w:rsidRDefault="00F87147" w:rsidP="00F87147">
            <w:pPr>
              <w:jc w:val="center"/>
              <w:rPr>
                <w:bCs/>
              </w:rPr>
            </w:pPr>
          </w:p>
        </w:tc>
        <w:tc>
          <w:tcPr>
            <w:tcW w:w="1204" w:type="dxa"/>
          </w:tcPr>
          <w:p w:rsidR="00F87147" w:rsidRDefault="00F87147" w:rsidP="00F87147">
            <w:pPr>
              <w:jc w:val="center"/>
              <w:rPr>
                <w:bCs/>
              </w:rPr>
            </w:pPr>
            <w:r>
              <w:rPr>
                <w:bCs/>
              </w:rPr>
              <w:t>ECCR</w:t>
            </w:r>
          </w:p>
        </w:tc>
      </w:tr>
      <w:tr w:rsidR="00F87147" w:rsidTr="00F87147">
        <w:tc>
          <w:tcPr>
            <w:tcW w:w="3566" w:type="dxa"/>
          </w:tcPr>
          <w:p w:rsidR="00F87147" w:rsidRDefault="00F87147" w:rsidP="00F87147">
            <w:pPr>
              <w:jc w:val="center"/>
              <w:rPr>
                <w:bCs/>
              </w:rPr>
            </w:pPr>
          </w:p>
        </w:tc>
        <w:tc>
          <w:tcPr>
            <w:tcW w:w="236" w:type="dxa"/>
          </w:tcPr>
          <w:p w:rsidR="00F87147" w:rsidRDefault="00F87147" w:rsidP="00F87147">
            <w:pPr>
              <w:jc w:val="center"/>
              <w:rPr>
                <w:bCs/>
              </w:rPr>
            </w:pPr>
          </w:p>
        </w:tc>
        <w:tc>
          <w:tcPr>
            <w:tcW w:w="1336" w:type="dxa"/>
          </w:tcPr>
          <w:p w:rsidR="00F87147" w:rsidRDefault="00F87147" w:rsidP="00F87147">
            <w:pPr>
              <w:jc w:val="center"/>
              <w:rPr>
                <w:bCs/>
              </w:rPr>
            </w:pPr>
          </w:p>
        </w:tc>
        <w:tc>
          <w:tcPr>
            <w:tcW w:w="243" w:type="dxa"/>
          </w:tcPr>
          <w:p w:rsidR="00F87147" w:rsidRDefault="00F87147" w:rsidP="00F87147">
            <w:pPr>
              <w:jc w:val="center"/>
              <w:rPr>
                <w:bCs/>
              </w:rPr>
            </w:pPr>
          </w:p>
        </w:tc>
        <w:tc>
          <w:tcPr>
            <w:tcW w:w="1189" w:type="dxa"/>
          </w:tcPr>
          <w:p w:rsidR="00F87147" w:rsidRDefault="00F87147" w:rsidP="00F87147">
            <w:pPr>
              <w:jc w:val="center"/>
              <w:rPr>
                <w:bCs/>
              </w:rPr>
            </w:pPr>
            <w:r>
              <w:rPr>
                <w:bCs/>
              </w:rPr>
              <w:t>Revenue</w:t>
            </w:r>
          </w:p>
        </w:tc>
        <w:tc>
          <w:tcPr>
            <w:tcW w:w="236" w:type="dxa"/>
          </w:tcPr>
          <w:p w:rsidR="00F87147" w:rsidRDefault="00F87147" w:rsidP="00F87147">
            <w:pPr>
              <w:jc w:val="center"/>
              <w:rPr>
                <w:bCs/>
              </w:rPr>
            </w:pPr>
          </w:p>
        </w:tc>
        <w:tc>
          <w:tcPr>
            <w:tcW w:w="1204" w:type="dxa"/>
          </w:tcPr>
          <w:p w:rsidR="00F87147" w:rsidRDefault="00F87147" w:rsidP="00F87147">
            <w:pPr>
              <w:jc w:val="center"/>
              <w:rPr>
                <w:bCs/>
              </w:rPr>
            </w:pPr>
            <w:r>
              <w:rPr>
                <w:bCs/>
              </w:rPr>
              <w:t>Rate</w:t>
            </w:r>
          </w:p>
        </w:tc>
      </w:tr>
      <w:tr w:rsidR="00F87147" w:rsidTr="00F87147">
        <w:tc>
          <w:tcPr>
            <w:tcW w:w="3566" w:type="dxa"/>
            <w:tcBorders>
              <w:bottom w:val="single" w:sz="4" w:space="0" w:color="auto"/>
            </w:tcBorders>
          </w:tcPr>
          <w:p w:rsidR="00F87147" w:rsidRDefault="00F87147" w:rsidP="00F87147">
            <w:pPr>
              <w:jc w:val="center"/>
              <w:rPr>
                <w:bCs/>
              </w:rPr>
            </w:pPr>
            <w:r>
              <w:rPr>
                <w:bCs/>
              </w:rPr>
              <w:t>Rate</w:t>
            </w:r>
          </w:p>
        </w:tc>
        <w:tc>
          <w:tcPr>
            <w:tcW w:w="236" w:type="dxa"/>
          </w:tcPr>
          <w:p w:rsidR="00F87147" w:rsidRDefault="00F87147" w:rsidP="00F87147">
            <w:pPr>
              <w:jc w:val="center"/>
              <w:rPr>
                <w:bCs/>
              </w:rPr>
            </w:pPr>
          </w:p>
        </w:tc>
        <w:tc>
          <w:tcPr>
            <w:tcW w:w="1336" w:type="dxa"/>
            <w:tcBorders>
              <w:bottom w:val="single" w:sz="4" w:space="0" w:color="auto"/>
            </w:tcBorders>
          </w:tcPr>
          <w:p w:rsidR="00F87147" w:rsidRDefault="00F87147" w:rsidP="00F87147">
            <w:pPr>
              <w:jc w:val="center"/>
              <w:rPr>
                <w:bCs/>
              </w:rPr>
            </w:pPr>
            <w:r>
              <w:rPr>
                <w:bCs/>
              </w:rPr>
              <w:t>MWh</w:t>
            </w:r>
          </w:p>
        </w:tc>
        <w:tc>
          <w:tcPr>
            <w:tcW w:w="243" w:type="dxa"/>
          </w:tcPr>
          <w:p w:rsidR="00F87147" w:rsidRDefault="00F87147" w:rsidP="00F87147">
            <w:pPr>
              <w:jc w:val="center"/>
              <w:rPr>
                <w:bCs/>
              </w:rPr>
            </w:pPr>
          </w:p>
        </w:tc>
        <w:tc>
          <w:tcPr>
            <w:tcW w:w="1189" w:type="dxa"/>
            <w:tcBorders>
              <w:bottom w:val="single" w:sz="4" w:space="0" w:color="auto"/>
            </w:tcBorders>
          </w:tcPr>
          <w:p w:rsidR="00F87147" w:rsidRDefault="00F87147" w:rsidP="00F87147">
            <w:pPr>
              <w:jc w:val="center"/>
              <w:rPr>
                <w:bCs/>
              </w:rPr>
            </w:pPr>
            <w:r>
              <w:rPr>
                <w:bCs/>
              </w:rPr>
              <w:t>($000)</w:t>
            </w:r>
          </w:p>
        </w:tc>
        <w:tc>
          <w:tcPr>
            <w:tcW w:w="236" w:type="dxa"/>
          </w:tcPr>
          <w:p w:rsidR="00F87147" w:rsidRDefault="00F87147" w:rsidP="00F87147">
            <w:pPr>
              <w:jc w:val="center"/>
              <w:rPr>
                <w:bCs/>
              </w:rPr>
            </w:pPr>
          </w:p>
        </w:tc>
        <w:tc>
          <w:tcPr>
            <w:tcW w:w="1204" w:type="dxa"/>
            <w:tcBorders>
              <w:bottom w:val="single" w:sz="4" w:space="0" w:color="auto"/>
            </w:tcBorders>
          </w:tcPr>
          <w:p w:rsidR="00F87147" w:rsidRDefault="00F87147" w:rsidP="00F87147">
            <w:pPr>
              <w:jc w:val="center"/>
              <w:rPr>
                <w:bCs/>
              </w:rPr>
            </w:pPr>
            <w:r>
              <w:rPr>
                <w:bCs/>
              </w:rPr>
              <w:t>Per kWh</w:t>
            </w:r>
          </w:p>
        </w:tc>
      </w:tr>
      <w:tr w:rsidR="00F87147" w:rsidTr="00F87147">
        <w:tc>
          <w:tcPr>
            <w:tcW w:w="3566" w:type="dxa"/>
            <w:tcBorders>
              <w:top w:val="single" w:sz="4" w:space="0" w:color="auto"/>
            </w:tcBorders>
          </w:tcPr>
          <w:p w:rsidR="00F87147" w:rsidRDefault="00F87147" w:rsidP="00F87147">
            <w:pPr>
              <w:jc w:val="both"/>
              <w:rPr>
                <w:bCs/>
              </w:rPr>
            </w:pPr>
          </w:p>
        </w:tc>
        <w:tc>
          <w:tcPr>
            <w:tcW w:w="236" w:type="dxa"/>
          </w:tcPr>
          <w:p w:rsidR="00F87147" w:rsidRDefault="00F87147" w:rsidP="00F87147">
            <w:pPr>
              <w:jc w:val="both"/>
              <w:rPr>
                <w:bCs/>
              </w:rPr>
            </w:pPr>
          </w:p>
        </w:tc>
        <w:tc>
          <w:tcPr>
            <w:tcW w:w="1336" w:type="dxa"/>
            <w:tcBorders>
              <w:top w:val="single" w:sz="4" w:space="0" w:color="auto"/>
            </w:tcBorders>
          </w:tcPr>
          <w:p w:rsidR="00F87147" w:rsidRDefault="00F87147" w:rsidP="00F87147">
            <w:pPr>
              <w:jc w:val="both"/>
              <w:rPr>
                <w:bCs/>
              </w:rPr>
            </w:pPr>
          </w:p>
        </w:tc>
        <w:tc>
          <w:tcPr>
            <w:tcW w:w="243" w:type="dxa"/>
          </w:tcPr>
          <w:p w:rsidR="00F87147" w:rsidRDefault="00F87147" w:rsidP="00F87147">
            <w:pPr>
              <w:jc w:val="both"/>
              <w:rPr>
                <w:bCs/>
              </w:rPr>
            </w:pPr>
          </w:p>
        </w:tc>
        <w:tc>
          <w:tcPr>
            <w:tcW w:w="1189" w:type="dxa"/>
            <w:tcBorders>
              <w:top w:val="single" w:sz="4" w:space="0" w:color="auto"/>
            </w:tcBorders>
          </w:tcPr>
          <w:p w:rsidR="00F87147" w:rsidRDefault="00F87147" w:rsidP="00F87147">
            <w:pPr>
              <w:jc w:val="both"/>
              <w:rPr>
                <w:bCs/>
              </w:rPr>
            </w:pPr>
          </w:p>
        </w:tc>
        <w:tc>
          <w:tcPr>
            <w:tcW w:w="236" w:type="dxa"/>
          </w:tcPr>
          <w:p w:rsidR="00F87147" w:rsidRDefault="00F87147" w:rsidP="00F87147">
            <w:pPr>
              <w:jc w:val="both"/>
              <w:rPr>
                <w:bCs/>
              </w:rPr>
            </w:pPr>
          </w:p>
        </w:tc>
        <w:tc>
          <w:tcPr>
            <w:tcW w:w="1204" w:type="dxa"/>
            <w:tcBorders>
              <w:top w:val="single" w:sz="4" w:space="0" w:color="auto"/>
            </w:tcBorders>
          </w:tcPr>
          <w:p w:rsidR="00F87147" w:rsidRDefault="00F87147" w:rsidP="00F87147">
            <w:pPr>
              <w:jc w:val="both"/>
              <w:rPr>
                <w:bCs/>
              </w:rPr>
            </w:pPr>
          </w:p>
        </w:tc>
      </w:tr>
      <w:tr w:rsidR="00F87147" w:rsidTr="00F87147">
        <w:tc>
          <w:tcPr>
            <w:tcW w:w="3566" w:type="dxa"/>
          </w:tcPr>
          <w:p w:rsidR="00F87147" w:rsidRDefault="00F87147" w:rsidP="00F87147">
            <w:pPr>
              <w:jc w:val="both"/>
              <w:rPr>
                <w:bCs/>
              </w:rPr>
            </w:pPr>
            <w:r>
              <w:rPr>
                <w:bCs/>
              </w:rPr>
              <w:t>Residential (Rate R)</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26,872,898</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$387,498</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1.442¢</w:t>
            </w:r>
          </w:p>
        </w:tc>
      </w:tr>
      <w:tr w:rsidR="00F87147" w:rsidTr="00F87147">
        <w:tc>
          <w:tcPr>
            <w:tcW w:w="3566" w:type="dxa"/>
          </w:tcPr>
          <w:p w:rsidR="00F87147" w:rsidRDefault="00F87147" w:rsidP="00F87147">
            <w:pPr>
              <w:jc w:val="both"/>
              <w:rPr>
                <w:bCs/>
              </w:rPr>
            </w:pPr>
            <w:r>
              <w:rPr>
                <w:bCs/>
              </w:rPr>
              <w:t>General Service (Rate GS)</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1,331,927</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$33,912</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2.546¢</w:t>
            </w:r>
          </w:p>
        </w:tc>
      </w:tr>
      <w:tr w:rsidR="00F87147" w:rsidTr="00F87147">
        <w:tc>
          <w:tcPr>
            <w:tcW w:w="3566" w:type="dxa"/>
          </w:tcPr>
          <w:p w:rsidR="00F87147" w:rsidRDefault="00F87147" w:rsidP="00F87147">
            <w:pPr>
              <w:jc w:val="both"/>
              <w:rPr>
                <w:bCs/>
              </w:rPr>
            </w:pPr>
            <w:r>
              <w:rPr>
                <w:bCs/>
              </w:rPr>
              <w:t>Large Power &amp; Light (Rate PLL)</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2,396,081</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$23,496</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0.981¢</w:t>
            </w:r>
          </w:p>
        </w:tc>
      </w:tr>
      <w:tr w:rsidR="00F87147" w:rsidTr="00F87147">
        <w:tc>
          <w:tcPr>
            <w:tcW w:w="3566" w:type="dxa"/>
          </w:tcPr>
          <w:p w:rsidR="00F87147" w:rsidRDefault="00F87147" w:rsidP="00F87147">
            <w:pPr>
              <w:jc w:val="both"/>
              <w:rPr>
                <w:bCs/>
              </w:rPr>
            </w:pPr>
            <w:r>
              <w:rPr>
                <w:bCs/>
              </w:rPr>
              <w:t>Gov’t Road Lighting (Rate RLG)</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110,284</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$6,659</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6.038¢</w:t>
            </w:r>
          </w:p>
        </w:tc>
      </w:tr>
      <w:tr w:rsidR="00F87147" w:rsidTr="00F87147">
        <w:tc>
          <w:tcPr>
            <w:tcW w:w="3566" w:type="dxa"/>
          </w:tcPr>
          <w:p w:rsidR="00F87147" w:rsidRDefault="00F87147" w:rsidP="00F87147">
            <w:pPr>
              <w:jc w:val="both"/>
              <w:rPr>
                <w:bCs/>
              </w:rPr>
            </w:pPr>
            <w:r>
              <w:rPr>
                <w:bCs/>
              </w:rPr>
              <w:t>Fixed Price Alternative (Rate FPA)</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2,220,132</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$9,148</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0.412¢</w:t>
            </w:r>
          </w:p>
        </w:tc>
      </w:tr>
      <w:tr w:rsidR="00F87147" w:rsidTr="00F87147">
        <w:tc>
          <w:tcPr>
            <w:tcW w:w="3566" w:type="dxa"/>
          </w:tcPr>
          <w:p w:rsidR="00F87147" w:rsidRDefault="00F87147" w:rsidP="00F87147">
            <w:pPr>
              <w:jc w:val="both"/>
              <w:rPr>
                <w:bCs/>
              </w:rPr>
            </w:pPr>
            <w:r>
              <w:rPr>
                <w:bCs/>
              </w:rPr>
              <w:t>RTP-Day Ahead CBL</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7,465,547</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$65,598</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0.879¢</w:t>
            </w:r>
          </w:p>
        </w:tc>
      </w:tr>
      <w:tr w:rsidR="00F87147" w:rsidTr="00F87147">
        <w:tc>
          <w:tcPr>
            <w:tcW w:w="3566" w:type="dxa"/>
          </w:tcPr>
          <w:p w:rsidR="00F87147" w:rsidRDefault="00F87147" w:rsidP="00F87147">
            <w:pPr>
              <w:jc w:val="both"/>
              <w:rPr>
                <w:bCs/>
              </w:rPr>
            </w:pPr>
            <w:r>
              <w:rPr>
                <w:bCs/>
              </w:rPr>
              <w:t>RTP-Day Ahead Incremental</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6,375,584</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$0</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0.000¢</w:t>
            </w:r>
          </w:p>
        </w:tc>
      </w:tr>
      <w:tr w:rsidR="00F87147" w:rsidTr="00F87147">
        <w:tc>
          <w:tcPr>
            <w:tcW w:w="3566" w:type="dxa"/>
          </w:tcPr>
          <w:p w:rsidR="00F87147" w:rsidRDefault="00F87147" w:rsidP="00F87147">
            <w:pPr>
              <w:jc w:val="both"/>
              <w:rPr>
                <w:bCs/>
              </w:rPr>
            </w:pPr>
            <w:r>
              <w:rPr>
                <w:bCs/>
              </w:rPr>
              <w:t>RTP-Hour Ahead CBL</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5,709,811</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$33,528</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0.587¢</w:t>
            </w:r>
          </w:p>
        </w:tc>
      </w:tr>
      <w:tr w:rsidR="00F87147" w:rsidTr="00F87147">
        <w:tc>
          <w:tcPr>
            <w:tcW w:w="3566" w:type="dxa"/>
          </w:tcPr>
          <w:p w:rsidR="00F87147" w:rsidRDefault="00F87147" w:rsidP="00F87147">
            <w:pPr>
              <w:jc w:val="both"/>
              <w:rPr>
                <w:bCs/>
              </w:rPr>
            </w:pPr>
            <w:r>
              <w:rPr>
                <w:bCs/>
              </w:rPr>
              <w:t>RTP-Hour Ahead Incremental</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9,996,539</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$0</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0.000¢</w:t>
            </w:r>
          </w:p>
        </w:tc>
      </w:tr>
      <w:tr w:rsidR="00F87147" w:rsidTr="00F87147">
        <w:tc>
          <w:tcPr>
            <w:tcW w:w="3566" w:type="dxa"/>
          </w:tcPr>
          <w:p w:rsidR="00F87147" w:rsidRDefault="00F87147" w:rsidP="00F87147">
            <w:pPr>
              <w:jc w:val="both"/>
              <w:rPr>
                <w:bCs/>
              </w:rPr>
            </w:pPr>
            <w:r>
              <w:rPr>
                <w:bCs/>
              </w:rPr>
              <w:t>Electric Arc Furnace (Rate EAF)</w:t>
            </w:r>
          </w:p>
        </w:tc>
        <w:tc>
          <w:tcPr>
            <w:tcW w:w="236" w:type="dxa"/>
          </w:tcPr>
          <w:p w:rsidR="00F87147" w:rsidRDefault="00F87147" w:rsidP="00F87147">
            <w:pPr>
              <w:jc w:val="both"/>
              <w:rPr>
                <w:bCs/>
              </w:rPr>
            </w:pPr>
          </w:p>
        </w:tc>
        <w:tc>
          <w:tcPr>
            <w:tcW w:w="1336" w:type="dxa"/>
          </w:tcPr>
          <w:p w:rsidR="00F87147" w:rsidRDefault="00F87147" w:rsidP="00F87147">
            <w:pPr>
              <w:jc w:val="right"/>
              <w:rPr>
                <w:bCs/>
              </w:rPr>
            </w:pPr>
            <w:r>
              <w:rPr>
                <w:bCs/>
              </w:rPr>
              <w:t>310,811</w:t>
            </w:r>
          </w:p>
        </w:tc>
        <w:tc>
          <w:tcPr>
            <w:tcW w:w="243" w:type="dxa"/>
          </w:tcPr>
          <w:p w:rsidR="00F87147" w:rsidRDefault="00F87147" w:rsidP="00F87147">
            <w:pPr>
              <w:jc w:val="right"/>
              <w:rPr>
                <w:bCs/>
              </w:rPr>
            </w:pPr>
          </w:p>
        </w:tc>
        <w:tc>
          <w:tcPr>
            <w:tcW w:w="1189" w:type="dxa"/>
          </w:tcPr>
          <w:p w:rsidR="00F87147" w:rsidRDefault="00F87147" w:rsidP="00F87147">
            <w:pPr>
              <w:jc w:val="right"/>
              <w:rPr>
                <w:bCs/>
              </w:rPr>
            </w:pPr>
            <w:r>
              <w:rPr>
                <w:bCs/>
              </w:rPr>
              <w:t>$692</w:t>
            </w:r>
          </w:p>
        </w:tc>
        <w:tc>
          <w:tcPr>
            <w:tcW w:w="236" w:type="dxa"/>
          </w:tcPr>
          <w:p w:rsidR="00F87147" w:rsidRDefault="00F87147" w:rsidP="00F87147">
            <w:pPr>
              <w:jc w:val="right"/>
              <w:rPr>
                <w:bCs/>
              </w:rPr>
            </w:pPr>
          </w:p>
        </w:tc>
        <w:tc>
          <w:tcPr>
            <w:tcW w:w="1204" w:type="dxa"/>
          </w:tcPr>
          <w:p w:rsidR="00F87147" w:rsidRDefault="00F87147" w:rsidP="00F87147">
            <w:pPr>
              <w:jc w:val="right"/>
              <w:rPr>
                <w:bCs/>
              </w:rPr>
            </w:pPr>
            <w:r>
              <w:rPr>
                <w:bCs/>
              </w:rPr>
              <w:t>0.223¢</w:t>
            </w:r>
          </w:p>
        </w:tc>
      </w:tr>
    </w:tbl>
    <w:p w:rsidR="00FF27F4" w:rsidRDefault="009B1413" w:rsidP="00113E75">
      <w:pPr>
        <w:suppressLineNumbers/>
        <w:spacing w:after="360" w:line="480" w:lineRule="auto"/>
        <w:jc w:val="both"/>
        <w:rPr>
          <w:bCs/>
        </w:rPr>
      </w:pPr>
      <w:r>
        <w:rPr>
          <w:bCs/>
        </w:rPr>
        <w:t>A.</w:t>
      </w:r>
      <w:r>
        <w:rPr>
          <w:bCs/>
        </w:rPr>
        <w:tab/>
        <w:t>The following provides examples of the effective ECCR rate per</w:t>
      </w:r>
      <w:r w:rsidR="00117E55">
        <w:rPr>
          <w:bCs/>
        </w:rPr>
        <w:t xml:space="preserve"> </w:t>
      </w:r>
      <w:r w:rsidR="009142E1">
        <w:rPr>
          <w:bCs/>
        </w:rPr>
        <w:t>k</w:t>
      </w:r>
      <w:r w:rsidR="00117E55">
        <w:rPr>
          <w:bCs/>
        </w:rPr>
        <w:t>Wh</w:t>
      </w:r>
      <w:r>
        <w:rPr>
          <w:bCs/>
        </w:rPr>
        <w:t>:</w:t>
      </w:r>
    </w:p>
    <w:p w:rsidR="00FF27F4" w:rsidRDefault="00FF27F4" w:rsidP="006762BC">
      <w:pPr>
        <w:suppressLineNumbers/>
        <w:spacing w:line="480" w:lineRule="auto"/>
        <w:jc w:val="both"/>
        <w:rPr>
          <w:bCs/>
        </w:rPr>
      </w:pPr>
    </w:p>
    <w:p w:rsidR="00FD01F5" w:rsidRDefault="00FD01F5" w:rsidP="00FD01F5">
      <w:pPr>
        <w:suppressLineNumbers/>
        <w:spacing w:before="360" w:line="480" w:lineRule="auto"/>
        <w:ind w:left="720" w:hanging="720"/>
        <w:jc w:val="both"/>
        <w:rPr>
          <w:bCs/>
        </w:rPr>
      </w:pPr>
    </w:p>
    <w:p w:rsidR="00FD01F5" w:rsidRDefault="00FD01F5" w:rsidP="00FD01F5">
      <w:pPr>
        <w:suppressLineNumbers/>
        <w:spacing w:before="360" w:line="480" w:lineRule="auto"/>
        <w:ind w:left="720" w:hanging="720"/>
        <w:jc w:val="both"/>
        <w:rPr>
          <w:bCs/>
        </w:rPr>
      </w:pPr>
    </w:p>
    <w:p w:rsidR="00FD01F5" w:rsidRDefault="00FD01F5" w:rsidP="00FD01F5">
      <w:pPr>
        <w:suppressLineNumbers/>
        <w:spacing w:before="360" w:line="480" w:lineRule="auto"/>
        <w:ind w:left="720" w:hanging="720"/>
        <w:jc w:val="both"/>
        <w:rPr>
          <w:bCs/>
        </w:rPr>
      </w:pPr>
    </w:p>
    <w:p w:rsidR="00FD01F5" w:rsidRDefault="00FD01F5" w:rsidP="00FD01F5">
      <w:pPr>
        <w:suppressLineNumbers/>
        <w:spacing w:before="360" w:line="480" w:lineRule="auto"/>
        <w:ind w:left="720" w:hanging="720"/>
        <w:jc w:val="both"/>
        <w:rPr>
          <w:bCs/>
        </w:rPr>
      </w:pPr>
    </w:p>
    <w:p w:rsidR="00066185" w:rsidRDefault="00A20559" w:rsidP="008E0A4A">
      <w:pPr>
        <w:spacing w:before="360" w:line="480" w:lineRule="auto"/>
        <w:ind w:left="720" w:hanging="720"/>
        <w:jc w:val="both"/>
        <w:rPr>
          <w:bCs/>
        </w:rPr>
      </w:pPr>
      <w:r>
        <w:rPr>
          <w:bCs/>
        </w:rPr>
        <w:tab/>
        <w:t>As can be seen above, Governmental Road Lighting’s effective ECCR rate is more than 6¢ per</w:t>
      </w:r>
      <w:r w:rsidR="00117E55">
        <w:rPr>
          <w:bCs/>
        </w:rPr>
        <w:t xml:space="preserve"> </w:t>
      </w:r>
      <w:r w:rsidR="009142E1">
        <w:rPr>
          <w:bCs/>
        </w:rPr>
        <w:t>k</w:t>
      </w:r>
      <w:r w:rsidR="00117E55">
        <w:rPr>
          <w:bCs/>
        </w:rPr>
        <w:t>Wh</w:t>
      </w:r>
      <w:r>
        <w:rPr>
          <w:bCs/>
        </w:rPr>
        <w:t xml:space="preserve"> while the Large Power &amp; Light effective ECCR rate is less than 1¢ per</w:t>
      </w:r>
      <w:r w:rsidR="00117E55">
        <w:rPr>
          <w:bCs/>
        </w:rPr>
        <w:t xml:space="preserve"> </w:t>
      </w:r>
      <w:r w:rsidR="009142E1">
        <w:rPr>
          <w:bCs/>
        </w:rPr>
        <w:t>k</w:t>
      </w:r>
      <w:r w:rsidR="00117E55">
        <w:rPr>
          <w:bCs/>
        </w:rPr>
        <w:t>Wh</w:t>
      </w:r>
      <w:r>
        <w:rPr>
          <w:bCs/>
        </w:rPr>
        <w:t xml:space="preserve">.  </w:t>
      </w:r>
    </w:p>
    <w:p w:rsidR="00066185" w:rsidRDefault="00990DF0" w:rsidP="008E0A4A">
      <w:pPr>
        <w:spacing w:before="480" w:line="480" w:lineRule="auto"/>
        <w:ind w:left="720" w:hanging="720"/>
        <w:jc w:val="both"/>
        <w:rPr>
          <w:b/>
        </w:rPr>
      </w:pPr>
      <w:bookmarkStart w:id="22" w:name="_Hlk116652730"/>
      <w:r>
        <w:rPr>
          <w:b/>
        </w:rPr>
        <w:t>Q.</w:t>
      </w:r>
      <w:r>
        <w:rPr>
          <w:b/>
        </w:rPr>
        <w:tab/>
      </w:r>
      <w:r w:rsidR="00066185">
        <w:rPr>
          <w:b/>
        </w:rPr>
        <w:t>IS IT APPROPRIATE TO EXCLUDE RTP INCREMENTAL USAGE FROM ECCR COSTS?</w:t>
      </w:r>
    </w:p>
    <w:p w:rsidR="00066185" w:rsidRDefault="00066185" w:rsidP="008E0A4A">
      <w:pPr>
        <w:spacing w:line="480" w:lineRule="auto"/>
        <w:ind w:left="720" w:hanging="720"/>
        <w:jc w:val="both"/>
        <w:rPr>
          <w:bCs/>
        </w:rPr>
      </w:pPr>
      <w:r>
        <w:rPr>
          <w:bCs/>
        </w:rPr>
        <w:t>A.</w:t>
      </w:r>
      <w:r>
        <w:rPr>
          <w:bCs/>
        </w:rPr>
        <w:tab/>
      </w:r>
      <w:r w:rsidR="007A3CAE">
        <w:rPr>
          <w:bCs/>
        </w:rPr>
        <w:t xml:space="preserve">No.  While the base incremental rates for RTP (Day Ahead and Hour Ahead) are characterized as being priced on marginal production costs, these incremental rates do not </w:t>
      </w:r>
      <w:r w:rsidR="007A3CAE">
        <w:rPr>
          <w:bCs/>
        </w:rPr>
        <w:lastRenderedPageBreak/>
        <w:t xml:space="preserve">reflect the cost of environmental compliance.  To be clear, the costs associated with ECCR are not forward looking and not included in marginal production costs (which is the basis for the incremental RTP rates), but rather, reflect the costs associated with decades of prior energy production by the Company’s coal-fired generators.  As a result, RTP incremental usage should not be exempt from ECCR cost recovery.  </w:t>
      </w:r>
      <w:r>
        <w:rPr>
          <w:bCs/>
        </w:rPr>
        <w:t xml:space="preserve"> </w:t>
      </w:r>
    </w:p>
    <w:bookmarkEnd w:id="22"/>
    <w:p w:rsidR="00990DF0" w:rsidRPr="00990DF0" w:rsidRDefault="00990DF0" w:rsidP="008E0A4A">
      <w:pPr>
        <w:spacing w:before="480" w:line="480" w:lineRule="auto"/>
        <w:ind w:left="720" w:hanging="720"/>
        <w:jc w:val="both"/>
        <w:rPr>
          <w:b/>
        </w:rPr>
      </w:pPr>
      <w:r w:rsidRPr="00990DF0">
        <w:rPr>
          <w:b/>
        </w:rPr>
        <w:t>Q.</w:t>
      </w:r>
      <w:r w:rsidRPr="00990DF0">
        <w:rPr>
          <w:b/>
        </w:rPr>
        <w:tab/>
        <w:t xml:space="preserve">IS </w:t>
      </w:r>
      <w:r w:rsidR="00066185" w:rsidRPr="00990DF0">
        <w:rPr>
          <w:b/>
        </w:rPr>
        <w:t>IT APPROPRIATE TO PROVIDE AN ECCR DISCOUNT FOR RATES FPA AND EAF</w:t>
      </w:r>
      <w:r w:rsidRPr="00990DF0">
        <w:rPr>
          <w:b/>
        </w:rPr>
        <w:t>?</w:t>
      </w:r>
    </w:p>
    <w:p w:rsidR="00066185" w:rsidRDefault="00990DF0" w:rsidP="00066185">
      <w:pPr>
        <w:spacing w:line="480" w:lineRule="auto"/>
        <w:ind w:left="720" w:hanging="720"/>
        <w:jc w:val="both"/>
        <w:rPr>
          <w:bCs/>
        </w:rPr>
      </w:pPr>
      <w:r>
        <w:rPr>
          <w:bCs/>
        </w:rPr>
        <w:t>A.</w:t>
      </w:r>
      <w:r>
        <w:rPr>
          <w:bCs/>
        </w:rPr>
        <w:tab/>
      </w:r>
      <w:r w:rsidR="00066185">
        <w:rPr>
          <w:bCs/>
        </w:rPr>
        <w:t>No.  Customers using energy under these rate schedules have and continue to use</w:t>
      </w:r>
      <w:r w:rsidR="00117E55">
        <w:rPr>
          <w:bCs/>
        </w:rPr>
        <w:t xml:space="preserve"> </w:t>
      </w:r>
      <w:r w:rsidR="009142E1">
        <w:rPr>
          <w:bCs/>
        </w:rPr>
        <w:t>kWh</w:t>
      </w:r>
      <w:r w:rsidR="00066185">
        <w:rPr>
          <w:bCs/>
        </w:rPr>
        <w:t xml:space="preserve"> energy produced by Georgia Power’s generators just like every other rate schedule.  </w:t>
      </w:r>
    </w:p>
    <w:p w:rsidR="00066185" w:rsidRDefault="00990DF0" w:rsidP="00990DF0">
      <w:pPr>
        <w:spacing w:before="480" w:line="480" w:lineRule="auto"/>
        <w:ind w:left="720" w:hanging="720"/>
        <w:jc w:val="both"/>
        <w:rPr>
          <w:b/>
        </w:rPr>
      </w:pPr>
      <w:r>
        <w:rPr>
          <w:b/>
        </w:rPr>
        <w:t xml:space="preserve">Q. </w:t>
      </w:r>
      <w:r>
        <w:rPr>
          <w:b/>
        </w:rPr>
        <w:tab/>
        <w:t xml:space="preserve">DOES STAFF </w:t>
      </w:r>
      <w:r w:rsidR="00066185">
        <w:rPr>
          <w:b/>
        </w:rPr>
        <w:t xml:space="preserve">RECOMMEND A CHANGE IN THE </w:t>
      </w:r>
      <w:r w:rsidR="005539DD">
        <w:rPr>
          <w:b/>
        </w:rPr>
        <w:t>METHOD</w:t>
      </w:r>
      <w:r w:rsidR="00066185">
        <w:rPr>
          <w:b/>
        </w:rPr>
        <w:t xml:space="preserve"> IN WHICH ECCR COSTS ARE RECOVERED ACROSS RATE SCHEDULES?</w:t>
      </w:r>
    </w:p>
    <w:p w:rsidR="00011AF6" w:rsidRDefault="00066185" w:rsidP="003F682A">
      <w:pPr>
        <w:spacing w:line="480" w:lineRule="auto"/>
        <w:ind w:left="720" w:hanging="720"/>
        <w:jc w:val="both"/>
        <w:rPr>
          <w:bCs/>
        </w:rPr>
      </w:pPr>
      <w:r>
        <w:rPr>
          <w:bCs/>
        </w:rPr>
        <w:t>A.</w:t>
      </w:r>
      <w:r w:rsidR="0077097A" w:rsidRPr="00461F99">
        <w:rPr>
          <w:rFonts w:eastAsia="Calibri"/>
        </w:rPr>
        <w:tab/>
      </w:r>
      <w:r w:rsidR="00D169AB">
        <w:rPr>
          <w:rFonts w:eastAsia="Calibri"/>
        </w:rPr>
        <w:t xml:space="preserve">Yes.  </w:t>
      </w:r>
      <w:r>
        <w:rPr>
          <w:bCs/>
        </w:rPr>
        <w:t>Unquestionably, ECCR costs are the result and function of</w:t>
      </w:r>
      <w:r w:rsidR="00117E55">
        <w:rPr>
          <w:bCs/>
        </w:rPr>
        <w:t xml:space="preserve"> </w:t>
      </w:r>
      <w:r w:rsidR="009142E1">
        <w:rPr>
          <w:bCs/>
        </w:rPr>
        <w:t>k</w:t>
      </w:r>
      <w:r w:rsidR="00117E55">
        <w:rPr>
          <w:bCs/>
        </w:rPr>
        <w:t>Wh</w:t>
      </w:r>
      <w:r>
        <w:rPr>
          <w:bCs/>
        </w:rPr>
        <w:t xml:space="preserve"> energy produced by Georgia Power’s generators.  As such, these costs should be recovered on a per</w:t>
      </w:r>
      <w:r w:rsidR="00117E55">
        <w:rPr>
          <w:bCs/>
        </w:rPr>
        <w:t xml:space="preserve"> </w:t>
      </w:r>
      <w:r w:rsidR="009142E1">
        <w:rPr>
          <w:bCs/>
        </w:rPr>
        <w:t>k</w:t>
      </w:r>
      <w:r w:rsidR="00117E55">
        <w:rPr>
          <w:bCs/>
        </w:rPr>
        <w:t>Wh</w:t>
      </w:r>
      <w:r>
        <w:rPr>
          <w:bCs/>
        </w:rPr>
        <w:t xml:space="preserve"> basis.  However, if all rate schedules </w:t>
      </w:r>
      <w:r w:rsidR="001434E1">
        <w:rPr>
          <w:bCs/>
        </w:rPr>
        <w:t>become</w:t>
      </w:r>
      <w:r>
        <w:rPr>
          <w:bCs/>
        </w:rPr>
        <w:t xml:space="preserve"> subject to a constant ECCR rate per</w:t>
      </w:r>
      <w:r w:rsidR="00117E55">
        <w:rPr>
          <w:bCs/>
        </w:rPr>
        <w:t xml:space="preserve"> </w:t>
      </w:r>
      <w:r w:rsidR="009142E1">
        <w:rPr>
          <w:bCs/>
        </w:rPr>
        <w:t>k</w:t>
      </w:r>
      <w:r w:rsidR="00117E55">
        <w:rPr>
          <w:bCs/>
        </w:rPr>
        <w:t>Wh</w:t>
      </w:r>
      <w:r w:rsidR="001434E1">
        <w:rPr>
          <w:bCs/>
        </w:rPr>
        <w:t xml:space="preserve"> in this rate case</w:t>
      </w:r>
      <w:r>
        <w:rPr>
          <w:bCs/>
        </w:rPr>
        <w:t xml:space="preserve">, some rate schedules </w:t>
      </w:r>
      <w:r w:rsidR="00443638">
        <w:rPr>
          <w:bCs/>
        </w:rPr>
        <w:t xml:space="preserve">would </w:t>
      </w:r>
      <w:r>
        <w:rPr>
          <w:bCs/>
        </w:rPr>
        <w:t>experience</w:t>
      </w:r>
      <w:r w:rsidR="00443638">
        <w:rPr>
          <w:bCs/>
        </w:rPr>
        <w:t xml:space="preserve"> an</w:t>
      </w:r>
      <w:r>
        <w:rPr>
          <w:bCs/>
        </w:rPr>
        <w:t xml:space="preserve"> unreasonable overall rate</w:t>
      </w:r>
      <w:r w:rsidR="00443638">
        <w:rPr>
          <w:bCs/>
        </w:rPr>
        <w:t xml:space="preserve"> increase</w:t>
      </w:r>
      <w:r>
        <w:rPr>
          <w:bCs/>
        </w:rPr>
        <w:t>.  Therefore, as an interim step towards moving to a consistent ECCR rate per</w:t>
      </w:r>
      <w:r w:rsidR="00117E55">
        <w:rPr>
          <w:bCs/>
        </w:rPr>
        <w:t xml:space="preserve"> </w:t>
      </w:r>
      <w:r w:rsidR="009142E1">
        <w:rPr>
          <w:bCs/>
        </w:rPr>
        <w:t>k</w:t>
      </w:r>
      <w:r w:rsidR="00117E55">
        <w:rPr>
          <w:bCs/>
        </w:rPr>
        <w:t>Wh</w:t>
      </w:r>
      <w:r>
        <w:rPr>
          <w:bCs/>
        </w:rPr>
        <w:t>, Staff recommends a mitigation approach wherein the ECCR rate per</w:t>
      </w:r>
      <w:r w:rsidR="00117E55">
        <w:rPr>
          <w:bCs/>
        </w:rPr>
        <w:t xml:space="preserve"> </w:t>
      </w:r>
      <w:r w:rsidR="009142E1">
        <w:rPr>
          <w:bCs/>
        </w:rPr>
        <w:t>k</w:t>
      </w:r>
      <w:r w:rsidR="00117E55">
        <w:rPr>
          <w:bCs/>
        </w:rPr>
        <w:t>Wh</w:t>
      </w:r>
      <w:r>
        <w:rPr>
          <w:bCs/>
        </w:rPr>
        <w:t xml:space="preserve"> reflects 50% of the</w:t>
      </w:r>
      <w:r w:rsidR="00117E55">
        <w:rPr>
          <w:bCs/>
        </w:rPr>
        <w:t xml:space="preserve"> </w:t>
      </w:r>
      <w:r w:rsidR="009142E1">
        <w:rPr>
          <w:bCs/>
        </w:rPr>
        <w:t>k</w:t>
      </w:r>
      <w:r w:rsidR="00117E55">
        <w:rPr>
          <w:bCs/>
        </w:rPr>
        <w:t>Wh</w:t>
      </w:r>
      <w:r>
        <w:rPr>
          <w:bCs/>
        </w:rPr>
        <w:t xml:space="preserve"> for RTP incremental (Day Ahead and Hour Ahead), FPA, EAF, and TOU-SC.</w:t>
      </w:r>
      <w:r w:rsidR="00011AF6">
        <w:rPr>
          <w:bCs/>
        </w:rPr>
        <w:t xml:space="preserve">  The following table provides a comparison of current, Georgia Power proposed, and Staff recommended ECCR revenues by rate schedule:</w:t>
      </w:r>
    </w:p>
    <w:p w:rsidR="00FF27F4" w:rsidRDefault="00FD01F5" w:rsidP="0051340E">
      <w:pPr>
        <w:suppressLineNumbers/>
        <w:spacing w:line="480" w:lineRule="auto"/>
        <w:ind w:left="720" w:hanging="720"/>
        <w:jc w:val="center"/>
        <w:rPr>
          <w:bCs/>
        </w:rPr>
      </w:pPr>
      <w:r w:rsidRPr="00FD01F5">
        <w:rPr>
          <w:noProof/>
        </w:rPr>
        <w:lastRenderedPageBreak/>
        <w:drawing>
          <wp:inline distT="0" distB="0" distL="0" distR="0" wp14:anchorId="10F8CE2E" wp14:editId="340A6798">
            <wp:extent cx="5943600" cy="59658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5965825"/>
                    </a:xfrm>
                    <a:prstGeom prst="rect">
                      <a:avLst/>
                    </a:prstGeom>
                    <a:noFill/>
                    <a:ln>
                      <a:noFill/>
                    </a:ln>
                  </pic:spPr>
                </pic:pic>
              </a:graphicData>
            </a:graphic>
          </wp:inline>
        </w:drawing>
      </w:r>
    </w:p>
    <w:p w:rsidR="005539DD" w:rsidRPr="00A70E29" w:rsidRDefault="00011AF6" w:rsidP="00FB23D6">
      <w:pPr>
        <w:pStyle w:val="Heading2"/>
        <w:ind w:firstLine="720"/>
      </w:pPr>
      <w:bookmarkStart w:id="23" w:name="_Toc116370406"/>
      <w:r w:rsidRPr="00A70E29">
        <w:t>C.</w:t>
      </w:r>
      <w:r w:rsidRPr="00A70E29">
        <w:tab/>
      </w:r>
      <w:r w:rsidR="005539DD" w:rsidRPr="00A70E29">
        <w:t>D</w:t>
      </w:r>
      <w:r w:rsidR="004929F8" w:rsidRPr="00A70E29">
        <w:t>EMAND SIDE MANAGEMENT</w:t>
      </w:r>
      <w:r w:rsidR="00A94BF9" w:rsidRPr="00A70E29">
        <w:t xml:space="preserve"> </w:t>
      </w:r>
      <w:r w:rsidR="004929F8" w:rsidRPr="00A70E29">
        <w:t>TARIFFS</w:t>
      </w:r>
      <w:bookmarkEnd w:id="23"/>
    </w:p>
    <w:p w:rsidR="005539DD" w:rsidRPr="001372CC" w:rsidRDefault="005539DD" w:rsidP="003F682A">
      <w:pPr>
        <w:spacing w:before="480" w:line="480" w:lineRule="auto"/>
        <w:ind w:left="720" w:hanging="720"/>
        <w:jc w:val="both"/>
        <w:rPr>
          <w:b/>
          <w:bCs/>
          <w:lang w:eastAsia="x-none"/>
        </w:rPr>
      </w:pPr>
      <w:r>
        <w:rPr>
          <w:b/>
          <w:bCs/>
          <w:lang w:eastAsia="x-none"/>
        </w:rPr>
        <w:t>Q.</w:t>
      </w:r>
      <w:r>
        <w:rPr>
          <w:b/>
          <w:bCs/>
          <w:lang w:eastAsia="x-none"/>
        </w:rPr>
        <w:tab/>
        <w:t xml:space="preserve">HOW ARE GEORGIA POWER’S </w:t>
      </w:r>
      <w:r w:rsidR="000F69D3">
        <w:rPr>
          <w:b/>
          <w:bCs/>
          <w:lang w:eastAsia="x-none"/>
        </w:rPr>
        <w:t xml:space="preserve">DSM </w:t>
      </w:r>
      <w:r>
        <w:rPr>
          <w:b/>
          <w:bCs/>
          <w:lang w:eastAsia="x-none"/>
        </w:rPr>
        <w:t>COSTS RECOVERED FROM CUSTOMERS?</w:t>
      </w:r>
    </w:p>
    <w:p w:rsidR="00871F22" w:rsidRPr="001372CC" w:rsidRDefault="005539DD" w:rsidP="00C45113">
      <w:pPr>
        <w:pStyle w:val="Answers"/>
      </w:pPr>
      <w:r>
        <w:rPr>
          <w:lang w:eastAsia="x-none"/>
        </w:rPr>
        <w:lastRenderedPageBreak/>
        <w:t>A.</w:t>
      </w:r>
      <w:r>
        <w:rPr>
          <w:lang w:eastAsia="x-none"/>
        </w:rPr>
        <w:tab/>
      </w:r>
      <w:r w:rsidR="005D52A3">
        <w:rPr>
          <w:lang w:eastAsia="x-none"/>
        </w:rPr>
        <w:t xml:space="preserve">DSM costs are recovered from customers through a </w:t>
      </w:r>
      <w:r w:rsidR="00EB148F">
        <w:t xml:space="preserve">rider </w:t>
      </w:r>
      <w:r w:rsidR="005D52A3">
        <w:t>which</w:t>
      </w:r>
      <w:r w:rsidR="00077817">
        <w:t xml:space="preserve"> </w:t>
      </w:r>
      <w:r w:rsidR="00EB148F">
        <w:t xml:space="preserve">is </w:t>
      </w:r>
      <w:r w:rsidR="00077817">
        <w:t xml:space="preserve">added to the bills of </w:t>
      </w:r>
      <w:r w:rsidR="005D52A3">
        <w:t>r</w:t>
      </w:r>
      <w:r w:rsidR="00077817">
        <w:t xml:space="preserve">esidential and </w:t>
      </w:r>
      <w:r w:rsidR="005D52A3">
        <w:t>c</w:t>
      </w:r>
      <w:r w:rsidR="00077817">
        <w:t xml:space="preserve">ommercial customers to cover the costs of all demand side program activities </w:t>
      </w:r>
      <w:r w:rsidR="0063785D">
        <w:t>including the Company’s</w:t>
      </w:r>
      <w:r w:rsidR="00077817">
        <w:t xml:space="preserve"> additional sum.  </w:t>
      </w:r>
      <w:r w:rsidR="00443268">
        <w:rPr>
          <w:lang w:eastAsia="x-none"/>
        </w:rPr>
        <w:t xml:space="preserve">DSM costs are recovered based on a percentage of base rate revenues for the specific rate schedules. </w:t>
      </w:r>
      <w:r w:rsidR="00077817">
        <w:t xml:space="preserve">Each </w:t>
      </w:r>
      <w:r w:rsidR="006A0CC8">
        <w:t xml:space="preserve">customer </w:t>
      </w:r>
      <w:r w:rsidR="00077817">
        <w:t>class pays only for the program</w:t>
      </w:r>
      <w:r w:rsidR="0025057D">
        <w:t xml:space="preserve"> costs and </w:t>
      </w:r>
      <w:r w:rsidR="006A0CC8">
        <w:t xml:space="preserve">associated </w:t>
      </w:r>
      <w:r w:rsidR="0025057D">
        <w:t>additional sum</w:t>
      </w:r>
      <w:r w:rsidR="00077817">
        <w:t xml:space="preserve"> </w:t>
      </w:r>
      <w:r w:rsidR="006A0CC8">
        <w:t xml:space="preserve">for </w:t>
      </w:r>
      <w:r w:rsidR="00077817">
        <w:t xml:space="preserve">their </w:t>
      </w:r>
      <w:r w:rsidR="008C3841">
        <w:t>respective</w:t>
      </w:r>
      <w:r w:rsidR="00443268">
        <w:t xml:space="preserve"> </w:t>
      </w:r>
      <w:r w:rsidR="00077817">
        <w:t>class</w:t>
      </w:r>
      <w:r w:rsidR="00671FC4">
        <w:t>.</w:t>
      </w:r>
      <w:r w:rsidR="00077817">
        <w:t xml:space="preserve"> The DSM tariff</w:t>
      </w:r>
      <w:r w:rsidR="00443268">
        <w:t xml:space="preserve">s are </w:t>
      </w:r>
      <w:r w:rsidR="00077817">
        <w:t xml:space="preserve">updated annually to reflect the actual spending </w:t>
      </w:r>
      <w:r w:rsidR="0025057D">
        <w:t xml:space="preserve">and revenues </w:t>
      </w:r>
      <w:r w:rsidR="00077817">
        <w:t>as determined through the yearly True-Up process.</w:t>
      </w:r>
      <w:r w:rsidR="005D52A3" w:rsidRPr="005D52A3">
        <w:rPr>
          <w:lang w:eastAsia="x-none"/>
        </w:rPr>
        <w:t xml:space="preserve"> </w:t>
      </w:r>
    </w:p>
    <w:p w:rsidR="005539DD" w:rsidRPr="001372CC" w:rsidRDefault="003F682A" w:rsidP="00886456">
      <w:pPr>
        <w:spacing w:before="480" w:line="480" w:lineRule="auto"/>
        <w:ind w:left="720" w:hanging="720"/>
        <w:jc w:val="both"/>
        <w:rPr>
          <w:b/>
          <w:bCs/>
          <w:lang w:eastAsia="x-none"/>
        </w:rPr>
      </w:pPr>
      <w:r>
        <w:rPr>
          <w:b/>
          <w:bCs/>
          <w:lang w:eastAsia="x-none"/>
        </w:rPr>
        <w:t xml:space="preserve">Q. </w:t>
      </w:r>
      <w:r>
        <w:rPr>
          <w:b/>
          <w:bCs/>
          <w:lang w:eastAsia="x-none"/>
        </w:rPr>
        <w:tab/>
        <w:t xml:space="preserve">DOES STAFF </w:t>
      </w:r>
      <w:r w:rsidR="005539DD">
        <w:rPr>
          <w:b/>
          <w:bCs/>
          <w:lang w:eastAsia="x-none"/>
        </w:rPr>
        <w:t>AGREE WITH THE METHOD IN WHICH DSM COSTS ARE RECOVERED FROM RATEPAYERS?</w:t>
      </w:r>
    </w:p>
    <w:p w:rsidR="005539DD" w:rsidRDefault="003F682A" w:rsidP="005539DD">
      <w:pPr>
        <w:spacing w:line="480" w:lineRule="auto"/>
        <w:jc w:val="both"/>
        <w:rPr>
          <w:lang w:eastAsia="x-none"/>
        </w:rPr>
      </w:pPr>
      <w:r>
        <w:rPr>
          <w:lang w:eastAsia="x-none"/>
        </w:rPr>
        <w:t>A.</w:t>
      </w:r>
      <w:r>
        <w:rPr>
          <w:lang w:eastAsia="x-none"/>
        </w:rPr>
        <w:tab/>
      </w:r>
      <w:r w:rsidR="009F2E59">
        <w:rPr>
          <w:lang w:eastAsia="x-none"/>
        </w:rPr>
        <w:t xml:space="preserve">Yes.  </w:t>
      </w:r>
      <w:r>
        <w:rPr>
          <w:lang w:eastAsia="x-none"/>
        </w:rPr>
        <w:t xml:space="preserve">The </w:t>
      </w:r>
      <w:r w:rsidR="005539DD">
        <w:rPr>
          <w:lang w:eastAsia="x-none"/>
        </w:rPr>
        <w:t xml:space="preserve">structure in which the DSM costs are recovered is reasonable.  </w:t>
      </w:r>
    </w:p>
    <w:p w:rsidR="006C5DB9" w:rsidRPr="00A70E29" w:rsidRDefault="005539DD" w:rsidP="00A70E29">
      <w:pPr>
        <w:pStyle w:val="Heading2"/>
      </w:pPr>
      <w:r w:rsidRPr="00A70E29">
        <w:tab/>
      </w:r>
      <w:bookmarkStart w:id="24" w:name="_Toc116370407"/>
      <w:r w:rsidRPr="00A70E29">
        <w:t>D.</w:t>
      </w:r>
      <w:r w:rsidRPr="00A70E29">
        <w:tab/>
      </w:r>
      <w:r w:rsidR="00864CFE" w:rsidRPr="00A70E29">
        <w:t xml:space="preserve">MUNICIPAL FRANCHISE </w:t>
      </w:r>
      <w:r w:rsidR="004C38E0" w:rsidRPr="00A70E29">
        <w:t>FEE RIDER</w:t>
      </w:r>
      <w:bookmarkEnd w:id="24"/>
    </w:p>
    <w:p w:rsidR="005539DD" w:rsidRPr="0006370C" w:rsidRDefault="005539DD" w:rsidP="003F682A">
      <w:pPr>
        <w:spacing w:before="480" w:line="480" w:lineRule="auto"/>
        <w:ind w:left="720" w:hanging="720"/>
        <w:jc w:val="both"/>
        <w:rPr>
          <w:b/>
          <w:bCs/>
          <w:lang w:eastAsia="x-none"/>
        </w:rPr>
      </w:pPr>
      <w:r>
        <w:rPr>
          <w:b/>
          <w:bCs/>
          <w:lang w:eastAsia="x-none"/>
        </w:rPr>
        <w:t>Q.</w:t>
      </w:r>
      <w:r>
        <w:rPr>
          <w:b/>
          <w:bCs/>
          <w:lang w:eastAsia="x-none"/>
        </w:rPr>
        <w:tab/>
        <w:t xml:space="preserve">HOW ARE GEORGIA POWER’S </w:t>
      </w:r>
      <w:bookmarkStart w:id="25" w:name="_Hlk115901125"/>
      <w:r>
        <w:rPr>
          <w:b/>
          <w:bCs/>
          <w:lang w:eastAsia="x-none"/>
        </w:rPr>
        <w:t>MUNICIPAL FRANCHISE FEES</w:t>
      </w:r>
      <w:bookmarkEnd w:id="25"/>
      <w:r w:rsidR="00864CFE">
        <w:rPr>
          <w:b/>
          <w:bCs/>
          <w:lang w:eastAsia="x-none"/>
        </w:rPr>
        <w:t xml:space="preserve"> </w:t>
      </w:r>
      <w:r>
        <w:rPr>
          <w:b/>
          <w:bCs/>
          <w:lang w:eastAsia="x-none"/>
        </w:rPr>
        <w:t>RECOVERED FROM CUSTOMERS?</w:t>
      </w:r>
    </w:p>
    <w:p w:rsidR="005539DD" w:rsidRPr="003F682A" w:rsidRDefault="005539DD" w:rsidP="003F682A">
      <w:pPr>
        <w:spacing w:line="480" w:lineRule="auto"/>
        <w:ind w:left="720" w:hanging="720"/>
        <w:jc w:val="both"/>
        <w:rPr>
          <w:lang w:eastAsia="x-none"/>
        </w:rPr>
      </w:pPr>
      <w:r>
        <w:rPr>
          <w:lang w:eastAsia="x-none"/>
        </w:rPr>
        <w:t>A.</w:t>
      </w:r>
      <w:r>
        <w:rPr>
          <w:lang w:eastAsia="x-none"/>
        </w:rPr>
        <w:tab/>
        <w:t xml:space="preserve">The MFF rider is bifurcated between those customers located inside city limits with municipal franchise fees and those located outside city limits with municipal franchise fees.  </w:t>
      </w:r>
      <w:r w:rsidR="006A5CE1">
        <w:rPr>
          <w:lang w:eastAsia="x-none"/>
        </w:rPr>
        <w:t>These bifurcated rates are based on</w:t>
      </w:r>
      <w:r w:rsidR="00117E55">
        <w:rPr>
          <w:lang w:eastAsia="x-none"/>
        </w:rPr>
        <w:t xml:space="preserve"> </w:t>
      </w:r>
      <w:r w:rsidR="009142E1">
        <w:rPr>
          <w:lang w:eastAsia="x-none"/>
        </w:rPr>
        <w:t>k</w:t>
      </w:r>
      <w:r w:rsidR="00117E55">
        <w:rPr>
          <w:lang w:eastAsia="x-none"/>
        </w:rPr>
        <w:t>Wh</w:t>
      </w:r>
      <w:r w:rsidR="006A5CE1">
        <w:rPr>
          <w:lang w:eastAsia="x-none"/>
        </w:rPr>
        <w:t xml:space="preserve"> usage.  </w:t>
      </w:r>
    </w:p>
    <w:p w:rsidR="005539DD" w:rsidRPr="0006370C" w:rsidRDefault="005539DD" w:rsidP="003F682A">
      <w:pPr>
        <w:spacing w:before="480" w:line="480" w:lineRule="auto"/>
        <w:ind w:left="720" w:hanging="720"/>
        <w:jc w:val="both"/>
        <w:rPr>
          <w:b/>
          <w:bCs/>
          <w:lang w:eastAsia="x-none"/>
        </w:rPr>
      </w:pPr>
      <w:r>
        <w:rPr>
          <w:b/>
          <w:bCs/>
          <w:lang w:eastAsia="x-none"/>
        </w:rPr>
        <w:t>Q.</w:t>
      </w:r>
      <w:r>
        <w:rPr>
          <w:b/>
          <w:bCs/>
          <w:lang w:eastAsia="x-none"/>
        </w:rPr>
        <w:tab/>
        <w:t>DOES STAFF AGREE WITH THE METHOD IN WHICH M</w:t>
      </w:r>
      <w:r w:rsidR="006A5CE1">
        <w:rPr>
          <w:b/>
          <w:bCs/>
          <w:lang w:eastAsia="x-none"/>
        </w:rPr>
        <w:t>FF</w:t>
      </w:r>
      <w:r>
        <w:rPr>
          <w:b/>
          <w:bCs/>
          <w:lang w:eastAsia="x-none"/>
        </w:rPr>
        <w:t xml:space="preserve"> COSTS ARE RECOVERED FROM RATEPAYERS?</w:t>
      </w:r>
    </w:p>
    <w:p w:rsidR="00117E55" w:rsidRDefault="005539DD" w:rsidP="00117E55">
      <w:pPr>
        <w:spacing w:line="480" w:lineRule="auto"/>
        <w:jc w:val="both"/>
        <w:rPr>
          <w:lang w:eastAsia="x-none"/>
        </w:rPr>
      </w:pPr>
      <w:r>
        <w:rPr>
          <w:lang w:eastAsia="x-none"/>
        </w:rPr>
        <w:t>A.</w:t>
      </w:r>
      <w:r>
        <w:rPr>
          <w:lang w:eastAsia="x-none"/>
        </w:rPr>
        <w:tab/>
      </w:r>
      <w:r w:rsidR="006A5CE1">
        <w:rPr>
          <w:lang w:eastAsia="x-none"/>
        </w:rPr>
        <w:t>Yes</w:t>
      </w:r>
      <w:r w:rsidR="00864CFE">
        <w:rPr>
          <w:lang w:eastAsia="x-none"/>
        </w:rPr>
        <w:t xml:space="preserve">.  The </w:t>
      </w:r>
      <w:r>
        <w:rPr>
          <w:lang w:eastAsia="x-none"/>
        </w:rPr>
        <w:t>structure in which the M</w:t>
      </w:r>
      <w:r w:rsidR="006A5CE1">
        <w:rPr>
          <w:lang w:eastAsia="x-none"/>
        </w:rPr>
        <w:t>FF</w:t>
      </w:r>
      <w:r>
        <w:rPr>
          <w:lang w:eastAsia="x-none"/>
        </w:rPr>
        <w:t xml:space="preserve"> costs are recovered is reasonable.  </w:t>
      </w:r>
    </w:p>
    <w:p w:rsidR="008F1082" w:rsidRDefault="008F1082" w:rsidP="003F682A">
      <w:pPr>
        <w:spacing w:before="480" w:line="480" w:lineRule="auto"/>
        <w:ind w:left="720" w:hanging="720"/>
        <w:jc w:val="both"/>
        <w:rPr>
          <w:b/>
          <w:bCs/>
          <w:lang w:eastAsia="x-none"/>
        </w:rPr>
      </w:pPr>
      <w:r>
        <w:rPr>
          <w:b/>
          <w:bCs/>
          <w:lang w:eastAsia="x-none"/>
        </w:rPr>
        <w:lastRenderedPageBreak/>
        <w:t>Q.</w:t>
      </w:r>
      <w:r>
        <w:rPr>
          <w:b/>
          <w:bCs/>
          <w:lang w:eastAsia="x-none"/>
        </w:rPr>
        <w:tab/>
        <w:t>PLEASE PROVIDE A COMPARISON OF THE COMPANY’S AND STAFF’S RECOMMENDED TOTAL (“ALL-IN”) REVENUE INCREASES BY RATE SCHEDULE.</w:t>
      </w:r>
    </w:p>
    <w:p w:rsidR="00FB23D6" w:rsidRDefault="003F682A" w:rsidP="00FB23D6">
      <w:pPr>
        <w:spacing w:line="480" w:lineRule="auto"/>
        <w:ind w:left="720" w:hanging="720"/>
        <w:jc w:val="both"/>
        <w:rPr>
          <w:lang w:eastAsia="x-none"/>
        </w:rPr>
      </w:pPr>
      <w:r>
        <w:rPr>
          <w:lang w:eastAsia="x-none"/>
        </w:rPr>
        <w:t>A.</w:t>
      </w:r>
      <w:r>
        <w:rPr>
          <w:lang w:eastAsia="x-none"/>
        </w:rPr>
        <w:tab/>
        <w:t xml:space="preserve">The following table provides a comparison of Georgia Power’s and </w:t>
      </w:r>
      <w:r w:rsidR="00443638">
        <w:rPr>
          <w:lang w:eastAsia="x-none"/>
        </w:rPr>
        <w:t xml:space="preserve">Staff’s </w:t>
      </w:r>
      <w:r>
        <w:rPr>
          <w:lang w:eastAsia="x-none"/>
        </w:rPr>
        <w:t xml:space="preserve">recommended all-in revenue increases utilizing the Company’s proposed levelized </w:t>
      </w:r>
      <w:r w:rsidR="00455335">
        <w:rPr>
          <w:lang w:eastAsia="x-none"/>
        </w:rPr>
        <w:t xml:space="preserve">increase </w:t>
      </w:r>
      <w:r>
        <w:rPr>
          <w:lang w:eastAsia="x-none"/>
        </w:rPr>
        <w:t>for 2023:</w:t>
      </w:r>
      <w:r w:rsidR="00FB23D6">
        <w:rPr>
          <w:lang w:eastAsia="x-none"/>
        </w:rPr>
        <w:br w:type="page"/>
      </w:r>
    </w:p>
    <w:tbl>
      <w:tblPr>
        <w:tblW w:w="9723" w:type="dxa"/>
        <w:tblLayout w:type="fixed"/>
        <w:tblLook w:val="04A0" w:firstRow="1" w:lastRow="0" w:firstColumn="1" w:lastColumn="0" w:noHBand="0" w:noVBand="1"/>
      </w:tblPr>
      <w:tblGrid>
        <w:gridCol w:w="2160"/>
        <w:gridCol w:w="1294"/>
        <w:gridCol w:w="1223"/>
        <w:gridCol w:w="268"/>
        <w:gridCol w:w="1016"/>
        <w:gridCol w:w="266"/>
        <w:gridCol w:w="1016"/>
        <w:gridCol w:w="266"/>
        <w:gridCol w:w="961"/>
        <w:gridCol w:w="266"/>
        <w:gridCol w:w="987"/>
      </w:tblGrid>
      <w:tr w:rsidR="00FB23D6" w:rsidRPr="00E27EE9" w:rsidTr="00FB23D6">
        <w:trPr>
          <w:trHeight w:val="67"/>
        </w:trPr>
        <w:tc>
          <w:tcPr>
            <w:tcW w:w="9723" w:type="dxa"/>
            <w:gridSpan w:val="11"/>
            <w:tcBorders>
              <w:top w:val="nil"/>
              <w:left w:val="nil"/>
              <w:bottom w:val="nil"/>
              <w:right w:val="nil"/>
            </w:tcBorders>
          </w:tcPr>
          <w:p w:rsidR="00FB23D6" w:rsidRPr="00E27EE9" w:rsidRDefault="00FB23D6" w:rsidP="00FB23D6">
            <w:pPr>
              <w:jc w:val="center"/>
              <w:rPr>
                <w:sz w:val="20"/>
                <w:szCs w:val="20"/>
              </w:rPr>
            </w:pPr>
            <w:r w:rsidRPr="00E27EE9">
              <w:rPr>
                <w:sz w:val="20"/>
                <w:szCs w:val="20"/>
              </w:rPr>
              <w:lastRenderedPageBreak/>
              <w:t>TABLE 1</w:t>
            </w:r>
            <w:r>
              <w:rPr>
                <w:sz w:val="20"/>
                <w:szCs w:val="20"/>
              </w:rPr>
              <w:t>5</w:t>
            </w:r>
          </w:p>
        </w:tc>
      </w:tr>
      <w:tr w:rsidR="00FB23D6" w:rsidRPr="00E27EE9" w:rsidTr="00FB23D6">
        <w:trPr>
          <w:trHeight w:val="67"/>
        </w:trPr>
        <w:tc>
          <w:tcPr>
            <w:tcW w:w="9723" w:type="dxa"/>
            <w:gridSpan w:val="11"/>
            <w:tcBorders>
              <w:top w:val="nil"/>
              <w:left w:val="nil"/>
              <w:bottom w:val="single" w:sz="4" w:space="0" w:color="auto"/>
              <w:right w:val="nil"/>
            </w:tcBorders>
          </w:tcPr>
          <w:p w:rsidR="00FB23D6" w:rsidRPr="00E27EE9" w:rsidRDefault="00FB23D6" w:rsidP="00FB23D6">
            <w:pPr>
              <w:jc w:val="center"/>
              <w:rPr>
                <w:sz w:val="20"/>
                <w:szCs w:val="20"/>
              </w:rPr>
            </w:pPr>
            <w:r w:rsidRPr="00E27EE9">
              <w:rPr>
                <w:sz w:val="20"/>
                <w:szCs w:val="20"/>
              </w:rPr>
              <w:t xml:space="preserve">Comparison of Georgia Power &amp; Staff “All-In” Revenue Increases </w:t>
            </w:r>
          </w:p>
          <w:p w:rsidR="00FB23D6" w:rsidRPr="00E27EE9" w:rsidRDefault="00FB23D6" w:rsidP="00FB23D6">
            <w:pPr>
              <w:jc w:val="center"/>
              <w:rPr>
                <w:sz w:val="20"/>
                <w:szCs w:val="20"/>
              </w:rPr>
            </w:pPr>
            <w:r w:rsidRPr="00E27EE9">
              <w:rPr>
                <w:sz w:val="20"/>
                <w:szCs w:val="20"/>
              </w:rPr>
              <w:t>($ Thousands)</w:t>
            </w:r>
          </w:p>
        </w:tc>
      </w:tr>
      <w:tr w:rsidR="00FB23D6" w:rsidRPr="00E27EE9" w:rsidTr="00FB23D6">
        <w:trPr>
          <w:trHeight w:val="57"/>
        </w:trPr>
        <w:tc>
          <w:tcPr>
            <w:tcW w:w="2160" w:type="dxa"/>
            <w:tcBorders>
              <w:top w:val="nil"/>
              <w:left w:val="nil"/>
              <w:bottom w:val="nil"/>
              <w:right w:val="nil"/>
            </w:tcBorders>
            <w:shd w:val="clear" w:color="auto" w:fill="auto"/>
            <w:noWrap/>
            <w:vAlign w:val="center"/>
            <w:hideMark/>
          </w:tcPr>
          <w:p w:rsidR="00FB23D6" w:rsidRPr="00E27EE9" w:rsidRDefault="00FB23D6" w:rsidP="00FB23D6">
            <w:pPr>
              <w:jc w:val="center"/>
              <w:rPr>
                <w:b/>
                <w:bCs/>
                <w:i/>
                <w:iCs/>
                <w:sz w:val="20"/>
                <w:szCs w:val="20"/>
              </w:rPr>
            </w:pPr>
          </w:p>
        </w:tc>
        <w:tc>
          <w:tcPr>
            <w:tcW w:w="1294" w:type="dxa"/>
            <w:tcBorders>
              <w:top w:val="nil"/>
              <w:left w:val="nil"/>
              <w:right w:val="nil"/>
            </w:tcBorders>
          </w:tcPr>
          <w:p w:rsidR="00FB23D6" w:rsidRPr="00E27EE9" w:rsidRDefault="00FB23D6" w:rsidP="00FB23D6">
            <w:pPr>
              <w:jc w:val="center"/>
              <w:rPr>
                <w:sz w:val="20"/>
                <w:szCs w:val="20"/>
              </w:rPr>
            </w:pPr>
          </w:p>
        </w:tc>
        <w:tc>
          <w:tcPr>
            <w:tcW w:w="1491" w:type="dxa"/>
            <w:gridSpan w:val="2"/>
            <w:tcBorders>
              <w:top w:val="nil"/>
              <w:left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 </w:t>
            </w:r>
          </w:p>
        </w:tc>
        <w:tc>
          <w:tcPr>
            <w:tcW w:w="2298" w:type="dxa"/>
            <w:gridSpan w:val="3"/>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Total Increase</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2214" w:type="dxa"/>
            <w:gridSpan w:val="3"/>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Percent Increase</w:t>
            </w:r>
          </w:p>
        </w:tc>
      </w:tr>
      <w:tr w:rsidR="00FB23D6" w:rsidRPr="00E27EE9" w:rsidTr="00FB23D6">
        <w:trPr>
          <w:trHeight w:val="57"/>
        </w:trPr>
        <w:tc>
          <w:tcPr>
            <w:tcW w:w="2160" w:type="dxa"/>
            <w:tcBorders>
              <w:top w:val="nil"/>
              <w:left w:val="nil"/>
              <w:bottom w:val="nil"/>
              <w:right w:val="nil"/>
            </w:tcBorders>
            <w:shd w:val="clear" w:color="auto" w:fill="auto"/>
            <w:noWrap/>
            <w:vAlign w:val="center"/>
            <w:hideMark/>
          </w:tcPr>
          <w:p w:rsidR="00FB23D6" w:rsidRPr="00E27EE9" w:rsidRDefault="00FB23D6" w:rsidP="00FB23D6">
            <w:pPr>
              <w:jc w:val="center"/>
              <w:rPr>
                <w:sz w:val="20"/>
                <w:szCs w:val="20"/>
              </w:rPr>
            </w:pPr>
          </w:p>
        </w:tc>
        <w:tc>
          <w:tcPr>
            <w:tcW w:w="1294" w:type="dxa"/>
            <w:tcBorders>
              <w:top w:val="nil"/>
              <w:left w:val="nil"/>
              <w:bottom w:val="nil"/>
              <w:right w:val="nil"/>
            </w:tcBorders>
          </w:tcPr>
          <w:p w:rsidR="00FB23D6" w:rsidRPr="00E27EE9" w:rsidRDefault="00FB23D6" w:rsidP="00FB23D6">
            <w:pPr>
              <w:jc w:val="center"/>
              <w:rPr>
                <w:sz w:val="20"/>
                <w:szCs w:val="20"/>
              </w:rPr>
            </w:pP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Current</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GPC</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Staff</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GPC</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Staff</w:t>
            </w:r>
          </w:p>
        </w:tc>
      </w:tr>
      <w:tr w:rsidR="00FB23D6" w:rsidRPr="00E27EE9" w:rsidTr="00FB23D6">
        <w:trPr>
          <w:trHeight w:val="67"/>
        </w:trPr>
        <w:tc>
          <w:tcPr>
            <w:tcW w:w="2160" w:type="dxa"/>
            <w:tcBorders>
              <w:top w:val="nil"/>
              <w:left w:val="nil"/>
              <w:bottom w:val="single" w:sz="4" w:space="0" w:color="auto"/>
              <w:right w:val="nil"/>
            </w:tcBorders>
            <w:shd w:val="clear" w:color="auto" w:fill="auto"/>
            <w:noWrap/>
            <w:vAlign w:val="center"/>
            <w:hideMark/>
          </w:tcPr>
          <w:p w:rsidR="00FB23D6" w:rsidRPr="00E27EE9" w:rsidRDefault="00FB23D6" w:rsidP="00FB23D6">
            <w:pPr>
              <w:jc w:val="center"/>
              <w:rPr>
                <w:b/>
                <w:bCs/>
                <w:sz w:val="20"/>
                <w:szCs w:val="20"/>
              </w:rPr>
            </w:pPr>
            <w:r w:rsidRPr="00E27EE9">
              <w:rPr>
                <w:sz w:val="20"/>
                <w:szCs w:val="20"/>
              </w:rPr>
              <w:t>Rate</w:t>
            </w:r>
            <w:r w:rsidRPr="00E27EE9">
              <w:rPr>
                <w:b/>
                <w:bCs/>
                <w:sz w:val="20"/>
                <w:szCs w:val="20"/>
              </w:rPr>
              <w:t xml:space="preserve"> </w:t>
            </w:r>
            <w:r w:rsidRPr="00E27EE9">
              <w:rPr>
                <w:sz w:val="20"/>
                <w:szCs w:val="20"/>
              </w:rPr>
              <w:t>Schedule</w:t>
            </w:r>
          </w:p>
        </w:tc>
        <w:tc>
          <w:tcPr>
            <w:tcW w:w="1294" w:type="dxa"/>
            <w:tcBorders>
              <w:top w:val="nil"/>
              <w:left w:val="nil"/>
              <w:bottom w:val="single" w:sz="4" w:space="0" w:color="auto"/>
              <w:right w:val="nil"/>
            </w:tcBorders>
          </w:tcPr>
          <w:p w:rsidR="00FB23D6" w:rsidRPr="00E27EE9" w:rsidRDefault="00FB23D6" w:rsidP="00FB23D6">
            <w:pPr>
              <w:jc w:val="center"/>
              <w:rPr>
                <w:sz w:val="20"/>
                <w:szCs w:val="20"/>
              </w:rPr>
            </w:pPr>
          </w:p>
        </w:tc>
        <w:tc>
          <w:tcPr>
            <w:tcW w:w="1223"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 xml:space="preserve">Revenue  </w:t>
            </w:r>
            <w:r w:rsidRPr="00E27EE9">
              <w:rPr>
                <w:sz w:val="20"/>
                <w:szCs w:val="20"/>
                <w:vertAlign w:val="superscript"/>
              </w:rPr>
              <w:footnoteReference w:id="28"/>
            </w:r>
          </w:p>
        </w:tc>
        <w:tc>
          <w:tcPr>
            <w:tcW w:w="268"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 </w:t>
            </w:r>
          </w:p>
        </w:tc>
        <w:tc>
          <w:tcPr>
            <w:tcW w:w="101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Proposed</w:t>
            </w:r>
          </w:p>
        </w:tc>
        <w:tc>
          <w:tcPr>
            <w:tcW w:w="26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 </w:t>
            </w:r>
          </w:p>
        </w:tc>
        <w:tc>
          <w:tcPr>
            <w:tcW w:w="101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Proposed</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center"/>
              <w:rPr>
                <w:sz w:val="20"/>
                <w:szCs w:val="20"/>
              </w:rPr>
            </w:pPr>
          </w:p>
        </w:tc>
        <w:tc>
          <w:tcPr>
            <w:tcW w:w="961"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Proposed</w:t>
            </w:r>
          </w:p>
        </w:tc>
        <w:tc>
          <w:tcPr>
            <w:tcW w:w="26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 </w:t>
            </w:r>
          </w:p>
        </w:tc>
        <w:tc>
          <w:tcPr>
            <w:tcW w:w="987"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center"/>
              <w:rPr>
                <w:sz w:val="20"/>
                <w:szCs w:val="20"/>
              </w:rPr>
            </w:pPr>
            <w:r w:rsidRPr="00E27EE9">
              <w:rPr>
                <w:sz w:val="20"/>
                <w:szCs w:val="20"/>
              </w:rPr>
              <w:t>Proposed</w:t>
            </w:r>
          </w:p>
        </w:tc>
      </w:tr>
      <w:tr w:rsidR="00FB23D6" w:rsidRPr="00E27EE9" w:rsidTr="00FB23D6">
        <w:trPr>
          <w:trHeight w:val="5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R</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$3,442,399</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$389,894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$308,864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11.32%</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8.97%</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proofErr w:type="spellStart"/>
            <w:r w:rsidRPr="00E27EE9">
              <w:rPr>
                <w:sz w:val="20"/>
                <w:szCs w:val="20"/>
              </w:rPr>
              <w:t>FlatBill</w:t>
            </w:r>
            <w:proofErr w:type="spellEnd"/>
            <w:r w:rsidRPr="00E27EE9">
              <w:rPr>
                <w:sz w:val="20"/>
                <w:szCs w:val="20"/>
              </w:rPr>
              <w:t xml:space="preserve"> Risk Premium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$37,343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$3,855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$3,855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10.32%</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10.32%</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TOU-REO</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$11,106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$1,253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$1,032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11.28%</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9.29%</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TOU-PEV</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$12,936 </w:t>
            </w:r>
          </w:p>
        </w:tc>
        <w:tc>
          <w:tcPr>
            <w:tcW w:w="268"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$1,450 </w:t>
            </w:r>
          </w:p>
        </w:tc>
        <w:tc>
          <w:tcPr>
            <w:tcW w:w="26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$1,263 </w:t>
            </w:r>
          </w:p>
        </w:tc>
        <w:tc>
          <w:tcPr>
            <w:tcW w:w="26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11.21%</w:t>
            </w:r>
          </w:p>
        </w:tc>
        <w:tc>
          <w:tcPr>
            <w:tcW w:w="26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9.77%</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PPS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$150,738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$17,414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$12,946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11.55%</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8.59%</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PBD Risk Prem.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$882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11.30%</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11.30%</w:t>
            </w:r>
          </w:p>
        </w:tc>
      </w:tr>
      <w:tr w:rsidR="00FB23D6" w:rsidRPr="00E27EE9" w:rsidTr="00FB23D6">
        <w:trPr>
          <w:trHeight w:val="260"/>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TOU-RD</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DOM</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$113,865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$13,628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$6,855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11.97%</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6.02%</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GS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$274,013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$34,771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$17,681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12.69%</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6.45%</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proofErr w:type="spellStart"/>
            <w:r w:rsidRPr="00E27EE9">
              <w:rPr>
                <w:sz w:val="20"/>
                <w:szCs w:val="20"/>
              </w:rPr>
              <w:t>FlatBill</w:t>
            </w:r>
            <w:proofErr w:type="spellEnd"/>
            <w:r w:rsidRPr="00E27EE9">
              <w:rPr>
                <w:sz w:val="20"/>
                <w:szCs w:val="20"/>
              </w:rPr>
              <w:t xml:space="preserve"> GS Risk Prem.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$588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10.71%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10.71%</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OGS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$1,966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$251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12.76%</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1.21%</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PLS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$422,630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$49,368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$28,368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11.68%</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6.71%</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TOU-EO</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$77,689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$8,930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$5,446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11.49%</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7.01%</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UD</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SM. BUS</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$17,370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$2,178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$1,056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12.54%</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6.08%</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PLM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MED.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$1,191,490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$130,513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$104,055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10.95%</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8.73%</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TOU-GSD</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MED.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$53,435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$5,758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$3,833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10.78%</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7.17%</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TOU-FD</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MED. BUS.</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$69,698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$7,363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$7,981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10.56%</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11.45%</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PLL</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LG.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$233,971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$23,787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$24,494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10.17%</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10.47%</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TOU-HLF</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LG. BUS.</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$5,272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$507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$736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9.61%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13.95%</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TOU-RN</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LG. BUS.</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$80,547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$7,118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$11,926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8.84%</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14.81%</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APS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AGRIC.</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$5,198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$463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$692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8.91%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13.31%</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IOP</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AGRIC.</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$4,938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$580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$408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11.74%</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8.27%</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SAS-ND</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AGRIC.</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$211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11.59%</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10.00%</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SAS</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AGRIC.</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$2,606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$261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$368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10.00%</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14.13%</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TOU-FS</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AGRIC.</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$6,984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$769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$716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11.01%</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10.26%</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G</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GOV’T</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$9,358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$920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$1,244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9.83%</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13.29%</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SCH</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GOV’T</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$20,671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$2,378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$1,236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11.51%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5.98%</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SLM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GOV’T</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$141,858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$13,743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$20,502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9.69%</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14.45%</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TC-M</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GOV’T</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$293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10.60%</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12.60%</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 xml:space="preserve">TC-U </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GOV’T</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$2,007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$128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$473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6.36%</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23.58%</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EOL</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LIGHTING</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$33,721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$3,441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$3,975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10.21%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11.79%</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OLG</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LIGHTING</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$28,801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$3,533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$1,742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12.27%</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6.05%</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OLNG</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LIGHTING</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$31,202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$3,970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$1,518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12.72%</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4.87%</w:t>
            </w:r>
          </w:p>
        </w:tc>
      </w:tr>
      <w:tr w:rsidR="00FB23D6" w:rsidRPr="00E27EE9" w:rsidTr="00FB23D6">
        <w:trPr>
          <w:trHeight w:val="67"/>
        </w:trPr>
        <w:tc>
          <w:tcPr>
            <w:tcW w:w="2160" w:type="dxa"/>
            <w:tcBorders>
              <w:top w:val="nil"/>
              <w:left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RLG</w:t>
            </w:r>
          </w:p>
        </w:tc>
        <w:tc>
          <w:tcPr>
            <w:tcW w:w="1294" w:type="dxa"/>
            <w:tcBorders>
              <w:top w:val="nil"/>
              <w:left w:val="nil"/>
              <w:right w:val="nil"/>
            </w:tcBorders>
          </w:tcPr>
          <w:p w:rsidR="00FB23D6" w:rsidRPr="00E27EE9" w:rsidRDefault="00FB23D6" w:rsidP="00FB23D6">
            <w:pPr>
              <w:rPr>
                <w:sz w:val="20"/>
                <w:szCs w:val="20"/>
              </w:rPr>
            </w:pPr>
            <w:r w:rsidRPr="00E27EE9">
              <w:rPr>
                <w:sz w:val="20"/>
                <w:szCs w:val="20"/>
              </w:rPr>
              <w:t>LIGHTING</w:t>
            </w:r>
          </w:p>
        </w:tc>
        <w:tc>
          <w:tcPr>
            <w:tcW w:w="1223"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$48,811 </w:t>
            </w:r>
          </w:p>
        </w:tc>
        <w:tc>
          <w:tcPr>
            <w:tcW w:w="268"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$6,658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$1,082 </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13.64%</w:t>
            </w:r>
          </w:p>
        </w:tc>
        <w:tc>
          <w:tcPr>
            <w:tcW w:w="266" w:type="dxa"/>
            <w:tcBorders>
              <w:top w:val="nil"/>
              <w:left w:val="nil"/>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2.22%</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FPA</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$156,614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$13,533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$19,892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8.64%</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12.70%</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RTP-DA</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$901,730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$66,016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$124,587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7.32%</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13.82%</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RTP-HA</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$740,579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$34,162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$127,083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4.61%</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17.16%</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TOU-SC</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$14,471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$1,165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$1,407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8.05%</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9.72%</w:t>
            </w:r>
          </w:p>
        </w:tc>
      </w:tr>
      <w:tr w:rsidR="00FB23D6" w:rsidRPr="00E27EE9" w:rsidTr="00FB23D6">
        <w:trPr>
          <w:trHeight w:val="6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sz w:val="20"/>
                <w:szCs w:val="20"/>
              </w:rPr>
            </w:pPr>
            <w:r w:rsidRPr="00E27EE9">
              <w:rPr>
                <w:sz w:val="20"/>
                <w:szCs w:val="20"/>
              </w:rPr>
              <w:t>TOU-SC Fixed</w:t>
            </w:r>
          </w:p>
        </w:tc>
        <w:tc>
          <w:tcPr>
            <w:tcW w:w="1294" w:type="dxa"/>
            <w:tcBorders>
              <w:top w:val="nil"/>
              <w:left w:val="nil"/>
              <w:bottom w:val="nil"/>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$7,056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($17)</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$1,037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-0.24%</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14.69%</w:t>
            </w:r>
          </w:p>
        </w:tc>
      </w:tr>
      <w:tr w:rsidR="00FB23D6" w:rsidRPr="00E27EE9" w:rsidTr="00FB23D6">
        <w:trPr>
          <w:trHeight w:val="67"/>
        </w:trPr>
        <w:tc>
          <w:tcPr>
            <w:tcW w:w="2160" w:type="dxa"/>
            <w:tcBorders>
              <w:top w:val="nil"/>
              <w:left w:val="nil"/>
              <w:bottom w:val="single" w:sz="4" w:space="0" w:color="auto"/>
              <w:right w:val="nil"/>
            </w:tcBorders>
            <w:shd w:val="clear" w:color="auto" w:fill="auto"/>
            <w:noWrap/>
            <w:vAlign w:val="center"/>
            <w:hideMark/>
          </w:tcPr>
          <w:p w:rsidR="00FB23D6" w:rsidRPr="00E27EE9" w:rsidRDefault="00FB23D6" w:rsidP="00FB23D6">
            <w:pPr>
              <w:rPr>
                <w:sz w:val="20"/>
                <w:szCs w:val="20"/>
              </w:rPr>
            </w:pPr>
            <w:r w:rsidRPr="00E27EE9">
              <w:rPr>
                <w:sz w:val="20"/>
                <w:szCs w:val="20"/>
              </w:rPr>
              <w:t>EAF</w:t>
            </w:r>
          </w:p>
        </w:tc>
        <w:tc>
          <w:tcPr>
            <w:tcW w:w="1294" w:type="dxa"/>
            <w:tcBorders>
              <w:top w:val="nil"/>
              <w:left w:val="nil"/>
              <w:bottom w:val="single" w:sz="4" w:space="0" w:color="auto"/>
              <w:right w:val="nil"/>
            </w:tcBorders>
          </w:tcPr>
          <w:p w:rsidR="00FB23D6" w:rsidRPr="00E27EE9" w:rsidRDefault="00FB23D6" w:rsidP="00FB23D6">
            <w:pPr>
              <w:rPr>
                <w:sz w:val="20"/>
                <w:szCs w:val="20"/>
              </w:rPr>
            </w:pPr>
            <w:r w:rsidRPr="00E27EE9">
              <w:rPr>
                <w:sz w:val="20"/>
                <w:szCs w:val="20"/>
              </w:rPr>
              <w:t>MARGINAL</w:t>
            </w:r>
          </w:p>
        </w:tc>
        <w:tc>
          <w:tcPr>
            <w:tcW w:w="1223"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$17,177 </w:t>
            </w:r>
          </w:p>
        </w:tc>
        <w:tc>
          <w:tcPr>
            <w:tcW w:w="268" w:type="dxa"/>
            <w:tcBorders>
              <w:top w:val="nil"/>
              <w:left w:val="nil"/>
              <w:bottom w:val="single" w:sz="4" w:space="0" w:color="auto"/>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$1,239 </w:t>
            </w:r>
          </w:p>
        </w:tc>
        <w:tc>
          <w:tcPr>
            <w:tcW w:w="266" w:type="dxa"/>
            <w:tcBorders>
              <w:top w:val="nil"/>
              <w:left w:val="nil"/>
              <w:bottom w:val="single" w:sz="4" w:space="0" w:color="auto"/>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1016"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$2,594 </w:t>
            </w:r>
          </w:p>
        </w:tc>
        <w:tc>
          <w:tcPr>
            <w:tcW w:w="266" w:type="dxa"/>
            <w:tcBorders>
              <w:top w:val="nil"/>
              <w:left w:val="nil"/>
              <w:bottom w:val="single" w:sz="4" w:space="0" w:color="auto"/>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61"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7.21%</w:t>
            </w:r>
          </w:p>
        </w:tc>
        <w:tc>
          <w:tcPr>
            <w:tcW w:w="266" w:type="dxa"/>
            <w:tcBorders>
              <w:top w:val="nil"/>
              <w:left w:val="nil"/>
              <w:bottom w:val="single" w:sz="4" w:space="0" w:color="auto"/>
              <w:right w:val="nil"/>
            </w:tcBorders>
            <w:shd w:val="clear" w:color="auto" w:fill="auto"/>
            <w:noWrap/>
            <w:vAlign w:val="bottom"/>
            <w:hideMark/>
          </w:tcPr>
          <w:p w:rsidR="00FB23D6" w:rsidRPr="00E27EE9" w:rsidRDefault="00FB23D6" w:rsidP="00FB23D6">
            <w:pPr>
              <w:rPr>
                <w:sz w:val="20"/>
                <w:szCs w:val="20"/>
              </w:rPr>
            </w:pPr>
            <w:r w:rsidRPr="00E27EE9">
              <w:rPr>
                <w:sz w:val="20"/>
                <w:szCs w:val="20"/>
              </w:rPr>
              <w:t> </w:t>
            </w:r>
          </w:p>
        </w:tc>
        <w:tc>
          <w:tcPr>
            <w:tcW w:w="987" w:type="dxa"/>
            <w:tcBorders>
              <w:top w:val="nil"/>
              <w:left w:val="nil"/>
              <w:bottom w:val="single" w:sz="4" w:space="0" w:color="auto"/>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15.10%</w:t>
            </w:r>
          </w:p>
        </w:tc>
      </w:tr>
      <w:tr w:rsidR="00FB23D6" w:rsidRPr="00E27EE9" w:rsidTr="00FB23D6">
        <w:trPr>
          <w:trHeight w:val="57"/>
        </w:trPr>
        <w:tc>
          <w:tcPr>
            <w:tcW w:w="2160" w:type="dxa"/>
            <w:tcBorders>
              <w:top w:val="nil"/>
              <w:left w:val="nil"/>
              <w:bottom w:val="nil"/>
              <w:right w:val="nil"/>
            </w:tcBorders>
            <w:shd w:val="clear" w:color="auto" w:fill="auto"/>
            <w:noWrap/>
            <w:vAlign w:val="center"/>
            <w:hideMark/>
          </w:tcPr>
          <w:p w:rsidR="00FB23D6" w:rsidRPr="00E27EE9" w:rsidRDefault="00FB23D6" w:rsidP="00FB23D6">
            <w:pPr>
              <w:rPr>
                <w:b/>
                <w:bCs/>
                <w:sz w:val="20"/>
                <w:szCs w:val="20"/>
              </w:rPr>
            </w:pPr>
            <w:r w:rsidRPr="00E27EE9">
              <w:rPr>
                <w:b/>
                <w:bCs/>
                <w:sz w:val="20"/>
                <w:szCs w:val="20"/>
              </w:rPr>
              <w:t>TOTAL</w:t>
            </w:r>
          </w:p>
        </w:tc>
        <w:tc>
          <w:tcPr>
            <w:tcW w:w="1294" w:type="dxa"/>
            <w:tcBorders>
              <w:top w:val="nil"/>
              <w:left w:val="nil"/>
              <w:bottom w:val="nil"/>
              <w:right w:val="nil"/>
            </w:tcBorders>
          </w:tcPr>
          <w:p w:rsidR="00FB23D6" w:rsidRPr="00E27EE9" w:rsidRDefault="00FB23D6" w:rsidP="00FB23D6">
            <w:pPr>
              <w:jc w:val="right"/>
              <w:rPr>
                <w:sz w:val="20"/>
                <w:szCs w:val="20"/>
              </w:rPr>
            </w:pPr>
          </w:p>
        </w:tc>
        <w:tc>
          <w:tcPr>
            <w:tcW w:w="1223"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$8,372,625 </w:t>
            </w:r>
          </w:p>
        </w:tc>
        <w:tc>
          <w:tcPr>
            <w:tcW w:w="268"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$851,195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101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 xml:space="preserve">$851,195 </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61"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10.17%</w:t>
            </w:r>
          </w:p>
        </w:tc>
        <w:tc>
          <w:tcPr>
            <w:tcW w:w="266"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p>
        </w:tc>
        <w:tc>
          <w:tcPr>
            <w:tcW w:w="987" w:type="dxa"/>
            <w:tcBorders>
              <w:top w:val="nil"/>
              <w:left w:val="nil"/>
              <w:bottom w:val="nil"/>
              <w:right w:val="nil"/>
            </w:tcBorders>
            <w:shd w:val="clear" w:color="auto" w:fill="auto"/>
            <w:noWrap/>
            <w:vAlign w:val="bottom"/>
            <w:hideMark/>
          </w:tcPr>
          <w:p w:rsidR="00FB23D6" w:rsidRPr="00E27EE9" w:rsidRDefault="00FB23D6" w:rsidP="00FB23D6">
            <w:pPr>
              <w:jc w:val="right"/>
              <w:rPr>
                <w:sz w:val="20"/>
                <w:szCs w:val="20"/>
              </w:rPr>
            </w:pPr>
            <w:r w:rsidRPr="00E27EE9">
              <w:rPr>
                <w:sz w:val="20"/>
                <w:szCs w:val="20"/>
              </w:rPr>
              <w:t>10.17%</w:t>
            </w:r>
          </w:p>
        </w:tc>
      </w:tr>
    </w:tbl>
    <w:p w:rsidR="00067011" w:rsidRDefault="00F85CF6" w:rsidP="00871F22">
      <w:pPr>
        <w:pStyle w:val="Heading1"/>
      </w:pPr>
      <w:bookmarkStart w:id="26" w:name="_Toc116370408"/>
      <w:r>
        <w:lastRenderedPageBreak/>
        <w:t>I</w:t>
      </w:r>
      <w:r w:rsidR="00871F22">
        <w:rPr>
          <w:lang w:val="en-US"/>
        </w:rPr>
        <w:t>V</w:t>
      </w:r>
      <w:r w:rsidR="00067011">
        <w:t>.</w:t>
      </w:r>
      <w:r w:rsidR="00067011">
        <w:tab/>
      </w:r>
      <w:r w:rsidR="006A056D">
        <w:t>RATE</w:t>
      </w:r>
      <w:r w:rsidR="00067011">
        <w:t xml:space="preserve"> DESIGN </w:t>
      </w:r>
      <w:r w:rsidR="006A056D">
        <w:t xml:space="preserve">AND OTHER TARIFF </w:t>
      </w:r>
      <w:r w:rsidR="00067011">
        <w:t>ISSUES</w:t>
      </w:r>
      <w:bookmarkEnd w:id="26"/>
    </w:p>
    <w:p w:rsidR="00067011" w:rsidRPr="00D24841" w:rsidRDefault="00A70E29" w:rsidP="00CE0CFB">
      <w:pPr>
        <w:pStyle w:val="Heading2"/>
        <w:ind w:firstLine="720"/>
      </w:pPr>
      <w:bookmarkStart w:id="27" w:name="_Toc116370409"/>
      <w:r>
        <w:t>A.</w:t>
      </w:r>
      <w:r>
        <w:tab/>
      </w:r>
      <w:r w:rsidR="00D355B1" w:rsidRPr="00640D72">
        <w:t>Proposed Changes to Existing Tariffs</w:t>
      </w:r>
      <w:bookmarkEnd w:id="27"/>
    </w:p>
    <w:p w:rsidR="00AA36ED" w:rsidRDefault="006C0F41" w:rsidP="00D24841">
      <w:pPr>
        <w:pStyle w:val="Questions"/>
      </w:pPr>
      <w:r>
        <w:t>Q.</w:t>
      </w:r>
      <w:r>
        <w:tab/>
      </w:r>
      <w:r w:rsidR="00AA36ED">
        <w:t>D</w:t>
      </w:r>
      <w:r w:rsidR="00FA6DAE">
        <w:t>OES</w:t>
      </w:r>
      <w:r w:rsidR="00AA36ED">
        <w:t xml:space="preserve"> GEORGIA POWER </w:t>
      </w:r>
      <w:r w:rsidR="00A90AD2">
        <w:t xml:space="preserve">PROPOSE </w:t>
      </w:r>
      <w:r w:rsidR="00AA36ED">
        <w:t>INCREASE</w:t>
      </w:r>
      <w:r w:rsidR="00FA6DAE">
        <w:t>S</w:t>
      </w:r>
      <w:r w:rsidR="00AA36ED">
        <w:t xml:space="preserve"> TO THE RESIDENTIAL </w:t>
      </w:r>
      <w:r w:rsidR="00FA6DAE">
        <w:t xml:space="preserve">AND SMALL BUSINESS </w:t>
      </w:r>
      <w:r w:rsidR="00AA36ED">
        <w:t>BASIC SERVICE (CUSTOMER) CHARGE</w:t>
      </w:r>
      <w:r w:rsidR="00FA6DAE">
        <w:t>S</w:t>
      </w:r>
      <w:r w:rsidR="00AA36ED">
        <w:t>?</w:t>
      </w:r>
    </w:p>
    <w:p w:rsidR="00EC336B" w:rsidRDefault="00AA36ED" w:rsidP="004717AD">
      <w:pPr>
        <w:pStyle w:val="Answers"/>
      </w:pPr>
      <w:r>
        <w:t>A.</w:t>
      </w:r>
      <w:r>
        <w:tab/>
        <w:t xml:space="preserve">Yes.  </w:t>
      </w:r>
      <w:r w:rsidR="007F703B">
        <w:t>Except for</w:t>
      </w:r>
      <w:r w:rsidR="00FA6DAE">
        <w:t xml:space="preserve"> one Small Business rate schedule (TOU-EO),</w:t>
      </w:r>
      <w:r w:rsidR="00FA6DAE">
        <w:rPr>
          <w:rStyle w:val="FootnoteReference"/>
        </w:rPr>
        <w:footnoteReference w:id="29"/>
      </w:r>
      <w:r w:rsidR="00FA6DAE">
        <w:t xml:space="preserve"> t</w:t>
      </w:r>
      <w:r w:rsidR="00A90AD2">
        <w:t>he Company propose</w:t>
      </w:r>
      <w:r w:rsidR="00FA6DAE">
        <w:t>s</w:t>
      </w:r>
      <w:r w:rsidR="00A90AD2">
        <w:t xml:space="preserve"> </w:t>
      </w:r>
      <w:r w:rsidR="00FA6DAE">
        <w:t xml:space="preserve">increases to all </w:t>
      </w:r>
      <w:r w:rsidR="00AB593D">
        <w:t>r</w:t>
      </w:r>
      <w:r w:rsidR="00FA6DAE">
        <w:t xml:space="preserve">esidential and </w:t>
      </w:r>
      <w:r w:rsidR="00AB593D">
        <w:t>s</w:t>
      </w:r>
      <w:r w:rsidR="00FA6DAE">
        <w:t xml:space="preserve">mall </w:t>
      </w:r>
      <w:r w:rsidR="00AB593D">
        <w:t>b</w:t>
      </w:r>
      <w:r w:rsidR="00FA6DAE">
        <w:t xml:space="preserve">usiness basic service charges.  The following table provides Georgia Power’s </w:t>
      </w:r>
      <w:r w:rsidR="00BD2DB0">
        <w:t>current</w:t>
      </w:r>
      <w:r w:rsidR="00FA6DAE">
        <w:t xml:space="preserve"> and proposed basic service charges based on its requested $739 million base rate increase:</w:t>
      </w:r>
    </w:p>
    <w:tbl>
      <w:tblPr>
        <w:tblW w:w="8965" w:type="dxa"/>
        <w:tblLook w:val="04A0" w:firstRow="1" w:lastRow="0" w:firstColumn="1" w:lastColumn="0" w:noHBand="0" w:noVBand="1"/>
      </w:tblPr>
      <w:tblGrid>
        <w:gridCol w:w="2880"/>
        <w:gridCol w:w="266"/>
        <w:gridCol w:w="872"/>
        <w:gridCol w:w="923"/>
        <w:gridCol w:w="266"/>
        <w:gridCol w:w="872"/>
        <w:gridCol w:w="923"/>
        <w:gridCol w:w="266"/>
        <w:gridCol w:w="723"/>
        <w:gridCol w:w="974"/>
      </w:tblGrid>
      <w:tr w:rsidR="00FA6DAE" w:rsidRPr="00FA6DAE" w:rsidTr="00254806">
        <w:trPr>
          <w:trHeight w:val="60"/>
        </w:trPr>
        <w:tc>
          <w:tcPr>
            <w:tcW w:w="8965" w:type="dxa"/>
            <w:gridSpan w:val="10"/>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 xml:space="preserve">TABLE </w:t>
            </w:r>
            <w:r w:rsidR="00703EBD">
              <w:rPr>
                <w:color w:val="000000"/>
                <w:sz w:val="20"/>
                <w:szCs w:val="20"/>
              </w:rPr>
              <w:t>1</w:t>
            </w:r>
            <w:r w:rsidR="00F525E4">
              <w:rPr>
                <w:color w:val="000000"/>
                <w:sz w:val="20"/>
                <w:szCs w:val="20"/>
              </w:rPr>
              <w:t>6</w:t>
            </w:r>
          </w:p>
        </w:tc>
      </w:tr>
      <w:tr w:rsidR="00FA6DAE" w:rsidRPr="00FA6DAE" w:rsidTr="00254806">
        <w:trPr>
          <w:trHeight w:val="60"/>
        </w:trPr>
        <w:tc>
          <w:tcPr>
            <w:tcW w:w="8965" w:type="dxa"/>
            <w:gridSpan w:val="10"/>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Pr>
                <w:color w:val="000000"/>
                <w:sz w:val="20"/>
                <w:szCs w:val="20"/>
              </w:rPr>
              <w:t>Georgia Power Current and Proposed Basic Service Charges</w:t>
            </w:r>
          </w:p>
        </w:tc>
      </w:tr>
      <w:tr w:rsidR="00FA6DAE" w:rsidRPr="00FA6DAE" w:rsidTr="00254806">
        <w:trPr>
          <w:trHeight w:val="5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1795" w:type="dxa"/>
            <w:gridSpan w:val="2"/>
            <w:tcBorders>
              <w:top w:val="nil"/>
              <w:left w:val="nil"/>
              <w:bottom w:val="single" w:sz="4" w:space="0" w:color="auto"/>
              <w:right w:val="nil"/>
            </w:tcBorders>
            <w:shd w:val="clear" w:color="auto" w:fill="auto"/>
            <w:noWrap/>
            <w:vAlign w:val="bottom"/>
            <w:hideMark/>
          </w:tcPr>
          <w:p w:rsidR="00FA6DAE" w:rsidRPr="00B5295A" w:rsidRDefault="004B52DE" w:rsidP="00254806">
            <w:pPr>
              <w:jc w:val="center"/>
              <w:rPr>
                <w:color w:val="000000"/>
                <w:sz w:val="20"/>
                <w:szCs w:val="20"/>
              </w:rPr>
            </w:pPr>
            <w:r>
              <w:rPr>
                <w:color w:val="000000"/>
                <w:sz w:val="20"/>
                <w:szCs w:val="20"/>
              </w:rPr>
              <w:t>Current</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p>
        </w:tc>
        <w:tc>
          <w:tcPr>
            <w:tcW w:w="1795" w:type="dxa"/>
            <w:gridSpan w:val="2"/>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Proposed</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p>
        </w:tc>
        <w:tc>
          <w:tcPr>
            <w:tcW w:w="1697" w:type="dxa"/>
            <w:gridSpan w:val="2"/>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Monthly Increase</w:t>
            </w:r>
          </w:p>
        </w:tc>
      </w:tr>
      <w:tr w:rsidR="00FA6DAE" w:rsidRPr="00FA6DAE" w:rsidTr="00254806">
        <w:trPr>
          <w:trHeight w:val="50"/>
        </w:trPr>
        <w:tc>
          <w:tcPr>
            <w:tcW w:w="2880" w:type="dxa"/>
            <w:tcBorders>
              <w:top w:val="nil"/>
              <w:left w:val="nil"/>
              <w:bottom w:val="single" w:sz="4" w:space="0" w:color="auto"/>
              <w:right w:val="nil"/>
            </w:tcBorders>
            <w:shd w:val="clear" w:color="auto" w:fill="auto"/>
            <w:noWrap/>
            <w:vAlign w:val="bottom"/>
            <w:hideMark/>
          </w:tcPr>
          <w:p w:rsidR="00FA6DAE" w:rsidRPr="00B5295A" w:rsidRDefault="002E1AAD" w:rsidP="00254806">
            <w:pPr>
              <w:jc w:val="center"/>
              <w:rPr>
                <w:color w:val="000000"/>
                <w:sz w:val="20"/>
                <w:szCs w:val="20"/>
              </w:rPr>
            </w:pPr>
            <w:r>
              <w:rPr>
                <w:color w:val="000000"/>
                <w:sz w:val="20"/>
                <w:szCs w:val="20"/>
              </w:rPr>
              <w:t>Tariff</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p>
        </w:tc>
        <w:tc>
          <w:tcPr>
            <w:tcW w:w="872"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 xml:space="preserve">Daily </w:t>
            </w:r>
          </w:p>
        </w:tc>
        <w:tc>
          <w:tcPr>
            <w:tcW w:w="923"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Monthly</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p>
        </w:tc>
        <w:tc>
          <w:tcPr>
            <w:tcW w:w="872"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 xml:space="preserve">Daily </w:t>
            </w:r>
          </w:p>
        </w:tc>
        <w:tc>
          <w:tcPr>
            <w:tcW w:w="923"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Monthly</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p>
        </w:tc>
        <w:tc>
          <w:tcPr>
            <w:tcW w:w="723"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 xml:space="preserve"> $</w:t>
            </w:r>
          </w:p>
        </w:tc>
        <w:tc>
          <w:tcPr>
            <w:tcW w:w="974" w:type="dxa"/>
            <w:tcBorders>
              <w:top w:val="nil"/>
              <w:left w:val="nil"/>
              <w:bottom w:val="single" w:sz="4" w:space="0" w:color="auto"/>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 xml:space="preserve"> %</w:t>
            </w:r>
          </w:p>
        </w:tc>
      </w:tr>
      <w:tr w:rsidR="00FA6DAE" w:rsidRPr="00FA6DAE" w:rsidTr="00254806">
        <w:trPr>
          <w:trHeight w:val="5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u w:val="single"/>
              </w:rPr>
            </w:pPr>
            <w:r w:rsidRPr="00B5295A">
              <w:rPr>
                <w:color w:val="000000"/>
                <w:sz w:val="20"/>
                <w:szCs w:val="20"/>
                <w:u w:val="single"/>
              </w:rPr>
              <w:t>Residential</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u w:val="single"/>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jc w:val="cente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jc w:val="center"/>
              <w:rPr>
                <w:sz w:val="20"/>
                <w:szCs w:val="20"/>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jc w:val="cente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jc w:val="center"/>
              <w:rPr>
                <w:sz w:val="20"/>
                <w:szCs w:val="20"/>
              </w:rPr>
            </w:pPr>
          </w:p>
        </w:tc>
        <w:tc>
          <w:tcPr>
            <w:tcW w:w="7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74" w:type="dxa"/>
            <w:tcBorders>
              <w:top w:val="nil"/>
              <w:left w:val="nil"/>
              <w:bottom w:val="nil"/>
              <w:right w:val="nil"/>
            </w:tcBorders>
            <w:shd w:val="clear" w:color="auto" w:fill="auto"/>
            <w:noWrap/>
            <w:vAlign w:val="bottom"/>
            <w:hideMark/>
          </w:tcPr>
          <w:p w:rsidR="00FA6DAE" w:rsidRPr="00FA6DAE" w:rsidRDefault="00FA6DAE" w:rsidP="00254806">
            <w:pPr>
              <w:jc w:val="center"/>
              <w:rPr>
                <w:sz w:val="20"/>
                <w:szCs w:val="20"/>
              </w:rPr>
            </w:pP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R, Flat, TOU-REO, TOU-RD,</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923"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266"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923"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266"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c>
          <w:tcPr>
            <w:tcW w:w="974" w:type="dxa"/>
            <w:tcBorders>
              <w:top w:val="nil"/>
              <w:left w:val="nil"/>
              <w:bottom w:val="nil"/>
              <w:right w:val="nil"/>
            </w:tcBorders>
            <w:shd w:val="clear" w:color="auto" w:fill="auto"/>
            <w:noWrap/>
            <w:vAlign w:val="bottom"/>
          </w:tcPr>
          <w:p w:rsidR="00FA6DAE" w:rsidRPr="00B5295A" w:rsidRDefault="00FA6DAE" w:rsidP="00254806">
            <w:pPr>
              <w:jc w:val="right"/>
              <w:rPr>
                <w:color w:val="000000"/>
                <w:sz w:val="20"/>
                <w:szCs w:val="20"/>
              </w:rPr>
            </w:pPr>
          </w:p>
        </w:tc>
      </w:tr>
      <w:tr w:rsidR="00FA6DAE" w:rsidRPr="00FA6DAE" w:rsidTr="00254806">
        <w:trPr>
          <w:trHeight w:val="60"/>
        </w:trPr>
        <w:tc>
          <w:tcPr>
            <w:tcW w:w="2880" w:type="dxa"/>
            <w:tcBorders>
              <w:top w:val="nil"/>
              <w:left w:val="nil"/>
              <w:bottom w:val="nil"/>
              <w:right w:val="nil"/>
            </w:tcBorders>
            <w:shd w:val="clear" w:color="auto" w:fill="auto"/>
            <w:noWrap/>
            <w:vAlign w:val="bottom"/>
          </w:tcPr>
          <w:p w:rsidR="00FA6DAE" w:rsidRPr="00FA6DAE" w:rsidRDefault="00FA6DAE" w:rsidP="00254806">
            <w:pPr>
              <w:rPr>
                <w:color w:val="000000"/>
                <w:sz w:val="20"/>
                <w:szCs w:val="20"/>
              </w:rPr>
            </w:pPr>
            <w:r>
              <w:rPr>
                <w:color w:val="000000"/>
                <w:sz w:val="20"/>
                <w:szCs w:val="20"/>
              </w:rPr>
              <w:t xml:space="preserve">   &amp; TOU-PEV</w:t>
            </w:r>
          </w:p>
        </w:tc>
        <w:tc>
          <w:tcPr>
            <w:tcW w:w="266" w:type="dxa"/>
            <w:tcBorders>
              <w:top w:val="nil"/>
              <w:left w:val="nil"/>
              <w:bottom w:val="nil"/>
              <w:right w:val="nil"/>
            </w:tcBorders>
            <w:shd w:val="clear" w:color="auto" w:fill="auto"/>
            <w:noWrap/>
            <w:vAlign w:val="bottom"/>
          </w:tcPr>
          <w:p w:rsidR="00FA6DAE" w:rsidRPr="00FA6DAE"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$0.4603</w:t>
            </w:r>
          </w:p>
        </w:tc>
        <w:tc>
          <w:tcPr>
            <w:tcW w:w="923"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$14.00</w:t>
            </w:r>
          </w:p>
        </w:tc>
        <w:tc>
          <w:tcPr>
            <w:tcW w:w="266"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$0.5350</w:t>
            </w:r>
          </w:p>
        </w:tc>
        <w:tc>
          <w:tcPr>
            <w:tcW w:w="923"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$16.27</w:t>
            </w:r>
          </w:p>
        </w:tc>
        <w:tc>
          <w:tcPr>
            <w:tcW w:w="266"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$2.27</w:t>
            </w:r>
          </w:p>
        </w:tc>
        <w:tc>
          <w:tcPr>
            <w:tcW w:w="974"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r w:rsidRPr="00580F3E">
              <w:rPr>
                <w:color w:val="000000"/>
                <w:sz w:val="20"/>
                <w:szCs w:val="20"/>
              </w:rPr>
              <w:t>16.23%</w:t>
            </w:r>
          </w:p>
        </w:tc>
      </w:tr>
      <w:tr w:rsidR="00FA6DAE" w:rsidRPr="00FA6DAE" w:rsidTr="00254806">
        <w:trPr>
          <w:trHeight w:val="60"/>
        </w:trPr>
        <w:tc>
          <w:tcPr>
            <w:tcW w:w="2880" w:type="dxa"/>
            <w:tcBorders>
              <w:top w:val="nil"/>
              <w:left w:val="nil"/>
              <w:bottom w:val="nil"/>
              <w:right w:val="nil"/>
            </w:tcBorders>
            <w:shd w:val="clear" w:color="auto" w:fill="auto"/>
            <w:noWrap/>
            <w:vAlign w:val="bottom"/>
          </w:tcPr>
          <w:p w:rsidR="00FA6DAE" w:rsidRDefault="00FA6DAE" w:rsidP="00254806">
            <w:pPr>
              <w:rPr>
                <w:color w:val="000000"/>
                <w:sz w:val="20"/>
                <w:szCs w:val="20"/>
              </w:rPr>
            </w:pPr>
          </w:p>
        </w:tc>
        <w:tc>
          <w:tcPr>
            <w:tcW w:w="266" w:type="dxa"/>
            <w:tcBorders>
              <w:top w:val="nil"/>
              <w:left w:val="nil"/>
              <w:bottom w:val="nil"/>
              <w:right w:val="nil"/>
            </w:tcBorders>
            <w:shd w:val="clear" w:color="auto" w:fill="auto"/>
            <w:noWrap/>
            <w:vAlign w:val="bottom"/>
          </w:tcPr>
          <w:p w:rsidR="00FA6DAE" w:rsidRPr="00FA6DAE"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c>
          <w:tcPr>
            <w:tcW w:w="923"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c>
          <w:tcPr>
            <w:tcW w:w="266"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c>
          <w:tcPr>
            <w:tcW w:w="923"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c>
          <w:tcPr>
            <w:tcW w:w="266" w:type="dxa"/>
            <w:tcBorders>
              <w:top w:val="nil"/>
              <w:left w:val="nil"/>
              <w:bottom w:val="nil"/>
              <w:right w:val="nil"/>
            </w:tcBorders>
            <w:shd w:val="clear" w:color="auto" w:fill="auto"/>
            <w:noWrap/>
            <w:vAlign w:val="bottom"/>
          </w:tcPr>
          <w:p w:rsidR="00FA6DAE" w:rsidRPr="00FA6DAE"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c>
          <w:tcPr>
            <w:tcW w:w="974" w:type="dxa"/>
            <w:tcBorders>
              <w:top w:val="nil"/>
              <w:left w:val="nil"/>
              <w:bottom w:val="nil"/>
              <w:right w:val="nil"/>
            </w:tcBorders>
            <w:shd w:val="clear" w:color="auto" w:fill="auto"/>
            <w:noWrap/>
            <w:vAlign w:val="bottom"/>
          </w:tcPr>
          <w:p w:rsidR="00FA6DAE" w:rsidRPr="00580F3E" w:rsidRDefault="00FA6DAE" w:rsidP="00254806">
            <w:pPr>
              <w:jc w:val="right"/>
              <w:rPr>
                <w:color w:val="000000"/>
                <w:sz w:val="20"/>
                <w:szCs w:val="20"/>
              </w:rPr>
            </w:pP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Pre-Pay &amp; Pay-By-Day</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$0.6600</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$20.08</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$0.7300</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$22.20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$2.13</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10.61%</w:t>
            </w:r>
          </w:p>
        </w:tc>
      </w:tr>
      <w:tr w:rsidR="00FA6DAE" w:rsidRPr="00FA6DAE" w:rsidTr="00254806">
        <w:trPr>
          <w:trHeight w:val="243"/>
        </w:trPr>
        <w:tc>
          <w:tcPr>
            <w:tcW w:w="2880"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7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74"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u w:val="single"/>
              </w:rPr>
            </w:pPr>
            <w:r w:rsidRPr="00B5295A">
              <w:rPr>
                <w:color w:val="000000"/>
                <w:sz w:val="20"/>
                <w:szCs w:val="20"/>
                <w:u w:val="single"/>
              </w:rPr>
              <w:t>Small Business</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u w:val="single"/>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872"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266"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723"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c>
          <w:tcPr>
            <w:tcW w:w="974" w:type="dxa"/>
            <w:tcBorders>
              <w:top w:val="nil"/>
              <w:left w:val="nil"/>
              <w:bottom w:val="nil"/>
              <w:right w:val="nil"/>
            </w:tcBorders>
            <w:shd w:val="clear" w:color="auto" w:fill="auto"/>
            <w:noWrap/>
            <w:vAlign w:val="bottom"/>
            <w:hideMark/>
          </w:tcPr>
          <w:p w:rsidR="00FA6DAE" w:rsidRPr="00FA6DAE" w:rsidRDefault="00FA6DAE" w:rsidP="00254806">
            <w:pPr>
              <w:rPr>
                <w:sz w:val="20"/>
                <w:szCs w:val="20"/>
              </w:rPr>
            </w:pP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GS</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$36.00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$42.00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$6.00</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16.67%</w:t>
            </w: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PLS</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$38.00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$44.00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$6.00</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15.79%</w:t>
            </w: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OGS</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$50.00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$58.00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$8.00</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16.00%</w:t>
            </w: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UD</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$18.00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$21.00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$3.00</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16.67%</w:t>
            </w:r>
          </w:p>
        </w:tc>
      </w:tr>
      <w:tr w:rsidR="00FA6DAE" w:rsidRPr="00FA6DAE" w:rsidTr="00254806">
        <w:trPr>
          <w:trHeight w:val="60"/>
        </w:trPr>
        <w:tc>
          <w:tcPr>
            <w:tcW w:w="2880"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r>
              <w:rPr>
                <w:color w:val="000000"/>
                <w:sz w:val="20"/>
                <w:szCs w:val="20"/>
              </w:rPr>
              <w:t xml:space="preserve">  </w:t>
            </w:r>
            <w:r w:rsidRPr="00B5295A">
              <w:rPr>
                <w:color w:val="000000"/>
                <w:sz w:val="20"/>
                <w:szCs w:val="20"/>
              </w:rPr>
              <w:t>TOU-EO</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$96.00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872" w:type="dxa"/>
            <w:tcBorders>
              <w:top w:val="nil"/>
              <w:left w:val="nil"/>
              <w:bottom w:val="nil"/>
              <w:right w:val="nil"/>
            </w:tcBorders>
            <w:shd w:val="clear" w:color="auto" w:fill="auto"/>
            <w:noWrap/>
            <w:vAlign w:val="bottom"/>
            <w:hideMark/>
          </w:tcPr>
          <w:p w:rsidR="00FA6DAE" w:rsidRPr="00B5295A" w:rsidRDefault="00FA6DAE" w:rsidP="00254806">
            <w:pPr>
              <w:jc w:val="center"/>
              <w:rPr>
                <w:color w:val="000000"/>
                <w:sz w:val="20"/>
                <w:szCs w:val="20"/>
              </w:rPr>
            </w:pPr>
            <w:r w:rsidRPr="00B5295A">
              <w:rPr>
                <w:color w:val="000000"/>
                <w:sz w:val="20"/>
                <w:szCs w:val="20"/>
              </w:rPr>
              <w:t>--</w:t>
            </w:r>
          </w:p>
        </w:tc>
        <w:tc>
          <w:tcPr>
            <w:tcW w:w="9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$96.00</w:t>
            </w:r>
          </w:p>
        </w:tc>
        <w:tc>
          <w:tcPr>
            <w:tcW w:w="266"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p>
        </w:tc>
        <w:tc>
          <w:tcPr>
            <w:tcW w:w="723"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$0.00</w:t>
            </w:r>
          </w:p>
        </w:tc>
        <w:tc>
          <w:tcPr>
            <w:tcW w:w="974" w:type="dxa"/>
            <w:tcBorders>
              <w:top w:val="nil"/>
              <w:left w:val="nil"/>
              <w:bottom w:val="nil"/>
              <w:right w:val="nil"/>
            </w:tcBorders>
            <w:shd w:val="clear" w:color="auto" w:fill="auto"/>
            <w:noWrap/>
            <w:vAlign w:val="bottom"/>
            <w:hideMark/>
          </w:tcPr>
          <w:p w:rsidR="00FA6DAE" w:rsidRPr="00B5295A" w:rsidRDefault="00FA6DAE" w:rsidP="00254806">
            <w:pPr>
              <w:jc w:val="right"/>
              <w:rPr>
                <w:color w:val="000000"/>
                <w:sz w:val="20"/>
                <w:szCs w:val="20"/>
              </w:rPr>
            </w:pPr>
            <w:r w:rsidRPr="00B5295A">
              <w:rPr>
                <w:color w:val="000000"/>
                <w:sz w:val="20"/>
                <w:szCs w:val="20"/>
              </w:rPr>
              <w:t>0.00%</w:t>
            </w:r>
          </w:p>
        </w:tc>
      </w:tr>
    </w:tbl>
    <w:p w:rsidR="00707109" w:rsidRDefault="004C38E0" w:rsidP="007E7F10">
      <w:pPr>
        <w:pStyle w:val="Answers"/>
        <w:spacing w:before="480"/>
        <w:rPr>
          <w:b/>
          <w:bCs/>
        </w:rPr>
      </w:pPr>
      <w:r>
        <w:rPr>
          <w:b/>
          <w:bCs/>
        </w:rPr>
        <w:t xml:space="preserve">Q. </w:t>
      </w:r>
      <w:r w:rsidR="0043556B">
        <w:rPr>
          <w:b/>
          <w:bCs/>
        </w:rPr>
        <w:tab/>
      </w:r>
      <w:r>
        <w:rPr>
          <w:b/>
          <w:bCs/>
        </w:rPr>
        <w:t>DOES</w:t>
      </w:r>
      <w:r w:rsidR="00FA6DAE">
        <w:rPr>
          <w:b/>
          <w:bCs/>
        </w:rPr>
        <w:t xml:space="preserve"> </w:t>
      </w:r>
      <w:r w:rsidR="002D04D8">
        <w:rPr>
          <w:b/>
          <w:bCs/>
        </w:rPr>
        <w:t>COMPANY WITNESS L</w:t>
      </w:r>
      <w:r w:rsidR="00FA6DAE">
        <w:rPr>
          <w:b/>
          <w:bCs/>
        </w:rPr>
        <w:t xml:space="preserve">EGG PROVIDE ANY SUPPORT FOR HIS PROPOSED INCREASES TO </w:t>
      </w:r>
      <w:r w:rsidR="00AB593D">
        <w:rPr>
          <w:b/>
          <w:bCs/>
        </w:rPr>
        <w:t xml:space="preserve">THE </w:t>
      </w:r>
      <w:r w:rsidR="00FA6DAE">
        <w:rPr>
          <w:b/>
          <w:bCs/>
        </w:rPr>
        <w:t>BASIC SERVICE CHARGES?</w:t>
      </w:r>
    </w:p>
    <w:p w:rsidR="0077284B" w:rsidRDefault="00FA6DAE" w:rsidP="007E7F10">
      <w:pPr>
        <w:pStyle w:val="Answers"/>
      </w:pPr>
      <w:r>
        <w:lastRenderedPageBreak/>
        <w:t>A.</w:t>
      </w:r>
      <w:r>
        <w:tab/>
      </w:r>
      <w:r w:rsidR="00BD2DB0">
        <w:t>No, n</w:t>
      </w:r>
      <w:r>
        <w:t>ot directly.  Mr. Legg indicates that under his proposal all traditional base rates are increased on an equal percentage basis including rate elements.</w:t>
      </w:r>
      <w:r w:rsidR="00F22497">
        <w:rPr>
          <w:rStyle w:val="FootnoteReference"/>
        </w:rPr>
        <w:footnoteReference w:id="30"/>
      </w:r>
      <w:r>
        <w:t xml:space="preserve">  However, in the CCOSS model provided in </w:t>
      </w:r>
      <w:r w:rsidR="009008C9">
        <w:t xml:space="preserve">the Company’s </w:t>
      </w:r>
      <w:r>
        <w:t xml:space="preserve">response to STF-TAI-1-1, there is a column entitled “Residential Customer Component” in which </w:t>
      </w:r>
      <w:r w:rsidR="008F02E4">
        <w:t>Company Witness</w:t>
      </w:r>
      <w:r>
        <w:t xml:space="preserve"> Evans classified all costs as customer, demand, and energy.  The </w:t>
      </w:r>
      <w:r w:rsidR="00AB593D">
        <w:t>r</w:t>
      </w:r>
      <w:r>
        <w:t>esidential customer</w:t>
      </w:r>
      <w:r w:rsidR="00117E55">
        <w:t xml:space="preserve"> </w:t>
      </w:r>
      <w:r>
        <w:t xml:space="preserve">related costs then reflect all costs allocated based on number of customers as well as </w:t>
      </w:r>
      <w:r w:rsidR="0077284B">
        <w:t xml:space="preserve">numerous </w:t>
      </w:r>
      <w:proofErr w:type="gramStart"/>
      <w:r w:rsidR="0077284B">
        <w:t>overhead</w:t>
      </w:r>
      <w:proofErr w:type="gramEnd"/>
      <w:r w:rsidR="0077284B">
        <w:t xml:space="preserve"> and administrative &amp; general costs allocated on internally generated allocators.  </w:t>
      </w:r>
    </w:p>
    <w:p w:rsidR="000F4EE5" w:rsidRDefault="000F4EE5" w:rsidP="007E7F10">
      <w:pPr>
        <w:pStyle w:val="Answers"/>
        <w:spacing w:before="480"/>
        <w:rPr>
          <w:b/>
          <w:bCs/>
        </w:rPr>
      </w:pPr>
      <w:r>
        <w:rPr>
          <w:b/>
          <w:bCs/>
        </w:rPr>
        <w:t>Q.</w:t>
      </w:r>
      <w:r>
        <w:rPr>
          <w:b/>
          <w:bCs/>
        </w:rPr>
        <w:tab/>
        <w:t>SHOULD ALL COSTS CLASSIFIED AS “CUSTOMER</w:t>
      </w:r>
      <w:r w:rsidR="00117E55">
        <w:rPr>
          <w:b/>
          <w:bCs/>
        </w:rPr>
        <w:t xml:space="preserve"> </w:t>
      </w:r>
      <w:r>
        <w:rPr>
          <w:b/>
          <w:bCs/>
        </w:rPr>
        <w:t>RELATED” INCLUDING THOSE OVERHEAD AND ADMINISTRATIVE &amp; GENERAL COSTS BE CONSIDERED IN THE DEVELOPMENT AND DESIGN OF RESIDENTIAL AND SMALL BUSINESS BASIC SERVICE CHARGES?</w:t>
      </w:r>
    </w:p>
    <w:p w:rsidR="00C72DDE" w:rsidRDefault="000F4EE5" w:rsidP="00254806">
      <w:pPr>
        <w:pStyle w:val="Answers"/>
        <w:spacing w:after="480"/>
      </w:pPr>
      <w:r>
        <w:t>A.</w:t>
      </w:r>
      <w:r>
        <w:tab/>
        <w:t xml:space="preserve">No.  Basic service (customer) charges should only reflect those direct costs required to connect and maintain a customer’s account.  In comparison, the Company’s </w:t>
      </w:r>
      <w:r w:rsidR="00AB593D">
        <w:t>r</w:t>
      </w:r>
      <w:r>
        <w:t>esidential customer cost analysis includes the following distribution plant amounts that were classified and allocated based on number of customers:</w:t>
      </w:r>
    </w:p>
    <w:tbl>
      <w:tblPr>
        <w:tblStyle w:val="TableGrid"/>
        <w:tblW w:w="0" w:type="auto"/>
        <w:jc w:val="center"/>
        <w:tblLook w:val="04A0" w:firstRow="1" w:lastRow="0" w:firstColumn="1" w:lastColumn="0" w:noHBand="0" w:noVBand="1"/>
      </w:tblPr>
      <w:tblGrid>
        <w:gridCol w:w="3780"/>
        <w:gridCol w:w="1830"/>
      </w:tblGrid>
      <w:tr w:rsidR="00C72DDE" w:rsidTr="00254806">
        <w:trPr>
          <w:jc w:val="center"/>
        </w:trPr>
        <w:tc>
          <w:tcPr>
            <w:tcW w:w="3780" w:type="dxa"/>
          </w:tcPr>
          <w:p w:rsidR="00C72DDE" w:rsidRDefault="00C72DDE" w:rsidP="00254806">
            <w:pPr>
              <w:pStyle w:val="Answers"/>
              <w:spacing w:line="240" w:lineRule="auto"/>
              <w:ind w:left="0" w:firstLine="0"/>
            </w:pPr>
            <w:r>
              <w:t>Substations – Land</w:t>
            </w:r>
          </w:p>
        </w:tc>
        <w:tc>
          <w:tcPr>
            <w:tcW w:w="1830" w:type="dxa"/>
          </w:tcPr>
          <w:p w:rsidR="00C72DDE" w:rsidRDefault="00C72DDE" w:rsidP="00254806">
            <w:pPr>
              <w:pStyle w:val="Answers"/>
              <w:spacing w:line="240" w:lineRule="auto"/>
              <w:ind w:left="0" w:firstLine="0"/>
              <w:jc w:val="right"/>
            </w:pPr>
            <w:r>
              <w:t>$68.9 million</w:t>
            </w:r>
          </w:p>
        </w:tc>
      </w:tr>
      <w:tr w:rsidR="00C72DDE" w:rsidTr="00254806">
        <w:trPr>
          <w:jc w:val="center"/>
        </w:trPr>
        <w:tc>
          <w:tcPr>
            <w:tcW w:w="3780" w:type="dxa"/>
          </w:tcPr>
          <w:p w:rsidR="00C72DDE" w:rsidRDefault="00C72DDE" w:rsidP="00254806">
            <w:pPr>
              <w:pStyle w:val="Answers"/>
              <w:spacing w:line="240" w:lineRule="auto"/>
              <w:ind w:left="0" w:firstLine="0"/>
            </w:pPr>
            <w:r>
              <w:t>Poles</w:t>
            </w:r>
          </w:p>
        </w:tc>
        <w:tc>
          <w:tcPr>
            <w:tcW w:w="1830" w:type="dxa"/>
          </w:tcPr>
          <w:p w:rsidR="00C72DDE" w:rsidRDefault="00C72DDE" w:rsidP="00254806">
            <w:pPr>
              <w:pStyle w:val="Answers"/>
              <w:spacing w:line="240" w:lineRule="auto"/>
              <w:ind w:left="0" w:firstLine="0"/>
              <w:jc w:val="right"/>
            </w:pPr>
            <w:r>
              <w:t>$465.5 million</w:t>
            </w:r>
          </w:p>
        </w:tc>
      </w:tr>
      <w:tr w:rsidR="00C72DDE" w:rsidTr="00254806">
        <w:trPr>
          <w:jc w:val="center"/>
        </w:trPr>
        <w:tc>
          <w:tcPr>
            <w:tcW w:w="3780" w:type="dxa"/>
          </w:tcPr>
          <w:p w:rsidR="00C72DDE" w:rsidRDefault="00C72DDE" w:rsidP="00254806">
            <w:pPr>
              <w:pStyle w:val="Answers"/>
              <w:spacing w:line="240" w:lineRule="auto"/>
              <w:ind w:left="0" w:firstLine="0"/>
            </w:pPr>
            <w:r>
              <w:t>Overhead Conductors</w:t>
            </w:r>
          </w:p>
        </w:tc>
        <w:tc>
          <w:tcPr>
            <w:tcW w:w="1830" w:type="dxa"/>
          </w:tcPr>
          <w:p w:rsidR="00C72DDE" w:rsidRDefault="00C72DDE" w:rsidP="00254806">
            <w:pPr>
              <w:pStyle w:val="Answers"/>
              <w:spacing w:line="240" w:lineRule="auto"/>
              <w:ind w:left="0" w:firstLine="0"/>
              <w:jc w:val="right"/>
            </w:pPr>
            <w:r>
              <w:t>$614.7 million</w:t>
            </w:r>
          </w:p>
        </w:tc>
      </w:tr>
      <w:tr w:rsidR="00C72DDE" w:rsidTr="00254806">
        <w:trPr>
          <w:jc w:val="center"/>
        </w:trPr>
        <w:tc>
          <w:tcPr>
            <w:tcW w:w="3780" w:type="dxa"/>
          </w:tcPr>
          <w:p w:rsidR="00C72DDE" w:rsidRDefault="00C72DDE" w:rsidP="00254806">
            <w:pPr>
              <w:pStyle w:val="Answers"/>
              <w:spacing w:line="240" w:lineRule="auto"/>
              <w:ind w:left="0" w:firstLine="0"/>
            </w:pPr>
            <w:r>
              <w:t>Underground Conduit &amp; Conductors</w:t>
            </w:r>
          </w:p>
        </w:tc>
        <w:tc>
          <w:tcPr>
            <w:tcW w:w="1830" w:type="dxa"/>
          </w:tcPr>
          <w:p w:rsidR="00C72DDE" w:rsidRDefault="00C72DDE" w:rsidP="00254806">
            <w:pPr>
              <w:pStyle w:val="Answers"/>
              <w:spacing w:line="240" w:lineRule="auto"/>
              <w:ind w:left="0" w:firstLine="0"/>
              <w:jc w:val="right"/>
            </w:pPr>
            <w:r>
              <w:t>$309.4 million</w:t>
            </w:r>
          </w:p>
        </w:tc>
      </w:tr>
      <w:tr w:rsidR="00C72DDE" w:rsidTr="00254806">
        <w:trPr>
          <w:jc w:val="center"/>
        </w:trPr>
        <w:tc>
          <w:tcPr>
            <w:tcW w:w="3780" w:type="dxa"/>
          </w:tcPr>
          <w:p w:rsidR="00C72DDE" w:rsidRDefault="00C72DDE" w:rsidP="00254806">
            <w:pPr>
              <w:pStyle w:val="Answers"/>
              <w:spacing w:line="240" w:lineRule="auto"/>
              <w:ind w:left="0" w:firstLine="0"/>
            </w:pPr>
            <w:r>
              <w:t>Transformers</w:t>
            </w:r>
          </w:p>
        </w:tc>
        <w:tc>
          <w:tcPr>
            <w:tcW w:w="1830" w:type="dxa"/>
          </w:tcPr>
          <w:p w:rsidR="00C72DDE" w:rsidRDefault="00C72DDE" w:rsidP="00254806">
            <w:pPr>
              <w:pStyle w:val="Answers"/>
              <w:spacing w:line="240" w:lineRule="auto"/>
              <w:ind w:left="0" w:firstLine="0"/>
              <w:jc w:val="right"/>
            </w:pPr>
            <w:r>
              <w:t>$485.8 million</w:t>
            </w:r>
          </w:p>
        </w:tc>
      </w:tr>
    </w:tbl>
    <w:p w:rsidR="00C72DDE" w:rsidRDefault="00C72DDE" w:rsidP="00C13F2B">
      <w:pPr>
        <w:pStyle w:val="Answers"/>
        <w:suppressLineNumbers/>
      </w:pPr>
    </w:p>
    <w:p w:rsidR="000F4EE5" w:rsidRDefault="000F4EE5" w:rsidP="00C45113">
      <w:pPr>
        <w:pStyle w:val="Answers"/>
        <w:spacing w:before="360" w:after="240"/>
      </w:pPr>
      <w:r>
        <w:lastRenderedPageBreak/>
        <w:tab/>
        <w:t xml:space="preserve">While these plant amounts may be appropriately allocated across classes based on number of customers, it is not appropriate to include these costs in evaluating or designing fixed monthly customer charges.  Georgia Power does not incur additional investment associated with the above plant accounts to serve new customers since the Company’s distribution system is fully developed such the above-related costs are placed in-service to serve the collected needs of all customers on the distribution system.  </w:t>
      </w:r>
    </w:p>
    <w:p w:rsidR="000F4EE5" w:rsidRDefault="000F4EE5" w:rsidP="00F7151D">
      <w:pPr>
        <w:pStyle w:val="Answers"/>
        <w:spacing w:after="480"/>
      </w:pPr>
      <w:r>
        <w:tab/>
        <w:t xml:space="preserve">Furthermore, Georgia Power’s </w:t>
      </w:r>
      <w:r w:rsidR="00AB593D">
        <w:t>r</w:t>
      </w:r>
      <w:r>
        <w:t xml:space="preserve">esidential customer cost analysis includes a multitude of overhead and administrative costs including:  </w:t>
      </w:r>
    </w:p>
    <w:tbl>
      <w:tblPr>
        <w:tblStyle w:val="TableGrid"/>
        <w:tblpPr w:leftFromText="180" w:rightFromText="180" w:vertAnchor="text" w:horzAnchor="page" w:tblpX="3315" w:tblpY="60"/>
        <w:tblW w:w="0" w:type="auto"/>
        <w:tblLook w:val="04A0" w:firstRow="1" w:lastRow="0" w:firstColumn="1" w:lastColumn="0" w:noHBand="0" w:noVBand="1"/>
      </w:tblPr>
      <w:tblGrid>
        <w:gridCol w:w="3775"/>
        <w:gridCol w:w="1846"/>
      </w:tblGrid>
      <w:tr w:rsidR="00C72DDE" w:rsidTr="00C72DDE">
        <w:tc>
          <w:tcPr>
            <w:tcW w:w="3775" w:type="dxa"/>
          </w:tcPr>
          <w:p w:rsidR="00C72DDE" w:rsidRDefault="00C72DDE" w:rsidP="00C72DDE">
            <w:pPr>
              <w:pStyle w:val="Answers"/>
              <w:spacing w:line="240" w:lineRule="auto"/>
              <w:ind w:left="0" w:firstLine="0"/>
            </w:pPr>
            <w:r>
              <w:t>General Plant</w:t>
            </w:r>
          </w:p>
        </w:tc>
        <w:tc>
          <w:tcPr>
            <w:tcW w:w="1846" w:type="dxa"/>
          </w:tcPr>
          <w:p w:rsidR="00C72DDE" w:rsidRDefault="00C72DDE" w:rsidP="00C72DDE">
            <w:pPr>
              <w:pStyle w:val="Answers"/>
              <w:spacing w:line="240" w:lineRule="auto"/>
              <w:ind w:left="0" w:firstLine="0"/>
              <w:jc w:val="right"/>
            </w:pPr>
            <w:r>
              <w:t>$520.6 million</w:t>
            </w:r>
          </w:p>
        </w:tc>
      </w:tr>
      <w:tr w:rsidR="00C72DDE" w:rsidTr="00C72DDE">
        <w:tc>
          <w:tcPr>
            <w:tcW w:w="3775" w:type="dxa"/>
          </w:tcPr>
          <w:p w:rsidR="00C72DDE" w:rsidRDefault="00C72DDE" w:rsidP="00C72DDE">
            <w:pPr>
              <w:pStyle w:val="Answers"/>
              <w:spacing w:line="240" w:lineRule="auto"/>
              <w:ind w:left="0" w:firstLine="0"/>
            </w:pPr>
            <w:r>
              <w:t>Intangible Plant</w:t>
            </w:r>
          </w:p>
        </w:tc>
        <w:tc>
          <w:tcPr>
            <w:tcW w:w="1846" w:type="dxa"/>
          </w:tcPr>
          <w:p w:rsidR="00C72DDE" w:rsidRDefault="00C72DDE" w:rsidP="00C72DDE">
            <w:pPr>
              <w:pStyle w:val="Answers"/>
              <w:spacing w:line="240" w:lineRule="auto"/>
              <w:ind w:left="0" w:firstLine="0"/>
              <w:jc w:val="right"/>
            </w:pPr>
            <w:r>
              <w:t>$171.2 million</w:t>
            </w:r>
          </w:p>
        </w:tc>
      </w:tr>
      <w:tr w:rsidR="00C72DDE" w:rsidTr="00C72DDE">
        <w:tc>
          <w:tcPr>
            <w:tcW w:w="3775" w:type="dxa"/>
          </w:tcPr>
          <w:p w:rsidR="00C72DDE" w:rsidRDefault="00C72DDE" w:rsidP="00C72DDE">
            <w:pPr>
              <w:pStyle w:val="Answers"/>
              <w:spacing w:line="240" w:lineRule="auto"/>
              <w:ind w:left="0" w:firstLine="0"/>
            </w:pPr>
            <w:r>
              <w:t>Materials &amp; Supplies</w:t>
            </w:r>
          </w:p>
        </w:tc>
        <w:tc>
          <w:tcPr>
            <w:tcW w:w="1846" w:type="dxa"/>
          </w:tcPr>
          <w:p w:rsidR="00C72DDE" w:rsidRDefault="00C72DDE" w:rsidP="00C72DDE">
            <w:pPr>
              <w:pStyle w:val="Answers"/>
              <w:spacing w:line="240" w:lineRule="auto"/>
              <w:ind w:left="0" w:firstLine="0"/>
              <w:jc w:val="right"/>
            </w:pPr>
            <w:r>
              <w:t xml:space="preserve">$158.2 million  </w:t>
            </w:r>
          </w:p>
        </w:tc>
      </w:tr>
      <w:tr w:rsidR="00C72DDE" w:rsidTr="00C72DDE">
        <w:tc>
          <w:tcPr>
            <w:tcW w:w="3775" w:type="dxa"/>
          </w:tcPr>
          <w:p w:rsidR="00C72DDE" w:rsidRDefault="00C72DDE" w:rsidP="00C72DDE">
            <w:pPr>
              <w:pStyle w:val="Answers"/>
              <w:spacing w:line="240" w:lineRule="auto"/>
              <w:ind w:left="0" w:firstLine="0"/>
            </w:pPr>
            <w:r>
              <w:t>Pre-Paid Pensions</w:t>
            </w:r>
          </w:p>
        </w:tc>
        <w:tc>
          <w:tcPr>
            <w:tcW w:w="1846" w:type="dxa"/>
          </w:tcPr>
          <w:p w:rsidR="00C72DDE" w:rsidRDefault="00C72DDE" w:rsidP="00C72DDE">
            <w:pPr>
              <w:pStyle w:val="Answers"/>
              <w:spacing w:line="240" w:lineRule="auto"/>
              <w:ind w:left="0" w:firstLine="0"/>
              <w:jc w:val="right"/>
            </w:pPr>
            <w:r>
              <w:t>$481.5 million</w:t>
            </w:r>
          </w:p>
        </w:tc>
      </w:tr>
      <w:tr w:rsidR="00C72DDE" w:rsidTr="00C72DDE">
        <w:tc>
          <w:tcPr>
            <w:tcW w:w="3775" w:type="dxa"/>
          </w:tcPr>
          <w:p w:rsidR="00C72DDE" w:rsidRDefault="00C72DDE" w:rsidP="00C72DDE">
            <w:pPr>
              <w:pStyle w:val="Answers"/>
              <w:spacing w:line="240" w:lineRule="auto"/>
              <w:ind w:left="0" w:firstLine="0"/>
            </w:pPr>
            <w:proofErr w:type="spellStart"/>
            <w:r>
              <w:t>Uncollectibles</w:t>
            </w:r>
            <w:proofErr w:type="spellEnd"/>
            <w:r>
              <w:t xml:space="preserve"> (100%)</w:t>
            </w:r>
          </w:p>
        </w:tc>
        <w:tc>
          <w:tcPr>
            <w:tcW w:w="1846" w:type="dxa"/>
          </w:tcPr>
          <w:p w:rsidR="00C72DDE" w:rsidRDefault="00C72DDE" w:rsidP="00C72DDE">
            <w:pPr>
              <w:pStyle w:val="Answers"/>
              <w:spacing w:line="240" w:lineRule="auto"/>
              <w:ind w:left="0" w:firstLine="0"/>
              <w:jc w:val="right"/>
            </w:pPr>
            <w:r>
              <w:t>$12.3 million</w:t>
            </w:r>
          </w:p>
        </w:tc>
      </w:tr>
      <w:tr w:rsidR="00C72DDE" w:rsidTr="00C72DDE">
        <w:tc>
          <w:tcPr>
            <w:tcW w:w="3775" w:type="dxa"/>
          </w:tcPr>
          <w:p w:rsidR="00C72DDE" w:rsidRDefault="00C72DDE" w:rsidP="00C72DDE">
            <w:pPr>
              <w:pStyle w:val="Answers"/>
              <w:spacing w:line="240" w:lineRule="auto"/>
              <w:ind w:left="0" w:firstLine="0"/>
            </w:pPr>
            <w:r>
              <w:t>Customer Assistance Expenses</w:t>
            </w:r>
          </w:p>
        </w:tc>
        <w:tc>
          <w:tcPr>
            <w:tcW w:w="1846" w:type="dxa"/>
          </w:tcPr>
          <w:p w:rsidR="00C72DDE" w:rsidRDefault="00C72DDE" w:rsidP="00C72DDE">
            <w:pPr>
              <w:pStyle w:val="Answers"/>
              <w:spacing w:line="240" w:lineRule="auto"/>
              <w:ind w:left="0" w:firstLine="0"/>
              <w:jc w:val="right"/>
            </w:pPr>
            <w:r>
              <w:t>$55.9 million</w:t>
            </w:r>
          </w:p>
        </w:tc>
      </w:tr>
      <w:tr w:rsidR="00C72DDE" w:rsidTr="00C72DDE">
        <w:tc>
          <w:tcPr>
            <w:tcW w:w="3775" w:type="dxa"/>
          </w:tcPr>
          <w:p w:rsidR="00C72DDE" w:rsidRDefault="00C72DDE" w:rsidP="00C72DDE">
            <w:pPr>
              <w:pStyle w:val="Answers"/>
              <w:spacing w:line="240" w:lineRule="auto"/>
              <w:ind w:left="0" w:firstLine="0"/>
            </w:pPr>
            <w:r>
              <w:t>Sales Expenses</w:t>
            </w:r>
          </w:p>
        </w:tc>
        <w:tc>
          <w:tcPr>
            <w:tcW w:w="1846" w:type="dxa"/>
          </w:tcPr>
          <w:p w:rsidR="00C72DDE" w:rsidRDefault="00C72DDE" w:rsidP="00C72DDE">
            <w:pPr>
              <w:pStyle w:val="Answers"/>
              <w:spacing w:line="240" w:lineRule="auto"/>
              <w:ind w:left="0" w:firstLine="0"/>
              <w:jc w:val="right"/>
            </w:pPr>
            <w:r>
              <w:t>$9.7 million</w:t>
            </w:r>
          </w:p>
        </w:tc>
      </w:tr>
      <w:tr w:rsidR="00C72DDE" w:rsidTr="00C72DDE">
        <w:tc>
          <w:tcPr>
            <w:tcW w:w="3775" w:type="dxa"/>
          </w:tcPr>
          <w:p w:rsidR="00C72DDE" w:rsidRDefault="00C72DDE" w:rsidP="00C72DDE">
            <w:pPr>
              <w:pStyle w:val="Answers"/>
              <w:spacing w:line="240" w:lineRule="auto"/>
              <w:ind w:left="0" w:firstLine="0"/>
            </w:pPr>
            <w:r>
              <w:t>Administrative &amp; General Expenses</w:t>
            </w:r>
          </w:p>
        </w:tc>
        <w:tc>
          <w:tcPr>
            <w:tcW w:w="1846" w:type="dxa"/>
          </w:tcPr>
          <w:p w:rsidR="00C72DDE" w:rsidRDefault="00C72DDE" w:rsidP="00C72DDE">
            <w:pPr>
              <w:pStyle w:val="Answers"/>
              <w:spacing w:line="240" w:lineRule="auto"/>
              <w:ind w:left="0" w:firstLine="0"/>
              <w:jc w:val="right"/>
            </w:pPr>
            <w:r>
              <w:t xml:space="preserve">$59.8 million  </w:t>
            </w:r>
          </w:p>
        </w:tc>
      </w:tr>
    </w:tbl>
    <w:p w:rsidR="00C72DDE" w:rsidRDefault="00C72DDE" w:rsidP="00C13F2B">
      <w:pPr>
        <w:pStyle w:val="Answers"/>
        <w:suppressLineNumbers/>
      </w:pPr>
    </w:p>
    <w:p w:rsidR="00C72DDE" w:rsidRDefault="00C72DDE" w:rsidP="00C13F2B">
      <w:pPr>
        <w:pStyle w:val="Answers"/>
        <w:suppressLineNumbers/>
      </w:pPr>
    </w:p>
    <w:p w:rsidR="00C72DDE" w:rsidRDefault="00C72DDE" w:rsidP="00C13F2B">
      <w:pPr>
        <w:pStyle w:val="Answers"/>
        <w:suppressLineNumbers/>
      </w:pPr>
    </w:p>
    <w:p w:rsidR="00C72DDE" w:rsidRDefault="00C72DDE" w:rsidP="00C13F2B">
      <w:pPr>
        <w:pStyle w:val="Answers"/>
        <w:suppressLineNumbers/>
      </w:pPr>
    </w:p>
    <w:p w:rsidR="00FA6DAE" w:rsidRDefault="00FA6DAE" w:rsidP="00C13F2B">
      <w:pPr>
        <w:pStyle w:val="Answers"/>
        <w:suppressLineNumbers/>
      </w:pPr>
    </w:p>
    <w:p w:rsidR="000F4EE5" w:rsidRDefault="000F4EE5" w:rsidP="00C72DDE">
      <w:pPr>
        <w:pStyle w:val="Answers"/>
        <w:spacing w:before="480"/>
        <w:rPr>
          <w:b/>
          <w:bCs/>
        </w:rPr>
      </w:pPr>
      <w:r>
        <w:rPr>
          <w:b/>
          <w:bCs/>
        </w:rPr>
        <w:t>Q.</w:t>
      </w:r>
      <w:r>
        <w:rPr>
          <w:b/>
          <w:bCs/>
        </w:rPr>
        <w:tab/>
        <w:t xml:space="preserve">WHY IS IT INAPPROPRIATE TO CONSIDER OVERHEAD AND ADMINISTRATIVE COSTS IN THE DEVELOPMENT OF </w:t>
      </w:r>
      <w:r w:rsidR="00827049">
        <w:rPr>
          <w:b/>
          <w:bCs/>
        </w:rPr>
        <w:t xml:space="preserve">THE </w:t>
      </w:r>
      <w:r>
        <w:rPr>
          <w:b/>
          <w:bCs/>
        </w:rPr>
        <w:t>BASIC SERVICE (CUSTOMER) CHARGES?</w:t>
      </w:r>
    </w:p>
    <w:p w:rsidR="000F4EE5" w:rsidRDefault="000F4EE5" w:rsidP="00952CED">
      <w:pPr>
        <w:pStyle w:val="Answers"/>
      </w:pPr>
      <w:r>
        <w:t>A.</w:t>
      </w:r>
      <w:r>
        <w:tab/>
        <w:t xml:space="preserve">Like all businesses, Georgia Power incurs overhead costs in providing service to its customers.  These overhead costs are simply a cost of doing business.  In competitive markets, these overhead costs are invariably recovered on a volumetric basis.  It is often </w:t>
      </w:r>
      <w:r>
        <w:lastRenderedPageBreak/>
        <w:t xml:space="preserve">said that regulation should serve </w:t>
      </w:r>
      <w:r w:rsidR="0082750C">
        <w:t xml:space="preserve">as </w:t>
      </w:r>
      <w:r>
        <w:t xml:space="preserve">a surrogate for competition such that Georgia </w:t>
      </w:r>
      <w:r w:rsidR="00713683">
        <w:t>Power’s basic</w:t>
      </w:r>
      <w:r w:rsidR="00827049">
        <w:t xml:space="preserve"> service charges </w:t>
      </w:r>
      <w:r>
        <w:t xml:space="preserve">should not incorporate various overhead costs.  </w:t>
      </w:r>
    </w:p>
    <w:p w:rsidR="000F4EE5" w:rsidRPr="009F5162" w:rsidRDefault="000F4EE5" w:rsidP="00952CED">
      <w:pPr>
        <w:pStyle w:val="testimony"/>
        <w:widowControl w:val="0"/>
        <w:tabs>
          <w:tab w:val="left" w:pos="1440"/>
        </w:tabs>
        <w:spacing w:before="480" w:line="480" w:lineRule="auto"/>
        <w:ind w:left="720" w:hanging="720"/>
        <w:jc w:val="both"/>
        <w:rPr>
          <w:b/>
        </w:rPr>
      </w:pPr>
      <w:r>
        <w:rPr>
          <w:b/>
          <w:bCs/>
        </w:rPr>
        <w:t>Q.</w:t>
      </w:r>
      <w:r>
        <w:rPr>
          <w:b/>
          <w:bCs/>
        </w:rPr>
        <w:tab/>
      </w:r>
      <w:r w:rsidRPr="009F5162">
        <w:rPr>
          <w:b/>
        </w:rPr>
        <w:t xml:space="preserve">IS THERE ACADEMIC SUPPORT FOR YOUR OPINION THAT FIXED MONTHLY CUSTOMER CHARGES SHOULD ONLY REFLECT THE DIRECT COSTS REQUIRED TO CONNECT AND MAINTAIN A CUSTOMER’S ACCOUNT? </w:t>
      </w:r>
    </w:p>
    <w:p w:rsidR="000F4EE5" w:rsidRPr="009F5162" w:rsidRDefault="000F4EE5" w:rsidP="002F2816">
      <w:pPr>
        <w:pStyle w:val="testimony"/>
        <w:widowControl w:val="0"/>
        <w:tabs>
          <w:tab w:val="left" w:pos="1440"/>
        </w:tabs>
        <w:spacing w:line="480" w:lineRule="auto"/>
        <w:ind w:left="720" w:hanging="720"/>
        <w:jc w:val="both"/>
      </w:pPr>
      <w:r w:rsidRPr="009F5162">
        <w:t>A.</w:t>
      </w:r>
      <w:r w:rsidRPr="009F5162">
        <w:tab/>
        <w:t xml:space="preserve">Yes.  In his well-known treatise </w:t>
      </w:r>
      <w:r w:rsidRPr="009F5162">
        <w:rPr>
          <w:u w:val="single"/>
        </w:rPr>
        <w:t>Principles of Public Utility Rates</w:t>
      </w:r>
      <w:r w:rsidRPr="009F5162">
        <w:t xml:space="preserve">, Professor James C. </w:t>
      </w:r>
      <w:proofErr w:type="spellStart"/>
      <w:r w:rsidRPr="009F5162">
        <w:t>Bonbright</w:t>
      </w:r>
      <w:proofErr w:type="spellEnd"/>
      <w:r w:rsidRPr="009F5162">
        <w:t xml:space="preserve"> states:</w:t>
      </w:r>
    </w:p>
    <w:p w:rsidR="004B1ED5" w:rsidRPr="009F5162" w:rsidRDefault="000F4EE5" w:rsidP="00952CED">
      <w:pPr>
        <w:ind w:left="1530" w:right="720"/>
        <w:jc w:val="both"/>
      </w:pPr>
      <w:r w:rsidRPr="009F5162">
        <w:t>But fully-distributed cost analysts dare not avail themselves of this solution, since they are the prisoners of their own assumption that “the sum of the parts equals the whole.”  They are therefore under impelling pressure to fudge their cost apportionments by using the category of customers costs as a dumping ground for costs that they cannot plausibly impute to any of their other cost categories.  (Second Edition, page 492)</w:t>
      </w:r>
    </w:p>
    <w:p w:rsidR="00AA36ED" w:rsidRPr="00F0356C" w:rsidRDefault="00F0356C" w:rsidP="00952CED">
      <w:pPr>
        <w:pStyle w:val="Answers"/>
        <w:spacing w:before="480"/>
        <w:rPr>
          <w:b/>
          <w:bCs/>
        </w:rPr>
      </w:pPr>
      <w:r w:rsidRPr="00F0356C">
        <w:rPr>
          <w:b/>
          <w:bCs/>
        </w:rPr>
        <w:t xml:space="preserve"> Q.</w:t>
      </w:r>
      <w:r w:rsidRPr="00F0356C">
        <w:rPr>
          <w:b/>
          <w:bCs/>
        </w:rPr>
        <w:tab/>
        <w:t>HA</w:t>
      </w:r>
      <w:r w:rsidR="00827049">
        <w:rPr>
          <w:b/>
          <w:bCs/>
        </w:rPr>
        <w:t>S STAFF</w:t>
      </w:r>
      <w:r w:rsidRPr="00F0356C">
        <w:rPr>
          <w:b/>
          <w:bCs/>
        </w:rPr>
        <w:t xml:space="preserve"> CONDUCTED A CUSTOMER COST ANALYSIS FOR THE RESIDENTIAL AND SMALL BUSINESS CLASSES TO EVALUATE THE REASONABLE LEVEL OF FIXED MONTHLY CUSTOMER CHARGES?</w:t>
      </w:r>
    </w:p>
    <w:p w:rsidR="00843CBD" w:rsidRDefault="00AA36ED" w:rsidP="009751A2">
      <w:pPr>
        <w:pStyle w:val="Answers"/>
        <w:spacing w:after="360"/>
      </w:pPr>
      <w:r>
        <w:t>A.</w:t>
      </w:r>
      <w:r>
        <w:tab/>
        <w:t xml:space="preserve">Yes.  </w:t>
      </w:r>
      <w:r w:rsidR="00843CBD">
        <w:t>As indicated earlier, c</w:t>
      </w:r>
      <w:r w:rsidR="006E2C98">
        <w:t>ustomer costs should only reflect those costs that are required to connect a new custo</w:t>
      </w:r>
      <w:r w:rsidR="00EB4864">
        <w:t>mer and maintain that customer’s</w:t>
      </w:r>
      <w:r w:rsidR="006E2C98">
        <w:t xml:space="preserve"> account.  The approach use</w:t>
      </w:r>
      <w:r w:rsidR="00843CBD">
        <w:t>d</w:t>
      </w:r>
      <w:r w:rsidR="006E2C98">
        <w:t xml:space="preserve"> and which is widely-used in the industry is often referred to as a </w:t>
      </w:r>
      <w:r w:rsidR="00843CBD">
        <w:t xml:space="preserve">modified </w:t>
      </w:r>
      <w:r w:rsidR="006E2C98">
        <w:t xml:space="preserve">“Direct Customer Cost” analysis.  </w:t>
      </w:r>
      <w:r w:rsidR="00843CBD">
        <w:t xml:space="preserve">Specifically, in addition to those direct costs required to connect and maintain a customer’s account, Staff’s analysis also includes certain indirect costs such as General Plant, Intangible plant, and Administrative &amp; General expenses associated with </w:t>
      </w:r>
      <w:r w:rsidR="00843CBD">
        <w:lastRenderedPageBreak/>
        <w:t>customer accounting.  This analysis produces the following range of reasonable customer costs that should be reflected in basic service charges:</w:t>
      </w:r>
    </w:p>
    <w:tbl>
      <w:tblPr>
        <w:tblW w:w="6357" w:type="dxa"/>
        <w:jc w:val="center"/>
        <w:tblLook w:val="04A0" w:firstRow="1" w:lastRow="0" w:firstColumn="1" w:lastColumn="0" w:noHBand="0" w:noVBand="1"/>
      </w:tblPr>
      <w:tblGrid>
        <w:gridCol w:w="222"/>
        <w:gridCol w:w="1721"/>
        <w:gridCol w:w="222"/>
        <w:gridCol w:w="1002"/>
        <w:gridCol w:w="451"/>
        <w:gridCol w:w="1260"/>
        <w:gridCol w:w="222"/>
        <w:gridCol w:w="1257"/>
      </w:tblGrid>
      <w:tr w:rsidR="00843CBD" w:rsidTr="000A5210">
        <w:trPr>
          <w:trHeight w:val="280"/>
          <w:jc w:val="center"/>
        </w:trPr>
        <w:tc>
          <w:tcPr>
            <w:tcW w:w="6357" w:type="dxa"/>
            <w:gridSpan w:val="8"/>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bookmarkStart w:id="28" w:name="_Hlk116891854"/>
            <w:r>
              <w:rPr>
                <w:color w:val="000000"/>
                <w:sz w:val="22"/>
                <w:szCs w:val="22"/>
              </w:rPr>
              <w:t xml:space="preserve">TABLE </w:t>
            </w:r>
            <w:r w:rsidR="00703EBD">
              <w:rPr>
                <w:color w:val="000000"/>
                <w:sz w:val="22"/>
                <w:szCs w:val="22"/>
              </w:rPr>
              <w:t>1</w:t>
            </w:r>
            <w:r w:rsidR="00F525E4">
              <w:rPr>
                <w:color w:val="000000"/>
                <w:sz w:val="22"/>
                <w:szCs w:val="22"/>
              </w:rPr>
              <w:t>7</w:t>
            </w:r>
          </w:p>
        </w:tc>
      </w:tr>
      <w:tr w:rsidR="00843CBD" w:rsidTr="000A5210">
        <w:trPr>
          <w:trHeight w:val="280"/>
          <w:jc w:val="center"/>
        </w:trPr>
        <w:tc>
          <w:tcPr>
            <w:tcW w:w="6357" w:type="dxa"/>
            <w:gridSpan w:val="8"/>
            <w:tcBorders>
              <w:top w:val="nil"/>
              <w:left w:val="nil"/>
              <w:bottom w:val="single" w:sz="4" w:space="0" w:color="auto"/>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Staff Monthly Customer Cost &amp; Current Charge</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00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45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60" w:type="dxa"/>
            <w:tcBorders>
              <w:top w:val="nil"/>
              <w:left w:val="nil"/>
              <w:bottom w:val="nil"/>
              <w:right w:val="nil"/>
            </w:tcBorders>
            <w:shd w:val="clear" w:color="auto" w:fill="auto"/>
            <w:noWrap/>
            <w:vAlign w:val="bottom"/>
            <w:hideMark/>
          </w:tcPr>
          <w:p w:rsidR="00843CBD" w:rsidRDefault="00843CBD" w:rsidP="000A5210">
            <w:pPr>
              <w:jc w:val="cente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57"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Current</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713" w:type="dxa"/>
            <w:gridSpan w:val="3"/>
            <w:tcBorders>
              <w:top w:val="nil"/>
              <w:left w:val="nil"/>
              <w:bottom w:val="single" w:sz="4" w:space="0" w:color="auto"/>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Cost of Capital</w:t>
            </w:r>
          </w:p>
        </w:tc>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257"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Monthly</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002" w:type="dxa"/>
            <w:tcBorders>
              <w:top w:val="nil"/>
              <w:left w:val="nil"/>
              <w:bottom w:val="single" w:sz="4" w:space="0" w:color="auto"/>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Staff</w:t>
            </w:r>
          </w:p>
        </w:tc>
        <w:tc>
          <w:tcPr>
            <w:tcW w:w="451"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260" w:type="dxa"/>
            <w:tcBorders>
              <w:top w:val="nil"/>
              <w:left w:val="nil"/>
              <w:bottom w:val="single" w:sz="4" w:space="0" w:color="auto"/>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Company</w:t>
            </w:r>
          </w:p>
        </w:tc>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257" w:type="dxa"/>
            <w:tcBorders>
              <w:top w:val="nil"/>
              <w:left w:val="nil"/>
              <w:bottom w:val="single" w:sz="4" w:space="0" w:color="auto"/>
              <w:right w:val="nil"/>
            </w:tcBorders>
            <w:shd w:val="clear" w:color="auto" w:fill="auto"/>
            <w:noWrap/>
            <w:vAlign w:val="bottom"/>
            <w:hideMark/>
          </w:tcPr>
          <w:p w:rsidR="00843CBD" w:rsidRDefault="00644C79" w:rsidP="000A5210">
            <w:pPr>
              <w:jc w:val="center"/>
              <w:rPr>
                <w:color w:val="000000"/>
                <w:sz w:val="22"/>
                <w:szCs w:val="22"/>
              </w:rPr>
            </w:pPr>
            <w:r>
              <w:rPr>
                <w:color w:val="000000"/>
                <w:sz w:val="22"/>
                <w:szCs w:val="22"/>
              </w:rPr>
              <w:t xml:space="preserve">Basic Service </w:t>
            </w:r>
            <w:r w:rsidR="00843CBD">
              <w:rPr>
                <w:color w:val="000000"/>
                <w:sz w:val="22"/>
                <w:szCs w:val="22"/>
              </w:rPr>
              <w:t>Charge</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00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45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60" w:type="dxa"/>
            <w:tcBorders>
              <w:top w:val="nil"/>
              <w:left w:val="nil"/>
              <w:bottom w:val="nil"/>
              <w:right w:val="nil"/>
            </w:tcBorders>
            <w:shd w:val="clear" w:color="auto" w:fill="auto"/>
            <w:noWrap/>
            <w:vAlign w:val="bottom"/>
            <w:hideMark/>
          </w:tcPr>
          <w:p w:rsidR="00843CBD" w:rsidRDefault="00843CBD" w:rsidP="000A5210">
            <w:pPr>
              <w:jc w:val="cente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57" w:type="dxa"/>
            <w:tcBorders>
              <w:top w:val="nil"/>
              <w:left w:val="nil"/>
              <w:bottom w:val="nil"/>
              <w:right w:val="nil"/>
            </w:tcBorders>
            <w:shd w:val="clear" w:color="auto" w:fill="auto"/>
            <w:noWrap/>
            <w:vAlign w:val="bottom"/>
            <w:hideMark/>
          </w:tcPr>
          <w:p w:rsidR="00843CBD" w:rsidRDefault="00843CBD" w:rsidP="000A5210">
            <w:pPr>
              <w:rPr>
                <w:sz w:val="20"/>
                <w:szCs w:val="20"/>
              </w:rPr>
            </w:pPr>
          </w:p>
        </w:tc>
      </w:tr>
      <w:tr w:rsidR="00843CBD" w:rsidTr="000A5210">
        <w:trPr>
          <w:trHeight w:val="60"/>
          <w:jc w:val="center"/>
        </w:trPr>
        <w:tc>
          <w:tcPr>
            <w:tcW w:w="1943" w:type="dxa"/>
            <w:gridSpan w:val="2"/>
            <w:tcBorders>
              <w:top w:val="nil"/>
              <w:left w:val="nil"/>
              <w:bottom w:val="nil"/>
              <w:right w:val="nil"/>
            </w:tcBorders>
            <w:shd w:val="clear" w:color="auto" w:fill="auto"/>
            <w:noWrap/>
            <w:vAlign w:val="bottom"/>
            <w:hideMark/>
          </w:tcPr>
          <w:p w:rsidR="00843CBD" w:rsidRDefault="00843CBD" w:rsidP="000A5210">
            <w:pPr>
              <w:rPr>
                <w:color w:val="000000"/>
                <w:sz w:val="22"/>
                <w:szCs w:val="22"/>
              </w:rPr>
            </w:pPr>
            <w:r>
              <w:rPr>
                <w:color w:val="000000"/>
                <w:sz w:val="22"/>
                <w:szCs w:val="22"/>
              </w:rPr>
              <w:t>Total Residential</w:t>
            </w:r>
          </w:p>
        </w:tc>
        <w:tc>
          <w:tcPr>
            <w:tcW w:w="222"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$12.09</w:t>
            </w:r>
          </w:p>
        </w:tc>
        <w:tc>
          <w:tcPr>
            <w:tcW w:w="451"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$12.59</w:t>
            </w:r>
          </w:p>
        </w:tc>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 xml:space="preserve">$14.00 </w:t>
            </w:r>
            <w:r>
              <w:rPr>
                <w:rStyle w:val="FootnoteReference"/>
                <w:color w:val="000000"/>
                <w:sz w:val="22"/>
                <w:szCs w:val="22"/>
              </w:rPr>
              <w:footnoteReference w:id="31"/>
            </w:r>
          </w:p>
        </w:tc>
      </w:tr>
      <w:tr w:rsidR="00843CBD" w:rsidTr="000A5210">
        <w:trPr>
          <w:trHeight w:val="6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00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45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60" w:type="dxa"/>
            <w:tcBorders>
              <w:top w:val="nil"/>
              <w:left w:val="nil"/>
              <w:bottom w:val="nil"/>
              <w:right w:val="nil"/>
            </w:tcBorders>
            <w:shd w:val="clear" w:color="auto" w:fill="auto"/>
            <w:noWrap/>
            <w:vAlign w:val="bottom"/>
            <w:hideMark/>
          </w:tcPr>
          <w:p w:rsidR="00843CBD" w:rsidRDefault="00843CBD" w:rsidP="000A5210">
            <w:pPr>
              <w:jc w:val="cente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57" w:type="dxa"/>
            <w:tcBorders>
              <w:top w:val="nil"/>
              <w:left w:val="nil"/>
              <w:bottom w:val="nil"/>
              <w:right w:val="nil"/>
            </w:tcBorders>
            <w:shd w:val="clear" w:color="auto" w:fill="auto"/>
            <w:noWrap/>
            <w:vAlign w:val="bottom"/>
            <w:hideMark/>
          </w:tcPr>
          <w:p w:rsidR="00843CBD" w:rsidRDefault="00843CBD" w:rsidP="000A5210">
            <w:pPr>
              <w:rPr>
                <w:sz w:val="20"/>
                <w:szCs w:val="20"/>
              </w:rPr>
            </w:pPr>
          </w:p>
        </w:tc>
      </w:tr>
      <w:tr w:rsidR="00843CBD" w:rsidTr="000A5210">
        <w:trPr>
          <w:trHeight w:val="280"/>
          <w:jc w:val="center"/>
        </w:trPr>
        <w:tc>
          <w:tcPr>
            <w:tcW w:w="1943" w:type="dxa"/>
            <w:gridSpan w:val="2"/>
            <w:tcBorders>
              <w:top w:val="nil"/>
              <w:left w:val="nil"/>
              <w:bottom w:val="nil"/>
              <w:right w:val="nil"/>
            </w:tcBorders>
            <w:shd w:val="clear" w:color="auto" w:fill="auto"/>
            <w:noWrap/>
            <w:vAlign w:val="bottom"/>
            <w:hideMark/>
          </w:tcPr>
          <w:p w:rsidR="00843CBD" w:rsidRDefault="00843CBD" w:rsidP="000A5210">
            <w:pPr>
              <w:rPr>
                <w:color w:val="000000"/>
                <w:sz w:val="22"/>
                <w:szCs w:val="22"/>
              </w:rPr>
            </w:pPr>
            <w:r>
              <w:rPr>
                <w:color w:val="000000"/>
                <w:sz w:val="22"/>
                <w:szCs w:val="22"/>
              </w:rPr>
              <w:t>Small Business:</w:t>
            </w:r>
          </w:p>
        </w:tc>
        <w:tc>
          <w:tcPr>
            <w:tcW w:w="222"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451"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60" w:type="dxa"/>
            <w:tcBorders>
              <w:top w:val="nil"/>
              <w:left w:val="nil"/>
              <w:bottom w:val="nil"/>
              <w:right w:val="nil"/>
            </w:tcBorders>
            <w:shd w:val="clear" w:color="auto" w:fill="auto"/>
            <w:noWrap/>
            <w:vAlign w:val="bottom"/>
            <w:hideMark/>
          </w:tcPr>
          <w:p w:rsidR="00843CBD" w:rsidRDefault="00843CBD" w:rsidP="000A5210">
            <w:pPr>
              <w:jc w:val="center"/>
              <w:rPr>
                <w:sz w:val="20"/>
                <w:szCs w:val="20"/>
              </w:rPr>
            </w:pPr>
          </w:p>
        </w:tc>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257" w:type="dxa"/>
            <w:tcBorders>
              <w:top w:val="nil"/>
              <w:left w:val="nil"/>
              <w:bottom w:val="nil"/>
              <w:right w:val="nil"/>
            </w:tcBorders>
            <w:shd w:val="clear" w:color="auto" w:fill="auto"/>
            <w:noWrap/>
            <w:vAlign w:val="bottom"/>
            <w:hideMark/>
          </w:tcPr>
          <w:p w:rsidR="00843CBD" w:rsidRDefault="00843CBD" w:rsidP="000A5210">
            <w:pPr>
              <w:rPr>
                <w:sz w:val="20"/>
                <w:szCs w:val="20"/>
              </w:rPr>
            </w:pPr>
          </w:p>
        </w:tc>
      </w:tr>
      <w:tr w:rsidR="00843CBD" w:rsidTr="000A5210">
        <w:trPr>
          <w:trHeight w:val="60"/>
          <w:jc w:val="center"/>
        </w:trPr>
        <w:tc>
          <w:tcPr>
            <w:tcW w:w="222" w:type="dxa"/>
            <w:tcBorders>
              <w:top w:val="nil"/>
              <w:left w:val="nil"/>
              <w:bottom w:val="nil"/>
              <w:right w:val="nil"/>
            </w:tcBorders>
            <w:shd w:val="clear" w:color="auto" w:fill="auto"/>
            <w:noWrap/>
            <w:vAlign w:val="bottom"/>
            <w:hideMark/>
          </w:tcPr>
          <w:p w:rsidR="00843CBD" w:rsidRDefault="00843CBD" w:rsidP="000A5210">
            <w:pPr>
              <w:rPr>
                <w:sz w:val="20"/>
                <w:szCs w:val="20"/>
              </w:rPr>
            </w:pPr>
          </w:p>
        </w:tc>
        <w:tc>
          <w:tcPr>
            <w:tcW w:w="1721"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r>
              <w:rPr>
                <w:color w:val="000000"/>
                <w:sz w:val="22"/>
                <w:szCs w:val="22"/>
              </w:rPr>
              <w:t>GS</w:t>
            </w:r>
          </w:p>
        </w:tc>
        <w:tc>
          <w:tcPr>
            <w:tcW w:w="222"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$16.61</w:t>
            </w:r>
          </w:p>
        </w:tc>
        <w:tc>
          <w:tcPr>
            <w:tcW w:w="451"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$17.31</w:t>
            </w:r>
          </w:p>
        </w:tc>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$36.00</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r>
              <w:rPr>
                <w:color w:val="000000"/>
                <w:sz w:val="22"/>
                <w:szCs w:val="22"/>
              </w:rPr>
              <w:t>PLS</w:t>
            </w:r>
          </w:p>
        </w:tc>
        <w:tc>
          <w:tcPr>
            <w:tcW w:w="222"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$22.05</w:t>
            </w:r>
          </w:p>
        </w:tc>
        <w:tc>
          <w:tcPr>
            <w:tcW w:w="451"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$23.00</w:t>
            </w:r>
          </w:p>
        </w:tc>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$38.00</w:t>
            </w:r>
          </w:p>
        </w:tc>
      </w:tr>
      <w:tr w:rsidR="00843CBD" w:rsidTr="000A5210">
        <w:trPr>
          <w:trHeight w:val="280"/>
          <w:jc w:val="center"/>
        </w:trPr>
        <w:tc>
          <w:tcPr>
            <w:tcW w:w="22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p>
        </w:tc>
        <w:tc>
          <w:tcPr>
            <w:tcW w:w="1721" w:type="dxa"/>
            <w:tcBorders>
              <w:top w:val="nil"/>
              <w:left w:val="nil"/>
              <w:bottom w:val="nil"/>
              <w:right w:val="nil"/>
            </w:tcBorders>
            <w:shd w:val="clear" w:color="auto" w:fill="auto"/>
            <w:noWrap/>
            <w:vAlign w:val="bottom"/>
          </w:tcPr>
          <w:p w:rsidR="00843CBD" w:rsidRDefault="00843CBD" w:rsidP="000A5210">
            <w:pPr>
              <w:rPr>
                <w:color w:val="000000"/>
                <w:sz w:val="22"/>
                <w:szCs w:val="22"/>
              </w:rPr>
            </w:pPr>
            <w:r>
              <w:rPr>
                <w:color w:val="000000"/>
                <w:sz w:val="22"/>
                <w:szCs w:val="22"/>
              </w:rPr>
              <w:t>OGS</w:t>
            </w:r>
          </w:p>
        </w:tc>
        <w:tc>
          <w:tcPr>
            <w:tcW w:w="222" w:type="dxa"/>
            <w:tcBorders>
              <w:top w:val="nil"/>
              <w:left w:val="nil"/>
              <w:bottom w:val="nil"/>
              <w:right w:val="nil"/>
            </w:tcBorders>
            <w:shd w:val="clear" w:color="auto" w:fill="auto"/>
            <w:noWrap/>
            <w:vAlign w:val="bottom"/>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$27.22</w:t>
            </w:r>
          </w:p>
        </w:tc>
        <w:tc>
          <w:tcPr>
            <w:tcW w:w="451" w:type="dxa"/>
            <w:tcBorders>
              <w:top w:val="nil"/>
              <w:left w:val="nil"/>
              <w:bottom w:val="nil"/>
              <w:right w:val="nil"/>
            </w:tcBorders>
            <w:shd w:val="clear" w:color="auto" w:fill="auto"/>
            <w:noWrap/>
            <w:vAlign w:val="bottom"/>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$28.32</w:t>
            </w:r>
          </w:p>
        </w:tc>
        <w:tc>
          <w:tcPr>
            <w:tcW w:w="22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$50.00</w:t>
            </w:r>
          </w:p>
        </w:tc>
      </w:tr>
      <w:tr w:rsidR="00843CBD" w:rsidTr="000A5210">
        <w:trPr>
          <w:trHeight w:val="280"/>
          <w:jc w:val="center"/>
        </w:trPr>
        <w:tc>
          <w:tcPr>
            <w:tcW w:w="22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p>
        </w:tc>
        <w:tc>
          <w:tcPr>
            <w:tcW w:w="1721" w:type="dxa"/>
            <w:tcBorders>
              <w:top w:val="nil"/>
              <w:left w:val="nil"/>
              <w:bottom w:val="nil"/>
              <w:right w:val="nil"/>
            </w:tcBorders>
            <w:shd w:val="clear" w:color="auto" w:fill="auto"/>
            <w:noWrap/>
            <w:vAlign w:val="bottom"/>
          </w:tcPr>
          <w:p w:rsidR="00843CBD" w:rsidRDefault="00843CBD" w:rsidP="000A5210">
            <w:pPr>
              <w:rPr>
                <w:color w:val="000000"/>
                <w:sz w:val="22"/>
                <w:szCs w:val="22"/>
              </w:rPr>
            </w:pPr>
            <w:r>
              <w:rPr>
                <w:color w:val="000000"/>
                <w:sz w:val="22"/>
                <w:szCs w:val="22"/>
              </w:rPr>
              <w:t>UD</w:t>
            </w:r>
          </w:p>
        </w:tc>
        <w:tc>
          <w:tcPr>
            <w:tcW w:w="222" w:type="dxa"/>
            <w:tcBorders>
              <w:top w:val="nil"/>
              <w:left w:val="nil"/>
              <w:bottom w:val="nil"/>
              <w:right w:val="nil"/>
            </w:tcBorders>
            <w:shd w:val="clear" w:color="auto" w:fill="auto"/>
            <w:noWrap/>
            <w:vAlign w:val="bottom"/>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$7.56</w:t>
            </w:r>
          </w:p>
        </w:tc>
        <w:tc>
          <w:tcPr>
            <w:tcW w:w="451" w:type="dxa"/>
            <w:tcBorders>
              <w:top w:val="nil"/>
              <w:left w:val="nil"/>
              <w:bottom w:val="nil"/>
              <w:right w:val="nil"/>
            </w:tcBorders>
            <w:shd w:val="clear" w:color="auto" w:fill="auto"/>
            <w:noWrap/>
            <w:vAlign w:val="bottom"/>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$7.84</w:t>
            </w:r>
          </w:p>
        </w:tc>
        <w:tc>
          <w:tcPr>
            <w:tcW w:w="222"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$18.00</w:t>
            </w:r>
          </w:p>
        </w:tc>
      </w:tr>
      <w:tr w:rsidR="00843CBD" w:rsidTr="000A5210">
        <w:trPr>
          <w:trHeight w:val="280"/>
          <w:jc w:val="center"/>
        </w:trPr>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721"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r>
              <w:rPr>
                <w:color w:val="000000"/>
                <w:sz w:val="22"/>
                <w:szCs w:val="22"/>
              </w:rPr>
              <w:t>TOU-EO</w:t>
            </w:r>
          </w:p>
        </w:tc>
        <w:tc>
          <w:tcPr>
            <w:tcW w:w="222" w:type="dxa"/>
            <w:tcBorders>
              <w:top w:val="nil"/>
              <w:left w:val="nil"/>
              <w:bottom w:val="nil"/>
              <w:right w:val="nil"/>
            </w:tcBorders>
            <w:shd w:val="clear" w:color="auto" w:fill="auto"/>
            <w:noWrap/>
            <w:vAlign w:val="bottom"/>
            <w:hideMark/>
          </w:tcPr>
          <w:p w:rsidR="00843CBD" w:rsidRDefault="00843CBD" w:rsidP="000A5210">
            <w:pPr>
              <w:rPr>
                <w:color w:val="000000"/>
                <w:sz w:val="22"/>
                <w:szCs w:val="22"/>
              </w:rPr>
            </w:pPr>
          </w:p>
        </w:tc>
        <w:tc>
          <w:tcPr>
            <w:tcW w:w="100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$26.50</w:t>
            </w:r>
          </w:p>
        </w:tc>
        <w:tc>
          <w:tcPr>
            <w:tcW w:w="451" w:type="dxa"/>
            <w:tcBorders>
              <w:top w:val="nil"/>
              <w:left w:val="nil"/>
              <w:bottom w:val="nil"/>
              <w:right w:val="nil"/>
            </w:tcBorders>
            <w:shd w:val="clear" w:color="auto" w:fill="auto"/>
            <w:noWrap/>
            <w:vAlign w:val="bottom"/>
            <w:hideMark/>
          </w:tcPr>
          <w:p w:rsidR="00843CBD" w:rsidRDefault="00843CBD" w:rsidP="000A5210">
            <w:pPr>
              <w:jc w:val="center"/>
              <w:rPr>
                <w:color w:val="000000"/>
                <w:sz w:val="22"/>
                <w:szCs w:val="22"/>
              </w:rPr>
            </w:pPr>
            <w:r>
              <w:rPr>
                <w:color w:val="000000"/>
                <w:sz w:val="22"/>
                <w:szCs w:val="22"/>
              </w:rPr>
              <w:t xml:space="preserve"> -  </w:t>
            </w:r>
          </w:p>
        </w:tc>
        <w:tc>
          <w:tcPr>
            <w:tcW w:w="1260"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r>
              <w:rPr>
                <w:color w:val="000000"/>
                <w:sz w:val="22"/>
                <w:szCs w:val="22"/>
              </w:rPr>
              <w:t>$27.64</w:t>
            </w:r>
          </w:p>
        </w:tc>
        <w:tc>
          <w:tcPr>
            <w:tcW w:w="222" w:type="dxa"/>
            <w:tcBorders>
              <w:top w:val="nil"/>
              <w:left w:val="nil"/>
              <w:bottom w:val="nil"/>
              <w:right w:val="nil"/>
            </w:tcBorders>
            <w:shd w:val="clear" w:color="auto" w:fill="auto"/>
            <w:noWrap/>
            <w:vAlign w:val="bottom"/>
            <w:hideMark/>
          </w:tcPr>
          <w:p w:rsidR="00843CBD" w:rsidRDefault="00843CBD" w:rsidP="000A5210">
            <w:pPr>
              <w:jc w:val="right"/>
              <w:rPr>
                <w:color w:val="000000"/>
                <w:sz w:val="22"/>
                <w:szCs w:val="22"/>
              </w:rPr>
            </w:pPr>
          </w:p>
        </w:tc>
        <w:tc>
          <w:tcPr>
            <w:tcW w:w="1257" w:type="dxa"/>
            <w:tcBorders>
              <w:top w:val="nil"/>
              <w:left w:val="nil"/>
              <w:bottom w:val="nil"/>
              <w:right w:val="nil"/>
            </w:tcBorders>
            <w:shd w:val="clear" w:color="auto" w:fill="auto"/>
            <w:noWrap/>
            <w:vAlign w:val="bottom"/>
          </w:tcPr>
          <w:p w:rsidR="00843CBD" w:rsidRDefault="00843CBD" w:rsidP="000A5210">
            <w:pPr>
              <w:jc w:val="right"/>
              <w:rPr>
                <w:color w:val="000000"/>
                <w:sz w:val="22"/>
                <w:szCs w:val="22"/>
              </w:rPr>
            </w:pPr>
            <w:r>
              <w:rPr>
                <w:color w:val="000000"/>
                <w:sz w:val="22"/>
                <w:szCs w:val="22"/>
              </w:rPr>
              <w:t>$96.00</w:t>
            </w:r>
          </w:p>
        </w:tc>
      </w:tr>
    </w:tbl>
    <w:bookmarkEnd w:id="28"/>
    <w:p w:rsidR="00843CBD" w:rsidRDefault="00843CBD" w:rsidP="000A5210">
      <w:pPr>
        <w:pStyle w:val="Answers"/>
        <w:spacing w:before="360"/>
      </w:pPr>
      <w:r>
        <w:tab/>
        <w:t xml:space="preserve">The details supporting Staff’s </w:t>
      </w:r>
      <w:r w:rsidR="006E2C98">
        <w:t xml:space="preserve">Direct Customer Cost analysis </w:t>
      </w:r>
      <w:r>
        <w:t xml:space="preserve">are </w:t>
      </w:r>
      <w:r w:rsidR="006E2C98">
        <w:t>provided in Staff Exhibit</w:t>
      </w:r>
      <w:r w:rsidR="00F0356C">
        <w:t xml:space="preserve"> __</w:t>
      </w:r>
      <w:r w:rsidR="006E2C98">
        <w:t xml:space="preserve"> </w:t>
      </w:r>
      <w:r w:rsidR="00F0356C">
        <w:t>(BDW-</w:t>
      </w:r>
      <w:r w:rsidR="00730393">
        <w:t>9</w:t>
      </w:r>
      <w:r w:rsidR="00F0356C">
        <w:t>)</w:t>
      </w:r>
      <w:r>
        <w:t>.</w:t>
      </w:r>
    </w:p>
    <w:p w:rsidR="00843CBD" w:rsidRDefault="00843CBD" w:rsidP="00952CED">
      <w:pPr>
        <w:pStyle w:val="Answers"/>
        <w:spacing w:before="480"/>
        <w:rPr>
          <w:b/>
          <w:bCs/>
        </w:rPr>
      </w:pPr>
      <w:r>
        <w:rPr>
          <w:b/>
          <w:bCs/>
        </w:rPr>
        <w:t>Q.</w:t>
      </w:r>
      <w:r>
        <w:rPr>
          <w:b/>
          <w:bCs/>
        </w:rPr>
        <w:tab/>
        <w:t>WHAT ARE STAFF’S RECOMMENDATIONS REGARDING RESIDENTIAL AND SMALL BUSINESS MONTHLY CUSTOMER (BASIC SERVICE) CHARGES?</w:t>
      </w:r>
    </w:p>
    <w:p w:rsidR="00F0356C" w:rsidRDefault="00843CBD" w:rsidP="004B4B5E">
      <w:pPr>
        <w:pStyle w:val="Answers"/>
      </w:pPr>
      <w:r>
        <w:t>A.</w:t>
      </w:r>
      <w:r>
        <w:tab/>
        <w:t>Considering that the current basic service charges are higher than a reasonable level of customer costs,</w:t>
      </w:r>
      <w:r w:rsidR="009C1B44">
        <w:t xml:space="preserve"> and in the interest of rate continuity,</w:t>
      </w:r>
      <w:r>
        <w:t xml:space="preserve"> Staff recommends </w:t>
      </w:r>
      <w:r w:rsidR="009C1B44">
        <w:t xml:space="preserve">no </w:t>
      </w:r>
      <w:r w:rsidR="00CD7EB6">
        <w:t xml:space="preserve">increases to the </w:t>
      </w:r>
      <w:r w:rsidR="00AB593D">
        <w:t>r</w:t>
      </w:r>
      <w:r>
        <w:t xml:space="preserve">esidential and </w:t>
      </w:r>
      <w:r w:rsidR="00AB593D">
        <w:t>s</w:t>
      </w:r>
      <w:r>
        <w:t xml:space="preserve">mall </w:t>
      </w:r>
      <w:r w:rsidR="00AB593D">
        <w:t>b</w:t>
      </w:r>
      <w:r>
        <w:t xml:space="preserve">usiness </w:t>
      </w:r>
      <w:r w:rsidR="004137F9">
        <w:t xml:space="preserve">basic service </w:t>
      </w:r>
      <w:r>
        <w:t>charge</w:t>
      </w:r>
      <w:r w:rsidR="00CD7EB6">
        <w:t>s.</w:t>
      </w:r>
    </w:p>
    <w:p w:rsidR="006C0F41" w:rsidRPr="00F0356C" w:rsidRDefault="006E2C98" w:rsidP="00952CED">
      <w:pPr>
        <w:pStyle w:val="Answers"/>
        <w:spacing w:before="480"/>
        <w:rPr>
          <w:b/>
          <w:bCs/>
        </w:rPr>
      </w:pPr>
      <w:r w:rsidRPr="00F0356C">
        <w:rPr>
          <w:b/>
          <w:bCs/>
        </w:rPr>
        <w:lastRenderedPageBreak/>
        <w:t>Q.</w:t>
      </w:r>
      <w:r w:rsidRPr="00F0356C">
        <w:rPr>
          <w:b/>
          <w:bCs/>
        </w:rPr>
        <w:tab/>
        <w:t xml:space="preserve">PLEASE EXPLAIN </w:t>
      </w:r>
      <w:r w:rsidR="002C16F1">
        <w:rPr>
          <w:b/>
          <w:bCs/>
        </w:rPr>
        <w:t xml:space="preserve">HOW </w:t>
      </w:r>
      <w:r w:rsidRPr="00F0356C">
        <w:rPr>
          <w:b/>
          <w:bCs/>
        </w:rPr>
        <w:t xml:space="preserve">THE </w:t>
      </w:r>
      <w:r w:rsidR="001B2163">
        <w:rPr>
          <w:b/>
          <w:bCs/>
        </w:rPr>
        <w:t>ENERGY RATE FOR TH</w:t>
      </w:r>
      <w:r w:rsidR="00671FC4">
        <w:rPr>
          <w:b/>
          <w:bCs/>
        </w:rPr>
        <w:t>E</w:t>
      </w:r>
      <w:r w:rsidR="001B2163">
        <w:rPr>
          <w:b/>
          <w:bCs/>
        </w:rPr>
        <w:t xml:space="preserve"> </w:t>
      </w:r>
      <w:r w:rsidRPr="00F0356C">
        <w:rPr>
          <w:b/>
          <w:bCs/>
        </w:rPr>
        <w:t xml:space="preserve">RESIDENTIAL </w:t>
      </w:r>
      <w:r w:rsidR="001B2163">
        <w:rPr>
          <w:b/>
          <w:bCs/>
        </w:rPr>
        <w:t xml:space="preserve">SERVICE TARIFF IS </w:t>
      </w:r>
      <w:r w:rsidRPr="00F0356C">
        <w:rPr>
          <w:b/>
          <w:bCs/>
        </w:rPr>
        <w:t>STRUCTURE</w:t>
      </w:r>
      <w:r w:rsidR="001B2163">
        <w:rPr>
          <w:b/>
          <w:bCs/>
        </w:rPr>
        <w:t>D</w:t>
      </w:r>
      <w:r w:rsidRPr="00F0356C">
        <w:rPr>
          <w:b/>
          <w:bCs/>
        </w:rPr>
        <w:t>.</w:t>
      </w:r>
    </w:p>
    <w:p w:rsidR="00117E55" w:rsidRDefault="006E2C98" w:rsidP="007C27E6">
      <w:pPr>
        <w:pStyle w:val="Answers"/>
        <w:spacing w:after="360"/>
      </w:pPr>
      <w:r>
        <w:t>A.</w:t>
      </w:r>
      <w:r>
        <w:tab/>
      </w:r>
      <w:r w:rsidRPr="004717AD">
        <w:t>For several years, Georgia Power’s residential energy rates have been seasonally differentiated with an inverted-block rate structure during the summer months of June through September and a declining-block rate structure during the non-summer months.</w:t>
      </w:r>
      <w:r w:rsidR="007B4BAB" w:rsidRPr="004717AD">
        <w:t xml:space="preserve">  A comparison of the </w:t>
      </w:r>
      <w:r w:rsidR="004C38E0" w:rsidRPr="004717AD">
        <w:t>current residential</w:t>
      </w:r>
      <w:r w:rsidR="0053701E">
        <w:t xml:space="preserve"> Service</w:t>
      </w:r>
      <w:r w:rsidR="00E95267">
        <w:t xml:space="preserve"> Schedule (“R</w:t>
      </w:r>
      <w:r w:rsidR="00174AF6">
        <w:t>-</w:t>
      </w:r>
      <w:r w:rsidR="0053701E">
        <w:t>25</w:t>
      </w:r>
      <w:r w:rsidR="00BB600C">
        <w:t>”)</w:t>
      </w:r>
      <w:r w:rsidR="007B4BAB" w:rsidRPr="004717AD">
        <w:t xml:space="preserve"> energy charges is provided below:</w:t>
      </w:r>
    </w:p>
    <w:tbl>
      <w:tblPr>
        <w:tblW w:w="0" w:type="auto"/>
        <w:jc w:val="center"/>
        <w:tblLook w:val="04A0" w:firstRow="1" w:lastRow="0" w:firstColumn="1" w:lastColumn="0" w:noHBand="0" w:noVBand="1"/>
      </w:tblPr>
      <w:tblGrid>
        <w:gridCol w:w="2808"/>
        <w:gridCol w:w="236"/>
        <w:gridCol w:w="1776"/>
        <w:gridCol w:w="236"/>
        <w:gridCol w:w="1853"/>
      </w:tblGrid>
      <w:tr w:rsidR="00843CBD" w:rsidTr="000A5210">
        <w:trPr>
          <w:jc w:val="center"/>
        </w:trPr>
        <w:tc>
          <w:tcPr>
            <w:tcW w:w="6909" w:type="dxa"/>
            <w:gridSpan w:val="5"/>
            <w:tcBorders>
              <w:bottom w:val="single" w:sz="4" w:space="0" w:color="auto"/>
            </w:tcBorders>
            <w:shd w:val="clear" w:color="auto" w:fill="auto"/>
          </w:tcPr>
          <w:p w:rsidR="00843CBD" w:rsidRPr="007C27E6" w:rsidRDefault="00843CBD" w:rsidP="000A5210">
            <w:pPr>
              <w:jc w:val="center"/>
              <w:rPr>
                <w:sz w:val="22"/>
                <w:szCs w:val="22"/>
              </w:rPr>
            </w:pPr>
            <w:r w:rsidRPr="007C27E6">
              <w:rPr>
                <w:sz w:val="22"/>
                <w:szCs w:val="22"/>
              </w:rPr>
              <w:t xml:space="preserve">TABLE </w:t>
            </w:r>
            <w:r w:rsidR="00703EBD" w:rsidRPr="007C27E6">
              <w:rPr>
                <w:sz w:val="22"/>
                <w:szCs w:val="22"/>
              </w:rPr>
              <w:t>1</w:t>
            </w:r>
            <w:r w:rsidR="00F525E4">
              <w:rPr>
                <w:sz w:val="22"/>
                <w:szCs w:val="22"/>
              </w:rPr>
              <w:t>8</w:t>
            </w:r>
          </w:p>
          <w:p w:rsidR="00843CBD" w:rsidRDefault="00843CBD" w:rsidP="000A5210">
            <w:pPr>
              <w:jc w:val="center"/>
            </w:pPr>
            <w:r>
              <w:t xml:space="preserve">Current </w:t>
            </w:r>
            <w:r w:rsidR="00BB600C">
              <w:t>R</w:t>
            </w:r>
            <w:r w:rsidR="003F2FCE">
              <w:t>-25</w:t>
            </w:r>
            <w:r>
              <w:t xml:space="preserve"> Energy Charges</w:t>
            </w:r>
          </w:p>
        </w:tc>
      </w:tr>
      <w:tr w:rsidR="007B4BAB" w:rsidTr="000A5210">
        <w:trPr>
          <w:jc w:val="center"/>
        </w:trPr>
        <w:tc>
          <w:tcPr>
            <w:tcW w:w="2808" w:type="dxa"/>
            <w:tcBorders>
              <w:top w:val="single" w:sz="4" w:space="0" w:color="auto"/>
            </w:tcBorders>
            <w:shd w:val="clear" w:color="auto" w:fill="auto"/>
          </w:tcPr>
          <w:p w:rsidR="007B4BAB" w:rsidRDefault="007B4BAB" w:rsidP="000A5210">
            <w:pPr>
              <w:jc w:val="both"/>
            </w:pPr>
          </w:p>
        </w:tc>
        <w:tc>
          <w:tcPr>
            <w:tcW w:w="236" w:type="dxa"/>
            <w:tcBorders>
              <w:top w:val="single" w:sz="4" w:space="0" w:color="auto"/>
            </w:tcBorders>
            <w:shd w:val="clear" w:color="auto" w:fill="auto"/>
          </w:tcPr>
          <w:p w:rsidR="007B4BAB" w:rsidRDefault="007B4BAB" w:rsidP="000A5210">
            <w:pPr>
              <w:jc w:val="both"/>
            </w:pPr>
          </w:p>
        </w:tc>
        <w:tc>
          <w:tcPr>
            <w:tcW w:w="1776" w:type="dxa"/>
            <w:tcBorders>
              <w:top w:val="single" w:sz="4" w:space="0" w:color="auto"/>
            </w:tcBorders>
            <w:shd w:val="clear" w:color="auto" w:fill="auto"/>
          </w:tcPr>
          <w:p w:rsidR="007B4BAB" w:rsidRDefault="007B4BAB" w:rsidP="000A5210">
            <w:pPr>
              <w:jc w:val="center"/>
            </w:pPr>
          </w:p>
        </w:tc>
        <w:tc>
          <w:tcPr>
            <w:tcW w:w="236" w:type="dxa"/>
            <w:tcBorders>
              <w:top w:val="single" w:sz="4" w:space="0" w:color="auto"/>
            </w:tcBorders>
            <w:shd w:val="clear" w:color="auto" w:fill="auto"/>
          </w:tcPr>
          <w:p w:rsidR="007B4BAB" w:rsidRDefault="007B4BAB" w:rsidP="000A5210">
            <w:pPr>
              <w:jc w:val="center"/>
            </w:pPr>
          </w:p>
        </w:tc>
        <w:tc>
          <w:tcPr>
            <w:tcW w:w="1853" w:type="dxa"/>
            <w:tcBorders>
              <w:top w:val="single" w:sz="4" w:space="0" w:color="auto"/>
            </w:tcBorders>
            <w:shd w:val="clear" w:color="auto" w:fill="auto"/>
          </w:tcPr>
          <w:p w:rsidR="007B4BAB" w:rsidRDefault="007B4BAB" w:rsidP="000A5210">
            <w:pPr>
              <w:jc w:val="center"/>
            </w:pPr>
            <w:r>
              <w:t>Percentage of</w:t>
            </w:r>
          </w:p>
        </w:tc>
      </w:tr>
      <w:tr w:rsidR="007B4BAB" w:rsidTr="000A5210">
        <w:trPr>
          <w:jc w:val="center"/>
        </w:trPr>
        <w:tc>
          <w:tcPr>
            <w:tcW w:w="2808" w:type="dxa"/>
            <w:tcBorders>
              <w:bottom w:val="single" w:sz="4" w:space="0" w:color="auto"/>
            </w:tcBorders>
            <w:shd w:val="clear" w:color="auto" w:fill="auto"/>
          </w:tcPr>
          <w:p w:rsidR="007B4BAB" w:rsidRDefault="007B4BAB" w:rsidP="000A5210">
            <w:pPr>
              <w:jc w:val="center"/>
            </w:pPr>
            <w:r>
              <w:t>Season</w:t>
            </w:r>
          </w:p>
        </w:tc>
        <w:tc>
          <w:tcPr>
            <w:tcW w:w="236" w:type="dxa"/>
            <w:shd w:val="clear" w:color="auto" w:fill="auto"/>
          </w:tcPr>
          <w:p w:rsidR="007B4BAB" w:rsidRDefault="007B4BAB" w:rsidP="000A5210">
            <w:pPr>
              <w:jc w:val="both"/>
            </w:pPr>
          </w:p>
        </w:tc>
        <w:tc>
          <w:tcPr>
            <w:tcW w:w="1776" w:type="dxa"/>
            <w:tcBorders>
              <w:bottom w:val="single" w:sz="4" w:space="0" w:color="auto"/>
            </w:tcBorders>
            <w:shd w:val="clear" w:color="auto" w:fill="auto"/>
          </w:tcPr>
          <w:p w:rsidR="007B4BAB" w:rsidRDefault="007B4BAB" w:rsidP="000A5210">
            <w:pPr>
              <w:jc w:val="center"/>
            </w:pPr>
            <w:r>
              <w:t>Rate</w:t>
            </w:r>
          </w:p>
        </w:tc>
        <w:tc>
          <w:tcPr>
            <w:tcW w:w="236" w:type="dxa"/>
            <w:shd w:val="clear" w:color="auto" w:fill="auto"/>
          </w:tcPr>
          <w:p w:rsidR="007B4BAB" w:rsidRDefault="007B4BAB" w:rsidP="000A5210">
            <w:pPr>
              <w:jc w:val="center"/>
            </w:pPr>
          </w:p>
        </w:tc>
        <w:tc>
          <w:tcPr>
            <w:tcW w:w="1853" w:type="dxa"/>
            <w:tcBorders>
              <w:bottom w:val="single" w:sz="4" w:space="0" w:color="auto"/>
            </w:tcBorders>
            <w:shd w:val="clear" w:color="auto" w:fill="auto"/>
          </w:tcPr>
          <w:p w:rsidR="007B4BAB" w:rsidRDefault="007B4BAB" w:rsidP="000A5210">
            <w:pPr>
              <w:jc w:val="center"/>
            </w:pPr>
            <w:r>
              <w:t>First Block</w:t>
            </w:r>
          </w:p>
        </w:tc>
      </w:tr>
      <w:tr w:rsidR="007B4BAB" w:rsidTr="000A5210">
        <w:trPr>
          <w:jc w:val="center"/>
        </w:trPr>
        <w:tc>
          <w:tcPr>
            <w:tcW w:w="2808" w:type="dxa"/>
            <w:tcBorders>
              <w:top w:val="single" w:sz="4" w:space="0" w:color="auto"/>
            </w:tcBorders>
            <w:shd w:val="clear" w:color="auto" w:fill="auto"/>
          </w:tcPr>
          <w:p w:rsidR="007B4BAB" w:rsidRDefault="007B4BAB" w:rsidP="000A5210">
            <w:pPr>
              <w:jc w:val="both"/>
            </w:pPr>
          </w:p>
        </w:tc>
        <w:tc>
          <w:tcPr>
            <w:tcW w:w="236" w:type="dxa"/>
            <w:shd w:val="clear" w:color="auto" w:fill="auto"/>
          </w:tcPr>
          <w:p w:rsidR="007B4BAB" w:rsidRDefault="007B4BAB" w:rsidP="000A5210">
            <w:pPr>
              <w:jc w:val="both"/>
            </w:pPr>
          </w:p>
        </w:tc>
        <w:tc>
          <w:tcPr>
            <w:tcW w:w="1776" w:type="dxa"/>
            <w:tcBorders>
              <w:top w:val="single" w:sz="4" w:space="0" w:color="auto"/>
            </w:tcBorders>
            <w:shd w:val="clear" w:color="auto" w:fill="auto"/>
          </w:tcPr>
          <w:p w:rsidR="007B4BAB" w:rsidRDefault="007B4BAB" w:rsidP="000A5210">
            <w:pPr>
              <w:jc w:val="both"/>
            </w:pPr>
          </w:p>
        </w:tc>
        <w:tc>
          <w:tcPr>
            <w:tcW w:w="236" w:type="dxa"/>
            <w:shd w:val="clear" w:color="auto" w:fill="auto"/>
          </w:tcPr>
          <w:p w:rsidR="007B4BAB" w:rsidRDefault="007B4BAB" w:rsidP="000A5210">
            <w:pPr>
              <w:jc w:val="both"/>
            </w:pPr>
          </w:p>
        </w:tc>
        <w:tc>
          <w:tcPr>
            <w:tcW w:w="1853" w:type="dxa"/>
            <w:tcBorders>
              <w:top w:val="single" w:sz="4" w:space="0" w:color="auto"/>
            </w:tcBorders>
            <w:shd w:val="clear" w:color="auto" w:fill="auto"/>
          </w:tcPr>
          <w:p w:rsidR="007B4BAB" w:rsidRDefault="007B4BAB" w:rsidP="000A5210">
            <w:pPr>
              <w:jc w:val="both"/>
            </w:pPr>
          </w:p>
        </w:tc>
      </w:tr>
      <w:tr w:rsidR="007B4BAB" w:rsidTr="000A5210">
        <w:trPr>
          <w:jc w:val="center"/>
        </w:trPr>
        <w:tc>
          <w:tcPr>
            <w:tcW w:w="2808" w:type="dxa"/>
            <w:shd w:val="clear" w:color="auto" w:fill="auto"/>
          </w:tcPr>
          <w:p w:rsidR="007B4BAB" w:rsidRDefault="007B4BAB" w:rsidP="000A5210">
            <w:pPr>
              <w:jc w:val="both"/>
            </w:pPr>
            <w:r>
              <w:t>Summer</w:t>
            </w:r>
          </w:p>
        </w:tc>
        <w:tc>
          <w:tcPr>
            <w:tcW w:w="236" w:type="dxa"/>
            <w:shd w:val="clear" w:color="auto" w:fill="auto"/>
          </w:tcPr>
          <w:p w:rsidR="007B4BAB" w:rsidRDefault="007B4BAB" w:rsidP="000A5210">
            <w:pPr>
              <w:jc w:val="both"/>
            </w:pPr>
          </w:p>
        </w:tc>
        <w:tc>
          <w:tcPr>
            <w:tcW w:w="1776" w:type="dxa"/>
            <w:shd w:val="clear" w:color="auto" w:fill="auto"/>
          </w:tcPr>
          <w:p w:rsidR="007B4BAB" w:rsidRDefault="007B4BAB" w:rsidP="000A5210">
            <w:pPr>
              <w:jc w:val="both"/>
            </w:pPr>
          </w:p>
        </w:tc>
        <w:tc>
          <w:tcPr>
            <w:tcW w:w="236" w:type="dxa"/>
            <w:shd w:val="clear" w:color="auto" w:fill="auto"/>
          </w:tcPr>
          <w:p w:rsidR="007B4BAB" w:rsidRDefault="007B4BAB" w:rsidP="000A5210">
            <w:pPr>
              <w:jc w:val="both"/>
            </w:pPr>
          </w:p>
        </w:tc>
        <w:tc>
          <w:tcPr>
            <w:tcW w:w="1853" w:type="dxa"/>
            <w:shd w:val="clear" w:color="auto" w:fill="auto"/>
          </w:tcPr>
          <w:p w:rsidR="007B4BAB" w:rsidRDefault="007B4BAB" w:rsidP="000A5210">
            <w:pPr>
              <w:jc w:val="both"/>
            </w:pPr>
          </w:p>
        </w:tc>
      </w:tr>
      <w:tr w:rsidR="007B4BAB" w:rsidTr="000A5210">
        <w:trPr>
          <w:jc w:val="center"/>
        </w:trPr>
        <w:tc>
          <w:tcPr>
            <w:tcW w:w="2808" w:type="dxa"/>
            <w:shd w:val="clear" w:color="auto" w:fill="auto"/>
          </w:tcPr>
          <w:p w:rsidR="007B4BAB" w:rsidRDefault="007B4BAB" w:rsidP="000A5210">
            <w:pPr>
              <w:jc w:val="both"/>
            </w:pPr>
            <w:r>
              <w:t xml:space="preserve">    First 650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7B4BAB" w:rsidP="000A5210">
            <w:pPr>
              <w:jc w:val="center"/>
            </w:pPr>
            <w:r w:rsidRPr="002F2816">
              <w:t>5.</w:t>
            </w:r>
            <w:r w:rsidR="00843CBD" w:rsidRPr="002F2816">
              <w:t>8366</w:t>
            </w:r>
            <w:r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100%</w:t>
            </w:r>
          </w:p>
        </w:tc>
      </w:tr>
      <w:tr w:rsidR="007B4BAB" w:rsidTr="000A5210">
        <w:trPr>
          <w:jc w:val="center"/>
        </w:trPr>
        <w:tc>
          <w:tcPr>
            <w:tcW w:w="2808" w:type="dxa"/>
            <w:shd w:val="clear" w:color="auto" w:fill="auto"/>
          </w:tcPr>
          <w:p w:rsidR="007B4BAB" w:rsidRDefault="007B4BAB" w:rsidP="000A5210">
            <w:pPr>
              <w:jc w:val="both"/>
            </w:pPr>
            <w:r>
              <w:t xml:space="preserve">    651 to 1,000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843CBD" w:rsidP="000A5210">
            <w:pPr>
              <w:jc w:val="center"/>
            </w:pPr>
            <w:r w:rsidRPr="002F2816">
              <w:t>9.6943</w:t>
            </w:r>
            <w:r w:rsidR="007B4BAB"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166%</w:t>
            </w:r>
          </w:p>
        </w:tc>
      </w:tr>
      <w:tr w:rsidR="007B4BAB" w:rsidTr="000A5210">
        <w:trPr>
          <w:jc w:val="center"/>
        </w:trPr>
        <w:tc>
          <w:tcPr>
            <w:tcW w:w="2808" w:type="dxa"/>
            <w:shd w:val="clear" w:color="auto" w:fill="auto"/>
          </w:tcPr>
          <w:p w:rsidR="007B4BAB" w:rsidRDefault="007B4BAB" w:rsidP="000A5210">
            <w:pPr>
              <w:jc w:val="both"/>
            </w:pPr>
            <w:r>
              <w:t xml:space="preserve">    All Over 1,000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843CBD" w:rsidP="000A5210">
            <w:pPr>
              <w:jc w:val="center"/>
            </w:pPr>
            <w:r w:rsidRPr="002F2816">
              <w:t>10.0336</w:t>
            </w:r>
            <w:r w:rsidR="007B4BAB"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172%</w:t>
            </w:r>
          </w:p>
        </w:tc>
      </w:tr>
      <w:tr w:rsidR="007B4BAB" w:rsidTr="000A5210">
        <w:trPr>
          <w:jc w:val="center"/>
        </w:trPr>
        <w:tc>
          <w:tcPr>
            <w:tcW w:w="2808" w:type="dxa"/>
            <w:shd w:val="clear" w:color="auto" w:fill="auto"/>
          </w:tcPr>
          <w:p w:rsidR="007B4BAB" w:rsidRDefault="007B4BAB" w:rsidP="000A5210">
            <w:pPr>
              <w:jc w:val="both"/>
            </w:pP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7B4BAB" w:rsidP="000A5210">
            <w:pPr>
              <w:jc w:val="center"/>
            </w:pP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p>
        </w:tc>
      </w:tr>
      <w:tr w:rsidR="007B4BAB" w:rsidTr="000A5210">
        <w:trPr>
          <w:jc w:val="center"/>
        </w:trPr>
        <w:tc>
          <w:tcPr>
            <w:tcW w:w="2808" w:type="dxa"/>
            <w:shd w:val="clear" w:color="auto" w:fill="auto"/>
          </w:tcPr>
          <w:p w:rsidR="007B4BAB" w:rsidRDefault="007B4BAB" w:rsidP="000A5210">
            <w:pPr>
              <w:jc w:val="both"/>
            </w:pPr>
            <w:r>
              <w:t>Non-Summer</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7B4BAB" w:rsidP="000A5210">
            <w:pPr>
              <w:jc w:val="center"/>
            </w:pP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p>
        </w:tc>
      </w:tr>
      <w:tr w:rsidR="007B4BAB" w:rsidTr="000A5210">
        <w:trPr>
          <w:jc w:val="center"/>
        </w:trPr>
        <w:tc>
          <w:tcPr>
            <w:tcW w:w="2808" w:type="dxa"/>
            <w:shd w:val="clear" w:color="auto" w:fill="auto"/>
          </w:tcPr>
          <w:p w:rsidR="007B4BAB" w:rsidRDefault="007B4BAB" w:rsidP="000A5210">
            <w:pPr>
              <w:jc w:val="both"/>
            </w:pPr>
            <w:r>
              <w:t xml:space="preserve">    First 650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843CBD" w:rsidP="000A5210">
            <w:pPr>
              <w:jc w:val="center"/>
            </w:pPr>
            <w:r w:rsidRPr="002F2816">
              <w:t>5.8366</w:t>
            </w:r>
            <w:r w:rsidR="007B4BAB"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100%</w:t>
            </w:r>
          </w:p>
        </w:tc>
      </w:tr>
      <w:tr w:rsidR="007B4BAB" w:rsidTr="000A5210">
        <w:trPr>
          <w:jc w:val="center"/>
        </w:trPr>
        <w:tc>
          <w:tcPr>
            <w:tcW w:w="2808" w:type="dxa"/>
            <w:shd w:val="clear" w:color="auto" w:fill="auto"/>
          </w:tcPr>
          <w:p w:rsidR="007B4BAB" w:rsidRDefault="007B4BAB" w:rsidP="000A5210">
            <w:pPr>
              <w:jc w:val="both"/>
            </w:pPr>
            <w:r>
              <w:t xml:space="preserve">    651 to 1,000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843CBD" w:rsidP="000A5210">
            <w:pPr>
              <w:jc w:val="center"/>
            </w:pPr>
            <w:r w:rsidRPr="002F2816">
              <w:t>5.0062</w:t>
            </w:r>
            <w:r w:rsidR="007B4BAB"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86%</w:t>
            </w:r>
          </w:p>
        </w:tc>
      </w:tr>
      <w:tr w:rsidR="007B4BAB" w:rsidTr="000A5210">
        <w:trPr>
          <w:jc w:val="center"/>
        </w:trPr>
        <w:tc>
          <w:tcPr>
            <w:tcW w:w="2808" w:type="dxa"/>
            <w:shd w:val="clear" w:color="auto" w:fill="auto"/>
          </w:tcPr>
          <w:p w:rsidR="007B4BAB" w:rsidRDefault="007B4BAB" w:rsidP="000A5210">
            <w:pPr>
              <w:jc w:val="both"/>
            </w:pPr>
            <w:r>
              <w:t xml:space="preserve">    All Over 1,000 </w:t>
            </w:r>
            <w:r w:rsidR="007C27E6">
              <w:t>k</w:t>
            </w:r>
            <w:r w:rsidR="00117E55">
              <w:t>Wh</w:t>
            </w:r>
          </w:p>
        </w:tc>
        <w:tc>
          <w:tcPr>
            <w:tcW w:w="236" w:type="dxa"/>
            <w:shd w:val="clear" w:color="auto" w:fill="auto"/>
          </w:tcPr>
          <w:p w:rsidR="007B4BAB" w:rsidRDefault="007B4BAB" w:rsidP="000A5210">
            <w:pPr>
              <w:jc w:val="both"/>
            </w:pPr>
          </w:p>
        </w:tc>
        <w:tc>
          <w:tcPr>
            <w:tcW w:w="1776" w:type="dxa"/>
            <w:shd w:val="clear" w:color="auto" w:fill="auto"/>
          </w:tcPr>
          <w:p w:rsidR="007B4BAB" w:rsidRPr="00843CBD" w:rsidRDefault="00843CBD" w:rsidP="000A5210">
            <w:pPr>
              <w:jc w:val="center"/>
            </w:pPr>
            <w:r w:rsidRPr="002F2816">
              <w:t>4.9143</w:t>
            </w:r>
            <w:r w:rsidR="007B4BAB" w:rsidRPr="002F2816">
              <w:t>¢</w:t>
            </w:r>
          </w:p>
        </w:tc>
        <w:tc>
          <w:tcPr>
            <w:tcW w:w="236" w:type="dxa"/>
            <w:shd w:val="clear" w:color="auto" w:fill="auto"/>
          </w:tcPr>
          <w:p w:rsidR="007B4BAB" w:rsidRDefault="007B4BAB" w:rsidP="000A5210">
            <w:pPr>
              <w:jc w:val="right"/>
            </w:pPr>
          </w:p>
        </w:tc>
        <w:tc>
          <w:tcPr>
            <w:tcW w:w="1853" w:type="dxa"/>
            <w:shd w:val="clear" w:color="auto" w:fill="auto"/>
          </w:tcPr>
          <w:p w:rsidR="007B4BAB" w:rsidRDefault="007B4BAB" w:rsidP="000A5210">
            <w:pPr>
              <w:jc w:val="center"/>
            </w:pPr>
            <w:r>
              <w:t>84%</w:t>
            </w:r>
          </w:p>
        </w:tc>
      </w:tr>
    </w:tbl>
    <w:p w:rsidR="00FF27F4" w:rsidRDefault="007B4BAB" w:rsidP="00FF27F4">
      <w:pPr>
        <w:spacing w:before="480" w:line="480" w:lineRule="auto"/>
        <w:ind w:left="720"/>
        <w:jc w:val="both"/>
      </w:pPr>
      <w:r>
        <w:t>As</w:t>
      </w:r>
      <w:r w:rsidR="003F2FCE">
        <w:t xml:space="preserve"> </w:t>
      </w:r>
      <w:r w:rsidR="00827049">
        <w:t xml:space="preserve">shown </w:t>
      </w:r>
      <w:r>
        <w:t xml:space="preserve">above, the energy charge for the </w:t>
      </w:r>
      <w:r w:rsidR="008E7EBC">
        <w:t>f</w:t>
      </w:r>
      <w:r>
        <w:t xml:space="preserve">irst 650 </w:t>
      </w:r>
      <w:r w:rsidR="00EC336B">
        <w:t>k</w:t>
      </w:r>
      <w:r>
        <w:t>W</w:t>
      </w:r>
      <w:r w:rsidR="00EC336B">
        <w:t>h</w:t>
      </w:r>
      <w:r>
        <w:t xml:space="preserve"> of usage is the same for both the </w:t>
      </w:r>
      <w:r w:rsidR="00C54FC2">
        <w:t>s</w:t>
      </w:r>
      <w:r>
        <w:t xml:space="preserve">ummer and </w:t>
      </w:r>
      <w:r w:rsidR="00843CBD">
        <w:t>n</w:t>
      </w:r>
      <w:r>
        <w:t>on-</w:t>
      </w:r>
      <w:r w:rsidR="00C54FC2">
        <w:t>s</w:t>
      </w:r>
      <w:r>
        <w:t xml:space="preserve">ummer periods.  During the four </w:t>
      </w:r>
      <w:r w:rsidR="0080223D">
        <w:t>s</w:t>
      </w:r>
      <w:r>
        <w:t xml:space="preserve">ummer months of June through September, the </w:t>
      </w:r>
      <w:r w:rsidR="00BB600C">
        <w:t>r</w:t>
      </w:r>
      <w:r>
        <w:t xml:space="preserve">esidential energy charge increases as usage increases such that the second usage block (651 to 1,000 </w:t>
      </w:r>
      <w:r w:rsidR="00A8470D">
        <w:t>k</w:t>
      </w:r>
      <w:r>
        <w:t>W</w:t>
      </w:r>
      <w:r w:rsidR="00EC336B">
        <w:t>h</w:t>
      </w:r>
      <w:r>
        <w:t>) is priced at 66% mo</w:t>
      </w:r>
      <w:r w:rsidR="00C54FC2">
        <w:t>re</w:t>
      </w:r>
      <w:r w:rsidR="008C7EE3">
        <w:t xml:space="preserve"> </w:t>
      </w:r>
      <w:r w:rsidR="009026DA">
        <w:t xml:space="preserve">than </w:t>
      </w:r>
      <w:r>
        <w:t xml:space="preserve">the </w:t>
      </w:r>
      <w:r w:rsidR="008C7EE3">
        <w:t>f</w:t>
      </w:r>
      <w:r>
        <w:t xml:space="preserve">irst 650 </w:t>
      </w:r>
      <w:r w:rsidR="00EC336B">
        <w:t>k</w:t>
      </w:r>
      <w:r>
        <w:t>W</w:t>
      </w:r>
      <w:r w:rsidR="00EC336B">
        <w:t>h</w:t>
      </w:r>
      <w:r>
        <w:t xml:space="preserve"> of usage.  Similarly, the </w:t>
      </w:r>
      <w:r w:rsidR="00C54FC2">
        <w:t>s</w:t>
      </w:r>
      <w:r>
        <w:t xml:space="preserve">ummer tail block is priced at a </w:t>
      </w:r>
      <w:r w:rsidR="005C7C02">
        <w:t>graduate</w:t>
      </w:r>
      <w:r>
        <w:t>d rate of 72% greater than the first block.</w:t>
      </w:r>
      <w:r w:rsidR="005C7C02">
        <w:t xml:space="preserve">  Conversely, during </w:t>
      </w:r>
      <w:r w:rsidR="0080223D">
        <w:t>the n</w:t>
      </w:r>
      <w:r w:rsidR="005C7C02">
        <w:t xml:space="preserve">on-summer months (October through May), the </w:t>
      </w:r>
      <w:r w:rsidR="00BB600C">
        <w:t>r</w:t>
      </w:r>
      <w:r w:rsidR="005C7C02">
        <w:t xml:space="preserve">esidential energy charge decreases as usage increases such that the second usage block (651 to 1,000 </w:t>
      </w:r>
      <w:r w:rsidR="00A8470D">
        <w:lastRenderedPageBreak/>
        <w:t>k</w:t>
      </w:r>
      <w:r w:rsidR="005C7C02">
        <w:t>W</w:t>
      </w:r>
      <w:r w:rsidR="00EC336B">
        <w:t>h</w:t>
      </w:r>
      <w:r w:rsidR="005C7C02">
        <w:t xml:space="preserve">) is priced at 14% less than that for the </w:t>
      </w:r>
      <w:r w:rsidR="00C54FC2">
        <w:t>f</w:t>
      </w:r>
      <w:r w:rsidR="005C7C02">
        <w:t xml:space="preserve">irst 650 </w:t>
      </w:r>
      <w:r w:rsidR="00A8470D">
        <w:t>k</w:t>
      </w:r>
      <w:r w:rsidR="005C7C02">
        <w:t>W</w:t>
      </w:r>
      <w:r w:rsidR="00EC336B">
        <w:t>h</w:t>
      </w:r>
      <w:r w:rsidR="005C7C02">
        <w:t xml:space="preserve"> of usage.  In addition, the </w:t>
      </w:r>
      <w:r w:rsidR="00843CBD">
        <w:t>n</w:t>
      </w:r>
      <w:r w:rsidR="005C7C02">
        <w:t>on-</w:t>
      </w:r>
      <w:r w:rsidR="00C54FC2">
        <w:t>s</w:t>
      </w:r>
      <w:r w:rsidR="005C7C02">
        <w:t xml:space="preserve">ummer tail block is priced at an even lower rate of 16% less than the first block. </w:t>
      </w:r>
    </w:p>
    <w:p w:rsidR="007F61EC" w:rsidRDefault="007F61EC" w:rsidP="00FF27F4">
      <w:pPr>
        <w:spacing w:before="480" w:line="480" w:lineRule="auto"/>
        <w:ind w:left="720" w:hanging="720"/>
        <w:jc w:val="both"/>
        <w:rPr>
          <w:b/>
          <w:bCs/>
        </w:rPr>
      </w:pPr>
      <w:r>
        <w:rPr>
          <w:b/>
          <w:bCs/>
        </w:rPr>
        <w:t>Q.</w:t>
      </w:r>
      <w:r>
        <w:rPr>
          <w:b/>
          <w:bCs/>
        </w:rPr>
        <w:tab/>
        <w:t>HAS GEORGIA POWER’S LOAD PATTERNS AND SEASONAL GENERATION PLANNING CHANGED OVER THE LAST SEVERAL DECADES?</w:t>
      </w:r>
    </w:p>
    <w:p w:rsidR="007F61EC" w:rsidRDefault="007F61EC" w:rsidP="00990DF0">
      <w:pPr>
        <w:spacing w:line="480" w:lineRule="auto"/>
        <w:ind w:left="720" w:hanging="720"/>
        <w:jc w:val="both"/>
      </w:pPr>
      <w:r>
        <w:t>A.</w:t>
      </w:r>
      <w:r>
        <w:tab/>
        <w:t xml:space="preserve">Yes.  In the past, Georgia Power was predominately concerned with summer loads </w:t>
      </w:r>
      <w:r w:rsidR="00174AF6">
        <w:t>for its</w:t>
      </w:r>
      <w:r>
        <w:t xml:space="preserve"> reliability planning.  However, over the years, the Company’s load profiles have changed such that for planning purposes, much more consideration is given to winter loads and energy requirements.  To illustrate, the 2022 </w:t>
      </w:r>
      <w:r w:rsidR="00715980">
        <w:t xml:space="preserve">Georgia Power </w:t>
      </w:r>
      <w:r>
        <w:t>Integrated Resource Plan (“IRP”) notes and emphasizes the changing seasonal dynamics confronted by Georgia Power.  Specifically, with respect to generation reserve margins, the IRP states:</w:t>
      </w:r>
    </w:p>
    <w:p w:rsidR="007F61EC" w:rsidRDefault="007F61EC" w:rsidP="009751A2">
      <w:pPr>
        <w:ind w:left="1440" w:right="720"/>
        <w:jc w:val="both"/>
      </w:pPr>
      <w:r>
        <w:t>In order to effectuate seasonal planning, the Company must also establish seasonal Target Reserve Margins.  The Reserve Margin Study evaluated the need for these seasonal Target Reserve Margins.  Notably, the results of the most recent Reserve Margin Study continue to reflect the significant increase in winter reliability risks.  These risks are associated with the following drivers:  (1) the narrowing of the difference between summer and winter weather-normal peak loads; (2) higher volatility of winter peak demands relative to summer peak demands; (3) cold-weather-related unit outages; (4) the penetration of solar resources; (5) increased reliance on natural gas; and (6) market purchase availability.  Given the difference in customer load response as well as differences in both the availability and dependability of resources in the summer and winter peak periods, it remains necessary to independently evaluate Resource Adequacy in both the summer and winter peak periods to ensure that System reliability has been appropriate evaluated.</w:t>
      </w:r>
      <w:r>
        <w:rPr>
          <w:rStyle w:val="FootnoteReference"/>
        </w:rPr>
        <w:footnoteReference w:id="32"/>
      </w:r>
      <w:r>
        <w:t xml:space="preserve">  </w:t>
      </w:r>
    </w:p>
    <w:p w:rsidR="007F61EC" w:rsidRDefault="007F61EC" w:rsidP="009751A2">
      <w:pPr>
        <w:spacing w:before="480" w:line="480" w:lineRule="auto"/>
        <w:ind w:left="720" w:hanging="720"/>
        <w:jc w:val="both"/>
        <w:rPr>
          <w:b/>
          <w:bCs/>
        </w:rPr>
      </w:pPr>
      <w:r>
        <w:rPr>
          <w:b/>
          <w:bCs/>
        </w:rPr>
        <w:t>Q.</w:t>
      </w:r>
      <w:r>
        <w:rPr>
          <w:b/>
          <w:bCs/>
        </w:rPr>
        <w:tab/>
        <w:t>ARE GEORGIA POWER’S PEAK LOADS AND ENERGY USAGE RELATIVELY HIGH IN THE WINTER MONTHS?</w:t>
      </w:r>
    </w:p>
    <w:p w:rsidR="007F61EC" w:rsidRDefault="007F61EC" w:rsidP="007C27E6">
      <w:pPr>
        <w:spacing w:after="360" w:line="480" w:lineRule="auto"/>
        <w:ind w:left="720" w:hanging="720"/>
        <w:jc w:val="both"/>
      </w:pPr>
      <w:r>
        <w:lastRenderedPageBreak/>
        <w:t>A.</w:t>
      </w:r>
      <w:r>
        <w:tab/>
        <w:t xml:space="preserve">Yes.  While Georgia Power continues to </w:t>
      </w:r>
      <w:r w:rsidR="00006AD2">
        <w:t xml:space="preserve">incur </w:t>
      </w:r>
      <w:r>
        <w:t xml:space="preserve">its annual peak </w:t>
      </w:r>
      <w:r w:rsidR="00006AD2">
        <w:t xml:space="preserve">load </w:t>
      </w:r>
      <w:r>
        <w:t>in the summer, loads and energy usage are also relatively high during the cold winter months as shown in the tables below:</w:t>
      </w:r>
    </w:p>
    <w:p w:rsidR="00A97912" w:rsidRDefault="00F525E4" w:rsidP="00641C15">
      <w:pPr>
        <w:suppressLineNumbers/>
        <w:spacing w:after="360" w:line="480" w:lineRule="auto"/>
        <w:ind w:left="720" w:hanging="720"/>
        <w:jc w:val="both"/>
      </w:pPr>
      <w:r w:rsidRPr="00F525E4">
        <w:rPr>
          <w:noProof/>
        </w:rPr>
        <w:drawing>
          <wp:inline distT="0" distB="0" distL="0" distR="0" wp14:anchorId="0E35047E" wp14:editId="22FA1A2F">
            <wp:extent cx="5943600" cy="36239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623945"/>
                    </a:xfrm>
                    <a:prstGeom prst="rect">
                      <a:avLst/>
                    </a:prstGeom>
                    <a:noFill/>
                    <a:ln>
                      <a:noFill/>
                    </a:ln>
                  </pic:spPr>
                </pic:pic>
              </a:graphicData>
            </a:graphic>
          </wp:inline>
        </w:drawing>
      </w:r>
    </w:p>
    <w:p w:rsidR="00A97912" w:rsidRDefault="00A97912" w:rsidP="00641C15">
      <w:pPr>
        <w:suppressLineNumbers/>
        <w:spacing w:after="360" w:line="480" w:lineRule="auto"/>
        <w:ind w:left="720" w:hanging="720"/>
        <w:jc w:val="center"/>
      </w:pPr>
    </w:p>
    <w:p w:rsidR="00F525E4" w:rsidRDefault="00F525E4" w:rsidP="00F525E4">
      <w:pPr>
        <w:suppressLineNumbers/>
        <w:spacing w:before="360" w:after="360" w:line="480" w:lineRule="auto"/>
        <w:jc w:val="center"/>
      </w:pPr>
      <w:r w:rsidRPr="00F525E4">
        <w:rPr>
          <w:noProof/>
        </w:rPr>
        <w:lastRenderedPageBreak/>
        <w:drawing>
          <wp:inline distT="0" distB="0" distL="0" distR="0" wp14:anchorId="6FCB50B1" wp14:editId="65E38B69">
            <wp:extent cx="5706533" cy="3455013"/>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4966" cy="3460119"/>
                    </a:xfrm>
                    <a:prstGeom prst="rect">
                      <a:avLst/>
                    </a:prstGeom>
                    <a:noFill/>
                    <a:ln>
                      <a:noFill/>
                    </a:ln>
                  </pic:spPr>
                </pic:pic>
              </a:graphicData>
            </a:graphic>
          </wp:inline>
        </w:drawing>
      </w:r>
    </w:p>
    <w:p w:rsidR="007F61EC" w:rsidRDefault="00713683" w:rsidP="007C27E6">
      <w:pPr>
        <w:spacing w:before="360" w:after="360" w:line="480" w:lineRule="auto"/>
        <w:ind w:left="720"/>
      </w:pPr>
      <w:r>
        <w:t>The tables</w:t>
      </w:r>
      <w:r w:rsidR="00827049">
        <w:t xml:space="preserve"> provided above </w:t>
      </w:r>
      <w:r w:rsidR="007F61EC">
        <w:t>are provided graphically below:</w:t>
      </w:r>
    </w:p>
    <w:p w:rsidR="007F61EC" w:rsidRDefault="007F61EC" w:rsidP="00641C15">
      <w:pPr>
        <w:suppressLineNumbers/>
        <w:spacing w:line="480" w:lineRule="auto"/>
        <w:ind w:left="720" w:hanging="720"/>
        <w:jc w:val="center"/>
      </w:pPr>
      <w:r>
        <w:rPr>
          <w:noProof/>
        </w:rPr>
        <w:drawing>
          <wp:inline distT="0" distB="0" distL="0" distR="0" wp14:anchorId="656837C0" wp14:editId="6A2F9D36">
            <wp:extent cx="5005070" cy="3274060"/>
            <wp:effectExtent l="0" t="0" r="5080" b="254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5070" cy="3274060"/>
                    </a:xfrm>
                    <a:prstGeom prst="rect">
                      <a:avLst/>
                    </a:prstGeom>
                    <a:noFill/>
                  </pic:spPr>
                </pic:pic>
              </a:graphicData>
            </a:graphic>
          </wp:inline>
        </w:drawing>
      </w:r>
    </w:p>
    <w:p w:rsidR="007F61EC" w:rsidRDefault="007F61EC" w:rsidP="00641C15">
      <w:pPr>
        <w:suppressLineNumbers/>
        <w:spacing w:line="480" w:lineRule="auto"/>
        <w:ind w:left="720" w:hanging="720"/>
        <w:jc w:val="center"/>
      </w:pPr>
      <w:r>
        <w:rPr>
          <w:noProof/>
        </w:rPr>
        <w:lastRenderedPageBreak/>
        <w:drawing>
          <wp:inline distT="0" distB="0" distL="0" distR="0" wp14:anchorId="3FAF0000" wp14:editId="379FE29B">
            <wp:extent cx="4962525" cy="3035935"/>
            <wp:effectExtent l="0" t="0" r="9525"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2525" cy="3035935"/>
                    </a:xfrm>
                    <a:prstGeom prst="rect">
                      <a:avLst/>
                    </a:prstGeom>
                    <a:noFill/>
                  </pic:spPr>
                </pic:pic>
              </a:graphicData>
            </a:graphic>
          </wp:inline>
        </w:drawing>
      </w:r>
    </w:p>
    <w:p w:rsidR="007F61EC" w:rsidRDefault="007F61EC" w:rsidP="00F7151D">
      <w:pPr>
        <w:spacing w:before="480" w:line="480" w:lineRule="auto"/>
        <w:ind w:left="720"/>
        <w:jc w:val="both"/>
      </w:pPr>
      <w:r>
        <w:t xml:space="preserve">As indicated in the above tables and graphs, both the system (retail) and </w:t>
      </w:r>
      <w:r w:rsidR="00BB600C">
        <w:t xml:space="preserve">the </w:t>
      </w:r>
      <w:r>
        <w:t>residential</w:t>
      </w:r>
      <w:r w:rsidR="00BB600C">
        <w:t xml:space="preserve"> customers receiving service on the</w:t>
      </w:r>
      <w:r>
        <w:t xml:space="preserve"> R</w:t>
      </w:r>
      <w:r w:rsidR="00BB600C">
        <w:t xml:space="preserve">-25 </w:t>
      </w:r>
      <w:r w:rsidR="007F703B">
        <w:t>tariff have</w:t>
      </w:r>
      <w:r>
        <w:t xml:space="preserve"> considerably high loads and energy requirements during the traditional winter months.  </w:t>
      </w:r>
    </w:p>
    <w:p w:rsidR="007B4BAB" w:rsidRPr="005C7C02" w:rsidRDefault="005C7C02" w:rsidP="00D24841">
      <w:pPr>
        <w:pStyle w:val="Questions"/>
      </w:pPr>
      <w:r>
        <w:t>Q.</w:t>
      </w:r>
      <w:r>
        <w:tab/>
        <w:t>DO</w:t>
      </w:r>
      <w:r w:rsidR="00350C2D">
        <w:t xml:space="preserve">ES STAFF </w:t>
      </w:r>
      <w:r>
        <w:t xml:space="preserve">RECOMMEND ANY CHANGES TO THIS RESIDENTIAL </w:t>
      </w:r>
      <w:r w:rsidR="0053701E">
        <w:t>SERVICE</w:t>
      </w:r>
      <w:r w:rsidR="007519C5">
        <w:t xml:space="preserve"> (“R”)</w:t>
      </w:r>
      <w:r w:rsidR="0053701E">
        <w:t xml:space="preserve"> </w:t>
      </w:r>
      <w:r>
        <w:t>RATE STRUCTURE?</w:t>
      </w:r>
    </w:p>
    <w:p w:rsidR="00AA6CD8" w:rsidRDefault="005C7C02" w:rsidP="004717AD">
      <w:pPr>
        <w:pStyle w:val="Answers"/>
      </w:pPr>
      <w:r>
        <w:t>A.</w:t>
      </w:r>
      <w:r>
        <w:tab/>
        <w:t xml:space="preserve">Yes.  While </w:t>
      </w:r>
      <w:r w:rsidR="00C3261E">
        <w:t>Staff</w:t>
      </w:r>
      <w:r>
        <w:t xml:space="preserve"> concur</w:t>
      </w:r>
      <w:r w:rsidR="00C3261E">
        <w:t>s</w:t>
      </w:r>
      <w:r>
        <w:t xml:space="preserve"> with the concept of an inverted-block rate during the high cost summer months since </w:t>
      </w:r>
      <w:r w:rsidR="00A90AD2">
        <w:t xml:space="preserve">it </w:t>
      </w:r>
      <w:r>
        <w:t xml:space="preserve">will provide </w:t>
      </w:r>
      <w:r w:rsidR="00174AF6">
        <w:t xml:space="preserve">customers </w:t>
      </w:r>
      <w:r>
        <w:t xml:space="preserve">a proper price signal during this high cost period, </w:t>
      </w:r>
      <w:r w:rsidR="00C3261E">
        <w:t>we</w:t>
      </w:r>
      <w:r>
        <w:t xml:space="preserve"> recommend </w:t>
      </w:r>
      <w:r w:rsidR="00D248BC">
        <w:t>the elimination</w:t>
      </w:r>
      <w:r>
        <w:t xml:space="preserve"> of the declining-block rates during the non-summer months</w:t>
      </w:r>
      <w:r w:rsidR="00843CBD">
        <w:t xml:space="preserve"> to a flat rate for all </w:t>
      </w:r>
      <w:r w:rsidR="00641C15">
        <w:t>k</w:t>
      </w:r>
      <w:r w:rsidR="00843CBD">
        <w:t>Wh usage</w:t>
      </w:r>
      <w:r>
        <w:t>.</w:t>
      </w:r>
      <w:r w:rsidR="003C38E3">
        <w:t xml:space="preserve">  Specifically, Staff recommends </w:t>
      </w:r>
      <w:r w:rsidR="00E16C78">
        <w:t xml:space="preserve">that the </w:t>
      </w:r>
      <w:r w:rsidR="00BD26F2">
        <w:t xml:space="preserve">relationship between </w:t>
      </w:r>
      <w:r w:rsidR="004D4AC9">
        <w:t xml:space="preserve">the </w:t>
      </w:r>
      <w:r w:rsidR="00BD26F2">
        <w:t xml:space="preserve">summer and </w:t>
      </w:r>
      <w:r w:rsidR="004D4AC9">
        <w:t xml:space="preserve">non-summer base rate </w:t>
      </w:r>
      <w:r w:rsidR="00BD26F2">
        <w:t>energy charge revenue</w:t>
      </w:r>
      <w:r w:rsidR="00CA338B">
        <w:t>s</w:t>
      </w:r>
      <w:r w:rsidR="00BD26F2">
        <w:t xml:space="preserve"> be maintained</w:t>
      </w:r>
      <w:r w:rsidR="002F4C1A">
        <w:t>.</w:t>
      </w:r>
      <w:r>
        <w:t xml:space="preserve"> </w:t>
      </w:r>
    </w:p>
    <w:p w:rsidR="00F525E4" w:rsidRDefault="00F525E4" w:rsidP="00F525E4">
      <w:pPr>
        <w:pStyle w:val="Answers"/>
        <w:suppressLineNumbers/>
      </w:pPr>
    </w:p>
    <w:p w:rsidR="0015543B" w:rsidRPr="0015543B" w:rsidRDefault="00AA6CD8" w:rsidP="00F525E4">
      <w:pPr>
        <w:pStyle w:val="Questions"/>
        <w:spacing w:before="0"/>
      </w:pPr>
      <w:r w:rsidRPr="0015543B">
        <w:lastRenderedPageBreak/>
        <w:t>Q.</w:t>
      </w:r>
      <w:r w:rsidRPr="0015543B">
        <w:tab/>
        <w:t>D</w:t>
      </w:r>
      <w:r w:rsidR="00C153DE">
        <w:t>OES</w:t>
      </w:r>
      <w:r w:rsidRPr="0015543B">
        <w:t xml:space="preserve"> THE COMPANY PROPOSE ANY OTHER CHANGES TO THE </w:t>
      </w:r>
      <w:r w:rsidR="003C7CDF">
        <w:t xml:space="preserve">R </w:t>
      </w:r>
      <w:r w:rsidR="0015543B" w:rsidRPr="0015543B">
        <w:t>TARIFF?</w:t>
      </w:r>
    </w:p>
    <w:p w:rsidR="00A90AD2" w:rsidRDefault="0015543B" w:rsidP="00F525E4">
      <w:pPr>
        <w:pStyle w:val="Answers"/>
      </w:pPr>
      <w:r>
        <w:t>A.</w:t>
      </w:r>
      <w:r>
        <w:tab/>
        <w:t>Yes.  The Company propose</w:t>
      </w:r>
      <w:r w:rsidR="00C153DE">
        <w:t>s</w:t>
      </w:r>
      <w:r>
        <w:t xml:space="preserve"> to make the </w:t>
      </w:r>
      <w:r w:rsidR="00A90AD2">
        <w:t>R</w:t>
      </w:r>
      <w:r w:rsidR="00951D36">
        <w:t xml:space="preserve"> </w:t>
      </w:r>
      <w:r w:rsidR="00A90AD2">
        <w:t xml:space="preserve">tariff </w:t>
      </w:r>
      <w:r>
        <w:t>unavailable to newly constructed premises that are established on Georgia Power’s system after December 31, 2022.</w:t>
      </w:r>
    </w:p>
    <w:p w:rsidR="00490243" w:rsidRDefault="00490243" w:rsidP="00641C15">
      <w:pPr>
        <w:spacing w:before="360" w:line="480" w:lineRule="auto"/>
        <w:ind w:left="720" w:hanging="720"/>
        <w:jc w:val="both"/>
        <w:rPr>
          <w:b/>
          <w:bCs/>
        </w:rPr>
      </w:pPr>
      <w:r>
        <w:rPr>
          <w:b/>
          <w:bCs/>
        </w:rPr>
        <w:t>Q.</w:t>
      </w:r>
      <w:r>
        <w:rPr>
          <w:b/>
          <w:bCs/>
        </w:rPr>
        <w:tab/>
        <w:t xml:space="preserve">DOES THE COMPANY PROPOSE TO ALSO MAKE OTHER RESIDENTIAL </w:t>
      </w:r>
      <w:r w:rsidR="00B77052">
        <w:rPr>
          <w:b/>
          <w:bCs/>
        </w:rPr>
        <w:t xml:space="preserve">TARIFF </w:t>
      </w:r>
      <w:r>
        <w:rPr>
          <w:b/>
          <w:bCs/>
        </w:rPr>
        <w:t>OPTIONS UNAVAILABLE TO ALL CUSTOMERS BEGINNING JANUARY 1, 2023?</w:t>
      </w:r>
    </w:p>
    <w:p w:rsidR="00490243" w:rsidRDefault="00490243" w:rsidP="00641C15">
      <w:pPr>
        <w:spacing w:line="480" w:lineRule="auto"/>
        <w:ind w:left="720" w:hanging="720"/>
        <w:jc w:val="both"/>
      </w:pPr>
      <w:r>
        <w:t>A.</w:t>
      </w:r>
      <w:r>
        <w:tab/>
        <w:t xml:space="preserve">Yes.  While the Company proposes to continue its </w:t>
      </w:r>
      <w:r w:rsidR="00DA7162">
        <w:t>r</w:t>
      </w:r>
      <w:r>
        <w:t xml:space="preserve">esidential Time-of-Use </w:t>
      </w:r>
      <w:r w:rsidR="00AB1F69">
        <w:t>Residential</w:t>
      </w:r>
      <w:r w:rsidR="00FF3883">
        <w:t xml:space="preserve"> </w:t>
      </w:r>
      <w:r w:rsidR="00AB1F69">
        <w:t xml:space="preserve">Energy Only </w:t>
      </w:r>
      <w:r>
        <w:t xml:space="preserve">(TOU-REO) for those customers already subscribed under this optional rate, </w:t>
      </w:r>
      <w:r w:rsidR="00C27388">
        <w:t xml:space="preserve">under the Company’s proposal, </w:t>
      </w:r>
      <w:r>
        <w:t xml:space="preserve">this </w:t>
      </w:r>
      <w:r w:rsidR="00B77052">
        <w:t>tariff</w:t>
      </w:r>
      <w:r>
        <w:t xml:space="preserve"> option will not be available to new or existing customers</w:t>
      </w:r>
      <w:r w:rsidR="00C27388">
        <w:t xml:space="preserve"> after January 1, 2023</w:t>
      </w:r>
      <w:r>
        <w:t xml:space="preserve">.  </w:t>
      </w:r>
    </w:p>
    <w:p w:rsidR="00490243" w:rsidRDefault="00490243" w:rsidP="00641C15">
      <w:pPr>
        <w:spacing w:before="360" w:line="480" w:lineRule="auto"/>
        <w:ind w:left="720" w:hanging="720"/>
        <w:jc w:val="both"/>
        <w:rPr>
          <w:b/>
          <w:bCs/>
        </w:rPr>
      </w:pPr>
      <w:r>
        <w:rPr>
          <w:b/>
          <w:bCs/>
        </w:rPr>
        <w:t>Q.</w:t>
      </w:r>
      <w:r>
        <w:rPr>
          <w:b/>
          <w:bCs/>
        </w:rPr>
        <w:tab/>
        <w:t xml:space="preserve">WHAT ARE THE RAMIFICATIONS OF THE COMPANY’S PROPOSALS TO ELIMINATE </w:t>
      </w:r>
      <w:r w:rsidR="0053701E">
        <w:rPr>
          <w:b/>
          <w:bCs/>
        </w:rPr>
        <w:t xml:space="preserve">THE </w:t>
      </w:r>
      <w:r w:rsidR="003C7CDF">
        <w:rPr>
          <w:b/>
          <w:bCs/>
        </w:rPr>
        <w:t xml:space="preserve">R </w:t>
      </w:r>
      <w:r w:rsidR="00DA7162">
        <w:rPr>
          <w:b/>
          <w:bCs/>
        </w:rPr>
        <w:t xml:space="preserve">RATE </w:t>
      </w:r>
      <w:r>
        <w:rPr>
          <w:b/>
          <w:bCs/>
        </w:rPr>
        <w:t xml:space="preserve">FOR NEW CUSTOMERS AND </w:t>
      </w:r>
      <w:r w:rsidR="00DA7162">
        <w:rPr>
          <w:b/>
          <w:bCs/>
        </w:rPr>
        <w:t xml:space="preserve">TO </w:t>
      </w:r>
      <w:r>
        <w:rPr>
          <w:b/>
          <w:bCs/>
        </w:rPr>
        <w:t xml:space="preserve">ELIMINATE </w:t>
      </w:r>
      <w:r w:rsidR="00C27388">
        <w:rPr>
          <w:b/>
          <w:bCs/>
        </w:rPr>
        <w:t>THE</w:t>
      </w:r>
      <w:r w:rsidR="00951D36">
        <w:rPr>
          <w:b/>
          <w:bCs/>
        </w:rPr>
        <w:t xml:space="preserve"> </w:t>
      </w:r>
      <w:r>
        <w:rPr>
          <w:b/>
          <w:bCs/>
        </w:rPr>
        <w:t>TOU-REO</w:t>
      </w:r>
      <w:r w:rsidR="00C27388">
        <w:rPr>
          <w:b/>
          <w:bCs/>
        </w:rPr>
        <w:t xml:space="preserve"> </w:t>
      </w:r>
      <w:r>
        <w:rPr>
          <w:b/>
          <w:bCs/>
        </w:rPr>
        <w:t xml:space="preserve">FOR EXISTING </w:t>
      </w:r>
      <w:r w:rsidR="00DA7162">
        <w:rPr>
          <w:b/>
          <w:bCs/>
        </w:rPr>
        <w:t xml:space="preserve">AND NEW </w:t>
      </w:r>
      <w:r>
        <w:rPr>
          <w:b/>
          <w:bCs/>
        </w:rPr>
        <w:t xml:space="preserve">CUSTOMERS THAT MAY WANT </w:t>
      </w:r>
      <w:r w:rsidR="00C45113">
        <w:rPr>
          <w:b/>
          <w:bCs/>
        </w:rPr>
        <w:t xml:space="preserve">TO </w:t>
      </w:r>
      <w:r w:rsidR="00DA7162">
        <w:rPr>
          <w:b/>
          <w:bCs/>
        </w:rPr>
        <w:t>RECEIVE S</w:t>
      </w:r>
      <w:r w:rsidR="00825804">
        <w:rPr>
          <w:b/>
          <w:bCs/>
        </w:rPr>
        <w:t>E</w:t>
      </w:r>
      <w:r w:rsidR="00DA7162">
        <w:rPr>
          <w:b/>
          <w:bCs/>
        </w:rPr>
        <w:t>RVICE UNDER THIS RATE OPTION</w:t>
      </w:r>
      <w:r w:rsidR="00174AF6">
        <w:rPr>
          <w:b/>
          <w:bCs/>
        </w:rPr>
        <w:t xml:space="preserve"> AFTER JANUARY 1, 2023</w:t>
      </w:r>
      <w:r>
        <w:rPr>
          <w:b/>
          <w:bCs/>
        </w:rPr>
        <w:t>?</w:t>
      </w:r>
    </w:p>
    <w:p w:rsidR="00641C15" w:rsidRDefault="00490243" w:rsidP="007C27E6">
      <w:pPr>
        <w:spacing w:line="480" w:lineRule="auto"/>
        <w:ind w:left="720" w:hanging="720"/>
        <w:jc w:val="both"/>
      </w:pPr>
      <w:r>
        <w:t>A.</w:t>
      </w:r>
      <w:r>
        <w:tab/>
        <w:t xml:space="preserve">Although the Company will continue to offer a flat bill </w:t>
      </w:r>
      <w:r w:rsidR="00174AF6">
        <w:t>P</w:t>
      </w:r>
      <w:r>
        <w:t>re-</w:t>
      </w:r>
      <w:r w:rsidR="00174AF6">
        <w:t>P</w:t>
      </w:r>
      <w:r>
        <w:t xml:space="preserve">ay option to </w:t>
      </w:r>
      <w:r w:rsidR="00951D36">
        <w:t>r</w:t>
      </w:r>
      <w:r>
        <w:t xml:space="preserve">esidential customers as well as </w:t>
      </w:r>
      <w:r w:rsidR="00174AF6">
        <w:t>the</w:t>
      </w:r>
      <w:r>
        <w:t xml:space="preserve"> </w:t>
      </w:r>
      <w:r w:rsidR="0091183C">
        <w:t>TOU</w:t>
      </w:r>
      <w:r w:rsidR="00174AF6">
        <w:t>-PEV</w:t>
      </w:r>
      <w:r w:rsidR="0091183C">
        <w:t xml:space="preserve"> </w:t>
      </w:r>
      <w:r>
        <w:t xml:space="preserve">rate </w:t>
      </w:r>
      <w:r w:rsidR="001372CC">
        <w:t xml:space="preserve">targeted </w:t>
      </w:r>
      <w:r>
        <w:t xml:space="preserve">for those customers with plug-in electric vehicles, the Company is clearly attempting to move to a demand-based rate for most </w:t>
      </w:r>
      <w:r w:rsidR="00951D36">
        <w:t>r</w:t>
      </w:r>
      <w:r>
        <w:t xml:space="preserve">esidential customers.  To be clear, </w:t>
      </w:r>
      <w:r w:rsidR="001372CC">
        <w:t>approximately</w:t>
      </w:r>
      <w:r w:rsidR="00951D36">
        <w:t xml:space="preserve"> </w:t>
      </w:r>
      <w:r>
        <w:t xml:space="preserve">74.7% of current </w:t>
      </w:r>
      <w:r w:rsidR="00951D36">
        <w:t>r</w:t>
      </w:r>
      <w:r>
        <w:t>esidential customers are on energy-based rates (R, TOU-REO, and TOU-PEV), a</w:t>
      </w:r>
      <w:r w:rsidR="0091183C">
        <w:t>pproximately</w:t>
      </w:r>
      <w:r>
        <w:t xml:space="preserve"> 21.4% of current </w:t>
      </w:r>
      <w:r w:rsidR="00951D36">
        <w:t>r</w:t>
      </w:r>
      <w:r>
        <w:t xml:space="preserve">esidential customers are on either the </w:t>
      </w:r>
      <w:r w:rsidR="00636053">
        <w:t>F</w:t>
      </w:r>
      <w:r>
        <w:t xml:space="preserve">lat rate or </w:t>
      </w:r>
      <w:r w:rsidR="00636053">
        <w:t>P</w:t>
      </w:r>
      <w:r>
        <w:t xml:space="preserve">re-pay rates, and </w:t>
      </w:r>
      <w:r w:rsidR="0091183C">
        <w:t>approximately</w:t>
      </w:r>
      <w:r>
        <w:t xml:space="preserve"> 3.4% of current </w:t>
      </w:r>
      <w:r w:rsidR="00951D36">
        <w:t>r</w:t>
      </w:r>
      <w:r>
        <w:t xml:space="preserve">esidential customers are on a demand-based rate (TOU-RD).  In this regard, </w:t>
      </w:r>
      <w:r>
        <w:lastRenderedPageBreak/>
        <w:t xml:space="preserve">there has been significant growth in TOU-RD since the 2019 rate case because </w:t>
      </w:r>
      <w:r w:rsidR="0091183C">
        <w:t xml:space="preserve">it became </w:t>
      </w:r>
      <w:r>
        <w:t>the default rate for customers</w:t>
      </w:r>
      <w:r w:rsidR="006217C1">
        <w:t xml:space="preserve"> in new premises</w:t>
      </w:r>
      <w:r>
        <w:t xml:space="preserve"> such that if a</w:t>
      </w:r>
      <w:r w:rsidR="00C04DDB">
        <w:t xml:space="preserve">n eligible </w:t>
      </w:r>
      <w:r>
        <w:t>customer is unaware or does not select an</w:t>
      </w:r>
      <w:r w:rsidR="0091183C">
        <w:t>other</w:t>
      </w:r>
      <w:r>
        <w:t xml:space="preserve"> tariff</w:t>
      </w:r>
      <w:r w:rsidR="0091183C">
        <w:t xml:space="preserve"> when signing up for service</w:t>
      </w:r>
      <w:r>
        <w:t xml:space="preserve">, they are automatically placed on TOU-RD.    </w:t>
      </w:r>
    </w:p>
    <w:p w:rsidR="0015543B" w:rsidRPr="00641C15" w:rsidRDefault="0015543B" w:rsidP="00641C15">
      <w:pPr>
        <w:spacing w:before="360" w:line="480" w:lineRule="auto"/>
        <w:ind w:left="720" w:hanging="720"/>
        <w:jc w:val="both"/>
        <w:rPr>
          <w:b/>
          <w:bCs/>
        </w:rPr>
      </w:pPr>
      <w:r w:rsidRPr="00641C15">
        <w:rPr>
          <w:b/>
          <w:bCs/>
        </w:rPr>
        <w:t>Q.</w:t>
      </w:r>
      <w:r w:rsidRPr="00641C15">
        <w:rPr>
          <w:b/>
          <w:bCs/>
        </w:rPr>
        <w:tab/>
        <w:t xml:space="preserve">WHY </w:t>
      </w:r>
      <w:r w:rsidR="00A90AD2" w:rsidRPr="00641C15">
        <w:rPr>
          <w:b/>
          <w:bCs/>
        </w:rPr>
        <w:t>D</w:t>
      </w:r>
      <w:r w:rsidR="00EE2B18" w:rsidRPr="00641C15">
        <w:rPr>
          <w:b/>
          <w:bCs/>
        </w:rPr>
        <w:t>OES</w:t>
      </w:r>
      <w:r w:rsidR="00A90AD2" w:rsidRPr="00641C15">
        <w:rPr>
          <w:b/>
          <w:bCs/>
        </w:rPr>
        <w:t xml:space="preserve"> </w:t>
      </w:r>
      <w:r w:rsidRPr="00641C15">
        <w:rPr>
          <w:b/>
          <w:bCs/>
        </w:rPr>
        <w:t xml:space="preserve">THE COMPANY PROPOSE TO MAKE THE </w:t>
      </w:r>
      <w:r w:rsidR="003C7CDF">
        <w:rPr>
          <w:b/>
          <w:bCs/>
        </w:rPr>
        <w:t xml:space="preserve">R </w:t>
      </w:r>
      <w:r w:rsidRPr="00641C15">
        <w:rPr>
          <w:b/>
          <w:bCs/>
        </w:rPr>
        <w:t xml:space="preserve">TARIFF </w:t>
      </w:r>
      <w:r w:rsidR="0091183C" w:rsidRPr="00641C15">
        <w:rPr>
          <w:b/>
          <w:bCs/>
        </w:rPr>
        <w:t>UN</w:t>
      </w:r>
      <w:r w:rsidR="00836D32" w:rsidRPr="00641C15">
        <w:rPr>
          <w:b/>
          <w:bCs/>
        </w:rPr>
        <w:t xml:space="preserve">AVAILABLE </w:t>
      </w:r>
      <w:r w:rsidRPr="00641C15">
        <w:rPr>
          <w:b/>
          <w:bCs/>
        </w:rPr>
        <w:t xml:space="preserve">TO NEW PREMISES THAT ARE CONNECTED TO </w:t>
      </w:r>
      <w:r w:rsidR="00350C2D" w:rsidRPr="00641C15">
        <w:rPr>
          <w:b/>
          <w:bCs/>
        </w:rPr>
        <w:t xml:space="preserve">THE </w:t>
      </w:r>
      <w:r w:rsidRPr="00641C15">
        <w:rPr>
          <w:b/>
          <w:bCs/>
        </w:rPr>
        <w:t>COMPANY’S SYSTEM AFTER DECEMBER 31, 2022?</w:t>
      </w:r>
    </w:p>
    <w:p w:rsidR="00F35088" w:rsidRDefault="00F35088" w:rsidP="00641C15">
      <w:pPr>
        <w:pStyle w:val="Answers"/>
      </w:pPr>
      <w:r>
        <w:t>A.</w:t>
      </w:r>
      <w:r>
        <w:tab/>
        <w:t xml:space="preserve">In the Direct Testimony of Larry Legg page 8 lines 21-26, he states that “the Company’s proposal is the logical next step in the Company’s ongoing efforts to encourage </w:t>
      </w:r>
      <w:r w:rsidR="00951D36">
        <w:t>r</w:t>
      </w:r>
      <w:r w:rsidR="00117E55">
        <w:t>esidential</w:t>
      </w:r>
      <w:r w:rsidR="00951D36">
        <w:t xml:space="preserve"> </w:t>
      </w:r>
      <w:r>
        <w:t xml:space="preserve">customers to move toward </w:t>
      </w:r>
      <w:r w:rsidRPr="00DC4D1C">
        <w:t>more modern</w:t>
      </w:r>
      <w:r>
        <w:t xml:space="preserve"> rate structures. As initially discussed in the Company’s 2019 base rate case, utilities across the country are proactively moving away from more antiquated volumetric rate designs (such as the R tariff) </w:t>
      </w:r>
      <w:r w:rsidDel="00105169">
        <w:t>and</w:t>
      </w:r>
      <w:r>
        <w:t xml:space="preserve"> toward more modern rate designs that send price signals that more appropriately reflect the cost of service.”</w:t>
      </w:r>
    </w:p>
    <w:p w:rsidR="002A7F5E" w:rsidRDefault="002A7F5E" w:rsidP="00641C15">
      <w:pPr>
        <w:spacing w:before="360" w:line="480" w:lineRule="auto"/>
        <w:ind w:left="720" w:hanging="720"/>
        <w:jc w:val="both"/>
        <w:rPr>
          <w:b/>
          <w:bCs/>
        </w:rPr>
      </w:pPr>
      <w:r>
        <w:rPr>
          <w:b/>
          <w:bCs/>
        </w:rPr>
        <w:t>Q.</w:t>
      </w:r>
      <w:r>
        <w:rPr>
          <w:b/>
          <w:bCs/>
        </w:rPr>
        <w:tab/>
        <w:t>ARE DEMAND-BASED RATES A NEW FEATURE OF “MODERN” RATE STRUCTURES?</w:t>
      </w:r>
    </w:p>
    <w:p w:rsidR="002A7F5E" w:rsidRDefault="002A7F5E" w:rsidP="00951D36">
      <w:pPr>
        <w:spacing w:line="480" w:lineRule="auto"/>
        <w:ind w:left="720" w:hanging="720"/>
        <w:jc w:val="both"/>
        <w:rPr>
          <w:b/>
          <w:bCs/>
        </w:rPr>
      </w:pPr>
      <w:r>
        <w:t>A.</w:t>
      </w:r>
      <w:r>
        <w:tab/>
        <w:t>No.  While two-part electric rates (customer</w:t>
      </w:r>
      <w:r w:rsidR="00636053">
        <w:t xml:space="preserve"> charge</w:t>
      </w:r>
      <w:r>
        <w:t xml:space="preserve"> plus energy charge) have been in place since the 1880s, three-part rates (customer, energy, and demand) were first introduced by Henry L. Doherty as early as 1900.</w:t>
      </w:r>
      <w:r>
        <w:rPr>
          <w:rStyle w:val="FootnoteReference"/>
        </w:rPr>
        <w:footnoteReference w:id="33"/>
      </w:r>
      <w:r>
        <w:t xml:space="preserve">  However</w:t>
      </w:r>
      <w:r w:rsidR="00636053">
        <w:t>, three</w:t>
      </w:r>
      <w:r>
        <w:t xml:space="preserve">-part rates have historically been </w:t>
      </w:r>
      <w:r>
        <w:lastRenderedPageBreak/>
        <w:t xml:space="preserve">utilized for larger commercial and industrial customers such that the two-part rate for </w:t>
      </w:r>
      <w:r w:rsidR="00951D36">
        <w:t>r</w:t>
      </w:r>
      <w:r>
        <w:t xml:space="preserve">esidential customers has been tried and true for over a century.  </w:t>
      </w:r>
      <w:r>
        <w:rPr>
          <w:b/>
          <w:bCs/>
        </w:rPr>
        <w:t xml:space="preserve"> </w:t>
      </w:r>
    </w:p>
    <w:p w:rsidR="00F35088" w:rsidRDefault="00F35088" w:rsidP="00D24841">
      <w:pPr>
        <w:pStyle w:val="Questions"/>
      </w:pPr>
      <w:r w:rsidRPr="00F35088">
        <w:t>Q.</w:t>
      </w:r>
      <w:r w:rsidRPr="00F35088">
        <w:tab/>
      </w:r>
      <w:r w:rsidR="003C51F5">
        <w:t>IS</w:t>
      </w:r>
      <w:r w:rsidRPr="00F35088">
        <w:t xml:space="preserve"> </w:t>
      </w:r>
      <w:r w:rsidR="00F17AC6">
        <w:t xml:space="preserve">COMPANY WITNESS </w:t>
      </w:r>
      <w:r w:rsidRPr="00F35088">
        <w:t>LEGG</w:t>
      </w:r>
      <w:r>
        <w:t>’</w:t>
      </w:r>
      <w:r w:rsidRPr="00F35088">
        <w:t xml:space="preserve">S STATEMENT </w:t>
      </w:r>
      <w:r w:rsidR="00A90AD2">
        <w:t xml:space="preserve">THAT </w:t>
      </w:r>
      <w:r w:rsidRPr="00F35088">
        <w:t>UTILITIES ACROSS THE COUNTRY ARE MOVING AWAY FROM VOLUMETRIC RATE DESIGNS</w:t>
      </w:r>
      <w:r w:rsidR="00BC330E">
        <w:t xml:space="preserve"> CORRECT</w:t>
      </w:r>
      <w:r w:rsidRPr="00F35088">
        <w:t xml:space="preserve">? </w:t>
      </w:r>
    </w:p>
    <w:p w:rsidR="00C33EC6" w:rsidRDefault="00F35088" w:rsidP="00990DF0">
      <w:pPr>
        <w:spacing w:line="480" w:lineRule="auto"/>
        <w:ind w:left="714" w:hanging="624"/>
        <w:jc w:val="both"/>
      </w:pPr>
      <w:r>
        <w:t>A.</w:t>
      </w:r>
      <w:r>
        <w:tab/>
        <w:t>N</w:t>
      </w:r>
      <w:r w:rsidR="00836D32">
        <w:t xml:space="preserve">o. </w:t>
      </w:r>
      <w:r w:rsidR="00BC330E">
        <w:t>As will be discussed below, there is not a single investor-owned utility</w:t>
      </w:r>
      <w:r w:rsidR="00724350">
        <w:t xml:space="preserve"> (“IOU”)</w:t>
      </w:r>
      <w:r w:rsidR="00BC330E">
        <w:t xml:space="preserve"> in the </w:t>
      </w:r>
      <w:r w:rsidR="00636053">
        <w:t>c</w:t>
      </w:r>
      <w:r w:rsidR="00BC330E">
        <w:t xml:space="preserve">ountry that has mandatory </w:t>
      </w:r>
      <w:r w:rsidR="00990DF0">
        <w:t>r</w:t>
      </w:r>
      <w:r w:rsidR="00315D90">
        <w:t>esidential demand charge rates.</w:t>
      </w:r>
      <w:r w:rsidR="00353FB6">
        <w:t xml:space="preserve">  </w:t>
      </w:r>
      <w:r w:rsidR="00C33EC6">
        <w:t>In STF-PIA-2-5, the Company was asked to “Please provide any research or analysis of the Company related to demand charges in other jurisdictions.”  The Company’s response was as follows:</w:t>
      </w:r>
    </w:p>
    <w:p w:rsidR="00C33EC6" w:rsidRDefault="00C33EC6" w:rsidP="00990DF0">
      <w:pPr>
        <w:ind w:left="1440" w:right="720"/>
        <w:jc w:val="both"/>
      </w:pPr>
      <w:r>
        <w:t xml:space="preserve">Georgia Power is generally aware of the residential demand rate options that are available through regulated electric utilities across the country. However, the Company does not have an internally developed analysis or summary of these programs. </w:t>
      </w:r>
    </w:p>
    <w:p w:rsidR="00C33EC6" w:rsidRDefault="00C33EC6" w:rsidP="00C33EC6">
      <w:pPr>
        <w:ind w:left="1440" w:right="720"/>
      </w:pPr>
    </w:p>
    <w:p w:rsidR="00C33EC6" w:rsidRDefault="00C33EC6" w:rsidP="00A11EB5">
      <w:pPr>
        <w:spacing w:after="360"/>
        <w:ind w:left="1440" w:right="720"/>
        <w:jc w:val="both"/>
      </w:pPr>
      <w:r>
        <w:t xml:space="preserve">In the 2019 base rate case filing, Georgia Power witness Dr. Ahmad </w:t>
      </w:r>
      <w:proofErr w:type="spellStart"/>
      <w:r>
        <w:t>Faruqui</w:t>
      </w:r>
      <w:proofErr w:type="spellEnd"/>
      <w:r>
        <w:t xml:space="preserve"> included exhibit AF-2 in support of his testimony that highlighted 62 residential three-part tariffs from across the country that his firm, The Brattle Group, had identified. </w:t>
      </w:r>
      <w:r>
        <w:rPr>
          <w:i/>
          <w:iCs/>
        </w:rPr>
        <w:t xml:space="preserve"> </w:t>
      </w:r>
    </w:p>
    <w:p w:rsidR="00C33EC6" w:rsidRDefault="00C33EC6" w:rsidP="00990DF0">
      <w:pPr>
        <w:spacing w:line="480" w:lineRule="auto"/>
        <w:ind w:right="720" w:firstLine="720"/>
        <w:jc w:val="both"/>
      </w:pPr>
      <w:r>
        <w:t>Similarly, in STF-TAI-1-29, the Company was asked the following:</w:t>
      </w:r>
    </w:p>
    <w:p w:rsidR="00C33EC6" w:rsidRDefault="00C33EC6" w:rsidP="00990DF0">
      <w:pPr>
        <w:ind w:left="1440" w:right="720"/>
        <w:jc w:val="both"/>
      </w:pPr>
      <w:r w:rsidRPr="00605062">
        <w:t>Based on the Company's research and analysis or a consultant on its behalf, please provide all examples of jurisdictions or utilities who are eliminating or reducing standard volumetric rate options for residential customers?</w:t>
      </w:r>
    </w:p>
    <w:p w:rsidR="00C33EC6" w:rsidRDefault="00C33EC6" w:rsidP="00C33EC6">
      <w:pPr>
        <w:spacing w:line="480" w:lineRule="auto"/>
      </w:pPr>
    </w:p>
    <w:p w:rsidR="00C33EC6" w:rsidRDefault="00C33EC6" w:rsidP="00990DF0">
      <w:pPr>
        <w:spacing w:line="480" w:lineRule="auto"/>
        <w:ind w:firstLine="720"/>
        <w:jc w:val="both"/>
      </w:pPr>
      <w:r>
        <w:t>The Company’s response was:</w:t>
      </w:r>
    </w:p>
    <w:p w:rsidR="00C33EC6" w:rsidRDefault="00C33EC6" w:rsidP="00A11EB5">
      <w:pPr>
        <w:spacing w:after="360"/>
        <w:ind w:left="1440" w:right="720"/>
        <w:jc w:val="both"/>
      </w:pPr>
      <w:r w:rsidRPr="55938A3F">
        <w:t xml:space="preserve">The Company has not performed a specific analysis of which utilities or jurisdictions are eliminating standard volumetric rate options for residential customers. However, as noted in the Company’s testimony, utilities across the country are moving away from more antiquated volumetric rate designs (such as the R tariff) and toward more modern rate designs that send price </w:t>
      </w:r>
      <w:r w:rsidRPr="55938A3F">
        <w:lastRenderedPageBreak/>
        <w:t xml:space="preserve">signals that more appropriately reflect the cost of service. This trend has been well documented throughout industry press, highlighted at utility conferences, and advanced through regulatory filings for many years. This transition is not isolated to regulated electric utilities but is also prevalent in cooperatives and municipal providers. The Company’s expert witness in the 2019 base rate case, Dr. Ahmad </w:t>
      </w:r>
      <w:proofErr w:type="spellStart"/>
      <w:r w:rsidRPr="55938A3F">
        <w:t>Faruqui</w:t>
      </w:r>
      <w:proofErr w:type="spellEnd"/>
      <w:r w:rsidRPr="55938A3F">
        <w:t xml:space="preserve">, identified utilities that are making this transition and he explained the appropriateness for these new modern rate designs that send more accurate price signals and help achieve the goals of promoting economic efficiency and equity. His testimony goes further to identify different types of modern rate designs and gives specific examples in Table 2 of his testimony of utilities that have experienced success with moving to these improved options. Dr. </w:t>
      </w:r>
      <w:proofErr w:type="spellStart"/>
      <w:r w:rsidRPr="55938A3F">
        <w:t>Faruqui’s</w:t>
      </w:r>
      <w:proofErr w:type="spellEnd"/>
      <w:r w:rsidRPr="55938A3F">
        <w:t xml:space="preserve"> testimony remains relevant today and supports the Company’s position of encouraging customers to move to more modern rate structures.</w:t>
      </w:r>
    </w:p>
    <w:p w:rsidR="00C33EC6" w:rsidRDefault="00C33EC6" w:rsidP="00990DF0">
      <w:pPr>
        <w:spacing w:line="480" w:lineRule="auto"/>
        <w:ind w:left="720"/>
        <w:jc w:val="both"/>
      </w:pPr>
      <w:r>
        <w:t xml:space="preserve">As indicated in these two </w:t>
      </w:r>
      <w:r w:rsidR="00636053">
        <w:t xml:space="preserve">data request </w:t>
      </w:r>
      <w:r>
        <w:t>responses, even though the Company has not conducted its own investigation, it relies upon a</w:t>
      </w:r>
      <w:r w:rsidR="00636053">
        <w:t xml:space="preserve"> 2019 Rate Case</w:t>
      </w:r>
      <w:r>
        <w:t xml:space="preserve"> exhibit provided by Georgia Power’s expert, Dr. Ahmad </w:t>
      </w:r>
      <w:proofErr w:type="spellStart"/>
      <w:r>
        <w:t>Faruqui</w:t>
      </w:r>
      <w:proofErr w:type="spellEnd"/>
      <w:r w:rsidR="00636053">
        <w:t>.</w:t>
      </w:r>
      <w:r>
        <w:t xml:space="preserve">  The referenced exhibit prepared by Dr. </w:t>
      </w:r>
      <w:proofErr w:type="spellStart"/>
      <w:r>
        <w:t>Faruqui</w:t>
      </w:r>
      <w:proofErr w:type="spellEnd"/>
      <w:r>
        <w:t xml:space="preserve"> is provided </w:t>
      </w:r>
      <w:r w:rsidR="00636053">
        <w:t>as</w:t>
      </w:r>
      <w:r>
        <w:t xml:space="preserve"> Staff Exhibit</w:t>
      </w:r>
      <w:r w:rsidR="00A2426E">
        <w:t xml:space="preserve"> _</w:t>
      </w:r>
      <w:r w:rsidR="004C38E0">
        <w:t>_</w:t>
      </w:r>
      <w:r w:rsidR="00A2426E">
        <w:t xml:space="preserve"> </w:t>
      </w:r>
      <w:r>
        <w:t>(BDW-</w:t>
      </w:r>
      <w:r w:rsidR="00117E55">
        <w:t>1</w:t>
      </w:r>
      <w:r w:rsidR="00730393">
        <w:t>0</w:t>
      </w:r>
      <w:r>
        <w:t>).</w:t>
      </w:r>
      <w:r>
        <w:rPr>
          <w:rStyle w:val="FootnoteReference"/>
        </w:rPr>
        <w:footnoteReference w:id="34"/>
      </w:r>
      <w:r>
        <w:t xml:space="preserve">  </w:t>
      </w:r>
    </w:p>
    <w:p w:rsidR="00C33EC6" w:rsidRDefault="00C33EC6" w:rsidP="00CB0BBD">
      <w:pPr>
        <w:spacing w:before="360" w:line="480" w:lineRule="auto"/>
        <w:ind w:left="720"/>
        <w:jc w:val="both"/>
      </w:pPr>
      <w:r>
        <w:t xml:space="preserve">A careful </w:t>
      </w:r>
      <w:r w:rsidR="00636053">
        <w:t xml:space="preserve">review </w:t>
      </w:r>
      <w:r>
        <w:t xml:space="preserve">of Dr. </w:t>
      </w:r>
      <w:proofErr w:type="spellStart"/>
      <w:r>
        <w:t>Faruqui’s</w:t>
      </w:r>
      <w:proofErr w:type="spellEnd"/>
      <w:r>
        <w:t xml:space="preserve"> exhibit shows that there are nine utilities</w:t>
      </w:r>
      <w:r w:rsidR="00F95C03" w:rsidRPr="00F95C03">
        <w:t xml:space="preserve"> </w:t>
      </w:r>
      <w:r w:rsidR="00F95C03">
        <w:t xml:space="preserve">located in six </w:t>
      </w:r>
      <w:r w:rsidR="00724350">
        <w:t>s</w:t>
      </w:r>
      <w:r w:rsidR="00F95C03">
        <w:t>tates</w:t>
      </w:r>
      <w:r>
        <w:t xml:space="preserve"> with mandatory demand charges.</w:t>
      </w:r>
      <w:r>
        <w:rPr>
          <w:rStyle w:val="FootnoteReference"/>
        </w:rPr>
        <w:footnoteReference w:id="35"/>
      </w:r>
      <w:r>
        <w:t xml:space="preserve">  Each of these utilities are either cooperatives or municipals that are self-regulated and not regulated by a state regulatory commission.  In fact, there is not a single </w:t>
      </w:r>
      <w:r w:rsidR="00724350">
        <w:t xml:space="preserve">IOU </w:t>
      </w:r>
      <w:r>
        <w:t xml:space="preserve">in the </w:t>
      </w:r>
      <w:r w:rsidR="00671FC4">
        <w:t>c</w:t>
      </w:r>
      <w:r>
        <w:t xml:space="preserve">ountry regulated by a state regulatory commission that has mandatory residential demand charges.  </w:t>
      </w:r>
    </w:p>
    <w:p w:rsidR="00C33EC6" w:rsidRDefault="00C33EC6" w:rsidP="00CB0BBD">
      <w:pPr>
        <w:spacing w:before="480" w:line="480" w:lineRule="auto"/>
        <w:ind w:left="720" w:hanging="720"/>
        <w:jc w:val="both"/>
        <w:rPr>
          <w:b/>
          <w:bCs/>
        </w:rPr>
      </w:pPr>
      <w:r>
        <w:rPr>
          <w:b/>
          <w:bCs/>
        </w:rPr>
        <w:lastRenderedPageBreak/>
        <w:t>Q.</w:t>
      </w:r>
      <w:r>
        <w:rPr>
          <w:b/>
          <w:bCs/>
        </w:rPr>
        <w:tab/>
        <w:t xml:space="preserve">HAS ANY OTHER </w:t>
      </w:r>
      <w:r w:rsidR="00724350">
        <w:rPr>
          <w:b/>
          <w:bCs/>
        </w:rPr>
        <w:t xml:space="preserve">IOU </w:t>
      </w:r>
      <w:r>
        <w:rPr>
          <w:b/>
          <w:bCs/>
        </w:rPr>
        <w:t>REGULATED BY A STATE REGULATORY COMMISSION PROPOSED MANDATORY RESIDENTIAL DEMAND CHARGES FOR ALL RESIDENTIAL CUSTOMERS?</w:t>
      </w:r>
    </w:p>
    <w:p w:rsidR="00C33EC6" w:rsidRDefault="00C33EC6" w:rsidP="00C33EC6">
      <w:pPr>
        <w:spacing w:line="480" w:lineRule="auto"/>
        <w:ind w:left="720" w:hanging="720"/>
        <w:jc w:val="both"/>
      </w:pPr>
      <w:r>
        <w:t>A.</w:t>
      </w:r>
      <w:r>
        <w:tab/>
      </w:r>
      <w:r w:rsidR="00043DCB">
        <w:t xml:space="preserve">Yes. </w:t>
      </w:r>
      <w:r w:rsidR="001372CC">
        <w:t xml:space="preserve"> </w:t>
      </w:r>
      <w:r>
        <w:t>Staff is aware of one instance</w:t>
      </w:r>
      <w:r w:rsidR="00F95C03">
        <w:t xml:space="preserve">. </w:t>
      </w:r>
      <w:r>
        <w:t>Arizona Public Service Company in a 2016 rate case.  In that case, the Commission rejected the Company’s proposal for mandatory residential demand charges.</w:t>
      </w:r>
      <w:r>
        <w:rPr>
          <w:rStyle w:val="FootnoteReference"/>
        </w:rPr>
        <w:footnoteReference w:id="36"/>
      </w:r>
      <w:r>
        <w:t xml:space="preserve"> </w:t>
      </w:r>
    </w:p>
    <w:p w:rsidR="00C33EC6" w:rsidRDefault="00C33EC6" w:rsidP="00CB0BBD">
      <w:pPr>
        <w:spacing w:before="480" w:line="480" w:lineRule="auto"/>
        <w:ind w:left="720" w:hanging="720"/>
        <w:jc w:val="both"/>
        <w:rPr>
          <w:b/>
          <w:bCs/>
        </w:rPr>
      </w:pPr>
      <w:r>
        <w:rPr>
          <w:b/>
          <w:bCs/>
        </w:rPr>
        <w:t>Q.</w:t>
      </w:r>
      <w:r>
        <w:rPr>
          <w:b/>
          <w:bCs/>
        </w:rPr>
        <w:tab/>
        <w:t xml:space="preserve">HAS STAFF INVESTIGATED THE NEED OR REASONABLENESS OF HAVING A RESIDENTIAL DEMAND CHARGE AS EITHER THE DEFAULT RATE OR THE ONLY </w:t>
      </w:r>
      <w:r w:rsidR="001372CC">
        <w:rPr>
          <w:b/>
          <w:bCs/>
        </w:rPr>
        <w:t xml:space="preserve">MONTHLY VARIABLE </w:t>
      </w:r>
      <w:r>
        <w:rPr>
          <w:b/>
          <w:bCs/>
        </w:rPr>
        <w:t>USAGE-BASED RATE AVAILABLE TO NEW RESIDENTIAL CUSTOMERS?</w:t>
      </w:r>
    </w:p>
    <w:p w:rsidR="00C33EC6" w:rsidRDefault="00C33EC6" w:rsidP="00B10DEC">
      <w:pPr>
        <w:spacing w:line="480" w:lineRule="auto"/>
        <w:ind w:left="720" w:hanging="720"/>
        <w:jc w:val="both"/>
      </w:pPr>
      <w:r>
        <w:t>A.</w:t>
      </w:r>
      <w:r>
        <w:tab/>
        <w:t xml:space="preserve">Yes.  We have conducted three separate quantitative analyses.  Under the current and proposed residential demand-based rate (TOU-RD), a customer would be subject to a demand charge based on the highest level of power (kW) during any 60-minute period of each billing cycle.  While some </w:t>
      </w:r>
      <w:r w:rsidR="00990DF0">
        <w:t>r</w:t>
      </w:r>
      <w:r>
        <w:t xml:space="preserve">esidential customers may incur their peak load during the morning, others may incur their peak load during the evening hours.  Furthermore, one </w:t>
      </w:r>
      <w:r w:rsidR="00990DF0">
        <w:t>r</w:t>
      </w:r>
      <w:r>
        <w:t>esidential customer may reach their peak load on one day of the month while their neighbor</w:t>
      </w:r>
      <w:r w:rsidR="00724350">
        <w:t>’</w:t>
      </w:r>
      <w:r>
        <w:t xml:space="preserve">s peak load occurs during a different day of the month.  This load diversity across customers within the </w:t>
      </w:r>
      <w:r w:rsidR="00990DF0">
        <w:t>r</w:t>
      </w:r>
      <w:r>
        <w:t>esidential class, in and of itself, indicates that a demand charge based on whenever an individual customer’s peak occurs is not a reflection of cost causation</w:t>
      </w:r>
      <w:r w:rsidR="00252338">
        <w:t>,</w:t>
      </w:r>
      <w:r>
        <w:t xml:space="preserve"> nor does it promote the efficient utilization of Georgia Power’s total resources.  As important </w:t>
      </w:r>
      <w:r>
        <w:lastRenderedPageBreak/>
        <w:t xml:space="preserve">is the fact that even though Georgia Power’s total system load and energy requirements are greater on weekdays than weekends, the opposite is true for the </w:t>
      </w:r>
      <w:r w:rsidR="00990DF0">
        <w:t>r</w:t>
      </w:r>
      <w:r>
        <w:t xml:space="preserve">esidential class.  </w:t>
      </w:r>
    </w:p>
    <w:p w:rsidR="00C33EC6" w:rsidRDefault="00C33EC6" w:rsidP="00B10DEC">
      <w:pPr>
        <w:spacing w:before="360" w:line="480" w:lineRule="auto"/>
        <w:ind w:left="720"/>
        <w:jc w:val="both"/>
      </w:pPr>
      <w:r>
        <w:t xml:space="preserve">In </w:t>
      </w:r>
      <w:r w:rsidR="00043DCB">
        <w:t xml:space="preserve">the Company’s </w:t>
      </w:r>
      <w:r>
        <w:t xml:space="preserve">response to STF-TAI-1-12, the Company provided hourly loads for the </w:t>
      </w:r>
      <w:r w:rsidR="00990DF0">
        <w:t>r</w:t>
      </w:r>
      <w:r>
        <w:t xml:space="preserve">esidential class during calendar year 2021.  With this data, Staff evaluated typical </w:t>
      </w:r>
      <w:r w:rsidR="00990DF0">
        <w:t>r</w:t>
      </w:r>
      <w:r>
        <w:t>esidential and non-residential hourly loads during weekdays and weekends for the months of January and July 2021.</w:t>
      </w:r>
      <w:r>
        <w:rPr>
          <w:rStyle w:val="FootnoteReference"/>
        </w:rPr>
        <w:footnoteReference w:id="37"/>
      </w:r>
      <w:r>
        <w:t xml:space="preserve">  Staff Exhibit __ (BDW-</w:t>
      </w:r>
      <w:r w:rsidR="00117E55">
        <w:t>1</w:t>
      </w:r>
      <w:r w:rsidR="00730393">
        <w:t>1</w:t>
      </w:r>
      <w:r>
        <w:t>) and Staff Exhibit __ (BDW-</w:t>
      </w:r>
      <w:r w:rsidR="00117E55">
        <w:t>1</w:t>
      </w:r>
      <w:r w:rsidR="00730393">
        <w:t>2</w:t>
      </w:r>
      <w:r>
        <w:t xml:space="preserve">) compare typical weekday and weekend hourly loads for the </w:t>
      </w:r>
      <w:r w:rsidR="00990DF0">
        <w:t>r</w:t>
      </w:r>
      <w:r>
        <w:t>esidential and non-residential classes during January and July, respectively.</w:t>
      </w:r>
    </w:p>
    <w:p w:rsidR="00C33EC6" w:rsidRDefault="00C33EC6" w:rsidP="00B10DEC">
      <w:pPr>
        <w:spacing w:before="360" w:line="480" w:lineRule="auto"/>
        <w:ind w:left="720"/>
        <w:jc w:val="both"/>
      </w:pPr>
      <w:r>
        <w:t xml:space="preserve">As indicated in these exhibits, the non-residential load tends to be considerably lower on weekends/holidays than during weekdays.  Conversely, </w:t>
      </w:r>
      <w:r w:rsidR="00990DF0">
        <w:t>r</w:t>
      </w:r>
      <w:r>
        <w:t>esidential loads tend to be greater on weekends/holidays than during week</w:t>
      </w:r>
      <w:r w:rsidR="00D27646">
        <w:t>days</w:t>
      </w:r>
      <w:r>
        <w:t>.  The importance of this as it relates to Georgia Power’s residential demand charge is that many (if not most) residential customers will peak on a weekend (and thus will be the basis for their monthly demand charge) even though the system load tends to be considerably lower</w:t>
      </w:r>
      <w:r w:rsidR="00252338">
        <w:t xml:space="preserve"> during the weekend</w:t>
      </w:r>
      <w:r>
        <w:t>.  This diversity in the timing of class loads tends to benefit the entire system by flattening the diurnal system load curve.</w:t>
      </w:r>
    </w:p>
    <w:p w:rsidR="00C33EC6" w:rsidRDefault="00C33EC6" w:rsidP="00B10DEC">
      <w:pPr>
        <w:spacing w:before="480" w:line="480" w:lineRule="auto"/>
        <w:ind w:left="720" w:hanging="720"/>
        <w:jc w:val="both"/>
        <w:rPr>
          <w:b/>
          <w:bCs/>
        </w:rPr>
      </w:pPr>
      <w:r>
        <w:rPr>
          <w:b/>
          <w:bCs/>
        </w:rPr>
        <w:lastRenderedPageBreak/>
        <w:t>Q.</w:t>
      </w:r>
      <w:r>
        <w:rPr>
          <w:b/>
          <w:bCs/>
        </w:rPr>
        <w:tab/>
        <w:t xml:space="preserve">PLEASE DISCUSS THE SECOND ANALYSIS </w:t>
      </w:r>
      <w:r w:rsidR="00043DCB">
        <w:rPr>
          <w:b/>
          <w:bCs/>
        </w:rPr>
        <w:t>STAFF</w:t>
      </w:r>
      <w:r>
        <w:rPr>
          <w:b/>
          <w:bCs/>
        </w:rPr>
        <w:t xml:space="preserve"> CONDUCTED CONCERNING GEORGIA POWER’S RESIDENTIAL DEMAND-BASED RATES.</w:t>
      </w:r>
    </w:p>
    <w:p w:rsidR="00C33EC6" w:rsidRPr="00673293" w:rsidRDefault="00C33EC6" w:rsidP="00C92205">
      <w:pPr>
        <w:spacing w:after="360" w:line="480" w:lineRule="auto"/>
        <w:ind w:left="720" w:hanging="720"/>
        <w:jc w:val="both"/>
      </w:pPr>
      <w:r>
        <w:t>A.</w:t>
      </w:r>
      <w:r>
        <w:tab/>
        <w:t xml:space="preserve">As a result of the hourly data provided in </w:t>
      </w:r>
      <w:r w:rsidR="00043DCB">
        <w:t xml:space="preserve">the Company’s </w:t>
      </w:r>
      <w:r>
        <w:t xml:space="preserve">response to STF-TAI-1-12, Staff was able to calculate and compare monthly load factors between </w:t>
      </w:r>
      <w:r w:rsidR="00043DCB">
        <w:t xml:space="preserve">the </w:t>
      </w:r>
      <w:r>
        <w:t xml:space="preserve">R </w:t>
      </w:r>
      <w:r w:rsidR="00043DCB">
        <w:t xml:space="preserve">Rate </w:t>
      </w:r>
      <w:r>
        <w:t>(energy only rate) to those for TOU-RD (demand charge rate).</w:t>
      </w:r>
      <w:r>
        <w:rPr>
          <w:rStyle w:val="FootnoteReference"/>
        </w:rPr>
        <w:footnoteReference w:id="38"/>
      </w:r>
      <w:r>
        <w:t xml:space="preserve">  The following table provides a comparison of monthly load factors between the energy only rate (</w:t>
      </w:r>
      <w:r w:rsidR="00171447">
        <w:t>R</w:t>
      </w:r>
      <w:r w:rsidR="002257B7">
        <w:t xml:space="preserve"> Service</w:t>
      </w:r>
      <w:r>
        <w:t xml:space="preserve">) and the demand-based rate (TOU-RD):    </w:t>
      </w:r>
    </w:p>
    <w:tbl>
      <w:tblPr>
        <w:tblW w:w="3720" w:type="dxa"/>
        <w:jc w:val="center"/>
        <w:tblLook w:val="04A0" w:firstRow="1" w:lastRow="0" w:firstColumn="1" w:lastColumn="0" w:noHBand="0" w:noVBand="1"/>
      </w:tblPr>
      <w:tblGrid>
        <w:gridCol w:w="1551"/>
        <w:gridCol w:w="222"/>
        <w:gridCol w:w="936"/>
        <w:gridCol w:w="222"/>
        <w:gridCol w:w="1374"/>
      </w:tblGrid>
      <w:tr w:rsidR="00C33EC6" w:rsidRPr="00CF5AE1" w:rsidTr="00A63A31">
        <w:trPr>
          <w:trHeight w:val="60"/>
          <w:jc w:val="center"/>
        </w:trPr>
        <w:tc>
          <w:tcPr>
            <w:tcW w:w="3720" w:type="dxa"/>
            <w:gridSpan w:val="5"/>
            <w:tcBorders>
              <w:top w:val="nil"/>
              <w:left w:val="nil"/>
              <w:bottom w:val="nil"/>
              <w:right w:val="nil"/>
            </w:tcBorders>
            <w:shd w:val="clear" w:color="auto" w:fill="auto"/>
            <w:noWrap/>
            <w:vAlign w:val="bottom"/>
            <w:hideMark/>
          </w:tcPr>
          <w:p w:rsidR="00C33EC6" w:rsidRPr="00F15CFF" w:rsidRDefault="00C33EC6" w:rsidP="00A63A31">
            <w:pPr>
              <w:jc w:val="center"/>
              <w:rPr>
                <w:color w:val="000000"/>
                <w:sz w:val="22"/>
                <w:szCs w:val="22"/>
              </w:rPr>
            </w:pPr>
            <w:r w:rsidRPr="00F15CFF">
              <w:rPr>
                <w:color w:val="000000"/>
                <w:sz w:val="22"/>
                <w:szCs w:val="22"/>
              </w:rPr>
              <w:t xml:space="preserve">TABLE </w:t>
            </w:r>
            <w:r w:rsidR="00117E55" w:rsidRPr="00F15CFF">
              <w:rPr>
                <w:color w:val="000000"/>
                <w:sz w:val="22"/>
                <w:szCs w:val="22"/>
              </w:rPr>
              <w:t>2</w:t>
            </w:r>
            <w:r w:rsidR="00F525E4">
              <w:rPr>
                <w:color w:val="000000"/>
                <w:sz w:val="22"/>
                <w:szCs w:val="22"/>
              </w:rPr>
              <w:t>1</w:t>
            </w:r>
          </w:p>
        </w:tc>
      </w:tr>
      <w:tr w:rsidR="00C33EC6" w:rsidRPr="00CF5AE1" w:rsidTr="00A63A31">
        <w:trPr>
          <w:trHeight w:val="60"/>
          <w:jc w:val="center"/>
        </w:trPr>
        <w:tc>
          <w:tcPr>
            <w:tcW w:w="3720" w:type="dxa"/>
            <w:gridSpan w:val="5"/>
            <w:tcBorders>
              <w:top w:val="nil"/>
              <w:left w:val="nil"/>
              <w:bottom w:val="single" w:sz="4" w:space="0" w:color="auto"/>
              <w:right w:val="nil"/>
            </w:tcBorders>
            <w:shd w:val="clear" w:color="auto" w:fill="auto"/>
            <w:noWrap/>
            <w:vAlign w:val="bottom"/>
            <w:hideMark/>
          </w:tcPr>
          <w:p w:rsidR="00C33EC6" w:rsidRPr="00CF5AE1" w:rsidRDefault="00C33EC6" w:rsidP="00A63A31">
            <w:pPr>
              <w:jc w:val="center"/>
              <w:rPr>
                <w:color w:val="000000"/>
              </w:rPr>
            </w:pPr>
            <w:r w:rsidRPr="00CF5AE1">
              <w:rPr>
                <w:color w:val="000000"/>
              </w:rPr>
              <w:t>Monthly Class Load Factor</w:t>
            </w:r>
          </w:p>
        </w:tc>
      </w:tr>
      <w:tr w:rsidR="00C33EC6" w:rsidRPr="00CF5AE1" w:rsidTr="00A63A31">
        <w:trPr>
          <w:trHeight w:val="5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jc w:val="center"/>
              <w:rPr>
                <w:color w:val="000000"/>
              </w:rPr>
            </w:pP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center"/>
              <w:rPr>
                <w:sz w:val="20"/>
                <w:szCs w:val="20"/>
              </w:rPr>
            </w:pPr>
          </w:p>
        </w:tc>
        <w:tc>
          <w:tcPr>
            <w:tcW w:w="2116" w:type="dxa"/>
            <w:gridSpan w:val="3"/>
            <w:tcBorders>
              <w:top w:val="nil"/>
              <w:left w:val="nil"/>
              <w:bottom w:val="single" w:sz="4" w:space="0" w:color="auto"/>
              <w:right w:val="nil"/>
            </w:tcBorders>
            <w:shd w:val="clear" w:color="auto" w:fill="auto"/>
            <w:noWrap/>
            <w:vAlign w:val="bottom"/>
            <w:hideMark/>
          </w:tcPr>
          <w:p w:rsidR="00C33EC6" w:rsidRPr="00CF5AE1" w:rsidRDefault="00C33EC6" w:rsidP="00A63A31">
            <w:pPr>
              <w:jc w:val="center"/>
              <w:rPr>
                <w:color w:val="000000"/>
              </w:rPr>
            </w:pPr>
            <w:r w:rsidRPr="00CF5AE1">
              <w:rPr>
                <w:color w:val="000000"/>
              </w:rPr>
              <w:t>Rate</w:t>
            </w:r>
          </w:p>
        </w:tc>
      </w:tr>
      <w:tr w:rsidR="00C33EC6" w:rsidRPr="00CF5AE1" w:rsidTr="00A63A31">
        <w:trPr>
          <w:trHeight w:val="50"/>
          <w:jc w:val="center"/>
        </w:trPr>
        <w:tc>
          <w:tcPr>
            <w:tcW w:w="1551" w:type="dxa"/>
            <w:tcBorders>
              <w:top w:val="nil"/>
              <w:left w:val="nil"/>
              <w:bottom w:val="single" w:sz="4" w:space="0" w:color="auto"/>
              <w:right w:val="nil"/>
            </w:tcBorders>
            <w:shd w:val="clear" w:color="auto" w:fill="auto"/>
            <w:noWrap/>
            <w:vAlign w:val="bottom"/>
            <w:hideMark/>
          </w:tcPr>
          <w:p w:rsidR="00C33EC6" w:rsidRPr="00CF5AE1" w:rsidRDefault="00C33EC6" w:rsidP="00A63A31">
            <w:pPr>
              <w:jc w:val="center"/>
              <w:rPr>
                <w:color w:val="000000"/>
              </w:rPr>
            </w:pPr>
            <w:r w:rsidRPr="00CF5AE1">
              <w:rPr>
                <w:color w:val="000000"/>
              </w:rPr>
              <w:t>Month</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center"/>
              <w:rPr>
                <w:color w:val="000000"/>
              </w:rPr>
            </w:pPr>
          </w:p>
        </w:tc>
        <w:tc>
          <w:tcPr>
            <w:tcW w:w="689" w:type="dxa"/>
            <w:tcBorders>
              <w:top w:val="nil"/>
              <w:left w:val="nil"/>
              <w:bottom w:val="single" w:sz="4" w:space="0" w:color="auto"/>
              <w:right w:val="nil"/>
            </w:tcBorders>
            <w:shd w:val="clear" w:color="auto" w:fill="auto"/>
            <w:noWrap/>
            <w:vAlign w:val="bottom"/>
            <w:hideMark/>
          </w:tcPr>
          <w:p w:rsidR="00C33EC6" w:rsidRPr="00CF5AE1" w:rsidRDefault="00C33EC6" w:rsidP="00A63A31">
            <w:pPr>
              <w:jc w:val="center"/>
              <w:rPr>
                <w:color w:val="000000"/>
              </w:rPr>
            </w:pPr>
            <w:r w:rsidRPr="00CF5AE1">
              <w:rPr>
                <w:color w:val="000000"/>
              </w:rPr>
              <w:t>R</w:t>
            </w:r>
            <w:r w:rsidR="002257B7">
              <w:rPr>
                <w:color w:val="000000"/>
              </w:rPr>
              <w:t xml:space="preserve"> Service</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center"/>
              <w:rPr>
                <w:color w:val="000000"/>
              </w:rPr>
            </w:pPr>
          </w:p>
        </w:tc>
        <w:tc>
          <w:tcPr>
            <w:tcW w:w="1374" w:type="dxa"/>
            <w:tcBorders>
              <w:top w:val="nil"/>
              <w:left w:val="nil"/>
              <w:bottom w:val="single" w:sz="4" w:space="0" w:color="auto"/>
              <w:right w:val="nil"/>
            </w:tcBorders>
            <w:shd w:val="clear" w:color="auto" w:fill="auto"/>
            <w:noWrap/>
            <w:vAlign w:val="bottom"/>
            <w:hideMark/>
          </w:tcPr>
          <w:p w:rsidR="00C33EC6" w:rsidRPr="00CF5AE1" w:rsidRDefault="00C33EC6" w:rsidP="00A63A31">
            <w:pPr>
              <w:jc w:val="center"/>
              <w:rPr>
                <w:color w:val="000000"/>
              </w:rPr>
            </w:pPr>
            <w:r w:rsidRPr="00CF5AE1">
              <w:rPr>
                <w:color w:val="000000"/>
              </w:rPr>
              <w:t>TOU-RD</w:t>
            </w:r>
          </w:p>
        </w:tc>
      </w:tr>
      <w:tr w:rsidR="00C33EC6" w:rsidRPr="00CF5AE1" w:rsidTr="00A63A31">
        <w:trPr>
          <w:trHeight w:val="116"/>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jc w:val="center"/>
              <w:rPr>
                <w:color w:val="000000"/>
              </w:rPr>
            </w:pP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sz w:val="20"/>
                <w:szCs w:val="2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rPr>
                <w:sz w:val="20"/>
                <w:szCs w:val="20"/>
              </w:rPr>
            </w:pP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sz w:val="20"/>
                <w:szCs w:val="2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rPr>
                <w:sz w:val="20"/>
                <w:szCs w:val="20"/>
              </w:rPr>
            </w:pP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January</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63%</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50%</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February</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58%</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54%</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March</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53%</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56%</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April</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54%</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42%</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May</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46%</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44%</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June</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55%</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52%</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July</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56%</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56%</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August</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59%</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55%</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September</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54%</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51%</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 xml:space="preserve">October </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55%</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39%</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November</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58%</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50%</w:t>
            </w:r>
          </w:p>
        </w:tc>
      </w:tr>
      <w:tr w:rsidR="00C33EC6" w:rsidRPr="00CF5AE1" w:rsidTr="00A63A31">
        <w:trPr>
          <w:trHeight w:val="60"/>
          <w:jc w:val="center"/>
        </w:trPr>
        <w:tc>
          <w:tcPr>
            <w:tcW w:w="1551"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r w:rsidRPr="00CF5AE1">
              <w:rPr>
                <w:color w:val="000000"/>
              </w:rPr>
              <w:t>December</w:t>
            </w:r>
          </w:p>
        </w:tc>
        <w:tc>
          <w:tcPr>
            <w:tcW w:w="53" w:type="dxa"/>
            <w:tcBorders>
              <w:top w:val="nil"/>
              <w:left w:val="nil"/>
              <w:bottom w:val="nil"/>
              <w:right w:val="nil"/>
            </w:tcBorders>
            <w:shd w:val="clear" w:color="auto" w:fill="auto"/>
            <w:noWrap/>
            <w:vAlign w:val="bottom"/>
            <w:hideMark/>
          </w:tcPr>
          <w:p w:rsidR="00C33EC6" w:rsidRPr="00CF5AE1" w:rsidRDefault="00C33EC6" w:rsidP="00A63A31">
            <w:pPr>
              <w:rPr>
                <w:color w:val="000000"/>
              </w:rPr>
            </w:pPr>
          </w:p>
        </w:tc>
        <w:tc>
          <w:tcPr>
            <w:tcW w:w="689"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58%</w:t>
            </w:r>
          </w:p>
        </w:tc>
        <w:tc>
          <w:tcPr>
            <w:tcW w:w="53"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p>
        </w:tc>
        <w:tc>
          <w:tcPr>
            <w:tcW w:w="1374" w:type="dxa"/>
            <w:tcBorders>
              <w:top w:val="nil"/>
              <w:left w:val="nil"/>
              <w:bottom w:val="nil"/>
              <w:right w:val="nil"/>
            </w:tcBorders>
            <w:shd w:val="clear" w:color="auto" w:fill="auto"/>
            <w:noWrap/>
            <w:vAlign w:val="bottom"/>
            <w:hideMark/>
          </w:tcPr>
          <w:p w:rsidR="00C33EC6" w:rsidRPr="00CF5AE1" w:rsidRDefault="00C33EC6" w:rsidP="00A63A31">
            <w:pPr>
              <w:jc w:val="right"/>
              <w:rPr>
                <w:color w:val="000000"/>
              </w:rPr>
            </w:pPr>
            <w:r w:rsidRPr="00CF5AE1">
              <w:rPr>
                <w:color w:val="000000"/>
              </w:rPr>
              <w:t>52%</w:t>
            </w:r>
          </w:p>
        </w:tc>
      </w:tr>
    </w:tbl>
    <w:p w:rsidR="00C33EC6" w:rsidRDefault="00C33EC6" w:rsidP="00F15CFF">
      <w:pPr>
        <w:spacing w:before="360" w:line="480" w:lineRule="auto"/>
        <w:ind w:left="720" w:hanging="720"/>
        <w:jc w:val="both"/>
      </w:pPr>
      <w:r>
        <w:tab/>
        <w:t xml:space="preserve">Although the monthly load factors tend to be fairly similar between </w:t>
      </w:r>
      <w:r w:rsidR="001170F0">
        <w:t>the R</w:t>
      </w:r>
      <w:r>
        <w:t xml:space="preserve"> </w:t>
      </w:r>
      <w:r w:rsidR="00043DCB">
        <w:t xml:space="preserve">Rate </w:t>
      </w:r>
      <w:r>
        <w:t>and TOU-RD, it is observed that energy only rate customers’ (</w:t>
      </w:r>
      <w:r w:rsidR="00171447">
        <w:t xml:space="preserve">R </w:t>
      </w:r>
      <w:r>
        <w:t xml:space="preserve">Rate) load factors are actually higher </w:t>
      </w:r>
      <w:r>
        <w:lastRenderedPageBreak/>
        <w:t xml:space="preserve">than the demand-based rate customers’ (TOU-RD) </w:t>
      </w:r>
      <w:r w:rsidR="00F15CFF">
        <w:t xml:space="preserve">load factors </w:t>
      </w:r>
      <w:r>
        <w:t xml:space="preserve">for every month except for March.  This analysis indicates that first, those customers </w:t>
      </w:r>
      <w:r w:rsidR="00690077">
        <w:t xml:space="preserve">receiving service </w:t>
      </w:r>
      <w:r>
        <w:t xml:space="preserve">under demand-based rates have not improved their load factor relative to energy only rate customers such that they have not reduced their peak demands relative to their energy usages.  Furthermore, we see that for all months except for March, demand-based customers’ relationship between energy and peak demand is even worse than those of the energy only rate customers.  This finding is of course contrary to any claimed objectives of demand-based rates for the </w:t>
      </w:r>
      <w:r w:rsidR="00F15CFF">
        <w:t xml:space="preserve">residential </w:t>
      </w:r>
      <w:r>
        <w:t>class.  In other words, residential customers on TOU-RD have not responded or reduced their peak load relative to their energy usage by being on a demand-based rate.</w:t>
      </w:r>
    </w:p>
    <w:p w:rsidR="00C33EC6" w:rsidRDefault="00C33EC6" w:rsidP="00F15CFF">
      <w:pPr>
        <w:spacing w:before="480" w:line="480" w:lineRule="auto"/>
        <w:ind w:left="720" w:hanging="720"/>
        <w:jc w:val="both"/>
        <w:rPr>
          <w:b/>
          <w:bCs/>
        </w:rPr>
      </w:pPr>
      <w:r>
        <w:rPr>
          <w:b/>
          <w:bCs/>
        </w:rPr>
        <w:t>Q.</w:t>
      </w:r>
      <w:r>
        <w:rPr>
          <w:b/>
          <w:bCs/>
        </w:rPr>
        <w:tab/>
        <w:t xml:space="preserve">PLEASE EXPLAIN THE THIRD ANALYSIS </w:t>
      </w:r>
      <w:r w:rsidR="00043DCB">
        <w:rPr>
          <w:b/>
          <w:bCs/>
        </w:rPr>
        <w:t xml:space="preserve">STAFF </w:t>
      </w:r>
      <w:r>
        <w:rPr>
          <w:b/>
          <w:bCs/>
        </w:rPr>
        <w:t>CONDUCTED CONCERNING GEORGIA POWER’S RESIDENTIAL DEMAND-BASED RATES.</w:t>
      </w:r>
    </w:p>
    <w:p w:rsidR="00C33EC6" w:rsidRDefault="00C33EC6" w:rsidP="00F15CFF">
      <w:pPr>
        <w:spacing w:line="480" w:lineRule="auto"/>
        <w:ind w:left="720" w:hanging="720"/>
        <w:jc w:val="both"/>
      </w:pPr>
      <w:r>
        <w:t>A.</w:t>
      </w:r>
      <w:r>
        <w:tab/>
        <w:t>It has often been said that the energy charges a residential customer pays serve as a good surrogate for that customer’s level of peak demand.  In other words, there tends to be a strong correlation between peak demand and energy usage; i.e., customers with high peak demands tend to also utilize high levels of energy, and therefore, reasonably pay for demand costs and vice versa.  In STF-TAI-2-2, the Company was requested to provide a database that provided every residential customers</w:t>
      </w:r>
      <w:r w:rsidR="00690077">
        <w:t>’</w:t>
      </w:r>
      <w:r>
        <w:t xml:space="preserve"> bill during 2021 that included the specific rate schedule, billing date, number of days in bill, billed kW, maximum kW and date and time of maximum kW.  The Company provided the data that it does maintain</w:t>
      </w:r>
      <w:r w:rsidR="00043DCB">
        <w:t>;</w:t>
      </w:r>
      <w:r>
        <w:t xml:space="preserve"> </w:t>
      </w:r>
      <w:r>
        <w:lastRenderedPageBreak/>
        <w:t xml:space="preserve">however, the Company indicated that monthly peak demands are not recorded for residential customers except for those taking service under the TOU-RD rate schedule. </w:t>
      </w:r>
    </w:p>
    <w:p w:rsidR="00F35088" w:rsidRDefault="00C33EC6" w:rsidP="00F15CFF">
      <w:pPr>
        <w:spacing w:before="360" w:line="480" w:lineRule="auto"/>
        <w:ind w:left="720" w:hanging="720"/>
        <w:jc w:val="both"/>
        <w:rPr>
          <w:color w:val="FF0000"/>
        </w:rPr>
      </w:pPr>
      <w:r>
        <w:tab/>
      </w:r>
      <w:r w:rsidR="00252338">
        <w:t>Regarding</w:t>
      </w:r>
      <w:r>
        <w:t xml:space="preserve"> individual bills for TOU-RD that did include demand data, Staff was able to evaluate the correlation between these customers’ monthly energy usage and peak demands.  Georgia Power provided 339,200 records for these TOU-RD customers.  In evaluating the relationship between energy usage and peak demand, 99,835 records were eliminated due to anomalies or potentially misleading results leaving a database for evaluation 239,365 observations.</w:t>
      </w:r>
      <w:r>
        <w:rPr>
          <w:rStyle w:val="FootnoteReference"/>
        </w:rPr>
        <w:footnoteReference w:id="39"/>
      </w:r>
      <w:r>
        <w:t xml:space="preserve">  </w:t>
      </w:r>
      <w:r w:rsidR="004975C2">
        <w:t xml:space="preserve">The analysis showed </w:t>
      </w:r>
      <w:r>
        <w:t>that there is a 77% correlation between a customer’s energy usage and peak demand.</w:t>
      </w:r>
      <w:r>
        <w:rPr>
          <w:rStyle w:val="FootnoteReference"/>
        </w:rPr>
        <w:footnoteReference w:id="40"/>
      </w:r>
      <w:r>
        <w:t xml:space="preserve">  This analysis supports the contention that there is a strong relationship between the level of energy a customer uses and th</w:t>
      </w:r>
      <w:r w:rsidR="004975C2">
        <w:t>e</w:t>
      </w:r>
      <w:r>
        <w:t xml:space="preserve"> customer’s peak demand such that a two-part (energy only) rate serves as a good surrogate, or proxy, for the level of the customer’s maximum demand.</w:t>
      </w:r>
      <w:r w:rsidR="00315D90">
        <w:t xml:space="preserve">  </w:t>
      </w:r>
    </w:p>
    <w:p w:rsidR="008E7EBC" w:rsidRPr="00171447" w:rsidRDefault="008E7EBC" w:rsidP="00F15CFF">
      <w:pPr>
        <w:pStyle w:val="Answers"/>
        <w:spacing w:before="480"/>
        <w:rPr>
          <w:b/>
        </w:rPr>
      </w:pPr>
      <w:r w:rsidRPr="00171447">
        <w:rPr>
          <w:b/>
        </w:rPr>
        <w:t>Q.</w:t>
      </w:r>
      <w:r w:rsidRPr="00171447">
        <w:rPr>
          <w:b/>
        </w:rPr>
        <w:tab/>
        <w:t>WHAT IS STAFF’S RECOMMENDATION RE</w:t>
      </w:r>
      <w:r w:rsidR="006470E0" w:rsidRPr="00171447">
        <w:rPr>
          <w:b/>
        </w:rPr>
        <w:t>G</w:t>
      </w:r>
      <w:r w:rsidRPr="00171447">
        <w:rPr>
          <w:b/>
        </w:rPr>
        <w:t>ARDING THE COMPANY’S REQUEST TO NOT ALLOW NEW PREMISES ON THE R RATE AFTER JANUARY 1, 2023?</w:t>
      </w:r>
    </w:p>
    <w:p w:rsidR="001A2FAE" w:rsidRPr="00171447" w:rsidRDefault="008E7EBC" w:rsidP="00F15CFF">
      <w:pPr>
        <w:pStyle w:val="Answers"/>
      </w:pPr>
      <w:r w:rsidRPr="00171447">
        <w:t>A.</w:t>
      </w:r>
      <w:r w:rsidRPr="00171447">
        <w:tab/>
        <w:t>Staff does not support the R</w:t>
      </w:r>
      <w:r w:rsidR="002257B7">
        <w:t xml:space="preserve"> </w:t>
      </w:r>
      <w:r w:rsidRPr="00171447">
        <w:t>tariff being unavailable to new premises after January 1, 202</w:t>
      </w:r>
      <w:r w:rsidR="006470E0" w:rsidRPr="00171447">
        <w:t>3</w:t>
      </w:r>
      <w:r w:rsidR="00043DCB" w:rsidRPr="00171447">
        <w:t xml:space="preserve"> as customers should </w:t>
      </w:r>
      <w:r w:rsidR="001C4F16" w:rsidRPr="00171447">
        <w:t xml:space="preserve">continue to </w:t>
      </w:r>
      <w:r w:rsidR="00043DCB" w:rsidRPr="00171447">
        <w:t xml:space="preserve">be allowed to choose a </w:t>
      </w:r>
      <w:r w:rsidR="00F169E8">
        <w:t xml:space="preserve">two-part </w:t>
      </w:r>
      <w:r w:rsidR="00043DCB" w:rsidRPr="00171447">
        <w:t>rate option</w:t>
      </w:r>
      <w:r w:rsidR="001C4F16" w:rsidRPr="00171447">
        <w:t xml:space="preserve"> </w:t>
      </w:r>
      <w:r w:rsidR="00F169E8">
        <w:t xml:space="preserve">(basic service </w:t>
      </w:r>
      <w:r w:rsidR="00F169E8">
        <w:lastRenderedPageBreak/>
        <w:t>plus energy charge)</w:t>
      </w:r>
      <w:r w:rsidR="001C4F16" w:rsidRPr="00171447">
        <w:t xml:space="preserve">. </w:t>
      </w:r>
      <w:r w:rsidR="00F169E8">
        <w:t xml:space="preserve"> </w:t>
      </w:r>
      <w:r w:rsidR="001C4F16" w:rsidRPr="00171447">
        <w:t>Therefore, Staff recommends that the Company’s request to not allow new premises after January 1, 2023</w:t>
      </w:r>
      <w:r w:rsidR="00AA7F8F">
        <w:t xml:space="preserve"> to receive service on the R tariff</w:t>
      </w:r>
      <w:r w:rsidR="001C4F16" w:rsidRPr="00171447">
        <w:t xml:space="preserve"> be denied.</w:t>
      </w:r>
      <w:r w:rsidR="002939F4" w:rsidRPr="00171447">
        <w:t xml:space="preserve">  </w:t>
      </w:r>
    </w:p>
    <w:p w:rsidR="001A2FAE" w:rsidRDefault="001A2FAE" w:rsidP="00F15CFF">
      <w:pPr>
        <w:spacing w:before="480" w:line="480" w:lineRule="auto"/>
        <w:ind w:left="720" w:hanging="720"/>
        <w:jc w:val="both"/>
        <w:rPr>
          <w:b/>
          <w:bCs/>
        </w:rPr>
      </w:pPr>
      <w:r>
        <w:rPr>
          <w:b/>
          <w:bCs/>
        </w:rPr>
        <w:t>Q.</w:t>
      </w:r>
      <w:r>
        <w:rPr>
          <w:b/>
          <w:bCs/>
        </w:rPr>
        <w:tab/>
        <w:t xml:space="preserve">WHAT IS STAFF’S RECOMMENDATION REGARDING THE COMPANY’S PROPOSAL TO NOT ALLOW EXISTING </w:t>
      </w:r>
      <w:r w:rsidR="001436C9">
        <w:rPr>
          <w:b/>
          <w:bCs/>
        </w:rPr>
        <w:t xml:space="preserve">OR NEW </w:t>
      </w:r>
      <w:r>
        <w:rPr>
          <w:b/>
          <w:bCs/>
        </w:rPr>
        <w:t xml:space="preserve">CUSTOMERS THE OPTION OF </w:t>
      </w:r>
      <w:r w:rsidR="001436C9">
        <w:rPr>
          <w:b/>
          <w:bCs/>
        </w:rPr>
        <w:t xml:space="preserve">TAKING SERVICE </w:t>
      </w:r>
      <w:r>
        <w:rPr>
          <w:b/>
          <w:bCs/>
        </w:rPr>
        <w:t>USING TOU-REO?</w:t>
      </w:r>
    </w:p>
    <w:p w:rsidR="001A2FAE" w:rsidRPr="009D7028" w:rsidRDefault="001A2FAE" w:rsidP="003F682A">
      <w:pPr>
        <w:spacing w:line="480" w:lineRule="auto"/>
        <w:ind w:left="720" w:hanging="720"/>
        <w:jc w:val="both"/>
      </w:pPr>
      <w:r>
        <w:t>A.</w:t>
      </w:r>
      <w:r>
        <w:tab/>
        <w:t xml:space="preserve">Staff recommends that TOU-REO continue to be an optional </w:t>
      </w:r>
      <w:r w:rsidR="008C32A4">
        <w:t xml:space="preserve">tariff </w:t>
      </w:r>
      <w:r>
        <w:t>for all residential customers as this rate provides a viable option for customers to shift their load and usage patterns from on-peak (high cost) hours to off-peak (low cost) hours thereby benefiting the entire Georgia Power system.</w:t>
      </w:r>
      <w:r w:rsidR="002F025B">
        <w:t xml:space="preserve">  Indeed, and as stated in Mr. Legg’s Direct Testimony, page </w:t>
      </w:r>
      <w:r w:rsidR="0036416B">
        <w:t xml:space="preserve">2, lines 23 and 24, </w:t>
      </w:r>
      <w:r w:rsidR="00A07664">
        <w:t xml:space="preserve">“Georgia Power takes pride in being an industry leader that offers an innovative and robust portfolio of rate options that meet our customers’ evolving energy needs.”  </w:t>
      </w:r>
    </w:p>
    <w:p w:rsidR="00B4575E" w:rsidRDefault="006A056D" w:rsidP="00D24841">
      <w:pPr>
        <w:pStyle w:val="Questions"/>
      </w:pPr>
      <w:r>
        <w:t>Q.</w:t>
      </w:r>
      <w:r>
        <w:tab/>
      </w:r>
      <w:r w:rsidR="00836D32">
        <w:t xml:space="preserve">IN ADDITION TO THE PROPOSED CHANGES TO THE R TARIFF, </w:t>
      </w:r>
      <w:r w:rsidR="00B4575E">
        <w:t xml:space="preserve">HAS THE COMPANY PROPOSED CHANGES TO </w:t>
      </w:r>
      <w:r w:rsidR="00836D32">
        <w:t xml:space="preserve">ANY OF </w:t>
      </w:r>
      <w:r w:rsidR="00B4575E">
        <w:t xml:space="preserve">ITS </w:t>
      </w:r>
      <w:r w:rsidR="00836D32">
        <w:t xml:space="preserve">OTHER </w:t>
      </w:r>
      <w:r w:rsidR="00B4575E">
        <w:t>TARIFFS?</w:t>
      </w:r>
    </w:p>
    <w:p w:rsidR="00350C2D" w:rsidRPr="00D24841" w:rsidRDefault="00B4575E" w:rsidP="004717AD">
      <w:pPr>
        <w:pStyle w:val="Answers"/>
      </w:pPr>
      <w:r>
        <w:t>A.</w:t>
      </w:r>
      <w:r>
        <w:tab/>
        <w:t xml:space="preserve">Yes.  </w:t>
      </w:r>
      <w:r w:rsidR="00640D72">
        <w:t>In the Direct Testimony of Larry Legg, t</w:t>
      </w:r>
      <w:r>
        <w:t>he Company proposed changes to the following tariffs</w:t>
      </w:r>
      <w:r w:rsidR="00F86824">
        <w:t xml:space="preserve"> and programs</w:t>
      </w:r>
      <w:r>
        <w:t xml:space="preserve">: </w:t>
      </w:r>
      <w:proofErr w:type="spellStart"/>
      <w:r w:rsidR="00A8470D">
        <w:t>FlatBill</w:t>
      </w:r>
      <w:proofErr w:type="spellEnd"/>
      <w:r w:rsidR="00A8470D">
        <w:t>,</w:t>
      </w:r>
      <w:r>
        <w:t xml:space="preserve"> </w:t>
      </w:r>
      <w:proofErr w:type="spellStart"/>
      <w:r>
        <w:t>FlatBill</w:t>
      </w:r>
      <w:proofErr w:type="spellEnd"/>
      <w:r>
        <w:t xml:space="preserve"> General </w:t>
      </w:r>
      <w:r w:rsidR="00A8470D">
        <w:t>Service,</w:t>
      </w:r>
      <w:r>
        <w:t xml:space="preserve"> Income-Qualified Senior Citizen Discount program, Roadway Lighting Governmental (“RLG”), Demand Plus Energy Credit (“DPEC”), RNR, CS, and SS.</w:t>
      </w:r>
    </w:p>
    <w:p w:rsidR="00350C2D" w:rsidRPr="00571642" w:rsidRDefault="00350C2D" w:rsidP="00D24841">
      <w:pPr>
        <w:pStyle w:val="Questions"/>
      </w:pPr>
      <w:r w:rsidRPr="00571642">
        <w:t xml:space="preserve">Q.  </w:t>
      </w:r>
      <w:r w:rsidRPr="00571642">
        <w:tab/>
        <w:t xml:space="preserve">PLEASE DESCRIBE THE CHANGES THAT THE COMPANY IS PROPOSING TO FLAT BILL AND </w:t>
      </w:r>
      <w:r>
        <w:t>FLAT</w:t>
      </w:r>
      <w:r w:rsidR="008C32A4">
        <w:t xml:space="preserve"> </w:t>
      </w:r>
      <w:r>
        <w:t>BILL GENERAL SERVICE</w:t>
      </w:r>
      <w:r w:rsidRPr="00571642">
        <w:t>.</w:t>
      </w:r>
    </w:p>
    <w:p w:rsidR="00350C2D" w:rsidRPr="00571642" w:rsidRDefault="00350C2D" w:rsidP="004717AD">
      <w:pPr>
        <w:pStyle w:val="Answers"/>
      </w:pPr>
      <w:r w:rsidRPr="00571642">
        <w:lastRenderedPageBreak/>
        <w:t>A.</w:t>
      </w:r>
      <w:r w:rsidRPr="00571642">
        <w:tab/>
        <w:t xml:space="preserve">The Company is proposing a minimum monthly offer of $50 per month for Flat Bill customers. This </w:t>
      </w:r>
      <w:r w:rsidR="00C35140">
        <w:t>proposed change</w:t>
      </w:r>
      <w:r w:rsidR="00B012FD">
        <w:t xml:space="preserve"> does not impact current Flat Bill customers and </w:t>
      </w:r>
      <w:r w:rsidR="00E51590">
        <w:t xml:space="preserve">as provided in </w:t>
      </w:r>
      <w:r w:rsidR="00E730C2">
        <w:t>the Company’s response to</w:t>
      </w:r>
      <w:r w:rsidR="00F0356C">
        <w:t xml:space="preserve"> </w:t>
      </w:r>
      <w:r w:rsidR="00B012FD">
        <w:t>STF</w:t>
      </w:r>
      <w:r w:rsidR="00D04E41">
        <w:t>-TAI</w:t>
      </w:r>
      <w:r w:rsidR="00B012FD">
        <w:t>-1-18, currently fewer than</w:t>
      </w:r>
      <w:r w:rsidR="00E730C2">
        <w:t xml:space="preserve"> </w:t>
      </w:r>
      <w:r w:rsidRPr="00571642">
        <w:t xml:space="preserve">2 percent of </w:t>
      </w:r>
      <w:r w:rsidR="00B012FD">
        <w:t xml:space="preserve">Flat Bill customers pay less than $50 per month.  </w:t>
      </w:r>
      <w:r w:rsidR="00E51590">
        <w:t>Based on the Company’s proposal, c</w:t>
      </w:r>
      <w:r w:rsidR="00B012FD">
        <w:t>ustomers</w:t>
      </w:r>
      <w:r w:rsidRPr="00571642">
        <w:t xml:space="preserve"> who </w:t>
      </w:r>
      <w:r w:rsidR="00E730C2">
        <w:t>do</w:t>
      </w:r>
      <w:r w:rsidRPr="00571642">
        <w:t xml:space="preserve"> not qualify with the increased minimum amount</w:t>
      </w:r>
      <w:r w:rsidR="00B012FD">
        <w:t xml:space="preserve"> will not be offered the Flat Bill option</w:t>
      </w:r>
      <w:r w:rsidRPr="00571642">
        <w:t xml:space="preserve">.  </w:t>
      </w:r>
    </w:p>
    <w:p w:rsidR="00350C2D" w:rsidRPr="00571642" w:rsidRDefault="00350C2D" w:rsidP="00D24841">
      <w:pPr>
        <w:pStyle w:val="Questions"/>
      </w:pPr>
      <w:r w:rsidRPr="00571642">
        <w:t xml:space="preserve">Q. </w:t>
      </w:r>
      <w:r w:rsidRPr="00571642">
        <w:tab/>
        <w:t>DOES STAFF RECOMMEND APPROVAL OF THE COMPANY’S PROPOSED CHANGES TO THE FLAT BILL TARIFF</w:t>
      </w:r>
      <w:r w:rsidR="00C35140">
        <w:t>S</w:t>
      </w:r>
      <w:r w:rsidRPr="00571642">
        <w:t>?</w:t>
      </w:r>
    </w:p>
    <w:p w:rsidR="00350C2D" w:rsidRPr="00571642" w:rsidRDefault="00350C2D" w:rsidP="004717AD">
      <w:pPr>
        <w:pStyle w:val="Answers"/>
      </w:pPr>
      <w:r w:rsidRPr="00571642">
        <w:t xml:space="preserve">A. </w:t>
      </w:r>
      <w:r w:rsidRPr="00571642">
        <w:tab/>
        <w:t xml:space="preserve">Yes.  Staff recommends approval of the Company’s proposed changes to the Flat </w:t>
      </w:r>
      <w:r w:rsidR="00A8470D" w:rsidRPr="00571642">
        <w:t>Bill tariffs</w:t>
      </w:r>
      <w:r w:rsidRPr="00571642">
        <w:t xml:space="preserve">.  In addition, Staff recommends that the Company be required to increase </w:t>
      </w:r>
      <w:r w:rsidR="00C35140">
        <w:t xml:space="preserve">the </w:t>
      </w:r>
      <w:r w:rsidRPr="00571642">
        <w:t>availability and awareness of seasonally smoothed Budget Billing</w:t>
      </w:r>
      <w:r w:rsidR="00387408">
        <w:t xml:space="preserve"> to its customers</w:t>
      </w:r>
      <w:r w:rsidRPr="00571642">
        <w:t xml:space="preserve">.  Budget </w:t>
      </w:r>
      <w:r w:rsidR="00F15CFF">
        <w:t>B</w:t>
      </w:r>
      <w:r w:rsidRPr="00571642">
        <w:t xml:space="preserve">illing serves </w:t>
      </w:r>
      <w:r w:rsidR="00EA1AD0">
        <w:t xml:space="preserve">a </w:t>
      </w:r>
      <w:r w:rsidRPr="00571642">
        <w:t>customer</w:t>
      </w:r>
      <w:r w:rsidR="00EA1AD0">
        <w:t>’s</w:t>
      </w:r>
      <w:r w:rsidRPr="00571642">
        <w:t xml:space="preserve"> interest by providing more consistent billing amounts while still reflecting the customer’s </w:t>
      </w:r>
      <w:r w:rsidR="00387408">
        <w:t xml:space="preserve">most </w:t>
      </w:r>
      <w:r w:rsidRPr="00571642">
        <w:t>recent usage and conservation.</w:t>
      </w:r>
    </w:p>
    <w:p w:rsidR="00350C2D" w:rsidRPr="00571642" w:rsidRDefault="00350C2D" w:rsidP="00D24841">
      <w:pPr>
        <w:pStyle w:val="Questions"/>
      </w:pPr>
      <w:r w:rsidRPr="00571642">
        <w:t xml:space="preserve">Q. </w:t>
      </w:r>
      <w:r w:rsidRPr="00571642">
        <w:tab/>
        <w:t>IS THE COMPANY PROPOSING ANY CHANGES TO THE INCOME QUALIFIED SENIOR CITIZENS DISCOUNT?</w:t>
      </w:r>
    </w:p>
    <w:p w:rsidR="00350C2D" w:rsidRPr="00571642" w:rsidRDefault="00350C2D" w:rsidP="004717AD">
      <w:pPr>
        <w:pStyle w:val="Answers"/>
      </w:pPr>
      <w:r w:rsidRPr="00571642">
        <w:t xml:space="preserve">A. </w:t>
      </w:r>
      <w:r w:rsidRPr="00571642">
        <w:tab/>
        <w:t>Yes</w:t>
      </w:r>
      <w:r w:rsidR="00C35140">
        <w:t xml:space="preserve">.  The </w:t>
      </w:r>
      <w:r w:rsidRPr="00571642">
        <w:t xml:space="preserve">Company is proposing to increase the </w:t>
      </w:r>
      <w:r w:rsidR="00C35140">
        <w:t xml:space="preserve">income qualified senior citizens </w:t>
      </w:r>
      <w:r w:rsidRPr="00571642">
        <w:t xml:space="preserve">discount to reflect its proposed increase to the Basic Service Charge.  As noted earlier, Staff </w:t>
      </w:r>
      <w:r w:rsidR="00D74BB8">
        <w:t xml:space="preserve">is </w:t>
      </w:r>
      <w:r w:rsidR="001C4F16">
        <w:t xml:space="preserve">not </w:t>
      </w:r>
      <w:r w:rsidR="00D74BB8">
        <w:t>recommending a</w:t>
      </w:r>
      <w:r w:rsidR="001C4F16">
        <w:t>n increase</w:t>
      </w:r>
      <w:r w:rsidR="00D74BB8">
        <w:t xml:space="preserve"> </w:t>
      </w:r>
      <w:r w:rsidR="00C35140">
        <w:t xml:space="preserve">to the </w:t>
      </w:r>
      <w:r w:rsidR="00AE2CF6">
        <w:t>r</w:t>
      </w:r>
      <w:r w:rsidR="00C35140">
        <w:t>esidential</w:t>
      </w:r>
      <w:r w:rsidR="00AE2CF6">
        <w:t xml:space="preserve"> </w:t>
      </w:r>
      <w:r w:rsidRPr="00571642">
        <w:t>Basic Service Charge</w:t>
      </w:r>
      <w:r w:rsidR="00EA1AD0">
        <w:t xml:space="preserve">; </w:t>
      </w:r>
      <w:r w:rsidR="00A852C6">
        <w:t>however,</w:t>
      </w:r>
      <w:r w:rsidR="00EA1AD0">
        <w:t xml:space="preserve"> in the event </w:t>
      </w:r>
      <w:r w:rsidR="00D74BB8">
        <w:t xml:space="preserve">the </w:t>
      </w:r>
      <w:r w:rsidRPr="00571642">
        <w:t>Commission w</w:t>
      </w:r>
      <w:r w:rsidR="00EA1AD0">
        <w:t>as</w:t>
      </w:r>
      <w:r w:rsidRPr="00571642">
        <w:t xml:space="preserve"> to approve an increase in the Basic Service Charge </w:t>
      </w:r>
      <w:r w:rsidR="00A852C6" w:rsidRPr="00571642">
        <w:t>for</w:t>
      </w:r>
      <w:r w:rsidR="00A852C6">
        <w:t xml:space="preserve"> </w:t>
      </w:r>
      <w:r w:rsidR="00AE2CF6">
        <w:t>r</w:t>
      </w:r>
      <w:r w:rsidR="00A852C6" w:rsidRPr="00571642">
        <w:t>esidential</w:t>
      </w:r>
      <w:r w:rsidRPr="00571642">
        <w:t xml:space="preserve"> </w:t>
      </w:r>
      <w:r w:rsidRPr="00571642">
        <w:lastRenderedPageBreak/>
        <w:t>customers</w:t>
      </w:r>
      <w:r w:rsidR="00EA1AD0">
        <w:t>, Staff would support</w:t>
      </w:r>
      <w:r w:rsidR="001C4F16">
        <w:t xml:space="preserve"> an increase to the Income Qualified Senior Citizens discount</w:t>
      </w:r>
      <w:r w:rsidRPr="00571642">
        <w:t>.</w:t>
      </w:r>
    </w:p>
    <w:p w:rsidR="00350C2D" w:rsidRPr="00571642" w:rsidRDefault="00350C2D" w:rsidP="00D24841">
      <w:pPr>
        <w:pStyle w:val="Questions"/>
      </w:pPr>
      <w:r w:rsidRPr="00571642">
        <w:t xml:space="preserve">Q. </w:t>
      </w:r>
      <w:r w:rsidRPr="00571642">
        <w:tab/>
        <w:t xml:space="preserve">HAS THE COMPANY ANALYZED </w:t>
      </w:r>
      <w:r w:rsidR="00C35140">
        <w:t xml:space="preserve">THE </w:t>
      </w:r>
      <w:r w:rsidRPr="00571642">
        <w:t>EXPANSION OF INCOME QUALIFIED DISCOUNTS BEYOND SENIOR CITIZENS?</w:t>
      </w:r>
    </w:p>
    <w:p w:rsidR="00350C2D" w:rsidRPr="00571642" w:rsidRDefault="00350C2D" w:rsidP="004717AD">
      <w:pPr>
        <w:pStyle w:val="Answers"/>
      </w:pPr>
      <w:r w:rsidRPr="00571642">
        <w:t xml:space="preserve">A. </w:t>
      </w:r>
      <w:r w:rsidRPr="00571642">
        <w:tab/>
        <w:t xml:space="preserve">Yes.  </w:t>
      </w:r>
      <w:r w:rsidR="00C35140">
        <w:t xml:space="preserve">As a requirement from the </w:t>
      </w:r>
      <w:r w:rsidRPr="00571642">
        <w:t>Final Order in Docket</w:t>
      </w:r>
      <w:r w:rsidR="00C35140">
        <w:t xml:space="preserve"> No. </w:t>
      </w:r>
      <w:r w:rsidRPr="00571642">
        <w:t>42516</w:t>
      </w:r>
      <w:r w:rsidR="003E6648">
        <w:t xml:space="preserve"> which states that</w:t>
      </w:r>
      <w:r w:rsidR="001C4423">
        <w:t>, “the</w:t>
      </w:r>
      <w:r w:rsidRPr="00571642">
        <w:t xml:space="preserve"> Company, Georgia Watch, and Commission Staff shall collaborate on a process to consider potential options for the expansion of income qualified discount opportunities to assist customers.”  After </w:t>
      </w:r>
      <w:r w:rsidR="00DF0E9C">
        <w:t>the parties met on April 28, 2020 and August 18, 2020</w:t>
      </w:r>
      <w:r w:rsidR="00EB15B0">
        <w:t>,</w:t>
      </w:r>
      <w:r w:rsidRPr="00571642">
        <w:t xml:space="preserve"> the Company analyze</w:t>
      </w:r>
      <w:r w:rsidR="002B5843">
        <w:t>d</w:t>
      </w:r>
      <w:r w:rsidRPr="00571642">
        <w:t xml:space="preserve"> two possible programs.  One of the policy options would have expanded the current Senior Citizen </w:t>
      </w:r>
      <w:r w:rsidR="00F46F4C">
        <w:t>D</w:t>
      </w:r>
      <w:r w:rsidRPr="00571642">
        <w:t>iscount to all qualified customers regardless of age, while the other option targeted customers with high energy burdens to attempt to bring their cost to</w:t>
      </w:r>
      <w:r w:rsidRPr="00571642">
        <w:rPr>
          <w:b/>
          <w:bCs/>
        </w:rPr>
        <w:t xml:space="preserve"> </w:t>
      </w:r>
      <w:r w:rsidRPr="00571642">
        <w:t>below the 6 percent of income threshold.</w:t>
      </w:r>
      <w:r w:rsidR="00DF0E9C">
        <w:t xml:space="preserve">  </w:t>
      </w:r>
      <w:r w:rsidR="00EB15B0">
        <w:t>After soliciting comments from stipulating parties from the previous rate case, t</w:t>
      </w:r>
      <w:r w:rsidR="00DF0E9C">
        <w:t>he Company filed a report</w:t>
      </w:r>
      <w:r w:rsidR="00EB15B0">
        <w:t xml:space="preserve"> </w:t>
      </w:r>
      <w:r w:rsidR="001C4423">
        <w:t>on November 2, 2020</w:t>
      </w:r>
      <w:r w:rsidR="002B5843">
        <w:t xml:space="preserve"> </w:t>
      </w:r>
      <w:r w:rsidR="00387408">
        <w:t>which</w:t>
      </w:r>
      <w:r w:rsidR="002B5843">
        <w:t xml:space="preserve"> is </w:t>
      </w:r>
      <w:r w:rsidR="00387408">
        <w:t xml:space="preserve">being </w:t>
      </w:r>
      <w:r w:rsidR="002B5843">
        <w:t xml:space="preserve">provided as </w:t>
      </w:r>
      <w:r w:rsidR="00BA7914">
        <w:t xml:space="preserve">Staff </w:t>
      </w:r>
      <w:r w:rsidR="002B5843">
        <w:t>E</w:t>
      </w:r>
      <w:r w:rsidR="00BA7914">
        <w:t>xhibit</w:t>
      </w:r>
      <w:r w:rsidR="00A2426E">
        <w:t xml:space="preserve"> _</w:t>
      </w:r>
      <w:r w:rsidR="00387408">
        <w:t>_</w:t>
      </w:r>
      <w:r w:rsidR="00A2426E">
        <w:t xml:space="preserve"> </w:t>
      </w:r>
      <w:r w:rsidR="001372CC">
        <w:t>(BDW-</w:t>
      </w:r>
      <w:r w:rsidR="00117E55">
        <w:t>1</w:t>
      </w:r>
      <w:r w:rsidR="009E72DE">
        <w:t>3</w:t>
      </w:r>
      <w:r w:rsidR="00BA7914">
        <w:t>)</w:t>
      </w:r>
      <w:r w:rsidR="001C4423">
        <w:t>.  Th</w:t>
      </w:r>
      <w:r w:rsidR="002B5843">
        <w:t>is</w:t>
      </w:r>
      <w:r w:rsidR="00AE2CF6">
        <w:t xml:space="preserve"> </w:t>
      </w:r>
      <w:r w:rsidR="001C4423">
        <w:t>report recommended no further action on an expanded discount program at that time.</w:t>
      </w:r>
      <w:r w:rsidRPr="00571642">
        <w:t xml:space="preserve">    </w:t>
      </w:r>
    </w:p>
    <w:p w:rsidR="00350C2D" w:rsidRPr="00571642" w:rsidRDefault="00350C2D" w:rsidP="00D24841">
      <w:pPr>
        <w:pStyle w:val="Questions"/>
      </w:pPr>
      <w:r w:rsidRPr="00571642">
        <w:t>Q.</w:t>
      </w:r>
      <w:r w:rsidRPr="00571642">
        <w:tab/>
        <w:t xml:space="preserve">DOES STAFF </w:t>
      </w:r>
      <w:r w:rsidR="002B5843">
        <w:t>HAVE A</w:t>
      </w:r>
      <w:r w:rsidR="00D74BB8">
        <w:t xml:space="preserve"> </w:t>
      </w:r>
      <w:r w:rsidRPr="00571642">
        <w:t>RECOMMEND</w:t>
      </w:r>
      <w:r w:rsidR="002B5843">
        <w:t>ATION</w:t>
      </w:r>
      <w:r w:rsidRPr="00571642">
        <w:t xml:space="preserve"> REGAR</w:t>
      </w:r>
      <w:r w:rsidR="001372CC">
        <w:t>D</w:t>
      </w:r>
      <w:r w:rsidRPr="00571642">
        <w:t xml:space="preserve">ING </w:t>
      </w:r>
      <w:r w:rsidR="00C35140">
        <w:t xml:space="preserve">THE </w:t>
      </w:r>
      <w:r w:rsidRPr="00571642">
        <w:t>EXPAN</w:t>
      </w:r>
      <w:r w:rsidR="00C35140">
        <w:t>SION OF</w:t>
      </w:r>
      <w:r w:rsidRPr="00571642">
        <w:t xml:space="preserve"> INCOME QUALIFIED DISCOUNT OPTIONS?</w:t>
      </w:r>
    </w:p>
    <w:p w:rsidR="00350C2D" w:rsidRPr="00571642" w:rsidRDefault="00350C2D" w:rsidP="004717AD">
      <w:pPr>
        <w:pStyle w:val="Answers"/>
      </w:pPr>
      <w:r w:rsidRPr="00571642">
        <w:t>A.</w:t>
      </w:r>
      <w:r w:rsidRPr="00571642">
        <w:tab/>
      </w:r>
      <w:r w:rsidR="002B5843">
        <w:t xml:space="preserve">Yes.  </w:t>
      </w:r>
      <w:r w:rsidRPr="00571642">
        <w:t xml:space="preserve">Staff recommends </w:t>
      </w:r>
      <w:r w:rsidR="00C35140">
        <w:t xml:space="preserve">that the </w:t>
      </w:r>
      <w:r w:rsidRPr="00571642">
        <w:t xml:space="preserve">analysis and discussion </w:t>
      </w:r>
      <w:r w:rsidR="00C35140" w:rsidRPr="00571642">
        <w:t>of policy</w:t>
      </w:r>
      <w:r w:rsidRPr="00571642">
        <w:t xml:space="preserve"> options</w:t>
      </w:r>
      <w:r w:rsidR="002B5843">
        <w:t xml:space="preserve"> regarding the expansion of income qualified discounts </w:t>
      </w:r>
      <w:r w:rsidRPr="00571642">
        <w:t>continue</w:t>
      </w:r>
      <w:r w:rsidR="00C35140">
        <w:t xml:space="preserve"> between the parties including the Company, Staff</w:t>
      </w:r>
      <w:r w:rsidR="002B5843">
        <w:t>,</w:t>
      </w:r>
      <w:r w:rsidR="00C35140">
        <w:t xml:space="preserve"> and other interested parties</w:t>
      </w:r>
      <w:r w:rsidRPr="00571642">
        <w:t>.</w:t>
      </w:r>
      <w:r w:rsidR="00D74BB8">
        <w:t xml:space="preserve"> These discussions should take place within 3 </w:t>
      </w:r>
      <w:r w:rsidR="00D74BB8">
        <w:lastRenderedPageBreak/>
        <w:t>months following the Final Order in this docket.</w:t>
      </w:r>
      <w:r w:rsidR="00A8362F">
        <w:t xml:space="preserve"> The Company </w:t>
      </w:r>
      <w:r w:rsidR="00882690">
        <w:t xml:space="preserve">should </w:t>
      </w:r>
      <w:r w:rsidR="00387408">
        <w:t xml:space="preserve">be required to </w:t>
      </w:r>
      <w:r w:rsidR="00A8362F">
        <w:t>file a report that provides the details of its analysis and recommendation</w:t>
      </w:r>
      <w:r w:rsidR="00387408">
        <w:t>s</w:t>
      </w:r>
      <w:r w:rsidR="003E6648">
        <w:t xml:space="preserve"> for Commission consideration</w:t>
      </w:r>
      <w:r w:rsidR="00A8362F">
        <w:t>.</w:t>
      </w:r>
    </w:p>
    <w:p w:rsidR="00571642" w:rsidRPr="00571642" w:rsidRDefault="00571642" w:rsidP="00D24841">
      <w:pPr>
        <w:pStyle w:val="Questions"/>
      </w:pPr>
      <w:r w:rsidRPr="00571642">
        <w:t xml:space="preserve">Q. </w:t>
      </w:r>
      <w:r w:rsidRPr="00571642">
        <w:tab/>
        <w:t>WHAT IS THE CURRENT DEFAULT TARIFF FOR RESIDENTIAL CUSTOMERS WHEN SIGNING UP FOR SERVICE?</w:t>
      </w:r>
    </w:p>
    <w:p w:rsidR="00571642" w:rsidRPr="00571642" w:rsidRDefault="00571642" w:rsidP="004717AD">
      <w:pPr>
        <w:pStyle w:val="Answers"/>
      </w:pPr>
      <w:r w:rsidRPr="00571642">
        <w:t>A.</w:t>
      </w:r>
      <w:r w:rsidRPr="00571642">
        <w:tab/>
      </w:r>
      <w:r w:rsidR="00882690">
        <w:t>R</w:t>
      </w:r>
      <w:r w:rsidRPr="00571642">
        <w:t xml:space="preserve">esidential </w:t>
      </w:r>
      <w:r w:rsidR="00EA1AD0" w:rsidRPr="00571642">
        <w:t>customers default</w:t>
      </w:r>
      <w:r w:rsidRPr="00571642">
        <w:t xml:space="preserve"> to one of two rates if the customer does not select a rate when signing up for service.  For customers in residential premises that were constructed before January 1, 2021, the default rate is </w:t>
      </w:r>
      <w:r w:rsidR="003E6648" w:rsidRPr="00571642">
        <w:t>R.</w:t>
      </w:r>
      <w:r w:rsidRPr="00571642">
        <w:t xml:space="preserve">  For customers in residential premises constructed after January 1, 2021, the default rate is TOU-</w:t>
      </w:r>
      <w:r w:rsidR="003E6648" w:rsidRPr="00571642">
        <w:t>RD.</w:t>
      </w:r>
    </w:p>
    <w:p w:rsidR="00571642" w:rsidRPr="00571642" w:rsidRDefault="00571642" w:rsidP="00D24841">
      <w:pPr>
        <w:pStyle w:val="Questions"/>
      </w:pPr>
      <w:r w:rsidRPr="00571642">
        <w:t>Q.</w:t>
      </w:r>
      <w:r w:rsidRPr="00571642">
        <w:tab/>
        <w:t>WHEN DID THE TOU-RD BECOME THE DEFAULT RATE FOR PREMISES CONSTRUCTED AFTER JANUARY 1, 2021?</w:t>
      </w:r>
    </w:p>
    <w:p w:rsidR="00A8362F" w:rsidRPr="00571642" w:rsidRDefault="00571642" w:rsidP="00F86824">
      <w:pPr>
        <w:pStyle w:val="Answers"/>
      </w:pPr>
      <w:r w:rsidRPr="00571642">
        <w:t>A.</w:t>
      </w:r>
      <w:r w:rsidRPr="00571642">
        <w:tab/>
      </w:r>
      <w:r w:rsidR="00A8362F">
        <w:t>A</w:t>
      </w:r>
      <w:r w:rsidR="00A8362F" w:rsidRPr="00571642">
        <w:t xml:space="preserve">s part of the </w:t>
      </w:r>
      <w:r w:rsidR="00A8362F">
        <w:t>Order adopting S</w:t>
      </w:r>
      <w:r w:rsidR="00A8362F" w:rsidRPr="00571642">
        <w:t>tipulation during the 2019 Georgia Power Rate Case</w:t>
      </w:r>
      <w:r w:rsidR="00A8362F">
        <w:t>,</w:t>
      </w:r>
    </w:p>
    <w:p w:rsidR="00571642" w:rsidRPr="00571642" w:rsidRDefault="001E26A1" w:rsidP="00F86824">
      <w:pPr>
        <w:pStyle w:val="Answers"/>
        <w:ind w:firstLine="0"/>
      </w:pPr>
      <w:r>
        <w:t>TOU-RD became the default rate for premises constructed after January 1, 2021 for customers that don’t choose a tariff when establishing service</w:t>
      </w:r>
      <w:r w:rsidR="00D50EC0">
        <w:t>.</w:t>
      </w:r>
      <w:r>
        <w:t xml:space="preserve"> </w:t>
      </w:r>
    </w:p>
    <w:p w:rsidR="00571642" w:rsidRPr="00571642" w:rsidRDefault="00571642" w:rsidP="00D24841">
      <w:pPr>
        <w:pStyle w:val="Questions"/>
      </w:pPr>
      <w:r w:rsidRPr="00571642">
        <w:t xml:space="preserve">Q. </w:t>
      </w:r>
      <w:r w:rsidRPr="00571642">
        <w:tab/>
      </w:r>
      <w:r w:rsidR="000E185E">
        <w:t xml:space="preserve">IN THE </w:t>
      </w:r>
      <w:r w:rsidR="000E185E" w:rsidRPr="00571642">
        <w:t>2019 RATE CASE</w:t>
      </w:r>
      <w:r w:rsidR="000E185E">
        <w:t xml:space="preserve">, </w:t>
      </w:r>
      <w:r w:rsidRPr="00571642">
        <w:t xml:space="preserve">DID THE COMMISSION REQUIRE </w:t>
      </w:r>
      <w:r w:rsidR="00555C46">
        <w:t xml:space="preserve">THE COMPANY TO </w:t>
      </w:r>
      <w:r w:rsidR="000E185E">
        <w:t>INCREASE</w:t>
      </w:r>
      <w:r w:rsidR="00555C46">
        <w:t xml:space="preserve"> ITS</w:t>
      </w:r>
      <w:r w:rsidR="000E185E">
        <w:t xml:space="preserve"> </w:t>
      </w:r>
      <w:r w:rsidRPr="00571642">
        <w:t xml:space="preserve">MARKETING </w:t>
      </w:r>
      <w:r w:rsidR="000E185E">
        <w:t>FOR</w:t>
      </w:r>
      <w:r w:rsidRPr="00571642">
        <w:t xml:space="preserve"> </w:t>
      </w:r>
      <w:r w:rsidR="00D24841">
        <w:t>THE TOU-RD</w:t>
      </w:r>
      <w:r w:rsidR="001372CC">
        <w:t xml:space="preserve"> </w:t>
      </w:r>
      <w:r w:rsidR="00555C46">
        <w:t>RATE</w:t>
      </w:r>
      <w:r w:rsidRPr="00571642">
        <w:t>?</w:t>
      </w:r>
    </w:p>
    <w:p w:rsidR="00571642" w:rsidRPr="004717AD" w:rsidRDefault="004717AD" w:rsidP="004717AD">
      <w:pPr>
        <w:pStyle w:val="Answers"/>
      </w:pPr>
      <w:r w:rsidRPr="004717AD">
        <w:t>A.</w:t>
      </w:r>
      <w:r w:rsidR="00571642" w:rsidRPr="004717AD">
        <w:tab/>
        <w:t xml:space="preserve">Yes.  The Final Order in Docket </w:t>
      </w:r>
      <w:r w:rsidR="00B25BD7" w:rsidRPr="004717AD">
        <w:t xml:space="preserve">No. </w:t>
      </w:r>
      <w:r w:rsidR="00571642" w:rsidRPr="004717AD">
        <w:t>42516 stated</w:t>
      </w:r>
      <w:r w:rsidR="000E185E" w:rsidRPr="004717AD">
        <w:t xml:space="preserve"> that</w:t>
      </w:r>
      <w:r w:rsidR="00571642" w:rsidRPr="004717AD">
        <w:t xml:space="preserve"> “</w:t>
      </w:r>
      <w:r w:rsidR="00571642" w:rsidRPr="004717AD">
        <w:rPr>
          <w:rFonts w:eastAsia="Calibri"/>
        </w:rPr>
        <w:t>The Proposed Agreement also provides that the Company and Commission Staff shall collaborate in 2020 to increase marketing of the TOU-RD rate.”  The Company and Staff met on September 10, 2020</w:t>
      </w:r>
      <w:r w:rsidR="005024E7">
        <w:rPr>
          <w:rFonts w:eastAsia="Calibri"/>
        </w:rPr>
        <w:t xml:space="preserve"> </w:t>
      </w:r>
      <w:r w:rsidR="003E6648">
        <w:rPr>
          <w:rFonts w:eastAsia="Calibri"/>
        </w:rPr>
        <w:t xml:space="preserve">to </w:t>
      </w:r>
      <w:r w:rsidR="00571642" w:rsidRPr="004717AD">
        <w:rPr>
          <w:rFonts w:eastAsia="Calibri"/>
        </w:rPr>
        <w:t>discuss the marketing of this tariff throughout 2020.</w:t>
      </w:r>
    </w:p>
    <w:p w:rsidR="00571642" w:rsidRPr="00571642" w:rsidRDefault="00571642" w:rsidP="00D24841">
      <w:pPr>
        <w:pStyle w:val="Questions"/>
        <w:rPr>
          <w:sz w:val="22"/>
          <w:szCs w:val="22"/>
        </w:rPr>
      </w:pPr>
      <w:r w:rsidRPr="00571642">
        <w:lastRenderedPageBreak/>
        <w:t xml:space="preserve">Q. </w:t>
      </w:r>
      <w:r w:rsidRPr="00571642">
        <w:tab/>
        <w:t xml:space="preserve">HAS THE COMPANY </w:t>
      </w:r>
      <w:r w:rsidR="00EA1AD0">
        <w:t>COMPLIED WITH THE COM</w:t>
      </w:r>
      <w:r w:rsidR="001372CC">
        <w:t>M</w:t>
      </w:r>
      <w:r w:rsidR="00EA1AD0">
        <w:t xml:space="preserve">ISSION ORDER TO </w:t>
      </w:r>
      <w:r w:rsidRPr="00571642">
        <w:t>PROVIDE EDUCATION</w:t>
      </w:r>
      <w:r w:rsidR="00882690">
        <w:t>AL</w:t>
      </w:r>
      <w:r w:rsidRPr="00571642">
        <w:t xml:space="preserve"> MATERIALS TO CUSTOMERS DEFAULTED ON TO THE TOU-RD</w:t>
      </w:r>
      <w:r w:rsidR="002E4721">
        <w:t xml:space="preserve"> </w:t>
      </w:r>
      <w:r w:rsidRPr="00571642">
        <w:t xml:space="preserve">RATE? </w:t>
      </w:r>
    </w:p>
    <w:p w:rsidR="00571642" w:rsidRPr="00571642" w:rsidRDefault="00571642" w:rsidP="004717AD">
      <w:pPr>
        <w:pStyle w:val="Answers"/>
      </w:pPr>
      <w:r w:rsidRPr="00571642">
        <w:t>A.</w:t>
      </w:r>
      <w:r w:rsidRPr="00571642">
        <w:tab/>
        <w:t xml:space="preserve">Yes.  As provided in </w:t>
      </w:r>
      <w:r w:rsidR="00555C46">
        <w:t xml:space="preserve">the Company’s </w:t>
      </w:r>
      <w:r w:rsidRPr="00571642">
        <w:t xml:space="preserve">response </w:t>
      </w:r>
      <w:r w:rsidR="00555C46">
        <w:t xml:space="preserve">to </w:t>
      </w:r>
      <w:r w:rsidRPr="00571642">
        <w:t>STF-PIA-2-3, “New customers to the Smart Usage rate (TOU-RD) receive a welcome letter that confirms their enrollment and provides helpful information to educate them on how to take advantage of the rate’s design.”  Customers</w:t>
      </w:r>
      <w:r w:rsidR="00555C46">
        <w:t xml:space="preserve"> on </w:t>
      </w:r>
      <w:r w:rsidR="006955FB">
        <w:t>T</w:t>
      </w:r>
      <w:r w:rsidR="00555C46">
        <w:t>OU-RD</w:t>
      </w:r>
      <w:r w:rsidRPr="00571642">
        <w:t xml:space="preserve"> also receive seasonal postcards with information about the rate and there is material on the Georgia Power website.      </w:t>
      </w:r>
    </w:p>
    <w:p w:rsidR="00571642" w:rsidRPr="00571642" w:rsidRDefault="00571642" w:rsidP="00D24841">
      <w:pPr>
        <w:pStyle w:val="Questions"/>
        <w:rPr>
          <w:sz w:val="22"/>
          <w:szCs w:val="22"/>
        </w:rPr>
      </w:pPr>
      <w:r w:rsidRPr="00571642">
        <w:t xml:space="preserve">Q. </w:t>
      </w:r>
      <w:r w:rsidRPr="00571642">
        <w:tab/>
        <w:t xml:space="preserve">WHAT HAS BEEN THE BILL IMPACT </w:t>
      </w:r>
      <w:r w:rsidR="003E6648">
        <w:t>FOR CUSTOMERS ON T</w:t>
      </w:r>
      <w:r w:rsidRPr="00571642">
        <w:t xml:space="preserve">OU-RD? </w:t>
      </w:r>
    </w:p>
    <w:p w:rsidR="006C7F9E" w:rsidRDefault="00571642" w:rsidP="003F682A">
      <w:pPr>
        <w:pStyle w:val="Answers"/>
        <w:spacing w:after="360"/>
      </w:pPr>
      <w:r w:rsidRPr="00571642">
        <w:t xml:space="preserve">A. </w:t>
      </w:r>
      <w:r w:rsidRPr="00571642">
        <w:tab/>
        <w:t xml:space="preserve">As shown in the </w:t>
      </w:r>
      <w:r w:rsidR="00852E5C">
        <w:t>table</w:t>
      </w:r>
      <w:r w:rsidR="00852E5C" w:rsidRPr="00571642">
        <w:t xml:space="preserve"> </w:t>
      </w:r>
      <w:r w:rsidR="00852E5C">
        <w:t xml:space="preserve">below, </w:t>
      </w:r>
      <w:r w:rsidRPr="00571642">
        <w:t xml:space="preserve">using data from </w:t>
      </w:r>
      <w:r w:rsidR="00555C46">
        <w:t xml:space="preserve">the Company’s response to </w:t>
      </w:r>
      <w:r w:rsidRPr="00571642">
        <w:t>STF-PIA-2-1</w:t>
      </w:r>
      <w:r w:rsidR="00B25BD7">
        <w:t>,</w:t>
      </w:r>
      <w:r w:rsidRPr="00571642">
        <w:t xml:space="preserve"> customers on the TOU-RD rate pay on average </w:t>
      </w:r>
      <w:r w:rsidR="003E6648">
        <w:t>approximately</w:t>
      </w:r>
      <w:r w:rsidR="00852E5C">
        <w:t xml:space="preserve"> </w:t>
      </w:r>
      <w:r w:rsidRPr="00571642">
        <w:t xml:space="preserve">$200 more per year than </w:t>
      </w:r>
      <w:r w:rsidR="00D74BB8">
        <w:t xml:space="preserve">if they were </w:t>
      </w:r>
      <w:r w:rsidR="003E6648">
        <w:t xml:space="preserve">receiving service </w:t>
      </w:r>
      <w:r w:rsidR="00D74BB8">
        <w:t xml:space="preserve">on the </w:t>
      </w:r>
      <w:r w:rsidRPr="00571642">
        <w:t xml:space="preserve">R tariff.  </w:t>
      </w:r>
    </w:p>
    <w:p w:rsidR="006C7F9E" w:rsidRDefault="006C7F9E" w:rsidP="006C7F9E">
      <w:pPr>
        <w:suppressLineNumbers/>
      </w:pPr>
      <w:r>
        <w:br w:type="page"/>
      </w:r>
    </w:p>
    <w:tbl>
      <w:tblPr>
        <w:tblpPr w:leftFromText="180" w:rightFromText="180" w:vertAnchor="text" w:horzAnchor="margin" w:tblpXSpec="center" w:tblpY="162"/>
        <w:tblW w:w="8477" w:type="dxa"/>
        <w:tblLook w:val="04A0" w:firstRow="1" w:lastRow="0" w:firstColumn="1" w:lastColumn="0" w:noHBand="0" w:noVBand="1"/>
      </w:tblPr>
      <w:tblGrid>
        <w:gridCol w:w="1057"/>
        <w:gridCol w:w="2620"/>
        <w:gridCol w:w="2500"/>
        <w:gridCol w:w="2300"/>
      </w:tblGrid>
      <w:tr w:rsidR="0056158B" w:rsidRPr="00571642" w:rsidTr="00FC4ACD">
        <w:trPr>
          <w:cantSplit/>
          <w:trHeight w:val="263"/>
        </w:trPr>
        <w:tc>
          <w:tcPr>
            <w:tcW w:w="8477" w:type="dxa"/>
            <w:gridSpan w:val="4"/>
            <w:tcBorders>
              <w:bottom w:val="single" w:sz="4" w:space="0" w:color="auto"/>
            </w:tcBorders>
            <w:shd w:val="clear" w:color="000000" w:fill="BFBFBF"/>
            <w:vAlign w:val="bottom"/>
          </w:tcPr>
          <w:p w:rsidR="0056158B" w:rsidRPr="003F682A" w:rsidRDefault="0056158B" w:rsidP="006C7F9E">
            <w:pPr>
              <w:jc w:val="center"/>
              <w:rPr>
                <w:b/>
                <w:bCs/>
                <w:color w:val="000000"/>
              </w:rPr>
            </w:pPr>
            <w:r w:rsidRPr="00F15CFF">
              <w:rPr>
                <w:color w:val="000000"/>
                <w:sz w:val="22"/>
                <w:szCs w:val="22"/>
              </w:rPr>
              <w:lastRenderedPageBreak/>
              <w:t>TABLE 2</w:t>
            </w:r>
            <w:r>
              <w:rPr>
                <w:color w:val="000000"/>
                <w:sz w:val="22"/>
                <w:szCs w:val="22"/>
              </w:rPr>
              <w:t>2</w:t>
            </w:r>
          </w:p>
        </w:tc>
      </w:tr>
      <w:tr w:rsidR="006C7F9E" w:rsidRPr="00571642" w:rsidTr="00FC4ACD">
        <w:trPr>
          <w:cantSplit/>
          <w:trHeight w:val="1037"/>
        </w:trPr>
        <w:tc>
          <w:tcPr>
            <w:tcW w:w="1057"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7F9E" w:rsidRPr="0056158B" w:rsidRDefault="006C7F9E" w:rsidP="006C7F9E">
            <w:pPr>
              <w:jc w:val="center"/>
              <w:rPr>
                <w:b/>
                <w:bCs/>
                <w:color w:val="000000"/>
                <w:sz w:val="22"/>
                <w:szCs w:val="22"/>
              </w:rPr>
            </w:pPr>
            <w:r w:rsidRPr="0056158B">
              <w:rPr>
                <w:b/>
                <w:bCs/>
                <w:color w:val="000000"/>
                <w:sz w:val="22"/>
                <w:szCs w:val="22"/>
              </w:rPr>
              <w:t>Month</w:t>
            </w:r>
          </w:p>
        </w:tc>
        <w:tc>
          <w:tcPr>
            <w:tcW w:w="2620" w:type="dxa"/>
            <w:tcBorders>
              <w:top w:val="single" w:sz="4" w:space="0" w:color="auto"/>
              <w:left w:val="nil"/>
              <w:bottom w:val="single" w:sz="4" w:space="0" w:color="auto"/>
              <w:right w:val="single" w:sz="4" w:space="0" w:color="auto"/>
            </w:tcBorders>
            <w:shd w:val="clear" w:color="000000" w:fill="BFBFBF"/>
            <w:vAlign w:val="bottom"/>
            <w:hideMark/>
          </w:tcPr>
          <w:p w:rsidR="006C7F9E" w:rsidRPr="0056158B" w:rsidRDefault="006C7F9E" w:rsidP="006C7F9E">
            <w:pPr>
              <w:jc w:val="center"/>
              <w:rPr>
                <w:b/>
                <w:bCs/>
                <w:color w:val="000000"/>
                <w:sz w:val="22"/>
                <w:szCs w:val="22"/>
              </w:rPr>
            </w:pPr>
            <w:r w:rsidRPr="0056158B">
              <w:rPr>
                <w:b/>
                <w:bCs/>
                <w:color w:val="000000"/>
                <w:sz w:val="22"/>
                <w:szCs w:val="22"/>
              </w:rPr>
              <w:t>Average Actual Smart Usage Bill for Individual TOU-RD Customers</w:t>
            </w:r>
          </w:p>
        </w:tc>
        <w:tc>
          <w:tcPr>
            <w:tcW w:w="2500" w:type="dxa"/>
            <w:tcBorders>
              <w:top w:val="single" w:sz="4" w:space="0" w:color="auto"/>
              <w:left w:val="nil"/>
              <w:bottom w:val="single" w:sz="4" w:space="0" w:color="auto"/>
              <w:right w:val="single" w:sz="4" w:space="0" w:color="auto"/>
            </w:tcBorders>
            <w:shd w:val="clear" w:color="000000" w:fill="BFBFBF"/>
            <w:vAlign w:val="bottom"/>
            <w:hideMark/>
          </w:tcPr>
          <w:p w:rsidR="006C7F9E" w:rsidRPr="0056158B" w:rsidRDefault="006C7F9E" w:rsidP="006C7F9E">
            <w:pPr>
              <w:jc w:val="center"/>
              <w:rPr>
                <w:b/>
                <w:bCs/>
                <w:color w:val="000000"/>
                <w:sz w:val="22"/>
                <w:szCs w:val="22"/>
              </w:rPr>
            </w:pPr>
            <w:r w:rsidRPr="0056158B">
              <w:rPr>
                <w:b/>
                <w:bCs/>
                <w:color w:val="000000"/>
                <w:sz w:val="22"/>
                <w:szCs w:val="22"/>
              </w:rPr>
              <w:t>Average Residential Bill for Individual TOU-RD Customers if they were on the R Rate</w:t>
            </w:r>
          </w:p>
        </w:tc>
        <w:tc>
          <w:tcPr>
            <w:tcW w:w="2300" w:type="dxa"/>
            <w:tcBorders>
              <w:top w:val="single" w:sz="4" w:space="0" w:color="auto"/>
              <w:left w:val="nil"/>
              <w:bottom w:val="single" w:sz="4" w:space="0" w:color="auto"/>
              <w:right w:val="single" w:sz="4" w:space="0" w:color="auto"/>
            </w:tcBorders>
            <w:shd w:val="clear" w:color="000000" w:fill="BFBFBF"/>
            <w:vAlign w:val="bottom"/>
            <w:hideMark/>
          </w:tcPr>
          <w:p w:rsidR="006C7F9E" w:rsidRPr="0056158B" w:rsidRDefault="006C7F9E" w:rsidP="006C7F9E">
            <w:pPr>
              <w:jc w:val="center"/>
              <w:rPr>
                <w:b/>
                <w:bCs/>
                <w:color w:val="000000"/>
                <w:sz w:val="22"/>
                <w:szCs w:val="22"/>
              </w:rPr>
            </w:pPr>
            <w:r w:rsidRPr="0056158B">
              <w:rPr>
                <w:b/>
                <w:bCs/>
                <w:color w:val="000000"/>
                <w:sz w:val="22"/>
                <w:szCs w:val="22"/>
              </w:rPr>
              <w:t>Increased Cost to Average Customer on TOU-RD</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Jun-21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$89.70</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$82.73</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$6.98</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Jul-21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$113.13</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$106.22</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$6.91</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Aug-21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$125.77</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$125.83</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-$0.07</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Sep-21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$122.60</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$119.47</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$3.13</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Oct-21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$101.56</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$78.25</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$23.31</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Nov-21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$102.02</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$77.97</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$24.06</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Dec-21</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$117.60</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$95.59</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$22.02</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Jan-22</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$129.82</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$109.59</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$20.23</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Feb-22</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$138.24</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$120.62</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$17.61</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Mar-22</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$118.52</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$91.35</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$27.17</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Apr-22</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$110.31</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$83.51</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$26.80</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May-22</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$108.30</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$88.28</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$20.02</w:t>
            </w:r>
          </w:p>
        </w:tc>
      </w:tr>
      <w:tr w:rsidR="006C7F9E" w:rsidRPr="00571642" w:rsidTr="006C7F9E">
        <w:trPr>
          <w:cantSplit/>
          <w:trHeight w:val="300"/>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6C7F9E">
            <w:pPr>
              <w:jc w:val="center"/>
              <w:rPr>
                <w:b/>
                <w:bCs/>
                <w:color w:val="000000"/>
                <w:sz w:val="22"/>
                <w:szCs w:val="22"/>
              </w:rPr>
            </w:pPr>
            <w:r w:rsidRPr="0056158B">
              <w:rPr>
                <w:b/>
                <w:bCs/>
                <w:color w:val="000000"/>
                <w:sz w:val="22"/>
                <w:szCs w:val="22"/>
              </w:rPr>
              <w:t>TOTAL</w:t>
            </w:r>
          </w:p>
        </w:tc>
        <w:tc>
          <w:tcPr>
            <w:tcW w:w="262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$1,377.56</w:t>
            </w:r>
          </w:p>
        </w:tc>
        <w:tc>
          <w:tcPr>
            <w:tcW w:w="25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$1,179.41</w:t>
            </w:r>
          </w:p>
        </w:tc>
        <w:tc>
          <w:tcPr>
            <w:tcW w:w="23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6C7F9E">
            <w:pPr>
              <w:jc w:val="center"/>
              <w:rPr>
                <w:color w:val="000000"/>
                <w:sz w:val="22"/>
                <w:szCs w:val="22"/>
              </w:rPr>
            </w:pPr>
            <w:r w:rsidRPr="0056158B">
              <w:rPr>
                <w:color w:val="000000"/>
                <w:sz w:val="22"/>
                <w:szCs w:val="22"/>
              </w:rPr>
              <w:t>$198.15</w:t>
            </w:r>
          </w:p>
        </w:tc>
      </w:tr>
    </w:tbl>
    <w:p w:rsidR="00571642" w:rsidRPr="00571642" w:rsidRDefault="00571642" w:rsidP="006C7F9E">
      <w:pPr>
        <w:pStyle w:val="Answers"/>
        <w:suppressLineNumbers/>
        <w:spacing w:after="360"/>
      </w:pPr>
    </w:p>
    <w:p w:rsidR="00E75B86" w:rsidRDefault="00D74BB8" w:rsidP="00460E78">
      <w:pPr>
        <w:pStyle w:val="Answers"/>
        <w:spacing w:before="360" w:after="360"/>
        <w:ind w:firstLine="0"/>
      </w:pPr>
      <w:r w:rsidRPr="00571642">
        <w:t>These higher bills</w:t>
      </w:r>
      <w:r w:rsidR="00571642" w:rsidRPr="00571642">
        <w:t xml:space="preserve"> result for customers even as the </w:t>
      </w:r>
      <w:r w:rsidR="00C37FF8">
        <w:t>TOU-RD</w:t>
      </w:r>
      <w:r w:rsidR="00571642" w:rsidRPr="00571642">
        <w:t xml:space="preserve"> customer peak demands are slightly lower than for all residential customers, based on the data </w:t>
      </w:r>
      <w:r w:rsidR="00532236">
        <w:t xml:space="preserve">provided in the Company’s response to </w:t>
      </w:r>
      <w:r w:rsidR="00571642" w:rsidRPr="00571642">
        <w:t>STF-PIA-2-1</w:t>
      </w:r>
      <w:r w:rsidR="00852E5C">
        <w:t xml:space="preserve"> (see table</w:t>
      </w:r>
      <w:r w:rsidR="00F86824">
        <w:t xml:space="preserve"> 23</w:t>
      </w:r>
      <w:r w:rsidR="00852E5C">
        <w:t xml:space="preserve"> below)</w:t>
      </w:r>
      <w:r w:rsidR="00571642" w:rsidRPr="00571642">
        <w:t>.</w:t>
      </w:r>
    </w:p>
    <w:p w:rsidR="00E75B86" w:rsidRDefault="00E75B86" w:rsidP="00A44C5A">
      <w:pPr>
        <w:suppressLineNumbers/>
      </w:pPr>
      <w:r>
        <w:br w:type="page"/>
      </w:r>
    </w:p>
    <w:tbl>
      <w:tblPr>
        <w:tblW w:w="7740" w:type="dxa"/>
        <w:jc w:val="center"/>
        <w:tblLook w:val="04A0" w:firstRow="1" w:lastRow="0" w:firstColumn="1" w:lastColumn="0" w:noHBand="0" w:noVBand="1"/>
      </w:tblPr>
      <w:tblGrid>
        <w:gridCol w:w="1417"/>
        <w:gridCol w:w="2100"/>
        <w:gridCol w:w="2280"/>
        <w:gridCol w:w="1943"/>
      </w:tblGrid>
      <w:tr w:rsidR="0056158B" w:rsidRPr="00571642" w:rsidTr="00460E78">
        <w:trPr>
          <w:trHeight w:val="170"/>
          <w:jc w:val="center"/>
        </w:trPr>
        <w:tc>
          <w:tcPr>
            <w:tcW w:w="7740" w:type="dxa"/>
            <w:gridSpan w:val="4"/>
            <w:tcBorders>
              <w:bottom w:val="single" w:sz="4" w:space="0" w:color="auto"/>
            </w:tcBorders>
            <w:shd w:val="clear" w:color="000000" w:fill="BFBFBF"/>
            <w:vAlign w:val="bottom"/>
          </w:tcPr>
          <w:p w:rsidR="0056158B" w:rsidRPr="0056158B" w:rsidRDefault="0056158B" w:rsidP="00460E78">
            <w:pPr>
              <w:jc w:val="center"/>
              <w:rPr>
                <w:bCs/>
                <w:color w:val="000000"/>
                <w:sz w:val="22"/>
                <w:szCs w:val="22"/>
              </w:rPr>
            </w:pPr>
            <w:r w:rsidRPr="0056158B">
              <w:rPr>
                <w:bCs/>
                <w:color w:val="000000"/>
                <w:sz w:val="22"/>
                <w:szCs w:val="22"/>
              </w:rPr>
              <w:lastRenderedPageBreak/>
              <w:t>TABLE 23</w:t>
            </w:r>
          </w:p>
        </w:tc>
      </w:tr>
      <w:tr w:rsidR="006C7F9E" w:rsidRPr="00571642" w:rsidTr="00460E78">
        <w:trPr>
          <w:trHeight w:val="1185"/>
          <w:jc w:val="center"/>
        </w:trPr>
        <w:tc>
          <w:tcPr>
            <w:tcW w:w="1417"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7F9E" w:rsidRPr="0056158B" w:rsidRDefault="006C7F9E" w:rsidP="00460E78">
            <w:pPr>
              <w:jc w:val="center"/>
              <w:rPr>
                <w:b/>
                <w:bCs/>
                <w:color w:val="000000"/>
                <w:sz w:val="22"/>
                <w:szCs w:val="22"/>
              </w:rPr>
            </w:pPr>
            <w:r w:rsidRPr="0056158B">
              <w:rPr>
                <w:b/>
                <w:bCs/>
                <w:color w:val="000000"/>
                <w:sz w:val="22"/>
                <w:szCs w:val="22"/>
              </w:rPr>
              <w:t>Month</w:t>
            </w:r>
          </w:p>
        </w:tc>
        <w:tc>
          <w:tcPr>
            <w:tcW w:w="210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7F9E" w:rsidRPr="0056158B" w:rsidRDefault="006C7F9E" w:rsidP="00460E78">
            <w:pPr>
              <w:jc w:val="center"/>
              <w:rPr>
                <w:b/>
                <w:bCs/>
                <w:color w:val="000000"/>
                <w:sz w:val="22"/>
                <w:szCs w:val="22"/>
              </w:rPr>
            </w:pPr>
            <w:r w:rsidRPr="0056158B">
              <w:rPr>
                <w:b/>
                <w:bCs/>
                <w:color w:val="000000"/>
                <w:sz w:val="22"/>
                <w:szCs w:val="22"/>
              </w:rPr>
              <w:t>Average Peak Demand Individual TOU-RD Customers in kW</w:t>
            </w:r>
          </w:p>
        </w:tc>
        <w:tc>
          <w:tcPr>
            <w:tcW w:w="228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7F9E" w:rsidRPr="0056158B" w:rsidRDefault="006C7F9E" w:rsidP="00460E78">
            <w:pPr>
              <w:jc w:val="center"/>
              <w:rPr>
                <w:b/>
                <w:bCs/>
                <w:color w:val="000000"/>
                <w:sz w:val="22"/>
                <w:szCs w:val="22"/>
              </w:rPr>
            </w:pPr>
            <w:r w:rsidRPr="0056158B">
              <w:rPr>
                <w:b/>
                <w:bCs/>
                <w:color w:val="000000"/>
                <w:sz w:val="22"/>
                <w:szCs w:val="22"/>
              </w:rPr>
              <w:t>Average Peak Demand All Individual Residential Customers in kW</w:t>
            </w:r>
          </w:p>
        </w:tc>
        <w:tc>
          <w:tcPr>
            <w:tcW w:w="1943"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7F9E" w:rsidRPr="0056158B" w:rsidRDefault="006C7F9E" w:rsidP="00460E78">
            <w:pPr>
              <w:jc w:val="center"/>
              <w:rPr>
                <w:b/>
                <w:bCs/>
                <w:color w:val="000000"/>
                <w:sz w:val="22"/>
                <w:szCs w:val="22"/>
              </w:rPr>
            </w:pPr>
            <w:r w:rsidRPr="0056158B">
              <w:rPr>
                <w:b/>
                <w:bCs/>
                <w:color w:val="000000"/>
                <w:sz w:val="22"/>
                <w:szCs w:val="22"/>
              </w:rPr>
              <w:t>Amount Lower of Average Demand for TOU-RD Customers in kW</w:t>
            </w:r>
          </w:p>
        </w:tc>
      </w:tr>
      <w:tr w:rsidR="006C7F9E" w:rsidRPr="00571642" w:rsidTr="00460E78">
        <w:trPr>
          <w:trHeight w:val="300"/>
          <w:jc w:val="center"/>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Jun-21</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5.4108</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7.151</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1.7406</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Jul-21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5.7368</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7.049</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1.3121</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Aug-21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5.9531</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7.203</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1.2496</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Sep-21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5.8477</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7.143</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1.2949</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Oct-21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5.5896</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6.657</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1.0675</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Nov-21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6.4205</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7.036</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0.6151</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Dec-21</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7.2439</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7.610</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0.3664</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Jan-22</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7.6274</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7.996</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0.3687</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Feb-22</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7.9401</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8.168</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0.2274</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Mar-22</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7.2502</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7.453</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0.2032</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Apr-22</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6.7073</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6.950</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0.2427</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jc w:val="right"/>
              <w:rPr>
                <w:b/>
                <w:bCs/>
                <w:color w:val="000000"/>
                <w:sz w:val="22"/>
                <w:szCs w:val="22"/>
              </w:rPr>
            </w:pPr>
            <w:r w:rsidRPr="0056158B">
              <w:rPr>
                <w:b/>
                <w:bCs/>
                <w:color w:val="000000"/>
                <w:sz w:val="22"/>
                <w:szCs w:val="22"/>
              </w:rPr>
              <w:t>May-22</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6.2016</w:t>
            </w:r>
          </w:p>
        </w:tc>
        <w:tc>
          <w:tcPr>
            <w:tcW w:w="2280" w:type="dxa"/>
            <w:tcBorders>
              <w:top w:val="nil"/>
              <w:left w:val="nil"/>
              <w:bottom w:val="single" w:sz="4" w:space="0" w:color="auto"/>
              <w:right w:val="single" w:sz="4" w:space="0" w:color="auto"/>
            </w:tcBorders>
            <w:shd w:val="clear" w:color="auto" w:fill="auto"/>
            <w:vAlign w:val="bottom"/>
            <w:hideMark/>
          </w:tcPr>
          <w:p w:rsidR="006C7F9E" w:rsidRPr="0056158B" w:rsidRDefault="006C7F9E" w:rsidP="00460E78">
            <w:pPr>
              <w:jc w:val="right"/>
              <w:rPr>
                <w:color w:val="000000"/>
                <w:sz w:val="22"/>
                <w:szCs w:val="22"/>
              </w:rPr>
            </w:pPr>
            <w:r w:rsidRPr="0056158B">
              <w:rPr>
                <w:color w:val="000000"/>
                <w:sz w:val="22"/>
                <w:szCs w:val="22"/>
              </w:rPr>
              <w:t>6.677</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0.4750</w:t>
            </w:r>
          </w:p>
        </w:tc>
      </w:tr>
      <w:tr w:rsidR="006C7F9E" w:rsidRPr="00571642" w:rsidTr="00460E78">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6C7F9E" w:rsidRPr="0056158B" w:rsidRDefault="006C7F9E" w:rsidP="00460E78">
            <w:pPr>
              <w:rPr>
                <w:b/>
                <w:bCs/>
                <w:color w:val="000000"/>
                <w:sz w:val="22"/>
                <w:szCs w:val="22"/>
              </w:rPr>
            </w:pPr>
            <w:r w:rsidRPr="0056158B">
              <w:rPr>
                <w:b/>
                <w:bCs/>
                <w:color w:val="000000"/>
                <w:sz w:val="22"/>
                <w:szCs w:val="22"/>
              </w:rPr>
              <w:t>AVERAGE</w:t>
            </w:r>
          </w:p>
        </w:tc>
        <w:tc>
          <w:tcPr>
            <w:tcW w:w="210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6.4941</w:t>
            </w:r>
          </w:p>
        </w:tc>
        <w:tc>
          <w:tcPr>
            <w:tcW w:w="2280"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7.2577</w:t>
            </w:r>
          </w:p>
        </w:tc>
        <w:tc>
          <w:tcPr>
            <w:tcW w:w="1943" w:type="dxa"/>
            <w:tcBorders>
              <w:top w:val="nil"/>
              <w:left w:val="nil"/>
              <w:bottom w:val="single" w:sz="4" w:space="0" w:color="auto"/>
              <w:right w:val="single" w:sz="4" w:space="0" w:color="auto"/>
            </w:tcBorders>
            <w:shd w:val="clear" w:color="auto" w:fill="auto"/>
            <w:noWrap/>
            <w:vAlign w:val="bottom"/>
            <w:hideMark/>
          </w:tcPr>
          <w:p w:rsidR="006C7F9E" w:rsidRPr="0056158B" w:rsidRDefault="006C7F9E" w:rsidP="00460E78">
            <w:pPr>
              <w:jc w:val="right"/>
              <w:rPr>
                <w:color w:val="000000"/>
                <w:sz w:val="22"/>
                <w:szCs w:val="22"/>
              </w:rPr>
            </w:pPr>
            <w:r w:rsidRPr="0056158B">
              <w:rPr>
                <w:color w:val="000000"/>
                <w:sz w:val="22"/>
                <w:szCs w:val="22"/>
              </w:rPr>
              <w:t>0.7636</w:t>
            </w:r>
          </w:p>
        </w:tc>
      </w:tr>
    </w:tbl>
    <w:p w:rsidR="00571642" w:rsidRPr="00571642" w:rsidRDefault="00571642" w:rsidP="00D24841">
      <w:pPr>
        <w:pStyle w:val="Questions"/>
      </w:pPr>
      <w:r w:rsidRPr="00571642">
        <w:t xml:space="preserve">Q. </w:t>
      </w:r>
      <w:r w:rsidRPr="00571642">
        <w:tab/>
        <w:t xml:space="preserve">BEYOND </w:t>
      </w:r>
      <w:r w:rsidR="004B5EE2">
        <w:t>HIGHER</w:t>
      </w:r>
      <w:r w:rsidRPr="00571642">
        <w:t xml:space="preserve"> </w:t>
      </w:r>
      <w:r w:rsidR="00532236">
        <w:t xml:space="preserve">BILLS FOR </w:t>
      </w:r>
      <w:r w:rsidRPr="00571642">
        <w:t xml:space="preserve">CUSTOMERS, WHAT OTHER CONCERNS DOES STAFF HAVE </w:t>
      </w:r>
      <w:r w:rsidR="004B5EE2">
        <w:t xml:space="preserve">REGARDING </w:t>
      </w:r>
      <w:r w:rsidR="00532236">
        <w:t xml:space="preserve">THE </w:t>
      </w:r>
      <w:r w:rsidR="000E185E">
        <w:t>TOU</w:t>
      </w:r>
      <w:r w:rsidR="00C14385">
        <w:t>-</w:t>
      </w:r>
      <w:r w:rsidR="000E185E">
        <w:t>RD</w:t>
      </w:r>
      <w:r w:rsidR="00532236">
        <w:t xml:space="preserve"> RATE</w:t>
      </w:r>
      <w:r w:rsidR="000E185E">
        <w:t xml:space="preserve"> BEING THE DEFAULT </w:t>
      </w:r>
      <w:r w:rsidRPr="00571642">
        <w:t xml:space="preserve">RATE FOR NEW </w:t>
      </w:r>
      <w:r w:rsidR="004B5EE2">
        <w:t xml:space="preserve">RESIDENTIAL </w:t>
      </w:r>
      <w:r w:rsidRPr="00571642">
        <w:t>PREMISES?</w:t>
      </w:r>
    </w:p>
    <w:p w:rsidR="00571642" w:rsidRPr="00571642" w:rsidRDefault="00571642" w:rsidP="004717AD">
      <w:pPr>
        <w:pStyle w:val="Answers"/>
      </w:pPr>
      <w:r w:rsidRPr="00571642">
        <w:t xml:space="preserve">A. </w:t>
      </w:r>
      <w:r w:rsidRPr="00571642">
        <w:tab/>
      </w:r>
      <w:r w:rsidR="00532236">
        <w:t xml:space="preserve">In addition to higher bills, </w:t>
      </w:r>
      <w:r w:rsidR="00B25BD7">
        <w:t>Staff has concern</w:t>
      </w:r>
      <w:r w:rsidR="000E185E">
        <w:t>s as to</w:t>
      </w:r>
      <w:r w:rsidR="00B25BD7">
        <w:t xml:space="preserve"> whether c</w:t>
      </w:r>
      <w:r w:rsidRPr="00571642">
        <w:t xml:space="preserve">ustomers understand </w:t>
      </w:r>
      <w:r w:rsidR="00B25BD7">
        <w:t xml:space="preserve">how </w:t>
      </w:r>
      <w:r w:rsidRPr="00571642">
        <w:t xml:space="preserve">demand and </w:t>
      </w:r>
      <w:r w:rsidR="00B25BD7">
        <w:t xml:space="preserve">related </w:t>
      </w:r>
      <w:r w:rsidRPr="00571642">
        <w:t>demand charges</w:t>
      </w:r>
      <w:r w:rsidR="00B25BD7">
        <w:t xml:space="preserve"> are determined</w:t>
      </w:r>
      <w:r w:rsidRPr="00571642">
        <w:t xml:space="preserve">.  </w:t>
      </w:r>
      <w:r w:rsidR="00B25BD7">
        <w:t xml:space="preserve">Staff also has concerns because the </w:t>
      </w:r>
      <w:r w:rsidRPr="00571642">
        <w:t>rate</w:t>
      </w:r>
      <w:r w:rsidR="00B25BD7">
        <w:t xml:space="preserve">, as currently constructed, </w:t>
      </w:r>
      <w:r w:rsidRPr="00571642">
        <w:t xml:space="preserve">does not have significant system benefits due to </w:t>
      </w:r>
      <w:r w:rsidR="003E6648">
        <w:t xml:space="preserve">customers bill being determined based on a </w:t>
      </w:r>
      <w:r w:rsidRPr="00571642">
        <w:t>noncoincident peak demand</w:t>
      </w:r>
      <w:r w:rsidR="003E6648">
        <w:t>.</w:t>
      </w:r>
      <w:r w:rsidRPr="00571642">
        <w:t xml:space="preserve"> </w:t>
      </w:r>
      <w:r w:rsidR="00E66F13">
        <w:t>As an optional rate</w:t>
      </w:r>
      <w:r w:rsidR="00532236">
        <w:t xml:space="preserve">, TOU-RD might be </w:t>
      </w:r>
      <w:r w:rsidR="00E66F13">
        <w:t xml:space="preserve">a good </w:t>
      </w:r>
      <w:r w:rsidR="00532236">
        <w:t>rate</w:t>
      </w:r>
      <w:r w:rsidR="005B02AC">
        <w:t xml:space="preserve"> </w:t>
      </w:r>
      <w:r w:rsidR="00E66F13">
        <w:t>option</w:t>
      </w:r>
      <w:r w:rsidR="00532236">
        <w:t xml:space="preserve"> for more sophisticated customers</w:t>
      </w:r>
      <w:r w:rsidRPr="00571642">
        <w:t xml:space="preserve">, but as a default rate </w:t>
      </w:r>
      <w:r w:rsidR="00532236">
        <w:t>TOU-RD</w:t>
      </w:r>
      <w:r w:rsidR="00077817">
        <w:t xml:space="preserve"> </w:t>
      </w:r>
      <w:r w:rsidR="00B25BD7">
        <w:t>does</w:t>
      </w:r>
      <w:r w:rsidRPr="00571642">
        <w:t xml:space="preserve"> not </w:t>
      </w:r>
      <w:r w:rsidR="00B012FD">
        <w:t>best serve</w:t>
      </w:r>
      <w:r w:rsidRPr="00571642">
        <w:t xml:space="preserve"> </w:t>
      </w:r>
      <w:r w:rsidR="00B012FD">
        <w:t xml:space="preserve">the interests of </w:t>
      </w:r>
      <w:r w:rsidR="00E66F13">
        <w:t xml:space="preserve">most </w:t>
      </w:r>
      <w:r w:rsidRPr="00571642">
        <w:t>new customers</w:t>
      </w:r>
      <w:r w:rsidR="00387408">
        <w:t xml:space="preserve">. </w:t>
      </w:r>
      <w:r w:rsidR="00F86824">
        <w:t>As previously discussed</w:t>
      </w:r>
      <w:r w:rsidR="00387408">
        <w:t>, customers’ bills are</w:t>
      </w:r>
      <w:r w:rsidR="00D50EC0">
        <w:t xml:space="preserve">, on average, </w:t>
      </w:r>
      <w:r w:rsidR="00532236">
        <w:t xml:space="preserve">higher than </w:t>
      </w:r>
      <w:r w:rsidR="00387408">
        <w:t>they</w:t>
      </w:r>
      <w:r w:rsidR="00532236">
        <w:t xml:space="preserve"> would be under the R rate</w:t>
      </w:r>
      <w:r w:rsidRPr="00571642">
        <w:t xml:space="preserve">.    </w:t>
      </w:r>
    </w:p>
    <w:p w:rsidR="00571642" w:rsidRPr="00571642" w:rsidRDefault="00571642" w:rsidP="00D24841">
      <w:pPr>
        <w:pStyle w:val="Questions"/>
      </w:pPr>
      <w:r w:rsidRPr="00571642">
        <w:lastRenderedPageBreak/>
        <w:t xml:space="preserve">Q. </w:t>
      </w:r>
      <w:r w:rsidRPr="00571642">
        <w:tab/>
        <w:t xml:space="preserve">DOES THE COMPANY CURRENTLY PROVIDE ANY TOOLS TO ASSIST CUSTOMERS </w:t>
      </w:r>
      <w:r w:rsidR="00965063">
        <w:t>IN</w:t>
      </w:r>
      <w:r w:rsidRPr="00571642">
        <w:t xml:space="preserve"> VERIFY</w:t>
      </w:r>
      <w:r w:rsidR="00965063">
        <w:t>ING</w:t>
      </w:r>
      <w:r w:rsidRPr="00571642">
        <w:t xml:space="preserve"> THEIR BILL </w:t>
      </w:r>
      <w:r w:rsidR="007F1A8C">
        <w:t>OR</w:t>
      </w:r>
      <w:r w:rsidR="00C14385">
        <w:t xml:space="preserve"> </w:t>
      </w:r>
      <w:r w:rsidR="00387408">
        <w:t xml:space="preserve">ALLOWS FOR A </w:t>
      </w:r>
      <w:r w:rsidRPr="00571642">
        <w:t>COMPAR</w:t>
      </w:r>
      <w:r w:rsidR="00852E5C">
        <w:t>I</w:t>
      </w:r>
      <w:r w:rsidR="00387408">
        <w:t xml:space="preserve">son of </w:t>
      </w:r>
      <w:r w:rsidR="00852E5C">
        <w:t xml:space="preserve">DIFFERENT </w:t>
      </w:r>
      <w:r w:rsidRPr="00571642">
        <w:t>RATE OPTIONS?</w:t>
      </w:r>
    </w:p>
    <w:p w:rsidR="00571642" w:rsidRPr="00571642" w:rsidRDefault="00571642" w:rsidP="00DF6F90">
      <w:pPr>
        <w:pStyle w:val="Answers"/>
      </w:pPr>
      <w:r w:rsidRPr="00571642">
        <w:t xml:space="preserve">A. </w:t>
      </w:r>
      <w:r w:rsidRPr="00571642">
        <w:tab/>
        <w:t xml:space="preserve">No.  The </w:t>
      </w:r>
      <w:r w:rsidR="004B5EE2">
        <w:t xml:space="preserve">Company does not </w:t>
      </w:r>
      <w:r w:rsidR="00077817">
        <w:t xml:space="preserve">currently </w:t>
      </w:r>
      <w:r w:rsidR="004B5EE2" w:rsidRPr="00571642">
        <w:t xml:space="preserve">offer any </w:t>
      </w:r>
      <w:r w:rsidR="00532236">
        <w:t>tools</w:t>
      </w:r>
      <w:r w:rsidR="004B5EE2" w:rsidRPr="00571642">
        <w:t xml:space="preserve"> for residential customers to export or input their usage data </w:t>
      </w:r>
      <w:r w:rsidR="004B5EE2">
        <w:t xml:space="preserve">in order </w:t>
      </w:r>
      <w:r w:rsidR="004B5EE2" w:rsidRPr="00571642">
        <w:t>to calculate their bill or allow</w:t>
      </w:r>
      <w:r w:rsidR="00387408">
        <w:t>s</w:t>
      </w:r>
      <w:r w:rsidR="004B5EE2" w:rsidRPr="00571642">
        <w:t xml:space="preserve"> the customer to </w:t>
      </w:r>
      <w:r w:rsidR="00532236">
        <w:t xml:space="preserve">calculate their bill under </w:t>
      </w:r>
      <w:r w:rsidR="004B5EE2">
        <w:t xml:space="preserve">different </w:t>
      </w:r>
      <w:r w:rsidR="004B5EE2" w:rsidRPr="00571642">
        <w:t xml:space="preserve">rate options.  </w:t>
      </w:r>
      <w:r w:rsidR="004B5EE2">
        <w:t xml:space="preserve">The </w:t>
      </w:r>
      <w:r w:rsidRPr="00571642">
        <w:t xml:space="preserve">Commission’s website </w:t>
      </w:r>
      <w:r w:rsidR="007F1A8C">
        <w:t>hosts</w:t>
      </w:r>
      <w:r w:rsidRPr="00571642">
        <w:t xml:space="preserve"> a bill calculator for customers</w:t>
      </w:r>
      <w:r w:rsidR="00532236">
        <w:t xml:space="preserve"> receiving service</w:t>
      </w:r>
      <w:r w:rsidRPr="00571642">
        <w:t xml:space="preserve"> on the R tariff</w:t>
      </w:r>
      <w:r w:rsidR="00387408">
        <w:t xml:space="preserve"> and </w:t>
      </w:r>
      <w:r w:rsidR="00B25BD7">
        <w:t xml:space="preserve">Company’s website does have a link to the Commission’s Bill Calculator.  </w:t>
      </w:r>
    </w:p>
    <w:p w:rsidR="00571642" w:rsidRPr="00571642" w:rsidRDefault="00571642" w:rsidP="00D24841">
      <w:pPr>
        <w:pStyle w:val="Questions"/>
      </w:pPr>
      <w:r w:rsidRPr="00571642">
        <w:t>Q.</w:t>
      </w:r>
      <w:r w:rsidRPr="00571642">
        <w:tab/>
        <w:t>WHAT IS STAFF’S RECOMMENDATION REGAR</w:t>
      </w:r>
      <w:r w:rsidR="000E769E">
        <w:t>D</w:t>
      </w:r>
      <w:r w:rsidRPr="00571642">
        <w:t>ING THE USE OF TOU-RD AS THE DEFAULT RATE FOR PREMISES CONSTRUCTED AFTER JANUARY 1, 2021?</w:t>
      </w:r>
    </w:p>
    <w:p w:rsidR="00571642" w:rsidRDefault="00571642" w:rsidP="00DF6F90">
      <w:pPr>
        <w:pStyle w:val="Answers"/>
      </w:pPr>
      <w:r w:rsidRPr="00571642">
        <w:t>A.</w:t>
      </w:r>
      <w:r w:rsidRPr="00571642">
        <w:tab/>
        <w:t>Staff recommends that the R</w:t>
      </w:r>
      <w:r w:rsidR="00C14385">
        <w:t xml:space="preserve"> </w:t>
      </w:r>
      <w:r w:rsidR="00532236">
        <w:t xml:space="preserve">rate </w:t>
      </w:r>
      <w:r w:rsidRPr="00571642">
        <w:t xml:space="preserve">become the default tariff for all </w:t>
      </w:r>
      <w:r w:rsidR="00C14385">
        <w:t>r</w:t>
      </w:r>
      <w:r w:rsidR="00532236">
        <w:t xml:space="preserve">esidential </w:t>
      </w:r>
      <w:r w:rsidRPr="00571642">
        <w:t xml:space="preserve">premises regardless of when </w:t>
      </w:r>
      <w:r w:rsidR="003F2389">
        <w:t xml:space="preserve">the premise was </w:t>
      </w:r>
      <w:r w:rsidRPr="00571642">
        <w:t>constructed</w:t>
      </w:r>
      <w:r w:rsidR="00F86824">
        <w:t xml:space="preserve"> and added to the Company’s system</w:t>
      </w:r>
      <w:r w:rsidR="007F1A8C">
        <w:t>.  In addition, Staff recommends that t</w:t>
      </w:r>
      <w:r w:rsidRPr="00571642">
        <w:t xml:space="preserve">he Company be required to </w:t>
      </w:r>
      <w:r w:rsidR="0058164D">
        <w:t>provide</w:t>
      </w:r>
      <w:r w:rsidR="00E66F13">
        <w:t xml:space="preserve"> further tools to assist </w:t>
      </w:r>
      <w:r w:rsidR="00EB15B0">
        <w:t xml:space="preserve">residential </w:t>
      </w:r>
      <w:r w:rsidR="00E66F13">
        <w:t>customers in understand</w:t>
      </w:r>
      <w:r w:rsidR="00B012FD">
        <w:t>ing</w:t>
      </w:r>
      <w:r w:rsidR="00E66F13">
        <w:t xml:space="preserve"> and choosing </w:t>
      </w:r>
      <w:r w:rsidR="00387408">
        <w:t xml:space="preserve">a </w:t>
      </w:r>
      <w:r w:rsidR="00E66F13">
        <w:t>tariff</w:t>
      </w:r>
      <w:r w:rsidR="00387408">
        <w:t xml:space="preserve"> that best suits their needs</w:t>
      </w:r>
      <w:r w:rsidR="00E66F13">
        <w:t xml:space="preserve">. </w:t>
      </w:r>
    </w:p>
    <w:p w:rsidR="002E0206" w:rsidRPr="00571642" w:rsidRDefault="002E0206" w:rsidP="00D24841">
      <w:pPr>
        <w:pStyle w:val="Questions"/>
      </w:pPr>
      <w:r w:rsidRPr="00571642">
        <w:t xml:space="preserve">Q. </w:t>
      </w:r>
      <w:r w:rsidRPr="00571642">
        <w:tab/>
        <w:t xml:space="preserve">IS THE COMPANY PROPOSING </w:t>
      </w:r>
      <w:r w:rsidR="00077817">
        <w:t xml:space="preserve">ANY CHANGES TO </w:t>
      </w:r>
      <w:r w:rsidRPr="00571642">
        <w:t>THE UNDERGROUND SERVICE CUSTOMER CHARGE?</w:t>
      </w:r>
    </w:p>
    <w:p w:rsidR="002E0206" w:rsidRPr="00571642" w:rsidRDefault="002E0206" w:rsidP="00DF6F90">
      <w:pPr>
        <w:pStyle w:val="Answers"/>
      </w:pPr>
      <w:r w:rsidRPr="00571642">
        <w:t xml:space="preserve">A. </w:t>
      </w:r>
      <w:r w:rsidRPr="00571642">
        <w:tab/>
        <w:t>The Company is proposing an underground service tariff that reflects cost of service.  The one-time $1,000 payment for each underground service point connection would increase to $1,200 effective January 1, 2024</w:t>
      </w:r>
      <w:r w:rsidR="00263DEA">
        <w:t>.</w:t>
      </w:r>
    </w:p>
    <w:p w:rsidR="002E0206" w:rsidRPr="00571642" w:rsidRDefault="002E0206" w:rsidP="00D24841">
      <w:pPr>
        <w:pStyle w:val="Questions"/>
      </w:pPr>
      <w:r w:rsidRPr="00571642">
        <w:lastRenderedPageBreak/>
        <w:t xml:space="preserve">Q. </w:t>
      </w:r>
      <w:r w:rsidRPr="00571642">
        <w:tab/>
        <w:t>DOES STAFF RECOMMEND APPROVAL OF TH</w:t>
      </w:r>
      <w:r w:rsidR="00DB6EA9">
        <w:t>E PROPOSED</w:t>
      </w:r>
      <w:r w:rsidRPr="00571642">
        <w:t xml:space="preserve"> </w:t>
      </w:r>
      <w:r w:rsidR="00DB6EA9">
        <w:t xml:space="preserve">INCREASE TO </w:t>
      </w:r>
      <w:r w:rsidR="00387408">
        <w:t xml:space="preserve">THE </w:t>
      </w:r>
      <w:r w:rsidR="00DB6EA9">
        <w:t>UNDERGROUND SERVICE</w:t>
      </w:r>
      <w:r w:rsidR="00F62211">
        <w:t xml:space="preserve"> CUSTOMER CHARGE</w:t>
      </w:r>
      <w:r w:rsidRPr="00571642">
        <w:t>?</w:t>
      </w:r>
    </w:p>
    <w:p w:rsidR="002E0206" w:rsidRPr="00571642" w:rsidRDefault="002E0206" w:rsidP="00DF6F90">
      <w:pPr>
        <w:pStyle w:val="Answers"/>
      </w:pPr>
      <w:r w:rsidRPr="00571642">
        <w:t xml:space="preserve">A. </w:t>
      </w:r>
      <w:r w:rsidRPr="00571642">
        <w:tab/>
        <w:t xml:space="preserve">Yes.  </w:t>
      </w:r>
      <w:r w:rsidR="00DB6EA9">
        <w:t xml:space="preserve">It is </w:t>
      </w:r>
      <w:r w:rsidRPr="00571642">
        <w:t>Staff</w:t>
      </w:r>
      <w:r w:rsidR="00DB6EA9">
        <w:t xml:space="preserve">’s position that the customer requesting underground service should be responsible for </w:t>
      </w:r>
      <w:r w:rsidR="00A62B05">
        <w:t xml:space="preserve">the cost associated with providing </w:t>
      </w:r>
      <w:r w:rsidR="00DB6EA9">
        <w:t xml:space="preserve">that service. Therefore, </w:t>
      </w:r>
      <w:r w:rsidR="004B7AB0">
        <w:t xml:space="preserve">Staff </w:t>
      </w:r>
      <w:r w:rsidR="004B7AB0" w:rsidRPr="00571642">
        <w:t>recommends</w:t>
      </w:r>
      <w:r w:rsidR="00263DEA">
        <w:t xml:space="preserve"> approval</w:t>
      </w:r>
      <w:r w:rsidR="00C37FF8">
        <w:t xml:space="preserve"> of the Company’s proposed increase to $1,20</w:t>
      </w:r>
      <w:r w:rsidR="00DB6EA9">
        <w:t>0 for each underground service point interconnection</w:t>
      </w:r>
      <w:r w:rsidR="00C81D07">
        <w:t>.</w:t>
      </w:r>
    </w:p>
    <w:p w:rsidR="004B6A26" w:rsidRPr="001E709A" w:rsidRDefault="004B6A26" w:rsidP="00D24841">
      <w:pPr>
        <w:pStyle w:val="Questions"/>
      </w:pPr>
      <w:r w:rsidRPr="001E709A">
        <w:t>Q.</w:t>
      </w:r>
      <w:r w:rsidRPr="001E709A">
        <w:tab/>
        <w:t>PLEASE DESCRIBE THE COMPANY’S PROPOSED CHANGES TO THE RLG TARIFF.</w:t>
      </w:r>
    </w:p>
    <w:p w:rsidR="004B6A26" w:rsidRPr="00640D72" w:rsidRDefault="00DF6F90" w:rsidP="00DF6F90">
      <w:pPr>
        <w:pStyle w:val="Answers"/>
      </w:pPr>
      <w:bookmarkStart w:id="29" w:name="_Hlk113457166"/>
      <w:r>
        <w:t>A.</w:t>
      </w:r>
      <w:r>
        <w:tab/>
      </w:r>
      <w:bookmarkStart w:id="30" w:name="_Hlk116372571"/>
      <w:r w:rsidR="00DB6EA9">
        <w:t>In the Direct Testimony of Larry Legg, pg. 11 lines 1-3</w:t>
      </w:r>
      <w:bookmarkEnd w:id="30"/>
      <w:r w:rsidR="00DB6EA9">
        <w:t>, t</w:t>
      </w:r>
      <w:r w:rsidR="004B6A26" w:rsidRPr="00640D72">
        <w:t>he Company is proposing several changes to the RLG tariff</w:t>
      </w:r>
      <w:r w:rsidR="005519BD" w:rsidRPr="00640D72">
        <w:t xml:space="preserve"> in order </w:t>
      </w:r>
      <w:r w:rsidR="004B6A26" w:rsidRPr="00640D72">
        <w:t>to clarify the existing fixture options, expand and clarify the available pole options, and close one fixture to future customer enrollments. The Company states that these changes will enable it to continue offering an array of LED options for r</w:t>
      </w:r>
      <w:r w:rsidR="004B6A26" w:rsidRPr="009E3FF5">
        <w:t xml:space="preserve">oadway lighting requirements that </w:t>
      </w:r>
      <w:r w:rsidR="00387408">
        <w:t xml:space="preserve">helps to </w:t>
      </w:r>
      <w:r w:rsidR="004B6A26" w:rsidRPr="009E3FF5">
        <w:t xml:space="preserve">serve the needs of </w:t>
      </w:r>
      <w:r w:rsidR="00387408">
        <w:t>G</w:t>
      </w:r>
      <w:r w:rsidR="004B6A26" w:rsidRPr="009E3FF5">
        <w:t xml:space="preserve">overnmental </w:t>
      </w:r>
      <w:r w:rsidR="004B6A26" w:rsidRPr="00640D72">
        <w:t>customers</w:t>
      </w:r>
      <w:r w:rsidR="00953D7E">
        <w:t>.</w:t>
      </w:r>
    </w:p>
    <w:p w:rsidR="00EF75AF" w:rsidRDefault="00EF75AF" w:rsidP="00D24841">
      <w:pPr>
        <w:pStyle w:val="Questions"/>
      </w:pPr>
      <w:r w:rsidRPr="00EF75AF">
        <w:t>Q.</w:t>
      </w:r>
      <w:r w:rsidRPr="00EF75AF">
        <w:tab/>
        <w:t>DOES STAFF RECOMMEND APPROVAL OF THE PROPOSED CHANGES TO THE RLG TARIFF?</w:t>
      </w:r>
    </w:p>
    <w:p w:rsidR="00EF75AF" w:rsidRDefault="00EC336B" w:rsidP="00DF6F90">
      <w:pPr>
        <w:pStyle w:val="Answers"/>
      </w:pPr>
      <w:r w:rsidRPr="00640D72">
        <w:t>A.</w:t>
      </w:r>
      <w:r w:rsidRPr="00640D72">
        <w:tab/>
      </w:r>
      <w:r w:rsidR="00263DEA">
        <w:t xml:space="preserve">Yes.  </w:t>
      </w:r>
      <w:r w:rsidR="00E66F13">
        <w:t>Staff recommends approval of th</w:t>
      </w:r>
      <w:r w:rsidR="005B02AC">
        <w:t>e</w:t>
      </w:r>
      <w:r w:rsidR="00263DEA">
        <w:t xml:space="preserve"> Company’s </w:t>
      </w:r>
      <w:r w:rsidR="00DB6EA9">
        <w:t>proposed changes</w:t>
      </w:r>
      <w:r w:rsidR="00E66F13">
        <w:t xml:space="preserve"> </w:t>
      </w:r>
      <w:r w:rsidR="00077817">
        <w:t xml:space="preserve">to the RLG </w:t>
      </w:r>
      <w:r w:rsidR="00A54AA5">
        <w:t>t</w:t>
      </w:r>
      <w:r w:rsidR="00077817">
        <w:t xml:space="preserve">ariff in order </w:t>
      </w:r>
      <w:r w:rsidR="00E66F13">
        <w:t>to continue serv</w:t>
      </w:r>
      <w:r w:rsidR="00077817">
        <w:t>ing</w:t>
      </w:r>
      <w:r w:rsidR="00E66F13">
        <w:t xml:space="preserve"> the roadway lighting needs of </w:t>
      </w:r>
      <w:r w:rsidR="00DB6EA9">
        <w:t>its G</w:t>
      </w:r>
      <w:r w:rsidR="00E66F13">
        <w:t>overnmental customers.</w:t>
      </w:r>
    </w:p>
    <w:bookmarkEnd w:id="29"/>
    <w:p w:rsidR="00517B8A" w:rsidRPr="00517B8A" w:rsidRDefault="00517B8A" w:rsidP="00D24841">
      <w:pPr>
        <w:pStyle w:val="Questions"/>
      </w:pPr>
      <w:r w:rsidRPr="00517B8A">
        <w:t>Q.</w:t>
      </w:r>
      <w:r w:rsidRPr="00517B8A">
        <w:tab/>
        <w:t>PLEASE DESCRIBE THE DPEC PROGRAM AND THE COMPANY’S PROPOSED CHANGES</w:t>
      </w:r>
      <w:r w:rsidR="00F73053">
        <w:t xml:space="preserve"> TO THIS PROGRAM</w:t>
      </w:r>
      <w:r w:rsidR="00263DEA">
        <w:t>.</w:t>
      </w:r>
    </w:p>
    <w:p w:rsidR="00517B8A" w:rsidRDefault="00517B8A" w:rsidP="00DF6F90">
      <w:pPr>
        <w:pStyle w:val="Answers"/>
      </w:pPr>
      <w:r>
        <w:lastRenderedPageBreak/>
        <w:t>A.</w:t>
      </w:r>
      <w:r>
        <w:tab/>
        <w:t>DPEC is a voluntary program for large customers who provide at least 200 kW of demand reduction during extreme supply and demand conditions on the Company’s system.  The</w:t>
      </w:r>
      <w:r w:rsidRPr="00F64323">
        <w:t xml:space="preserve"> Company </w:t>
      </w:r>
      <w:r w:rsidR="00836D32">
        <w:t xml:space="preserve">is </w:t>
      </w:r>
      <w:r w:rsidRPr="00F64323">
        <w:t>propos</w:t>
      </w:r>
      <w:r w:rsidR="00836D32">
        <w:t>ing</w:t>
      </w:r>
      <w:r w:rsidRPr="00F64323">
        <w:t xml:space="preserve"> to </w:t>
      </w:r>
      <w:r>
        <w:t>modify the DPEC rider by updating</w:t>
      </w:r>
      <w:r w:rsidRPr="00F64323">
        <w:t xml:space="preserve"> </w:t>
      </w:r>
      <w:r>
        <w:t xml:space="preserve">the energy credits and demand values in Part I of the rider to reflect updated costs. </w:t>
      </w:r>
    </w:p>
    <w:p w:rsidR="007070A8" w:rsidRDefault="007070A8" w:rsidP="00D24841">
      <w:pPr>
        <w:pStyle w:val="Questions"/>
      </w:pPr>
      <w:r w:rsidRPr="007070A8">
        <w:t>Q.</w:t>
      </w:r>
      <w:r w:rsidRPr="007070A8">
        <w:tab/>
        <w:t xml:space="preserve">DOES STAFF </w:t>
      </w:r>
      <w:r w:rsidR="002E4721">
        <w:t xml:space="preserve">Recommend </w:t>
      </w:r>
      <w:r w:rsidR="00A44C5A">
        <w:t>APPROVAL</w:t>
      </w:r>
      <w:r w:rsidR="002E4721">
        <w:t xml:space="preserve"> of</w:t>
      </w:r>
      <w:r w:rsidRPr="007070A8">
        <w:t xml:space="preserve"> THE PROPOSED CHANGES TO DPEC? </w:t>
      </w:r>
    </w:p>
    <w:p w:rsidR="00EC336B" w:rsidRDefault="00EC336B" w:rsidP="00DF6F90">
      <w:pPr>
        <w:pStyle w:val="Answers"/>
      </w:pPr>
      <w:r>
        <w:t>A.</w:t>
      </w:r>
      <w:r>
        <w:tab/>
      </w:r>
      <w:r w:rsidR="000F69D3">
        <w:t xml:space="preserve">Yes. Staff recommends approval of the modified </w:t>
      </w:r>
      <w:r w:rsidR="00413DE4">
        <w:t>Demand and Energy Credit for customers who contract for DPEC on or after July 1, 2013.</w:t>
      </w:r>
    </w:p>
    <w:p w:rsidR="0012352E" w:rsidRPr="00A41B23" w:rsidRDefault="0012352E" w:rsidP="00D24841">
      <w:pPr>
        <w:pStyle w:val="Questions"/>
      </w:pPr>
      <w:r w:rsidRPr="002E5B3A">
        <w:t>Q.</w:t>
      </w:r>
      <w:r w:rsidRPr="002E5B3A">
        <w:tab/>
      </w:r>
      <w:r w:rsidR="005D6BC2">
        <w:t>DOES</w:t>
      </w:r>
      <w:r w:rsidR="00A41B23">
        <w:t xml:space="preserve"> </w:t>
      </w:r>
      <w:r w:rsidRPr="002E5B3A">
        <w:t>THE COMPANY PROPOS</w:t>
      </w:r>
      <w:r w:rsidR="005D6BC2">
        <w:t>E</w:t>
      </w:r>
      <w:r w:rsidRPr="002E5B3A">
        <w:t xml:space="preserve"> TO ELIMINATE</w:t>
      </w:r>
      <w:r w:rsidR="00A41B23">
        <w:t xml:space="preserve"> ANY OF ITS TARIFFS?</w:t>
      </w:r>
    </w:p>
    <w:p w:rsidR="00A41B23" w:rsidRDefault="0012352E" w:rsidP="00DF6F90">
      <w:pPr>
        <w:pStyle w:val="Answers"/>
      </w:pPr>
      <w:r w:rsidRPr="002E5B3A">
        <w:t>A.</w:t>
      </w:r>
      <w:r w:rsidRPr="00A41B23">
        <w:tab/>
      </w:r>
      <w:r w:rsidR="00A41B23">
        <w:t xml:space="preserve">Yes.  </w:t>
      </w:r>
      <w:r w:rsidRPr="00A41B23">
        <w:t xml:space="preserve">The Company </w:t>
      </w:r>
      <w:r w:rsidR="00A41B23">
        <w:t xml:space="preserve">is </w:t>
      </w:r>
      <w:r w:rsidRPr="00A41B23">
        <w:t>propos</w:t>
      </w:r>
      <w:r w:rsidR="00A41B23">
        <w:t>ing</w:t>
      </w:r>
      <w:r w:rsidRPr="00A41B23">
        <w:t xml:space="preserve"> to eliminate the Power &amp; Light High Load Factor</w:t>
      </w:r>
      <w:r w:rsidRPr="002E5B3A">
        <w:rPr>
          <w:b/>
        </w:rPr>
        <w:t xml:space="preserve"> (“</w:t>
      </w:r>
      <w:r w:rsidRPr="002E5B3A">
        <w:t>PLH”)</w:t>
      </w:r>
      <w:r w:rsidRPr="00A41B23">
        <w:t xml:space="preserve"> </w:t>
      </w:r>
      <w:r w:rsidR="00A41B23">
        <w:t xml:space="preserve">and Solar Purchase (“SP”) </w:t>
      </w:r>
      <w:r w:rsidRPr="00A41B23">
        <w:t>tariff</w:t>
      </w:r>
      <w:r w:rsidR="00A41B23">
        <w:t>s.</w:t>
      </w:r>
    </w:p>
    <w:p w:rsidR="00A41B23" w:rsidRPr="00A41B23" w:rsidRDefault="00A41B23" w:rsidP="00D24841">
      <w:pPr>
        <w:pStyle w:val="Questions"/>
      </w:pPr>
      <w:r w:rsidRPr="00A41B23">
        <w:t>Q.</w:t>
      </w:r>
      <w:r w:rsidRPr="00A41B23">
        <w:tab/>
        <w:t xml:space="preserve"> PLEASE DESCRIBE THE PLH</w:t>
      </w:r>
      <w:r>
        <w:t xml:space="preserve"> AND SP</w:t>
      </w:r>
      <w:r w:rsidRPr="00A41B23">
        <w:t xml:space="preserve"> TARIFF</w:t>
      </w:r>
      <w:r>
        <w:t>S</w:t>
      </w:r>
      <w:r w:rsidRPr="00A41B23">
        <w:t>.</w:t>
      </w:r>
    </w:p>
    <w:p w:rsidR="00DF6F90" w:rsidRDefault="00A41B23" w:rsidP="002D4813">
      <w:pPr>
        <w:pStyle w:val="Answers"/>
        <w:spacing w:after="360"/>
      </w:pPr>
      <w:r>
        <w:t>A.</w:t>
      </w:r>
      <w:r>
        <w:tab/>
      </w:r>
      <w:r w:rsidR="0012352E" w:rsidRPr="00A41B23">
        <w:t>The PLH tariff has a very narrow applicability</w:t>
      </w:r>
      <w:r w:rsidR="00AD66E8">
        <w:t xml:space="preserve"> to large customers with steady demand</w:t>
      </w:r>
      <w:r w:rsidR="0012352E" w:rsidRPr="00A41B23">
        <w:t xml:space="preserve"> and previously had only one customer taking service on this rate. </w:t>
      </w:r>
      <w:r w:rsidR="0058164D">
        <w:t>Currently, t</w:t>
      </w:r>
      <w:r>
        <w:t>here are no customers receiving service on this tariff.</w:t>
      </w:r>
      <w:r w:rsidR="003B0C08">
        <w:t xml:space="preserve">  Th</w:t>
      </w:r>
      <w:r w:rsidR="0058164D">
        <w:t>e</w:t>
      </w:r>
      <w:r w:rsidR="003B0C08">
        <w:t xml:space="preserve"> </w:t>
      </w:r>
      <w:r w:rsidR="0058164D">
        <w:t xml:space="preserve">PLH tariff </w:t>
      </w:r>
      <w:r w:rsidR="003B0C08">
        <w:t>is only available to industrial customers cont</w:t>
      </w:r>
      <w:r w:rsidR="00172FFC">
        <w:t>r</w:t>
      </w:r>
      <w:r w:rsidR="003B0C08">
        <w:t xml:space="preserve">acting </w:t>
      </w:r>
      <w:r w:rsidR="00172FFC" w:rsidRPr="00172FFC">
        <w:t xml:space="preserve">for not less than </w:t>
      </w:r>
      <w:r w:rsidR="003B0C08">
        <w:t xml:space="preserve">10,000 kW and </w:t>
      </w:r>
      <w:r w:rsidR="00172FFC">
        <w:t xml:space="preserve">with </w:t>
      </w:r>
      <w:r w:rsidR="003B0C08">
        <w:t xml:space="preserve">an annual billing load factor </w:t>
      </w:r>
      <w:r w:rsidR="00172FFC" w:rsidRPr="00172FFC">
        <w:t xml:space="preserve">of not less than </w:t>
      </w:r>
      <w:r w:rsidR="003B0C08">
        <w:t xml:space="preserve">75 percent. </w:t>
      </w:r>
    </w:p>
    <w:p w:rsidR="00A41B23" w:rsidRDefault="00A41B23" w:rsidP="00A44C5A">
      <w:pPr>
        <w:pStyle w:val="Answers"/>
        <w:spacing w:before="360" w:after="360"/>
        <w:ind w:firstLine="0"/>
      </w:pPr>
      <w:r>
        <w:t xml:space="preserve">The SP tariff was approved by the Commission </w:t>
      </w:r>
      <w:r w:rsidR="00093EB0">
        <w:t xml:space="preserve">on October 14, 2010 in Docket No. 16573 </w:t>
      </w:r>
      <w:r>
        <w:t xml:space="preserve">and was used </w:t>
      </w:r>
      <w:r w:rsidR="00093EB0">
        <w:t xml:space="preserve">to procure </w:t>
      </w:r>
      <w:r w:rsidR="00093EB0" w:rsidRPr="00093EB0">
        <w:t xml:space="preserve">additional solar capacity at </w:t>
      </w:r>
      <w:r w:rsidR="00093EB0">
        <w:t>a premium above avoided cost</w:t>
      </w:r>
      <w:r>
        <w:t xml:space="preserve">.  </w:t>
      </w:r>
      <w:r w:rsidR="00093EB0">
        <w:t xml:space="preserve">The </w:t>
      </w:r>
      <w:r w:rsidR="00093EB0">
        <w:lastRenderedPageBreak/>
        <w:t xml:space="preserve">Company </w:t>
      </w:r>
      <w:r w:rsidR="005D6BC2">
        <w:t>provid</w:t>
      </w:r>
      <w:r w:rsidR="00093EB0">
        <w:t>ed several reasons for making its request to add more solar purchases at the time</w:t>
      </w:r>
      <w:r w:rsidR="000106EB">
        <w:t xml:space="preserve"> including</w:t>
      </w:r>
      <w:r w:rsidR="00093EB0">
        <w:t>:</w:t>
      </w:r>
      <w:r w:rsidR="00093EB0" w:rsidRPr="00093EB0">
        <w:t xml:space="preserve"> procuring additional resources that </w:t>
      </w:r>
      <w:r w:rsidR="00093EB0">
        <w:t>would</w:t>
      </w:r>
      <w:r w:rsidR="00093EB0" w:rsidRPr="00093EB0">
        <w:t xml:space="preserve"> allow the Company’s customers to take advantage of federal and state incentives</w:t>
      </w:r>
      <w:r w:rsidR="00A2426E">
        <w:t xml:space="preserve">, </w:t>
      </w:r>
      <w:r w:rsidR="00093EB0" w:rsidRPr="00093EB0">
        <w:t>requiring customers to file project cost and operational data</w:t>
      </w:r>
      <w:r w:rsidR="00172FFC">
        <w:t xml:space="preserve"> </w:t>
      </w:r>
      <w:r w:rsidR="00172FFC" w:rsidRPr="00093EB0">
        <w:t>to gain cost</w:t>
      </w:r>
      <w:r w:rsidR="00A2426E">
        <w:t>,</w:t>
      </w:r>
      <w:r w:rsidR="00172FFC" w:rsidRPr="00093EB0">
        <w:t xml:space="preserve"> and operational knowledge of solar electricity generation</w:t>
      </w:r>
      <w:r w:rsidR="00093EB0" w:rsidRPr="00093EB0">
        <w:t>.</w:t>
      </w:r>
      <w:r w:rsidR="00093EB0">
        <w:t xml:space="preserve"> </w:t>
      </w:r>
      <w:r w:rsidR="001372CC">
        <w:t xml:space="preserve"> </w:t>
      </w:r>
      <w:r>
        <w:t xml:space="preserve">The </w:t>
      </w:r>
      <w:bookmarkStart w:id="31" w:name="_Hlk115948582"/>
      <w:r>
        <w:t xml:space="preserve">Commission approved the closure of the SP tariff as part of the 2016 IRP. </w:t>
      </w:r>
      <w:r w:rsidR="001372CC">
        <w:t xml:space="preserve"> </w:t>
      </w:r>
      <w:r w:rsidR="00DB6EA9">
        <w:t xml:space="preserve">As provided in </w:t>
      </w:r>
      <w:r w:rsidR="005D52A3">
        <w:t xml:space="preserve">the Direct </w:t>
      </w:r>
      <w:r w:rsidR="005024E7">
        <w:t>T</w:t>
      </w:r>
      <w:r w:rsidR="005D52A3">
        <w:t xml:space="preserve">estimony of Larry </w:t>
      </w:r>
      <w:r w:rsidR="00DB6EA9">
        <w:t>Legg</w:t>
      </w:r>
      <w:r w:rsidR="00A66802">
        <w:t>, pg. 16 lines 11-13</w:t>
      </w:r>
      <w:r w:rsidR="00DB6EA9">
        <w:t>, a</w:t>
      </w:r>
      <w:r>
        <w:t>ll customers who participated in the SP tariff have transitioned off the program to other programs or tariffs.</w:t>
      </w:r>
    </w:p>
    <w:bookmarkEnd w:id="31"/>
    <w:p w:rsidR="00A41B23" w:rsidRPr="00A41B23" w:rsidRDefault="00A41B23" w:rsidP="00D24841">
      <w:pPr>
        <w:pStyle w:val="Questions"/>
      </w:pPr>
      <w:r w:rsidRPr="00A41B23">
        <w:t>Q.</w:t>
      </w:r>
      <w:r w:rsidRPr="00A41B23">
        <w:tab/>
        <w:t>DOES STAFF RECOMMEND APPROVAL OF THE COMPANY’S REQUEST TO ELIMINATE THE PLH AND SP TARIFFS?</w:t>
      </w:r>
    </w:p>
    <w:p w:rsidR="00A41B23" w:rsidRDefault="00A41B23" w:rsidP="00DF6F90">
      <w:pPr>
        <w:pStyle w:val="Answers"/>
      </w:pPr>
      <w:r>
        <w:t>A.</w:t>
      </w:r>
      <w:r>
        <w:tab/>
        <w:t xml:space="preserve">Yes. Since </w:t>
      </w:r>
      <w:r w:rsidR="007F1A8C">
        <w:t xml:space="preserve">there are </w:t>
      </w:r>
      <w:r>
        <w:t>no customers</w:t>
      </w:r>
      <w:r w:rsidR="000106EB">
        <w:t xml:space="preserve"> receiving service</w:t>
      </w:r>
      <w:r w:rsidR="007F1A8C">
        <w:t xml:space="preserve"> on </w:t>
      </w:r>
      <w:r w:rsidR="00263DEA">
        <w:t xml:space="preserve">either of </w:t>
      </w:r>
      <w:r w:rsidR="007F1A8C">
        <w:t>these tariffs and there</w:t>
      </w:r>
      <w:r w:rsidR="00DB6EA9">
        <w:t xml:space="preserve"> will not be any</w:t>
      </w:r>
      <w:r w:rsidR="00953D7E">
        <w:t xml:space="preserve"> </w:t>
      </w:r>
      <w:r w:rsidR="00DB6EA9">
        <w:t>impacts</w:t>
      </w:r>
      <w:r w:rsidR="00953D7E">
        <w:t xml:space="preserve"> </w:t>
      </w:r>
      <w:r w:rsidR="00DB6EA9">
        <w:t xml:space="preserve">to </w:t>
      </w:r>
      <w:r w:rsidR="007F1A8C">
        <w:t>customer</w:t>
      </w:r>
      <w:r w:rsidR="00DB6EA9">
        <w:t>s</w:t>
      </w:r>
      <w:r>
        <w:t>, Staff recommends approval of the Company’s request to eliminate these tariffs.</w:t>
      </w:r>
    </w:p>
    <w:p w:rsidR="004B6A26" w:rsidRDefault="004B6A26" w:rsidP="00D24841">
      <w:pPr>
        <w:pStyle w:val="Questions"/>
      </w:pPr>
      <w:r w:rsidRPr="004B6A26">
        <w:t>Q.</w:t>
      </w:r>
      <w:r w:rsidRPr="004B6A26">
        <w:tab/>
        <w:t xml:space="preserve">PLEASE DESCRIBE THE </w:t>
      </w:r>
      <w:r w:rsidR="005D52A3">
        <w:t xml:space="preserve">MODIFICATIONS </w:t>
      </w:r>
      <w:r w:rsidRPr="004B6A26">
        <w:t xml:space="preserve">THAT THE COMPANY IS PROPOSING TO MAKE TO THE RNR </w:t>
      </w:r>
      <w:r w:rsidR="00E75B86">
        <w:t>TARIFF</w:t>
      </w:r>
      <w:r w:rsidRPr="004B6A26">
        <w:t>.</w:t>
      </w:r>
    </w:p>
    <w:p w:rsidR="000106EB" w:rsidRDefault="004B6A26" w:rsidP="002257B7">
      <w:pPr>
        <w:pStyle w:val="Answers"/>
      </w:pPr>
      <w:r>
        <w:t>A.</w:t>
      </w:r>
      <w:r>
        <w:tab/>
        <w:t xml:space="preserve">The Company is proposing two modifications to the RNR tariff.  The first proposed modification is </w:t>
      </w:r>
      <w:r w:rsidR="007070A8">
        <w:t xml:space="preserve">the addition of </w:t>
      </w:r>
      <w:r>
        <w:t xml:space="preserve">language that would prohibit customers </w:t>
      </w:r>
      <w:r w:rsidR="007F1A8C">
        <w:t xml:space="preserve">that </w:t>
      </w:r>
      <w:r w:rsidR="007070A8">
        <w:t>receiv</w:t>
      </w:r>
      <w:r w:rsidR="007F1A8C">
        <w:t>e</w:t>
      </w:r>
      <w:r w:rsidR="007070A8">
        <w:t xml:space="preserve"> service </w:t>
      </w:r>
      <w:r>
        <w:t xml:space="preserve">on RTP tariffs from participating in </w:t>
      </w:r>
      <w:r w:rsidR="007070A8">
        <w:t>RNR-Monthly Netting</w:t>
      </w:r>
      <w:r>
        <w:t xml:space="preserve">. </w:t>
      </w:r>
      <w:r w:rsidR="007070A8">
        <w:t xml:space="preserve">However, </w:t>
      </w:r>
      <w:r w:rsidR="000106EB">
        <w:t xml:space="preserve">these </w:t>
      </w:r>
      <w:r>
        <w:t xml:space="preserve">customers </w:t>
      </w:r>
      <w:r w:rsidR="00263DEA">
        <w:t xml:space="preserve">would be able </w:t>
      </w:r>
      <w:r>
        <w:t xml:space="preserve">to participate in RNR-Instantaneous Netting.  </w:t>
      </w:r>
    </w:p>
    <w:p w:rsidR="00292CA5" w:rsidRDefault="004B6A26" w:rsidP="003048DC">
      <w:pPr>
        <w:pStyle w:val="Answers"/>
        <w:spacing w:before="360"/>
        <w:ind w:firstLine="0"/>
      </w:pPr>
      <w:r>
        <w:t xml:space="preserve">The </w:t>
      </w:r>
      <w:r w:rsidR="007F1A8C">
        <w:t xml:space="preserve">Company’s </w:t>
      </w:r>
      <w:r>
        <w:t>second proposed change</w:t>
      </w:r>
      <w:r w:rsidR="00263DEA">
        <w:t xml:space="preserve"> to the RNR tariff</w:t>
      </w:r>
      <w:r>
        <w:t xml:space="preserve"> is the eliminat</w:t>
      </w:r>
      <w:r w:rsidR="007070A8">
        <w:t>ion of</w:t>
      </w:r>
      <w:r>
        <w:t xml:space="preserve"> the Witness Testing cost of $5/kW AC and t</w:t>
      </w:r>
      <w:r w:rsidR="007070A8">
        <w:t xml:space="preserve">he </w:t>
      </w:r>
      <w:r>
        <w:t>inclu</w:t>
      </w:r>
      <w:r w:rsidR="007070A8">
        <w:t>sion of</w:t>
      </w:r>
      <w:r>
        <w:t xml:space="preserve"> a one-time Interconnection Fee</w:t>
      </w:r>
      <w:r w:rsidR="002257B7">
        <w:t xml:space="preserve">. The specific </w:t>
      </w:r>
      <w:r w:rsidR="002257B7">
        <w:lastRenderedPageBreak/>
        <w:t>Interconnection Fee</w:t>
      </w:r>
      <w:r w:rsidR="000106EB">
        <w:t xml:space="preserve"> amount</w:t>
      </w:r>
      <w:r w:rsidR="002257B7">
        <w:t xml:space="preserve"> is </w:t>
      </w:r>
      <w:r w:rsidR="000106EB">
        <w:t xml:space="preserve">a </w:t>
      </w:r>
      <w:r w:rsidR="00172F67">
        <w:t xml:space="preserve">proposed </w:t>
      </w:r>
      <w:r w:rsidR="000106EB">
        <w:t xml:space="preserve">modification that was made </w:t>
      </w:r>
      <w:r w:rsidR="00CE005B">
        <w:t>in the Company’s Rules and Regulations</w:t>
      </w:r>
      <w:r>
        <w:t xml:space="preserve">. </w:t>
      </w:r>
    </w:p>
    <w:p w:rsidR="007070A8" w:rsidRDefault="007070A8" w:rsidP="00D24841">
      <w:pPr>
        <w:pStyle w:val="Questions"/>
      </w:pPr>
      <w:r w:rsidRPr="007070A8">
        <w:t>Q.</w:t>
      </w:r>
      <w:r w:rsidRPr="007070A8">
        <w:tab/>
        <w:t>ARE THERE CURRENTLY OTHER CUSTOMERS THAT ARE NOT A</w:t>
      </w:r>
      <w:r w:rsidR="00DB6EA9">
        <w:t>LLOWED</w:t>
      </w:r>
      <w:r w:rsidRPr="007070A8">
        <w:t xml:space="preserve"> TO </w:t>
      </w:r>
      <w:r w:rsidR="00A44C5A" w:rsidRPr="007070A8">
        <w:t>PARTICIPATE</w:t>
      </w:r>
      <w:r w:rsidRPr="007070A8">
        <w:t xml:space="preserve"> IN RNR-MONTHLY NETTING?</w:t>
      </w:r>
    </w:p>
    <w:p w:rsidR="00925877" w:rsidRPr="00C27F17" w:rsidRDefault="00925877" w:rsidP="00DF6F90">
      <w:pPr>
        <w:pStyle w:val="Answers"/>
      </w:pPr>
      <w:r>
        <w:t>A.</w:t>
      </w:r>
      <w:r>
        <w:tab/>
      </w:r>
      <w:r w:rsidRPr="00C27F17">
        <w:t xml:space="preserve">Yes. </w:t>
      </w:r>
      <w:r w:rsidR="00513903" w:rsidRPr="00C27F17">
        <w:t>A</w:t>
      </w:r>
      <w:r w:rsidR="00263DEA" w:rsidRPr="00C27F17">
        <w:t xml:space="preserve">s provided in the </w:t>
      </w:r>
      <w:r w:rsidR="005D52A3" w:rsidRPr="00C27F17">
        <w:t xml:space="preserve">current </w:t>
      </w:r>
      <w:r w:rsidR="00513903" w:rsidRPr="00C27F17">
        <w:t>RNR tariff</w:t>
      </w:r>
      <w:r w:rsidR="00DB6EA9" w:rsidRPr="00C27F17">
        <w:t xml:space="preserve"> and provided as Staff Exhibit</w:t>
      </w:r>
      <w:r w:rsidR="00741552" w:rsidRPr="00C27F17">
        <w:t xml:space="preserve"> </w:t>
      </w:r>
      <w:r w:rsidR="00A2426E">
        <w:t>_</w:t>
      </w:r>
      <w:r w:rsidR="00741552" w:rsidRPr="00C27F17">
        <w:t>_ (</w:t>
      </w:r>
      <w:r w:rsidR="00DB6EA9" w:rsidRPr="00C27F17">
        <w:t>BDW-</w:t>
      </w:r>
      <w:r w:rsidR="00500BAD" w:rsidRPr="00C27F17">
        <w:t>14</w:t>
      </w:r>
      <w:r w:rsidR="00741552" w:rsidRPr="00C27F17">
        <w:t>)</w:t>
      </w:r>
      <w:r w:rsidR="005D52A3" w:rsidRPr="00C27F17">
        <w:t xml:space="preserve">, </w:t>
      </w:r>
      <w:r w:rsidR="00292CA5" w:rsidRPr="00C27F17">
        <w:t xml:space="preserve">the RNR-Monthly Netting option is not available to customers receiving service under the </w:t>
      </w:r>
      <w:proofErr w:type="spellStart"/>
      <w:r w:rsidR="00292CA5" w:rsidRPr="00C27F17">
        <w:t>FlatBill</w:t>
      </w:r>
      <w:proofErr w:type="spellEnd"/>
      <w:r w:rsidR="00292CA5" w:rsidRPr="00C27F17">
        <w:t xml:space="preserve">, Pre-Pay or </w:t>
      </w:r>
      <w:r w:rsidR="00E30CBE" w:rsidRPr="00C27F17">
        <w:t>CS</w:t>
      </w:r>
      <w:r w:rsidR="00292CA5" w:rsidRPr="00C27F17">
        <w:t xml:space="preserve"> tariffs.</w:t>
      </w:r>
    </w:p>
    <w:p w:rsidR="000106EB" w:rsidRDefault="000106EB" w:rsidP="002D4813">
      <w:pPr>
        <w:pStyle w:val="Answers"/>
        <w:spacing w:before="480"/>
        <w:rPr>
          <w:b/>
        </w:rPr>
      </w:pPr>
      <w:r w:rsidRPr="003048DC">
        <w:rPr>
          <w:b/>
        </w:rPr>
        <w:t>Q.</w:t>
      </w:r>
      <w:r w:rsidRPr="003048DC">
        <w:rPr>
          <w:b/>
        </w:rPr>
        <w:tab/>
        <w:t>DOES STAFF RECOMMEND APPROVAL OF THE COMPANY’S REQUEST TO EXEMPT RTP CUSTOMERS FROM BEING ABLE TO PARTICIPATE IN RNR-MONTHLY NETTING?</w:t>
      </w:r>
    </w:p>
    <w:p w:rsidR="000106EB" w:rsidRPr="000106EB" w:rsidRDefault="000106EB" w:rsidP="00DF6F90">
      <w:pPr>
        <w:pStyle w:val="Answers"/>
      </w:pPr>
      <w:r w:rsidRPr="003048DC">
        <w:t>A.</w:t>
      </w:r>
      <w:r w:rsidRPr="003048DC">
        <w:tab/>
        <w:t>Yes.</w:t>
      </w:r>
      <w:r w:rsidR="00500BAD">
        <w:t xml:space="preserve"> Staff recommends approval of the request to exempt RTP customers from participating in RNR Monthly Netting.</w:t>
      </w:r>
    </w:p>
    <w:p w:rsidR="00461F99" w:rsidRPr="00461F99" w:rsidRDefault="00461F99" w:rsidP="00D24841">
      <w:pPr>
        <w:pStyle w:val="Questions"/>
        <w:rPr>
          <w:rFonts w:eastAsia="Calibri"/>
        </w:rPr>
      </w:pPr>
      <w:bookmarkStart w:id="32" w:name="_Hlk113366768"/>
      <w:r w:rsidRPr="00461F99">
        <w:rPr>
          <w:rFonts w:eastAsia="Calibri"/>
        </w:rPr>
        <w:t>Q.</w:t>
      </w:r>
      <w:r w:rsidRPr="00461F99">
        <w:rPr>
          <w:rFonts w:eastAsia="Calibri"/>
        </w:rPr>
        <w:tab/>
        <w:t xml:space="preserve">PLEASE DESCRIBE the company’S </w:t>
      </w:r>
      <w:r w:rsidR="00BE0581">
        <w:rPr>
          <w:rFonts w:eastAsia="Calibri"/>
        </w:rPr>
        <w:t xml:space="preserve">CURRENT </w:t>
      </w:r>
      <w:r w:rsidR="00E30CBE">
        <w:rPr>
          <w:rFonts w:eastAsia="Calibri"/>
        </w:rPr>
        <w:t>CS</w:t>
      </w:r>
      <w:r w:rsidRPr="00461F99">
        <w:rPr>
          <w:rFonts w:eastAsia="Calibri"/>
        </w:rPr>
        <w:t xml:space="preserve"> PROGRAM</w:t>
      </w:r>
      <w:r w:rsidR="00836D32">
        <w:rPr>
          <w:rFonts w:eastAsia="Calibri"/>
        </w:rPr>
        <w:t>.</w:t>
      </w:r>
      <w:r w:rsidRPr="00461F99">
        <w:rPr>
          <w:rFonts w:eastAsia="Calibri"/>
        </w:rPr>
        <w:t xml:space="preserve"> </w:t>
      </w:r>
    </w:p>
    <w:p w:rsidR="00F24B14" w:rsidRDefault="00461F99" w:rsidP="002D4813">
      <w:pPr>
        <w:pStyle w:val="Answers"/>
        <w:rPr>
          <w:rFonts w:eastAsia="Calibri"/>
        </w:rPr>
      </w:pPr>
      <w:r w:rsidRPr="00461F99">
        <w:rPr>
          <w:rFonts w:eastAsia="Calibri"/>
        </w:rPr>
        <w:t xml:space="preserve">A. </w:t>
      </w:r>
      <w:r w:rsidRPr="00461F99">
        <w:rPr>
          <w:rFonts w:eastAsia="Calibri"/>
        </w:rPr>
        <w:tab/>
      </w:r>
      <w:r w:rsidR="003622F7" w:rsidRPr="003622F7">
        <w:rPr>
          <w:rFonts w:eastAsia="Calibri"/>
        </w:rPr>
        <w:t xml:space="preserve">The </w:t>
      </w:r>
      <w:r w:rsidR="00212F7F">
        <w:rPr>
          <w:rFonts w:eastAsia="Calibri"/>
        </w:rPr>
        <w:t xml:space="preserve">Company’s </w:t>
      </w:r>
      <w:r w:rsidR="00425CE0">
        <w:rPr>
          <w:rFonts w:eastAsia="Calibri"/>
        </w:rPr>
        <w:t>CS</w:t>
      </w:r>
      <w:r w:rsidR="00212F7F">
        <w:rPr>
          <w:rFonts w:eastAsia="Calibri"/>
        </w:rPr>
        <w:t xml:space="preserve"> program was first </w:t>
      </w:r>
      <w:r w:rsidR="00212F7F" w:rsidRPr="003622F7">
        <w:rPr>
          <w:rFonts w:eastAsia="Calibri"/>
        </w:rPr>
        <w:t xml:space="preserve">approved </w:t>
      </w:r>
      <w:r w:rsidR="00212F7F">
        <w:rPr>
          <w:rFonts w:eastAsia="Calibri"/>
        </w:rPr>
        <w:t>during</w:t>
      </w:r>
      <w:r w:rsidR="00212F7F" w:rsidRPr="003622F7">
        <w:rPr>
          <w:rFonts w:eastAsia="Calibri"/>
        </w:rPr>
        <w:t xml:space="preserve"> the 2016 IRP</w:t>
      </w:r>
      <w:r w:rsidR="00212F7F">
        <w:rPr>
          <w:rFonts w:eastAsia="Calibri"/>
        </w:rPr>
        <w:t xml:space="preserve"> for </w:t>
      </w:r>
      <w:r w:rsidR="003622F7" w:rsidRPr="003622F7">
        <w:rPr>
          <w:rFonts w:eastAsia="Calibri"/>
        </w:rPr>
        <w:t>3 MW</w:t>
      </w:r>
      <w:r w:rsidR="000106EB">
        <w:rPr>
          <w:rFonts w:eastAsia="Calibri"/>
        </w:rPr>
        <w:t>.</w:t>
      </w:r>
      <w:r w:rsidR="003622F7" w:rsidRPr="003622F7">
        <w:rPr>
          <w:rFonts w:eastAsia="Calibri"/>
        </w:rPr>
        <w:t xml:space="preserve"> </w:t>
      </w:r>
      <w:r w:rsidR="00212F7F">
        <w:rPr>
          <w:rFonts w:eastAsia="Calibri"/>
        </w:rPr>
        <w:t>As part of</w:t>
      </w:r>
      <w:r w:rsidR="003622F7" w:rsidRPr="003622F7">
        <w:rPr>
          <w:rFonts w:eastAsia="Calibri"/>
        </w:rPr>
        <w:t xml:space="preserve"> the </w:t>
      </w:r>
      <w:r w:rsidR="00212F7F">
        <w:rPr>
          <w:rFonts w:eastAsia="Calibri"/>
        </w:rPr>
        <w:t xml:space="preserve">Company’s </w:t>
      </w:r>
      <w:r w:rsidR="003622F7" w:rsidRPr="003622F7">
        <w:rPr>
          <w:rFonts w:eastAsia="Calibri"/>
        </w:rPr>
        <w:t xml:space="preserve">17th Vogtle Construction Monitoring (“VCM”) proceeding, </w:t>
      </w:r>
      <w:r w:rsidR="00212F7F">
        <w:rPr>
          <w:rFonts w:eastAsia="Calibri"/>
        </w:rPr>
        <w:t xml:space="preserve">the </w:t>
      </w:r>
      <w:r w:rsidR="003622F7" w:rsidRPr="003622F7">
        <w:rPr>
          <w:rFonts w:eastAsia="Calibri"/>
        </w:rPr>
        <w:t xml:space="preserve">program was expanded </w:t>
      </w:r>
      <w:r w:rsidR="00212F7F">
        <w:rPr>
          <w:rFonts w:eastAsia="Calibri"/>
        </w:rPr>
        <w:t xml:space="preserve">by </w:t>
      </w:r>
      <w:r w:rsidR="003622F7" w:rsidRPr="003622F7">
        <w:rPr>
          <w:rFonts w:eastAsia="Calibri"/>
        </w:rPr>
        <w:t>an additional 5 MW</w:t>
      </w:r>
      <w:r w:rsidR="00212F7F">
        <w:rPr>
          <w:rFonts w:eastAsia="Calibri"/>
        </w:rPr>
        <w:t xml:space="preserve"> for </w:t>
      </w:r>
      <w:r w:rsidR="003622F7" w:rsidRPr="003622F7">
        <w:rPr>
          <w:rFonts w:eastAsia="Calibri"/>
        </w:rPr>
        <w:t xml:space="preserve">a total of 8 MW of </w:t>
      </w:r>
      <w:r w:rsidR="00212F7F">
        <w:rPr>
          <w:rFonts w:eastAsia="Calibri"/>
        </w:rPr>
        <w:t>projects</w:t>
      </w:r>
      <w:r w:rsidR="003622F7" w:rsidRPr="003622F7">
        <w:rPr>
          <w:rFonts w:eastAsia="Calibri"/>
        </w:rPr>
        <w:t xml:space="preserve">. </w:t>
      </w:r>
      <w:r w:rsidR="009F7608">
        <w:rPr>
          <w:rFonts w:eastAsia="Calibri"/>
        </w:rPr>
        <w:t xml:space="preserve">To meet this </w:t>
      </w:r>
      <w:r w:rsidR="002E5E6B">
        <w:rPr>
          <w:rFonts w:eastAsia="Calibri"/>
        </w:rPr>
        <w:t xml:space="preserve">capacity </w:t>
      </w:r>
      <w:r w:rsidR="009F7608">
        <w:rPr>
          <w:rFonts w:eastAsia="Calibri"/>
        </w:rPr>
        <w:t>need, t</w:t>
      </w:r>
      <w:r w:rsidR="003622F7" w:rsidRPr="003622F7">
        <w:rPr>
          <w:rFonts w:eastAsia="Calibri"/>
        </w:rPr>
        <w:t xml:space="preserve">he Company </w:t>
      </w:r>
      <w:r w:rsidR="00212F7F">
        <w:rPr>
          <w:rFonts w:eastAsia="Calibri"/>
        </w:rPr>
        <w:t xml:space="preserve">procured </w:t>
      </w:r>
      <w:r w:rsidR="005125A0">
        <w:rPr>
          <w:rFonts w:eastAsia="Calibri"/>
        </w:rPr>
        <w:t xml:space="preserve">the </w:t>
      </w:r>
      <w:r w:rsidR="005125A0" w:rsidRPr="00212F7F">
        <w:rPr>
          <w:rFonts w:eastAsia="Calibri"/>
        </w:rPr>
        <w:t xml:space="preserve">2 MW </w:t>
      </w:r>
      <w:r w:rsidR="009F7608" w:rsidRPr="00212F7F">
        <w:rPr>
          <w:rFonts w:eastAsia="Calibri"/>
        </w:rPr>
        <w:t>Comer</w:t>
      </w:r>
      <w:r w:rsidR="009F7608">
        <w:rPr>
          <w:rFonts w:eastAsia="Calibri"/>
        </w:rPr>
        <w:t xml:space="preserve"> </w:t>
      </w:r>
      <w:r w:rsidR="005125A0">
        <w:rPr>
          <w:rFonts w:eastAsia="Calibri"/>
        </w:rPr>
        <w:t>facility</w:t>
      </w:r>
      <w:r w:rsidR="009F7608">
        <w:rPr>
          <w:rFonts w:eastAsia="Calibri"/>
        </w:rPr>
        <w:t>,</w:t>
      </w:r>
      <w:r w:rsidR="005125A0">
        <w:rPr>
          <w:rFonts w:eastAsia="Calibri"/>
        </w:rPr>
        <w:t xml:space="preserve"> </w:t>
      </w:r>
      <w:r w:rsidR="009F7608">
        <w:rPr>
          <w:rFonts w:eastAsia="Calibri"/>
        </w:rPr>
        <w:t xml:space="preserve">the </w:t>
      </w:r>
      <w:r w:rsidR="00212F7F" w:rsidRPr="00212F7F">
        <w:rPr>
          <w:rFonts w:eastAsia="Calibri"/>
        </w:rPr>
        <w:t xml:space="preserve">3.6 MW Solar Savannah </w:t>
      </w:r>
      <w:r w:rsidR="009F7608">
        <w:rPr>
          <w:rFonts w:eastAsia="Calibri"/>
        </w:rPr>
        <w:t xml:space="preserve">facility, and the </w:t>
      </w:r>
      <w:r w:rsidR="00212F7F" w:rsidRPr="00212F7F">
        <w:rPr>
          <w:rFonts w:eastAsia="Calibri"/>
        </w:rPr>
        <w:t xml:space="preserve">2.4 MW Solar Vogtle </w:t>
      </w:r>
      <w:r w:rsidR="009F7608">
        <w:rPr>
          <w:rFonts w:eastAsia="Calibri"/>
        </w:rPr>
        <w:t>facility.</w:t>
      </w:r>
      <w:r w:rsidR="003622F7" w:rsidRPr="003622F7">
        <w:rPr>
          <w:rFonts w:eastAsia="Calibri"/>
        </w:rPr>
        <w:t xml:space="preserve"> </w:t>
      </w:r>
      <w:r w:rsidR="009F7608">
        <w:rPr>
          <w:rFonts w:eastAsia="Calibri"/>
        </w:rPr>
        <w:t>Originally a</w:t>
      </w:r>
      <w:r w:rsidRPr="00461F99">
        <w:rPr>
          <w:rFonts w:eastAsia="Calibri"/>
        </w:rPr>
        <w:t xml:space="preserve">vailable only </w:t>
      </w:r>
      <w:bookmarkEnd w:id="32"/>
      <w:r w:rsidRPr="00461F99">
        <w:rPr>
          <w:rFonts w:eastAsia="Calibri"/>
        </w:rPr>
        <w:t xml:space="preserve">to Georgia Power’s residential customers, the Community Solar program </w:t>
      </w:r>
      <w:r w:rsidR="009F7608">
        <w:rPr>
          <w:rFonts w:eastAsia="Calibri"/>
        </w:rPr>
        <w:t>was modified</w:t>
      </w:r>
      <w:r w:rsidR="000106EB">
        <w:rPr>
          <w:rFonts w:eastAsia="Calibri"/>
        </w:rPr>
        <w:t xml:space="preserve"> recently </w:t>
      </w:r>
      <w:r w:rsidR="009F7608">
        <w:rPr>
          <w:rFonts w:eastAsia="Calibri"/>
        </w:rPr>
        <w:t xml:space="preserve">in the Company’s 2022 IRP to </w:t>
      </w:r>
      <w:r w:rsidR="002E5E6B">
        <w:rPr>
          <w:rFonts w:eastAsia="Calibri"/>
        </w:rPr>
        <w:t xml:space="preserve">provide for </w:t>
      </w:r>
      <w:r w:rsidR="009F7608" w:rsidRPr="00461F99">
        <w:rPr>
          <w:rFonts w:eastAsia="Calibri"/>
        </w:rPr>
        <w:t xml:space="preserve">a commercial customer offering for customers on the </w:t>
      </w:r>
      <w:r w:rsidR="009F7608" w:rsidRPr="00461F99">
        <w:rPr>
          <w:rFonts w:eastAsia="Calibri"/>
        </w:rPr>
        <w:lastRenderedPageBreak/>
        <w:t xml:space="preserve">General Service </w:t>
      </w:r>
      <w:r w:rsidR="00A54AA5">
        <w:rPr>
          <w:rFonts w:eastAsia="Calibri"/>
        </w:rPr>
        <w:t>t</w:t>
      </w:r>
      <w:r w:rsidR="009F7608" w:rsidRPr="00461F99">
        <w:rPr>
          <w:rFonts w:eastAsia="Calibri"/>
        </w:rPr>
        <w:t>ariff</w:t>
      </w:r>
      <w:r w:rsidR="005D6BC2">
        <w:rPr>
          <w:rFonts w:eastAsia="Calibri"/>
        </w:rPr>
        <w:t xml:space="preserve">.  The </w:t>
      </w:r>
      <w:r w:rsidR="00BF1062">
        <w:rPr>
          <w:rFonts w:eastAsia="Calibri"/>
        </w:rPr>
        <w:t xml:space="preserve">CS </w:t>
      </w:r>
      <w:r w:rsidR="005D6BC2">
        <w:rPr>
          <w:rFonts w:eastAsia="Calibri"/>
        </w:rPr>
        <w:t xml:space="preserve">program was also modified to </w:t>
      </w:r>
      <w:r w:rsidR="009F7608">
        <w:rPr>
          <w:rFonts w:eastAsia="Calibri"/>
        </w:rPr>
        <w:t xml:space="preserve">include </w:t>
      </w:r>
      <w:r w:rsidR="009F7608" w:rsidRPr="00461F99">
        <w:rPr>
          <w:rFonts w:eastAsia="Calibri"/>
        </w:rPr>
        <w:t>an Income-Qualified Pilot</w:t>
      </w:r>
      <w:r w:rsidR="009F7608">
        <w:rPr>
          <w:rFonts w:eastAsia="Calibri"/>
        </w:rPr>
        <w:t>.</w:t>
      </w:r>
      <w:r w:rsidR="009F7608" w:rsidRPr="00461F99">
        <w:rPr>
          <w:rFonts w:eastAsia="Calibri"/>
        </w:rPr>
        <w:t xml:space="preserve"> </w:t>
      </w:r>
      <w:r w:rsidR="005E541D">
        <w:rPr>
          <w:rFonts w:eastAsia="Calibri"/>
        </w:rPr>
        <w:t xml:space="preserve">This pilot </w:t>
      </w:r>
      <w:r w:rsidR="005E541D" w:rsidRPr="00461F99">
        <w:rPr>
          <w:rFonts w:eastAsia="Calibri"/>
        </w:rPr>
        <w:t>will provide discounted community solar subscriptions to up to 5,000 residential customers below 200% of the current federal annual poverty level. This program would be supported by corporate sponsorships covering 75% of the subscription cost for those income-qualified customers</w:t>
      </w:r>
      <w:r w:rsidR="003048DC">
        <w:rPr>
          <w:rFonts w:eastAsia="Calibri"/>
        </w:rPr>
        <w:t>.</w:t>
      </w:r>
      <w:r w:rsidR="005E541D">
        <w:rPr>
          <w:rFonts w:eastAsia="Calibri"/>
        </w:rPr>
        <w:t xml:space="preserve"> On</w:t>
      </w:r>
      <w:r w:rsidR="00884819">
        <w:rPr>
          <w:rFonts w:eastAsia="Calibri"/>
        </w:rPr>
        <w:t xml:space="preserve"> </w:t>
      </w:r>
      <w:r w:rsidR="002E0206">
        <w:rPr>
          <w:rFonts w:eastAsia="Calibri"/>
        </w:rPr>
        <w:t>August 23, 2022</w:t>
      </w:r>
      <w:r w:rsidR="005D6BC2">
        <w:rPr>
          <w:rFonts w:eastAsia="Calibri"/>
        </w:rPr>
        <w:t>, as part of the Supplemental filing,</w:t>
      </w:r>
      <w:r w:rsidR="002E0206">
        <w:rPr>
          <w:rFonts w:eastAsia="Calibri"/>
        </w:rPr>
        <w:t xml:space="preserve"> </w:t>
      </w:r>
      <w:r w:rsidR="00884819">
        <w:rPr>
          <w:rFonts w:eastAsia="Calibri"/>
        </w:rPr>
        <w:t>t</w:t>
      </w:r>
      <w:r w:rsidR="009F7608">
        <w:rPr>
          <w:rFonts w:eastAsia="Calibri"/>
        </w:rPr>
        <w:t xml:space="preserve">he Company </w:t>
      </w:r>
      <w:r w:rsidR="009F7608" w:rsidRPr="009F7608">
        <w:rPr>
          <w:rFonts w:eastAsia="Calibri"/>
        </w:rPr>
        <w:t>filed</w:t>
      </w:r>
      <w:r w:rsidR="00884819">
        <w:rPr>
          <w:rFonts w:eastAsia="Calibri"/>
        </w:rPr>
        <w:t xml:space="preserve"> a</w:t>
      </w:r>
      <w:r w:rsidR="009F7608" w:rsidRPr="009F7608">
        <w:rPr>
          <w:rFonts w:eastAsia="Calibri"/>
        </w:rPr>
        <w:t xml:space="preserve"> tariff to reflect </w:t>
      </w:r>
      <w:r w:rsidR="005D6BC2">
        <w:rPr>
          <w:rFonts w:eastAsia="Calibri"/>
        </w:rPr>
        <w:t xml:space="preserve">modifications to the </w:t>
      </w:r>
      <w:r w:rsidR="00172F67">
        <w:rPr>
          <w:rFonts w:eastAsia="Calibri"/>
        </w:rPr>
        <w:t xml:space="preserve">CS </w:t>
      </w:r>
      <w:r w:rsidR="005D6BC2">
        <w:rPr>
          <w:rFonts w:eastAsia="Calibri"/>
        </w:rPr>
        <w:t xml:space="preserve">program that were approved as part of the </w:t>
      </w:r>
      <w:r w:rsidR="009F7608" w:rsidRPr="009F7608">
        <w:rPr>
          <w:rFonts w:eastAsia="Calibri"/>
        </w:rPr>
        <w:t>IRP</w:t>
      </w:r>
      <w:r w:rsidR="005D6BC2">
        <w:rPr>
          <w:rFonts w:eastAsia="Calibri"/>
        </w:rPr>
        <w:t xml:space="preserve"> Order</w:t>
      </w:r>
      <w:r w:rsidR="009F7608" w:rsidRPr="009F7608">
        <w:rPr>
          <w:rFonts w:eastAsia="Calibri"/>
        </w:rPr>
        <w:t>.</w:t>
      </w:r>
    </w:p>
    <w:p w:rsidR="00F24B14" w:rsidRPr="00F24B14" w:rsidRDefault="00F24B14" w:rsidP="002D4813">
      <w:pPr>
        <w:pStyle w:val="Answers"/>
        <w:spacing w:before="480"/>
        <w:rPr>
          <w:rFonts w:eastAsia="Calibri"/>
          <w:b/>
        </w:rPr>
      </w:pPr>
      <w:r w:rsidRPr="00F24B14">
        <w:rPr>
          <w:rFonts w:eastAsia="Calibri"/>
          <w:b/>
        </w:rPr>
        <w:t>Q.</w:t>
      </w:r>
      <w:r w:rsidRPr="00F24B14">
        <w:rPr>
          <w:rFonts w:eastAsia="Calibri"/>
          <w:b/>
        </w:rPr>
        <w:tab/>
        <w:t>PLEASE DESCRIBE THE PURPOSE OF CS PROGRAMS.</w:t>
      </w:r>
    </w:p>
    <w:p w:rsidR="00F24B14" w:rsidRPr="001170F0" w:rsidRDefault="00F24B14" w:rsidP="00F24B14">
      <w:pPr>
        <w:pStyle w:val="Answers"/>
        <w:rPr>
          <w:rFonts w:eastAsia="Calibri"/>
          <w:caps/>
        </w:rPr>
      </w:pPr>
      <w:r>
        <w:rPr>
          <w:rFonts w:eastAsia="Calibri"/>
        </w:rPr>
        <w:t>A.</w:t>
      </w:r>
      <w:r>
        <w:rPr>
          <w:rFonts w:eastAsia="Calibri"/>
        </w:rPr>
        <w:tab/>
      </w:r>
      <w:r w:rsidRPr="001170F0">
        <w:rPr>
          <w:rFonts w:eastAsia="Calibri"/>
        </w:rPr>
        <w:t xml:space="preserve">The </w:t>
      </w:r>
      <w:r>
        <w:rPr>
          <w:rFonts w:eastAsia="Calibri"/>
        </w:rPr>
        <w:t>purpose</w:t>
      </w:r>
      <w:r w:rsidRPr="001170F0">
        <w:rPr>
          <w:rFonts w:eastAsia="Calibri"/>
        </w:rPr>
        <w:t xml:space="preserve"> of many CS programs is to provide an opportunity for customers to realize the benefits of rooftop </w:t>
      </w:r>
      <w:r>
        <w:rPr>
          <w:rFonts w:eastAsia="Calibri"/>
        </w:rPr>
        <w:t xml:space="preserve">solar that </w:t>
      </w:r>
      <w:r w:rsidRPr="001170F0">
        <w:rPr>
          <w:rFonts w:eastAsia="Calibri"/>
        </w:rPr>
        <w:t>are unable due to financial or for other reasons unable to add a rooftop solar system to their home.  Most CS programs are designed to pass along the savings realized from the solar</w:t>
      </w:r>
      <w:r>
        <w:rPr>
          <w:rFonts w:eastAsia="Calibri"/>
        </w:rPr>
        <w:t xml:space="preserve"> system </w:t>
      </w:r>
      <w:r w:rsidRPr="001170F0">
        <w:rPr>
          <w:rFonts w:eastAsia="Calibri"/>
        </w:rPr>
        <w:t xml:space="preserve">through bill credits and renewable energy credits “RECs” to customer participants.  </w:t>
      </w:r>
    </w:p>
    <w:p w:rsidR="009F7608" w:rsidRPr="00461F99" w:rsidRDefault="009F7608" w:rsidP="00D24841">
      <w:pPr>
        <w:pStyle w:val="Questions"/>
        <w:rPr>
          <w:rFonts w:eastAsia="Calibri"/>
        </w:rPr>
      </w:pPr>
      <w:bookmarkStart w:id="33" w:name="_Hlk115950091"/>
      <w:r w:rsidRPr="00461F99">
        <w:rPr>
          <w:rFonts w:eastAsia="Calibri"/>
        </w:rPr>
        <w:t>Q.</w:t>
      </w:r>
      <w:r w:rsidRPr="00461F99">
        <w:rPr>
          <w:rFonts w:eastAsia="Calibri"/>
        </w:rPr>
        <w:tab/>
      </w:r>
      <w:r>
        <w:rPr>
          <w:rFonts w:eastAsia="Calibri"/>
        </w:rPr>
        <w:t xml:space="preserve">HOW IS THE COMPANY’S </w:t>
      </w:r>
      <w:r w:rsidR="00425CE0">
        <w:rPr>
          <w:rFonts w:eastAsia="Calibri"/>
        </w:rPr>
        <w:t xml:space="preserve">CS </w:t>
      </w:r>
      <w:r w:rsidR="00F24B14">
        <w:rPr>
          <w:rFonts w:eastAsia="Calibri"/>
        </w:rPr>
        <w:t>PROGRAM</w:t>
      </w:r>
      <w:r>
        <w:rPr>
          <w:rFonts w:eastAsia="Calibri"/>
        </w:rPr>
        <w:t xml:space="preserve"> STRUCTURED?</w:t>
      </w:r>
      <w:r w:rsidRPr="00461F99">
        <w:rPr>
          <w:rFonts w:eastAsia="Calibri"/>
        </w:rPr>
        <w:t xml:space="preserve"> </w:t>
      </w:r>
    </w:p>
    <w:p w:rsidR="00492D9C" w:rsidRDefault="009F7608" w:rsidP="00492D9C">
      <w:pPr>
        <w:pStyle w:val="Answers"/>
      </w:pPr>
      <w:r w:rsidRPr="00461F99">
        <w:rPr>
          <w:rFonts w:eastAsia="Calibri"/>
        </w:rPr>
        <w:t xml:space="preserve">A. </w:t>
      </w:r>
      <w:r w:rsidRPr="00461F99">
        <w:rPr>
          <w:rFonts w:eastAsia="Calibri"/>
        </w:rPr>
        <w:tab/>
      </w:r>
      <w:r w:rsidR="00492D9C">
        <w:rPr>
          <w:rFonts w:eastAsia="Calibri"/>
        </w:rPr>
        <w:t xml:space="preserve">The CS </w:t>
      </w:r>
      <w:r w:rsidR="00F24B14">
        <w:rPr>
          <w:rFonts w:eastAsia="Calibri"/>
        </w:rPr>
        <w:t>program</w:t>
      </w:r>
      <w:r w:rsidR="00492D9C">
        <w:rPr>
          <w:rFonts w:eastAsia="Calibri"/>
        </w:rPr>
        <w:t xml:space="preserve"> allows customers to purchase a monthly subscription to 1 kW blocks of solar energy from a portfolio of Company-owned solar facilities.  The participating customer pays a fixed monthly CS charge on the customer’s normal electricity bill for each block subscribed; however, the monthly production of energy from the customer’s solar subscription is credited to offset the customer’s energy usage (virtual net metering). The customer pays only for their total energy used, minus the solar production. If the solar </w:t>
      </w:r>
      <w:r w:rsidR="00492D9C">
        <w:rPr>
          <w:rFonts w:eastAsia="Calibri"/>
        </w:rPr>
        <w:lastRenderedPageBreak/>
        <w:t xml:space="preserve">subscription’s monthly production is greater than the customer’s monthly electric usage, then any production in excess is credited at the solar avoided cost rate as filed in Docket No. 16573.  As part of the </w:t>
      </w:r>
      <w:r w:rsidR="00172F67">
        <w:rPr>
          <w:rFonts w:eastAsia="Calibri"/>
        </w:rPr>
        <w:t xml:space="preserve">current </w:t>
      </w:r>
      <w:r w:rsidR="00492D9C">
        <w:rPr>
          <w:rFonts w:eastAsia="Calibri"/>
        </w:rPr>
        <w:t xml:space="preserve">CS tariff, </w:t>
      </w:r>
      <w:r w:rsidR="00492D9C">
        <w:t xml:space="preserve">it states that a customer should anticipate </w:t>
      </w:r>
      <w:r w:rsidR="00172F67">
        <w:t xml:space="preserve">that </w:t>
      </w:r>
      <w:r w:rsidR="00492D9C">
        <w:t>the fixed CS charges to participate in the program will exceed any bill credits received.</w:t>
      </w:r>
      <w:r w:rsidR="000106EB">
        <w:t xml:space="preserve"> Therefore, there is a premium for customers to participate currently in the CS program.</w:t>
      </w:r>
    </w:p>
    <w:bookmarkEnd w:id="33"/>
    <w:p w:rsidR="0077097A" w:rsidRPr="00461F99" w:rsidRDefault="0077097A" w:rsidP="00D24841">
      <w:pPr>
        <w:pStyle w:val="Questions"/>
        <w:rPr>
          <w:rFonts w:eastAsia="Calibri"/>
        </w:rPr>
      </w:pPr>
      <w:r w:rsidRPr="00461F99">
        <w:rPr>
          <w:rFonts w:eastAsia="Calibri"/>
        </w:rPr>
        <w:t>Q.</w:t>
      </w:r>
      <w:r w:rsidRPr="00461F99">
        <w:rPr>
          <w:rFonts w:eastAsia="Calibri"/>
        </w:rPr>
        <w:tab/>
        <w:t>Has the company proposed revisions to</w:t>
      </w:r>
      <w:r w:rsidR="00D0690D">
        <w:rPr>
          <w:rFonts w:eastAsia="Calibri"/>
        </w:rPr>
        <w:t xml:space="preserve"> </w:t>
      </w:r>
      <w:r w:rsidR="00D169AB">
        <w:rPr>
          <w:rFonts w:eastAsia="Calibri"/>
        </w:rPr>
        <w:t xml:space="preserve">THE CS </w:t>
      </w:r>
      <w:r w:rsidRPr="00461F99">
        <w:rPr>
          <w:rFonts w:eastAsia="Calibri"/>
        </w:rPr>
        <w:t xml:space="preserve">Tariffs? </w:t>
      </w:r>
    </w:p>
    <w:p w:rsidR="006C0992" w:rsidRDefault="0077097A" w:rsidP="006C0992">
      <w:pPr>
        <w:pStyle w:val="Answers"/>
        <w:rPr>
          <w:rFonts w:eastAsia="Calibri"/>
        </w:rPr>
      </w:pPr>
      <w:r w:rsidRPr="00461F99">
        <w:rPr>
          <w:rFonts w:eastAsia="Calibri"/>
        </w:rPr>
        <w:t xml:space="preserve">A. </w:t>
      </w:r>
      <w:r w:rsidRPr="00461F99">
        <w:rPr>
          <w:rFonts w:eastAsia="Calibri"/>
        </w:rPr>
        <w:tab/>
      </w:r>
      <w:r w:rsidR="00F24B14">
        <w:rPr>
          <w:rFonts w:eastAsia="Calibri"/>
        </w:rPr>
        <w:t xml:space="preserve">Yes.  </w:t>
      </w:r>
      <w:r w:rsidR="009E150D" w:rsidRPr="00461F99">
        <w:rPr>
          <w:rFonts w:eastAsia="Calibri"/>
        </w:rPr>
        <w:t>The Company is requesting approval to</w:t>
      </w:r>
      <w:r w:rsidR="006C0992">
        <w:rPr>
          <w:rFonts w:eastAsia="Calibri"/>
        </w:rPr>
        <w:t xml:space="preserve"> increase</w:t>
      </w:r>
      <w:r w:rsidR="009E150D" w:rsidRPr="00461F99">
        <w:rPr>
          <w:rFonts w:eastAsia="Calibri"/>
        </w:rPr>
        <w:t xml:space="preserve"> the monthly price per </w:t>
      </w:r>
      <w:r w:rsidR="00C11F0A">
        <w:rPr>
          <w:rFonts w:eastAsia="Calibri"/>
        </w:rPr>
        <w:t>kW</w:t>
      </w:r>
      <w:r w:rsidR="009E150D" w:rsidRPr="00461F99">
        <w:rPr>
          <w:rFonts w:eastAsia="Calibri"/>
        </w:rPr>
        <w:t xml:space="preserve"> block from $24.99 to $27.99 for residential customers and </w:t>
      </w:r>
      <w:r w:rsidR="000106EB">
        <w:rPr>
          <w:rFonts w:eastAsia="Calibri"/>
        </w:rPr>
        <w:t xml:space="preserve">approval of </w:t>
      </w:r>
      <w:r w:rsidR="009E150D">
        <w:rPr>
          <w:rFonts w:eastAsia="Calibri"/>
        </w:rPr>
        <w:t>a</w:t>
      </w:r>
      <w:r w:rsidR="009E150D" w:rsidRPr="00461F99">
        <w:rPr>
          <w:rFonts w:eastAsia="Calibri"/>
        </w:rPr>
        <w:t xml:space="preserve"> commercial rate of $29.99 per block. </w:t>
      </w:r>
    </w:p>
    <w:p w:rsidR="00925877" w:rsidRPr="00925877" w:rsidRDefault="00925877" w:rsidP="00D24841">
      <w:pPr>
        <w:pStyle w:val="Questions"/>
        <w:rPr>
          <w:rFonts w:eastAsia="Calibri"/>
        </w:rPr>
      </w:pPr>
      <w:r w:rsidRPr="00925877">
        <w:rPr>
          <w:rFonts w:eastAsia="Calibri"/>
        </w:rPr>
        <w:t>Q.</w:t>
      </w:r>
      <w:r w:rsidRPr="00925877">
        <w:rPr>
          <w:rFonts w:eastAsia="Calibri"/>
        </w:rPr>
        <w:tab/>
        <w:t>HAS THE</w:t>
      </w:r>
      <w:r w:rsidR="00827434">
        <w:rPr>
          <w:rFonts w:eastAsia="Calibri"/>
        </w:rPr>
        <w:t xml:space="preserve"> </w:t>
      </w:r>
      <w:r w:rsidR="00D169AB">
        <w:rPr>
          <w:rFonts w:eastAsia="Calibri"/>
        </w:rPr>
        <w:t xml:space="preserve">CS </w:t>
      </w:r>
      <w:r w:rsidRPr="00925877">
        <w:rPr>
          <w:rFonts w:eastAsia="Calibri"/>
        </w:rPr>
        <w:t xml:space="preserve">PROGRAM BEEN WELL RECEIVED BY </w:t>
      </w:r>
      <w:r w:rsidR="006C0992">
        <w:rPr>
          <w:rFonts w:eastAsia="Calibri"/>
        </w:rPr>
        <w:t xml:space="preserve">GEORGIA POWER </w:t>
      </w:r>
      <w:r w:rsidRPr="00925877">
        <w:rPr>
          <w:rFonts w:eastAsia="Calibri"/>
        </w:rPr>
        <w:t>CUSTOMERS</w:t>
      </w:r>
      <w:r w:rsidR="00F24B14">
        <w:rPr>
          <w:rFonts w:eastAsia="Calibri"/>
        </w:rPr>
        <w:t>?</w:t>
      </w:r>
    </w:p>
    <w:p w:rsidR="00DD4B2A" w:rsidRPr="001170F0" w:rsidRDefault="00925877" w:rsidP="00DD4B2A">
      <w:pPr>
        <w:pStyle w:val="Answers"/>
        <w:rPr>
          <w:rFonts w:eastAsia="Calibri"/>
          <w:caps/>
        </w:rPr>
      </w:pPr>
      <w:r>
        <w:rPr>
          <w:rFonts w:eastAsia="Calibri"/>
          <w:caps/>
        </w:rPr>
        <w:t>A.</w:t>
      </w:r>
      <w:r>
        <w:rPr>
          <w:rFonts w:eastAsia="Calibri"/>
          <w:caps/>
        </w:rPr>
        <w:tab/>
      </w:r>
      <w:r w:rsidR="00884819" w:rsidRPr="001170F0">
        <w:rPr>
          <w:rFonts w:eastAsia="Calibri"/>
        </w:rPr>
        <w:t xml:space="preserve">No. </w:t>
      </w:r>
      <w:r w:rsidR="006C0992" w:rsidRPr="001170F0">
        <w:rPr>
          <w:rFonts w:eastAsia="Calibri"/>
        </w:rPr>
        <w:t>Since its inception, p</w:t>
      </w:r>
      <w:r w:rsidR="00D169AB" w:rsidRPr="001170F0">
        <w:rPr>
          <w:rFonts w:eastAsia="Calibri"/>
        </w:rPr>
        <w:t>articipation in the CS program</w:t>
      </w:r>
      <w:r w:rsidR="00F24B14">
        <w:rPr>
          <w:rFonts w:eastAsia="Calibri"/>
        </w:rPr>
        <w:t xml:space="preserve"> by residential customers</w:t>
      </w:r>
      <w:r w:rsidR="00D169AB" w:rsidRPr="001170F0">
        <w:rPr>
          <w:rFonts w:eastAsia="Calibri"/>
        </w:rPr>
        <w:t xml:space="preserve"> has been very low</w:t>
      </w:r>
      <w:r w:rsidR="00172F67">
        <w:rPr>
          <w:rFonts w:eastAsia="Calibri"/>
        </w:rPr>
        <w:t xml:space="preserve">.   </w:t>
      </w:r>
      <w:r w:rsidR="00DD4B2A" w:rsidRPr="001170F0">
        <w:rPr>
          <w:rFonts w:eastAsia="Calibri"/>
        </w:rPr>
        <w:t>After several years</w:t>
      </w:r>
      <w:r w:rsidR="00172F67">
        <w:rPr>
          <w:rFonts w:eastAsia="Calibri"/>
        </w:rPr>
        <w:t xml:space="preserve"> of the program being offered to customers</w:t>
      </w:r>
      <w:r w:rsidR="00DD4B2A" w:rsidRPr="001170F0">
        <w:rPr>
          <w:rFonts w:eastAsia="Calibri"/>
        </w:rPr>
        <w:t xml:space="preserve">, </w:t>
      </w:r>
      <w:r w:rsidR="00172F67">
        <w:rPr>
          <w:rFonts w:eastAsia="Calibri"/>
        </w:rPr>
        <w:t xml:space="preserve">still </w:t>
      </w:r>
      <w:r w:rsidR="00DD4B2A" w:rsidRPr="001170F0">
        <w:rPr>
          <w:rFonts w:eastAsia="Calibri"/>
        </w:rPr>
        <w:t xml:space="preserve">over 5 MW of CS blocks remain unsubscribed as shown in Staff Exhibit </w:t>
      </w:r>
      <w:r w:rsidR="00A2426E">
        <w:rPr>
          <w:rFonts w:eastAsia="Calibri"/>
        </w:rPr>
        <w:t>_</w:t>
      </w:r>
      <w:r w:rsidR="00DD4B2A" w:rsidRPr="001170F0">
        <w:rPr>
          <w:rFonts w:eastAsia="Calibri"/>
        </w:rPr>
        <w:t xml:space="preserve">_ (BDW-15). </w:t>
      </w:r>
    </w:p>
    <w:p w:rsidR="00DF0719" w:rsidRPr="00461F99" w:rsidRDefault="00DF0719" w:rsidP="00D24841">
      <w:pPr>
        <w:pStyle w:val="Questions"/>
        <w:rPr>
          <w:rFonts w:eastAsia="Calibri"/>
        </w:rPr>
      </w:pPr>
      <w:r w:rsidRPr="001170F0">
        <w:rPr>
          <w:rFonts w:eastAsia="Calibri"/>
        </w:rPr>
        <w:t xml:space="preserve">Q. </w:t>
      </w:r>
      <w:r w:rsidRPr="001170F0">
        <w:rPr>
          <w:rFonts w:eastAsia="Calibri"/>
        </w:rPr>
        <w:tab/>
        <w:t xml:space="preserve">What is the Company’s </w:t>
      </w:r>
      <w:r w:rsidR="006E43A2" w:rsidRPr="001170F0">
        <w:rPr>
          <w:rFonts w:eastAsia="Calibri"/>
        </w:rPr>
        <w:t xml:space="preserve">RATIONALE </w:t>
      </w:r>
      <w:r w:rsidRPr="001170F0">
        <w:rPr>
          <w:rFonts w:eastAsia="Calibri"/>
        </w:rPr>
        <w:t xml:space="preserve">for </w:t>
      </w:r>
      <w:r w:rsidR="00866C2A">
        <w:rPr>
          <w:rFonts w:eastAsia="Calibri"/>
        </w:rPr>
        <w:t>ITS</w:t>
      </w:r>
      <w:r w:rsidR="00866C2A" w:rsidRPr="00461F99">
        <w:rPr>
          <w:rFonts w:eastAsia="Calibri"/>
        </w:rPr>
        <w:t xml:space="preserve"> </w:t>
      </w:r>
      <w:r w:rsidRPr="00461F99">
        <w:rPr>
          <w:rFonts w:eastAsia="Calibri"/>
        </w:rPr>
        <w:t>proposed increase</w:t>
      </w:r>
      <w:r w:rsidR="00866C2A">
        <w:rPr>
          <w:rFonts w:eastAsia="Calibri"/>
        </w:rPr>
        <w:t xml:space="preserve"> </w:t>
      </w:r>
      <w:r w:rsidR="00552E9B">
        <w:rPr>
          <w:rFonts w:eastAsia="Calibri"/>
        </w:rPr>
        <w:t xml:space="preserve">TO </w:t>
      </w:r>
      <w:r w:rsidR="00866C2A">
        <w:rPr>
          <w:rFonts w:eastAsia="Calibri"/>
        </w:rPr>
        <w:t xml:space="preserve">THE RESIDENTIAL </w:t>
      </w:r>
      <w:r w:rsidR="00DD4B2A">
        <w:rPr>
          <w:rFonts w:eastAsia="Calibri"/>
        </w:rPr>
        <w:t xml:space="preserve">CS </w:t>
      </w:r>
      <w:r w:rsidR="00866C2A">
        <w:rPr>
          <w:rFonts w:eastAsia="Calibri"/>
        </w:rPr>
        <w:t>TARIFF RATE</w:t>
      </w:r>
      <w:r w:rsidRPr="00461F99">
        <w:rPr>
          <w:rFonts w:eastAsia="Calibri"/>
        </w:rPr>
        <w:t xml:space="preserve">? </w:t>
      </w:r>
    </w:p>
    <w:p w:rsidR="00D247FB" w:rsidRDefault="00DF0719" w:rsidP="002A3A2E">
      <w:pPr>
        <w:pStyle w:val="Answers"/>
        <w:rPr>
          <w:rFonts w:eastAsia="Calibri"/>
        </w:rPr>
      </w:pPr>
      <w:r w:rsidRPr="00461F99">
        <w:rPr>
          <w:rFonts w:eastAsia="Calibri"/>
        </w:rPr>
        <w:t>A.</w:t>
      </w:r>
      <w:r w:rsidRPr="00461F99">
        <w:rPr>
          <w:rFonts w:eastAsia="Calibri"/>
        </w:rPr>
        <w:tab/>
        <w:t>A</w:t>
      </w:r>
      <w:r w:rsidR="00361E50">
        <w:rPr>
          <w:rFonts w:eastAsia="Calibri"/>
        </w:rPr>
        <w:t xml:space="preserve">s provided in </w:t>
      </w:r>
      <w:r w:rsidRPr="00461F99">
        <w:rPr>
          <w:rFonts w:eastAsia="Calibri"/>
        </w:rPr>
        <w:t>the Company’s response to STF-TAI-1-</w:t>
      </w:r>
      <w:r w:rsidR="00713683" w:rsidRPr="00461F99">
        <w:rPr>
          <w:rFonts w:eastAsia="Calibri"/>
        </w:rPr>
        <w:t>36</w:t>
      </w:r>
      <w:r w:rsidR="00713683">
        <w:rPr>
          <w:rFonts w:eastAsia="Calibri"/>
        </w:rPr>
        <w:t>,</w:t>
      </w:r>
      <w:r w:rsidR="00713683" w:rsidRPr="00461F99">
        <w:rPr>
          <w:rFonts w:eastAsia="Calibri"/>
        </w:rPr>
        <w:t xml:space="preserve"> Attachment</w:t>
      </w:r>
      <w:r w:rsidRPr="00461F99">
        <w:rPr>
          <w:rFonts w:eastAsia="Calibri"/>
        </w:rPr>
        <w:t xml:space="preserve"> C, the Company calculates the block cost for the</w:t>
      </w:r>
      <w:r w:rsidR="00827434">
        <w:rPr>
          <w:rFonts w:eastAsia="Calibri"/>
        </w:rPr>
        <w:t xml:space="preserve"> </w:t>
      </w:r>
      <w:r w:rsidR="00D247FB">
        <w:rPr>
          <w:rFonts w:eastAsia="Calibri"/>
        </w:rPr>
        <w:t xml:space="preserve">CS </w:t>
      </w:r>
      <w:r w:rsidRPr="00461F99">
        <w:rPr>
          <w:rFonts w:eastAsia="Calibri"/>
        </w:rPr>
        <w:t>tariff to cover lost revenue from the crediting of solar generation to program participants. Participants in the program are credited at the retail rate for each kWh</w:t>
      </w:r>
      <w:r w:rsidR="006E43A2">
        <w:rPr>
          <w:rFonts w:eastAsia="Calibri"/>
        </w:rPr>
        <w:t xml:space="preserve"> that</w:t>
      </w:r>
      <w:r w:rsidRPr="00461F99">
        <w:rPr>
          <w:rFonts w:eastAsia="Calibri"/>
        </w:rPr>
        <w:t xml:space="preserve"> their block of community solar generates. For the typical Georgia Power </w:t>
      </w:r>
      <w:r w:rsidRPr="00461F99">
        <w:rPr>
          <w:rFonts w:eastAsia="Calibri"/>
        </w:rPr>
        <w:lastRenderedPageBreak/>
        <w:t xml:space="preserve">customer, one kW </w:t>
      </w:r>
      <w:r w:rsidR="006E43A2">
        <w:rPr>
          <w:rFonts w:eastAsia="Calibri"/>
        </w:rPr>
        <w:t xml:space="preserve">CS </w:t>
      </w:r>
      <w:r w:rsidRPr="00461F99">
        <w:rPr>
          <w:rFonts w:eastAsia="Calibri"/>
        </w:rPr>
        <w:t>block will generate $321 annually in credit</w:t>
      </w:r>
      <w:r w:rsidR="006E43A2">
        <w:rPr>
          <w:rFonts w:eastAsia="Calibri"/>
        </w:rPr>
        <w:t>s</w:t>
      </w:r>
      <w:r w:rsidRPr="00461F99">
        <w:rPr>
          <w:rFonts w:eastAsia="Calibri"/>
        </w:rPr>
        <w:t xml:space="preserve"> on their bill over the next 3 years, or roughly $27 per month. Georgia Power rounded this </w:t>
      </w:r>
      <w:r w:rsidR="00172F67">
        <w:rPr>
          <w:rFonts w:eastAsia="Calibri"/>
        </w:rPr>
        <w:t xml:space="preserve">amount </w:t>
      </w:r>
      <w:r w:rsidRPr="00461F99">
        <w:rPr>
          <w:rFonts w:eastAsia="Calibri"/>
        </w:rPr>
        <w:t xml:space="preserve">up to $27.99 as the </w:t>
      </w:r>
      <w:r w:rsidR="006E43A2">
        <w:rPr>
          <w:rFonts w:eastAsia="Calibri"/>
        </w:rPr>
        <w:t xml:space="preserve">proposed </w:t>
      </w:r>
      <w:r w:rsidRPr="00461F99">
        <w:rPr>
          <w:rFonts w:eastAsia="Calibri"/>
        </w:rPr>
        <w:t xml:space="preserve">monthly block </w:t>
      </w:r>
      <w:r w:rsidR="006E43A2">
        <w:rPr>
          <w:rFonts w:eastAsia="Calibri"/>
        </w:rPr>
        <w:t>rate</w:t>
      </w:r>
      <w:r w:rsidRPr="00461F99">
        <w:rPr>
          <w:rFonts w:eastAsia="Calibri"/>
        </w:rPr>
        <w:t xml:space="preserve">. </w:t>
      </w:r>
      <w:r w:rsidR="00D247FB">
        <w:rPr>
          <w:rFonts w:eastAsia="Calibri"/>
        </w:rPr>
        <w:t>A</w:t>
      </w:r>
      <w:r w:rsidR="00361E50">
        <w:rPr>
          <w:rFonts w:eastAsia="Calibri"/>
        </w:rPr>
        <w:t>l</w:t>
      </w:r>
      <w:r w:rsidR="00D247FB">
        <w:rPr>
          <w:rFonts w:eastAsia="Calibri"/>
        </w:rPr>
        <w:t>s</w:t>
      </w:r>
      <w:r w:rsidR="00361E50">
        <w:rPr>
          <w:rFonts w:eastAsia="Calibri"/>
        </w:rPr>
        <w:t xml:space="preserve">o included in </w:t>
      </w:r>
      <w:r w:rsidR="00D247FB">
        <w:rPr>
          <w:rFonts w:eastAsia="Calibri"/>
        </w:rPr>
        <w:t xml:space="preserve">the </w:t>
      </w:r>
      <w:r w:rsidR="00DD4B2A">
        <w:rPr>
          <w:rFonts w:eastAsia="Calibri"/>
        </w:rPr>
        <w:t xml:space="preserve">Company’s </w:t>
      </w:r>
      <w:r w:rsidR="00D247FB">
        <w:rPr>
          <w:rFonts w:eastAsia="Calibri"/>
        </w:rPr>
        <w:t>response</w:t>
      </w:r>
      <w:r w:rsidR="006E43A2" w:rsidRPr="006E43A2">
        <w:rPr>
          <w:rFonts w:eastAsia="Calibri"/>
        </w:rPr>
        <w:t xml:space="preserve"> </w:t>
      </w:r>
      <w:r w:rsidR="006E43A2" w:rsidRPr="00461F99">
        <w:rPr>
          <w:rFonts w:eastAsia="Calibri"/>
        </w:rPr>
        <w:t>to STF-TAI-1-36</w:t>
      </w:r>
      <w:r w:rsidR="006E43A2">
        <w:rPr>
          <w:rFonts w:eastAsia="Calibri"/>
        </w:rPr>
        <w:t>,</w:t>
      </w:r>
      <w:r w:rsidR="00D247FB">
        <w:rPr>
          <w:rFonts w:eastAsia="Calibri"/>
        </w:rPr>
        <w:t xml:space="preserve"> a</w:t>
      </w:r>
      <w:r w:rsidRPr="00461F99">
        <w:rPr>
          <w:rFonts w:eastAsia="Calibri"/>
        </w:rPr>
        <w:t xml:space="preserve"> similar calculation was provided for commercial customers </w:t>
      </w:r>
      <w:r w:rsidR="00D247FB">
        <w:rPr>
          <w:rFonts w:eastAsia="Calibri"/>
        </w:rPr>
        <w:t xml:space="preserve">in order </w:t>
      </w:r>
      <w:r w:rsidRPr="00461F99">
        <w:rPr>
          <w:rFonts w:eastAsia="Calibri"/>
        </w:rPr>
        <w:t xml:space="preserve">to justify the </w:t>
      </w:r>
      <w:r w:rsidR="00D247FB">
        <w:rPr>
          <w:rFonts w:eastAsia="Calibri"/>
        </w:rPr>
        <w:t xml:space="preserve">proposed </w:t>
      </w:r>
      <w:r w:rsidRPr="00461F99">
        <w:rPr>
          <w:rFonts w:eastAsia="Calibri"/>
        </w:rPr>
        <w:t>$29.99 per month subscription price.</w:t>
      </w:r>
    </w:p>
    <w:p w:rsidR="00D247FB" w:rsidRDefault="00D247FB" w:rsidP="002A3A2E">
      <w:pPr>
        <w:pStyle w:val="Answers"/>
        <w:spacing w:before="480"/>
        <w:rPr>
          <w:rFonts w:eastAsia="Calibri"/>
          <w:b/>
        </w:rPr>
      </w:pPr>
      <w:bookmarkStart w:id="34" w:name="_Hlk116895959"/>
      <w:r w:rsidRPr="00827434">
        <w:rPr>
          <w:rFonts w:eastAsia="Calibri"/>
          <w:b/>
        </w:rPr>
        <w:t>Q.</w:t>
      </w:r>
      <w:r w:rsidRPr="00827434">
        <w:rPr>
          <w:rFonts w:eastAsia="Calibri"/>
          <w:b/>
        </w:rPr>
        <w:tab/>
        <w:t xml:space="preserve">IS THERE ANOTHER </w:t>
      </w:r>
      <w:r>
        <w:rPr>
          <w:rFonts w:eastAsia="Calibri"/>
          <w:b/>
        </w:rPr>
        <w:t xml:space="preserve">OPTION FOR </w:t>
      </w:r>
      <w:r w:rsidR="00E9776E">
        <w:rPr>
          <w:rFonts w:eastAsia="Calibri"/>
          <w:b/>
        </w:rPr>
        <w:t xml:space="preserve">THE COMMISSION TO CONSIDER WHEN </w:t>
      </w:r>
      <w:r>
        <w:rPr>
          <w:rFonts w:eastAsia="Calibri"/>
          <w:b/>
        </w:rPr>
        <w:t xml:space="preserve">DETERMINING THE </w:t>
      </w:r>
      <w:r w:rsidRPr="00827434">
        <w:rPr>
          <w:rFonts w:eastAsia="Calibri"/>
          <w:b/>
        </w:rPr>
        <w:t>PRICING FOR THE CS PROGRAM?</w:t>
      </w:r>
    </w:p>
    <w:p w:rsidR="00361E50" w:rsidRDefault="00D247FB" w:rsidP="004162CD">
      <w:pPr>
        <w:pStyle w:val="Answers"/>
        <w:spacing w:after="240"/>
        <w:rPr>
          <w:rFonts w:eastAsia="Calibri"/>
        </w:rPr>
      </w:pPr>
      <w:r>
        <w:rPr>
          <w:rFonts w:eastAsia="Calibri"/>
        </w:rPr>
        <w:t>A.</w:t>
      </w:r>
      <w:r>
        <w:rPr>
          <w:rFonts w:eastAsia="Calibri"/>
        </w:rPr>
        <w:tab/>
        <w:t>Yes.  During the recent 2022 IRP, there was</w:t>
      </w:r>
      <w:r w:rsidR="00361E50">
        <w:rPr>
          <w:rFonts w:eastAsia="Calibri"/>
        </w:rPr>
        <w:t xml:space="preserve"> a lot of </w:t>
      </w:r>
      <w:r>
        <w:rPr>
          <w:rFonts w:eastAsia="Calibri"/>
        </w:rPr>
        <w:t xml:space="preserve">discussion </w:t>
      </w:r>
      <w:r w:rsidR="00361E50">
        <w:rPr>
          <w:rFonts w:eastAsia="Calibri"/>
        </w:rPr>
        <w:t>surrounding</w:t>
      </w:r>
      <w:r w:rsidR="00523A5D">
        <w:rPr>
          <w:rFonts w:eastAsia="Calibri"/>
        </w:rPr>
        <w:t xml:space="preserve"> </w:t>
      </w:r>
      <w:r>
        <w:rPr>
          <w:rFonts w:eastAsia="Calibri"/>
        </w:rPr>
        <w:t xml:space="preserve">the pricing for the CS program and how the current design of the program places an approximate $5 premium per month for </w:t>
      </w:r>
      <w:r w:rsidR="00E9776E">
        <w:rPr>
          <w:rFonts w:eastAsia="Calibri"/>
        </w:rPr>
        <w:t xml:space="preserve">participating </w:t>
      </w:r>
      <w:r>
        <w:rPr>
          <w:rFonts w:eastAsia="Calibri"/>
        </w:rPr>
        <w:t xml:space="preserve">customers.  </w:t>
      </w:r>
      <w:r w:rsidR="00E9776E">
        <w:rPr>
          <w:rFonts w:eastAsia="Calibri"/>
        </w:rPr>
        <w:t xml:space="preserve">Under the current </w:t>
      </w:r>
      <w:r w:rsidR="00172F67">
        <w:rPr>
          <w:rFonts w:eastAsia="Calibri"/>
        </w:rPr>
        <w:t xml:space="preserve">CS program </w:t>
      </w:r>
      <w:r w:rsidR="00E9776E">
        <w:rPr>
          <w:rFonts w:eastAsia="Calibri"/>
        </w:rPr>
        <w:t xml:space="preserve">design, </w:t>
      </w:r>
      <w:r>
        <w:rPr>
          <w:rFonts w:eastAsia="Calibri"/>
        </w:rPr>
        <w:t xml:space="preserve">customers </w:t>
      </w:r>
      <w:r w:rsidR="00DF330F">
        <w:rPr>
          <w:rFonts w:eastAsia="Calibri"/>
        </w:rPr>
        <w:t xml:space="preserve">do not </w:t>
      </w:r>
      <w:r>
        <w:rPr>
          <w:rFonts w:eastAsia="Calibri"/>
        </w:rPr>
        <w:t xml:space="preserve">realize </w:t>
      </w:r>
      <w:r w:rsidR="00172F67">
        <w:rPr>
          <w:rFonts w:eastAsia="Calibri"/>
        </w:rPr>
        <w:t xml:space="preserve">any </w:t>
      </w:r>
      <w:r>
        <w:rPr>
          <w:rFonts w:eastAsia="Calibri"/>
        </w:rPr>
        <w:t xml:space="preserve">savings associated with </w:t>
      </w:r>
      <w:r w:rsidR="00E9776E">
        <w:rPr>
          <w:rFonts w:eastAsia="Calibri"/>
        </w:rPr>
        <w:t>subscribing to the CS program</w:t>
      </w:r>
      <w:r>
        <w:rPr>
          <w:rFonts w:eastAsia="Calibri"/>
        </w:rPr>
        <w:t xml:space="preserve">.  </w:t>
      </w:r>
    </w:p>
    <w:p w:rsidR="00D247FB" w:rsidRPr="00D247FB" w:rsidRDefault="00D247FB" w:rsidP="005E541D">
      <w:pPr>
        <w:pStyle w:val="Answers"/>
        <w:ind w:firstLine="0"/>
        <w:rPr>
          <w:rFonts w:eastAsia="Calibri"/>
        </w:rPr>
      </w:pPr>
      <w:r>
        <w:rPr>
          <w:rFonts w:eastAsia="Calibri"/>
        </w:rPr>
        <w:t xml:space="preserve">Another option for </w:t>
      </w:r>
      <w:r w:rsidR="00E9776E">
        <w:rPr>
          <w:rFonts w:eastAsia="Calibri"/>
        </w:rPr>
        <w:t xml:space="preserve">the Commission to consider when </w:t>
      </w:r>
      <w:r>
        <w:rPr>
          <w:rFonts w:eastAsia="Calibri"/>
        </w:rPr>
        <w:t xml:space="preserve">determining the </w:t>
      </w:r>
      <w:r w:rsidR="00E9776E">
        <w:rPr>
          <w:rFonts w:eastAsia="Calibri"/>
        </w:rPr>
        <w:t xml:space="preserve">per kW </w:t>
      </w:r>
      <w:r>
        <w:rPr>
          <w:rFonts w:eastAsia="Calibri"/>
        </w:rPr>
        <w:t xml:space="preserve">block price </w:t>
      </w:r>
      <w:r w:rsidR="00E9776E">
        <w:rPr>
          <w:rFonts w:eastAsia="Calibri"/>
        </w:rPr>
        <w:t xml:space="preserve">is to </w:t>
      </w:r>
      <w:r w:rsidR="00361E50">
        <w:rPr>
          <w:rFonts w:eastAsia="Calibri"/>
        </w:rPr>
        <w:t>determine</w:t>
      </w:r>
      <w:r w:rsidR="00E9776E">
        <w:rPr>
          <w:rFonts w:eastAsia="Calibri"/>
        </w:rPr>
        <w:t xml:space="preserve"> the </w:t>
      </w:r>
      <w:r>
        <w:rPr>
          <w:rFonts w:eastAsia="Calibri"/>
        </w:rPr>
        <w:t xml:space="preserve">revenue requirement associated with the </w:t>
      </w:r>
      <w:r w:rsidR="0046344D">
        <w:rPr>
          <w:rFonts w:eastAsia="Calibri"/>
        </w:rPr>
        <w:t xml:space="preserve">net </w:t>
      </w:r>
      <w:r>
        <w:rPr>
          <w:rFonts w:eastAsia="Calibri"/>
        </w:rPr>
        <w:t>book value of the</w:t>
      </w:r>
      <w:r w:rsidR="00E9776E">
        <w:rPr>
          <w:rFonts w:eastAsia="Calibri"/>
        </w:rPr>
        <w:t xml:space="preserve"> CS </w:t>
      </w:r>
      <w:r>
        <w:rPr>
          <w:rFonts w:eastAsia="Calibri"/>
        </w:rPr>
        <w:t xml:space="preserve">solar facilities </w:t>
      </w:r>
      <w:r w:rsidR="00E9776E">
        <w:rPr>
          <w:rFonts w:eastAsia="Calibri"/>
        </w:rPr>
        <w:t xml:space="preserve">along with the associated </w:t>
      </w:r>
      <w:r w:rsidR="0046344D">
        <w:rPr>
          <w:rFonts w:eastAsia="Calibri"/>
        </w:rPr>
        <w:t xml:space="preserve">O&amp;M on the facilities and </w:t>
      </w:r>
      <w:r w:rsidR="00E9776E">
        <w:rPr>
          <w:rFonts w:eastAsia="Calibri"/>
        </w:rPr>
        <w:t>administrative costs to run the program.</w:t>
      </w:r>
    </w:p>
    <w:p w:rsidR="002F1B74" w:rsidRPr="00461F99" w:rsidRDefault="002F1B74" w:rsidP="002F1B74">
      <w:pPr>
        <w:pStyle w:val="Questions"/>
        <w:rPr>
          <w:rFonts w:eastAsia="Calibri"/>
        </w:rPr>
      </w:pPr>
      <w:r w:rsidRPr="00461F99">
        <w:rPr>
          <w:rFonts w:eastAsia="Calibri"/>
        </w:rPr>
        <w:t xml:space="preserve">Q. </w:t>
      </w:r>
      <w:r w:rsidRPr="00461F99">
        <w:rPr>
          <w:rFonts w:eastAsia="Calibri"/>
        </w:rPr>
        <w:tab/>
      </w:r>
      <w:r w:rsidR="00E9776E">
        <w:rPr>
          <w:rFonts w:eastAsia="Calibri"/>
        </w:rPr>
        <w:t xml:space="preserve">HAS STAFF CALCULATED AN ALTERNATIVE </w:t>
      </w:r>
      <w:r>
        <w:rPr>
          <w:rFonts w:eastAsia="Calibri"/>
        </w:rPr>
        <w:t xml:space="preserve">COMMUNITY SOLAR </w:t>
      </w:r>
      <w:r w:rsidR="002E4721">
        <w:rPr>
          <w:rFonts w:eastAsia="Calibri"/>
        </w:rPr>
        <w:t>monthly</w:t>
      </w:r>
      <w:r w:rsidR="00E9776E">
        <w:rPr>
          <w:rFonts w:eastAsia="Calibri"/>
        </w:rPr>
        <w:t xml:space="preserve"> </w:t>
      </w:r>
      <w:r>
        <w:rPr>
          <w:rFonts w:eastAsia="Calibri"/>
        </w:rPr>
        <w:t xml:space="preserve">BLOCK </w:t>
      </w:r>
      <w:r w:rsidR="00E9776E">
        <w:rPr>
          <w:rFonts w:eastAsia="Calibri"/>
        </w:rPr>
        <w:t>RATE?</w:t>
      </w:r>
      <w:r w:rsidRPr="00461F99">
        <w:rPr>
          <w:rFonts w:eastAsia="Calibri"/>
        </w:rPr>
        <w:t xml:space="preserve"> </w:t>
      </w:r>
    </w:p>
    <w:p w:rsidR="002F1B74" w:rsidRDefault="002F1B74" w:rsidP="002F1B74">
      <w:pPr>
        <w:pStyle w:val="Answers"/>
        <w:rPr>
          <w:rFonts w:eastAsia="Calibri"/>
        </w:rPr>
      </w:pPr>
      <w:r w:rsidRPr="00461F99">
        <w:rPr>
          <w:rFonts w:eastAsia="Calibri"/>
        </w:rPr>
        <w:t>A.</w:t>
      </w:r>
      <w:r w:rsidRPr="00461F99">
        <w:rPr>
          <w:rFonts w:eastAsia="Calibri"/>
        </w:rPr>
        <w:tab/>
      </w:r>
      <w:r w:rsidR="00E9776E">
        <w:rPr>
          <w:rFonts w:eastAsia="Calibri"/>
        </w:rPr>
        <w:t xml:space="preserve">Yes. </w:t>
      </w:r>
      <w:r>
        <w:rPr>
          <w:rFonts w:eastAsia="Calibri"/>
        </w:rPr>
        <w:t xml:space="preserve">Staff </w:t>
      </w:r>
      <w:r w:rsidR="00E9776E">
        <w:rPr>
          <w:rFonts w:eastAsia="Calibri"/>
        </w:rPr>
        <w:t xml:space="preserve">has </w:t>
      </w:r>
      <w:r>
        <w:rPr>
          <w:rFonts w:eastAsia="Calibri"/>
        </w:rPr>
        <w:t xml:space="preserve">calculated </w:t>
      </w:r>
      <w:r w:rsidR="00E9776E">
        <w:rPr>
          <w:rFonts w:eastAsia="Calibri"/>
        </w:rPr>
        <w:t>an alternative per kW</w:t>
      </w:r>
      <w:r w:rsidR="002E4721">
        <w:rPr>
          <w:rFonts w:eastAsia="Calibri"/>
        </w:rPr>
        <w:t xml:space="preserve"> monthly</w:t>
      </w:r>
      <w:r w:rsidR="00E9776E">
        <w:rPr>
          <w:rFonts w:eastAsia="Calibri"/>
        </w:rPr>
        <w:t xml:space="preserve"> </w:t>
      </w:r>
      <w:r>
        <w:rPr>
          <w:rFonts w:eastAsia="Calibri"/>
        </w:rPr>
        <w:t xml:space="preserve">block </w:t>
      </w:r>
      <w:r w:rsidR="00E9776E">
        <w:rPr>
          <w:rFonts w:eastAsia="Calibri"/>
        </w:rPr>
        <w:t>rate which is based on allowing the Company to earn a return on</w:t>
      </w:r>
      <w:r w:rsidR="0046344D">
        <w:rPr>
          <w:rFonts w:eastAsia="Calibri"/>
        </w:rPr>
        <w:t xml:space="preserve"> and recovery of</w:t>
      </w:r>
      <w:r w:rsidR="00E9776E">
        <w:rPr>
          <w:rFonts w:eastAsia="Calibri"/>
        </w:rPr>
        <w:t xml:space="preserve"> the book value of the CS solar facilities as well as recovery </w:t>
      </w:r>
      <w:r w:rsidR="0054401D">
        <w:rPr>
          <w:rFonts w:eastAsia="Calibri"/>
        </w:rPr>
        <w:t>of associated</w:t>
      </w:r>
      <w:r w:rsidR="00E9776E">
        <w:rPr>
          <w:rFonts w:eastAsia="Calibri"/>
        </w:rPr>
        <w:t xml:space="preserve"> </w:t>
      </w:r>
      <w:r w:rsidR="00361E50">
        <w:rPr>
          <w:rFonts w:eastAsia="Calibri"/>
        </w:rPr>
        <w:t xml:space="preserve">O&amp;M on the </w:t>
      </w:r>
      <w:r w:rsidR="004E2C3A">
        <w:rPr>
          <w:rFonts w:eastAsia="Calibri"/>
        </w:rPr>
        <w:t>facilities and</w:t>
      </w:r>
      <w:r w:rsidR="00361E50">
        <w:rPr>
          <w:rFonts w:eastAsia="Calibri"/>
        </w:rPr>
        <w:t xml:space="preserve"> A</w:t>
      </w:r>
      <w:r w:rsidR="00E9776E">
        <w:rPr>
          <w:rFonts w:eastAsia="Calibri"/>
        </w:rPr>
        <w:t>dministrati</w:t>
      </w:r>
      <w:r w:rsidR="00361E50">
        <w:rPr>
          <w:rFonts w:eastAsia="Calibri"/>
        </w:rPr>
        <w:t>ve</w:t>
      </w:r>
      <w:r w:rsidR="00E9776E">
        <w:rPr>
          <w:rFonts w:eastAsia="Calibri"/>
        </w:rPr>
        <w:t xml:space="preserve"> fees. </w:t>
      </w:r>
      <w:r w:rsidR="00DF330F">
        <w:rPr>
          <w:rFonts w:eastAsia="Calibri"/>
        </w:rPr>
        <w:lastRenderedPageBreak/>
        <w:t xml:space="preserve">The </w:t>
      </w:r>
      <w:r w:rsidR="00A064BD">
        <w:rPr>
          <w:rFonts w:eastAsia="Calibri"/>
        </w:rPr>
        <w:t>block rate</w:t>
      </w:r>
      <w:r w:rsidR="00311BA2">
        <w:rPr>
          <w:rFonts w:eastAsia="Calibri"/>
        </w:rPr>
        <w:t>s as</w:t>
      </w:r>
      <w:r w:rsidR="00DF330F">
        <w:rPr>
          <w:rFonts w:eastAsia="Calibri"/>
        </w:rPr>
        <w:t xml:space="preserve"> calculated by Staff </w:t>
      </w:r>
      <w:r w:rsidR="00311BA2">
        <w:rPr>
          <w:rFonts w:eastAsia="Calibri"/>
        </w:rPr>
        <w:t xml:space="preserve">are </w:t>
      </w:r>
      <w:r w:rsidR="006A6379">
        <w:rPr>
          <w:rFonts w:eastAsia="Calibri"/>
        </w:rPr>
        <w:t>$</w:t>
      </w:r>
      <w:r w:rsidR="00172F67">
        <w:rPr>
          <w:rFonts w:eastAsia="Calibri"/>
        </w:rPr>
        <w:t>20</w:t>
      </w:r>
      <w:r w:rsidR="00311BA2">
        <w:rPr>
          <w:rFonts w:eastAsia="Calibri"/>
        </w:rPr>
        <w:t xml:space="preserve"> for residential customers</w:t>
      </w:r>
      <w:r w:rsidR="00A064BD">
        <w:rPr>
          <w:rFonts w:eastAsia="Calibri"/>
        </w:rPr>
        <w:t xml:space="preserve"> </w:t>
      </w:r>
      <w:r w:rsidR="00DF330F">
        <w:rPr>
          <w:rFonts w:eastAsia="Calibri"/>
        </w:rPr>
        <w:t xml:space="preserve">and </w:t>
      </w:r>
      <w:r w:rsidR="006A6379">
        <w:rPr>
          <w:rFonts w:eastAsia="Calibri"/>
        </w:rPr>
        <w:t>$</w:t>
      </w:r>
      <w:r w:rsidR="00172F67">
        <w:rPr>
          <w:rFonts w:eastAsia="Calibri"/>
        </w:rPr>
        <w:t>22</w:t>
      </w:r>
      <w:r w:rsidR="00A064BD">
        <w:rPr>
          <w:rFonts w:eastAsia="Calibri"/>
        </w:rPr>
        <w:t xml:space="preserve"> for commercial customers.</w:t>
      </w:r>
    </w:p>
    <w:p w:rsidR="001868CC" w:rsidRPr="00925877" w:rsidRDefault="001868CC" w:rsidP="001868CC">
      <w:pPr>
        <w:pStyle w:val="Questions"/>
        <w:rPr>
          <w:rFonts w:eastAsia="Calibri"/>
        </w:rPr>
      </w:pPr>
      <w:r w:rsidRPr="00461F99">
        <w:rPr>
          <w:rFonts w:eastAsia="Calibri"/>
        </w:rPr>
        <w:t>Q.</w:t>
      </w:r>
      <w:r w:rsidRPr="00461F99">
        <w:rPr>
          <w:rFonts w:eastAsia="Calibri"/>
        </w:rPr>
        <w:tab/>
      </w:r>
      <w:r w:rsidR="005E541D">
        <w:rPr>
          <w:rFonts w:eastAsia="Calibri"/>
        </w:rPr>
        <w:t xml:space="preserve">WHAT IS </w:t>
      </w:r>
      <w:r w:rsidRPr="00925877">
        <w:rPr>
          <w:rFonts w:eastAsia="Calibri"/>
        </w:rPr>
        <w:t>STAFF</w:t>
      </w:r>
      <w:r w:rsidR="005E541D">
        <w:rPr>
          <w:rFonts w:eastAsia="Calibri"/>
        </w:rPr>
        <w:t>’S</w:t>
      </w:r>
      <w:r w:rsidRPr="00925877">
        <w:rPr>
          <w:rFonts w:eastAsia="Calibri"/>
        </w:rPr>
        <w:t xml:space="preserve"> RECOMMEND</w:t>
      </w:r>
      <w:r w:rsidR="005E541D">
        <w:rPr>
          <w:rFonts w:eastAsia="Calibri"/>
        </w:rPr>
        <w:t xml:space="preserve">ATION REGARDING the </w:t>
      </w:r>
      <w:r w:rsidR="00DF330F">
        <w:rPr>
          <w:rFonts w:eastAsia="Calibri"/>
        </w:rPr>
        <w:t xml:space="preserve">APPROPRIATE </w:t>
      </w:r>
      <w:r w:rsidR="005E541D">
        <w:rPr>
          <w:rFonts w:eastAsia="Calibri"/>
        </w:rPr>
        <w:t xml:space="preserve">PRICING FOR </w:t>
      </w:r>
      <w:r w:rsidR="00713683">
        <w:rPr>
          <w:rFonts w:eastAsia="Calibri"/>
        </w:rPr>
        <w:t>THE CS</w:t>
      </w:r>
      <w:r w:rsidR="002F1B74">
        <w:rPr>
          <w:rFonts w:eastAsia="Calibri"/>
        </w:rPr>
        <w:t xml:space="preserve"> </w:t>
      </w:r>
      <w:r w:rsidR="005E541D">
        <w:rPr>
          <w:rFonts w:eastAsia="Calibri"/>
        </w:rPr>
        <w:t>PROGRAM</w:t>
      </w:r>
      <w:r w:rsidRPr="00925877">
        <w:rPr>
          <w:rFonts w:eastAsia="Calibri"/>
        </w:rPr>
        <w:t>?</w:t>
      </w:r>
    </w:p>
    <w:p w:rsidR="001868CC" w:rsidRPr="00925877" w:rsidRDefault="001868CC" w:rsidP="001868CC">
      <w:pPr>
        <w:pStyle w:val="Answers"/>
        <w:rPr>
          <w:rFonts w:eastAsia="Calibri"/>
          <w:caps/>
        </w:rPr>
      </w:pPr>
      <w:r>
        <w:rPr>
          <w:rFonts w:eastAsia="Calibri"/>
          <w:caps/>
        </w:rPr>
        <w:t>A.</w:t>
      </w:r>
      <w:r>
        <w:rPr>
          <w:rFonts w:eastAsia="Calibri"/>
          <w:caps/>
        </w:rPr>
        <w:tab/>
      </w:r>
      <w:r w:rsidR="00804393">
        <w:rPr>
          <w:rFonts w:eastAsia="Calibri"/>
          <w:caps/>
        </w:rPr>
        <w:t>t</w:t>
      </w:r>
      <w:r w:rsidR="00804393">
        <w:rPr>
          <w:rFonts w:eastAsia="Calibri"/>
        </w:rPr>
        <w:t xml:space="preserve">he basic question </w:t>
      </w:r>
      <w:r w:rsidR="00F366EC">
        <w:rPr>
          <w:rFonts w:eastAsia="Calibri"/>
        </w:rPr>
        <w:t>from</w:t>
      </w:r>
      <w:r w:rsidR="00804393">
        <w:rPr>
          <w:rFonts w:eastAsia="Calibri"/>
        </w:rPr>
        <w:t xml:space="preserve"> a policy perspective</w:t>
      </w:r>
      <w:r w:rsidR="00311BA2">
        <w:rPr>
          <w:rFonts w:eastAsia="Calibri"/>
        </w:rPr>
        <w:t xml:space="preserve"> to answer</w:t>
      </w:r>
      <w:r w:rsidR="00804393">
        <w:rPr>
          <w:rFonts w:eastAsia="Calibri"/>
        </w:rPr>
        <w:t xml:space="preserve"> is, what is the purpose of the </w:t>
      </w:r>
      <w:r w:rsidR="00311BA2">
        <w:rPr>
          <w:rFonts w:eastAsia="Calibri"/>
        </w:rPr>
        <w:t xml:space="preserve">Company’s </w:t>
      </w:r>
      <w:r w:rsidR="00F366EC">
        <w:rPr>
          <w:rFonts w:eastAsia="Calibri"/>
        </w:rPr>
        <w:t>CS</w:t>
      </w:r>
      <w:r w:rsidR="00804393">
        <w:rPr>
          <w:rFonts w:eastAsia="Calibri"/>
        </w:rPr>
        <w:t xml:space="preserve"> program?  </w:t>
      </w:r>
      <w:r w:rsidR="00F366EC">
        <w:rPr>
          <w:rFonts w:eastAsia="Calibri"/>
        </w:rPr>
        <w:t>I</w:t>
      </w:r>
      <w:r w:rsidR="00804393">
        <w:rPr>
          <w:rFonts w:eastAsia="Calibri"/>
        </w:rPr>
        <w:t xml:space="preserve">f the </w:t>
      </w:r>
      <w:r w:rsidR="00F366EC">
        <w:rPr>
          <w:rFonts w:eastAsia="Calibri"/>
        </w:rPr>
        <w:t>C</w:t>
      </w:r>
      <w:r w:rsidR="00804393">
        <w:rPr>
          <w:rFonts w:eastAsia="Calibri"/>
        </w:rPr>
        <w:t xml:space="preserve">ommission determines that the purpose of the program is to allow participating customers </w:t>
      </w:r>
      <w:r w:rsidR="00311BA2">
        <w:rPr>
          <w:rFonts w:eastAsia="Calibri"/>
        </w:rPr>
        <w:t xml:space="preserve">the opportunity to support the development of clean energy as well as </w:t>
      </w:r>
      <w:r w:rsidR="00804393">
        <w:rPr>
          <w:rFonts w:eastAsia="Calibri"/>
        </w:rPr>
        <w:t xml:space="preserve">the opportunity to realize bill savings, </w:t>
      </w:r>
      <w:r w:rsidR="00F366EC">
        <w:rPr>
          <w:rFonts w:eastAsia="Calibri"/>
        </w:rPr>
        <w:t>then S</w:t>
      </w:r>
      <w:r w:rsidR="00804393">
        <w:rPr>
          <w:rFonts w:eastAsia="Calibri"/>
        </w:rPr>
        <w:t xml:space="preserve">taff recommends approval of the block charges as determined by </w:t>
      </w:r>
      <w:r w:rsidR="00F366EC">
        <w:rPr>
          <w:rFonts w:eastAsia="Calibri"/>
        </w:rPr>
        <w:t>S</w:t>
      </w:r>
      <w:r w:rsidR="00804393">
        <w:rPr>
          <w:rFonts w:eastAsia="Calibri"/>
        </w:rPr>
        <w:t xml:space="preserve">taff.  </w:t>
      </w:r>
      <w:r w:rsidR="00F366EC">
        <w:rPr>
          <w:rFonts w:eastAsia="Calibri"/>
        </w:rPr>
        <w:t>I</w:t>
      </w:r>
      <w:r w:rsidR="00804393">
        <w:rPr>
          <w:rFonts w:eastAsia="Calibri"/>
        </w:rPr>
        <w:t xml:space="preserve">f the </w:t>
      </w:r>
      <w:r w:rsidR="00F86EB1">
        <w:rPr>
          <w:rFonts w:eastAsia="Calibri"/>
        </w:rPr>
        <w:t xml:space="preserve">Commission determines that the </w:t>
      </w:r>
      <w:r w:rsidR="00804393">
        <w:rPr>
          <w:rFonts w:eastAsia="Calibri"/>
        </w:rPr>
        <w:t xml:space="preserve">purpose of the </w:t>
      </w:r>
      <w:r w:rsidR="00F366EC">
        <w:rPr>
          <w:rFonts w:eastAsia="Calibri"/>
        </w:rPr>
        <w:t>CS</w:t>
      </w:r>
      <w:r w:rsidR="00804393">
        <w:rPr>
          <w:rFonts w:eastAsia="Calibri"/>
        </w:rPr>
        <w:t xml:space="preserve"> program is to allow </w:t>
      </w:r>
      <w:r w:rsidR="00311BA2">
        <w:rPr>
          <w:rFonts w:eastAsia="Calibri"/>
        </w:rPr>
        <w:t xml:space="preserve">participating </w:t>
      </w:r>
      <w:r w:rsidR="00804393">
        <w:rPr>
          <w:rFonts w:eastAsia="Calibri"/>
        </w:rPr>
        <w:t xml:space="preserve">customers </w:t>
      </w:r>
      <w:r w:rsidR="00311BA2">
        <w:rPr>
          <w:rFonts w:eastAsia="Calibri"/>
        </w:rPr>
        <w:t xml:space="preserve">the opportunity </w:t>
      </w:r>
      <w:r w:rsidR="00804393">
        <w:rPr>
          <w:rFonts w:eastAsia="Calibri"/>
        </w:rPr>
        <w:t xml:space="preserve">to support the development of clean energy but </w:t>
      </w:r>
      <w:r w:rsidR="00FC4ACD">
        <w:rPr>
          <w:rFonts w:eastAsia="Calibri"/>
        </w:rPr>
        <w:t>not the</w:t>
      </w:r>
      <w:r w:rsidR="00F366EC">
        <w:rPr>
          <w:rFonts w:eastAsia="Calibri"/>
        </w:rPr>
        <w:t xml:space="preserve"> opportunity to</w:t>
      </w:r>
      <w:r w:rsidR="00804393">
        <w:rPr>
          <w:rFonts w:eastAsia="Calibri"/>
        </w:rPr>
        <w:t xml:space="preserve"> realize </w:t>
      </w:r>
      <w:r w:rsidR="00F366EC">
        <w:rPr>
          <w:rFonts w:eastAsia="Calibri"/>
        </w:rPr>
        <w:t>any</w:t>
      </w:r>
      <w:r w:rsidR="00804393">
        <w:rPr>
          <w:rFonts w:eastAsia="Calibri"/>
        </w:rPr>
        <w:t xml:space="preserve"> bill savings, then </w:t>
      </w:r>
      <w:r w:rsidR="00F366EC">
        <w:rPr>
          <w:rFonts w:eastAsia="Calibri"/>
        </w:rPr>
        <w:t>S</w:t>
      </w:r>
      <w:r w:rsidR="00804393">
        <w:rPr>
          <w:rFonts w:eastAsia="Calibri"/>
        </w:rPr>
        <w:t xml:space="preserve">taff recommends approval of the </w:t>
      </w:r>
      <w:r w:rsidR="00311BA2">
        <w:rPr>
          <w:rFonts w:eastAsia="Calibri"/>
        </w:rPr>
        <w:t>C</w:t>
      </w:r>
      <w:r w:rsidR="00804393">
        <w:rPr>
          <w:rFonts w:eastAsia="Calibri"/>
        </w:rPr>
        <w:t>ompany’s proposed rates of $27.99 for residential and $29.99 for commercial</w:t>
      </w:r>
      <w:r w:rsidR="00804393">
        <w:rPr>
          <w:rFonts w:eastAsia="Calibri"/>
          <w:caps/>
        </w:rPr>
        <w:t xml:space="preserve">. </w:t>
      </w:r>
    </w:p>
    <w:bookmarkEnd w:id="34"/>
    <w:p w:rsidR="00461F99" w:rsidRPr="00461F99" w:rsidRDefault="00A8470D" w:rsidP="00D24841">
      <w:pPr>
        <w:pStyle w:val="Questions"/>
        <w:rPr>
          <w:rFonts w:eastAsia="Calibri"/>
        </w:rPr>
      </w:pPr>
      <w:r w:rsidRPr="00461F99">
        <w:rPr>
          <w:rFonts w:eastAsia="Calibri"/>
        </w:rPr>
        <w:t>Q.</w:t>
      </w:r>
      <w:r w:rsidRPr="00461F99">
        <w:rPr>
          <w:rFonts w:eastAsia="Calibri"/>
        </w:rPr>
        <w:tab/>
      </w:r>
      <w:r w:rsidR="00461F99" w:rsidRPr="00461F99">
        <w:rPr>
          <w:rFonts w:eastAsia="Calibri"/>
        </w:rPr>
        <w:t>PLEASE DESCRIBE the company’S SIMPLE SOLAR PROGRAM</w:t>
      </w:r>
      <w:r w:rsidR="00836D32">
        <w:rPr>
          <w:rFonts w:eastAsia="Calibri"/>
        </w:rPr>
        <w:t>.</w:t>
      </w:r>
      <w:r w:rsidR="00461F99" w:rsidRPr="00461F99">
        <w:rPr>
          <w:rFonts w:eastAsia="Calibri"/>
        </w:rPr>
        <w:t xml:space="preserve"> </w:t>
      </w:r>
    </w:p>
    <w:p w:rsidR="005E541D" w:rsidRDefault="00461F99" w:rsidP="00470673">
      <w:pPr>
        <w:pStyle w:val="Answers"/>
        <w:spacing w:after="240"/>
        <w:rPr>
          <w:rFonts w:eastAsia="Calibri"/>
        </w:rPr>
      </w:pPr>
      <w:r w:rsidRPr="00461F99">
        <w:rPr>
          <w:rFonts w:eastAsia="Calibri"/>
        </w:rPr>
        <w:t xml:space="preserve">A. </w:t>
      </w:r>
      <w:r w:rsidRPr="00461F99">
        <w:rPr>
          <w:rFonts w:eastAsia="Calibri"/>
        </w:rPr>
        <w:tab/>
        <w:t xml:space="preserve">The Company’s Simple Solar program </w:t>
      </w:r>
      <w:r w:rsidR="00904FE9">
        <w:rPr>
          <w:rFonts w:eastAsia="Calibri"/>
        </w:rPr>
        <w:t>was first approved as part of the Company’s 2016 IRP as a</w:t>
      </w:r>
      <w:r w:rsidR="00904FE9" w:rsidRPr="00904FE9">
        <w:rPr>
          <w:rFonts w:eastAsia="Calibri"/>
        </w:rPr>
        <w:t xml:space="preserve"> replace</w:t>
      </w:r>
      <w:r w:rsidR="00904FE9">
        <w:rPr>
          <w:rFonts w:eastAsia="Calibri"/>
        </w:rPr>
        <w:t xml:space="preserve">ment </w:t>
      </w:r>
      <w:r w:rsidR="00884819">
        <w:rPr>
          <w:rFonts w:eastAsia="Calibri"/>
        </w:rPr>
        <w:t>f</w:t>
      </w:r>
      <w:r w:rsidR="00904FE9">
        <w:rPr>
          <w:rFonts w:eastAsia="Calibri"/>
        </w:rPr>
        <w:t>o</w:t>
      </w:r>
      <w:r w:rsidR="00884819">
        <w:rPr>
          <w:rFonts w:eastAsia="Calibri"/>
        </w:rPr>
        <w:t>r</w:t>
      </w:r>
      <w:r w:rsidR="00904FE9" w:rsidRPr="00904FE9">
        <w:rPr>
          <w:rFonts w:eastAsia="Calibri"/>
        </w:rPr>
        <w:t xml:space="preserve"> the Green Energy Program.  The Green Energy Program </w:t>
      </w:r>
      <w:r w:rsidR="005E541D">
        <w:rPr>
          <w:rFonts w:eastAsia="Calibri"/>
        </w:rPr>
        <w:t xml:space="preserve">first began </w:t>
      </w:r>
      <w:r w:rsidR="00F366EC">
        <w:rPr>
          <w:rFonts w:eastAsia="Calibri"/>
        </w:rPr>
        <w:t>in</w:t>
      </w:r>
      <w:r w:rsidR="00904FE9">
        <w:rPr>
          <w:rFonts w:eastAsia="Calibri"/>
        </w:rPr>
        <w:t xml:space="preserve"> </w:t>
      </w:r>
      <w:r w:rsidR="00904FE9" w:rsidRPr="00904FE9">
        <w:rPr>
          <w:rFonts w:eastAsia="Calibri"/>
        </w:rPr>
        <w:t xml:space="preserve">2003 </w:t>
      </w:r>
      <w:r w:rsidR="00904FE9">
        <w:rPr>
          <w:rFonts w:eastAsia="Calibri"/>
        </w:rPr>
        <w:t xml:space="preserve">with customer enrollments starting </w:t>
      </w:r>
      <w:r w:rsidR="00904FE9" w:rsidRPr="00904FE9">
        <w:rPr>
          <w:rFonts w:eastAsia="Calibri"/>
        </w:rPr>
        <w:t xml:space="preserve">in 2006.  However, the cost of the Green Energy Program exceeded </w:t>
      </w:r>
      <w:r w:rsidR="00904FE9">
        <w:rPr>
          <w:rFonts w:eastAsia="Calibri"/>
        </w:rPr>
        <w:t xml:space="preserve">the </w:t>
      </w:r>
      <w:r w:rsidR="00904FE9" w:rsidRPr="00904FE9">
        <w:rPr>
          <w:rFonts w:eastAsia="Calibri"/>
        </w:rPr>
        <w:t xml:space="preserve">revenues </w:t>
      </w:r>
      <w:r w:rsidR="00904FE9">
        <w:rPr>
          <w:rFonts w:eastAsia="Calibri"/>
        </w:rPr>
        <w:t xml:space="preserve">received by the program </w:t>
      </w:r>
      <w:r w:rsidR="00904FE9" w:rsidRPr="00904FE9">
        <w:rPr>
          <w:rFonts w:eastAsia="Calibri"/>
        </w:rPr>
        <w:t xml:space="preserve">due to lower-than-projected avoided energy costs, higher long-term contracted prices for the renewable energy to supply the program, as well as lower than expected customer participation. </w:t>
      </w:r>
      <w:r w:rsidR="00904FE9" w:rsidRPr="00904FE9">
        <w:rPr>
          <w:rFonts w:eastAsia="Calibri"/>
        </w:rPr>
        <w:lastRenderedPageBreak/>
        <w:t>Georgia Power propose</w:t>
      </w:r>
      <w:r w:rsidR="00904FE9">
        <w:rPr>
          <w:rFonts w:eastAsia="Calibri"/>
        </w:rPr>
        <w:t>d</w:t>
      </w:r>
      <w:r w:rsidR="00904FE9" w:rsidRPr="00904FE9">
        <w:rPr>
          <w:rFonts w:eastAsia="Calibri"/>
        </w:rPr>
        <w:t xml:space="preserve"> the Simple Solar Program to replace the current structure of the Green Energy Program.  </w:t>
      </w:r>
    </w:p>
    <w:p w:rsidR="00461F99" w:rsidRPr="00461F99" w:rsidRDefault="00904FE9" w:rsidP="0046304D">
      <w:pPr>
        <w:pStyle w:val="Answers"/>
        <w:ind w:firstLine="0"/>
        <w:rPr>
          <w:rFonts w:eastAsia="Calibri"/>
        </w:rPr>
      </w:pPr>
      <w:r>
        <w:rPr>
          <w:rFonts w:eastAsia="Calibri"/>
        </w:rPr>
        <w:t xml:space="preserve">The </w:t>
      </w:r>
      <w:r w:rsidRPr="00904FE9">
        <w:rPr>
          <w:rFonts w:eastAsia="Calibri"/>
        </w:rPr>
        <w:t xml:space="preserve">Company’s Simple Solar program </w:t>
      </w:r>
      <w:r w:rsidR="00461F99" w:rsidRPr="00461F99">
        <w:rPr>
          <w:rFonts w:eastAsia="Calibri"/>
        </w:rPr>
        <w:t xml:space="preserve">enables retail customers to purchase and retire RECs generated from solar resources for either 50% or 100% of the customer’s monthly energy usage.  The </w:t>
      </w:r>
      <w:r w:rsidR="005E541D">
        <w:rPr>
          <w:rFonts w:eastAsia="Calibri"/>
        </w:rPr>
        <w:t xml:space="preserve">per kWh </w:t>
      </w:r>
      <w:r w:rsidR="00461F99" w:rsidRPr="00461F99">
        <w:rPr>
          <w:rFonts w:eastAsia="Calibri"/>
        </w:rPr>
        <w:t xml:space="preserve">REC charge is in addition to the customer’s normal electricity bill.  Also available </w:t>
      </w:r>
      <w:r w:rsidR="00F366EC">
        <w:rPr>
          <w:rFonts w:eastAsia="Calibri"/>
        </w:rPr>
        <w:t>was</w:t>
      </w:r>
      <w:r w:rsidR="00F366EC" w:rsidRPr="00461F99">
        <w:rPr>
          <w:rFonts w:eastAsia="Calibri"/>
        </w:rPr>
        <w:t xml:space="preserve"> </w:t>
      </w:r>
      <w:r w:rsidR="00461F99" w:rsidRPr="00461F99">
        <w:rPr>
          <w:rFonts w:eastAsia="Calibri"/>
        </w:rPr>
        <w:t xml:space="preserve">a Large Volume Purchase Option for customers who purchase a monthly minimum of 50,000 kWh of RECs to receive a </w:t>
      </w:r>
      <w:r w:rsidR="00713683" w:rsidRPr="00461F99">
        <w:rPr>
          <w:rFonts w:eastAsia="Calibri"/>
        </w:rPr>
        <w:t>lower REC</w:t>
      </w:r>
      <w:r w:rsidR="00461F99" w:rsidRPr="00461F99">
        <w:rPr>
          <w:rFonts w:eastAsia="Calibri"/>
        </w:rPr>
        <w:t xml:space="preserve"> charge for the RECs purchased above 50,000 kWh.</w:t>
      </w:r>
    </w:p>
    <w:p w:rsidR="00461F99" w:rsidRPr="00461F99" w:rsidRDefault="00461F99" w:rsidP="00D24841">
      <w:pPr>
        <w:pStyle w:val="Questions"/>
        <w:rPr>
          <w:rFonts w:eastAsia="Calibri"/>
        </w:rPr>
      </w:pPr>
      <w:r w:rsidRPr="00461F99">
        <w:rPr>
          <w:rFonts w:eastAsia="Calibri"/>
        </w:rPr>
        <w:t>Q.</w:t>
      </w:r>
      <w:r w:rsidRPr="00461F99">
        <w:rPr>
          <w:rFonts w:eastAsia="Calibri"/>
        </w:rPr>
        <w:tab/>
        <w:t xml:space="preserve">were revisions </w:t>
      </w:r>
      <w:r w:rsidR="00DF0719" w:rsidRPr="00461F99">
        <w:rPr>
          <w:rFonts w:eastAsia="Calibri"/>
        </w:rPr>
        <w:t xml:space="preserve">to the Simple Solar Tariff </w:t>
      </w:r>
      <w:r w:rsidRPr="00461F99">
        <w:rPr>
          <w:rFonts w:eastAsia="Calibri"/>
        </w:rPr>
        <w:t xml:space="preserve">approved in the Company’s 2022 IRP? </w:t>
      </w:r>
    </w:p>
    <w:p w:rsidR="00461F99" w:rsidRPr="00461F99" w:rsidRDefault="00461F99" w:rsidP="00DF6F90">
      <w:pPr>
        <w:pStyle w:val="Answers"/>
        <w:rPr>
          <w:rFonts w:eastAsia="Calibri"/>
        </w:rPr>
      </w:pPr>
      <w:r w:rsidRPr="00461F99">
        <w:rPr>
          <w:rFonts w:eastAsia="Calibri"/>
        </w:rPr>
        <w:t>A.</w:t>
      </w:r>
      <w:r w:rsidRPr="00461F99">
        <w:rPr>
          <w:rFonts w:eastAsia="Calibri"/>
        </w:rPr>
        <w:tab/>
        <w:t>Yes</w:t>
      </w:r>
      <w:r w:rsidR="00DF0719">
        <w:rPr>
          <w:rFonts w:eastAsia="Calibri"/>
        </w:rPr>
        <w:t>.  T</w:t>
      </w:r>
      <w:r w:rsidRPr="00461F99">
        <w:rPr>
          <w:rFonts w:eastAsia="Calibri"/>
        </w:rPr>
        <w:t xml:space="preserve">he Commission approved </w:t>
      </w:r>
      <w:r w:rsidR="00DF0719">
        <w:rPr>
          <w:rFonts w:eastAsia="Calibri"/>
        </w:rPr>
        <w:t xml:space="preserve">changes to the </w:t>
      </w:r>
      <w:r w:rsidRPr="00461F99">
        <w:rPr>
          <w:rFonts w:eastAsia="Calibri"/>
        </w:rPr>
        <w:t xml:space="preserve">Simple Solar </w:t>
      </w:r>
      <w:r w:rsidR="004E2C3A">
        <w:rPr>
          <w:rFonts w:eastAsia="Calibri"/>
        </w:rPr>
        <w:t>program</w:t>
      </w:r>
      <w:r w:rsidR="00DF0719">
        <w:rPr>
          <w:rFonts w:eastAsia="Calibri"/>
        </w:rPr>
        <w:t xml:space="preserve"> </w:t>
      </w:r>
      <w:r w:rsidRPr="00461F99">
        <w:rPr>
          <w:rFonts w:eastAsia="Calibri"/>
        </w:rPr>
        <w:t>in its Order Adopting Stipulation in Docket</w:t>
      </w:r>
      <w:r w:rsidR="007177A9">
        <w:rPr>
          <w:rFonts w:eastAsia="Calibri"/>
        </w:rPr>
        <w:t xml:space="preserve"> No.</w:t>
      </w:r>
      <w:r w:rsidRPr="00461F99">
        <w:rPr>
          <w:rFonts w:eastAsia="Calibri"/>
        </w:rPr>
        <w:t xml:space="preserve"> 44160, dated July 29, 2022, but deferred </w:t>
      </w:r>
      <w:r w:rsidR="00A32E2F">
        <w:rPr>
          <w:rFonts w:eastAsia="Calibri"/>
        </w:rPr>
        <w:t xml:space="preserve">the consideration of modifying the </w:t>
      </w:r>
      <w:r w:rsidRPr="00461F99">
        <w:rPr>
          <w:rFonts w:eastAsia="Calibri"/>
        </w:rPr>
        <w:t>REC pricing to this</w:t>
      </w:r>
      <w:r w:rsidR="002F1B74">
        <w:rPr>
          <w:rFonts w:eastAsia="Calibri"/>
        </w:rPr>
        <w:t xml:space="preserve"> rate case</w:t>
      </w:r>
      <w:r w:rsidRPr="00461F99">
        <w:rPr>
          <w:rFonts w:eastAsia="Calibri"/>
        </w:rPr>
        <w:t xml:space="preserve">. The </w:t>
      </w:r>
      <w:r w:rsidR="00A32E2F">
        <w:rPr>
          <w:rFonts w:eastAsia="Calibri"/>
        </w:rPr>
        <w:t>approved revisions</w:t>
      </w:r>
      <w:r w:rsidRPr="00461F99">
        <w:rPr>
          <w:rFonts w:eastAsia="Calibri"/>
        </w:rPr>
        <w:t xml:space="preserve"> to the Simple Solar </w:t>
      </w:r>
      <w:r w:rsidR="00A54AA5">
        <w:rPr>
          <w:rFonts w:eastAsia="Calibri"/>
        </w:rPr>
        <w:t>t</w:t>
      </w:r>
      <w:r w:rsidRPr="00461F99">
        <w:rPr>
          <w:rFonts w:eastAsia="Calibri"/>
        </w:rPr>
        <w:t xml:space="preserve">ariff </w:t>
      </w:r>
      <w:r w:rsidR="004C38E0">
        <w:rPr>
          <w:rFonts w:eastAsia="Calibri"/>
        </w:rPr>
        <w:t>include</w:t>
      </w:r>
      <w:r w:rsidR="00DF0719">
        <w:rPr>
          <w:rFonts w:eastAsia="Calibri"/>
        </w:rPr>
        <w:t xml:space="preserve"> the </w:t>
      </w:r>
      <w:r w:rsidRPr="00461F99">
        <w:rPr>
          <w:rFonts w:eastAsia="Calibri"/>
        </w:rPr>
        <w:t>remov</w:t>
      </w:r>
      <w:r w:rsidR="00DF0719">
        <w:rPr>
          <w:rFonts w:eastAsia="Calibri"/>
        </w:rPr>
        <w:t>al of</w:t>
      </w:r>
      <w:r w:rsidRPr="00461F99">
        <w:rPr>
          <w:rFonts w:eastAsia="Calibri"/>
        </w:rPr>
        <w:t xml:space="preserve"> the Large Volume Purchase Option, which </w:t>
      </w:r>
      <w:r w:rsidR="007177A9">
        <w:rPr>
          <w:rFonts w:eastAsia="Calibri"/>
        </w:rPr>
        <w:t>wa</w:t>
      </w:r>
      <w:r w:rsidRPr="00461F99">
        <w:rPr>
          <w:rFonts w:eastAsia="Calibri"/>
        </w:rPr>
        <w:t>s replaced with a separate Flex REC program for large customers. The Flex REC program includes both a tiered pricing structure from the Simple Solar Large Volume program, as well as an economic development option with negotiated rates for new customers that qualify for the large load exception of the Georgia Territorial Electric Service Act</w:t>
      </w:r>
      <w:r w:rsidR="007177A9">
        <w:rPr>
          <w:rFonts w:eastAsia="Calibri"/>
        </w:rPr>
        <w:t>.</w:t>
      </w:r>
    </w:p>
    <w:p w:rsidR="00461F99" w:rsidRPr="00461F99" w:rsidRDefault="00461F99" w:rsidP="00D24841">
      <w:pPr>
        <w:pStyle w:val="Questions"/>
        <w:rPr>
          <w:rFonts w:eastAsia="Calibri"/>
        </w:rPr>
      </w:pPr>
      <w:r w:rsidRPr="00461F99">
        <w:rPr>
          <w:rFonts w:eastAsia="Calibri"/>
        </w:rPr>
        <w:t>Q.</w:t>
      </w:r>
      <w:r w:rsidRPr="00461F99">
        <w:rPr>
          <w:rFonts w:eastAsia="Calibri"/>
        </w:rPr>
        <w:tab/>
      </w:r>
      <w:r w:rsidR="00A32E2F">
        <w:rPr>
          <w:rFonts w:eastAsia="Calibri"/>
        </w:rPr>
        <w:t xml:space="preserve">Please describe the proposed revision to the </w:t>
      </w:r>
      <w:r w:rsidR="00292CA5">
        <w:rPr>
          <w:rFonts w:eastAsia="Calibri"/>
        </w:rPr>
        <w:t xml:space="preserve">REC PRICING </w:t>
      </w:r>
      <w:r w:rsidRPr="00461F99">
        <w:rPr>
          <w:rFonts w:eastAsia="Calibri"/>
        </w:rPr>
        <w:t xml:space="preserve">in the </w:t>
      </w:r>
      <w:r w:rsidR="00884819">
        <w:rPr>
          <w:rFonts w:eastAsia="Calibri"/>
        </w:rPr>
        <w:t>MODIFIED</w:t>
      </w:r>
      <w:r w:rsidRPr="00461F99">
        <w:rPr>
          <w:rFonts w:eastAsia="Calibri"/>
        </w:rPr>
        <w:t xml:space="preserve"> Simple Solar Tariff</w:t>
      </w:r>
      <w:r w:rsidR="007177A9">
        <w:rPr>
          <w:rFonts w:eastAsia="Calibri"/>
        </w:rPr>
        <w:t>.</w:t>
      </w:r>
    </w:p>
    <w:p w:rsidR="002F1B74" w:rsidRPr="00510844" w:rsidRDefault="00461F99" w:rsidP="00DF6F90">
      <w:pPr>
        <w:pStyle w:val="Answers"/>
        <w:rPr>
          <w:rFonts w:eastAsia="Calibri"/>
        </w:rPr>
      </w:pPr>
      <w:r w:rsidRPr="00461F99">
        <w:rPr>
          <w:rFonts w:eastAsia="Calibri"/>
        </w:rPr>
        <w:lastRenderedPageBreak/>
        <w:t>A.</w:t>
      </w:r>
      <w:r w:rsidRPr="00461F99">
        <w:rPr>
          <w:rFonts w:eastAsia="Calibri"/>
        </w:rPr>
        <w:tab/>
        <w:t xml:space="preserve">The Company is requesting to raise the price of RECs under the Simple Solar Program from 1¢ to 1.25¢ per kWh. </w:t>
      </w:r>
      <w:r w:rsidR="00A32E2F">
        <w:rPr>
          <w:rFonts w:eastAsia="Calibri"/>
        </w:rPr>
        <w:t xml:space="preserve">The Company responded that the proposed </w:t>
      </w:r>
      <w:r w:rsidRPr="00461F99">
        <w:rPr>
          <w:rFonts w:eastAsia="Calibri"/>
        </w:rPr>
        <w:t>price is reflective of increases in recent market prices for RECs (</w:t>
      </w:r>
      <w:r w:rsidR="007177A9">
        <w:rPr>
          <w:rFonts w:eastAsia="Calibri"/>
        </w:rPr>
        <w:t xml:space="preserve">Docket No. </w:t>
      </w:r>
      <w:r w:rsidR="0046304D">
        <w:rPr>
          <w:rFonts w:eastAsia="Calibri"/>
        </w:rPr>
        <w:t>44160</w:t>
      </w:r>
      <w:r w:rsidR="007177A9">
        <w:rPr>
          <w:rFonts w:eastAsia="Calibri"/>
        </w:rPr>
        <w:t xml:space="preserve">, Georgia Power’s </w:t>
      </w:r>
      <w:r w:rsidR="001868CC">
        <w:rPr>
          <w:rFonts w:eastAsia="Calibri"/>
        </w:rPr>
        <w:t xml:space="preserve">2022 </w:t>
      </w:r>
      <w:r w:rsidR="001868CC" w:rsidRPr="00AF0876">
        <w:rPr>
          <w:rFonts w:eastAsia="Calibri"/>
        </w:rPr>
        <w:t xml:space="preserve">IRP </w:t>
      </w:r>
      <w:bookmarkStart w:id="35" w:name="_Hlk116359148"/>
      <w:r w:rsidR="001868CC" w:rsidRPr="00AF0876">
        <w:rPr>
          <w:rFonts w:eastAsia="Calibri"/>
        </w:rPr>
        <w:t xml:space="preserve">Company Response to </w:t>
      </w:r>
      <w:r w:rsidR="00137268" w:rsidRPr="00AF0876">
        <w:rPr>
          <w:rFonts w:eastAsia="Calibri"/>
        </w:rPr>
        <w:t>STF-</w:t>
      </w:r>
      <w:r w:rsidR="001868CC" w:rsidRPr="00AF0876">
        <w:rPr>
          <w:rFonts w:eastAsia="Calibri"/>
        </w:rPr>
        <w:t>DEA-2-11</w:t>
      </w:r>
      <w:r w:rsidR="00A32E2F" w:rsidRPr="00AF0876">
        <w:rPr>
          <w:rFonts w:eastAsia="Calibri"/>
        </w:rPr>
        <w:t xml:space="preserve"> </w:t>
      </w:r>
      <w:bookmarkEnd w:id="35"/>
      <w:r w:rsidR="00A32E2F" w:rsidRPr="00AF0876">
        <w:rPr>
          <w:rFonts w:eastAsia="Calibri"/>
        </w:rPr>
        <w:t xml:space="preserve">and </w:t>
      </w:r>
      <w:r w:rsidR="007177A9" w:rsidRPr="00AF0876">
        <w:rPr>
          <w:rFonts w:eastAsia="Calibri"/>
        </w:rPr>
        <w:t xml:space="preserve">is </w:t>
      </w:r>
      <w:r w:rsidR="00A32E2F" w:rsidRPr="00AF0876">
        <w:rPr>
          <w:rFonts w:eastAsia="Calibri"/>
        </w:rPr>
        <w:t xml:space="preserve">provided as </w:t>
      </w:r>
      <w:r w:rsidR="00A32E2F" w:rsidRPr="0046304D">
        <w:rPr>
          <w:rFonts w:eastAsia="Calibri"/>
        </w:rPr>
        <w:t>Staff Exhibit</w:t>
      </w:r>
      <w:r w:rsidR="00A2426E">
        <w:rPr>
          <w:rFonts w:eastAsia="Calibri"/>
        </w:rPr>
        <w:t xml:space="preserve"> _</w:t>
      </w:r>
      <w:r w:rsidR="00500BAD" w:rsidRPr="0046304D">
        <w:rPr>
          <w:rFonts w:eastAsia="Calibri"/>
        </w:rPr>
        <w:t>_</w:t>
      </w:r>
      <w:r w:rsidR="00A2426E">
        <w:rPr>
          <w:rFonts w:eastAsia="Calibri"/>
        </w:rPr>
        <w:t xml:space="preserve"> </w:t>
      </w:r>
      <w:r w:rsidR="00B654CB" w:rsidRPr="0046304D">
        <w:rPr>
          <w:rFonts w:eastAsia="Calibri"/>
        </w:rPr>
        <w:t>(</w:t>
      </w:r>
      <w:r w:rsidR="00A32E2F" w:rsidRPr="0046304D">
        <w:rPr>
          <w:rFonts w:eastAsia="Calibri"/>
        </w:rPr>
        <w:t>BDW</w:t>
      </w:r>
      <w:r w:rsidR="00500BAD" w:rsidRPr="0046304D">
        <w:rPr>
          <w:rFonts w:eastAsia="Calibri"/>
        </w:rPr>
        <w:t>-16</w:t>
      </w:r>
      <w:r w:rsidRPr="00AF0876">
        <w:rPr>
          <w:rFonts w:eastAsia="Calibri"/>
        </w:rPr>
        <w:t>). Similarly, pricing for the Flex REC tiers will also start at 1.25¢ per kWh for the first tier, stepping down eventually to market rate for all RECs in excess of one million kWh per month.</w:t>
      </w:r>
    </w:p>
    <w:p w:rsidR="002F1B74" w:rsidRPr="00C11F0A" w:rsidRDefault="002F1B74" w:rsidP="00137268">
      <w:pPr>
        <w:pStyle w:val="Answers"/>
        <w:spacing w:before="480"/>
        <w:rPr>
          <w:rFonts w:eastAsia="Calibri"/>
          <w:b/>
        </w:rPr>
      </w:pPr>
      <w:bookmarkStart w:id="36" w:name="_Hlk115953128"/>
      <w:r w:rsidRPr="00C11F0A">
        <w:rPr>
          <w:rFonts w:eastAsia="Calibri"/>
          <w:b/>
        </w:rPr>
        <w:t>Q.</w:t>
      </w:r>
      <w:r w:rsidRPr="00C11F0A">
        <w:rPr>
          <w:rFonts w:eastAsia="Calibri"/>
          <w:b/>
        </w:rPr>
        <w:tab/>
        <w:t>DOES STAFF AGREE THAT RECENT AND FUTURE REC PRICING HAS INCREASED?</w:t>
      </w:r>
    </w:p>
    <w:p w:rsidR="008F0A24" w:rsidRPr="00461F99" w:rsidRDefault="002F1B74" w:rsidP="009D59E3">
      <w:pPr>
        <w:pStyle w:val="Answers"/>
        <w:rPr>
          <w:rFonts w:eastAsia="Calibri"/>
        </w:rPr>
      </w:pPr>
      <w:r>
        <w:rPr>
          <w:rFonts w:eastAsia="Calibri"/>
        </w:rPr>
        <w:t>A.</w:t>
      </w:r>
      <w:r>
        <w:rPr>
          <w:rFonts w:eastAsia="Calibri"/>
        </w:rPr>
        <w:tab/>
      </w:r>
      <w:r w:rsidR="008F0A24">
        <w:rPr>
          <w:rFonts w:eastAsia="Calibri"/>
        </w:rPr>
        <w:t xml:space="preserve">Yes. Staff agrees that the cost of RECs purchased by the Company for the Simple Solar Program has increased. The Company provided support in its Confidential response to STF-TAI-1-42. While Staff cannot predict future REC prices, recent trends indicate that increased </w:t>
      </w:r>
      <w:r w:rsidR="007C5F89">
        <w:rPr>
          <w:rFonts w:eastAsia="Calibri"/>
        </w:rPr>
        <w:t xml:space="preserve">REC </w:t>
      </w:r>
      <w:r w:rsidR="00FB716B">
        <w:rPr>
          <w:rFonts w:eastAsia="Calibri"/>
        </w:rPr>
        <w:t>pricing might</w:t>
      </w:r>
      <w:r w:rsidR="008F0A24">
        <w:rPr>
          <w:rFonts w:eastAsia="Calibri"/>
        </w:rPr>
        <w:t xml:space="preserve"> continue. </w:t>
      </w:r>
    </w:p>
    <w:bookmarkEnd w:id="36"/>
    <w:p w:rsidR="00461F99" w:rsidRPr="00461F99" w:rsidRDefault="00461F99" w:rsidP="00D24841">
      <w:pPr>
        <w:pStyle w:val="Questions"/>
        <w:rPr>
          <w:rFonts w:eastAsia="Calibri"/>
        </w:rPr>
      </w:pPr>
      <w:r w:rsidRPr="00461F99">
        <w:rPr>
          <w:rFonts w:eastAsia="Calibri"/>
        </w:rPr>
        <w:t>Q.</w:t>
      </w:r>
      <w:r w:rsidRPr="00461F99">
        <w:rPr>
          <w:rFonts w:eastAsia="Calibri"/>
        </w:rPr>
        <w:tab/>
        <w:t xml:space="preserve">What is Staff’s recommendation regarding pricing changes to the Simple Solar </w:t>
      </w:r>
      <w:r w:rsidR="00FB716B">
        <w:rPr>
          <w:rFonts w:eastAsia="Calibri"/>
        </w:rPr>
        <w:t>PROGRAM</w:t>
      </w:r>
      <w:r w:rsidRPr="00461F99">
        <w:rPr>
          <w:rFonts w:eastAsia="Calibri"/>
        </w:rPr>
        <w:t>?</w:t>
      </w:r>
    </w:p>
    <w:p w:rsidR="00461F99" w:rsidRPr="00461F99" w:rsidRDefault="00461F99" w:rsidP="00DF6F90">
      <w:pPr>
        <w:pStyle w:val="Answers"/>
        <w:rPr>
          <w:rFonts w:eastAsia="Calibri"/>
        </w:rPr>
      </w:pPr>
      <w:r w:rsidRPr="00461F99">
        <w:rPr>
          <w:rFonts w:eastAsia="Calibri"/>
        </w:rPr>
        <w:t>A.</w:t>
      </w:r>
      <w:r w:rsidRPr="00461F99">
        <w:rPr>
          <w:rFonts w:eastAsia="Calibri"/>
        </w:rPr>
        <w:tab/>
      </w:r>
      <w:r w:rsidR="00EF75AF">
        <w:rPr>
          <w:rFonts w:eastAsia="Calibri"/>
        </w:rPr>
        <w:t>Staff recommends approval of the Company’s request to increase</w:t>
      </w:r>
      <w:r w:rsidR="00FB716B">
        <w:rPr>
          <w:rFonts w:eastAsia="Calibri"/>
        </w:rPr>
        <w:t xml:space="preserve"> REC</w:t>
      </w:r>
      <w:r w:rsidR="00EF75AF">
        <w:rPr>
          <w:rFonts w:eastAsia="Calibri"/>
        </w:rPr>
        <w:t xml:space="preserve"> pricing </w:t>
      </w:r>
      <w:r w:rsidR="00EF75AF" w:rsidRPr="00461F99">
        <w:rPr>
          <w:rFonts w:eastAsia="Calibri"/>
        </w:rPr>
        <w:t>from 1¢ to 1.25¢ per kWh</w:t>
      </w:r>
      <w:r w:rsidR="00EF75AF">
        <w:rPr>
          <w:rFonts w:eastAsia="Calibri"/>
        </w:rPr>
        <w:t>.</w:t>
      </w:r>
    </w:p>
    <w:p w:rsidR="00461F99" w:rsidRPr="00461F99" w:rsidRDefault="004717AD" w:rsidP="004717AD">
      <w:pPr>
        <w:pStyle w:val="Heading1"/>
        <w:rPr>
          <w:rFonts w:eastAsia="Calibri"/>
        </w:rPr>
      </w:pPr>
      <w:bookmarkStart w:id="37" w:name="_Toc116370410"/>
      <w:r>
        <w:rPr>
          <w:rFonts w:eastAsia="Calibri"/>
          <w:lang w:val="en-US"/>
        </w:rPr>
        <w:lastRenderedPageBreak/>
        <w:t xml:space="preserve">V. </w:t>
      </w:r>
      <w:r>
        <w:rPr>
          <w:rFonts w:eastAsia="Calibri"/>
          <w:lang w:val="en-US"/>
        </w:rPr>
        <w:tab/>
      </w:r>
      <w:r>
        <w:rPr>
          <w:rFonts w:eastAsia="Calibri"/>
          <w:lang w:val="en-US"/>
        </w:rPr>
        <w:tab/>
      </w:r>
      <w:r w:rsidR="00EF75AF">
        <w:rPr>
          <w:rFonts w:eastAsia="Calibri"/>
        </w:rPr>
        <w:t>PROP</w:t>
      </w:r>
      <w:r w:rsidR="00081604">
        <w:rPr>
          <w:rFonts w:eastAsia="Calibri"/>
          <w:lang w:val="en-US"/>
        </w:rPr>
        <w:t>O</w:t>
      </w:r>
      <w:r w:rsidR="00EF75AF">
        <w:rPr>
          <w:rFonts w:eastAsia="Calibri"/>
        </w:rPr>
        <w:t>SED NEW TARIFFS</w:t>
      </w:r>
      <w:r>
        <w:rPr>
          <w:rFonts w:eastAsia="Calibri"/>
          <w:lang w:val="en-US"/>
        </w:rPr>
        <w:t xml:space="preserve"> </w:t>
      </w:r>
      <w:bookmarkEnd w:id="37"/>
      <w:r w:rsidR="00FF75C4">
        <w:rPr>
          <w:rFonts w:eastAsia="Calibri"/>
          <w:lang w:val="en-US"/>
        </w:rPr>
        <w:t>AND REQUIREMENTS</w:t>
      </w:r>
    </w:p>
    <w:p w:rsidR="00461F99" w:rsidRPr="00461F99" w:rsidRDefault="00461F99" w:rsidP="00D24841">
      <w:pPr>
        <w:pStyle w:val="Questions"/>
        <w:rPr>
          <w:rFonts w:eastAsia="Calibri"/>
        </w:rPr>
      </w:pPr>
      <w:r w:rsidRPr="00461F99">
        <w:rPr>
          <w:rFonts w:eastAsia="Calibri"/>
        </w:rPr>
        <w:t>Q.</w:t>
      </w:r>
      <w:r w:rsidRPr="00461F99">
        <w:rPr>
          <w:rFonts w:eastAsia="Calibri"/>
        </w:rPr>
        <w:tab/>
      </w:r>
      <w:r w:rsidR="00EF75AF">
        <w:rPr>
          <w:rFonts w:eastAsia="Calibri"/>
        </w:rPr>
        <w:t xml:space="preserve">PLEASE DESCRIBE THE PROPOSED </w:t>
      </w:r>
      <w:r w:rsidRPr="00461F99">
        <w:rPr>
          <w:rFonts w:eastAsia="Calibri"/>
        </w:rPr>
        <w:t>Charge It–Electric Vehicle Rider</w:t>
      </w:r>
      <w:r w:rsidR="00EF75AF">
        <w:rPr>
          <w:rFonts w:eastAsia="Calibri"/>
        </w:rPr>
        <w:t>.</w:t>
      </w:r>
    </w:p>
    <w:p w:rsidR="00133181" w:rsidRDefault="00461F99" w:rsidP="00137268">
      <w:pPr>
        <w:pStyle w:val="Answers"/>
        <w:rPr>
          <w:rFonts w:eastAsia="Calibri"/>
        </w:rPr>
      </w:pPr>
      <w:r w:rsidRPr="00461F99">
        <w:rPr>
          <w:rFonts w:eastAsia="Calibri"/>
        </w:rPr>
        <w:t xml:space="preserve">A. </w:t>
      </w:r>
      <w:r w:rsidRPr="00461F99">
        <w:rPr>
          <w:rFonts w:eastAsia="Calibri"/>
        </w:rPr>
        <w:tab/>
        <w:t xml:space="preserve">The Company is requesting approval for a new rider called Charge It – Electric Vehicle (“CIEV”). </w:t>
      </w:r>
      <w:r w:rsidR="00137268">
        <w:rPr>
          <w:rFonts w:eastAsia="Calibri"/>
        </w:rPr>
        <w:t>According to the Company, t</w:t>
      </w:r>
      <w:r w:rsidRPr="00461F99">
        <w:rPr>
          <w:rFonts w:eastAsia="Calibri"/>
        </w:rPr>
        <w:t>he CIEV rider is meant to support public commercial EV charging expansion by offering reduced billing demand costs to new, separately metered charging loads for up to 48 months (Company Witness Legg Direct Testimony, pg. 17</w:t>
      </w:r>
      <w:r w:rsidR="001868CC">
        <w:rPr>
          <w:rFonts w:eastAsia="Calibri"/>
        </w:rPr>
        <w:t>, lines 1-8</w:t>
      </w:r>
      <w:r w:rsidRPr="00461F99">
        <w:rPr>
          <w:rFonts w:eastAsia="Calibri"/>
        </w:rPr>
        <w:t xml:space="preserve">). </w:t>
      </w:r>
      <w:r w:rsidR="00FB716B">
        <w:rPr>
          <w:rFonts w:eastAsia="Calibri"/>
        </w:rPr>
        <w:t>On August 22, 2022, t</w:t>
      </w:r>
      <w:r w:rsidRPr="00461F99">
        <w:rPr>
          <w:rFonts w:eastAsia="Calibri"/>
        </w:rPr>
        <w:t xml:space="preserve">he Company filed a corrected </w:t>
      </w:r>
      <w:r w:rsidR="00A32E2F">
        <w:rPr>
          <w:rFonts w:eastAsia="Calibri"/>
        </w:rPr>
        <w:t>CIEV</w:t>
      </w:r>
      <w:r w:rsidRPr="00461F99">
        <w:rPr>
          <w:rFonts w:eastAsia="Calibri"/>
        </w:rPr>
        <w:t xml:space="preserve"> tariff </w:t>
      </w:r>
      <w:r w:rsidR="00A32E2F">
        <w:rPr>
          <w:rFonts w:eastAsia="Calibri"/>
        </w:rPr>
        <w:t xml:space="preserve">as part of the </w:t>
      </w:r>
      <w:r w:rsidRPr="00461F99">
        <w:rPr>
          <w:rFonts w:eastAsia="Calibri"/>
        </w:rPr>
        <w:t xml:space="preserve">Errata-Supplemental filing. </w:t>
      </w:r>
    </w:p>
    <w:p w:rsidR="00133181" w:rsidRDefault="00133181" w:rsidP="00137268">
      <w:pPr>
        <w:pStyle w:val="Answers"/>
        <w:spacing w:before="480"/>
        <w:rPr>
          <w:rFonts w:eastAsia="Calibri"/>
          <w:b/>
        </w:rPr>
      </w:pPr>
      <w:r w:rsidRPr="00827434">
        <w:rPr>
          <w:rFonts w:eastAsia="Calibri"/>
          <w:b/>
        </w:rPr>
        <w:t>Q.</w:t>
      </w:r>
      <w:r w:rsidRPr="00827434">
        <w:rPr>
          <w:rFonts w:eastAsia="Calibri"/>
          <w:b/>
        </w:rPr>
        <w:tab/>
        <w:t>IS THE CIEV RIDER A MANDATORY TARIFF FOR ALL NEW ELECTRIC VEHICLE CHARGERS?</w:t>
      </w:r>
    </w:p>
    <w:p w:rsidR="00133181" w:rsidRDefault="00133181" w:rsidP="00DF6F90">
      <w:pPr>
        <w:pStyle w:val="Answers"/>
        <w:rPr>
          <w:rFonts w:eastAsia="Calibri"/>
        </w:rPr>
      </w:pPr>
      <w:r>
        <w:rPr>
          <w:rFonts w:eastAsia="Calibri"/>
        </w:rPr>
        <w:t>A.</w:t>
      </w:r>
      <w:r>
        <w:rPr>
          <w:rFonts w:eastAsia="Calibri"/>
        </w:rPr>
        <w:tab/>
        <w:t xml:space="preserve">No. </w:t>
      </w:r>
      <w:r w:rsidR="00053BEB">
        <w:rPr>
          <w:rFonts w:eastAsia="Calibri"/>
        </w:rPr>
        <w:t xml:space="preserve"> </w:t>
      </w:r>
      <w:r>
        <w:rPr>
          <w:rFonts w:eastAsia="Calibri"/>
        </w:rPr>
        <w:t xml:space="preserve">The CIEV is an optional rider that can be used </w:t>
      </w:r>
      <w:r w:rsidR="00FB716B">
        <w:rPr>
          <w:rFonts w:eastAsia="Calibri"/>
        </w:rPr>
        <w:t>by</w:t>
      </w:r>
      <w:r>
        <w:rPr>
          <w:rFonts w:eastAsia="Calibri"/>
        </w:rPr>
        <w:t xml:space="preserve"> customer</w:t>
      </w:r>
      <w:r w:rsidR="00137268">
        <w:rPr>
          <w:rFonts w:eastAsia="Calibri"/>
        </w:rPr>
        <w:t>s</w:t>
      </w:r>
      <w:r>
        <w:rPr>
          <w:rFonts w:eastAsia="Calibri"/>
        </w:rPr>
        <w:t xml:space="preserve"> </w:t>
      </w:r>
      <w:r w:rsidR="00137268" w:rsidRPr="00137268">
        <w:rPr>
          <w:rFonts w:eastAsia="Calibri"/>
        </w:rPr>
        <w:t>as a modification of the Power and Light (</w:t>
      </w:r>
      <w:r w:rsidR="00FB716B">
        <w:rPr>
          <w:rFonts w:eastAsia="Calibri"/>
        </w:rPr>
        <w:t>“</w:t>
      </w:r>
      <w:r w:rsidR="00137268" w:rsidRPr="00137268">
        <w:rPr>
          <w:rFonts w:eastAsia="Calibri"/>
        </w:rPr>
        <w:t>PL</w:t>
      </w:r>
      <w:r w:rsidR="00FB716B">
        <w:rPr>
          <w:rFonts w:eastAsia="Calibri"/>
        </w:rPr>
        <w:t>”</w:t>
      </w:r>
      <w:r w:rsidR="00137268" w:rsidRPr="00137268">
        <w:rPr>
          <w:rFonts w:eastAsia="Calibri"/>
        </w:rPr>
        <w:t xml:space="preserve">) tariff schedules (PLS, PLM, and </w:t>
      </w:r>
      <w:r w:rsidR="004611ED" w:rsidRPr="00137268">
        <w:rPr>
          <w:rFonts w:eastAsia="Calibri"/>
        </w:rPr>
        <w:t>PLL</w:t>
      </w:r>
      <w:r w:rsidR="004611ED">
        <w:rPr>
          <w:rFonts w:eastAsia="Calibri"/>
        </w:rPr>
        <w:t>) if</w:t>
      </w:r>
      <w:r w:rsidR="00FB716B">
        <w:rPr>
          <w:rFonts w:eastAsia="Calibri"/>
        </w:rPr>
        <w:t xml:space="preserve"> they </w:t>
      </w:r>
      <w:r>
        <w:rPr>
          <w:rFonts w:eastAsia="Calibri"/>
        </w:rPr>
        <w:t xml:space="preserve">want to separately meter the load for </w:t>
      </w:r>
      <w:r w:rsidR="00137268">
        <w:rPr>
          <w:rFonts w:eastAsia="Calibri"/>
        </w:rPr>
        <w:t xml:space="preserve">a </w:t>
      </w:r>
      <w:r>
        <w:rPr>
          <w:rFonts w:eastAsia="Calibri"/>
        </w:rPr>
        <w:t xml:space="preserve">new </w:t>
      </w:r>
      <w:r w:rsidR="00137268">
        <w:rPr>
          <w:rFonts w:eastAsia="Calibri"/>
        </w:rPr>
        <w:t xml:space="preserve">electric vehicle </w:t>
      </w:r>
      <w:r>
        <w:rPr>
          <w:rFonts w:eastAsia="Calibri"/>
        </w:rPr>
        <w:t xml:space="preserve">charger. Customers will also be able to add the new </w:t>
      </w:r>
      <w:r w:rsidR="00886E1B">
        <w:rPr>
          <w:rFonts w:eastAsia="Calibri"/>
        </w:rPr>
        <w:t xml:space="preserve">electric vehicle charger </w:t>
      </w:r>
      <w:r>
        <w:rPr>
          <w:rFonts w:eastAsia="Calibri"/>
        </w:rPr>
        <w:t xml:space="preserve">load to its existing tariff but </w:t>
      </w:r>
      <w:r w:rsidR="00886E1B">
        <w:rPr>
          <w:rFonts w:eastAsia="Calibri"/>
        </w:rPr>
        <w:t xml:space="preserve">they </w:t>
      </w:r>
      <w:r>
        <w:rPr>
          <w:rFonts w:eastAsia="Calibri"/>
        </w:rPr>
        <w:t>will not get the demand discount that is provided</w:t>
      </w:r>
      <w:r w:rsidR="00A32E2F">
        <w:rPr>
          <w:rFonts w:eastAsia="Calibri"/>
        </w:rPr>
        <w:t xml:space="preserve"> </w:t>
      </w:r>
      <w:r>
        <w:rPr>
          <w:rFonts w:eastAsia="Calibri"/>
        </w:rPr>
        <w:t>under the CIEV rider.</w:t>
      </w:r>
      <w:r w:rsidR="00137268">
        <w:rPr>
          <w:rFonts w:eastAsia="Calibri"/>
        </w:rPr>
        <w:t xml:space="preserve">  As proposed, t</w:t>
      </w:r>
      <w:r w:rsidR="00137268" w:rsidRPr="00137268">
        <w:rPr>
          <w:rFonts w:eastAsia="Calibri"/>
        </w:rPr>
        <w:t>he CIEV rider may not be used with the Real Time Pricing – Day Ahead (RTP-DA), or Real Time Pricing – Hour Ahead (RTP-HA) tariffs</w:t>
      </w:r>
      <w:r w:rsidR="00137268">
        <w:rPr>
          <w:rFonts w:eastAsia="Calibri"/>
        </w:rPr>
        <w:t>.</w:t>
      </w:r>
    </w:p>
    <w:p w:rsidR="00053BEB" w:rsidRPr="00133181" w:rsidRDefault="00053BEB" w:rsidP="00053BEB">
      <w:pPr>
        <w:pStyle w:val="Answers"/>
        <w:suppressLineNumbers/>
        <w:rPr>
          <w:rFonts w:eastAsia="Calibri"/>
        </w:rPr>
      </w:pPr>
    </w:p>
    <w:p w:rsidR="00461F99" w:rsidRPr="00461F99" w:rsidRDefault="00461F99" w:rsidP="00053BEB">
      <w:pPr>
        <w:pStyle w:val="Questions"/>
        <w:spacing w:before="0"/>
        <w:rPr>
          <w:rFonts w:eastAsia="Calibri"/>
        </w:rPr>
      </w:pPr>
      <w:bookmarkStart w:id="38" w:name="_Hlk115953302"/>
      <w:r w:rsidRPr="00461F99">
        <w:rPr>
          <w:rFonts w:eastAsia="Calibri"/>
        </w:rPr>
        <w:lastRenderedPageBreak/>
        <w:t>Q.</w:t>
      </w:r>
      <w:r w:rsidRPr="00461F99">
        <w:rPr>
          <w:rFonts w:eastAsia="Calibri"/>
        </w:rPr>
        <w:tab/>
        <w:t xml:space="preserve">Will the </w:t>
      </w:r>
      <w:r w:rsidR="00F62211">
        <w:rPr>
          <w:rFonts w:eastAsia="Calibri"/>
        </w:rPr>
        <w:t xml:space="preserve">PROPOSED </w:t>
      </w:r>
      <w:r w:rsidRPr="00461F99">
        <w:rPr>
          <w:rFonts w:eastAsia="Calibri"/>
        </w:rPr>
        <w:t>CIEV rider shift costs to other customers as a result of discounting billing demand?</w:t>
      </w:r>
    </w:p>
    <w:p w:rsidR="009D59E3" w:rsidRDefault="00461F99" w:rsidP="00053BEB">
      <w:pPr>
        <w:pStyle w:val="Answers"/>
      </w:pPr>
      <w:r w:rsidRPr="00461F99">
        <w:rPr>
          <w:rFonts w:eastAsia="Calibri"/>
        </w:rPr>
        <w:t>A.</w:t>
      </w:r>
      <w:r w:rsidRPr="00461F99">
        <w:rPr>
          <w:rFonts w:eastAsia="Calibri"/>
        </w:rPr>
        <w:tab/>
      </w:r>
      <w:r w:rsidR="004B5EE2">
        <w:rPr>
          <w:rFonts w:eastAsia="Calibri"/>
        </w:rPr>
        <w:t>No</w:t>
      </w:r>
      <w:r w:rsidR="00EF75AF">
        <w:rPr>
          <w:rFonts w:eastAsia="Calibri"/>
        </w:rPr>
        <w:t xml:space="preserve">.  </w:t>
      </w:r>
      <w:r w:rsidR="00F366EC" w:rsidRPr="00D218E7">
        <w:t>The CIEV tariff is only for new charging loads, so there are no existing revenues that would be foregone with the reduction of the billing demand</w:t>
      </w:r>
      <w:r w:rsidR="00F366EC">
        <w:t xml:space="preserve">. </w:t>
      </w:r>
      <w:r w:rsidR="00D218E7" w:rsidRPr="00D218E7">
        <w:t xml:space="preserve">Although the program will initially discount the billing demand for the first four years </w:t>
      </w:r>
      <w:r w:rsidR="00886E1B">
        <w:t xml:space="preserve">after </w:t>
      </w:r>
      <w:r w:rsidR="00D218E7" w:rsidRPr="00D218E7">
        <w:t xml:space="preserve">a customer </w:t>
      </w:r>
      <w:r w:rsidR="0054401D">
        <w:t>enrolls</w:t>
      </w:r>
      <w:r w:rsidR="00D218E7" w:rsidRPr="00D218E7">
        <w:t>, Company Witness Legg testified that the program would pass the ratepayer impact measure test and put downward pressure on ratepayers’ rates over time</w:t>
      </w:r>
      <w:r w:rsidR="0070648F">
        <w:t xml:space="preserve"> (Tr</w:t>
      </w:r>
      <w:r w:rsidR="002E4721">
        <w:t>anscript</w:t>
      </w:r>
      <w:r w:rsidR="0070648F">
        <w:t xml:space="preserve"> at 939, lines 4-20)</w:t>
      </w:r>
      <w:r w:rsidR="00D218E7" w:rsidRPr="00D218E7">
        <w:t xml:space="preserve">. </w:t>
      </w:r>
      <w:r w:rsidR="00F366EC">
        <w:rPr>
          <w:rFonts w:eastAsia="Calibri"/>
        </w:rPr>
        <w:t>A</w:t>
      </w:r>
      <w:r w:rsidR="00F366EC" w:rsidRPr="00461F99">
        <w:rPr>
          <w:rFonts w:eastAsia="Calibri"/>
        </w:rPr>
        <w:t xml:space="preserve">ccording </w:t>
      </w:r>
      <w:r w:rsidR="00F366EC">
        <w:rPr>
          <w:rFonts w:eastAsia="Calibri"/>
        </w:rPr>
        <w:t xml:space="preserve">to the Company’s response to Staff’s data request STF-PIA-10-6, the Company </w:t>
      </w:r>
      <w:r w:rsidR="00F366EC" w:rsidRPr="00D218E7">
        <w:t xml:space="preserve">has not performed a forecast of the number of new customers who may enroll on the CIEV-1 rider and so does not have an estimate of the reduction in revenue from customer bills resulting from participation on the rider.  </w:t>
      </w:r>
      <w:r w:rsidR="00D218E7" w:rsidRPr="00D218E7">
        <w:t xml:space="preserve"> </w:t>
      </w:r>
      <w:bookmarkEnd w:id="38"/>
    </w:p>
    <w:p w:rsidR="00133181" w:rsidRPr="00133181" w:rsidRDefault="00133181" w:rsidP="00D218E7">
      <w:pPr>
        <w:pStyle w:val="Answers"/>
        <w:spacing w:before="480"/>
        <w:rPr>
          <w:rFonts w:ascii="Times New Roman Bold" w:eastAsia="Calibri" w:hAnsi="Times New Roman Bold"/>
          <w:b/>
          <w:bCs/>
          <w:caps/>
        </w:rPr>
      </w:pPr>
      <w:r w:rsidRPr="00133181">
        <w:rPr>
          <w:rFonts w:ascii="Times New Roman Bold" w:eastAsia="Calibri" w:hAnsi="Times New Roman Bold"/>
          <w:b/>
          <w:bCs/>
          <w:caps/>
        </w:rPr>
        <w:t>Q.</w:t>
      </w:r>
      <w:r w:rsidRPr="00133181">
        <w:rPr>
          <w:rFonts w:ascii="Times New Roman Bold" w:eastAsia="Calibri" w:hAnsi="Times New Roman Bold"/>
          <w:b/>
          <w:bCs/>
          <w:caps/>
        </w:rPr>
        <w:tab/>
        <w:t xml:space="preserve">What is Staff’s recommendation regarding the proposed CIEV </w:t>
      </w:r>
      <w:r w:rsidR="00886E1B">
        <w:rPr>
          <w:rFonts w:ascii="Times New Roman Bold" w:eastAsia="Calibri" w:hAnsi="Times New Roman Bold"/>
          <w:b/>
          <w:bCs/>
          <w:caps/>
        </w:rPr>
        <w:t>TARIFF</w:t>
      </w:r>
      <w:r w:rsidRPr="00133181">
        <w:rPr>
          <w:rFonts w:ascii="Times New Roman Bold" w:eastAsia="Calibri" w:hAnsi="Times New Roman Bold"/>
          <w:b/>
          <w:bCs/>
          <w:caps/>
        </w:rPr>
        <w:t>?</w:t>
      </w:r>
    </w:p>
    <w:p w:rsidR="00CA12DD" w:rsidRPr="00137268" w:rsidRDefault="00133181" w:rsidP="00137268">
      <w:pPr>
        <w:spacing w:line="480" w:lineRule="auto"/>
        <w:ind w:left="720" w:hanging="720"/>
        <w:jc w:val="both"/>
      </w:pPr>
      <w:r w:rsidRPr="00133181">
        <w:rPr>
          <w:rFonts w:eastAsia="Calibri"/>
        </w:rPr>
        <w:t>A.</w:t>
      </w:r>
      <w:r w:rsidRPr="00133181">
        <w:rPr>
          <w:rFonts w:eastAsia="Calibri"/>
        </w:rPr>
        <w:tab/>
        <w:t xml:space="preserve">Staff recommends approval of the </w:t>
      </w:r>
      <w:r w:rsidR="00886E1B">
        <w:rPr>
          <w:rFonts w:eastAsia="Calibri"/>
        </w:rPr>
        <w:t>tariff</w:t>
      </w:r>
      <w:r w:rsidRPr="00133181">
        <w:rPr>
          <w:rFonts w:eastAsia="Calibri"/>
        </w:rPr>
        <w:t xml:space="preserve"> as filed in the </w:t>
      </w:r>
      <w:r w:rsidR="00352DEA">
        <w:rPr>
          <w:rFonts w:eastAsia="Calibri"/>
        </w:rPr>
        <w:t xml:space="preserve">Company’s </w:t>
      </w:r>
      <w:r w:rsidRPr="00133181">
        <w:rPr>
          <w:rFonts w:eastAsia="Calibri"/>
        </w:rPr>
        <w:t xml:space="preserve">Errata-Supplemental filing.  As commercial entities seek to install chargers to meet the growing need for EV infrastructure across the state, </w:t>
      </w:r>
      <w:r w:rsidR="00886E1B">
        <w:rPr>
          <w:rFonts w:eastAsia="Calibri"/>
        </w:rPr>
        <w:t xml:space="preserve">a rate structure using </w:t>
      </w:r>
      <w:r w:rsidRPr="00133181">
        <w:rPr>
          <w:rFonts w:eastAsia="Calibri"/>
        </w:rPr>
        <w:t>billing demand can be a short-term barrier to deployment.  As usage of chargers ramps up</w:t>
      </w:r>
      <w:r w:rsidR="00886E1B">
        <w:rPr>
          <w:rFonts w:eastAsia="Calibri"/>
        </w:rPr>
        <w:t>,</w:t>
      </w:r>
      <w:r w:rsidRPr="00133181">
        <w:rPr>
          <w:rFonts w:eastAsia="Calibri"/>
        </w:rPr>
        <w:t xml:space="preserve"> charging station providers should be able to serve their customers while receiving electric service with appropriate price signals.  </w:t>
      </w:r>
      <w:r w:rsidR="00A32E2F">
        <w:rPr>
          <w:rFonts w:eastAsia="Calibri"/>
        </w:rPr>
        <w:t xml:space="preserve">In </w:t>
      </w:r>
      <w:r w:rsidR="00886E1B">
        <w:rPr>
          <w:rFonts w:eastAsia="Calibri"/>
        </w:rPr>
        <w:t>order to monitor the adoption of this tariff</w:t>
      </w:r>
      <w:r w:rsidR="00A32E2F">
        <w:rPr>
          <w:rFonts w:eastAsia="Calibri"/>
        </w:rPr>
        <w:t xml:space="preserve">, </w:t>
      </w:r>
      <w:r w:rsidRPr="00133181">
        <w:rPr>
          <w:rFonts w:eastAsia="Calibri"/>
        </w:rPr>
        <w:t xml:space="preserve">Staff recommends quarterly reporting </w:t>
      </w:r>
      <w:r w:rsidR="00A32E2F">
        <w:rPr>
          <w:rFonts w:eastAsia="Calibri"/>
        </w:rPr>
        <w:t xml:space="preserve">regarding </w:t>
      </w:r>
      <w:r w:rsidRPr="00133181">
        <w:rPr>
          <w:rFonts w:eastAsia="Calibri"/>
        </w:rPr>
        <w:t xml:space="preserve">the location, peak demand, usage, and revenue </w:t>
      </w:r>
      <w:r w:rsidR="00A32E2F">
        <w:rPr>
          <w:rFonts w:eastAsia="Calibri"/>
        </w:rPr>
        <w:t xml:space="preserve">received </w:t>
      </w:r>
      <w:r w:rsidRPr="00133181">
        <w:rPr>
          <w:rFonts w:eastAsia="Calibri"/>
        </w:rPr>
        <w:t>from CIEV customers.</w:t>
      </w:r>
    </w:p>
    <w:p w:rsidR="00CA12DD" w:rsidRPr="00AF0876" w:rsidRDefault="00CA12DD" w:rsidP="00137268">
      <w:pPr>
        <w:pStyle w:val="Answers"/>
        <w:spacing w:before="480"/>
        <w:rPr>
          <w:rFonts w:eastAsia="Calibri"/>
          <w:b/>
        </w:rPr>
      </w:pPr>
      <w:r w:rsidRPr="00AF0876">
        <w:rPr>
          <w:rFonts w:eastAsia="Calibri"/>
          <w:b/>
        </w:rPr>
        <w:lastRenderedPageBreak/>
        <w:t>Q.</w:t>
      </w:r>
      <w:r w:rsidRPr="00AF0876">
        <w:rPr>
          <w:rFonts w:eastAsia="Calibri"/>
          <w:b/>
        </w:rPr>
        <w:tab/>
      </w:r>
      <w:r w:rsidR="00D27646" w:rsidRPr="00AF0876">
        <w:rPr>
          <w:rFonts w:eastAsia="Calibri"/>
          <w:b/>
        </w:rPr>
        <w:t>IS STAFF PROPOSING ANY ADDITIONAL</w:t>
      </w:r>
      <w:r w:rsidR="00D27646" w:rsidRPr="00AF0876" w:rsidDel="00D27646">
        <w:rPr>
          <w:rFonts w:eastAsia="Calibri"/>
          <w:b/>
        </w:rPr>
        <w:t xml:space="preserve"> </w:t>
      </w:r>
      <w:r w:rsidRPr="00AF0876">
        <w:rPr>
          <w:rFonts w:eastAsia="Calibri"/>
          <w:b/>
        </w:rPr>
        <w:t>CHANGES TO THE COMPANY’S EXISTING TARIFFS?</w:t>
      </w:r>
    </w:p>
    <w:p w:rsidR="00D27646" w:rsidRPr="00AF0876" w:rsidRDefault="00CA12DD" w:rsidP="00B73B98">
      <w:pPr>
        <w:pStyle w:val="Answers"/>
        <w:rPr>
          <w:rFonts w:eastAsia="Calibri"/>
        </w:rPr>
      </w:pPr>
      <w:r w:rsidRPr="00AF0876">
        <w:rPr>
          <w:rFonts w:eastAsia="Calibri"/>
        </w:rPr>
        <w:t>A.</w:t>
      </w:r>
      <w:r w:rsidRPr="00AF0876">
        <w:rPr>
          <w:rFonts w:eastAsia="Calibri"/>
        </w:rPr>
        <w:tab/>
      </w:r>
      <w:r w:rsidR="00D27646" w:rsidRPr="00AF0876">
        <w:rPr>
          <w:rFonts w:eastAsia="Calibri"/>
        </w:rPr>
        <w:t>Yes. Staff recommends a change to the FPA and Price Protection Products (“PPP”)</w:t>
      </w:r>
      <w:r w:rsidR="00AF0876">
        <w:rPr>
          <w:rFonts w:eastAsia="Calibri"/>
        </w:rPr>
        <w:t xml:space="preserve"> </w:t>
      </w:r>
      <w:r w:rsidR="00886E1B" w:rsidRPr="00AF0876">
        <w:rPr>
          <w:rFonts w:eastAsia="Calibri"/>
        </w:rPr>
        <w:t>tariffs</w:t>
      </w:r>
      <w:r w:rsidR="00D27646" w:rsidRPr="00AF0876">
        <w:rPr>
          <w:rFonts w:eastAsia="Calibri"/>
        </w:rPr>
        <w:t>. Both of these tariffs state that they are offered “periodically, as determined by the Company, to eligible customers.” This determination is made in consideration of “uncertainty around environmental regulation or fuel markets that could impact the forecasted prices used in the development of FPA offers</w:t>
      </w:r>
      <w:r w:rsidR="00B73B98" w:rsidRPr="00AF0876">
        <w:rPr>
          <w:rFonts w:eastAsia="Calibri"/>
        </w:rPr>
        <w:t>.</w:t>
      </w:r>
      <w:r w:rsidR="00D27646" w:rsidRPr="00AF0876">
        <w:rPr>
          <w:rFonts w:eastAsia="Calibri"/>
        </w:rPr>
        <w:t xml:space="preserve">” </w:t>
      </w:r>
      <w:r w:rsidR="00886E1B" w:rsidRPr="00AF0876">
        <w:rPr>
          <w:rFonts w:eastAsia="Calibri"/>
        </w:rPr>
        <w:t>(</w:t>
      </w:r>
      <w:r w:rsidR="00D27646" w:rsidRPr="00AF0876">
        <w:rPr>
          <w:rFonts w:eastAsia="Calibri"/>
        </w:rPr>
        <w:t>Company Response to STF-PIA-6-44</w:t>
      </w:r>
      <w:r w:rsidR="00A32E2F" w:rsidRPr="00AF0876">
        <w:rPr>
          <w:rFonts w:eastAsia="Calibri"/>
        </w:rPr>
        <w:t xml:space="preserve"> and provided as </w:t>
      </w:r>
      <w:r w:rsidR="00D27646" w:rsidRPr="00AF0876">
        <w:rPr>
          <w:rFonts w:eastAsia="Calibri"/>
        </w:rPr>
        <w:t>Staff Exhibit</w:t>
      </w:r>
      <w:r w:rsidR="00053BEB" w:rsidRPr="00AF0876">
        <w:rPr>
          <w:rFonts w:eastAsia="Calibri"/>
        </w:rPr>
        <w:t xml:space="preserve"> _</w:t>
      </w:r>
      <w:r w:rsidR="00A2426E">
        <w:rPr>
          <w:rFonts w:eastAsia="Calibri"/>
        </w:rPr>
        <w:t xml:space="preserve">_ </w:t>
      </w:r>
      <w:r w:rsidR="00053BEB" w:rsidRPr="00AF0876">
        <w:rPr>
          <w:rFonts w:eastAsia="Calibri"/>
        </w:rPr>
        <w:t>(</w:t>
      </w:r>
      <w:r w:rsidR="00D27646" w:rsidRPr="00AF0876">
        <w:rPr>
          <w:rFonts w:eastAsia="Calibri"/>
        </w:rPr>
        <w:t>BDW-</w:t>
      </w:r>
      <w:r w:rsidR="00AF0876" w:rsidRPr="00AF0876">
        <w:rPr>
          <w:rFonts w:eastAsia="Calibri"/>
        </w:rPr>
        <w:t>17</w:t>
      </w:r>
      <w:r w:rsidR="00D27646" w:rsidRPr="00AF0876">
        <w:rPr>
          <w:rFonts w:eastAsia="Calibri"/>
        </w:rPr>
        <w:t>)</w:t>
      </w:r>
      <w:r w:rsidR="00886E1B" w:rsidRPr="00AF0876">
        <w:rPr>
          <w:rFonts w:eastAsia="Calibri"/>
        </w:rPr>
        <w:t>)</w:t>
      </w:r>
      <w:r w:rsidR="00D27646" w:rsidRPr="00AF0876">
        <w:rPr>
          <w:rFonts w:eastAsia="Calibri"/>
        </w:rPr>
        <w:t xml:space="preserve">. </w:t>
      </w:r>
    </w:p>
    <w:p w:rsidR="00D27646" w:rsidRDefault="00D27646" w:rsidP="00B73B98">
      <w:pPr>
        <w:pStyle w:val="Answers"/>
        <w:spacing w:before="480"/>
        <w:rPr>
          <w:rFonts w:eastAsia="Calibri"/>
          <w:b/>
        </w:rPr>
      </w:pPr>
      <w:r w:rsidRPr="00FD319E">
        <w:rPr>
          <w:rFonts w:eastAsia="Calibri"/>
          <w:b/>
        </w:rPr>
        <w:t>Q.</w:t>
      </w:r>
      <w:r w:rsidRPr="00FD319E">
        <w:rPr>
          <w:rFonts w:eastAsia="Calibri"/>
          <w:b/>
        </w:rPr>
        <w:tab/>
      </w:r>
      <w:r>
        <w:rPr>
          <w:rFonts w:eastAsia="Calibri"/>
          <w:b/>
        </w:rPr>
        <w:t xml:space="preserve">WHAT </w:t>
      </w:r>
      <w:proofErr w:type="gramStart"/>
      <w:r w:rsidR="003961B5">
        <w:rPr>
          <w:rFonts w:eastAsia="Calibri"/>
          <w:b/>
        </w:rPr>
        <w:t>IS</w:t>
      </w:r>
      <w:proofErr w:type="gramEnd"/>
      <w:r>
        <w:rPr>
          <w:rFonts w:eastAsia="Calibri"/>
          <w:b/>
        </w:rPr>
        <w:t xml:space="preserve"> STAFF’S RECOMMENDED CHANGE TO THE FPA AND PPP TARIFFS?</w:t>
      </w:r>
    </w:p>
    <w:p w:rsidR="00D27646" w:rsidRPr="00461F99" w:rsidRDefault="00D27646" w:rsidP="00B73B98">
      <w:pPr>
        <w:pStyle w:val="Answers"/>
        <w:rPr>
          <w:rFonts w:eastAsia="Calibri"/>
        </w:rPr>
      </w:pPr>
      <w:r>
        <w:rPr>
          <w:rFonts w:eastAsia="Calibri"/>
        </w:rPr>
        <w:t>A.</w:t>
      </w:r>
      <w:r>
        <w:rPr>
          <w:rFonts w:eastAsia="Calibri"/>
        </w:rPr>
        <w:tab/>
        <w:t xml:space="preserve">Staff recommends that the determination </w:t>
      </w:r>
      <w:r w:rsidR="00F366EC">
        <w:rPr>
          <w:rFonts w:eastAsia="Calibri"/>
        </w:rPr>
        <w:t xml:space="preserve">of </w:t>
      </w:r>
      <w:r w:rsidR="00A32E2F">
        <w:rPr>
          <w:rFonts w:eastAsia="Calibri"/>
        </w:rPr>
        <w:t xml:space="preserve">whether </w:t>
      </w:r>
      <w:r>
        <w:rPr>
          <w:rFonts w:eastAsia="Calibri"/>
        </w:rPr>
        <w:t xml:space="preserve">to offer </w:t>
      </w:r>
      <w:r w:rsidR="00A32E2F">
        <w:rPr>
          <w:rFonts w:eastAsia="Calibri"/>
        </w:rPr>
        <w:t xml:space="preserve">these </w:t>
      </w:r>
      <w:r>
        <w:rPr>
          <w:rFonts w:eastAsia="Calibri"/>
        </w:rPr>
        <w:t xml:space="preserve">tariffs to eligible customers is </w:t>
      </w:r>
      <w:r w:rsidR="00886E1B">
        <w:rPr>
          <w:rFonts w:eastAsia="Calibri"/>
        </w:rPr>
        <w:t xml:space="preserve">not made solely by the Company but </w:t>
      </w:r>
      <w:r>
        <w:rPr>
          <w:rFonts w:eastAsia="Calibri"/>
        </w:rPr>
        <w:t>made in coordination</w:t>
      </w:r>
      <w:r w:rsidR="00886E1B">
        <w:rPr>
          <w:rFonts w:eastAsia="Calibri"/>
        </w:rPr>
        <w:t xml:space="preserve"> and </w:t>
      </w:r>
      <w:r>
        <w:rPr>
          <w:rFonts w:eastAsia="Calibri"/>
        </w:rPr>
        <w:t xml:space="preserve">with the </w:t>
      </w:r>
      <w:r w:rsidR="00886E1B">
        <w:rPr>
          <w:rFonts w:eastAsia="Calibri"/>
        </w:rPr>
        <w:t xml:space="preserve">support of the </w:t>
      </w:r>
      <w:r>
        <w:rPr>
          <w:rFonts w:eastAsia="Calibri"/>
        </w:rPr>
        <w:t xml:space="preserve">Commission. </w:t>
      </w:r>
      <w:r w:rsidR="00886E1B">
        <w:rPr>
          <w:rFonts w:eastAsia="Calibri"/>
        </w:rPr>
        <w:t xml:space="preserve">Specifically, </w:t>
      </w:r>
      <w:r>
        <w:rPr>
          <w:rFonts w:eastAsia="Calibri"/>
        </w:rPr>
        <w:t xml:space="preserve">Staff </w:t>
      </w:r>
      <w:r w:rsidR="00886E1B">
        <w:rPr>
          <w:rFonts w:eastAsia="Calibri"/>
        </w:rPr>
        <w:t>recommends</w:t>
      </w:r>
      <w:r>
        <w:rPr>
          <w:rFonts w:eastAsia="Calibri"/>
        </w:rPr>
        <w:t xml:space="preserve"> </w:t>
      </w:r>
      <w:r w:rsidR="0054401D">
        <w:rPr>
          <w:rFonts w:eastAsia="Calibri"/>
        </w:rPr>
        <w:t>deleting</w:t>
      </w:r>
      <w:r w:rsidR="00A32E2F">
        <w:rPr>
          <w:rFonts w:eastAsia="Calibri"/>
        </w:rPr>
        <w:t xml:space="preserve"> the </w:t>
      </w:r>
      <w:r>
        <w:rPr>
          <w:rFonts w:eastAsia="Calibri"/>
        </w:rPr>
        <w:t>language</w:t>
      </w:r>
      <w:r w:rsidR="0021705C">
        <w:rPr>
          <w:rFonts w:eastAsia="Calibri"/>
        </w:rPr>
        <w:t xml:space="preserve"> “as determined by the Company”</w:t>
      </w:r>
      <w:r>
        <w:rPr>
          <w:rFonts w:eastAsia="Calibri"/>
        </w:rPr>
        <w:t xml:space="preserve"> </w:t>
      </w:r>
      <w:r w:rsidR="00A32E2F">
        <w:rPr>
          <w:rFonts w:eastAsia="Calibri"/>
        </w:rPr>
        <w:t>from the FPA and PP</w:t>
      </w:r>
      <w:r w:rsidR="006F16D0">
        <w:rPr>
          <w:rFonts w:eastAsia="Calibri"/>
        </w:rPr>
        <w:t>P</w:t>
      </w:r>
      <w:r w:rsidR="00A32E2F">
        <w:rPr>
          <w:rFonts w:eastAsia="Calibri"/>
        </w:rPr>
        <w:t xml:space="preserve"> </w:t>
      </w:r>
      <w:r>
        <w:rPr>
          <w:rFonts w:eastAsia="Calibri"/>
        </w:rPr>
        <w:t>tariff</w:t>
      </w:r>
      <w:r w:rsidR="00A32E2F">
        <w:rPr>
          <w:rFonts w:eastAsia="Calibri"/>
        </w:rPr>
        <w:t>s</w:t>
      </w:r>
      <w:r w:rsidR="0021705C">
        <w:rPr>
          <w:rFonts w:eastAsia="Calibri"/>
        </w:rPr>
        <w:t>.</w:t>
      </w:r>
      <w:r>
        <w:rPr>
          <w:rFonts w:eastAsia="Calibri"/>
        </w:rPr>
        <w:t xml:space="preserve"> </w:t>
      </w:r>
    </w:p>
    <w:p w:rsidR="00EF75AF" w:rsidRPr="00D27646" w:rsidRDefault="000C03D9" w:rsidP="00B73B98">
      <w:pPr>
        <w:pStyle w:val="Answers"/>
        <w:spacing w:before="480"/>
        <w:rPr>
          <w:rFonts w:eastAsia="Calibri"/>
          <w:b/>
        </w:rPr>
      </w:pPr>
      <w:r w:rsidRPr="00D27646">
        <w:rPr>
          <w:rFonts w:eastAsia="Calibri"/>
          <w:b/>
        </w:rPr>
        <w:t>Q.</w:t>
      </w:r>
      <w:r w:rsidRPr="00D27646">
        <w:rPr>
          <w:rFonts w:eastAsia="Calibri"/>
          <w:b/>
        </w:rPr>
        <w:tab/>
        <w:t xml:space="preserve">IN ADDITION TO </w:t>
      </w:r>
      <w:r w:rsidR="00713683" w:rsidRPr="00D27646">
        <w:rPr>
          <w:rFonts w:eastAsia="Calibri"/>
          <w:b/>
        </w:rPr>
        <w:t>THE PROPOSED</w:t>
      </w:r>
      <w:r w:rsidRPr="00D27646">
        <w:rPr>
          <w:rFonts w:eastAsia="Calibri"/>
          <w:b/>
        </w:rPr>
        <w:t xml:space="preserve"> </w:t>
      </w:r>
      <w:r w:rsidR="00053BEB" w:rsidRPr="00D27646">
        <w:rPr>
          <w:rFonts w:eastAsia="Calibri"/>
          <w:b/>
        </w:rPr>
        <w:t>REVISIONS</w:t>
      </w:r>
      <w:r w:rsidRPr="00D27646">
        <w:rPr>
          <w:rFonts w:eastAsia="Calibri"/>
          <w:b/>
        </w:rPr>
        <w:t xml:space="preserve"> TO ITS TARIFFS, DID </w:t>
      </w:r>
      <w:r w:rsidR="002F1B74" w:rsidRPr="00D27646">
        <w:rPr>
          <w:rFonts w:eastAsia="Calibri"/>
          <w:b/>
        </w:rPr>
        <w:t>THE COMPANY</w:t>
      </w:r>
      <w:r w:rsidR="00461F99" w:rsidRPr="00D27646">
        <w:rPr>
          <w:rFonts w:eastAsia="Calibri"/>
          <w:b/>
        </w:rPr>
        <w:t xml:space="preserve"> </w:t>
      </w:r>
      <w:r w:rsidRPr="00D27646">
        <w:rPr>
          <w:rFonts w:eastAsia="Calibri"/>
          <w:b/>
        </w:rPr>
        <w:t xml:space="preserve">ALSO PROPOSE REVISIONS TO </w:t>
      </w:r>
      <w:r w:rsidR="00461F99" w:rsidRPr="00D27646">
        <w:rPr>
          <w:rFonts w:eastAsia="Calibri"/>
          <w:b/>
        </w:rPr>
        <w:t xml:space="preserve">THE </w:t>
      </w:r>
      <w:r w:rsidRPr="00D27646">
        <w:rPr>
          <w:rFonts w:eastAsia="Calibri"/>
          <w:b/>
        </w:rPr>
        <w:t>RULES AND REGULATIONS</w:t>
      </w:r>
      <w:r w:rsidR="00EF75AF" w:rsidRPr="00D27646">
        <w:rPr>
          <w:rFonts w:eastAsia="Calibri"/>
          <w:b/>
        </w:rPr>
        <w:t>?</w:t>
      </w:r>
    </w:p>
    <w:p w:rsidR="000C03D9" w:rsidRPr="004717AD" w:rsidRDefault="00DF6F90" w:rsidP="00DF6F90">
      <w:pPr>
        <w:pStyle w:val="Answers"/>
        <w:rPr>
          <w:rFonts w:eastAsia="Calibri"/>
        </w:rPr>
      </w:pPr>
      <w:r>
        <w:rPr>
          <w:rFonts w:eastAsia="Calibri"/>
        </w:rPr>
        <w:t>A.</w:t>
      </w:r>
      <w:r>
        <w:rPr>
          <w:rFonts w:eastAsia="Calibri"/>
        </w:rPr>
        <w:tab/>
      </w:r>
      <w:r w:rsidR="000C03D9" w:rsidRPr="000C03D9">
        <w:rPr>
          <w:rFonts w:eastAsia="Calibri"/>
        </w:rPr>
        <w:t xml:space="preserve">Yes. The Company </w:t>
      </w:r>
      <w:r w:rsidR="00A32E2F">
        <w:rPr>
          <w:rFonts w:eastAsia="Calibri"/>
        </w:rPr>
        <w:t>proposes</w:t>
      </w:r>
      <w:r w:rsidR="000C03D9" w:rsidRPr="000C03D9">
        <w:rPr>
          <w:rFonts w:eastAsia="Calibri"/>
        </w:rPr>
        <w:t xml:space="preserve"> modif</w:t>
      </w:r>
      <w:r w:rsidR="00886E1B">
        <w:rPr>
          <w:rFonts w:eastAsia="Calibri"/>
        </w:rPr>
        <w:t xml:space="preserve">ications to </w:t>
      </w:r>
      <w:r w:rsidR="00EF75AF">
        <w:rPr>
          <w:rFonts w:eastAsia="Calibri"/>
        </w:rPr>
        <w:t>several sections of its Rules and Regulations including</w:t>
      </w:r>
      <w:r w:rsidR="00921670">
        <w:rPr>
          <w:rFonts w:eastAsia="Calibri"/>
        </w:rPr>
        <w:t xml:space="preserve"> </w:t>
      </w:r>
      <w:r w:rsidR="00921670" w:rsidRPr="000C03D9">
        <w:rPr>
          <w:rFonts w:eastAsia="Calibri"/>
        </w:rPr>
        <w:t>Section F (Contract and Enforcement Regulations</w:t>
      </w:r>
      <w:r w:rsidR="00827434">
        <w:rPr>
          <w:rFonts w:eastAsia="Calibri"/>
        </w:rPr>
        <w:t>)</w:t>
      </w:r>
      <w:r w:rsidR="002F1B74">
        <w:rPr>
          <w:rFonts w:eastAsia="Calibri"/>
        </w:rPr>
        <w:t xml:space="preserve"> and </w:t>
      </w:r>
      <w:r w:rsidR="00921670" w:rsidRPr="004717AD">
        <w:rPr>
          <w:rFonts w:eastAsia="Calibri"/>
        </w:rPr>
        <w:t xml:space="preserve">Section G (Customer </w:t>
      </w:r>
      <w:r w:rsidR="00921670" w:rsidRPr="004717AD">
        <w:rPr>
          <w:rFonts w:eastAsia="Calibri"/>
        </w:rPr>
        <w:lastRenderedPageBreak/>
        <w:t>Generation)</w:t>
      </w:r>
      <w:r w:rsidR="00827434">
        <w:rPr>
          <w:rFonts w:eastAsia="Calibri"/>
        </w:rPr>
        <w:t xml:space="preserve">.  </w:t>
      </w:r>
      <w:r w:rsidR="000C03D9" w:rsidRPr="004717AD">
        <w:rPr>
          <w:rFonts w:eastAsia="Calibri"/>
        </w:rPr>
        <w:t xml:space="preserve">The </w:t>
      </w:r>
      <w:r w:rsidR="00886E1B">
        <w:rPr>
          <w:rFonts w:eastAsia="Calibri"/>
        </w:rPr>
        <w:t xml:space="preserve">Company’s </w:t>
      </w:r>
      <w:r w:rsidR="000C03D9" w:rsidRPr="004717AD">
        <w:rPr>
          <w:rFonts w:eastAsia="Calibri"/>
        </w:rPr>
        <w:t xml:space="preserve">proposed changes </w:t>
      </w:r>
      <w:r w:rsidR="00827434">
        <w:rPr>
          <w:rFonts w:eastAsia="Calibri"/>
        </w:rPr>
        <w:t xml:space="preserve">to Section G </w:t>
      </w:r>
      <w:r w:rsidR="000C03D9" w:rsidRPr="004717AD">
        <w:rPr>
          <w:rFonts w:eastAsia="Calibri"/>
        </w:rPr>
        <w:t xml:space="preserve">are related to </w:t>
      </w:r>
      <w:r w:rsidR="00827434">
        <w:rPr>
          <w:rFonts w:eastAsia="Calibri"/>
        </w:rPr>
        <w:t>the Company’s</w:t>
      </w:r>
      <w:r w:rsidR="000C03D9" w:rsidRPr="004717AD">
        <w:rPr>
          <w:rFonts w:eastAsia="Calibri"/>
        </w:rPr>
        <w:t xml:space="preserve"> proposed modifications to the RNR tariff.</w:t>
      </w:r>
    </w:p>
    <w:p w:rsidR="000C03D9" w:rsidRPr="000C03D9" w:rsidRDefault="000C03D9" w:rsidP="00D24841">
      <w:pPr>
        <w:pStyle w:val="Questions"/>
        <w:rPr>
          <w:rFonts w:eastAsia="Calibri"/>
        </w:rPr>
      </w:pPr>
      <w:r w:rsidRPr="000C03D9">
        <w:rPr>
          <w:rFonts w:eastAsia="Calibri"/>
        </w:rPr>
        <w:t>Q.</w:t>
      </w:r>
      <w:r w:rsidRPr="000C03D9">
        <w:rPr>
          <w:rFonts w:eastAsia="Calibri"/>
        </w:rPr>
        <w:tab/>
        <w:t xml:space="preserve">PLEASE DISCUSS </w:t>
      </w:r>
      <w:r w:rsidR="00DB252E" w:rsidRPr="000C03D9">
        <w:rPr>
          <w:rFonts w:eastAsia="Calibri"/>
        </w:rPr>
        <w:t>THE PROPOSED</w:t>
      </w:r>
      <w:r w:rsidRPr="000C03D9">
        <w:rPr>
          <w:rFonts w:eastAsia="Calibri"/>
        </w:rPr>
        <w:t xml:space="preserve"> CHANGES TO SECTION F OF </w:t>
      </w:r>
      <w:r w:rsidR="002E4721">
        <w:rPr>
          <w:rFonts w:eastAsia="Calibri"/>
        </w:rPr>
        <w:t>the</w:t>
      </w:r>
      <w:r w:rsidR="002E4721" w:rsidRPr="000C03D9">
        <w:rPr>
          <w:rFonts w:eastAsia="Calibri"/>
        </w:rPr>
        <w:t xml:space="preserve"> </w:t>
      </w:r>
      <w:r w:rsidR="00470673">
        <w:rPr>
          <w:rFonts w:eastAsia="Calibri"/>
        </w:rPr>
        <w:t xml:space="preserve">COMPANY’S </w:t>
      </w:r>
      <w:r w:rsidRPr="000C03D9">
        <w:rPr>
          <w:rFonts w:eastAsia="Calibri"/>
        </w:rPr>
        <w:t>RULES AND REGULATIONS.</w:t>
      </w:r>
    </w:p>
    <w:p w:rsidR="000C03D9" w:rsidRDefault="000C03D9" w:rsidP="00470673">
      <w:pPr>
        <w:pStyle w:val="Answers"/>
        <w:spacing w:after="240"/>
        <w:rPr>
          <w:rFonts w:eastAsia="Calibri"/>
        </w:rPr>
      </w:pPr>
      <w:r w:rsidRPr="000C03D9">
        <w:rPr>
          <w:rFonts w:eastAsia="Calibri"/>
        </w:rPr>
        <w:t>A.</w:t>
      </w:r>
      <w:r w:rsidRPr="000C03D9">
        <w:rPr>
          <w:rFonts w:eastAsia="Calibri"/>
        </w:rPr>
        <w:tab/>
        <w:t xml:space="preserve">The Company is proposing to modify Section F.2 to clarify that all charges paid to Georgia Power by its customers must be in U.S. dollars.  </w:t>
      </w:r>
    </w:p>
    <w:p w:rsidR="000C03D9" w:rsidRPr="000C03D9" w:rsidRDefault="00886E1B" w:rsidP="00470673">
      <w:pPr>
        <w:pStyle w:val="Answers"/>
        <w:spacing w:after="240"/>
        <w:ind w:firstLine="0"/>
        <w:rPr>
          <w:rFonts w:eastAsia="Calibri"/>
        </w:rPr>
      </w:pPr>
      <w:r w:rsidRPr="000C03D9">
        <w:rPr>
          <w:rFonts w:eastAsia="Calibri"/>
        </w:rPr>
        <w:t xml:space="preserve">The Company is </w:t>
      </w:r>
      <w:r>
        <w:rPr>
          <w:rFonts w:eastAsia="Calibri"/>
        </w:rPr>
        <w:t xml:space="preserve">also </w:t>
      </w:r>
      <w:r w:rsidRPr="000C03D9">
        <w:rPr>
          <w:rFonts w:eastAsia="Calibri"/>
        </w:rPr>
        <w:t xml:space="preserve">proposing to add Section F.9 to help protect its customers from higher costs by limiting damages in connection with any outage, surge, voltage fluctuation, disturbance or other variation or failure of electric service, or the Company’s equipment.  </w:t>
      </w:r>
      <w:r w:rsidR="00DB252E">
        <w:rPr>
          <w:rFonts w:eastAsia="Calibri"/>
        </w:rPr>
        <w:t>In its response to</w:t>
      </w:r>
      <w:r w:rsidR="00DB252E" w:rsidRPr="00DB252E">
        <w:rPr>
          <w:rFonts w:eastAsia="Calibri"/>
        </w:rPr>
        <w:t xml:space="preserve"> </w:t>
      </w:r>
      <w:r w:rsidR="00DB252E" w:rsidRPr="000C03D9">
        <w:rPr>
          <w:rFonts w:eastAsia="Calibri"/>
        </w:rPr>
        <w:t>STF-TAI-1-46</w:t>
      </w:r>
      <w:r w:rsidR="00DB252E">
        <w:rPr>
          <w:rFonts w:eastAsia="Calibri"/>
        </w:rPr>
        <w:t xml:space="preserve"> </w:t>
      </w:r>
      <w:r w:rsidR="00AF0876">
        <w:rPr>
          <w:rFonts w:eastAsia="Calibri"/>
        </w:rPr>
        <w:t>which</w:t>
      </w:r>
      <w:r w:rsidR="00DB252E">
        <w:rPr>
          <w:rFonts w:eastAsia="Calibri"/>
        </w:rPr>
        <w:t xml:space="preserve"> is provided as </w:t>
      </w:r>
      <w:r w:rsidR="00DB252E" w:rsidRPr="004E4588">
        <w:rPr>
          <w:rFonts w:eastAsia="Calibri"/>
        </w:rPr>
        <w:t>Staff Exhibit</w:t>
      </w:r>
      <w:r w:rsidR="00A2426E">
        <w:rPr>
          <w:rFonts w:eastAsia="Calibri"/>
        </w:rPr>
        <w:t xml:space="preserve"> _</w:t>
      </w:r>
      <w:r w:rsidR="00DB252E" w:rsidRPr="004E4588">
        <w:rPr>
          <w:rFonts w:eastAsia="Calibri"/>
        </w:rPr>
        <w:t>_</w:t>
      </w:r>
      <w:r w:rsidR="00A2426E">
        <w:rPr>
          <w:rFonts w:eastAsia="Calibri"/>
        </w:rPr>
        <w:t xml:space="preserve"> (</w:t>
      </w:r>
      <w:r w:rsidR="00DB252E">
        <w:rPr>
          <w:rFonts w:eastAsia="Calibri"/>
        </w:rPr>
        <w:t>BDW</w:t>
      </w:r>
      <w:r w:rsidR="00DB252E" w:rsidRPr="004E4588">
        <w:rPr>
          <w:rFonts w:eastAsia="Calibri"/>
        </w:rPr>
        <w:t>-</w:t>
      </w:r>
      <w:r w:rsidR="00AF0876">
        <w:rPr>
          <w:rFonts w:eastAsia="Calibri"/>
        </w:rPr>
        <w:t>18</w:t>
      </w:r>
      <w:r w:rsidR="00A2426E">
        <w:rPr>
          <w:rFonts w:eastAsia="Calibri"/>
        </w:rPr>
        <w:t>)</w:t>
      </w:r>
      <w:r w:rsidR="00DB252E">
        <w:rPr>
          <w:rFonts w:eastAsia="Calibri"/>
        </w:rPr>
        <w:t>, t</w:t>
      </w:r>
      <w:r w:rsidRPr="000C03D9">
        <w:rPr>
          <w:rFonts w:eastAsia="Calibri"/>
        </w:rPr>
        <w:t>he Company stated that the proposed language represents a clarification of current policy and not a change in the current limitation on liability that applies to customer accounts.  As proposed, the new section will limit Georgia Power’s liability to only direct damages and that personal property liability will only be limited to the depreciated value.</w:t>
      </w:r>
    </w:p>
    <w:p w:rsidR="000C03D9" w:rsidRDefault="000C03D9" w:rsidP="00886E1B">
      <w:pPr>
        <w:pStyle w:val="Answers"/>
        <w:ind w:firstLine="0"/>
        <w:rPr>
          <w:rFonts w:eastAsia="Calibri"/>
        </w:rPr>
      </w:pPr>
      <w:r w:rsidRPr="000C03D9">
        <w:rPr>
          <w:rFonts w:eastAsia="Calibri"/>
        </w:rPr>
        <w:t xml:space="preserve">The Company is </w:t>
      </w:r>
      <w:r w:rsidR="00DB252E">
        <w:rPr>
          <w:rFonts w:eastAsia="Calibri"/>
        </w:rPr>
        <w:t xml:space="preserve">also </w:t>
      </w:r>
      <w:r w:rsidRPr="000C03D9">
        <w:rPr>
          <w:rFonts w:eastAsia="Calibri"/>
        </w:rPr>
        <w:t xml:space="preserve">proposing to add Section F.10 to prohibit out of state litigation.  In response to a Staff data request, the Company stated that a customer should only initiate litigation in the state of Georgia concerning service with Georgia Power because the Company provides electric service to customers and premises within Georgia, consistent with the requirements of Georgia </w:t>
      </w:r>
      <w:bookmarkStart w:id="39" w:name="_Hlk116359437"/>
      <w:r w:rsidR="001170F0" w:rsidRPr="000C03D9">
        <w:rPr>
          <w:rFonts w:eastAsia="Calibri"/>
        </w:rPr>
        <w:t>law (</w:t>
      </w:r>
      <w:r w:rsidR="004E4588">
        <w:rPr>
          <w:rFonts w:eastAsia="Calibri"/>
        </w:rPr>
        <w:t xml:space="preserve">Company </w:t>
      </w:r>
      <w:r w:rsidRPr="000C03D9">
        <w:rPr>
          <w:rFonts w:eastAsia="Calibri"/>
        </w:rPr>
        <w:t>Response to STF-TAI-1-47</w:t>
      </w:r>
      <w:bookmarkEnd w:id="39"/>
      <w:r w:rsidR="004E4588" w:rsidRPr="004E4588">
        <w:rPr>
          <w:rFonts w:eastAsia="Calibri"/>
        </w:rPr>
        <w:t>; Staff Exhibit</w:t>
      </w:r>
      <w:r w:rsidR="00A2426E">
        <w:rPr>
          <w:rFonts w:eastAsia="Calibri"/>
        </w:rPr>
        <w:t xml:space="preserve"> </w:t>
      </w:r>
      <w:r w:rsidR="004E4588" w:rsidRPr="004E4588">
        <w:rPr>
          <w:rFonts w:eastAsia="Calibri"/>
        </w:rPr>
        <w:t>_</w:t>
      </w:r>
      <w:r w:rsidR="00A2426E">
        <w:rPr>
          <w:rFonts w:eastAsia="Calibri"/>
        </w:rPr>
        <w:t>_ (</w:t>
      </w:r>
      <w:r w:rsidR="004E4588">
        <w:rPr>
          <w:rFonts w:eastAsia="Calibri"/>
        </w:rPr>
        <w:t>BDW</w:t>
      </w:r>
      <w:r w:rsidR="004E4588" w:rsidRPr="004E4588">
        <w:rPr>
          <w:rFonts w:eastAsia="Calibri"/>
        </w:rPr>
        <w:t>-</w:t>
      </w:r>
      <w:r w:rsidR="00AF0876">
        <w:rPr>
          <w:rFonts w:eastAsia="Calibri"/>
        </w:rPr>
        <w:t>19</w:t>
      </w:r>
      <w:r w:rsidR="00A2426E">
        <w:rPr>
          <w:rFonts w:eastAsia="Calibri"/>
        </w:rPr>
        <w:t>)</w:t>
      </w:r>
      <w:r w:rsidRPr="000C03D9">
        <w:rPr>
          <w:rFonts w:eastAsia="Calibri"/>
        </w:rPr>
        <w:t xml:space="preserve">).  </w:t>
      </w:r>
    </w:p>
    <w:p w:rsidR="00D64728" w:rsidRPr="00827434" w:rsidRDefault="00D64728" w:rsidP="00827434">
      <w:pPr>
        <w:pStyle w:val="Answers"/>
        <w:spacing w:before="480"/>
        <w:rPr>
          <w:rFonts w:eastAsia="Calibri"/>
          <w:b/>
        </w:rPr>
      </w:pPr>
      <w:r w:rsidRPr="00827434">
        <w:rPr>
          <w:rFonts w:eastAsia="Calibri"/>
          <w:b/>
        </w:rPr>
        <w:lastRenderedPageBreak/>
        <w:t>Q.</w:t>
      </w:r>
      <w:r w:rsidRPr="00827434">
        <w:rPr>
          <w:rFonts w:eastAsia="Calibri"/>
          <w:b/>
        </w:rPr>
        <w:tab/>
        <w:t>DOES STAFF RECOMMEND APPROVAL OF THE PROPOSED CHANGES TO SECTION F OF THE RULES AND REGULATIONS?</w:t>
      </w:r>
    </w:p>
    <w:p w:rsidR="00827434" w:rsidRPr="000C03D9" w:rsidRDefault="00827434" w:rsidP="00DF6F90">
      <w:pPr>
        <w:pStyle w:val="Answers"/>
        <w:rPr>
          <w:rFonts w:eastAsia="Calibri"/>
        </w:rPr>
      </w:pPr>
      <w:r>
        <w:rPr>
          <w:rFonts w:eastAsia="Calibri"/>
        </w:rPr>
        <w:t>A.</w:t>
      </w:r>
      <w:r>
        <w:rPr>
          <w:rFonts w:eastAsia="Calibri"/>
        </w:rPr>
        <w:tab/>
      </w:r>
      <w:r w:rsidR="00DB252E">
        <w:rPr>
          <w:rFonts w:eastAsia="Calibri"/>
        </w:rPr>
        <w:t>Yes. Staff recommends approval of the proposed changes to Section F of the Company’s Rules and Regulations.</w:t>
      </w:r>
    </w:p>
    <w:p w:rsidR="000C03D9" w:rsidRPr="000C03D9" w:rsidRDefault="000C03D9" w:rsidP="00D24841">
      <w:pPr>
        <w:pStyle w:val="Questions"/>
        <w:rPr>
          <w:rFonts w:eastAsia="Calibri"/>
        </w:rPr>
      </w:pPr>
      <w:bookmarkStart w:id="40" w:name="_Hlk115953946"/>
      <w:r w:rsidRPr="000C03D9">
        <w:rPr>
          <w:rFonts w:eastAsia="Calibri"/>
        </w:rPr>
        <w:t>Q.</w:t>
      </w:r>
      <w:r w:rsidRPr="000C03D9">
        <w:rPr>
          <w:rFonts w:eastAsia="Calibri"/>
        </w:rPr>
        <w:tab/>
      </w:r>
      <w:r w:rsidR="0093351B">
        <w:rPr>
          <w:rFonts w:eastAsia="Calibri"/>
        </w:rPr>
        <w:t xml:space="preserve">PLEASE DESCRIBE </w:t>
      </w:r>
      <w:r w:rsidR="00A32E2F">
        <w:rPr>
          <w:rFonts w:eastAsia="Calibri"/>
        </w:rPr>
        <w:t xml:space="preserve">THE COMPANY’S PROPOSED REVISIONS TO </w:t>
      </w:r>
      <w:r w:rsidR="0093351B">
        <w:rPr>
          <w:rFonts w:eastAsia="Calibri"/>
        </w:rPr>
        <w:t>SECTION G OF THE COMPANY’S RULES AND REGULATIONS</w:t>
      </w:r>
      <w:r w:rsidR="00A32E2F">
        <w:rPr>
          <w:rFonts w:eastAsia="Calibri"/>
        </w:rPr>
        <w:t>.</w:t>
      </w:r>
      <w:r w:rsidR="0093351B">
        <w:rPr>
          <w:rFonts w:eastAsia="Calibri"/>
        </w:rPr>
        <w:t xml:space="preserve"> </w:t>
      </w:r>
    </w:p>
    <w:p w:rsidR="000C03D9" w:rsidRPr="000C03D9" w:rsidRDefault="000C03D9" w:rsidP="00DF6F90">
      <w:pPr>
        <w:pStyle w:val="Answers"/>
        <w:rPr>
          <w:rFonts w:eastAsia="Calibri"/>
        </w:rPr>
      </w:pPr>
      <w:r w:rsidRPr="000C03D9">
        <w:rPr>
          <w:rFonts w:eastAsia="Calibri"/>
        </w:rPr>
        <w:t>A.</w:t>
      </w:r>
      <w:r w:rsidRPr="000C03D9">
        <w:rPr>
          <w:rFonts w:eastAsia="Calibri"/>
        </w:rPr>
        <w:tab/>
        <w:t>Georgia Power is proposing to modify Section G.3 such that customer generators 250 k</w:t>
      </w:r>
      <w:r w:rsidR="007E4CFC">
        <w:rPr>
          <w:rFonts w:eastAsia="Calibri"/>
        </w:rPr>
        <w:t>W</w:t>
      </w:r>
      <w:r w:rsidRPr="000C03D9">
        <w:rPr>
          <w:rFonts w:eastAsia="Calibri"/>
        </w:rPr>
        <w:t xml:space="preserve"> and above are responsible for all fees associated with a system impact study and witness testing. </w:t>
      </w:r>
      <w:r w:rsidR="00DB252E">
        <w:rPr>
          <w:rFonts w:eastAsia="Calibri"/>
        </w:rPr>
        <w:t xml:space="preserve">The proposed revisions also require </w:t>
      </w:r>
      <w:r w:rsidR="00F366EC">
        <w:rPr>
          <w:rFonts w:eastAsia="Calibri"/>
        </w:rPr>
        <w:t xml:space="preserve">these </w:t>
      </w:r>
      <w:r w:rsidR="00DB252E">
        <w:rPr>
          <w:rFonts w:eastAsia="Calibri"/>
        </w:rPr>
        <w:t>c</w:t>
      </w:r>
      <w:r w:rsidRPr="000C03D9">
        <w:rPr>
          <w:rFonts w:eastAsia="Calibri"/>
        </w:rPr>
        <w:t xml:space="preserve">ustomers </w:t>
      </w:r>
      <w:r w:rsidR="00DB252E">
        <w:rPr>
          <w:rFonts w:eastAsia="Calibri"/>
        </w:rPr>
        <w:t xml:space="preserve">to </w:t>
      </w:r>
      <w:r w:rsidRPr="000C03D9">
        <w:rPr>
          <w:rFonts w:eastAsia="Calibri"/>
        </w:rPr>
        <w:t xml:space="preserve">install a local communications interface that supports information exchange with, and control by, the Company. Customer-owned generators less than 250 </w:t>
      </w:r>
      <w:r w:rsidR="007E4CFC">
        <w:rPr>
          <w:rFonts w:eastAsia="Calibri"/>
        </w:rPr>
        <w:t>kW</w:t>
      </w:r>
      <w:r w:rsidR="007E4CFC" w:rsidRPr="000C03D9">
        <w:rPr>
          <w:rFonts w:eastAsia="Calibri"/>
        </w:rPr>
        <w:t xml:space="preserve"> </w:t>
      </w:r>
      <w:r w:rsidRPr="000C03D9">
        <w:rPr>
          <w:rFonts w:eastAsia="Calibri"/>
        </w:rPr>
        <w:t xml:space="preserve">may also be required to undergo witness testing if the Company deems that the generator poses a safety or reliability risk.  Additionally, Georgia Power is proposing to modify Section G.4 such that all customers proposing to interconnect customer generation must pay a one-time interconnection fee of $200.  </w:t>
      </w:r>
    </w:p>
    <w:p w:rsidR="007E4CFC" w:rsidRDefault="007E4CFC" w:rsidP="00B73B98">
      <w:pPr>
        <w:pStyle w:val="Answers"/>
        <w:spacing w:before="480"/>
        <w:rPr>
          <w:rFonts w:eastAsia="Calibri"/>
          <w:b/>
        </w:rPr>
      </w:pPr>
      <w:r w:rsidRPr="00A84AE4">
        <w:rPr>
          <w:rFonts w:eastAsia="Calibri"/>
          <w:b/>
        </w:rPr>
        <w:t>Q.</w:t>
      </w:r>
      <w:r w:rsidRPr="00A84AE4">
        <w:rPr>
          <w:rFonts w:eastAsia="Calibri"/>
          <w:b/>
        </w:rPr>
        <w:tab/>
      </w:r>
      <w:r w:rsidR="00A32E2F">
        <w:rPr>
          <w:rFonts w:eastAsia="Calibri"/>
          <w:b/>
        </w:rPr>
        <w:t xml:space="preserve">WHAT </w:t>
      </w:r>
      <w:r>
        <w:rPr>
          <w:rFonts w:eastAsia="Calibri"/>
          <w:b/>
        </w:rPr>
        <w:t>JUSTIFICATION</w:t>
      </w:r>
      <w:r w:rsidR="00A32E2F">
        <w:rPr>
          <w:rFonts w:eastAsia="Calibri"/>
          <w:b/>
        </w:rPr>
        <w:t xml:space="preserve"> DID THE COMPANY PROVIDE</w:t>
      </w:r>
      <w:r>
        <w:rPr>
          <w:rFonts w:eastAsia="Calibri"/>
          <w:b/>
        </w:rPr>
        <w:t xml:space="preserve"> FOR ITS REQUEST TO COMMUNICATE WITH AND CONTROL ALL CUSTOMER GENERATORS LARGER THAN 250 kW? </w:t>
      </w:r>
    </w:p>
    <w:p w:rsidR="007E4CFC" w:rsidRPr="00B73B98" w:rsidRDefault="007E4CFC" w:rsidP="00B73B98">
      <w:pPr>
        <w:pStyle w:val="Answers"/>
        <w:rPr>
          <w:rFonts w:eastAsia="Calibri"/>
        </w:rPr>
      </w:pPr>
      <w:r w:rsidRPr="000C03D9">
        <w:rPr>
          <w:rFonts w:eastAsia="Calibri"/>
        </w:rPr>
        <w:t>A.</w:t>
      </w:r>
      <w:r w:rsidRPr="000C03D9">
        <w:rPr>
          <w:rFonts w:eastAsia="Calibri"/>
        </w:rPr>
        <w:tab/>
      </w:r>
      <w:r w:rsidR="00DB252E">
        <w:rPr>
          <w:rFonts w:eastAsia="Calibri"/>
        </w:rPr>
        <w:t xml:space="preserve">In </w:t>
      </w:r>
      <w:bookmarkStart w:id="41" w:name="_Hlk116359535"/>
      <w:r w:rsidR="00AF0876">
        <w:rPr>
          <w:rFonts w:eastAsia="Calibri"/>
        </w:rPr>
        <w:t>r</w:t>
      </w:r>
      <w:r w:rsidR="00DB252E" w:rsidRPr="000C03D9">
        <w:rPr>
          <w:rFonts w:eastAsia="Calibri"/>
        </w:rPr>
        <w:t>esponse to STF-</w:t>
      </w:r>
      <w:r w:rsidR="00DB252E">
        <w:rPr>
          <w:rFonts w:eastAsia="Calibri"/>
        </w:rPr>
        <w:t>PIA</w:t>
      </w:r>
      <w:r w:rsidR="00DB252E" w:rsidRPr="000C03D9">
        <w:rPr>
          <w:rFonts w:eastAsia="Calibri"/>
        </w:rPr>
        <w:t>-</w:t>
      </w:r>
      <w:r w:rsidR="00DB252E">
        <w:rPr>
          <w:rFonts w:eastAsia="Calibri"/>
        </w:rPr>
        <w:t>6</w:t>
      </w:r>
      <w:r w:rsidR="00DB252E" w:rsidRPr="000C03D9">
        <w:rPr>
          <w:rFonts w:eastAsia="Calibri"/>
        </w:rPr>
        <w:t>-40</w:t>
      </w:r>
      <w:r w:rsidR="00F366EC">
        <w:rPr>
          <w:rFonts w:eastAsia="Calibri"/>
        </w:rPr>
        <w:t>,</w:t>
      </w:r>
      <w:r w:rsidR="00DB252E">
        <w:rPr>
          <w:rFonts w:eastAsia="Calibri"/>
        </w:rPr>
        <w:t xml:space="preserve"> </w:t>
      </w:r>
      <w:bookmarkEnd w:id="41"/>
      <w:r w:rsidR="00DB252E">
        <w:rPr>
          <w:rFonts w:eastAsia="Calibri"/>
        </w:rPr>
        <w:t xml:space="preserve">provided as </w:t>
      </w:r>
      <w:r w:rsidR="00DB252E" w:rsidRPr="004E4588">
        <w:rPr>
          <w:rFonts w:eastAsia="Calibri"/>
        </w:rPr>
        <w:t>Staff Exhibit</w:t>
      </w:r>
      <w:r w:rsidR="00A2426E">
        <w:rPr>
          <w:rFonts w:eastAsia="Calibri"/>
        </w:rPr>
        <w:t xml:space="preserve"> _</w:t>
      </w:r>
      <w:r w:rsidR="00DB252E" w:rsidRPr="004E4588">
        <w:rPr>
          <w:rFonts w:eastAsia="Calibri"/>
        </w:rPr>
        <w:t>_</w:t>
      </w:r>
      <w:r w:rsidR="00A2426E">
        <w:rPr>
          <w:rFonts w:eastAsia="Calibri"/>
        </w:rPr>
        <w:t xml:space="preserve"> (</w:t>
      </w:r>
      <w:r w:rsidR="00DB252E">
        <w:rPr>
          <w:rFonts w:eastAsia="Calibri"/>
        </w:rPr>
        <w:t>BDW</w:t>
      </w:r>
      <w:r w:rsidR="00DB252E" w:rsidRPr="004E4588">
        <w:rPr>
          <w:rFonts w:eastAsia="Calibri"/>
        </w:rPr>
        <w:t>-</w:t>
      </w:r>
      <w:r w:rsidR="00AF0876">
        <w:rPr>
          <w:rFonts w:eastAsia="Calibri"/>
        </w:rPr>
        <w:t>20</w:t>
      </w:r>
      <w:r w:rsidR="00A2426E">
        <w:rPr>
          <w:rFonts w:eastAsia="Calibri"/>
        </w:rPr>
        <w:t>)</w:t>
      </w:r>
      <w:r w:rsidR="00DB252E">
        <w:rPr>
          <w:rFonts w:eastAsia="Calibri"/>
        </w:rPr>
        <w:t>, t</w:t>
      </w:r>
      <w:r>
        <w:rPr>
          <w:rFonts w:eastAsia="Calibri"/>
        </w:rPr>
        <w:t xml:space="preserve">he </w:t>
      </w:r>
      <w:r w:rsidR="009D59E3">
        <w:rPr>
          <w:rFonts w:eastAsia="Calibri"/>
        </w:rPr>
        <w:t>C</w:t>
      </w:r>
      <w:r>
        <w:rPr>
          <w:rFonts w:eastAsia="Calibri"/>
        </w:rPr>
        <w:t xml:space="preserve">ompany asserts that communication and control of large customer generators is supportive of the </w:t>
      </w:r>
      <w:r>
        <w:rPr>
          <w:rFonts w:eastAsia="Calibri"/>
        </w:rPr>
        <w:lastRenderedPageBreak/>
        <w:t xml:space="preserve">proposed DERMS, and improves the company’s planning and operation of the electric </w:t>
      </w:r>
      <w:r w:rsidR="00DB252E">
        <w:rPr>
          <w:rFonts w:eastAsia="Calibri"/>
        </w:rPr>
        <w:t>system. The</w:t>
      </w:r>
      <w:r>
        <w:rPr>
          <w:rFonts w:eastAsia="Calibri"/>
        </w:rPr>
        <w:t xml:space="preserve"> Company clarified that the required control capabilities were established in Section A13.3 of its Operation of DER in Parallel with the Distribution System Policy, provided as an attachment to </w:t>
      </w:r>
      <w:r w:rsidR="00DB252E">
        <w:rPr>
          <w:rFonts w:eastAsia="Calibri"/>
        </w:rPr>
        <w:t xml:space="preserve">the Company’s response to </w:t>
      </w:r>
      <w:r>
        <w:rPr>
          <w:rFonts w:eastAsia="Calibri"/>
        </w:rPr>
        <w:t xml:space="preserve">STF-PIA-6-40. These capabilities are also defined in IEEE 1547-2018 and are limited to the </w:t>
      </w:r>
      <w:r w:rsidRPr="0039177E">
        <w:rPr>
          <w:rFonts w:eastAsia="Calibri"/>
        </w:rPr>
        <w:t>ability to remotely shut off all energy conversion equipment of the DER and remotely</w:t>
      </w:r>
      <w:r>
        <w:rPr>
          <w:rFonts w:eastAsia="Calibri"/>
        </w:rPr>
        <w:t xml:space="preserve"> </w:t>
      </w:r>
      <w:r w:rsidRPr="0039177E">
        <w:rPr>
          <w:rFonts w:eastAsia="Calibri"/>
        </w:rPr>
        <w:t>change the reactive power control setting of the DER</w:t>
      </w:r>
      <w:r>
        <w:rPr>
          <w:rFonts w:eastAsia="Calibri"/>
        </w:rPr>
        <w:t>. The Company</w:t>
      </w:r>
      <w:r w:rsidR="001170F0">
        <w:rPr>
          <w:rFonts w:eastAsia="Calibri"/>
        </w:rPr>
        <w:t>’s proposal</w:t>
      </w:r>
      <w:r>
        <w:rPr>
          <w:rFonts w:eastAsia="Calibri"/>
        </w:rPr>
        <w:t xml:space="preserve"> would require all customer generators larger than 250 kW, both existing and future, to comply with this requirement.</w:t>
      </w:r>
    </w:p>
    <w:p w:rsidR="007E4CFC" w:rsidRDefault="007E4CFC" w:rsidP="00B73B98">
      <w:pPr>
        <w:pStyle w:val="Answers"/>
        <w:spacing w:before="480"/>
        <w:rPr>
          <w:rFonts w:eastAsia="Calibri"/>
          <w:b/>
        </w:rPr>
      </w:pPr>
      <w:r w:rsidRPr="00A84AE4">
        <w:rPr>
          <w:rFonts w:eastAsia="Calibri"/>
          <w:b/>
        </w:rPr>
        <w:t>Q.</w:t>
      </w:r>
      <w:r w:rsidRPr="00A84AE4">
        <w:rPr>
          <w:rFonts w:eastAsia="Calibri"/>
          <w:b/>
        </w:rPr>
        <w:tab/>
      </w:r>
      <w:r>
        <w:rPr>
          <w:rFonts w:eastAsia="Calibri"/>
          <w:b/>
        </w:rPr>
        <w:t xml:space="preserve">DOES STAFF SUPPORT THE COMPANY’S REQUEST TO COMMUNICATE WITH AND CONTROL CUSTOMER GENERATORS? </w:t>
      </w:r>
    </w:p>
    <w:p w:rsidR="0021705C" w:rsidRDefault="007E4CFC" w:rsidP="0021705C">
      <w:pPr>
        <w:pStyle w:val="Answers"/>
        <w:rPr>
          <w:rFonts w:eastAsia="Calibri"/>
        </w:rPr>
      </w:pPr>
      <w:r w:rsidRPr="000C03D9">
        <w:rPr>
          <w:rFonts w:eastAsia="Calibri"/>
        </w:rPr>
        <w:t>A.</w:t>
      </w:r>
      <w:r w:rsidRPr="000C03D9">
        <w:rPr>
          <w:rFonts w:eastAsia="Calibri"/>
        </w:rPr>
        <w:tab/>
      </w:r>
      <w:r>
        <w:rPr>
          <w:rFonts w:eastAsia="Calibri"/>
        </w:rPr>
        <w:t>No</w:t>
      </w:r>
      <w:r w:rsidR="00A32E2F">
        <w:rPr>
          <w:rFonts w:eastAsia="Calibri"/>
        </w:rPr>
        <w:t>.</w:t>
      </w:r>
      <w:r>
        <w:rPr>
          <w:rFonts w:eastAsia="Calibri"/>
        </w:rPr>
        <w:t xml:space="preserve"> Staff </w:t>
      </w:r>
      <w:r w:rsidR="00E23473">
        <w:rPr>
          <w:rFonts w:eastAsia="Calibri"/>
        </w:rPr>
        <w:t xml:space="preserve">has significant concern with giving the Company </w:t>
      </w:r>
      <w:r w:rsidR="005E5C06">
        <w:rPr>
          <w:rFonts w:eastAsia="Calibri"/>
        </w:rPr>
        <w:t>unconditional</w:t>
      </w:r>
      <w:r w:rsidR="00E23473">
        <w:rPr>
          <w:rFonts w:eastAsia="Calibri"/>
        </w:rPr>
        <w:t xml:space="preserve"> access and control of customer generators. First, the Company’s communication and control of customer generators should be explicitly limited to those capabilities provided in</w:t>
      </w:r>
      <w:r w:rsidR="00E23473" w:rsidRPr="00112752">
        <w:rPr>
          <w:rFonts w:eastAsia="Calibri"/>
        </w:rPr>
        <w:t xml:space="preserve"> IEEE 1547-201</w:t>
      </w:r>
      <w:r w:rsidR="00E23473">
        <w:rPr>
          <w:rFonts w:eastAsia="Calibri"/>
        </w:rPr>
        <w:t>8.</w:t>
      </w:r>
      <w:r w:rsidR="00F366EC">
        <w:rPr>
          <w:rFonts w:eastAsia="Calibri"/>
        </w:rPr>
        <w:t xml:space="preserve"> </w:t>
      </w:r>
      <w:r w:rsidR="00804393">
        <w:rPr>
          <w:rFonts w:eastAsia="Calibri"/>
        </w:rPr>
        <w:t>In addition</w:t>
      </w:r>
      <w:r w:rsidR="00E23473">
        <w:rPr>
          <w:rFonts w:eastAsia="Calibri"/>
        </w:rPr>
        <w:t>, th</w:t>
      </w:r>
      <w:r w:rsidR="00804393">
        <w:rPr>
          <w:rFonts w:eastAsia="Calibri"/>
        </w:rPr>
        <w:t>e proposed</w:t>
      </w:r>
      <w:r w:rsidR="00E23473">
        <w:rPr>
          <w:rFonts w:eastAsia="Calibri"/>
        </w:rPr>
        <w:t xml:space="preserve"> communication and control requirement should not be </w:t>
      </w:r>
      <w:r w:rsidR="00230578">
        <w:rPr>
          <w:rFonts w:eastAsia="Calibri"/>
        </w:rPr>
        <w:t>appl</w:t>
      </w:r>
      <w:r w:rsidR="0038211F">
        <w:rPr>
          <w:rFonts w:eastAsia="Calibri"/>
        </w:rPr>
        <w:t xml:space="preserve">ied </w:t>
      </w:r>
      <w:r w:rsidR="00E23473">
        <w:rPr>
          <w:rFonts w:eastAsia="Calibri"/>
        </w:rPr>
        <w:t>retroactive</w:t>
      </w:r>
      <w:r w:rsidR="0038211F">
        <w:rPr>
          <w:rFonts w:eastAsia="Calibri"/>
        </w:rPr>
        <w:t>ly</w:t>
      </w:r>
      <w:r w:rsidR="00E23473">
        <w:rPr>
          <w:rFonts w:eastAsia="Calibri"/>
        </w:rPr>
        <w:t xml:space="preserve">, as requiring existing </w:t>
      </w:r>
      <w:r w:rsidR="0038211F">
        <w:rPr>
          <w:rFonts w:eastAsia="Calibri"/>
        </w:rPr>
        <w:t xml:space="preserve">customer generators </w:t>
      </w:r>
      <w:r w:rsidR="00E23473">
        <w:rPr>
          <w:rFonts w:eastAsia="Calibri"/>
        </w:rPr>
        <w:t xml:space="preserve">to upgrade to meet changing </w:t>
      </w:r>
      <w:r w:rsidR="0038211F">
        <w:rPr>
          <w:rFonts w:eastAsia="Calibri"/>
        </w:rPr>
        <w:t xml:space="preserve">requirements </w:t>
      </w:r>
      <w:r w:rsidR="003961B5">
        <w:rPr>
          <w:rFonts w:eastAsia="Calibri"/>
        </w:rPr>
        <w:t>could be seen as</w:t>
      </w:r>
      <w:r w:rsidR="00E23473">
        <w:rPr>
          <w:rFonts w:eastAsia="Calibri"/>
        </w:rPr>
        <w:t xml:space="preserve"> punitive.</w:t>
      </w:r>
    </w:p>
    <w:p w:rsidR="004E2C3A" w:rsidRDefault="004E2C3A" w:rsidP="00C21AB1">
      <w:pPr>
        <w:pStyle w:val="Answers"/>
        <w:spacing w:before="480"/>
        <w:rPr>
          <w:rFonts w:eastAsia="Calibri"/>
          <w:b/>
        </w:rPr>
      </w:pPr>
      <w:r>
        <w:rPr>
          <w:rFonts w:eastAsia="Calibri"/>
          <w:b/>
        </w:rPr>
        <w:t>Q.</w:t>
      </w:r>
      <w:r>
        <w:rPr>
          <w:rFonts w:eastAsia="Calibri"/>
          <w:b/>
        </w:rPr>
        <w:tab/>
        <w:t>WHAT IS STAFF’</w:t>
      </w:r>
      <w:r w:rsidR="00A44C5A">
        <w:rPr>
          <w:rFonts w:eastAsia="Calibri"/>
          <w:b/>
        </w:rPr>
        <w:t>S</w:t>
      </w:r>
      <w:r>
        <w:rPr>
          <w:rFonts w:eastAsia="Calibri"/>
          <w:b/>
        </w:rPr>
        <w:t xml:space="preserve"> RECOMMENDATION REGARDING THE LOCAL COMMUNICATION INTERFACE?</w:t>
      </w:r>
    </w:p>
    <w:p w:rsidR="004E2C3A" w:rsidRPr="0046304D" w:rsidRDefault="004E2C3A" w:rsidP="007E4CFC">
      <w:pPr>
        <w:pStyle w:val="Answers"/>
        <w:rPr>
          <w:rFonts w:eastAsia="Calibri"/>
        </w:rPr>
      </w:pPr>
      <w:r>
        <w:rPr>
          <w:rFonts w:eastAsia="Calibri"/>
        </w:rPr>
        <w:t>A.</w:t>
      </w:r>
      <w:r>
        <w:rPr>
          <w:rFonts w:eastAsia="Calibri"/>
        </w:rPr>
        <w:tab/>
      </w:r>
      <w:r w:rsidR="0038211F">
        <w:rPr>
          <w:rFonts w:eastAsia="Calibri"/>
        </w:rPr>
        <w:t xml:space="preserve">Staff recommends </w:t>
      </w:r>
      <w:r w:rsidR="00E661B6">
        <w:rPr>
          <w:rFonts w:eastAsia="Calibri"/>
        </w:rPr>
        <w:t xml:space="preserve">the Company’s proposed </w:t>
      </w:r>
      <w:r w:rsidR="00B639C7">
        <w:rPr>
          <w:rFonts w:eastAsia="Calibri"/>
        </w:rPr>
        <w:t xml:space="preserve">modification </w:t>
      </w:r>
      <w:r w:rsidR="00E661B6">
        <w:rPr>
          <w:rFonts w:eastAsia="Calibri"/>
        </w:rPr>
        <w:t xml:space="preserve">to the </w:t>
      </w:r>
      <w:r w:rsidR="00B639C7">
        <w:rPr>
          <w:rFonts w:eastAsia="Calibri"/>
        </w:rPr>
        <w:t xml:space="preserve">language in Section G.3 to explicitly limit </w:t>
      </w:r>
      <w:r w:rsidR="0038211F">
        <w:rPr>
          <w:rFonts w:eastAsia="Calibri"/>
        </w:rPr>
        <w:t xml:space="preserve">the Company’s </w:t>
      </w:r>
      <w:r w:rsidR="00B639C7">
        <w:rPr>
          <w:rFonts w:eastAsia="Calibri"/>
        </w:rPr>
        <w:t xml:space="preserve">communication with and </w:t>
      </w:r>
      <w:r w:rsidR="0038211F">
        <w:rPr>
          <w:rFonts w:eastAsia="Calibri"/>
        </w:rPr>
        <w:t xml:space="preserve">control of the customer’s </w:t>
      </w:r>
      <w:r w:rsidR="0038211F">
        <w:rPr>
          <w:rFonts w:eastAsia="Calibri"/>
        </w:rPr>
        <w:lastRenderedPageBreak/>
        <w:t>generator to those capabilities provided in</w:t>
      </w:r>
      <w:r w:rsidR="0038211F" w:rsidRPr="00112752">
        <w:rPr>
          <w:rFonts w:eastAsia="Calibri"/>
        </w:rPr>
        <w:t xml:space="preserve"> IEEE 1547-201</w:t>
      </w:r>
      <w:r w:rsidR="0038211F">
        <w:rPr>
          <w:rFonts w:eastAsia="Calibri"/>
        </w:rPr>
        <w:t>8</w:t>
      </w:r>
      <w:r w:rsidR="00B639C7">
        <w:rPr>
          <w:rFonts w:eastAsia="Calibri"/>
        </w:rPr>
        <w:t xml:space="preserve"> and to require only new interconnecting customer generators to comply with the</w:t>
      </w:r>
      <w:r w:rsidR="0013048C">
        <w:rPr>
          <w:rFonts w:eastAsia="Calibri"/>
        </w:rPr>
        <w:t xml:space="preserve"> proposed </w:t>
      </w:r>
      <w:r w:rsidR="00B639C7">
        <w:rPr>
          <w:rFonts w:eastAsia="Calibri"/>
        </w:rPr>
        <w:t xml:space="preserve"> communication and control requirements.</w:t>
      </w:r>
    </w:p>
    <w:bookmarkEnd w:id="40"/>
    <w:p w:rsidR="009D59E3" w:rsidRPr="00970F50" w:rsidRDefault="009D59E3" w:rsidP="009D59E3">
      <w:pPr>
        <w:spacing w:before="480" w:line="480" w:lineRule="auto"/>
        <w:ind w:left="720" w:hanging="720"/>
        <w:jc w:val="both"/>
        <w:rPr>
          <w:rFonts w:ascii="Times New Roman Bold" w:eastAsia="Calibri" w:hAnsi="Times New Roman Bold"/>
          <w:b/>
          <w:bCs/>
          <w:caps/>
        </w:rPr>
      </w:pPr>
      <w:r w:rsidRPr="00970F50">
        <w:rPr>
          <w:rFonts w:ascii="Times New Roman Bold" w:eastAsia="Calibri" w:hAnsi="Times New Roman Bold"/>
          <w:b/>
          <w:bCs/>
          <w:caps/>
        </w:rPr>
        <w:t>Q.</w:t>
      </w:r>
      <w:r w:rsidRPr="00970F50">
        <w:rPr>
          <w:rFonts w:ascii="Times New Roman Bold" w:eastAsia="Calibri" w:hAnsi="Times New Roman Bold"/>
          <w:b/>
          <w:bCs/>
          <w:caps/>
        </w:rPr>
        <w:tab/>
        <w:t xml:space="preserve">WHAT IS THE COMPANY’S </w:t>
      </w:r>
      <w:r>
        <w:rPr>
          <w:rFonts w:ascii="Times New Roman Bold" w:eastAsia="Calibri" w:hAnsi="Times New Roman Bold"/>
          <w:b/>
          <w:bCs/>
          <w:caps/>
        </w:rPr>
        <w:t xml:space="preserve">RATIONALE </w:t>
      </w:r>
      <w:r w:rsidRPr="00970F50">
        <w:rPr>
          <w:rFonts w:ascii="Times New Roman Bold" w:eastAsia="Calibri" w:hAnsi="Times New Roman Bold"/>
          <w:b/>
          <w:bCs/>
          <w:caps/>
        </w:rPr>
        <w:t xml:space="preserve">FOR </w:t>
      </w:r>
      <w:r w:rsidR="00DB252E">
        <w:rPr>
          <w:rFonts w:ascii="Times New Roman Bold" w:eastAsia="Calibri" w:hAnsi="Times New Roman Bold"/>
          <w:b/>
          <w:bCs/>
          <w:caps/>
        </w:rPr>
        <w:t>THE</w:t>
      </w:r>
      <w:r>
        <w:rPr>
          <w:rFonts w:ascii="Times New Roman Bold" w:eastAsia="Calibri" w:hAnsi="Times New Roman Bold"/>
          <w:b/>
          <w:bCs/>
          <w:caps/>
        </w:rPr>
        <w:t xml:space="preserve"> </w:t>
      </w:r>
      <w:r w:rsidRPr="00970F50">
        <w:rPr>
          <w:rFonts w:ascii="Times New Roman Bold" w:eastAsia="Calibri" w:hAnsi="Times New Roman Bold"/>
          <w:b/>
          <w:bCs/>
          <w:caps/>
        </w:rPr>
        <w:t>NEW INTERCONNECTION</w:t>
      </w:r>
      <w:r w:rsidRPr="005D52A3">
        <w:rPr>
          <w:rFonts w:ascii="Times New Roman Bold" w:eastAsia="Calibri" w:hAnsi="Times New Roman Bold"/>
          <w:b/>
          <w:bCs/>
          <w:caps/>
        </w:rPr>
        <w:t xml:space="preserve"> </w:t>
      </w:r>
      <w:r w:rsidRPr="00970F50">
        <w:rPr>
          <w:rFonts w:ascii="Times New Roman Bold" w:eastAsia="Calibri" w:hAnsi="Times New Roman Bold"/>
          <w:b/>
          <w:bCs/>
          <w:caps/>
        </w:rPr>
        <w:t>FEE?</w:t>
      </w:r>
    </w:p>
    <w:p w:rsidR="009D59E3" w:rsidRPr="00970F50" w:rsidRDefault="009D59E3" w:rsidP="009D59E3">
      <w:pPr>
        <w:spacing w:line="480" w:lineRule="auto"/>
        <w:ind w:left="720" w:hanging="720"/>
        <w:jc w:val="both"/>
        <w:rPr>
          <w:rFonts w:eastAsia="Calibri"/>
        </w:rPr>
      </w:pPr>
      <w:r w:rsidRPr="00970F50">
        <w:rPr>
          <w:rFonts w:eastAsia="Calibri"/>
        </w:rPr>
        <w:t>A.</w:t>
      </w:r>
      <w:r w:rsidRPr="00970F50">
        <w:rPr>
          <w:rFonts w:eastAsia="Calibri"/>
        </w:rPr>
        <w:tab/>
        <w:t xml:space="preserve">The Company stated that its proposed </w:t>
      </w:r>
      <w:r>
        <w:rPr>
          <w:rFonts w:eastAsia="Calibri"/>
        </w:rPr>
        <w:t xml:space="preserve">interconnection </w:t>
      </w:r>
      <w:r w:rsidRPr="00970F50">
        <w:rPr>
          <w:rFonts w:eastAsia="Calibri"/>
        </w:rPr>
        <w:t xml:space="preserve">fee is to cover the costs of interconnection review, meter installation and programming, witness testing for generators under 250 </w:t>
      </w:r>
      <w:r>
        <w:rPr>
          <w:rFonts w:eastAsia="Calibri"/>
        </w:rPr>
        <w:t>kW</w:t>
      </w:r>
      <w:r w:rsidRPr="00970F50">
        <w:rPr>
          <w:rFonts w:eastAsia="Calibri"/>
        </w:rPr>
        <w:t>, and the costs associated with processing interconnection applications (Legg Direct</w:t>
      </w:r>
      <w:r w:rsidR="00DB252E">
        <w:rPr>
          <w:rFonts w:eastAsia="Calibri"/>
        </w:rPr>
        <w:t xml:space="preserve"> </w:t>
      </w:r>
      <w:r w:rsidR="004611ED">
        <w:rPr>
          <w:rFonts w:eastAsia="Calibri"/>
        </w:rPr>
        <w:t>Testimony</w:t>
      </w:r>
      <w:r w:rsidRPr="00970F50">
        <w:rPr>
          <w:rFonts w:eastAsia="Calibri"/>
        </w:rPr>
        <w:t xml:space="preserve">, pg. 11, lines 15-20).  It is Staff’s understanding from meetings with the Company that interconnections of such facility size do not always warrant witness testing but all incur </w:t>
      </w:r>
      <w:r w:rsidR="001170F0" w:rsidRPr="00970F50">
        <w:rPr>
          <w:rFonts w:eastAsia="Calibri"/>
        </w:rPr>
        <w:t>certain costs</w:t>
      </w:r>
      <w:r w:rsidRPr="00970F50">
        <w:rPr>
          <w:rFonts w:eastAsia="Calibri"/>
        </w:rPr>
        <w:t xml:space="preserve">.  </w:t>
      </w:r>
      <w:r>
        <w:rPr>
          <w:rFonts w:eastAsia="Calibri"/>
        </w:rPr>
        <w:t xml:space="preserve">The Company has indicated that it will not require witness testing for the majority of residential systems going forward.  Georgia Power’s calculation of its proposed $200 interconnection fee reflects this plan by reducing the percentage of planned residential witness testing events to only 50% of all such installations in 2023 and only 25% thereafter. </w:t>
      </w:r>
      <w:r w:rsidR="007E3F85">
        <w:rPr>
          <w:rFonts w:eastAsia="Calibri"/>
        </w:rPr>
        <w:t>As interconnecting customers currently only pay a witness testing fee, t</w:t>
      </w:r>
      <w:r w:rsidR="001170F0">
        <w:rPr>
          <w:rFonts w:eastAsia="Calibri"/>
        </w:rPr>
        <w:t xml:space="preserve">hese </w:t>
      </w:r>
      <w:r w:rsidR="007E3F85">
        <w:rPr>
          <w:rFonts w:eastAsia="Calibri"/>
        </w:rPr>
        <w:t xml:space="preserve">other interconnection </w:t>
      </w:r>
      <w:r w:rsidRPr="00970F50">
        <w:rPr>
          <w:rFonts w:eastAsia="Calibri"/>
        </w:rPr>
        <w:t xml:space="preserve">costs are currently </w:t>
      </w:r>
      <w:r>
        <w:rPr>
          <w:rFonts w:eastAsia="Calibri"/>
        </w:rPr>
        <w:t xml:space="preserve">recovered from </w:t>
      </w:r>
      <w:r w:rsidRPr="00970F50">
        <w:rPr>
          <w:rFonts w:eastAsia="Calibri"/>
        </w:rPr>
        <w:t>all retail customers and not directly</w:t>
      </w:r>
      <w:r>
        <w:rPr>
          <w:rFonts w:eastAsia="Calibri"/>
        </w:rPr>
        <w:t xml:space="preserve"> from </w:t>
      </w:r>
      <w:r w:rsidRPr="00970F50">
        <w:rPr>
          <w:rFonts w:eastAsia="Calibri"/>
        </w:rPr>
        <w:t xml:space="preserve">interconnecting customers.  </w:t>
      </w:r>
    </w:p>
    <w:p w:rsidR="009D59E3" w:rsidRPr="00970F50" w:rsidRDefault="009D59E3" w:rsidP="009D59E3">
      <w:pPr>
        <w:spacing w:before="480" w:line="480" w:lineRule="auto"/>
        <w:ind w:left="720" w:hanging="720"/>
        <w:jc w:val="both"/>
        <w:rPr>
          <w:rFonts w:ascii="Times New Roman Bold" w:eastAsia="Calibri" w:hAnsi="Times New Roman Bold"/>
          <w:b/>
          <w:bCs/>
          <w:caps/>
        </w:rPr>
      </w:pPr>
      <w:bookmarkStart w:id="42" w:name="_Hlk115949266"/>
      <w:r w:rsidRPr="00970F50">
        <w:rPr>
          <w:rFonts w:ascii="Times New Roman Bold" w:eastAsia="Calibri" w:hAnsi="Times New Roman Bold"/>
          <w:b/>
          <w:bCs/>
          <w:caps/>
        </w:rPr>
        <w:t>Q.</w:t>
      </w:r>
      <w:r w:rsidRPr="00970F50">
        <w:rPr>
          <w:rFonts w:ascii="Times New Roman Bold" w:eastAsia="Calibri" w:hAnsi="Times New Roman Bold"/>
          <w:b/>
          <w:bCs/>
          <w:caps/>
        </w:rPr>
        <w:tab/>
        <w:t xml:space="preserve">WOULD THE PROPOSED $200 INTERCONNECTION FEE COVER THE </w:t>
      </w:r>
      <w:r w:rsidR="001170F0">
        <w:rPr>
          <w:rFonts w:ascii="Times New Roman Bold" w:eastAsia="Calibri" w:hAnsi="Times New Roman Bold"/>
          <w:b/>
          <w:bCs/>
          <w:caps/>
        </w:rPr>
        <w:t>KNOWN</w:t>
      </w:r>
      <w:r w:rsidRPr="00970F50">
        <w:rPr>
          <w:rFonts w:ascii="Times New Roman Bold" w:eastAsia="Calibri" w:hAnsi="Times New Roman Bold"/>
          <w:b/>
          <w:bCs/>
          <w:caps/>
        </w:rPr>
        <w:t xml:space="preserve"> COSTS FOR INTERCONNECTIONS?</w:t>
      </w:r>
    </w:p>
    <w:p w:rsidR="006B2D19" w:rsidRDefault="009D59E3" w:rsidP="00470673">
      <w:pPr>
        <w:spacing w:after="240" w:line="480" w:lineRule="auto"/>
        <w:ind w:left="720" w:hanging="720"/>
        <w:jc w:val="both"/>
        <w:rPr>
          <w:rFonts w:eastAsia="Calibri"/>
        </w:rPr>
      </w:pPr>
      <w:r w:rsidRPr="00970F50">
        <w:rPr>
          <w:rFonts w:eastAsia="Calibri"/>
        </w:rPr>
        <w:lastRenderedPageBreak/>
        <w:t>A.</w:t>
      </w:r>
      <w:r w:rsidRPr="00970F50">
        <w:rPr>
          <w:rFonts w:eastAsia="Calibri"/>
        </w:rPr>
        <w:tab/>
      </w:r>
      <w:r w:rsidR="0038211F">
        <w:rPr>
          <w:rFonts w:eastAsia="Calibri"/>
        </w:rPr>
        <w:t xml:space="preserve">As provided in </w:t>
      </w:r>
      <w:r w:rsidRPr="0016646C">
        <w:rPr>
          <w:rFonts w:eastAsia="Calibri"/>
        </w:rPr>
        <w:t xml:space="preserve">the Company’s response to STF-TAI-1-40, the $200 interconnection fee would cover the interconnection costs projected for the next three years.  </w:t>
      </w:r>
      <w:r w:rsidR="00E23473">
        <w:rPr>
          <w:rFonts w:eastAsia="Calibri"/>
        </w:rPr>
        <w:t xml:space="preserve">The number </w:t>
      </w:r>
      <w:r w:rsidRPr="0016646C">
        <w:rPr>
          <w:rFonts w:eastAsia="Calibri"/>
        </w:rPr>
        <w:t xml:space="preserve">of projects interconnecting is projected by the Company to increase each year by 15%.  </w:t>
      </w:r>
    </w:p>
    <w:p w:rsidR="009D59E3" w:rsidRPr="00970F50" w:rsidRDefault="009D59E3" w:rsidP="006B2D19">
      <w:pPr>
        <w:spacing w:line="480" w:lineRule="auto"/>
        <w:ind w:left="720"/>
        <w:jc w:val="both"/>
        <w:rPr>
          <w:rFonts w:eastAsia="Calibri"/>
        </w:rPr>
      </w:pPr>
      <w:r w:rsidRPr="00E24AF5">
        <w:rPr>
          <w:rFonts w:eastAsia="Calibri"/>
        </w:rPr>
        <w:t xml:space="preserve">Not only will this </w:t>
      </w:r>
      <w:r w:rsidR="0038211F">
        <w:rPr>
          <w:rFonts w:eastAsia="Calibri"/>
        </w:rPr>
        <w:t xml:space="preserve">proposed </w:t>
      </w:r>
      <w:r w:rsidR="006B2D19">
        <w:rPr>
          <w:rFonts w:eastAsia="Calibri"/>
        </w:rPr>
        <w:t xml:space="preserve">interconnection </w:t>
      </w:r>
      <w:r w:rsidRPr="00E24AF5">
        <w:rPr>
          <w:rFonts w:eastAsia="Calibri"/>
        </w:rPr>
        <w:t xml:space="preserve">fee apply to customer generators on the RNR tariff, but to all </w:t>
      </w:r>
      <w:r w:rsidRPr="0016646C">
        <w:rPr>
          <w:rFonts w:eastAsia="Calibri"/>
        </w:rPr>
        <w:t xml:space="preserve">customers on </w:t>
      </w:r>
      <w:r w:rsidR="006B2D19">
        <w:rPr>
          <w:rFonts w:eastAsia="Calibri"/>
        </w:rPr>
        <w:t xml:space="preserve">the </w:t>
      </w:r>
      <w:r w:rsidRPr="0016646C">
        <w:rPr>
          <w:rFonts w:eastAsia="Calibri"/>
        </w:rPr>
        <w:t>Company</w:t>
      </w:r>
      <w:r w:rsidR="006B2D19">
        <w:rPr>
          <w:rFonts w:eastAsia="Calibri"/>
        </w:rPr>
        <w:t>’s</w:t>
      </w:r>
      <w:r w:rsidRPr="0016646C">
        <w:rPr>
          <w:rFonts w:eastAsia="Calibri"/>
        </w:rPr>
        <w:t xml:space="preserve"> distribution circuit </w:t>
      </w:r>
      <w:r w:rsidRPr="00E24AF5">
        <w:rPr>
          <w:rFonts w:eastAsia="Calibri"/>
        </w:rPr>
        <w:t>who intend to install a customer generation facility</w:t>
      </w:r>
      <w:r w:rsidR="00E23473">
        <w:rPr>
          <w:rFonts w:eastAsia="Calibri"/>
        </w:rPr>
        <w:t>, including those generators larger than 250 kW</w:t>
      </w:r>
      <w:r w:rsidR="006B2D19">
        <w:rPr>
          <w:rFonts w:eastAsia="Calibri"/>
        </w:rPr>
        <w:t>.</w:t>
      </w:r>
      <w:r w:rsidRPr="00E24AF5">
        <w:rPr>
          <w:rFonts w:eastAsia="Calibri"/>
        </w:rPr>
        <w:t xml:space="preserve"> </w:t>
      </w:r>
      <w:r w:rsidRPr="00970F50">
        <w:rPr>
          <w:rFonts w:eastAsia="Calibri"/>
        </w:rPr>
        <w:t xml:space="preserve"> </w:t>
      </w:r>
    </w:p>
    <w:bookmarkEnd w:id="42"/>
    <w:p w:rsidR="009D59E3" w:rsidRDefault="009D59E3" w:rsidP="009D59E3">
      <w:pPr>
        <w:pStyle w:val="Questions"/>
      </w:pPr>
      <w:r w:rsidRPr="00925877">
        <w:t>Q.</w:t>
      </w:r>
      <w:r w:rsidRPr="00925877">
        <w:tab/>
        <w:t>DOES STAFF HAVE CONCERNS REGARDING THE COMPANY’S</w:t>
      </w:r>
      <w:r>
        <w:t xml:space="preserve"> PROPOSED </w:t>
      </w:r>
      <w:r w:rsidR="006B2D19">
        <w:t xml:space="preserve">$200 </w:t>
      </w:r>
      <w:r>
        <w:t>INTERCONNECTION FEE AND ITS IMPACT TO RESIDENTIAL CUSTOMERS</w:t>
      </w:r>
      <w:r w:rsidRPr="00925877">
        <w:t>?</w:t>
      </w:r>
    </w:p>
    <w:p w:rsidR="009D59E3" w:rsidRDefault="009D59E3" w:rsidP="009D59E3">
      <w:pPr>
        <w:pStyle w:val="Answers"/>
      </w:pPr>
      <w:r>
        <w:t>A.</w:t>
      </w:r>
      <w:r>
        <w:tab/>
        <w:t xml:space="preserve">Yes. Staff has concerns regarding the significant increase in fees related to </w:t>
      </w:r>
      <w:r w:rsidR="00413DE4">
        <w:t xml:space="preserve">the </w:t>
      </w:r>
      <w:r>
        <w:t>interconnecti</w:t>
      </w:r>
      <w:r w:rsidR="00413DE4">
        <w:t>on of</w:t>
      </w:r>
      <w:r>
        <w:t xml:space="preserve"> a residential solar rooftop project. Currently, a residential customer pay</w:t>
      </w:r>
      <w:r w:rsidR="004E2C3A">
        <w:t>s</w:t>
      </w:r>
      <w:r>
        <w:t xml:space="preserve"> on average $35 based on the $5 per kW witness testing fee with the average residential rooftop system size of 6.9 </w:t>
      </w:r>
      <w:r w:rsidR="006B2D19">
        <w:t>kW (R</w:t>
      </w:r>
      <w:r>
        <w:t>esponse to STF-TAI 3.9</w:t>
      </w:r>
      <w:r w:rsidR="006B2D19">
        <w:t>)</w:t>
      </w:r>
      <w:r>
        <w:t xml:space="preserve">. </w:t>
      </w:r>
    </w:p>
    <w:p w:rsidR="000C03D9" w:rsidRPr="000C03D9" w:rsidRDefault="006B2D19" w:rsidP="00D24841">
      <w:pPr>
        <w:pStyle w:val="Questions"/>
        <w:rPr>
          <w:rFonts w:eastAsia="Calibri"/>
        </w:rPr>
      </w:pPr>
      <w:r>
        <w:rPr>
          <w:rFonts w:eastAsia="Calibri"/>
        </w:rPr>
        <w:t>Q.</w:t>
      </w:r>
      <w:r>
        <w:rPr>
          <w:rFonts w:eastAsia="Calibri"/>
        </w:rPr>
        <w:tab/>
      </w:r>
      <w:r w:rsidR="000C03D9" w:rsidRPr="000C03D9">
        <w:rPr>
          <w:rFonts w:eastAsia="Calibri"/>
        </w:rPr>
        <w:t xml:space="preserve">HAS THE COMPANY PROVIDED CALCULATIONS </w:t>
      </w:r>
      <w:r w:rsidR="00EF75AF">
        <w:rPr>
          <w:rFonts w:eastAsia="Calibri"/>
        </w:rPr>
        <w:t>REGARD</w:t>
      </w:r>
      <w:r w:rsidR="000C03D9" w:rsidRPr="000C03D9">
        <w:rPr>
          <w:rFonts w:eastAsia="Calibri"/>
        </w:rPr>
        <w:t>ING HOW THE $200 INTERCONNECTION FEE WAS DETERMINED?</w:t>
      </w:r>
    </w:p>
    <w:p w:rsidR="007E4CFC" w:rsidRPr="000C03D9" w:rsidRDefault="000C03D9" w:rsidP="00B73B98">
      <w:pPr>
        <w:pStyle w:val="Answers"/>
        <w:rPr>
          <w:rFonts w:eastAsia="Calibri"/>
        </w:rPr>
      </w:pPr>
      <w:r w:rsidRPr="000C03D9">
        <w:rPr>
          <w:rFonts w:eastAsia="Calibri"/>
        </w:rPr>
        <w:t>A.</w:t>
      </w:r>
      <w:r w:rsidRPr="000C03D9">
        <w:rPr>
          <w:rFonts w:eastAsia="Calibri"/>
        </w:rPr>
        <w:tab/>
        <w:t xml:space="preserve">Yes. </w:t>
      </w:r>
      <w:r w:rsidR="006B2D19">
        <w:rPr>
          <w:rFonts w:eastAsia="Calibri"/>
        </w:rPr>
        <w:t xml:space="preserve"> In the </w:t>
      </w:r>
      <w:bookmarkStart w:id="43" w:name="_Hlk116359599"/>
      <w:r w:rsidR="006B2D19">
        <w:rPr>
          <w:rFonts w:eastAsia="Calibri"/>
        </w:rPr>
        <w:t xml:space="preserve">Company’s response to </w:t>
      </w:r>
      <w:r w:rsidR="006B2D19" w:rsidRPr="000C03D9">
        <w:rPr>
          <w:rFonts w:eastAsia="Calibri"/>
        </w:rPr>
        <w:t>STF-TAI-1-40</w:t>
      </w:r>
      <w:r w:rsidR="006B2D19">
        <w:rPr>
          <w:rFonts w:eastAsia="Calibri"/>
        </w:rPr>
        <w:t xml:space="preserve">, </w:t>
      </w:r>
      <w:bookmarkEnd w:id="43"/>
      <w:r w:rsidR="006B2D19">
        <w:rPr>
          <w:rFonts w:eastAsia="Calibri"/>
        </w:rPr>
        <w:t>t</w:t>
      </w:r>
      <w:r w:rsidRPr="000C03D9">
        <w:rPr>
          <w:rFonts w:eastAsia="Calibri"/>
        </w:rPr>
        <w:t xml:space="preserve">he Company provided its calculations of the </w:t>
      </w:r>
      <w:r w:rsidR="006B2D19">
        <w:rPr>
          <w:rFonts w:eastAsia="Calibri"/>
        </w:rPr>
        <w:t xml:space="preserve">proposed </w:t>
      </w:r>
      <w:r w:rsidRPr="000C03D9">
        <w:rPr>
          <w:rFonts w:eastAsia="Calibri"/>
        </w:rPr>
        <w:t>interconnection fee</w:t>
      </w:r>
      <w:r w:rsidR="006B2D19">
        <w:rPr>
          <w:rFonts w:eastAsia="Calibri"/>
        </w:rPr>
        <w:t xml:space="preserve">.  This </w:t>
      </w:r>
      <w:r w:rsidR="00237834">
        <w:rPr>
          <w:rFonts w:eastAsia="Calibri"/>
        </w:rPr>
        <w:t xml:space="preserve">data request </w:t>
      </w:r>
      <w:r w:rsidR="006B2D19">
        <w:rPr>
          <w:rFonts w:eastAsia="Calibri"/>
        </w:rPr>
        <w:t xml:space="preserve">response is being provided as </w:t>
      </w:r>
      <w:r w:rsidR="004E4588" w:rsidRPr="004E4588">
        <w:rPr>
          <w:rFonts w:eastAsia="Calibri"/>
        </w:rPr>
        <w:t>Staff Exhibit</w:t>
      </w:r>
      <w:r w:rsidR="00A2426E">
        <w:rPr>
          <w:rFonts w:eastAsia="Calibri"/>
        </w:rPr>
        <w:t xml:space="preserve"> _</w:t>
      </w:r>
      <w:r w:rsidR="004E4588" w:rsidRPr="004E4588">
        <w:rPr>
          <w:rFonts w:eastAsia="Calibri"/>
        </w:rPr>
        <w:t>_</w:t>
      </w:r>
      <w:r w:rsidR="00A2426E">
        <w:rPr>
          <w:rFonts w:eastAsia="Calibri"/>
        </w:rPr>
        <w:t xml:space="preserve"> (</w:t>
      </w:r>
      <w:r w:rsidR="004E4588" w:rsidRPr="00AF0876">
        <w:rPr>
          <w:rFonts w:eastAsia="Calibri"/>
        </w:rPr>
        <w:t>BDW-</w:t>
      </w:r>
      <w:r w:rsidR="00AF0876" w:rsidRPr="00AF0876">
        <w:rPr>
          <w:rFonts w:eastAsia="Calibri"/>
        </w:rPr>
        <w:t>21</w:t>
      </w:r>
      <w:r w:rsidR="00A2426E">
        <w:rPr>
          <w:rFonts w:eastAsia="Calibri"/>
        </w:rPr>
        <w:t>)</w:t>
      </w:r>
      <w:r w:rsidRPr="00510844">
        <w:rPr>
          <w:rFonts w:eastAsia="Calibri"/>
        </w:rPr>
        <w:t>.</w:t>
      </w:r>
      <w:r w:rsidRPr="000C03D9">
        <w:rPr>
          <w:rFonts w:eastAsia="Calibri"/>
        </w:rPr>
        <w:t xml:space="preserve">  In Georgia Power’s calculations, the calculated interconnection fee averages $190 per application during the next regulatory cycle, with the remaining $10 of the $200 fee being added as an estimate to account for costs not easily quantifiable or </w:t>
      </w:r>
      <w:r w:rsidRPr="000C03D9">
        <w:rPr>
          <w:rFonts w:eastAsia="Calibri"/>
        </w:rPr>
        <w:lastRenderedPageBreak/>
        <w:t>attributable on an average per project basis.  Georgia Power listed such added costs as: labor associated with program and project inquiries, multiple “truck rolls” for failed witness tests, and additional technology and/or software investments.</w:t>
      </w:r>
    </w:p>
    <w:p w:rsidR="007E4CFC" w:rsidRDefault="007E4CFC" w:rsidP="00B73B98">
      <w:pPr>
        <w:pStyle w:val="Answers"/>
        <w:spacing w:before="480"/>
        <w:rPr>
          <w:rFonts w:eastAsia="Calibri"/>
          <w:b/>
        </w:rPr>
      </w:pPr>
      <w:r w:rsidRPr="00A84AE4">
        <w:rPr>
          <w:rFonts w:eastAsia="Calibri"/>
          <w:b/>
        </w:rPr>
        <w:t>Q.</w:t>
      </w:r>
      <w:r w:rsidRPr="00A84AE4">
        <w:rPr>
          <w:rFonts w:eastAsia="Calibri"/>
          <w:b/>
        </w:rPr>
        <w:tab/>
      </w:r>
      <w:r>
        <w:rPr>
          <w:rFonts w:eastAsia="Calibri"/>
          <w:b/>
        </w:rPr>
        <w:t xml:space="preserve">DOES STAFF SUPPORT THE COMPANY’S REQUEST TO INCREASE THE INTERCONNECTION FEE FOR </w:t>
      </w:r>
      <w:r w:rsidR="006B2D19">
        <w:rPr>
          <w:rFonts w:eastAsia="Calibri"/>
          <w:b/>
        </w:rPr>
        <w:t xml:space="preserve">RESIDENTIAL </w:t>
      </w:r>
      <w:r>
        <w:rPr>
          <w:rFonts w:eastAsia="Calibri"/>
          <w:b/>
        </w:rPr>
        <w:t xml:space="preserve">CUSTOMER GENERATORS TO $200? </w:t>
      </w:r>
    </w:p>
    <w:p w:rsidR="007E4CFC" w:rsidRDefault="007E4CFC" w:rsidP="004E2C3A">
      <w:pPr>
        <w:pStyle w:val="Answers"/>
        <w:rPr>
          <w:rFonts w:eastAsia="Calibri"/>
        </w:rPr>
      </w:pPr>
      <w:r w:rsidRPr="000C03D9">
        <w:rPr>
          <w:rFonts w:eastAsia="Calibri"/>
        </w:rPr>
        <w:t>A.</w:t>
      </w:r>
      <w:r w:rsidRPr="000C03D9">
        <w:rPr>
          <w:rFonts w:eastAsia="Calibri"/>
        </w:rPr>
        <w:tab/>
      </w:r>
      <w:r>
        <w:rPr>
          <w:rFonts w:eastAsia="Calibri"/>
        </w:rPr>
        <w:t xml:space="preserve">No. </w:t>
      </w:r>
      <w:r w:rsidR="006B2D19">
        <w:rPr>
          <w:rFonts w:eastAsia="Calibri"/>
        </w:rPr>
        <w:t xml:space="preserve">It is </w:t>
      </w:r>
      <w:r>
        <w:rPr>
          <w:rFonts w:eastAsia="Calibri"/>
        </w:rPr>
        <w:t>Staff</w:t>
      </w:r>
      <w:r w:rsidR="006B2D19">
        <w:rPr>
          <w:rFonts w:eastAsia="Calibri"/>
        </w:rPr>
        <w:t xml:space="preserve">’s position </w:t>
      </w:r>
      <w:r>
        <w:rPr>
          <w:rFonts w:eastAsia="Calibri"/>
        </w:rPr>
        <w:t xml:space="preserve">that increasing the </w:t>
      </w:r>
      <w:r w:rsidR="00237834">
        <w:rPr>
          <w:rFonts w:eastAsia="Calibri"/>
        </w:rPr>
        <w:t xml:space="preserve">interconnection </w:t>
      </w:r>
      <w:r w:rsidR="006B2D19">
        <w:rPr>
          <w:rFonts w:eastAsia="Calibri"/>
        </w:rPr>
        <w:t xml:space="preserve">cost </w:t>
      </w:r>
      <w:r>
        <w:rPr>
          <w:rFonts w:eastAsia="Calibri"/>
        </w:rPr>
        <w:t xml:space="preserve">by a factor of five is </w:t>
      </w:r>
      <w:r w:rsidR="006B2D19">
        <w:rPr>
          <w:rFonts w:eastAsia="Calibri"/>
        </w:rPr>
        <w:t xml:space="preserve">a significant increase for </w:t>
      </w:r>
      <w:r w:rsidR="004E2C3A">
        <w:rPr>
          <w:rFonts w:eastAsia="Calibri"/>
        </w:rPr>
        <w:t xml:space="preserve">residential </w:t>
      </w:r>
      <w:r w:rsidR="006B2D19">
        <w:rPr>
          <w:rFonts w:eastAsia="Calibri"/>
        </w:rPr>
        <w:t>customers</w:t>
      </w:r>
      <w:r>
        <w:rPr>
          <w:rFonts w:eastAsia="Calibri"/>
        </w:rPr>
        <w:t xml:space="preserve">. </w:t>
      </w:r>
      <w:r w:rsidR="00E23473">
        <w:rPr>
          <w:rFonts w:eastAsia="Calibri"/>
        </w:rPr>
        <w:t>The Company’s proposed fee is based on the inclusion of commercial and industrial interconnections, including generators larger than 250 kW, which have significantly higher costs to interconnect. Residential customer generators would subsidize commercial generators, who</w:t>
      </w:r>
      <w:r w:rsidR="004E2C3A">
        <w:rPr>
          <w:rFonts w:eastAsia="Calibri"/>
        </w:rPr>
        <w:t xml:space="preserve"> would recognize a significant decrease in fees associated with interconnecting a solar system. </w:t>
      </w:r>
    </w:p>
    <w:p w:rsidR="004E2C3A" w:rsidRDefault="004E2C3A" w:rsidP="0046304D">
      <w:pPr>
        <w:pStyle w:val="Answers"/>
        <w:spacing w:before="480"/>
        <w:rPr>
          <w:rFonts w:eastAsia="Calibri"/>
          <w:b/>
        </w:rPr>
      </w:pPr>
      <w:r w:rsidRPr="0046304D">
        <w:rPr>
          <w:rFonts w:eastAsia="Calibri"/>
          <w:b/>
        </w:rPr>
        <w:t>Q.</w:t>
      </w:r>
      <w:r w:rsidRPr="0046304D">
        <w:rPr>
          <w:rFonts w:eastAsia="Calibri"/>
          <w:b/>
        </w:rPr>
        <w:tab/>
        <w:t>WHAT IS STAFF’S RECOMMENDATION REGARDING THE INTERCONNECTION FEE?</w:t>
      </w:r>
    </w:p>
    <w:p w:rsidR="004E2C3A" w:rsidRPr="004E2C3A" w:rsidRDefault="004E2C3A" w:rsidP="004E2C3A">
      <w:pPr>
        <w:pStyle w:val="Answers"/>
        <w:rPr>
          <w:rFonts w:eastAsia="Calibri"/>
        </w:rPr>
      </w:pPr>
      <w:r w:rsidRPr="0046304D">
        <w:rPr>
          <w:rFonts w:eastAsia="Calibri"/>
        </w:rPr>
        <w:t>A.</w:t>
      </w:r>
      <w:r w:rsidRPr="0046304D">
        <w:rPr>
          <w:rFonts w:eastAsia="Calibri"/>
        </w:rPr>
        <w:tab/>
      </w:r>
      <w:r>
        <w:rPr>
          <w:rFonts w:eastAsia="Calibri"/>
        </w:rPr>
        <w:t>Staff recommends that the interconnection fee for residential customers be set at $100 and the interconnection fee for commercial customer</w:t>
      </w:r>
      <w:r w:rsidR="00E23473">
        <w:rPr>
          <w:rFonts w:eastAsia="Calibri"/>
        </w:rPr>
        <w:t xml:space="preserve"> generators under 250 kW</w:t>
      </w:r>
      <w:r>
        <w:rPr>
          <w:rFonts w:eastAsia="Calibri"/>
        </w:rPr>
        <w:t xml:space="preserve"> be set at the </w:t>
      </w:r>
      <w:r w:rsidR="00413DE4">
        <w:rPr>
          <w:rFonts w:eastAsia="Calibri"/>
        </w:rPr>
        <w:t>propos</w:t>
      </w:r>
      <w:r>
        <w:rPr>
          <w:rFonts w:eastAsia="Calibri"/>
        </w:rPr>
        <w:t>ed $200.</w:t>
      </w:r>
      <w:r w:rsidR="00E23473" w:rsidRPr="00E23473">
        <w:rPr>
          <w:rFonts w:eastAsia="Calibri"/>
        </w:rPr>
        <w:t xml:space="preserve"> </w:t>
      </w:r>
    </w:p>
    <w:p w:rsidR="00067011" w:rsidRDefault="00067011" w:rsidP="00D24841">
      <w:pPr>
        <w:pStyle w:val="Questions"/>
      </w:pPr>
      <w:r>
        <w:t>Q.</w:t>
      </w:r>
      <w:r>
        <w:tab/>
        <w:t>DOES THIS COMPLETE YOUR TESTIMONY?</w:t>
      </w:r>
    </w:p>
    <w:p w:rsidR="00067011" w:rsidRDefault="00067011" w:rsidP="00DF6F90">
      <w:pPr>
        <w:pStyle w:val="Answers"/>
        <w:rPr>
          <w:b/>
        </w:rPr>
      </w:pPr>
      <w:r>
        <w:t>A.</w:t>
      </w:r>
      <w:r>
        <w:tab/>
        <w:t>Yes.</w:t>
      </w:r>
    </w:p>
    <w:sectPr w:rsidR="00067011" w:rsidSect="008116F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D1F" w:rsidRDefault="00AC0D1F">
      <w:r>
        <w:separator/>
      </w:r>
    </w:p>
  </w:endnote>
  <w:endnote w:type="continuationSeparator" w:id="0">
    <w:p w:rsidR="00AC0D1F" w:rsidRDefault="00AC0D1F">
      <w:r>
        <w:continuationSeparator/>
      </w:r>
    </w:p>
  </w:endnote>
  <w:endnote w:type="continuationNotice" w:id="1">
    <w:p w:rsidR="00AC0D1F" w:rsidRDefault="00AC0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505884"/>
      <w:docPartObj>
        <w:docPartGallery w:val="Page Numbers (Bottom of Page)"/>
        <w:docPartUnique/>
      </w:docPartObj>
    </w:sdtPr>
    <w:sdtEndPr>
      <w:rPr>
        <w:noProof/>
      </w:rPr>
    </w:sdtEndPr>
    <w:sdtContent>
      <w:p w:rsidR="002D4813" w:rsidRDefault="002D4813" w:rsidP="00374984">
        <w:pPr>
          <w:pStyle w:val="Footer"/>
          <w:jc w:val="center"/>
          <w:rPr>
            <w:noProof/>
          </w:rPr>
        </w:pPr>
        <w:r>
          <w:fldChar w:fldCharType="begin"/>
        </w:r>
        <w:r>
          <w:instrText xml:space="preserve"> PAGE   \* MERGEFORMAT </w:instrText>
        </w:r>
        <w:r>
          <w:fldChar w:fldCharType="separate"/>
        </w:r>
        <w:r>
          <w:rPr>
            <w:noProof/>
          </w:rPr>
          <w:t>ii</w:t>
        </w:r>
        <w:r>
          <w:rPr>
            <w:noProof/>
          </w:rPr>
          <w:fldChar w:fldCharType="end"/>
        </w:r>
      </w:p>
    </w:sdtContent>
  </w:sdt>
  <w:p w:rsidR="002D4813" w:rsidRDefault="002D4813" w:rsidP="0037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13" w:rsidRDefault="002D4813" w:rsidP="005B655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13" w:rsidRDefault="002D4813" w:rsidP="00612803">
    <w:pPr>
      <w:pStyle w:val="Footer"/>
      <w:framePr w:wrap="auto" w:vAnchor="text" w:hAnchor="margin" w:xAlign="center" w:y="1"/>
      <w:jc w:val="center"/>
      <w:rPr>
        <w:sz w:val="20"/>
        <w:szCs w:val="20"/>
        <w:lang w:val="en-US"/>
      </w:rPr>
    </w:pPr>
  </w:p>
  <w:p w:rsidR="002D4813" w:rsidRDefault="002D4813" w:rsidP="005B6553">
    <w:pPr>
      <w:framePr w:wrap="auto" w:vAnchor="text" w:hAnchor="margin" w:xAlign="center" w:y="1"/>
      <w:jc w:val="center"/>
      <w:rPr>
        <w:sz w:val="20"/>
        <w:szCs w:val="20"/>
      </w:rPr>
    </w:pPr>
    <w:r>
      <w:rPr>
        <w:sz w:val="20"/>
        <w:szCs w:val="20"/>
      </w:rPr>
      <w:t xml:space="preserve">PIA </w:t>
    </w:r>
    <w:r w:rsidRPr="004E7DE1">
      <w:rPr>
        <w:sz w:val="20"/>
        <w:szCs w:val="20"/>
      </w:rPr>
      <w:t xml:space="preserve">Staff’s Direct Testimony of </w:t>
    </w:r>
    <w:r>
      <w:rPr>
        <w:sz w:val="20"/>
        <w:szCs w:val="20"/>
      </w:rPr>
      <w:t xml:space="preserve">Jamie Barber, Benjamin </w:t>
    </w:r>
    <w:proofErr w:type="spellStart"/>
    <w:r>
      <w:rPr>
        <w:sz w:val="20"/>
        <w:szCs w:val="20"/>
      </w:rPr>
      <w:t>Deitchman</w:t>
    </w:r>
    <w:proofErr w:type="spellEnd"/>
    <w:r w:rsidRPr="004E7DE1">
      <w:rPr>
        <w:sz w:val="20"/>
        <w:szCs w:val="20"/>
      </w:rPr>
      <w:t>,</w:t>
    </w:r>
    <w:r>
      <w:rPr>
        <w:sz w:val="20"/>
        <w:szCs w:val="20"/>
      </w:rPr>
      <w:t xml:space="preserve"> </w:t>
    </w:r>
  </w:p>
  <w:p w:rsidR="002D4813" w:rsidRPr="004E7DE1" w:rsidRDefault="002D4813" w:rsidP="005B6553">
    <w:pPr>
      <w:framePr w:wrap="auto" w:vAnchor="text" w:hAnchor="margin" w:xAlign="center" w:y="1"/>
      <w:jc w:val="center"/>
      <w:rPr>
        <w:sz w:val="20"/>
        <w:szCs w:val="20"/>
      </w:rPr>
    </w:pPr>
    <w:r w:rsidRPr="004E7DE1">
      <w:rPr>
        <w:sz w:val="20"/>
        <w:szCs w:val="20"/>
      </w:rPr>
      <w:t xml:space="preserve">and </w:t>
    </w:r>
    <w:r>
      <w:rPr>
        <w:sz w:val="20"/>
        <w:szCs w:val="20"/>
      </w:rPr>
      <w:t>Glenn A. Watkins</w:t>
    </w:r>
  </w:p>
  <w:p w:rsidR="002D4813" w:rsidRDefault="002D4813" w:rsidP="00612803">
    <w:pPr>
      <w:pStyle w:val="Footer"/>
      <w:framePr w:wrap="auto" w:vAnchor="text" w:hAnchor="margin" w:xAlign="center" w:y="1"/>
      <w:jc w:val="center"/>
      <w:rPr>
        <w:sz w:val="20"/>
        <w:szCs w:val="20"/>
        <w:lang w:val="en-US"/>
      </w:rPr>
    </w:pPr>
    <w:r w:rsidRPr="00640D72">
      <w:rPr>
        <w:sz w:val="20"/>
        <w:szCs w:val="20"/>
        <w:lang w:val="en-US"/>
      </w:rPr>
      <w:t>Docket No. 44280</w:t>
    </w:r>
  </w:p>
  <w:p w:rsidR="002D4813" w:rsidRPr="00640D72" w:rsidRDefault="002D4813" w:rsidP="00640D72">
    <w:pPr>
      <w:pStyle w:val="Footer"/>
      <w:framePr w:wrap="auto" w:vAnchor="text" w:hAnchor="margin" w:xAlign="center" w:y="1"/>
      <w:jc w:val="center"/>
      <w:rPr>
        <w:rStyle w:val="PageNumber"/>
        <w:sz w:val="20"/>
        <w:szCs w:val="20"/>
        <w:lang w:val="en-US"/>
      </w:rPr>
    </w:pPr>
    <w:r w:rsidRPr="00640D72">
      <w:rPr>
        <w:sz w:val="20"/>
        <w:szCs w:val="20"/>
        <w:lang w:val="en-US"/>
      </w:rPr>
      <w:t xml:space="preserve">Page </w:t>
    </w:r>
    <w:r w:rsidRPr="00640D72">
      <w:rPr>
        <w:sz w:val="20"/>
        <w:szCs w:val="20"/>
      </w:rPr>
      <w:fldChar w:fldCharType="begin"/>
    </w:r>
    <w:r w:rsidRPr="00640D72">
      <w:rPr>
        <w:sz w:val="20"/>
        <w:szCs w:val="20"/>
      </w:rPr>
      <w:instrText xml:space="preserve"> PAGE   \* MERGEFORMAT </w:instrText>
    </w:r>
    <w:r w:rsidRPr="00640D72">
      <w:rPr>
        <w:sz w:val="20"/>
        <w:szCs w:val="20"/>
      </w:rPr>
      <w:fldChar w:fldCharType="separate"/>
    </w:r>
    <w:r>
      <w:rPr>
        <w:noProof/>
        <w:sz w:val="20"/>
        <w:szCs w:val="20"/>
      </w:rPr>
      <w:t>101</w:t>
    </w:r>
    <w:r w:rsidRPr="00640D72">
      <w:rPr>
        <w:noProof/>
        <w:sz w:val="20"/>
        <w:szCs w:val="20"/>
      </w:rPr>
      <w:fldChar w:fldCharType="end"/>
    </w:r>
    <w:r w:rsidRPr="00640D72">
      <w:rPr>
        <w:noProof/>
        <w:sz w:val="20"/>
        <w:szCs w:val="20"/>
        <w:lang w:val="en-US"/>
      </w:rPr>
      <w:t xml:space="preserve"> of </w:t>
    </w:r>
    <w:r>
      <w:rPr>
        <w:rStyle w:val="PageNumber"/>
        <w:color w:val="000000" w:themeColor="text1"/>
        <w:sz w:val="20"/>
        <w:szCs w:val="20"/>
      </w:rPr>
      <w:fldChar w:fldCharType="begin"/>
    </w:r>
    <w:r>
      <w:rPr>
        <w:rStyle w:val="PageNumber"/>
        <w:color w:val="000000" w:themeColor="text1"/>
        <w:sz w:val="20"/>
        <w:szCs w:val="20"/>
      </w:rPr>
      <w:instrText xml:space="preserve"> =</w:instrText>
    </w:r>
    <w:r w:rsidRPr="00D75A83">
      <w:rPr>
        <w:rStyle w:val="PageNumber"/>
        <w:color w:val="000000" w:themeColor="text1"/>
        <w:sz w:val="20"/>
        <w:szCs w:val="20"/>
      </w:rPr>
      <w:fldChar w:fldCharType="begin"/>
    </w:r>
    <w:r w:rsidRPr="00D75A83">
      <w:rPr>
        <w:rStyle w:val="PageNumber"/>
        <w:color w:val="000000" w:themeColor="text1"/>
        <w:sz w:val="20"/>
        <w:szCs w:val="20"/>
      </w:rPr>
      <w:instrText xml:space="preserve"> NUMPAGES   \* MERGEFORMAT </w:instrText>
    </w:r>
    <w:r w:rsidRPr="00D75A83">
      <w:rPr>
        <w:rStyle w:val="PageNumber"/>
        <w:color w:val="000000" w:themeColor="text1"/>
        <w:sz w:val="20"/>
        <w:szCs w:val="20"/>
      </w:rPr>
      <w:fldChar w:fldCharType="separate"/>
    </w:r>
    <w:r w:rsidR="005D307F">
      <w:rPr>
        <w:rStyle w:val="PageNumber"/>
        <w:noProof/>
        <w:color w:val="000000" w:themeColor="text1"/>
        <w:sz w:val="20"/>
        <w:szCs w:val="20"/>
      </w:rPr>
      <w:instrText>106</w:instrText>
    </w:r>
    <w:r w:rsidRPr="00D75A83">
      <w:rPr>
        <w:rStyle w:val="PageNumber"/>
        <w:color w:val="000000" w:themeColor="text1"/>
        <w:sz w:val="20"/>
        <w:szCs w:val="20"/>
      </w:rPr>
      <w:fldChar w:fldCharType="end"/>
    </w:r>
    <w:r>
      <w:rPr>
        <w:rStyle w:val="PageNumber"/>
        <w:color w:val="000000" w:themeColor="text1"/>
        <w:sz w:val="20"/>
        <w:szCs w:val="20"/>
      </w:rPr>
      <w:instrText xml:space="preserve">-3 </w:instrText>
    </w:r>
    <w:r>
      <w:rPr>
        <w:rStyle w:val="PageNumber"/>
        <w:color w:val="000000" w:themeColor="text1"/>
        <w:sz w:val="20"/>
        <w:szCs w:val="20"/>
      </w:rPr>
      <w:fldChar w:fldCharType="separate"/>
    </w:r>
    <w:r w:rsidR="005D307F">
      <w:rPr>
        <w:rStyle w:val="PageNumber"/>
        <w:noProof/>
        <w:color w:val="000000" w:themeColor="text1"/>
        <w:sz w:val="20"/>
        <w:szCs w:val="20"/>
      </w:rPr>
      <w:t>103</w:t>
    </w:r>
    <w:r>
      <w:rPr>
        <w:rStyle w:val="PageNumber"/>
        <w:color w:val="000000" w:themeColor="text1"/>
        <w:sz w:val="20"/>
        <w:szCs w:val="20"/>
      </w:rPr>
      <w:fldChar w:fldCharType="end"/>
    </w:r>
  </w:p>
  <w:p w:rsidR="002D4813" w:rsidRDefault="002D4813" w:rsidP="0085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D1F" w:rsidRDefault="00AC0D1F">
      <w:r>
        <w:separator/>
      </w:r>
    </w:p>
  </w:footnote>
  <w:footnote w:type="continuationSeparator" w:id="0">
    <w:p w:rsidR="00AC0D1F" w:rsidRDefault="00AC0D1F">
      <w:r>
        <w:continuationSeparator/>
      </w:r>
    </w:p>
  </w:footnote>
  <w:footnote w:type="continuationNotice" w:id="1">
    <w:p w:rsidR="00AC0D1F" w:rsidRDefault="00AC0D1F"/>
  </w:footnote>
  <w:footnote w:id="2">
    <w:p w:rsidR="002D4813" w:rsidRDefault="002D4813" w:rsidP="00871F22">
      <w:pPr>
        <w:pStyle w:val="FootnoteText"/>
        <w:jc w:val="both"/>
      </w:pPr>
      <w:r>
        <w:rPr>
          <w:rStyle w:val="FootnoteReference"/>
        </w:rPr>
        <w:footnoteRef/>
      </w:r>
      <w:r>
        <w:t xml:space="preserve"> </w:t>
      </w:r>
      <w:bookmarkStart w:id="5" w:name="_Hlk115861232"/>
      <w:r>
        <w:t>324 U.S. 581, 65 S. Ct. 829</w:t>
      </w:r>
      <w:bookmarkEnd w:id="5"/>
      <w:r>
        <w:t>.</w:t>
      </w:r>
    </w:p>
  </w:footnote>
  <w:footnote w:id="3">
    <w:p w:rsidR="002D4813" w:rsidRPr="00CD6666" w:rsidRDefault="002D4813" w:rsidP="00CD6666">
      <w:pPr>
        <w:pStyle w:val="FootnoteText"/>
        <w:jc w:val="both"/>
        <w:rPr>
          <w:lang w:val="en-US"/>
        </w:rPr>
      </w:pPr>
      <w:r>
        <w:rPr>
          <w:rStyle w:val="FootnoteReference"/>
        </w:rPr>
        <w:footnoteRef/>
      </w:r>
      <w:r>
        <w:t xml:space="preserve"> </w:t>
      </w:r>
      <w:r>
        <w:rPr>
          <w:lang w:val="en-US"/>
        </w:rPr>
        <w:t>On September 28, 2022, the Company provided notice that it had discovered a minor error in its original CCOSS relating to the assignment of revenues across rate schedules.  Subsequently, on October 4, 2022, the Company provided its revised CCOSS to Staff.</w:t>
      </w:r>
    </w:p>
  </w:footnote>
  <w:footnote w:id="4">
    <w:p w:rsidR="002D4813" w:rsidRPr="00972BA9" w:rsidRDefault="002D4813" w:rsidP="00871F22">
      <w:pPr>
        <w:pStyle w:val="FootnoteText"/>
        <w:jc w:val="both"/>
        <w:rPr>
          <w:lang w:val="en-US"/>
        </w:rPr>
      </w:pPr>
      <w:r>
        <w:rPr>
          <w:rStyle w:val="FootnoteReference"/>
        </w:rPr>
        <w:footnoteRef/>
      </w:r>
      <w:r>
        <w:t xml:space="preserve"> </w:t>
      </w:r>
      <w:r>
        <w:rPr>
          <w:u w:val="single"/>
          <w:lang w:val="en-US"/>
        </w:rPr>
        <w:t>Principles of Public Utility Rates</w:t>
      </w:r>
      <w:r>
        <w:rPr>
          <w:lang w:val="en-US"/>
        </w:rPr>
        <w:t xml:space="preserve">, Second Edition, page 495.  </w:t>
      </w:r>
    </w:p>
  </w:footnote>
  <w:footnote w:id="5">
    <w:p w:rsidR="002D4813" w:rsidRPr="001372CC" w:rsidRDefault="002D4813" w:rsidP="001372CC">
      <w:pPr>
        <w:pStyle w:val="FootnoteText"/>
        <w:jc w:val="both"/>
        <w:rPr>
          <w:lang w:val="en-US"/>
        </w:rPr>
      </w:pPr>
      <w:r>
        <w:rPr>
          <w:rStyle w:val="FootnoteReference"/>
        </w:rPr>
        <w:footnoteRef/>
      </w:r>
      <w:r>
        <w:t xml:space="preserve"> </w:t>
      </w:r>
      <w:r>
        <w:rPr>
          <w:lang w:val="en-US"/>
        </w:rPr>
        <w:t>Coincident Peak is defined as each class’s contribution to peak demand at the time (coincident) of the system peak.</w:t>
      </w:r>
    </w:p>
  </w:footnote>
  <w:footnote w:id="6">
    <w:p w:rsidR="002D4813" w:rsidRPr="00653690" w:rsidRDefault="002D4813" w:rsidP="00871F22">
      <w:pPr>
        <w:pStyle w:val="FootnoteText"/>
        <w:jc w:val="both"/>
        <w:rPr>
          <w:lang w:val="en-US"/>
        </w:rPr>
      </w:pPr>
      <w:r>
        <w:rPr>
          <w:rStyle w:val="FootnoteReference"/>
        </w:rPr>
        <w:footnoteRef/>
      </w:r>
      <w:r>
        <w:t xml:space="preserve"> </w:t>
      </w:r>
      <w:r>
        <w:rPr>
          <w:lang w:val="en-US"/>
        </w:rPr>
        <w:t>Per response to STF-TAI-1-5.</w:t>
      </w:r>
    </w:p>
  </w:footnote>
  <w:footnote w:id="7">
    <w:p w:rsidR="002D4813" w:rsidRPr="00F13FEE" w:rsidRDefault="002D4813" w:rsidP="00871F22">
      <w:pPr>
        <w:pStyle w:val="FootnoteText"/>
        <w:rPr>
          <w:lang w:val="en-US"/>
        </w:rPr>
      </w:pPr>
      <w:r>
        <w:rPr>
          <w:rStyle w:val="FootnoteReference"/>
        </w:rPr>
        <w:footnoteRef/>
      </w:r>
      <w:r>
        <w:t xml:space="preserve"> </w:t>
      </w:r>
      <w:r>
        <w:rPr>
          <w:i/>
          <w:iCs/>
          <w:lang w:val="en-US"/>
        </w:rPr>
        <w:t>Id.</w:t>
      </w:r>
    </w:p>
  </w:footnote>
  <w:footnote w:id="8">
    <w:p w:rsidR="002D4813" w:rsidRPr="00F13FEE" w:rsidRDefault="002D4813" w:rsidP="00871F22">
      <w:pPr>
        <w:pStyle w:val="FootnoteText"/>
        <w:rPr>
          <w:lang w:val="en-US"/>
        </w:rPr>
      </w:pPr>
      <w:r>
        <w:rPr>
          <w:rStyle w:val="FootnoteReference"/>
        </w:rPr>
        <w:footnoteRef/>
      </w:r>
      <w:r>
        <w:t xml:space="preserve"> </w:t>
      </w:r>
      <w:r>
        <w:rPr>
          <w:lang w:val="en-US"/>
        </w:rPr>
        <w:t>Per Confidential response to STF-TAI-1-14.</w:t>
      </w:r>
    </w:p>
  </w:footnote>
  <w:footnote w:id="9">
    <w:p w:rsidR="002D4813" w:rsidRPr="00B363DF" w:rsidRDefault="002D4813" w:rsidP="00871F22">
      <w:pPr>
        <w:pStyle w:val="FootnoteText"/>
        <w:rPr>
          <w:lang w:val="en-US"/>
        </w:rPr>
      </w:pPr>
      <w:r>
        <w:rPr>
          <w:rStyle w:val="FootnoteReference"/>
        </w:rPr>
        <w:footnoteRef/>
      </w:r>
      <w:r>
        <w:t xml:space="preserve"> </w:t>
      </w:r>
      <w:r>
        <w:rPr>
          <w:lang w:val="en-US"/>
        </w:rPr>
        <w:t>Per response to STF-TAI-1-5.</w:t>
      </w:r>
    </w:p>
  </w:footnote>
  <w:footnote w:id="10">
    <w:p w:rsidR="002D4813" w:rsidRPr="00B363DF" w:rsidRDefault="002D4813" w:rsidP="00871F22">
      <w:pPr>
        <w:pStyle w:val="FootnoteText"/>
        <w:rPr>
          <w:lang w:val="en-US"/>
        </w:rPr>
      </w:pPr>
      <w:r>
        <w:rPr>
          <w:rStyle w:val="FootnoteReference"/>
        </w:rPr>
        <w:footnoteRef/>
      </w:r>
      <w:r>
        <w:t xml:space="preserve"> </w:t>
      </w:r>
      <w:r>
        <w:rPr>
          <w:i/>
          <w:iCs/>
          <w:lang w:val="en-US"/>
        </w:rPr>
        <w:t>Id</w:t>
      </w:r>
      <w:r>
        <w:rPr>
          <w:lang w:val="en-US"/>
        </w:rPr>
        <w:t>.</w:t>
      </w:r>
    </w:p>
  </w:footnote>
  <w:footnote w:id="11">
    <w:p w:rsidR="002D4813" w:rsidRPr="00B363DF" w:rsidRDefault="002D4813" w:rsidP="00871F22">
      <w:pPr>
        <w:pStyle w:val="FootnoteText"/>
        <w:rPr>
          <w:lang w:val="en-US"/>
        </w:rPr>
      </w:pPr>
      <w:r>
        <w:rPr>
          <w:rStyle w:val="FootnoteReference"/>
        </w:rPr>
        <w:footnoteRef/>
      </w:r>
      <w:r>
        <w:t xml:space="preserve"> </w:t>
      </w:r>
      <w:r>
        <w:rPr>
          <w:lang w:val="en-US"/>
        </w:rPr>
        <w:t>Per Confidential response to STF-TAI-1-14.</w:t>
      </w:r>
    </w:p>
  </w:footnote>
  <w:footnote w:id="12">
    <w:p w:rsidR="002D4813" w:rsidRPr="00FD35BF" w:rsidRDefault="002D4813" w:rsidP="00871F22">
      <w:pPr>
        <w:pStyle w:val="FootnoteText"/>
        <w:rPr>
          <w:lang w:val="en-US"/>
        </w:rPr>
      </w:pPr>
      <w:r>
        <w:rPr>
          <w:rStyle w:val="FootnoteReference"/>
        </w:rPr>
        <w:footnoteRef/>
      </w:r>
      <w:r>
        <w:t xml:space="preserve"> </w:t>
      </w:r>
      <w:r>
        <w:rPr>
          <w:lang w:val="en-US"/>
        </w:rPr>
        <w:t>Per response to STF-TAI-1-5.</w:t>
      </w:r>
    </w:p>
  </w:footnote>
  <w:footnote w:id="13">
    <w:p w:rsidR="002D4813" w:rsidRPr="00BE4C35" w:rsidRDefault="002D4813" w:rsidP="00871F22">
      <w:pPr>
        <w:pStyle w:val="FootnoteText"/>
        <w:rPr>
          <w:lang w:val="en-US"/>
        </w:rPr>
      </w:pPr>
      <w:r>
        <w:rPr>
          <w:rStyle w:val="FootnoteReference"/>
        </w:rPr>
        <w:footnoteRef/>
      </w:r>
      <w:r>
        <w:t xml:space="preserve"> </w:t>
      </w:r>
      <w:r>
        <w:rPr>
          <w:lang w:val="en-US"/>
        </w:rPr>
        <w:t xml:space="preserve">Excludes $4.4 billion of estimated Vogtle Unit 3 investment.  Per response to STF-TAI-1-5. </w:t>
      </w:r>
    </w:p>
  </w:footnote>
  <w:footnote w:id="14">
    <w:p w:rsidR="002D4813" w:rsidRPr="00B04D1D" w:rsidRDefault="002D4813" w:rsidP="00871F22">
      <w:pPr>
        <w:pStyle w:val="FootnoteText"/>
        <w:jc w:val="both"/>
        <w:rPr>
          <w:lang w:val="en-US"/>
        </w:rPr>
      </w:pPr>
      <w:r>
        <w:rPr>
          <w:rStyle w:val="FootnoteReference"/>
        </w:rPr>
        <w:footnoteRef/>
      </w:r>
      <w:r>
        <w:t xml:space="preserve"> </w:t>
      </w:r>
      <w:r>
        <w:rPr>
          <w:lang w:val="en-US"/>
        </w:rPr>
        <w:t xml:space="preserve">Indexed RORs measure a rate schedule’s profitability relative to the system average ROR.  For example, if a class has an absolute ROR of 6.00% and the system average ROR is 6.25%, that class’s indexed ROR is 96%.     </w:t>
      </w:r>
    </w:p>
    <w:p w:rsidR="002D4813" w:rsidRPr="00562DC3" w:rsidRDefault="002D4813" w:rsidP="00871F22">
      <w:pPr>
        <w:pStyle w:val="FootnoteText"/>
        <w:rPr>
          <w:lang w:val="en-US"/>
        </w:rPr>
      </w:pPr>
    </w:p>
  </w:footnote>
  <w:footnote w:id="15">
    <w:p w:rsidR="002D4813" w:rsidRPr="00933D6A" w:rsidRDefault="002D4813" w:rsidP="00871F22">
      <w:pPr>
        <w:pStyle w:val="FootnoteText"/>
        <w:jc w:val="both"/>
        <w:rPr>
          <w:lang w:val="en-US"/>
        </w:rPr>
      </w:pPr>
      <w:r>
        <w:rPr>
          <w:rStyle w:val="FootnoteReference"/>
        </w:rPr>
        <w:footnoteRef/>
      </w:r>
      <w:r>
        <w:t xml:space="preserve"> </w:t>
      </w:r>
      <w:r>
        <w:rPr>
          <w:lang w:val="en-US"/>
        </w:rPr>
        <w:t>1992 Edition, page 62.</w:t>
      </w:r>
    </w:p>
  </w:footnote>
  <w:footnote w:id="16">
    <w:p w:rsidR="002D4813" w:rsidRPr="006B6BE9" w:rsidRDefault="002D4813" w:rsidP="00871F22">
      <w:pPr>
        <w:jc w:val="both"/>
      </w:pPr>
      <w:r w:rsidRPr="006D51A6">
        <w:rPr>
          <w:rStyle w:val="FootnoteReference"/>
          <w:sz w:val="20"/>
          <w:szCs w:val="20"/>
        </w:rPr>
        <w:footnoteRef/>
      </w:r>
      <w:r w:rsidRPr="006D51A6">
        <w:rPr>
          <w:sz w:val="20"/>
          <w:szCs w:val="20"/>
        </w:rPr>
        <w:t xml:space="preserve"> </w:t>
      </w:r>
      <w:r w:rsidRPr="006D51A6">
        <w:rPr>
          <w:bCs/>
          <w:sz w:val="20"/>
          <w:szCs w:val="20"/>
        </w:rPr>
        <w:t>It should be noted that this exercise actually assigns costs to every hour of the year</w:t>
      </w:r>
      <w:r>
        <w:rPr>
          <w:bCs/>
          <w:sz w:val="20"/>
          <w:szCs w:val="20"/>
        </w:rPr>
        <w:t xml:space="preserve">. </w:t>
      </w:r>
      <w:r w:rsidRPr="00C5364A">
        <w:rPr>
          <w:b/>
          <w:bCs/>
          <w:color w:val="FF0000"/>
          <w:sz w:val="20"/>
          <w:szCs w:val="20"/>
        </w:rPr>
        <w:t xml:space="preserve"> </w:t>
      </w:r>
    </w:p>
  </w:footnote>
  <w:footnote w:id="17">
    <w:p w:rsidR="002D4813" w:rsidRPr="00A12914" w:rsidRDefault="002D4813" w:rsidP="00871F22">
      <w:pPr>
        <w:pStyle w:val="FootnoteText"/>
        <w:jc w:val="both"/>
        <w:rPr>
          <w:lang w:val="en-US"/>
        </w:rPr>
      </w:pPr>
      <w:r>
        <w:rPr>
          <w:rStyle w:val="FootnoteReference"/>
        </w:rPr>
        <w:footnoteRef/>
      </w:r>
      <w:r>
        <w:t xml:space="preserve"> </w:t>
      </w:r>
      <w:r>
        <w:rPr>
          <w:lang w:val="en-US"/>
        </w:rPr>
        <w:t>Class hourly loads for the margin rate schedules only include CBL load and exclude incremental RTP hourly loads.</w:t>
      </w:r>
    </w:p>
  </w:footnote>
  <w:footnote w:id="18">
    <w:p w:rsidR="002D4813" w:rsidRPr="00B9749B" w:rsidRDefault="002D4813" w:rsidP="00871F22">
      <w:pPr>
        <w:pStyle w:val="FootnoteText"/>
        <w:jc w:val="both"/>
        <w:rPr>
          <w:lang w:val="en-US"/>
        </w:rPr>
      </w:pPr>
      <w:r>
        <w:rPr>
          <w:rStyle w:val="FootnoteReference"/>
        </w:rPr>
        <w:footnoteRef/>
      </w:r>
      <w:r>
        <w:t xml:space="preserve"> </w:t>
      </w:r>
      <w:r>
        <w:rPr>
          <w:lang w:val="en-US"/>
        </w:rPr>
        <w:t>Class hourly loads were measured at the generation level in order to reflect losses by voltage level.</w:t>
      </w:r>
    </w:p>
  </w:footnote>
  <w:footnote w:id="19">
    <w:p w:rsidR="002D4813" w:rsidRPr="00F004F1" w:rsidRDefault="002D4813" w:rsidP="00871F22">
      <w:pPr>
        <w:pStyle w:val="FootnoteText"/>
        <w:jc w:val="both"/>
        <w:rPr>
          <w:lang w:val="en-US"/>
        </w:rPr>
      </w:pPr>
      <w:r>
        <w:rPr>
          <w:rStyle w:val="FootnoteReference"/>
        </w:rPr>
        <w:footnoteRef/>
      </w:r>
      <w:r>
        <w:t xml:space="preserve"> </w:t>
      </w:r>
      <w:r>
        <w:rPr>
          <w:lang w:val="en-US"/>
        </w:rPr>
        <w:t>Traditionally, customer/demand splits relate to Accounts 364 (Poles), 365 (Overhead Conductors), 366 (Underground Conduit), 367 (Underground Conductors), and 368 (Line Transformers).</w:t>
      </w:r>
    </w:p>
  </w:footnote>
  <w:footnote w:id="20">
    <w:p w:rsidR="002D4813" w:rsidRPr="00216BDC" w:rsidRDefault="002D4813" w:rsidP="00871F22">
      <w:pPr>
        <w:pStyle w:val="FootnoteText"/>
        <w:jc w:val="both"/>
        <w:rPr>
          <w:lang w:val="en-US"/>
        </w:rPr>
      </w:pPr>
      <w:r>
        <w:rPr>
          <w:rStyle w:val="FootnoteReference"/>
        </w:rPr>
        <w:footnoteRef/>
      </w:r>
      <w:r>
        <w:t xml:space="preserve"> </w:t>
      </w:r>
      <w:r>
        <w:rPr>
          <w:lang w:val="en-US"/>
        </w:rPr>
        <w:t xml:space="preserve">The “levelized” increase represents the annual incremental increases on a levelized basis and was calculated based on the present value of each of the three-year proposed revenue deficiencies.   </w:t>
      </w:r>
    </w:p>
  </w:footnote>
  <w:footnote w:id="21">
    <w:p w:rsidR="002D4813" w:rsidRPr="00216BDC" w:rsidRDefault="002D4813" w:rsidP="00871F22">
      <w:pPr>
        <w:pStyle w:val="FootnoteText"/>
        <w:jc w:val="both"/>
        <w:rPr>
          <w:lang w:val="en-US"/>
        </w:rPr>
      </w:pPr>
      <w:r>
        <w:rPr>
          <w:rStyle w:val="FootnoteReference"/>
        </w:rPr>
        <w:footnoteRef/>
      </w:r>
      <w:r>
        <w:t xml:space="preserve"> </w:t>
      </w:r>
      <w:r>
        <w:rPr>
          <w:lang w:val="en-US"/>
        </w:rPr>
        <w:t>The test year increases should not be confused with Rate Year 1 increases.  The Company’s as -filed tariffs reflecting the test year proposed increases are contained in MFR F-1 while the revenue proof relating to its proposed increases is contained in MFR F-4.</w:t>
      </w:r>
    </w:p>
  </w:footnote>
  <w:footnote w:id="22">
    <w:p w:rsidR="002D4813" w:rsidRPr="004E1C80" w:rsidRDefault="002D4813" w:rsidP="00871F22">
      <w:pPr>
        <w:pStyle w:val="FootnoteText"/>
        <w:jc w:val="both"/>
        <w:rPr>
          <w:lang w:val="en-US"/>
        </w:rPr>
      </w:pPr>
      <w:r>
        <w:rPr>
          <w:rStyle w:val="FootnoteReference"/>
        </w:rPr>
        <w:footnoteRef/>
      </w:r>
      <w:r>
        <w:t xml:space="preserve"> </w:t>
      </w:r>
      <w:r>
        <w:rPr>
          <w:lang w:val="en-US"/>
        </w:rPr>
        <w:t xml:space="preserve">It is understood that the Company made a </w:t>
      </w:r>
      <w:r w:rsidRPr="004E1C80">
        <w:rPr>
          <w:lang w:val="en-US"/>
        </w:rPr>
        <w:t xml:space="preserve">Supplemental Filing on August 22, 2022, wherein </w:t>
      </w:r>
      <w:r>
        <w:rPr>
          <w:lang w:val="en-US"/>
        </w:rPr>
        <w:t>its requested levelized base rate and traditional ECCR revenues were adjusted to $761.9 million and $5.0 million, respectively</w:t>
      </w:r>
      <w:r w:rsidRPr="004E1C80">
        <w:rPr>
          <w:lang w:val="en-US"/>
        </w:rPr>
        <w:t>.</w:t>
      </w:r>
      <w:r>
        <w:rPr>
          <w:lang w:val="en-US"/>
        </w:rPr>
        <w:t xml:space="preserve">  </w:t>
      </w:r>
      <w:bookmarkStart w:id="16" w:name="_Hlk116233778"/>
      <w:r>
        <w:rPr>
          <w:lang w:val="en-US"/>
        </w:rPr>
        <w:t>In addition, the Company adjusted its DSM revenue increase to $36.9 million in Year 1.</w:t>
      </w:r>
    </w:p>
    <w:bookmarkEnd w:id="16"/>
  </w:footnote>
  <w:footnote w:id="23">
    <w:p w:rsidR="002D4813" w:rsidRPr="00126262" w:rsidRDefault="002D4813" w:rsidP="00871F22">
      <w:pPr>
        <w:pStyle w:val="FootnoteText"/>
        <w:rPr>
          <w:lang w:val="en-US"/>
        </w:rPr>
      </w:pPr>
      <w:r>
        <w:rPr>
          <w:rStyle w:val="FootnoteReference"/>
        </w:rPr>
        <w:footnoteRef/>
      </w:r>
      <w:r>
        <w:t xml:space="preserve"> </w:t>
      </w:r>
      <w:r>
        <w:rPr>
          <w:lang w:val="en-US"/>
        </w:rPr>
        <w:t xml:space="preserve">Per </w:t>
      </w:r>
      <w:r w:rsidRPr="00126262">
        <w:t>APA-SPA-ADH-MBR-1 (Schedules 2-5).</w:t>
      </w:r>
    </w:p>
  </w:footnote>
  <w:footnote w:id="24">
    <w:p w:rsidR="002D4813" w:rsidRPr="00990DF0" w:rsidRDefault="002D4813" w:rsidP="00990DF0">
      <w:pPr>
        <w:pStyle w:val="FootnoteText"/>
        <w:jc w:val="both"/>
        <w:rPr>
          <w:lang w:val="en-US"/>
        </w:rPr>
      </w:pPr>
      <w:r>
        <w:rPr>
          <w:rStyle w:val="FootnoteReference"/>
        </w:rPr>
        <w:footnoteRef/>
      </w:r>
      <w:r>
        <w:t xml:space="preserve"> </w:t>
      </w:r>
      <w:r>
        <w:rPr>
          <w:lang w:val="en-US"/>
        </w:rPr>
        <w:t xml:space="preserve">It is understood that Georgia Power provided a Supplemental Filing on August 22, 2022, that requests a levelized base rate increase of $761.9 million.  However, the Supplemental Filing did not provide a revenue allocation or rate design associated with this supplemental overall revenue increase to base rates.  </w:t>
      </w:r>
    </w:p>
  </w:footnote>
  <w:footnote w:id="25">
    <w:p w:rsidR="002D4813" w:rsidRPr="00502FA3" w:rsidRDefault="002D4813" w:rsidP="00B04ACC">
      <w:pPr>
        <w:pStyle w:val="FootnoteText"/>
        <w:rPr>
          <w:lang w:val="en-US"/>
        </w:rPr>
      </w:pPr>
      <w:r>
        <w:rPr>
          <w:rStyle w:val="FootnoteReference"/>
        </w:rPr>
        <w:footnoteRef/>
      </w:r>
      <w:r>
        <w:t xml:space="preserve"> </w:t>
      </w:r>
      <w:r>
        <w:rPr>
          <w:lang w:val="en-US"/>
        </w:rPr>
        <w:t>Includes Back-Up and excludes Incremental RTP.</w:t>
      </w:r>
    </w:p>
  </w:footnote>
  <w:footnote w:id="26">
    <w:p w:rsidR="002D4813" w:rsidRPr="004018FB" w:rsidRDefault="002D4813">
      <w:pPr>
        <w:pStyle w:val="FootnoteText"/>
        <w:rPr>
          <w:lang w:val="en-US"/>
        </w:rPr>
      </w:pPr>
      <w:r>
        <w:rPr>
          <w:rStyle w:val="FootnoteReference"/>
        </w:rPr>
        <w:footnoteRef/>
      </w:r>
      <w:r>
        <w:t xml:space="preserve"> </w:t>
      </w:r>
      <w:r>
        <w:rPr>
          <w:lang w:val="en-US"/>
        </w:rPr>
        <w:t>Reflects Georgia Power’s revised revenues provided to Staff on October 4, 2022.</w:t>
      </w:r>
    </w:p>
  </w:footnote>
  <w:footnote w:id="27">
    <w:p w:rsidR="002D4813" w:rsidRPr="00764ED4" w:rsidRDefault="002D4813" w:rsidP="0022235D">
      <w:pPr>
        <w:pStyle w:val="FootnoteText"/>
        <w:rPr>
          <w:lang w:val="en-US"/>
        </w:rPr>
      </w:pPr>
      <w:r>
        <w:rPr>
          <w:rStyle w:val="FootnoteReference"/>
        </w:rPr>
        <w:footnoteRef/>
      </w:r>
      <w:r>
        <w:t xml:space="preserve"> </w:t>
      </w:r>
      <w:r>
        <w:rPr>
          <w:lang w:val="en-US"/>
        </w:rPr>
        <w:t>Includes Back-Up and excludes Incremental RTP.</w:t>
      </w:r>
    </w:p>
  </w:footnote>
  <w:footnote w:id="28">
    <w:p w:rsidR="002D4813" w:rsidRPr="001372CC" w:rsidRDefault="002D4813" w:rsidP="00FB23D6">
      <w:pPr>
        <w:pStyle w:val="FootnoteText"/>
        <w:rPr>
          <w:lang w:val="en-US"/>
        </w:rPr>
      </w:pPr>
      <w:r>
        <w:rPr>
          <w:rStyle w:val="FootnoteReference"/>
        </w:rPr>
        <w:footnoteRef/>
      </w:r>
      <w:r>
        <w:t xml:space="preserve"> </w:t>
      </w:r>
      <w:r>
        <w:rPr>
          <w:lang w:val="en-US"/>
        </w:rPr>
        <w:t>All-in revenue.  Includes base rates, RTP incremental, DSM, ILR, ECCR, NCCR, MFF, and Fuel.</w:t>
      </w:r>
    </w:p>
  </w:footnote>
  <w:footnote w:id="29">
    <w:p w:rsidR="002D4813" w:rsidRPr="002F2816" w:rsidRDefault="002D4813" w:rsidP="002F2816">
      <w:pPr>
        <w:pStyle w:val="FootnoteText"/>
        <w:jc w:val="both"/>
        <w:rPr>
          <w:lang w:val="en-US"/>
        </w:rPr>
      </w:pPr>
      <w:r>
        <w:rPr>
          <w:rStyle w:val="FootnoteReference"/>
        </w:rPr>
        <w:footnoteRef/>
      </w:r>
      <w:r>
        <w:t xml:space="preserve"> </w:t>
      </w:r>
      <w:r>
        <w:rPr>
          <w:lang w:val="en-US"/>
        </w:rPr>
        <w:t>On page 5 of his Direct Testimony, Mr. Legg indicates that this rate’s basic service charge was not increased because this charge was adjusted to the “full amount of the customer -related costs in the 2019 base rate case.”</w:t>
      </w:r>
    </w:p>
  </w:footnote>
  <w:footnote w:id="30">
    <w:p w:rsidR="002D4813" w:rsidRPr="00F22497" w:rsidRDefault="002D4813">
      <w:pPr>
        <w:pStyle w:val="FootnoteText"/>
        <w:rPr>
          <w:lang w:val="en-US"/>
        </w:rPr>
      </w:pPr>
      <w:r>
        <w:rPr>
          <w:rStyle w:val="FootnoteReference"/>
        </w:rPr>
        <w:footnoteRef/>
      </w:r>
      <w:r>
        <w:t xml:space="preserve"> </w:t>
      </w:r>
      <w:r>
        <w:rPr>
          <w:lang w:val="en-US"/>
        </w:rPr>
        <w:t>Direct Testimony of Legg, page 5, lines 6 through 9.</w:t>
      </w:r>
    </w:p>
  </w:footnote>
  <w:footnote w:id="31">
    <w:p w:rsidR="002D4813" w:rsidRPr="002F2816" w:rsidRDefault="002D4813">
      <w:pPr>
        <w:pStyle w:val="FootnoteText"/>
        <w:rPr>
          <w:lang w:val="en-US"/>
        </w:rPr>
      </w:pPr>
      <w:r>
        <w:rPr>
          <w:rStyle w:val="FootnoteReference"/>
        </w:rPr>
        <w:footnoteRef/>
      </w:r>
      <w:r>
        <w:t xml:space="preserve"> </w:t>
      </w:r>
      <w:r>
        <w:rPr>
          <w:lang w:val="en-US"/>
        </w:rPr>
        <w:t>The basic service charge for Residential Pre-Pay and Pay-By-Day is currently $20.08 per month ($0.66 per day).</w:t>
      </w:r>
    </w:p>
  </w:footnote>
  <w:footnote w:id="32">
    <w:p w:rsidR="002D4813" w:rsidRDefault="002D4813" w:rsidP="007F61EC">
      <w:pPr>
        <w:pStyle w:val="FootnoteText"/>
      </w:pPr>
      <w:r>
        <w:rPr>
          <w:rStyle w:val="FootnoteReference"/>
        </w:rPr>
        <w:footnoteRef/>
      </w:r>
      <w:r>
        <w:t xml:space="preserve"> 2022 IRP, page 5-26.</w:t>
      </w:r>
    </w:p>
  </w:footnote>
  <w:footnote w:id="33">
    <w:p w:rsidR="002D4813" w:rsidRPr="00E774E8" w:rsidRDefault="002D4813" w:rsidP="00990DF0">
      <w:pPr>
        <w:pStyle w:val="FootnoteText"/>
        <w:jc w:val="both"/>
      </w:pPr>
      <w:r>
        <w:rPr>
          <w:rStyle w:val="FootnoteReference"/>
        </w:rPr>
        <w:footnoteRef/>
      </w:r>
      <w:r>
        <w:t xml:space="preserve"> Per James C. </w:t>
      </w:r>
      <w:proofErr w:type="spellStart"/>
      <w:r>
        <w:t>Bonbright</w:t>
      </w:r>
      <w:proofErr w:type="spellEnd"/>
      <w:r>
        <w:t xml:space="preserve">, </w:t>
      </w:r>
      <w:r>
        <w:rPr>
          <w:u w:val="single"/>
        </w:rPr>
        <w:t>Principles of Public Utility Rates</w:t>
      </w:r>
      <w:r>
        <w:t xml:space="preserve">, Second Edition, page 401.  In this regard, Samuel </w:t>
      </w:r>
      <w:proofErr w:type="spellStart"/>
      <w:r>
        <w:t>Insull</w:t>
      </w:r>
      <w:proofErr w:type="spellEnd"/>
      <w:r>
        <w:t>, a colleague of Thomas Edison is also given credit for the invention of three-part rates (customer, energy, and demand) at the turn of the 20</w:t>
      </w:r>
      <w:r w:rsidRPr="008B1AFF">
        <w:rPr>
          <w:vertAlign w:val="superscript"/>
        </w:rPr>
        <w:t>th</w:t>
      </w:r>
      <w:r>
        <w:t xml:space="preserve"> Century.  </w:t>
      </w:r>
    </w:p>
  </w:footnote>
  <w:footnote w:id="34">
    <w:p w:rsidR="002D4813" w:rsidRDefault="002D4813" w:rsidP="00825804">
      <w:pPr>
        <w:pStyle w:val="FootnoteText"/>
        <w:jc w:val="both"/>
      </w:pPr>
      <w:r>
        <w:rPr>
          <w:rStyle w:val="FootnoteReference"/>
        </w:rPr>
        <w:footnoteRef/>
      </w:r>
      <w:r>
        <w:t xml:space="preserve"> While Dr. </w:t>
      </w:r>
      <w:proofErr w:type="spellStart"/>
      <w:r>
        <w:t>Faruqui’s</w:t>
      </w:r>
      <w:proofErr w:type="spellEnd"/>
      <w:r>
        <w:t xml:space="preserve"> Exhibit AF-2 is captioned as confidential, this exhibit was obtained on the Georgia Public Service Commission website for Docket No. 42156.</w:t>
      </w:r>
    </w:p>
  </w:footnote>
  <w:footnote w:id="35">
    <w:p w:rsidR="002D4813" w:rsidRDefault="002D4813" w:rsidP="00825804">
      <w:pPr>
        <w:pStyle w:val="FootnoteText"/>
        <w:jc w:val="both"/>
      </w:pPr>
      <w:r>
        <w:rPr>
          <w:rStyle w:val="FootnoteReference"/>
        </w:rPr>
        <w:footnoteRef/>
      </w:r>
      <w:r>
        <w:t xml:space="preserve"> Butler Rural Electric Cooperative (KS), City of Templeton (MA), Flathead Electric Cooperative (MT), Mid-Carolina Electric Cooperative (SC), Platte-Clay Electric Cooperative (MO), Santee Cooper Electric Cooperative (SC), Sun River Electric Cooperative (MT), Swanton Village Electric Department (VT), and Vigilante Electric Cooperative (MT).  </w:t>
      </w:r>
    </w:p>
  </w:footnote>
  <w:footnote w:id="36">
    <w:p w:rsidR="002D4813" w:rsidRDefault="002D4813" w:rsidP="00C33EC6">
      <w:pPr>
        <w:pStyle w:val="FootnoteText"/>
      </w:pPr>
      <w:r>
        <w:rPr>
          <w:rStyle w:val="FootnoteReference"/>
        </w:rPr>
        <w:footnoteRef/>
      </w:r>
      <w:r>
        <w:t xml:space="preserve"> Arizona Corporation Commission, Docket No. </w:t>
      </w:r>
      <w:r w:rsidRPr="0005057D">
        <w:rPr>
          <w:szCs w:val="24"/>
        </w:rPr>
        <w:t>E-01345A-16-0036</w:t>
      </w:r>
      <w:r>
        <w:rPr>
          <w:szCs w:val="24"/>
        </w:rPr>
        <w:t>.</w:t>
      </w:r>
    </w:p>
  </w:footnote>
  <w:footnote w:id="37">
    <w:p w:rsidR="002D4813" w:rsidRDefault="002D4813" w:rsidP="00990DF0">
      <w:pPr>
        <w:pStyle w:val="FootnoteText"/>
        <w:jc w:val="both"/>
      </w:pPr>
      <w:r>
        <w:rPr>
          <w:rStyle w:val="FootnoteReference"/>
        </w:rPr>
        <w:footnoteRef/>
      </w:r>
      <w:r>
        <w:t xml:space="preserve"> Typical hourly loads were calculated as the average hourly load for each day in a given month separated between weekdays and weekends/holidays.  The months of January and July were evaluated because these represent the peak winter and summer months.</w:t>
      </w:r>
    </w:p>
  </w:footnote>
  <w:footnote w:id="38">
    <w:p w:rsidR="002D4813" w:rsidRDefault="002D4813" w:rsidP="00C33EC6">
      <w:pPr>
        <w:pStyle w:val="FootnoteText"/>
      </w:pPr>
      <w:r>
        <w:rPr>
          <w:rStyle w:val="FootnoteReference"/>
        </w:rPr>
        <w:footnoteRef/>
      </w:r>
      <w:r>
        <w:t xml:space="preserve"> Load factors measure the relative relationship between energy usage and peak load wherein the formula is:  [(Total Energy Usage ÷ Hours) ÷ Peak Load].  A higher load factor indicates that energy is used more uniformly across hours of the day; i.e., load does not vary as much as with a lower load factor.    </w:t>
      </w:r>
    </w:p>
  </w:footnote>
  <w:footnote w:id="39">
    <w:p w:rsidR="002D4813" w:rsidRDefault="002D4813" w:rsidP="00B77A03">
      <w:pPr>
        <w:pStyle w:val="FootnoteText"/>
        <w:jc w:val="both"/>
      </w:pPr>
      <w:r>
        <w:rPr>
          <w:rStyle w:val="FootnoteReference"/>
        </w:rPr>
        <w:footnoteRef/>
      </w:r>
      <w:r>
        <w:t xml:space="preserve"> Records eliminated include: bills less than 25 days (49,041), bills greater than 35 days (424), billed kW less than 100 (12,477), billed kW less than or equal to 0 (458), monthly load factor greater than 100% (117), and load factor less than 10% (37,318).   </w:t>
      </w:r>
    </w:p>
  </w:footnote>
  <w:footnote w:id="40">
    <w:p w:rsidR="002D4813" w:rsidRDefault="002D4813" w:rsidP="00B77A03">
      <w:pPr>
        <w:pStyle w:val="FootnoteText"/>
        <w:jc w:val="both"/>
      </w:pPr>
      <w:r>
        <w:rPr>
          <w:rStyle w:val="FootnoteReference"/>
        </w:rPr>
        <w:footnoteRef/>
      </w:r>
      <w:r>
        <w:t xml:space="preserve"> Specifically, the correlation coefficient for all bills evaluated is 76.62% and for those customers using less than 5,000 kWh coefficient is 77.03%.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13" w:rsidRPr="002F2816" w:rsidRDefault="005D307F" w:rsidP="002F2816">
    <w:pPr>
      <w:pStyle w:val="Header"/>
      <w:jc w:val="center"/>
      <w:rPr>
        <w:b/>
        <w:bCs/>
      </w:rPr>
    </w:pPr>
    <w:r>
      <w:rPr>
        <w:b/>
        <w:bCs/>
        <w:lang w:val="en-US"/>
      </w:rPr>
      <w:t>PUBLIC DISCLOSURE</w:t>
    </w:r>
  </w:p>
  <w:p w:rsidR="002D4813" w:rsidRDefault="002D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13" w:rsidRPr="00BB2EA2" w:rsidRDefault="002D4813" w:rsidP="00BB2EA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13" w:rsidRPr="00296192" w:rsidRDefault="002D4813" w:rsidP="00296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BC24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26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823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88B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3A9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3CF1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D49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8BA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C2E3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5AC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B6A6F"/>
    <w:multiLevelType w:val="hybridMultilevel"/>
    <w:tmpl w:val="535A2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76669"/>
    <w:multiLevelType w:val="hybridMultilevel"/>
    <w:tmpl w:val="3F7AABA8"/>
    <w:lvl w:ilvl="0" w:tplc="44F249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4467C1"/>
    <w:multiLevelType w:val="hybridMultilevel"/>
    <w:tmpl w:val="65284D4E"/>
    <w:lvl w:ilvl="0" w:tplc="CC30C48A">
      <w:start w:val="17"/>
      <w:numFmt w:val="upperLetter"/>
      <w:lvlText w:val="%1."/>
      <w:lvlJc w:val="left"/>
      <w:pPr>
        <w:tabs>
          <w:tab w:val="num" w:pos="1050"/>
        </w:tabs>
        <w:ind w:left="105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E154CB"/>
    <w:multiLevelType w:val="hybridMultilevel"/>
    <w:tmpl w:val="9A4CBC36"/>
    <w:lvl w:ilvl="0" w:tplc="38FC9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5E1CB6"/>
    <w:multiLevelType w:val="hybridMultilevel"/>
    <w:tmpl w:val="9CB8C4B4"/>
    <w:lvl w:ilvl="0" w:tplc="3CD8B0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762237"/>
    <w:multiLevelType w:val="hybridMultilevel"/>
    <w:tmpl w:val="70CE274E"/>
    <w:lvl w:ilvl="0" w:tplc="C6EE53C8">
      <w:start w:val="1"/>
      <w:numFmt w:val="upperLetter"/>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18970DAC"/>
    <w:multiLevelType w:val="hybridMultilevel"/>
    <w:tmpl w:val="C4105104"/>
    <w:lvl w:ilvl="0" w:tplc="CFB86B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0B53AF"/>
    <w:multiLevelType w:val="hybridMultilevel"/>
    <w:tmpl w:val="1D000D62"/>
    <w:lvl w:ilvl="0" w:tplc="22D6CD4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5A022E9"/>
    <w:multiLevelType w:val="hybridMultilevel"/>
    <w:tmpl w:val="92DEDA62"/>
    <w:lvl w:ilvl="0" w:tplc="5F747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F54E64"/>
    <w:multiLevelType w:val="hybridMultilevel"/>
    <w:tmpl w:val="54129D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3D1889"/>
    <w:multiLevelType w:val="hybridMultilevel"/>
    <w:tmpl w:val="3936472E"/>
    <w:lvl w:ilvl="0" w:tplc="189EC8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550566"/>
    <w:multiLevelType w:val="hybridMultilevel"/>
    <w:tmpl w:val="E612DF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932935"/>
    <w:multiLevelType w:val="hybridMultilevel"/>
    <w:tmpl w:val="12DA811E"/>
    <w:lvl w:ilvl="0" w:tplc="6E9027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DD48A0"/>
    <w:multiLevelType w:val="hybridMultilevel"/>
    <w:tmpl w:val="51DCCD20"/>
    <w:lvl w:ilvl="0" w:tplc="1E4E00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63B61"/>
    <w:multiLevelType w:val="hybridMultilevel"/>
    <w:tmpl w:val="D08C046C"/>
    <w:lvl w:ilvl="0" w:tplc="9B3CE4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D04122"/>
    <w:multiLevelType w:val="hybridMultilevel"/>
    <w:tmpl w:val="BFBE92CE"/>
    <w:lvl w:ilvl="0" w:tplc="9E5E27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DF3E24"/>
    <w:multiLevelType w:val="hybridMultilevel"/>
    <w:tmpl w:val="C3D66732"/>
    <w:lvl w:ilvl="0" w:tplc="80000BF2">
      <w:start w:val="1"/>
      <w:numFmt w:val="upperLetter"/>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15:restartNumberingAfterBreak="0">
    <w:nsid w:val="512F39AE"/>
    <w:multiLevelType w:val="hybridMultilevel"/>
    <w:tmpl w:val="9ABED28E"/>
    <w:lvl w:ilvl="0" w:tplc="215C2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4E5127"/>
    <w:multiLevelType w:val="hybridMultilevel"/>
    <w:tmpl w:val="90769198"/>
    <w:lvl w:ilvl="0" w:tplc="72DCF1E6">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BD5109"/>
    <w:multiLevelType w:val="hybridMultilevel"/>
    <w:tmpl w:val="B2563912"/>
    <w:lvl w:ilvl="0" w:tplc="07BC37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940D91"/>
    <w:multiLevelType w:val="hybridMultilevel"/>
    <w:tmpl w:val="F45C0544"/>
    <w:lvl w:ilvl="0" w:tplc="3FD41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03228A"/>
    <w:multiLevelType w:val="hybridMultilevel"/>
    <w:tmpl w:val="E0247E50"/>
    <w:lvl w:ilvl="0" w:tplc="8706629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C32027"/>
    <w:multiLevelType w:val="hybridMultilevel"/>
    <w:tmpl w:val="33D82F3A"/>
    <w:lvl w:ilvl="0" w:tplc="E54C498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D64692"/>
    <w:multiLevelType w:val="hybridMultilevel"/>
    <w:tmpl w:val="29BC5C66"/>
    <w:lvl w:ilvl="0" w:tplc="0B66AC64">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4" w15:restartNumberingAfterBreak="0">
    <w:nsid w:val="72AB49DC"/>
    <w:multiLevelType w:val="hybridMultilevel"/>
    <w:tmpl w:val="24702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A703D"/>
    <w:multiLevelType w:val="hybridMultilevel"/>
    <w:tmpl w:val="81A4008C"/>
    <w:lvl w:ilvl="0" w:tplc="8DFEE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EB049D"/>
    <w:multiLevelType w:val="hybridMultilevel"/>
    <w:tmpl w:val="8D823AFE"/>
    <w:lvl w:ilvl="0" w:tplc="19A40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26"/>
  </w:num>
  <w:num w:numId="3">
    <w:abstractNumId w:val="15"/>
  </w:num>
  <w:num w:numId="4">
    <w:abstractNumId w:val="29"/>
  </w:num>
  <w:num w:numId="5">
    <w:abstractNumId w:val="36"/>
  </w:num>
  <w:num w:numId="6">
    <w:abstractNumId w:val="18"/>
  </w:num>
  <w:num w:numId="7">
    <w:abstractNumId w:val="12"/>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4"/>
  </w:num>
  <w:num w:numId="20">
    <w:abstractNumId w:val="10"/>
  </w:num>
  <w:num w:numId="21">
    <w:abstractNumId w:val="19"/>
  </w:num>
  <w:num w:numId="22">
    <w:abstractNumId w:val="23"/>
  </w:num>
  <w:num w:numId="23">
    <w:abstractNumId w:val="17"/>
  </w:num>
  <w:num w:numId="24">
    <w:abstractNumId w:val="11"/>
  </w:num>
  <w:num w:numId="25">
    <w:abstractNumId w:val="24"/>
  </w:num>
  <w:num w:numId="26">
    <w:abstractNumId w:val="16"/>
  </w:num>
  <w:num w:numId="27">
    <w:abstractNumId w:val="20"/>
  </w:num>
  <w:num w:numId="28">
    <w:abstractNumId w:val="14"/>
  </w:num>
  <w:num w:numId="29">
    <w:abstractNumId w:val="35"/>
  </w:num>
  <w:num w:numId="30">
    <w:abstractNumId w:val="31"/>
  </w:num>
  <w:num w:numId="31">
    <w:abstractNumId w:val="28"/>
  </w:num>
  <w:num w:numId="32">
    <w:abstractNumId w:val="22"/>
  </w:num>
  <w:num w:numId="33">
    <w:abstractNumId w:val="27"/>
  </w:num>
  <w:num w:numId="34">
    <w:abstractNumId w:val="32"/>
  </w:num>
  <w:num w:numId="35">
    <w:abstractNumId w:val="30"/>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6C"/>
    <w:rsid w:val="000001BE"/>
    <w:rsid w:val="00000251"/>
    <w:rsid w:val="00001C84"/>
    <w:rsid w:val="00003ADC"/>
    <w:rsid w:val="00004C7D"/>
    <w:rsid w:val="000059F6"/>
    <w:rsid w:val="00006AD2"/>
    <w:rsid w:val="00007DB4"/>
    <w:rsid w:val="00007F3A"/>
    <w:rsid w:val="000106EB"/>
    <w:rsid w:val="00011183"/>
    <w:rsid w:val="0001191B"/>
    <w:rsid w:val="00011ABE"/>
    <w:rsid w:val="00011AF6"/>
    <w:rsid w:val="00012618"/>
    <w:rsid w:val="000126A1"/>
    <w:rsid w:val="00012DDB"/>
    <w:rsid w:val="000130A2"/>
    <w:rsid w:val="00014977"/>
    <w:rsid w:val="00016003"/>
    <w:rsid w:val="00017491"/>
    <w:rsid w:val="000174CC"/>
    <w:rsid w:val="00020999"/>
    <w:rsid w:val="00022067"/>
    <w:rsid w:val="00023214"/>
    <w:rsid w:val="00024BC5"/>
    <w:rsid w:val="00024E57"/>
    <w:rsid w:val="000251B0"/>
    <w:rsid w:val="00030215"/>
    <w:rsid w:val="00031500"/>
    <w:rsid w:val="00035BEF"/>
    <w:rsid w:val="000361E0"/>
    <w:rsid w:val="00040845"/>
    <w:rsid w:val="00043DCB"/>
    <w:rsid w:val="00047204"/>
    <w:rsid w:val="00047B09"/>
    <w:rsid w:val="00047CB0"/>
    <w:rsid w:val="00051DEC"/>
    <w:rsid w:val="000534A4"/>
    <w:rsid w:val="00053906"/>
    <w:rsid w:val="00053BEB"/>
    <w:rsid w:val="0005578D"/>
    <w:rsid w:val="00056D0C"/>
    <w:rsid w:val="00057D2C"/>
    <w:rsid w:val="00061792"/>
    <w:rsid w:val="000617D0"/>
    <w:rsid w:val="000647C7"/>
    <w:rsid w:val="00065EB2"/>
    <w:rsid w:val="00066185"/>
    <w:rsid w:val="00066686"/>
    <w:rsid w:val="00067011"/>
    <w:rsid w:val="0006744B"/>
    <w:rsid w:val="00067D02"/>
    <w:rsid w:val="00070B1A"/>
    <w:rsid w:val="00071C38"/>
    <w:rsid w:val="00071E53"/>
    <w:rsid w:val="00072F85"/>
    <w:rsid w:val="00073658"/>
    <w:rsid w:val="00073905"/>
    <w:rsid w:val="000743AA"/>
    <w:rsid w:val="0007475E"/>
    <w:rsid w:val="00074AFD"/>
    <w:rsid w:val="00077499"/>
    <w:rsid w:val="00077575"/>
    <w:rsid w:val="00077817"/>
    <w:rsid w:val="000779D0"/>
    <w:rsid w:val="00081604"/>
    <w:rsid w:val="000821AE"/>
    <w:rsid w:val="00083476"/>
    <w:rsid w:val="000835B6"/>
    <w:rsid w:val="000859FC"/>
    <w:rsid w:val="00085BCE"/>
    <w:rsid w:val="00086427"/>
    <w:rsid w:val="0008768B"/>
    <w:rsid w:val="00087AA8"/>
    <w:rsid w:val="00090A2E"/>
    <w:rsid w:val="00092A10"/>
    <w:rsid w:val="00093D84"/>
    <w:rsid w:val="00093EB0"/>
    <w:rsid w:val="00094448"/>
    <w:rsid w:val="00094712"/>
    <w:rsid w:val="000949DB"/>
    <w:rsid w:val="0009658E"/>
    <w:rsid w:val="000A0757"/>
    <w:rsid w:val="000A13EF"/>
    <w:rsid w:val="000A1C3C"/>
    <w:rsid w:val="000A48E5"/>
    <w:rsid w:val="000A5210"/>
    <w:rsid w:val="000A531E"/>
    <w:rsid w:val="000A58DC"/>
    <w:rsid w:val="000B2B46"/>
    <w:rsid w:val="000B42FC"/>
    <w:rsid w:val="000B7C28"/>
    <w:rsid w:val="000C03D9"/>
    <w:rsid w:val="000C09E4"/>
    <w:rsid w:val="000C2F1D"/>
    <w:rsid w:val="000C6342"/>
    <w:rsid w:val="000D3CEB"/>
    <w:rsid w:val="000D40A7"/>
    <w:rsid w:val="000D4458"/>
    <w:rsid w:val="000E185E"/>
    <w:rsid w:val="000E57A9"/>
    <w:rsid w:val="000E5A13"/>
    <w:rsid w:val="000E6EF4"/>
    <w:rsid w:val="000E769E"/>
    <w:rsid w:val="000E7FDF"/>
    <w:rsid w:val="000F1501"/>
    <w:rsid w:val="000F2F47"/>
    <w:rsid w:val="000F3AE1"/>
    <w:rsid w:val="000F3CA0"/>
    <w:rsid w:val="000F4EE5"/>
    <w:rsid w:val="000F5B71"/>
    <w:rsid w:val="000F69D3"/>
    <w:rsid w:val="000F7010"/>
    <w:rsid w:val="000F77A8"/>
    <w:rsid w:val="001012CF"/>
    <w:rsid w:val="001014C9"/>
    <w:rsid w:val="00104BF1"/>
    <w:rsid w:val="0010581B"/>
    <w:rsid w:val="0010711D"/>
    <w:rsid w:val="00107405"/>
    <w:rsid w:val="00111450"/>
    <w:rsid w:val="00112752"/>
    <w:rsid w:val="00112ACC"/>
    <w:rsid w:val="00113E75"/>
    <w:rsid w:val="00115530"/>
    <w:rsid w:val="001170F0"/>
    <w:rsid w:val="00117E55"/>
    <w:rsid w:val="00121206"/>
    <w:rsid w:val="0012290F"/>
    <w:rsid w:val="0012352E"/>
    <w:rsid w:val="00124ABE"/>
    <w:rsid w:val="00124ED5"/>
    <w:rsid w:val="001266BB"/>
    <w:rsid w:val="00126C6D"/>
    <w:rsid w:val="00127E3F"/>
    <w:rsid w:val="0013048C"/>
    <w:rsid w:val="0013050A"/>
    <w:rsid w:val="00130DFA"/>
    <w:rsid w:val="001310A1"/>
    <w:rsid w:val="0013194D"/>
    <w:rsid w:val="001320C9"/>
    <w:rsid w:val="00133181"/>
    <w:rsid w:val="001334C8"/>
    <w:rsid w:val="00135CC8"/>
    <w:rsid w:val="00137268"/>
    <w:rsid w:val="001372CC"/>
    <w:rsid w:val="00140A76"/>
    <w:rsid w:val="00141523"/>
    <w:rsid w:val="001434E1"/>
    <w:rsid w:val="001436C9"/>
    <w:rsid w:val="00150969"/>
    <w:rsid w:val="00150DBA"/>
    <w:rsid w:val="00152D5D"/>
    <w:rsid w:val="00153236"/>
    <w:rsid w:val="001536F1"/>
    <w:rsid w:val="0015373F"/>
    <w:rsid w:val="00153833"/>
    <w:rsid w:val="00153C8B"/>
    <w:rsid w:val="0015543B"/>
    <w:rsid w:val="00156B9D"/>
    <w:rsid w:val="00160D3E"/>
    <w:rsid w:val="00161975"/>
    <w:rsid w:val="00162C2B"/>
    <w:rsid w:val="001653EF"/>
    <w:rsid w:val="001656BB"/>
    <w:rsid w:val="001662C4"/>
    <w:rsid w:val="00171447"/>
    <w:rsid w:val="00171BEE"/>
    <w:rsid w:val="00171F6E"/>
    <w:rsid w:val="00172F67"/>
    <w:rsid w:val="00172FFC"/>
    <w:rsid w:val="0017315F"/>
    <w:rsid w:val="00173B52"/>
    <w:rsid w:val="00174AF6"/>
    <w:rsid w:val="00180C3C"/>
    <w:rsid w:val="0018196B"/>
    <w:rsid w:val="0018293D"/>
    <w:rsid w:val="0018446B"/>
    <w:rsid w:val="0018477C"/>
    <w:rsid w:val="00185AF4"/>
    <w:rsid w:val="001868CC"/>
    <w:rsid w:val="0018782A"/>
    <w:rsid w:val="0019021C"/>
    <w:rsid w:val="00190B66"/>
    <w:rsid w:val="0019106D"/>
    <w:rsid w:val="00191A95"/>
    <w:rsid w:val="001947DD"/>
    <w:rsid w:val="001974D6"/>
    <w:rsid w:val="00197E85"/>
    <w:rsid w:val="00197F26"/>
    <w:rsid w:val="001A18A9"/>
    <w:rsid w:val="001A283D"/>
    <w:rsid w:val="001A2FAE"/>
    <w:rsid w:val="001A3739"/>
    <w:rsid w:val="001A3C76"/>
    <w:rsid w:val="001B00D7"/>
    <w:rsid w:val="001B2163"/>
    <w:rsid w:val="001B44A7"/>
    <w:rsid w:val="001B4A79"/>
    <w:rsid w:val="001B7C33"/>
    <w:rsid w:val="001C24D9"/>
    <w:rsid w:val="001C2D2C"/>
    <w:rsid w:val="001C3468"/>
    <w:rsid w:val="001C3F2E"/>
    <w:rsid w:val="001C3F4F"/>
    <w:rsid w:val="001C4423"/>
    <w:rsid w:val="001C4800"/>
    <w:rsid w:val="001C4F16"/>
    <w:rsid w:val="001C5F7B"/>
    <w:rsid w:val="001C7261"/>
    <w:rsid w:val="001C7680"/>
    <w:rsid w:val="001C7C40"/>
    <w:rsid w:val="001D282E"/>
    <w:rsid w:val="001D3186"/>
    <w:rsid w:val="001D3BB8"/>
    <w:rsid w:val="001D4BB6"/>
    <w:rsid w:val="001D52A0"/>
    <w:rsid w:val="001D6C06"/>
    <w:rsid w:val="001D73E0"/>
    <w:rsid w:val="001E0C2C"/>
    <w:rsid w:val="001E26A1"/>
    <w:rsid w:val="001E709A"/>
    <w:rsid w:val="001F0149"/>
    <w:rsid w:val="001F0BD5"/>
    <w:rsid w:val="001F18B9"/>
    <w:rsid w:val="001F1EBB"/>
    <w:rsid w:val="001F6E95"/>
    <w:rsid w:val="002030EF"/>
    <w:rsid w:val="00203777"/>
    <w:rsid w:val="00204A9B"/>
    <w:rsid w:val="00204D51"/>
    <w:rsid w:val="0020526F"/>
    <w:rsid w:val="0020538B"/>
    <w:rsid w:val="00206016"/>
    <w:rsid w:val="00211F99"/>
    <w:rsid w:val="00212AC3"/>
    <w:rsid w:val="00212F7F"/>
    <w:rsid w:val="00216145"/>
    <w:rsid w:val="0021640D"/>
    <w:rsid w:val="0021705C"/>
    <w:rsid w:val="00217DE2"/>
    <w:rsid w:val="00220041"/>
    <w:rsid w:val="00221D9B"/>
    <w:rsid w:val="00222092"/>
    <w:rsid w:val="0022235D"/>
    <w:rsid w:val="00222F4C"/>
    <w:rsid w:val="002236CF"/>
    <w:rsid w:val="002257B7"/>
    <w:rsid w:val="002300FB"/>
    <w:rsid w:val="002301CE"/>
    <w:rsid w:val="00230578"/>
    <w:rsid w:val="00231301"/>
    <w:rsid w:val="00234F81"/>
    <w:rsid w:val="00236741"/>
    <w:rsid w:val="00237834"/>
    <w:rsid w:val="00237974"/>
    <w:rsid w:val="00242FD0"/>
    <w:rsid w:val="0024361E"/>
    <w:rsid w:val="00243E2C"/>
    <w:rsid w:val="00244D23"/>
    <w:rsid w:val="00245F74"/>
    <w:rsid w:val="0025017F"/>
    <w:rsid w:val="0025057D"/>
    <w:rsid w:val="00250840"/>
    <w:rsid w:val="00251453"/>
    <w:rsid w:val="00251F01"/>
    <w:rsid w:val="00252338"/>
    <w:rsid w:val="00252A58"/>
    <w:rsid w:val="00254806"/>
    <w:rsid w:val="00257EEF"/>
    <w:rsid w:val="00260DE8"/>
    <w:rsid w:val="00263DEA"/>
    <w:rsid w:val="00264BE8"/>
    <w:rsid w:val="00265D27"/>
    <w:rsid w:val="00267ACE"/>
    <w:rsid w:val="00271A14"/>
    <w:rsid w:val="00272651"/>
    <w:rsid w:val="00274193"/>
    <w:rsid w:val="00281142"/>
    <w:rsid w:val="00282224"/>
    <w:rsid w:val="002850AB"/>
    <w:rsid w:val="00285878"/>
    <w:rsid w:val="00285B56"/>
    <w:rsid w:val="002861CE"/>
    <w:rsid w:val="00286AFB"/>
    <w:rsid w:val="00286F01"/>
    <w:rsid w:val="002870F9"/>
    <w:rsid w:val="00291407"/>
    <w:rsid w:val="00291ECB"/>
    <w:rsid w:val="00292CA5"/>
    <w:rsid w:val="0029387A"/>
    <w:rsid w:val="002939F4"/>
    <w:rsid w:val="002950C8"/>
    <w:rsid w:val="00295340"/>
    <w:rsid w:val="00296192"/>
    <w:rsid w:val="00296391"/>
    <w:rsid w:val="00296669"/>
    <w:rsid w:val="002A1829"/>
    <w:rsid w:val="002A1CB4"/>
    <w:rsid w:val="002A253A"/>
    <w:rsid w:val="002A3A2E"/>
    <w:rsid w:val="002A3C14"/>
    <w:rsid w:val="002A3DA0"/>
    <w:rsid w:val="002A4D5D"/>
    <w:rsid w:val="002A6185"/>
    <w:rsid w:val="002A6C45"/>
    <w:rsid w:val="002A780E"/>
    <w:rsid w:val="002A7A15"/>
    <w:rsid w:val="002A7F5E"/>
    <w:rsid w:val="002B15B5"/>
    <w:rsid w:val="002B1BBB"/>
    <w:rsid w:val="002B1D09"/>
    <w:rsid w:val="002B2B66"/>
    <w:rsid w:val="002B3686"/>
    <w:rsid w:val="002B3735"/>
    <w:rsid w:val="002B3965"/>
    <w:rsid w:val="002B3ABA"/>
    <w:rsid w:val="002B5843"/>
    <w:rsid w:val="002B6100"/>
    <w:rsid w:val="002B786D"/>
    <w:rsid w:val="002C16B1"/>
    <w:rsid w:val="002C16F1"/>
    <w:rsid w:val="002C2A6A"/>
    <w:rsid w:val="002C2B3C"/>
    <w:rsid w:val="002C34E3"/>
    <w:rsid w:val="002C35CA"/>
    <w:rsid w:val="002C512E"/>
    <w:rsid w:val="002C517B"/>
    <w:rsid w:val="002C5E80"/>
    <w:rsid w:val="002C73EA"/>
    <w:rsid w:val="002C7480"/>
    <w:rsid w:val="002D0095"/>
    <w:rsid w:val="002D04D8"/>
    <w:rsid w:val="002D163D"/>
    <w:rsid w:val="002D4813"/>
    <w:rsid w:val="002D4924"/>
    <w:rsid w:val="002D5113"/>
    <w:rsid w:val="002D70E0"/>
    <w:rsid w:val="002D7ED0"/>
    <w:rsid w:val="002E0206"/>
    <w:rsid w:val="002E0282"/>
    <w:rsid w:val="002E1AAD"/>
    <w:rsid w:val="002E1D36"/>
    <w:rsid w:val="002E298A"/>
    <w:rsid w:val="002E2EC1"/>
    <w:rsid w:val="002E4721"/>
    <w:rsid w:val="002E4E54"/>
    <w:rsid w:val="002E57C6"/>
    <w:rsid w:val="002E5B3A"/>
    <w:rsid w:val="002E5E6B"/>
    <w:rsid w:val="002E6FEA"/>
    <w:rsid w:val="002F01CD"/>
    <w:rsid w:val="002F025B"/>
    <w:rsid w:val="002F120A"/>
    <w:rsid w:val="002F1A95"/>
    <w:rsid w:val="002F1B74"/>
    <w:rsid w:val="002F2816"/>
    <w:rsid w:val="002F3D8D"/>
    <w:rsid w:val="002F4C1A"/>
    <w:rsid w:val="002F5662"/>
    <w:rsid w:val="002F734B"/>
    <w:rsid w:val="00301507"/>
    <w:rsid w:val="003048DC"/>
    <w:rsid w:val="00305F2A"/>
    <w:rsid w:val="00310795"/>
    <w:rsid w:val="003109AF"/>
    <w:rsid w:val="003117F2"/>
    <w:rsid w:val="00311BA2"/>
    <w:rsid w:val="00313B79"/>
    <w:rsid w:val="00314986"/>
    <w:rsid w:val="00314C09"/>
    <w:rsid w:val="00315D90"/>
    <w:rsid w:val="0031712D"/>
    <w:rsid w:val="00317686"/>
    <w:rsid w:val="0031782F"/>
    <w:rsid w:val="003223D7"/>
    <w:rsid w:val="00322C32"/>
    <w:rsid w:val="00326419"/>
    <w:rsid w:val="00326608"/>
    <w:rsid w:val="00327A4F"/>
    <w:rsid w:val="00327CC8"/>
    <w:rsid w:val="003304BE"/>
    <w:rsid w:val="00331277"/>
    <w:rsid w:val="00332662"/>
    <w:rsid w:val="0033492A"/>
    <w:rsid w:val="003368F8"/>
    <w:rsid w:val="003415E9"/>
    <w:rsid w:val="00342397"/>
    <w:rsid w:val="00344864"/>
    <w:rsid w:val="00344D8F"/>
    <w:rsid w:val="00345CB0"/>
    <w:rsid w:val="00350C2D"/>
    <w:rsid w:val="003515B8"/>
    <w:rsid w:val="00352215"/>
    <w:rsid w:val="00352DEA"/>
    <w:rsid w:val="003537E4"/>
    <w:rsid w:val="00353CD2"/>
    <w:rsid w:val="00353FB6"/>
    <w:rsid w:val="003550BF"/>
    <w:rsid w:val="00355352"/>
    <w:rsid w:val="003564FB"/>
    <w:rsid w:val="00356CAD"/>
    <w:rsid w:val="003619F2"/>
    <w:rsid w:val="00361E50"/>
    <w:rsid w:val="003622F7"/>
    <w:rsid w:val="00362AEA"/>
    <w:rsid w:val="00363CF0"/>
    <w:rsid w:val="00363D7F"/>
    <w:rsid w:val="0036416B"/>
    <w:rsid w:val="00364313"/>
    <w:rsid w:val="00365491"/>
    <w:rsid w:val="00367C59"/>
    <w:rsid w:val="0037448A"/>
    <w:rsid w:val="00374984"/>
    <w:rsid w:val="00375770"/>
    <w:rsid w:val="00375AF4"/>
    <w:rsid w:val="00376266"/>
    <w:rsid w:val="00380E23"/>
    <w:rsid w:val="0038119B"/>
    <w:rsid w:val="003815FA"/>
    <w:rsid w:val="00381613"/>
    <w:rsid w:val="00381C38"/>
    <w:rsid w:val="0038211F"/>
    <w:rsid w:val="00385251"/>
    <w:rsid w:val="00387408"/>
    <w:rsid w:val="0039086C"/>
    <w:rsid w:val="00391A9C"/>
    <w:rsid w:val="00392483"/>
    <w:rsid w:val="003961B5"/>
    <w:rsid w:val="003A2DA7"/>
    <w:rsid w:val="003A3AC6"/>
    <w:rsid w:val="003A4F6D"/>
    <w:rsid w:val="003A505F"/>
    <w:rsid w:val="003A628F"/>
    <w:rsid w:val="003A6AFA"/>
    <w:rsid w:val="003A765B"/>
    <w:rsid w:val="003B0C08"/>
    <w:rsid w:val="003B1A4E"/>
    <w:rsid w:val="003B26E4"/>
    <w:rsid w:val="003B6C3D"/>
    <w:rsid w:val="003B6DDC"/>
    <w:rsid w:val="003B7045"/>
    <w:rsid w:val="003B71F0"/>
    <w:rsid w:val="003B7E35"/>
    <w:rsid w:val="003C087C"/>
    <w:rsid w:val="003C1526"/>
    <w:rsid w:val="003C17A0"/>
    <w:rsid w:val="003C1962"/>
    <w:rsid w:val="003C38E3"/>
    <w:rsid w:val="003C49D2"/>
    <w:rsid w:val="003C4A4C"/>
    <w:rsid w:val="003C4C05"/>
    <w:rsid w:val="003C51F5"/>
    <w:rsid w:val="003C536B"/>
    <w:rsid w:val="003C568F"/>
    <w:rsid w:val="003C5B29"/>
    <w:rsid w:val="003C5CC2"/>
    <w:rsid w:val="003C6196"/>
    <w:rsid w:val="003C7A7A"/>
    <w:rsid w:val="003C7CDF"/>
    <w:rsid w:val="003D4B63"/>
    <w:rsid w:val="003D7C71"/>
    <w:rsid w:val="003E127E"/>
    <w:rsid w:val="003E1720"/>
    <w:rsid w:val="003E26A2"/>
    <w:rsid w:val="003E2AD6"/>
    <w:rsid w:val="003E3BB5"/>
    <w:rsid w:val="003E5EC7"/>
    <w:rsid w:val="003E6648"/>
    <w:rsid w:val="003F0DEF"/>
    <w:rsid w:val="003F2389"/>
    <w:rsid w:val="003F2FCE"/>
    <w:rsid w:val="003F3CA4"/>
    <w:rsid w:val="003F48D5"/>
    <w:rsid w:val="003F51A6"/>
    <w:rsid w:val="003F579F"/>
    <w:rsid w:val="003F63D2"/>
    <w:rsid w:val="003F682A"/>
    <w:rsid w:val="003F68D0"/>
    <w:rsid w:val="003F7855"/>
    <w:rsid w:val="00400675"/>
    <w:rsid w:val="004010E2"/>
    <w:rsid w:val="004017F6"/>
    <w:rsid w:val="004018FB"/>
    <w:rsid w:val="00403020"/>
    <w:rsid w:val="00403119"/>
    <w:rsid w:val="00404922"/>
    <w:rsid w:val="00407583"/>
    <w:rsid w:val="0041108A"/>
    <w:rsid w:val="004118D9"/>
    <w:rsid w:val="004137F9"/>
    <w:rsid w:val="00413DE4"/>
    <w:rsid w:val="004145F9"/>
    <w:rsid w:val="004162CD"/>
    <w:rsid w:val="00420F76"/>
    <w:rsid w:val="00422FBB"/>
    <w:rsid w:val="00423046"/>
    <w:rsid w:val="00425CE0"/>
    <w:rsid w:val="00430DC9"/>
    <w:rsid w:val="00431B7D"/>
    <w:rsid w:val="00432A5C"/>
    <w:rsid w:val="00435006"/>
    <w:rsid w:val="0043556B"/>
    <w:rsid w:val="00436B38"/>
    <w:rsid w:val="00437C08"/>
    <w:rsid w:val="00440B08"/>
    <w:rsid w:val="00440B2E"/>
    <w:rsid w:val="00443268"/>
    <w:rsid w:val="00443295"/>
    <w:rsid w:val="00443638"/>
    <w:rsid w:val="0044377E"/>
    <w:rsid w:val="00444E10"/>
    <w:rsid w:val="004450C8"/>
    <w:rsid w:val="00445D73"/>
    <w:rsid w:val="00447054"/>
    <w:rsid w:val="0044711F"/>
    <w:rsid w:val="0044754B"/>
    <w:rsid w:val="004475DC"/>
    <w:rsid w:val="004516DA"/>
    <w:rsid w:val="00454D22"/>
    <w:rsid w:val="00455335"/>
    <w:rsid w:val="0046030D"/>
    <w:rsid w:val="0046055E"/>
    <w:rsid w:val="00460E78"/>
    <w:rsid w:val="004611ED"/>
    <w:rsid w:val="0046187D"/>
    <w:rsid w:val="00461F7F"/>
    <w:rsid w:val="00461F99"/>
    <w:rsid w:val="00462413"/>
    <w:rsid w:val="0046304D"/>
    <w:rsid w:val="004631AE"/>
    <w:rsid w:val="0046344D"/>
    <w:rsid w:val="004639CF"/>
    <w:rsid w:val="004642E8"/>
    <w:rsid w:val="00464CA2"/>
    <w:rsid w:val="00464D1C"/>
    <w:rsid w:val="00465E45"/>
    <w:rsid w:val="00466496"/>
    <w:rsid w:val="00466607"/>
    <w:rsid w:val="0046702A"/>
    <w:rsid w:val="00470673"/>
    <w:rsid w:val="004717AD"/>
    <w:rsid w:val="00472933"/>
    <w:rsid w:val="00474237"/>
    <w:rsid w:val="00475C8D"/>
    <w:rsid w:val="00480BAE"/>
    <w:rsid w:val="00480C15"/>
    <w:rsid w:val="00481062"/>
    <w:rsid w:val="004815B1"/>
    <w:rsid w:val="00481E41"/>
    <w:rsid w:val="00481F21"/>
    <w:rsid w:val="00482B30"/>
    <w:rsid w:val="00484F27"/>
    <w:rsid w:val="004862D7"/>
    <w:rsid w:val="00486614"/>
    <w:rsid w:val="00486F54"/>
    <w:rsid w:val="00490243"/>
    <w:rsid w:val="00490AA1"/>
    <w:rsid w:val="004927DA"/>
    <w:rsid w:val="004929F8"/>
    <w:rsid w:val="00492D9C"/>
    <w:rsid w:val="0049319B"/>
    <w:rsid w:val="00494475"/>
    <w:rsid w:val="00494F1B"/>
    <w:rsid w:val="00496C90"/>
    <w:rsid w:val="004975C2"/>
    <w:rsid w:val="004A05A5"/>
    <w:rsid w:val="004A0ACB"/>
    <w:rsid w:val="004A0D39"/>
    <w:rsid w:val="004A2CC7"/>
    <w:rsid w:val="004A5008"/>
    <w:rsid w:val="004A571A"/>
    <w:rsid w:val="004A58B8"/>
    <w:rsid w:val="004A5BEB"/>
    <w:rsid w:val="004A5EC0"/>
    <w:rsid w:val="004A617C"/>
    <w:rsid w:val="004A79E6"/>
    <w:rsid w:val="004A7BDE"/>
    <w:rsid w:val="004B0B15"/>
    <w:rsid w:val="004B1ED5"/>
    <w:rsid w:val="004B2603"/>
    <w:rsid w:val="004B362D"/>
    <w:rsid w:val="004B4B5E"/>
    <w:rsid w:val="004B52DE"/>
    <w:rsid w:val="004B5735"/>
    <w:rsid w:val="004B5EE2"/>
    <w:rsid w:val="004B6A26"/>
    <w:rsid w:val="004B7AB0"/>
    <w:rsid w:val="004C05D7"/>
    <w:rsid w:val="004C28C9"/>
    <w:rsid w:val="004C38E0"/>
    <w:rsid w:val="004C3C14"/>
    <w:rsid w:val="004C6B44"/>
    <w:rsid w:val="004C6F27"/>
    <w:rsid w:val="004C6FD9"/>
    <w:rsid w:val="004C7380"/>
    <w:rsid w:val="004D05B1"/>
    <w:rsid w:val="004D1763"/>
    <w:rsid w:val="004D1BEE"/>
    <w:rsid w:val="004D25DF"/>
    <w:rsid w:val="004D30B6"/>
    <w:rsid w:val="004D319C"/>
    <w:rsid w:val="004D4AC9"/>
    <w:rsid w:val="004D5995"/>
    <w:rsid w:val="004D6B46"/>
    <w:rsid w:val="004D7DE6"/>
    <w:rsid w:val="004E000B"/>
    <w:rsid w:val="004E0461"/>
    <w:rsid w:val="004E0C7E"/>
    <w:rsid w:val="004E291E"/>
    <w:rsid w:val="004E2ABB"/>
    <w:rsid w:val="004E2C3A"/>
    <w:rsid w:val="004E4588"/>
    <w:rsid w:val="004E4B84"/>
    <w:rsid w:val="004E58B1"/>
    <w:rsid w:val="004E5B84"/>
    <w:rsid w:val="004E73D9"/>
    <w:rsid w:val="004F02D5"/>
    <w:rsid w:val="004F1574"/>
    <w:rsid w:val="004F27C9"/>
    <w:rsid w:val="004F31D6"/>
    <w:rsid w:val="004F4C26"/>
    <w:rsid w:val="004F668F"/>
    <w:rsid w:val="00500BAD"/>
    <w:rsid w:val="0050112E"/>
    <w:rsid w:val="005024E7"/>
    <w:rsid w:val="005027F0"/>
    <w:rsid w:val="00502EAA"/>
    <w:rsid w:val="005059AB"/>
    <w:rsid w:val="00510844"/>
    <w:rsid w:val="00511208"/>
    <w:rsid w:val="0051123F"/>
    <w:rsid w:val="00511948"/>
    <w:rsid w:val="005125A0"/>
    <w:rsid w:val="005133E3"/>
    <w:rsid w:val="0051340E"/>
    <w:rsid w:val="00513760"/>
    <w:rsid w:val="00513903"/>
    <w:rsid w:val="0051486A"/>
    <w:rsid w:val="005159C1"/>
    <w:rsid w:val="005176A7"/>
    <w:rsid w:val="00517B8A"/>
    <w:rsid w:val="00517C46"/>
    <w:rsid w:val="0052174A"/>
    <w:rsid w:val="00521D83"/>
    <w:rsid w:val="00522D9E"/>
    <w:rsid w:val="0052395B"/>
    <w:rsid w:val="00523A5D"/>
    <w:rsid w:val="0052513E"/>
    <w:rsid w:val="0052613A"/>
    <w:rsid w:val="0052744D"/>
    <w:rsid w:val="00531B39"/>
    <w:rsid w:val="00531F1B"/>
    <w:rsid w:val="00532236"/>
    <w:rsid w:val="00532351"/>
    <w:rsid w:val="00532AFE"/>
    <w:rsid w:val="0053589B"/>
    <w:rsid w:val="0053701E"/>
    <w:rsid w:val="00537AD1"/>
    <w:rsid w:val="00537E46"/>
    <w:rsid w:val="00540A85"/>
    <w:rsid w:val="00541481"/>
    <w:rsid w:val="005439FC"/>
    <w:rsid w:val="00543D2E"/>
    <w:rsid w:val="0054401D"/>
    <w:rsid w:val="005441F5"/>
    <w:rsid w:val="00545EDF"/>
    <w:rsid w:val="0054773E"/>
    <w:rsid w:val="005506B7"/>
    <w:rsid w:val="005519BD"/>
    <w:rsid w:val="00552E9B"/>
    <w:rsid w:val="0055327A"/>
    <w:rsid w:val="0055339F"/>
    <w:rsid w:val="005539DD"/>
    <w:rsid w:val="00553C5A"/>
    <w:rsid w:val="00554292"/>
    <w:rsid w:val="00554352"/>
    <w:rsid w:val="0055489C"/>
    <w:rsid w:val="00555C46"/>
    <w:rsid w:val="00556832"/>
    <w:rsid w:val="00557337"/>
    <w:rsid w:val="00560BF2"/>
    <w:rsid w:val="0056158B"/>
    <w:rsid w:val="005616DC"/>
    <w:rsid w:val="00562F65"/>
    <w:rsid w:val="00563949"/>
    <w:rsid w:val="00563952"/>
    <w:rsid w:val="00564946"/>
    <w:rsid w:val="00564D12"/>
    <w:rsid w:val="005650B3"/>
    <w:rsid w:val="00565107"/>
    <w:rsid w:val="005660E2"/>
    <w:rsid w:val="00566CBA"/>
    <w:rsid w:val="00571642"/>
    <w:rsid w:val="0057190E"/>
    <w:rsid w:val="00571B33"/>
    <w:rsid w:val="0057281E"/>
    <w:rsid w:val="00576CBF"/>
    <w:rsid w:val="00576CD9"/>
    <w:rsid w:val="0058164D"/>
    <w:rsid w:val="00581CB9"/>
    <w:rsid w:val="0058291B"/>
    <w:rsid w:val="00584E28"/>
    <w:rsid w:val="00585A47"/>
    <w:rsid w:val="005870EC"/>
    <w:rsid w:val="00587B9B"/>
    <w:rsid w:val="00587E57"/>
    <w:rsid w:val="00590155"/>
    <w:rsid w:val="00590C59"/>
    <w:rsid w:val="00592604"/>
    <w:rsid w:val="005932D1"/>
    <w:rsid w:val="0059381E"/>
    <w:rsid w:val="00594767"/>
    <w:rsid w:val="00595B99"/>
    <w:rsid w:val="00597937"/>
    <w:rsid w:val="005A06BE"/>
    <w:rsid w:val="005A3C2A"/>
    <w:rsid w:val="005A4DBF"/>
    <w:rsid w:val="005A5A74"/>
    <w:rsid w:val="005A65C3"/>
    <w:rsid w:val="005A65F8"/>
    <w:rsid w:val="005B02AC"/>
    <w:rsid w:val="005B10D2"/>
    <w:rsid w:val="005B1778"/>
    <w:rsid w:val="005B37DA"/>
    <w:rsid w:val="005B3F47"/>
    <w:rsid w:val="005B4440"/>
    <w:rsid w:val="005B6553"/>
    <w:rsid w:val="005B665F"/>
    <w:rsid w:val="005B74F4"/>
    <w:rsid w:val="005B7C96"/>
    <w:rsid w:val="005C09DC"/>
    <w:rsid w:val="005C5BCE"/>
    <w:rsid w:val="005C720A"/>
    <w:rsid w:val="005C7C02"/>
    <w:rsid w:val="005D0CA1"/>
    <w:rsid w:val="005D1179"/>
    <w:rsid w:val="005D1B51"/>
    <w:rsid w:val="005D307F"/>
    <w:rsid w:val="005D3A9E"/>
    <w:rsid w:val="005D46FE"/>
    <w:rsid w:val="005D4819"/>
    <w:rsid w:val="005D49D6"/>
    <w:rsid w:val="005D4A07"/>
    <w:rsid w:val="005D4B50"/>
    <w:rsid w:val="005D52A3"/>
    <w:rsid w:val="005D589C"/>
    <w:rsid w:val="005D6BC2"/>
    <w:rsid w:val="005D7C60"/>
    <w:rsid w:val="005E0521"/>
    <w:rsid w:val="005E0CF2"/>
    <w:rsid w:val="005E257A"/>
    <w:rsid w:val="005E28A9"/>
    <w:rsid w:val="005E43BA"/>
    <w:rsid w:val="005E4709"/>
    <w:rsid w:val="005E4F01"/>
    <w:rsid w:val="005E541D"/>
    <w:rsid w:val="005E5AFE"/>
    <w:rsid w:val="005E5C06"/>
    <w:rsid w:val="005F1244"/>
    <w:rsid w:val="005F18D8"/>
    <w:rsid w:val="005F3111"/>
    <w:rsid w:val="005F3BF0"/>
    <w:rsid w:val="005F47EC"/>
    <w:rsid w:val="005F5A4E"/>
    <w:rsid w:val="00600788"/>
    <w:rsid w:val="0060544B"/>
    <w:rsid w:val="00605989"/>
    <w:rsid w:val="00606F4C"/>
    <w:rsid w:val="00606F63"/>
    <w:rsid w:val="00610BDF"/>
    <w:rsid w:val="00611AAB"/>
    <w:rsid w:val="00612803"/>
    <w:rsid w:val="00612E04"/>
    <w:rsid w:val="00614CFB"/>
    <w:rsid w:val="00614DCA"/>
    <w:rsid w:val="00621151"/>
    <w:rsid w:val="006217C1"/>
    <w:rsid w:val="006241DC"/>
    <w:rsid w:val="006269B1"/>
    <w:rsid w:val="00630313"/>
    <w:rsid w:val="00632DD1"/>
    <w:rsid w:val="00633D9C"/>
    <w:rsid w:val="00634BCD"/>
    <w:rsid w:val="0063551C"/>
    <w:rsid w:val="00635FF4"/>
    <w:rsid w:val="00636053"/>
    <w:rsid w:val="006368D2"/>
    <w:rsid w:val="0063785D"/>
    <w:rsid w:val="00640D72"/>
    <w:rsid w:val="00640EB9"/>
    <w:rsid w:val="00641C15"/>
    <w:rsid w:val="00641CFC"/>
    <w:rsid w:val="006430CF"/>
    <w:rsid w:val="00643D35"/>
    <w:rsid w:val="00644C79"/>
    <w:rsid w:val="00645C0F"/>
    <w:rsid w:val="00645C1D"/>
    <w:rsid w:val="00645D2A"/>
    <w:rsid w:val="006470E0"/>
    <w:rsid w:val="0064779B"/>
    <w:rsid w:val="0065051E"/>
    <w:rsid w:val="00651B8C"/>
    <w:rsid w:val="006520B3"/>
    <w:rsid w:val="006575EC"/>
    <w:rsid w:val="006605C2"/>
    <w:rsid w:val="00666ACD"/>
    <w:rsid w:val="0066769A"/>
    <w:rsid w:val="006703C8"/>
    <w:rsid w:val="0067101A"/>
    <w:rsid w:val="00671FC4"/>
    <w:rsid w:val="00671FE1"/>
    <w:rsid w:val="006722AE"/>
    <w:rsid w:val="00675CC1"/>
    <w:rsid w:val="006762BC"/>
    <w:rsid w:val="006768DA"/>
    <w:rsid w:val="00676FB9"/>
    <w:rsid w:val="0067728E"/>
    <w:rsid w:val="006800F1"/>
    <w:rsid w:val="006802F7"/>
    <w:rsid w:val="00682B51"/>
    <w:rsid w:val="00682F34"/>
    <w:rsid w:val="00683225"/>
    <w:rsid w:val="00683917"/>
    <w:rsid w:val="00683AE7"/>
    <w:rsid w:val="00685CE6"/>
    <w:rsid w:val="00685E74"/>
    <w:rsid w:val="00690077"/>
    <w:rsid w:val="0069123E"/>
    <w:rsid w:val="00691283"/>
    <w:rsid w:val="006925E6"/>
    <w:rsid w:val="00693F5D"/>
    <w:rsid w:val="006955FB"/>
    <w:rsid w:val="00695F13"/>
    <w:rsid w:val="0069766B"/>
    <w:rsid w:val="006A056D"/>
    <w:rsid w:val="006A0CC8"/>
    <w:rsid w:val="006A13EF"/>
    <w:rsid w:val="006A3CAF"/>
    <w:rsid w:val="006A463B"/>
    <w:rsid w:val="006A5229"/>
    <w:rsid w:val="006A5CE1"/>
    <w:rsid w:val="006A6379"/>
    <w:rsid w:val="006A70E8"/>
    <w:rsid w:val="006B12AD"/>
    <w:rsid w:val="006B1E4C"/>
    <w:rsid w:val="006B1F2A"/>
    <w:rsid w:val="006B2A92"/>
    <w:rsid w:val="006B2D19"/>
    <w:rsid w:val="006B4681"/>
    <w:rsid w:val="006B7DCD"/>
    <w:rsid w:val="006C0992"/>
    <w:rsid w:val="006C0F41"/>
    <w:rsid w:val="006C0FC3"/>
    <w:rsid w:val="006C107D"/>
    <w:rsid w:val="006C1BBA"/>
    <w:rsid w:val="006C4217"/>
    <w:rsid w:val="006C4508"/>
    <w:rsid w:val="006C5DB9"/>
    <w:rsid w:val="006C63DA"/>
    <w:rsid w:val="006C6F47"/>
    <w:rsid w:val="006C73D7"/>
    <w:rsid w:val="006C7D4A"/>
    <w:rsid w:val="006C7F9E"/>
    <w:rsid w:val="006D0078"/>
    <w:rsid w:val="006D3606"/>
    <w:rsid w:val="006D3BCC"/>
    <w:rsid w:val="006D3DFA"/>
    <w:rsid w:val="006D3FB9"/>
    <w:rsid w:val="006D4B99"/>
    <w:rsid w:val="006D4FC6"/>
    <w:rsid w:val="006E0C15"/>
    <w:rsid w:val="006E11A0"/>
    <w:rsid w:val="006E1736"/>
    <w:rsid w:val="006E2C98"/>
    <w:rsid w:val="006E43A2"/>
    <w:rsid w:val="006E5F82"/>
    <w:rsid w:val="006E7883"/>
    <w:rsid w:val="006F008B"/>
    <w:rsid w:val="006F02A3"/>
    <w:rsid w:val="006F0A58"/>
    <w:rsid w:val="006F16D0"/>
    <w:rsid w:val="006F19EF"/>
    <w:rsid w:val="006F2DF4"/>
    <w:rsid w:val="006F4CD1"/>
    <w:rsid w:val="006F509E"/>
    <w:rsid w:val="006F66CD"/>
    <w:rsid w:val="006F7D30"/>
    <w:rsid w:val="00700831"/>
    <w:rsid w:val="007019AE"/>
    <w:rsid w:val="00701E82"/>
    <w:rsid w:val="0070216E"/>
    <w:rsid w:val="00702428"/>
    <w:rsid w:val="00703EBD"/>
    <w:rsid w:val="00705FE5"/>
    <w:rsid w:val="0070631C"/>
    <w:rsid w:val="0070648F"/>
    <w:rsid w:val="007070A8"/>
    <w:rsid w:val="00707109"/>
    <w:rsid w:val="00707ECB"/>
    <w:rsid w:val="00710475"/>
    <w:rsid w:val="00711F2B"/>
    <w:rsid w:val="00712BEE"/>
    <w:rsid w:val="00713683"/>
    <w:rsid w:val="00714310"/>
    <w:rsid w:val="00715980"/>
    <w:rsid w:val="007168AA"/>
    <w:rsid w:val="007177A9"/>
    <w:rsid w:val="007205E3"/>
    <w:rsid w:val="00720E6F"/>
    <w:rsid w:val="00722232"/>
    <w:rsid w:val="00724350"/>
    <w:rsid w:val="00726925"/>
    <w:rsid w:val="00730393"/>
    <w:rsid w:val="0073191E"/>
    <w:rsid w:val="00734106"/>
    <w:rsid w:val="0073773B"/>
    <w:rsid w:val="00741552"/>
    <w:rsid w:val="00741581"/>
    <w:rsid w:val="00741CA5"/>
    <w:rsid w:val="00742002"/>
    <w:rsid w:val="0074296F"/>
    <w:rsid w:val="00743945"/>
    <w:rsid w:val="007452DE"/>
    <w:rsid w:val="007519C5"/>
    <w:rsid w:val="00753C42"/>
    <w:rsid w:val="00753E0E"/>
    <w:rsid w:val="00754471"/>
    <w:rsid w:val="007547AB"/>
    <w:rsid w:val="00756296"/>
    <w:rsid w:val="00757D21"/>
    <w:rsid w:val="00761CEB"/>
    <w:rsid w:val="00762A28"/>
    <w:rsid w:val="0077097A"/>
    <w:rsid w:val="007717B9"/>
    <w:rsid w:val="007720A6"/>
    <w:rsid w:val="0077284B"/>
    <w:rsid w:val="00772EDD"/>
    <w:rsid w:val="0077309F"/>
    <w:rsid w:val="00773386"/>
    <w:rsid w:val="00773FAB"/>
    <w:rsid w:val="00774AA5"/>
    <w:rsid w:val="00775160"/>
    <w:rsid w:val="00776F64"/>
    <w:rsid w:val="00777A83"/>
    <w:rsid w:val="00780000"/>
    <w:rsid w:val="00780F1E"/>
    <w:rsid w:val="00781B9F"/>
    <w:rsid w:val="00783846"/>
    <w:rsid w:val="00784B41"/>
    <w:rsid w:val="00784EA2"/>
    <w:rsid w:val="00785C62"/>
    <w:rsid w:val="00787BDA"/>
    <w:rsid w:val="0079166F"/>
    <w:rsid w:val="0079252B"/>
    <w:rsid w:val="0079398A"/>
    <w:rsid w:val="00793BB0"/>
    <w:rsid w:val="00795E77"/>
    <w:rsid w:val="00797478"/>
    <w:rsid w:val="007A2188"/>
    <w:rsid w:val="007A2287"/>
    <w:rsid w:val="007A2C53"/>
    <w:rsid w:val="007A3C02"/>
    <w:rsid w:val="007A3CAE"/>
    <w:rsid w:val="007B0E5D"/>
    <w:rsid w:val="007B2020"/>
    <w:rsid w:val="007B39E0"/>
    <w:rsid w:val="007B4BAB"/>
    <w:rsid w:val="007B53D8"/>
    <w:rsid w:val="007B5E3D"/>
    <w:rsid w:val="007B7017"/>
    <w:rsid w:val="007B7AAF"/>
    <w:rsid w:val="007C0643"/>
    <w:rsid w:val="007C16EA"/>
    <w:rsid w:val="007C1C4E"/>
    <w:rsid w:val="007C233A"/>
    <w:rsid w:val="007C27E6"/>
    <w:rsid w:val="007C2BE2"/>
    <w:rsid w:val="007C2DEF"/>
    <w:rsid w:val="007C305B"/>
    <w:rsid w:val="007C342A"/>
    <w:rsid w:val="007C47B9"/>
    <w:rsid w:val="007C5F89"/>
    <w:rsid w:val="007C6A6B"/>
    <w:rsid w:val="007D02F5"/>
    <w:rsid w:val="007D0B6C"/>
    <w:rsid w:val="007D1EAB"/>
    <w:rsid w:val="007D35E6"/>
    <w:rsid w:val="007D3F64"/>
    <w:rsid w:val="007D4907"/>
    <w:rsid w:val="007D6399"/>
    <w:rsid w:val="007D7F48"/>
    <w:rsid w:val="007E3F85"/>
    <w:rsid w:val="007E4608"/>
    <w:rsid w:val="007E4CFC"/>
    <w:rsid w:val="007E5892"/>
    <w:rsid w:val="007E5AFA"/>
    <w:rsid w:val="007E7F10"/>
    <w:rsid w:val="007F1A8C"/>
    <w:rsid w:val="007F22E2"/>
    <w:rsid w:val="007F29EE"/>
    <w:rsid w:val="007F392B"/>
    <w:rsid w:val="007F5CA5"/>
    <w:rsid w:val="007F5D33"/>
    <w:rsid w:val="007F6083"/>
    <w:rsid w:val="007F61EC"/>
    <w:rsid w:val="007F703B"/>
    <w:rsid w:val="0080223D"/>
    <w:rsid w:val="00804393"/>
    <w:rsid w:val="008060F3"/>
    <w:rsid w:val="00810C07"/>
    <w:rsid w:val="008116F8"/>
    <w:rsid w:val="00813659"/>
    <w:rsid w:val="00813961"/>
    <w:rsid w:val="00814CE0"/>
    <w:rsid w:val="00814DDC"/>
    <w:rsid w:val="008166B7"/>
    <w:rsid w:val="008177C4"/>
    <w:rsid w:val="00820A8F"/>
    <w:rsid w:val="00823884"/>
    <w:rsid w:val="008240BD"/>
    <w:rsid w:val="008255C7"/>
    <w:rsid w:val="008257E2"/>
    <w:rsid w:val="00825804"/>
    <w:rsid w:val="00825959"/>
    <w:rsid w:val="00826EB6"/>
    <w:rsid w:val="00827049"/>
    <w:rsid w:val="00827434"/>
    <w:rsid w:val="0082750C"/>
    <w:rsid w:val="00831C36"/>
    <w:rsid w:val="008323F4"/>
    <w:rsid w:val="00834214"/>
    <w:rsid w:val="00834285"/>
    <w:rsid w:val="00834B4A"/>
    <w:rsid w:val="00834D58"/>
    <w:rsid w:val="0083634E"/>
    <w:rsid w:val="00836D32"/>
    <w:rsid w:val="008378BB"/>
    <w:rsid w:val="00837A13"/>
    <w:rsid w:val="008420B8"/>
    <w:rsid w:val="00843BF8"/>
    <w:rsid w:val="00843CBD"/>
    <w:rsid w:val="0084410E"/>
    <w:rsid w:val="00845516"/>
    <w:rsid w:val="00846CED"/>
    <w:rsid w:val="008475B2"/>
    <w:rsid w:val="00847EBD"/>
    <w:rsid w:val="008504C1"/>
    <w:rsid w:val="00851247"/>
    <w:rsid w:val="0085228B"/>
    <w:rsid w:val="00852E5C"/>
    <w:rsid w:val="008534AA"/>
    <w:rsid w:val="00854D21"/>
    <w:rsid w:val="00857436"/>
    <w:rsid w:val="00863723"/>
    <w:rsid w:val="00864CFE"/>
    <w:rsid w:val="00866C2A"/>
    <w:rsid w:val="008679A0"/>
    <w:rsid w:val="0087065E"/>
    <w:rsid w:val="00870A98"/>
    <w:rsid w:val="00871F22"/>
    <w:rsid w:val="00874067"/>
    <w:rsid w:val="00874324"/>
    <w:rsid w:val="0087528A"/>
    <w:rsid w:val="00875BBD"/>
    <w:rsid w:val="00875DA2"/>
    <w:rsid w:val="00880D77"/>
    <w:rsid w:val="00880E48"/>
    <w:rsid w:val="0088145A"/>
    <w:rsid w:val="00881ADF"/>
    <w:rsid w:val="00882690"/>
    <w:rsid w:val="008830ED"/>
    <w:rsid w:val="00884819"/>
    <w:rsid w:val="00884EA6"/>
    <w:rsid w:val="00885745"/>
    <w:rsid w:val="00886290"/>
    <w:rsid w:val="00886456"/>
    <w:rsid w:val="008868A5"/>
    <w:rsid w:val="00886BD9"/>
    <w:rsid w:val="00886E1B"/>
    <w:rsid w:val="008914AE"/>
    <w:rsid w:val="00893B5C"/>
    <w:rsid w:val="00893D3C"/>
    <w:rsid w:val="00894408"/>
    <w:rsid w:val="00896834"/>
    <w:rsid w:val="00896964"/>
    <w:rsid w:val="00896C96"/>
    <w:rsid w:val="00897B10"/>
    <w:rsid w:val="008A0E90"/>
    <w:rsid w:val="008A127E"/>
    <w:rsid w:val="008A20BD"/>
    <w:rsid w:val="008A3179"/>
    <w:rsid w:val="008A6171"/>
    <w:rsid w:val="008B122C"/>
    <w:rsid w:val="008B2637"/>
    <w:rsid w:val="008B462A"/>
    <w:rsid w:val="008B49A5"/>
    <w:rsid w:val="008B5551"/>
    <w:rsid w:val="008B59A4"/>
    <w:rsid w:val="008B666C"/>
    <w:rsid w:val="008B6B7C"/>
    <w:rsid w:val="008B7D5D"/>
    <w:rsid w:val="008C1623"/>
    <w:rsid w:val="008C2B30"/>
    <w:rsid w:val="008C32A4"/>
    <w:rsid w:val="008C3841"/>
    <w:rsid w:val="008C420A"/>
    <w:rsid w:val="008C5308"/>
    <w:rsid w:val="008C5498"/>
    <w:rsid w:val="008C64CF"/>
    <w:rsid w:val="008C7674"/>
    <w:rsid w:val="008C7EE3"/>
    <w:rsid w:val="008D0CF7"/>
    <w:rsid w:val="008D2C96"/>
    <w:rsid w:val="008D31F9"/>
    <w:rsid w:val="008D4890"/>
    <w:rsid w:val="008D4DC5"/>
    <w:rsid w:val="008D7562"/>
    <w:rsid w:val="008D7D81"/>
    <w:rsid w:val="008E0A4A"/>
    <w:rsid w:val="008E0C0B"/>
    <w:rsid w:val="008E0CF2"/>
    <w:rsid w:val="008E341E"/>
    <w:rsid w:val="008E36E0"/>
    <w:rsid w:val="008E3E6F"/>
    <w:rsid w:val="008E778C"/>
    <w:rsid w:val="008E77D0"/>
    <w:rsid w:val="008E7EBC"/>
    <w:rsid w:val="008F02E4"/>
    <w:rsid w:val="008F053A"/>
    <w:rsid w:val="008F0A24"/>
    <w:rsid w:val="008F0DEE"/>
    <w:rsid w:val="008F1082"/>
    <w:rsid w:val="008F165E"/>
    <w:rsid w:val="008F1E48"/>
    <w:rsid w:val="008F36AD"/>
    <w:rsid w:val="008F50AD"/>
    <w:rsid w:val="008F5D17"/>
    <w:rsid w:val="008F6992"/>
    <w:rsid w:val="008F6C8B"/>
    <w:rsid w:val="00900468"/>
    <w:rsid w:val="009008C9"/>
    <w:rsid w:val="009026DA"/>
    <w:rsid w:val="00902BAA"/>
    <w:rsid w:val="00902FB4"/>
    <w:rsid w:val="00903377"/>
    <w:rsid w:val="00903FFA"/>
    <w:rsid w:val="00904DB4"/>
    <w:rsid w:val="00904FE9"/>
    <w:rsid w:val="009100CD"/>
    <w:rsid w:val="00910E1B"/>
    <w:rsid w:val="009116BA"/>
    <w:rsid w:val="0091183C"/>
    <w:rsid w:val="00911DC7"/>
    <w:rsid w:val="009132A0"/>
    <w:rsid w:val="009142E1"/>
    <w:rsid w:val="009167D3"/>
    <w:rsid w:val="0091692D"/>
    <w:rsid w:val="009172D2"/>
    <w:rsid w:val="009175A2"/>
    <w:rsid w:val="00920333"/>
    <w:rsid w:val="00920AE4"/>
    <w:rsid w:val="00921670"/>
    <w:rsid w:val="0092291F"/>
    <w:rsid w:val="009243AA"/>
    <w:rsid w:val="00924A41"/>
    <w:rsid w:val="00925877"/>
    <w:rsid w:val="009261BA"/>
    <w:rsid w:val="009265E6"/>
    <w:rsid w:val="00930989"/>
    <w:rsid w:val="009333CB"/>
    <w:rsid w:val="0093351B"/>
    <w:rsid w:val="00935E22"/>
    <w:rsid w:val="00936BF9"/>
    <w:rsid w:val="00937498"/>
    <w:rsid w:val="00940733"/>
    <w:rsid w:val="00941679"/>
    <w:rsid w:val="00944DDD"/>
    <w:rsid w:val="0094715C"/>
    <w:rsid w:val="00947522"/>
    <w:rsid w:val="00947F96"/>
    <w:rsid w:val="00951D36"/>
    <w:rsid w:val="00952CED"/>
    <w:rsid w:val="00953D7E"/>
    <w:rsid w:val="0095566C"/>
    <w:rsid w:val="009578A8"/>
    <w:rsid w:val="0096159C"/>
    <w:rsid w:val="00962745"/>
    <w:rsid w:val="0096348C"/>
    <w:rsid w:val="00965063"/>
    <w:rsid w:val="00965577"/>
    <w:rsid w:val="009662E9"/>
    <w:rsid w:val="0096744F"/>
    <w:rsid w:val="00970F50"/>
    <w:rsid w:val="009720D5"/>
    <w:rsid w:val="00972BA9"/>
    <w:rsid w:val="009739BD"/>
    <w:rsid w:val="00973ABF"/>
    <w:rsid w:val="00974BEA"/>
    <w:rsid w:val="00974F9A"/>
    <w:rsid w:val="009751A2"/>
    <w:rsid w:val="009758E5"/>
    <w:rsid w:val="009763E8"/>
    <w:rsid w:val="00977BBE"/>
    <w:rsid w:val="009807DB"/>
    <w:rsid w:val="00981F58"/>
    <w:rsid w:val="0098359A"/>
    <w:rsid w:val="00987398"/>
    <w:rsid w:val="00990DF0"/>
    <w:rsid w:val="0099159A"/>
    <w:rsid w:val="00991F8D"/>
    <w:rsid w:val="0099451B"/>
    <w:rsid w:val="00994DD4"/>
    <w:rsid w:val="0099623C"/>
    <w:rsid w:val="0099710B"/>
    <w:rsid w:val="009A0D00"/>
    <w:rsid w:val="009A0D64"/>
    <w:rsid w:val="009A15C1"/>
    <w:rsid w:val="009A2E88"/>
    <w:rsid w:val="009A4535"/>
    <w:rsid w:val="009A4806"/>
    <w:rsid w:val="009B0407"/>
    <w:rsid w:val="009B0945"/>
    <w:rsid w:val="009B0D99"/>
    <w:rsid w:val="009B1413"/>
    <w:rsid w:val="009B3E9C"/>
    <w:rsid w:val="009B48D4"/>
    <w:rsid w:val="009B7EBF"/>
    <w:rsid w:val="009C1B44"/>
    <w:rsid w:val="009C2AAD"/>
    <w:rsid w:val="009C3C53"/>
    <w:rsid w:val="009C41C0"/>
    <w:rsid w:val="009C5AAF"/>
    <w:rsid w:val="009D0848"/>
    <w:rsid w:val="009D2A77"/>
    <w:rsid w:val="009D59E3"/>
    <w:rsid w:val="009D5B5B"/>
    <w:rsid w:val="009D7A5A"/>
    <w:rsid w:val="009E0106"/>
    <w:rsid w:val="009E0D66"/>
    <w:rsid w:val="009E150D"/>
    <w:rsid w:val="009E3FF5"/>
    <w:rsid w:val="009E451F"/>
    <w:rsid w:val="009E52D0"/>
    <w:rsid w:val="009E55D0"/>
    <w:rsid w:val="009E5641"/>
    <w:rsid w:val="009E6869"/>
    <w:rsid w:val="009E72DE"/>
    <w:rsid w:val="009E776E"/>
    <w:rsid w:val="009F1709"/>
    <w:rsid w:val="009F1FCB"/>
    <w:rsid w:val="009F2E59"/>
    <w:rsid w:val="009F4B25"/>
    <w:rsid w:val="009F50F1"/>
    <w:rsid w:val="009F56CA"/>
    <w:rsid w:val="009F6C80"/>
    <w:rsid w:val="009F7608"/>
    <w:rsid w:val="009F767B"/>
    <w:rsid w:val="009F7DB3"/>
    <w:rsid w:val="00A029F3"/>
    <w:rsid w:val="00A064BD"/>
    <w:rsid w:val="00A07664"/>
    <w:rsid w:val="00A1032D"/>
    <w:rsid w:val="00A1077D"/>
    <w:rsid w:val="00A10821"/>
    <w:rsid w:val="00A11C3B"/>
    <w:rsid w:val="00A11EB5"/>
    <w:rsid w:val="00A12D4B"/>
    <w:rsid w:val="00A12EB6"/>
    <w:rsid w:val="00A13B92"/>
    <w:rsid w:val="00A13D61"/>
    <w:rsid w:val="00A150FF"/>
    <w:rsid w:val="00A16763"/>
    <w:rsid w:val="00A203C4"/>
    <w:rsid w:val="00A20559"/>
    <w:rsid w:val="00A228EE"/>
    <w:rsid w:val="00A2384D"/>
    <w:rsid w:val="00A2426E"/>
    <w:rsid w:val="00A26624"/>
    <w:rsid w:val="00A30665"/>
    <w:rsid w:val="00A31927"/>
    <w:rsid w:val="00A31E66"/>
    <w:rsid w:val="00A3232F"/>
    <w:rsid w:val="00A32531"/>
    <w:rsid w:val="00A329BF"/>
    <w:rsid w:val="00A32E2F"/>
    <w:rsid w:val="00A33C4C"/>
    <w:rsid w:val="00A33EB3"/>
    <w:rsid w:val="00A33F3B"/>
    <w:rsid w:val="00A341AB"/>
    <w:rsid w:val="00A35756"/>
    <w:rsid w:val="00A37A13"/>
    <w:rsid w:val="00A41B23"/>
    <w:rsid w:val="00A44050"/>
    <w:rsid w:val="00A44829"/>
    <w:rsid w:val="00A44C5A"/>
    <w:rsid w:val="00A454C7"/>
    <w:rsid w:val="00A4769E"/>
    <w:rsid w:val="00A477A6"/>
    <w:rsid w:val="00A514FD"/>
    <w:rsid w:val="00A54AA5"/>
    <w:rsid w:val="00A5534E"/>
    <w:rsid w:val="00A600BA"/>
    <w:rsid w:val="00A605B1"/>
    <w:rsid w:val="00A61C80"/>
    <w:rsid w:val="00A62B05"/>
    <w:rsid w:val="00A62BA3"/>
    <w:rsid w:val="00A63A31"/>
    <w:rsid w:val="00A63EB9"/>
    <w:rsid w:val="00A66802"/>
    <w:rsid w:val="00A70065"/>
    <w:rsid w:val="00A705A5"/>
    <w:rsid w:val="00A70E29"/>
    <w:rsid w:val="00A72BBE"/>
    <w:rsid w:val="00A73F6C"/>
    <w:rsid w:val="00A80A9D"/>
    <w:rsid w:val="00A813DF"/>
    <w:rsid w:val="00A833A9"/>
    <w:rsid w:val="00A83429"/>
    <w:rsid w:val="00A8362F"/>
    <w:rsid w:val="00A8470D"/>
    <w:rsid w:val="00A852C6"/>
    <w:rsid w:val="00A85DB8"/>
    <w:rsid w:val="00A8663E"/>
    <w:rsid w:val="00A8791C"/>
    <w:rsid w:val="00A906DB"/>
    <w:rsid w:val="00A90AD2"/>
    <w:rsid w:val="00A916C9"/>
    <w:rsid w:val="00A9318C"/>
    <w:rsid w:val="00A9325D"/>
    <w:rsid w:val="00A93564"/>
    <w:rsid w:val="00A94BF9"/>
    <w:rsid w:val="00A96A82"/>
    <w:rsid w:val="00A96F19"/>
    <w:rsid w:val="00A97912"/>
    <w:rsid w:val="00AA04D7"/>
    <w:rsid w:val="00AA0522"/>
    <w:rsid w:val="00AA056B"/>
    <w:rsid w:val="00AA36ED"/>
    <w:rsid w:val="00AA55DB"/>
    <w:rsid w:val="00AA6060"/>
    <w:rsid w:val="00AA667F"/>
    <w:rsid w:val="00AA6CD8"/>
    <w:rsid w:val="00AA6EF1"/>
    <w:rsid w:val="00AA7536"/>
    <w:rsid w:val="00AA77C2"/>
    <w:rsid w:val="00AA7873"/>
    <w:rsid w:val="00AA7F8F"/>
    <w:rsid w:val="00AB1F69"/>
    <w:rsid w:val="00AB2637"/>
    <w:rsid w:val="00AB34D0"/>
    <w:rsid w:val="00AB4DB0"/>
    <w:rsid w:val="00AB4F91"/>
    <w:rsid w:val="00AB5096"/>
    <w:rsid w:val="00AB593D"/>
    <w:rsid w:val="00AC099E"/>
    <w:rsid w:val="00AC0D1F"/>
    <w:rsid w:val="00AC1698"/>
    <w:rsid w:val="00AC16AE"/>
    <w:rsid w:val="00AC1D34"/>
    <w:rsid w:val="00AC4EB9"/>
    <w:rsid w:val="00AC54BC"/>
    <w:rsid w:val="00AC6119"/>
    <w:rsid w:val="00AC79C6"/>
    <w:rsid w:val="00AC7B1D"/>
    <w:rsid w:val="00AC7F08"/>
    <w:rsid w:val="00AD05AE"/>
    <w:rsid w:val="00AD08D7"/>
    <w:rsid w:val="00AD0D2B"/>
    <w:rsid w:val="00AD20C8"/>
    <w:rsid w:val="00AD39CC"/>
    <w:rsid w:val="00AD66E8"/>
    <w:rsid w:val="00AE006D"/>
    <w:rsid w:val="00AE2524"/>
    <w:rsid w:val="00AE2CF6"/>
    <w:rsid w:val="00AE30E6"/>
    <w:rsid w:val="00AE3B7D"/>
    <w:rsid w:val="00AE521D"/>
    <w:rsid w:val="00AE610C"/>
    <w:rsid w:val="00AE66B3"/>
    <w:rsid w:val="00AF0876"/>
    <w:rsid w:val="00AF0BEF"/>
    <w:rsid w:val="00AF0E18"/>
    <w:rsid w:val="00AF1E8B"/>
    <w:rsid w:val="00AF29FE"/>
    <w:rsid w:val="00AF2A78"/>
    <w:rsid w:val="00AF37ED"/>
    <w:rsid w:val="00AF4C6B"/>
    <w:rsid w:val="00AF560E"/>
    <w:rsid w:val="00AF60DA"/>
    <w:rsid w:val="00AF6C1E"/>
    <w:rsid w:val="00B00A68"/>
    <w:rsid w:val="00B012FD"/>
    <w:rsid w:val="00B01350"/>
    <w:rsid w:val="00B03BFC"/>
    <w:rsid w:val="00B04ACC"/>
    <w:rsid w:val="00B061CE"/>
    <w:rsid w:val="00B065C1"/>
    <w:rsid w:val="00B06604"/>
    <w:rsid w:val="00B1015E"/>
    <w:rsid w:val="00B1019A"/>
    <w:rsid w:val="00B10DEC"/>
    <w:rsid w:val="00B10E19"/>
    <w:rsid w:val="00B114BB"/>
    <w:rsid w:val="00B12444"/>
    <w:rsid w:val="00B12727"/>
    <w:rsid w:val="00B14517"/>
    <w:rsid w:val="00B15AD2"/>
    <w:rsid w:val="00B15E5A"/>
    <w:rsid w:val="00B16FA0"/>
    <w:rsid w:val="00B17BE7"/>
    <w:rsid w:val="00B17D12"/>
    <w:rsid w:val="00B20832"/>
    <w:rsid w:val="00B215B7"/>
    <w:rsid w:val="00B21D99"/>
    <w:rsid w:val="00B22411"/>
    <w:rsid w:val="00B226B1"/>
    <w:rsid w:val="00B23E4C"/>
    <w:rsid w:val="00B25BD7"/>
    <w:rsid w:val="00B25C75"/>
    <w:rsid w:val="00B25E7F"/>
    <w:rsid w:val="00B305FA"/>
    <w:rsid w:val="00B3305C"/>
    <w:rsid w:val="00B3683D"/>
    <w:rsid w:val="00B41526"/>
    <w:rsid w:val="00B41DD0"/>
    <w:rsid w:val="00B41EA7"/>
    <w:rsid w:val="00B43A3C"/>
    <w:rsid w:val="00B4575E"/>
    <w:rsid w:val="00B45CCC"/>
    <w:rsid w:val="00B45D44"/>
    <w:rsid w:val="00B46B46"/>
    <w:rsid w:val="00B4722E"/>
    <w:rsid w:val="00B47C02"/>
    <w:rsid w:val="00B51F1D"/>
    <w:rsid w:val="00B52278"/>
    <w:rsid w:val="00B52B77"/>
    <w:rsid w:val="00B52F4E"/>
    <w:rsid w:val="00B573CC"/>
    <w:rsid w:val="00B6074C"/>
    <w:rsid w:val="00B61B4C"/>
    <w:rsid w:val="00B61F7E"/>
    <w:rsid w:val="00B62403"/>
    <w:rsid w:val="00B62F66"/>
    <w:rsid w:val="00B639C7"/>
    <w:rsid w:val="00B645DB"/>
    <w:rsid w:val="00B65193"/>
    <w:rsid w:val="00B654CB"/>
    <w:rsid w:val="00B661F5"/>
    <w:rsid w:val="00B66B66"/>
    <w:rsid w:val="00B71B19"/>
    <w:rsid w:val="00B73453"/>
    <w:rsid w:val="00B73B98"/>
    <w:rsid w:val="00B73FC9"/>
    <w:rsid w:val="00B74B5C"/>
    <w:rsid w:val="00B753EF"/>
    <w:rsid w:val="00B754EF"/>
    <w:rsid w:val="00B75696"/>
    <w:rsid w:val="00B77052"/>
    <w:rsid w:val="00B77A03"/>
    <w:rsid w:val="00B814CB"/>
    <w:rsid w:val="00B81CA9"/>
    <w:rsid w:val="00B83419"/>
    <w:rsid w:val="00B84956"/>
    <w:rsid w:val="00B84BE0"/>
    <w:rsid w:val="00B8502A"/>
    <w:rsid w:val="00B85C0B"/>
    <w:rsid w:val="00B872BD"/>
    <w:rsid w:val="00B876D9"/>
    <w:rsid w:val="00B932CE"/>
    <w:rsid w:val="00B932F9"/>
    <w:rsid w:val="00B9416C"/>
    <w:rsid w:val="00B941BF"/>
    <w:rsid w:val="00B94757"/>
    <w:rsid w:val="00B9498F"/>
    <w:rsid w:val="00B949A6"/>
    <w:rsid w:val="00B96199"/>
    <w:rsid w:val="00B9624B"/>
    <w:rsid w:val="00B9633D"/>
    <w:rsid w:val="00BA266E"/>
    <w:rsid w:val="00BA279F"/>
    <w:rsid w:val="00BA2BE0"/>
    <w:rsid w:val="00BA2D5C"/>
    <w:rsid w:val="00BA3004"/>
    <w:rsid w:val="00BA3F26"/>
    <w:rsid w:val="00BA6499"/>
    <w:rsid w:val="00BA75FD"/>
    <w:rsid w:val="00BA782D"/>
    <w:rsid w:val="00BA7914"/>
    <w:rsid w:val="00BB1344"/>
    <w:rsid w:val="00BB142D"/>
    <w:rsid w:val="00BB208C"/>
    <w:rsid w:val="00BB21DE"/>
    <w:rsid w:val="00BB2568"/>
    <w:rsid w:val="00BB284A"/>
    <w:rsid w:val="00BB2EA2"/>
    <w:rsid w:val="00BB3E51"/>
    <w:rsid w:val="00BB4B7D"/>
    <w:rsid w:val="00BB5AAE"/>
    <w:rsid w:val="00BB600C"/>
    <w:rsid w:val="00BC2883"/>
    <w:rsid w:val="00BC294D"/>
    <w:rsid w:val="00BC330E"/>
    <w:rsid w:val="00BC6308"/>
    <w:rsid w:val="00BC7551"/>
    <w:rsid w:val="00BC7681"/>
    <w:rsid w:val="00BD010A"/>
    <w:rsid w:val="00BD1190"/>
    <w:rsid w:val="00BD26F2"/>
    <w:rsid w:val="00BD2DB0"/>
    <w:rsid w:val="00BD3109"/>
    <w:rsid w:val="00BD771E"/>
    <w:rsid w:val="00BE0581"/>
    <w:rsid w:val="00BE12D9"/>
    <w:rsid w:val="00BE1915"/>
    <w:rsid w:val="00BE2220"/>
    <w:rsid w:val="00BE3C9A"/>
    <w:rsid w:val="00BE53F8"/>
    <w:rsid w:val="00BE60D3"/>
    <w:rsid w:val="00BE68E0"/>
    <w:rsid w:val="00BE7912"/>
    <w:rsid w:val="00BE7F0D"/>
    <w:rsid w:val="00BF1062"/>
    <w:rsid w:val="00BF1D6C"/>
    <w:rsid w:val="00BF3C76"/>
    <w:rsid w:val="00BF40F2"/>
    <w:rsid w:val="00BF4347"/>
    <w:rsid w:val="00BF5859"/>
    <w:rsid w:val="00C00303"/>
    <w:rsid w:val="00C00BA4"/>
    <w:rsid w:val="00C0145B"/>
    <w:rsid w:val="00C01862"/>
    <w:rsid w:val="00C03F3F"/>
    <w:rsid w:val="00C04DDB"/>
    <w:rsid w:val="00C06795"/>
    <w:rsid w:val="00C107C2"/>
    <w:rsid w:val="00C10CAF"/>
    <w:rsid w:val="00C11F0A"/>
    <w:rsid w:val="00C1285A"/>
    <w:rsid w:val="00C13081"/>
    <w:rsid w:val="00C13F2B"/>
    <w:rsid w:val="00C14385"/>
    <w:rsid w:val="00C152B9"/>
    <w:rsid w:val="00C153DE"/>
    <w:rsid w:val="00C156DD"/>
    <w:rsid w:val="00C1577B"/>
    <w:rsid w:val="00C20D99"/>
    <w:rsid w:val="00C21AB1"/>
    <w:rsid w:val="00C2380F"/>
    <w:rsid w:val="00C24697"/>
    <w:rsid w:val="00C248D1"/>
    <w:rsid w:val="00C24E97"/>
    <w:rsid w:val="00C2601D"/>
    <w:rsid w:val="00C271C1"/>
    <w:rsid w:val="00C27388"/>
    <w:rsid w:val="00C27F17"/>
    <w:rsid w:val="00C31562"/>
    <w:rsid w:val="00C31879"/>
    <w:rsid w:val="00C31C80"/>
    <w:rsid w:val="00C3261E"/>
    <w:rsid w:val="00C33E60"/>
    <w:rsid w:val="00C33EC6"/>
    <w:rsid w:val="00C34283"/>
    <w:rsid w:val="00C35140"/>
    <w:rsid w:val="00C3612B"/>
    <w:rsid w:val="00C36A08"/>
    <w:rsid w:val="00C37FF8"/>
    <w:rsid w:val="00C4084B"/>
    <w:rsid w:val="00C41614"/>
    <w:rsid w:val="00C446C4"/>
    <w:rsid w:val="00C45113"/>
    <w:rsid w:val="00C47DE5"/>
    <w:rsid w:val="00C52876"/>
    <w:rsid w:val="00C5410A"/>
    <w:rsid w:val="00C54207"/>
    <w:rsid w:val="00C54FC2"/>
    <w:rsid w:val="00C5521A"/>
    <w:rsid w:val="00C61917"/>
    <w:rsid w:val="00C62420"/>
    <w:rsid w:val="00C627E1"/>
    <w:rsid w:val="00C62D91"/>
    <w:rsid w:val="00C6388E"/>
    <w:rsid w:val="00C63B72"/>
    <w:rsid w:val="00C63E7B"/>
    <w:rsid w:val="00C666C8"/>
    <w:rsid w:val="00C66FC4"/>
    <w:rsid w:val="00C729FA"/>
    <w:rsid w:val="00C72DDE"/>
    <w:rsid w:val="00C72EC1"/>
    <w:rsid w:val="00C742C8"/>
    <w:rsid w:val="00C754CE"/>
    <w:rsid w:val="00C766A2"/>
    <w:rsid w:val="00C77028"/>
    <w:rsid w:val="00C77C1F"/>
    <w:rsid w:val="00C77CAB"/>
    <w:rsid w:val="00C8060F"/>
    <w:rsid w:val="00C806A7"/>
    <w:rsid w:val="00C81D07"/>
    <w:rsid w:val="00C82B7F"/>
    <w:rsid w:val="00C8310A"/>
    <w:rsid w:val="00C837DD"/>
    <w:rsid w:val="00C83E90"/>
    <w:rsid w:val="00C85E9C"/>
    <w:rsid w:val="00C87701"/>
    <w:rsid w:val="00C92205"/>
    <w:rsid w:val="00C95355"/>
    <w:rsid w:val="00C95800"/>
    <w:rsid w:val="00CA104F"/>
    <w:rsid w:val="00CA12DD"/>
    <w:rsid w:val="00CA24D2"/>
    <w:rsid w:val="00CA320E"/>
    <w:rsid w:val="00CA338B"/>
    <w:rsid w:val="00CA39A2"/>
    <w:rsid w:val="00CA690E"/>
    <w:rsid w:val="00CB0556"/>
    <w:rsid w:val="00CB0BBD"/>
    <w:rsid w:val="00CB0F8F"/>
    <w:rsid w:val="00CB1D86"/>
    <w:rsid w:val="00CB2C21"/>
    <w:rsid w:val="00CB70CA"/>
    <w:rsid w:val="00CB72CC"/>
    <w:rsid w:val="00CB7FAD"/>
    <w:rsid w:val="00CC3D46"/>
    <w:rsid w:val="00CC3DA6"/>
    <w:rsid w:val="00CC4CD7"/>
    <w:rsid w:val="00CC4FD6"/>
    <w:rsid w:val="00CC50CD"/>
    <w:rsid w:val="00CC53E3"/>
    <w:rsid w:val="00CC564C"/>
    <w:rsid w:val="00CC5F42"/>
    <w:rsid w:val="00CC78FD"/>
    <w:rsid w:val="00CD0847"/>
    <w:rsid w:val="00CD2A96"/>
    <w:rsid w:val="00CD4C2E"/>
    <w:rsid w:val="00CD502E"/>
    <w:rsid w:val="00CD55B4"/>
    <w:rsid w:val="00CD5797"/>
    <w:rsid w:val="00CD5AB9"/>
    <w:rsid w:val="00CD6666"/>
    <w:rsid w:val="00CD7EB6"/>
    <w:rsid w:val="00CE005B"/>
    <w:rsid w:val="00CE0BE6"/>
    <w:rsid w:val="00CE0CFB"/>
    <w:rsid w:val="00CE1041"/>
    <w:rsid w:val="00CE1334"/>
    <w:rsid w:val="00CE169A"/>
    <w:rsid w:val="00CE16FB"/>
    <w:rsid w:val="00CE3019"/>
    <w:rsid w:val="00CE3CCC"/>
    <w:rsid w:val="00CE5DE3"/>
    <w:rsid w:val="00CF1FD1"/>
    <w:rsid w:val="00CF27F2"/>
    <w:rsid w:val="00CF42E4"/>
    <w:rsid w:val="00CF57D1"/>
    <w:rsid w:val="00CF642B"/>
    <w:rsid w:val="00CF6D79"/>
    <w:rsid w:val="00CF7979"/>
    <w:rsid w:val="00CF7D78"/>
    <w:rsid w:val="00D01CAB"/>
    <w:rsid w:val="00D02836"/>
    <w:rsid w:val="00D03065"/>
    <w:rsid w:val="00D031B4"/>
    <w:rsid w:val="00D032C9"/>
    <w:rsid w:val="00D0387E"/>
    <w:rsid w:val="00D03B8E"/>
    <w:rsid w:val="00D04B8B"/>
    <w:rsid w:val="00D04E41"/>
    <w:rsid w:val="00D056B3"/>
    <w:rsid w:val="00D0653C"/>
    <w:rsid w:val="00D0690D"/>
    <w:rsid w:val="00D06FC6"/>
    <w:rsid w:val="00D1183A"/>
    <w:rsid w:val="00D12F61"/>
    <w:rsid w:val="00D169AB"/>
    <w:rsid w:val="00D16D69"/>
    <w:rsid w:val="00D1701B"/>
    <w:rsid w:val="00D208DE"/>
    <w:rsid w:val="00D20F64"/>
    <w:rsid w:val="00D218E7"/>
    <w:rsid w:val="00D21987"/>
    <w:rsid w:val="00D21CC9"/>
    <w:rsid w:val="00D23637"/>
    <w:rsid w:val="00D247FB"/>
    <w:rsid w:val="00D24841"/>
    <w:rsid w:val="00D248BC"/>
    <w:rsid w:val="00D24E91"/>
    <w:rsid w:val="00D25B61"/>
    <w:rsid w:val="00D27646"/>
    <w:rsid w:val="00D27790"/>
    <w:rsid w:val="00D30E3A"/>
    <w:rsid w:val="00D30E7A"/>
    <w:rsid w:val="00D3123E"/>
    <w:rsid w:val="00D31C27"/>
    <w:rsid w:val="00D32586"/>
    <w:rsid w:val="00D32D42"/>
    <w:rsid w:val="00D33942"/>
    <w:rsid w:val="00D3420C"/>
    <w:rsid w:val="00D35457"/>
    <w:rsid w:val="00D355B1"/>
    <w:rsid w:val="00D36B43"/>
    <w:rsid w:val="00D41D83"/>
    <w:rsid w:val="00D42266"/>
    <w:rsid w:val="00D4294B"/>
    <w:rsid w:val="00D42CB8"/>
    <w:rsid w:val="00D47C43"/>
    <w:rsid w:val="00D50EC0"/>
    <w:rsid w:val="00D51814"/>
    <w:rsid w:val="00D54948"/>
    <w:rsid w:val="00D556FD"/>
    <w:rsid w:val="00D55959"/>
    <w:rsid w:val="00D617B1"/>
    <w:rsid w:val="00D61EC0"/>
    <w:rsid w:val="00D61EEF"/>
    <w:rsid w:val="00D62E2C"/>
    <w:rsid w:val="00D63035"/>
    <w:rsid w:val="00D64728"/>
    <w:rsid w:val="00D65614"/>
    <w:rsid w:val="00D66019"/>
    <w:rsid w:val="00D679EB"/>
    <w:rsid w:val="00D716D2"/>
    <w:rsid w:val="00D74B35"/>
    <w:rsid w:val="00D74BB8"/>
    <w:rsid w:val="00D80144"/>
    <w:rsid w:val="00D83C86"/>
    <w:rsid w:val="00D85455"/>
    <w:rsid w:val="00D86252"/>
    <w:rsid w:val="00D911B8"/>
    <w:rsid w:val="00D937F5"/>
    <w:rsid w:val="00D9558B"/>
    <w:rsid w:val="00DA0EE8"/>
    <w:rsid w:val="00DA2BF8"/>
    <w:rsid w:val="00DA60FB"/>
    <w:rsid w:val="00DA6BE8"/>
    <w:rsid w:val="00DA7162"/>
    <w:rsid w:val="00DB039D"/>
    <w:rsid w:val="00DB14A0"/>
    <w:rsid w:val="00DB252E"/>
    <w:rsid w:val="00DB26DE"/>
    <w:rsid w:val="00DB39BD"/>
    <w:rsid w:val="00DB4BF7"/>
    <w:rsid w:val="00DB5A7E"/>
    <w:rsid w:val="00DB5F5D"/>
    <w:rsid w:val="00DB6EA9"/>
    <w:rsid w:val="00DC0066"/>
    <w:rsid w:val="00DC0464"/>
    <w:rsid w:val="00DC1286"/>
    <w:rsid w:val="00DC32A8"/>
    <w:rsid w:val="00DC405F"/>
    <w:rsid w:val="00DC5E63"/>
    <w:rsid w:val="00DC788C"/>
    <w:rsid w:val="00DC7DF8"/>
    <w:rsid w:val="00DD27DE"/>
    <w:rsid w:val="00DD457F"/>
    <w:rsid w:val="00DD4B2A"/>
    <w:rsid w:val="00DD5351"/>
    <w:rsid w:val="00DE015F"/>
    <w:rsid w:val="00DE0160"/>
    <w:rsid w:val="00DE1818"/>
    <w:rsid w:val="00DE3695"/>
    <w:rsid w:val="00DE4C6A"/>
    <w:rsid w:val="00DE73CD"/>
    <w:rsid w:val="00DF0719"/>
    <w:rsid w:val="00DF0E9C"/>
    <w:rsid w:val="00DF12B2"/>
    <w:rsid w:val="00DF2027"/>
    <w:rsid w:val="00DF224C"/>
    <w:rsid w:val="00DF2D24"/>
    <w:rsid w:val="00DF2FEA"/>
    <w:rsid w:val="00DF330F"/>
    <w:rsid w:val="00DF47FA"/>
    <w:rsid w:val="00DF62A4"/>
    <w:rsid w:val="00DF69B4"/>
    <w:rsid w:val="00DF6F90"/>
    <w:rsid w:val="00E017F8"/>
    <w:rsid w:val="00E0231D"/>
    <w:rsid w:val="00E03A10"/>
    <w:rsid w:val="00E03B55"/>
    <w:rsid w:val="00E042F7"/>
    <w:rsid w:val="00E05FCC"/>
    <w:rsid w:val="00E06F38"/>
    <w:rsid w:val="00E07C0E"/>
    <w:rsid w:val="00E105E7"/>
    <w:rsid w:val="00E110AB"/>
    <w:rsid w:val="00E1114F"/>
    <w:rsid w:val="00E11877"/>
    <w:rsid w:val="00E11DFE"/>
    <w:rsid w:val="00E129C6"/>
    <w:rsid w:val="00E14773"/>
    <w:rsid w:val="00E16C78"/>
    <w:rsid w:val="00E23473"/>
    <w:rsid w:val="00E2452D"/>
    <w:rsid w:val="00E24CF9"/>
    <w:rsid w:val="00E250EC"/>
    <w:rsid w:val="00E27465"/>
    <w:rsid w:val="00E27EE9"/>
    <w:rsid w:val="00E30427"/>
    <w:rsid w:val="00E306EB"/>
    <w:rsid w:val="00E30879"/>
    <w:rsid w:val="00E30CBE"/>
    <w:rsid w:val="00E32808"/>
    <w:rsid w:val="00E333FC"/>
    <w:rsid w:val="00E36A51"/>
    <w:rsid w:val="00E36C8F"/>
    <w:rsid w:val="00E37600"/>
    <w:rsid w:val="00E404E8"/>
    <w:rsid w:val="00E423C9"/>
    <w:rsid w:val="00E426CE"/>
    <w:rsid w:val="00E4320A"/>
    <w:rsid w:val="00E45068"/>
    <w:rsid w:val="00E45318"/>
    <w:rsid w:val="00E4577B"/>
    <w:rsid w:val="00E45B92"/>
    <w:rsid w:val="00E45F66"/>
    <w:rsid w:val="00E47A18"/>
    <w:rsid w:val="00E47A74"/>
    <w:rsid w:val="00E5033F"/>
    <w:rsid w:val="00E51590"/>
    <w:rsid w:val="00E51A6D"/>
    <w:rsid w:val="00E51DB4"/>
    <w:rsid w:val="00E52122"/>
    <w:rsid w:val="00E5373C"/>
    <w:rsid w:val="00E537D8"/>
    <w:rsid w:val="00E54B76"/>
    <w:rsid w:val="00E55D06"/>
    <w:rsid w:val="00E56E4B"/>
    <w:rsid w:val="00E57222"/>
    <w:rsid w:val="00E573CD"/>
    <w:rsid w:val="00E60002"/>
    <w:rsid w:val="00E62D29"/>
    <w:rsid w:val="00E64DCC"/>
    <w:rsid w:val="00E661B6"/>
    <w:rsid w:val="00E66F13"/>
    <w:rsid w:val="00E712FC"/>
    <w:rsid w:val="00E72358"/>
    <w:rsid w:val="00E727FB"/>
    <w:rsid w:val="00E730C2"/>
    <w:rsid w:val="00E74647"/>
    <w:rsid w:val="00E74F8B"/>
    <w:rsid w:val="00E75B86"/>
    <w:rsid w:val="00E81D0A"/>
    <w:rsid w:val="00E846B8"/>
    <w:rsid w:val="00E85352"/>
    <w:rsid w:val="00E85800"/>
    <w:rsid w:val="00E86325"/>
    <w:rsid w:val="00E86392"/>
    <w:rsid w:val="00E86873"/>
    <w:rsid w:val="00E8765B"/>
    <w:rsid w:val="00E9217D"/>
    <w:rsid w:val="00E9274F"/>
    <w:rsid w:val="00E92C2F"/>
    <w:rsid w:val="00E92DE0"/>
    <w:rsid w:val="00E949CF"/>
    <w:rsid w:val="00E94CF0"/>
    <w:rsid w:val="00E94DAF"/>
    <w:rsid w:val="00E95267"/>
    <w:rsid w:val="00E9776E"/>
    <w:rsid w:val="00EA0F4F"/>
    <w:rsid w:val="00EA1AD0"/>
    <w:rsid w:val="00EA5D3E"/>
    <w:rsid w:val="00EB042E"/>
    <w:rsid w:val="00EB148F"/>
    <w:rsid w:val="00EB15B0"/>
    <w:rsid w:val="00EB15BD"/>
    <w:rsid w:val="00EB47BE"/>
    <w:rsid w:val="00EB4864"/>
    <w:rsid w:val="00EB4B40"/>
    <w:rsid w:val="00EB5DF5"/>
    <w:rsid w:val="00EB5F3F"/>
    <w:rsid w:val="00EC0827"/>
    <w:rsid w:val="00EC08C7"/>
    <w:rsid w:val="00EC099F"/>
    <w:rsid w:val="00EC0E37"/>
    <w:rsid w:val="00EC2EE5"/>
    <w:rsid w:val="00EC336B"/>
    <w:rsid w:val="00EC34C1"/>
    <w:rsid w:val="00EC38DD"/>
    <w:rsid w:val="00EC3F1D"/>
    <w:rsid w:val="00EC4821"/>
    <w:rsid w:val="00EC6262"/>
    <w:rsid w:val="00EC6D86"/>
    <w:rsid w:val="00EC71BD"/>
    <w:rsid w:val="00EC794A"/>
    <w:rsid w:val="00ED3090"/>
    <w:rsid w:val="00ED4E28"/>
    <w:rsid w:val="00ED5B35"/>
    <w:rsid w:val="00ED5B69"/>
    <w:rsid w:val="00ED6E53"/>
    <w:rsid w:val="00ED741C"/>
    <w:rsid w:val="00EE0BC1"/>
    <w:rsid w:val="00EE28D2"/>
    <w:rsid w:val="00EE2B18"/>
    <w:rsid w:val="00EE3695"/>
    <w:rsid w:val="00EE3B75"/>
    <w:rsid w:val="00EE4565"/>
    <w:rsid w:val="00EE4D4B"/>
    <w:rsid w:val="00EE5EBA"/>
    <w:rsid w:val="00EE613A"/>
    <w:rsid w:val="00EE74AD"/>
    <w:rsid w:val="00EF000D"/>
    <w:rsid w:val="00EF0818"/>
    <w:rsid w:val="00EF108C"/>
    <w:rsid w:val="00EF290E"/>
    <w:rsid w:val="00EF3996"/>
    <w:rsid w:val="00EF3F60"/>
    <w:rsid w:val="00EF401E"/>
    <w:rsid w:val="00EF5737"/>
    <w:rsid w:val="00EF6FE0"/>
    <w:rsid w:val="00EF75AF"/>
    <w:rsid w:val="00EF798A"/>
    <w:rsid w:val="00F0356C"/>
    <w:rsid w:val="00F03CE2"/>
    <w:rsid w:val="00F06D6F"/>
    <w:rsid w:val="00F14794"/>
    <w:rsid w:val="00F14963"/>
    <w:rsid w:val="00F15CFF"/>
    <w:rsid w:val="00F169E8"/>
    <w:rsid w:val="00F17AC6"/>
    <w:rsid w:val="00F2020D"/>
    <w:rsid w:val="00F21B6A"/>
    <w:rsid w:val="00F21C36"/>
    <w:rsid w:val="00F22418"/>
    <w:rsid w:val="00F22497"/>
    <w:rsid w:val="00F235D3"/>
    <w:rsid w:val="00F24B14"/>
    <w:rsid w:val="00F25370"/>
    <w:rsid w:val="00F27860"/>
    <w:rsid w:val="00F30E55"/>
    <w:rsid w:val="00F33766"/>
    <w:rsid w:val="00F34C95"/>
    <w:rsid w:val="00F35088"/>
    <w:rsid w:val="00F35CE7"/>
    <w:rsid w:val="00F366EC"/>
    <w:rsid w:val="00F37317"/>
    <w:rsid w:val="00F42F0B"/>
    <w:rsid w:val="00F4412E"/>
    <w:rsid w:val="00F46BC2"/>
    <w:rsid w:val="00F46F4C"/>
    <w:rsid w:val="00F47079"/>
    <w:rsid w:val="00F47093"/>
    <w:rsid w:val="00F47883"/>
    <w:rsid w:val="00F505A0"/>
    <w:rsid w:val="00F510A7"/>
    <w:rsid w:val="00F525E4"/>
    <w:rsid w:val="00F53C1E"/>
    <w:rsid w:val="00F55C70"/>
    <w:rsid w:val="00F6115D"/>
    <w:rsid w:val="00F62211"/>
    <w:rsid w:val="00F63F3B"/>
    <w:rsid w:val="00F64CBF"/>
    <w:rsid w:val="00F67754"/>
    <w:rsid w:val="00F71506"/>
    <w:rsid w:val="00F7151D"/>
    <w:rsid w:val="00F7226C"/>
    <w:rsid w:val="00F73053"/>
    <w:rsid w:val="00F74DAE"/>
    <w:rsid w:val="00F75D12"/>
    <w:rsid w:val="00F807F1"/>
    <w:rsid w:val="00F80C6D"/>
    <w:rsid w:val="00F8517A"/>
    <w:rsid w:val="00F85A12"/>
    <w:rsid w:val="00F85CF6"/>
    <w:rsid w:val="00F86120"/>
    <w:rsid w:val="00F86824"/>
    <w:rsid w:val="00F86AB6"/>
    <w:rsid w:val="00F86B65"/>
    <w:rsid w:val="00F86CCF"/>
    <w:rsid w:val="00F86EB1"/>
    <w:rsid w:val="00F87147"/>
    <w:rsid w:val="00F908F3"/>
    <w:rsid w:val="00F90D98"/>
    <w:rsid w:val="00F91080"/>
    <w:rsid w:val="00F93B14"/>
    <w:rsid w:val="00F95C03"/>
    <w:rsid w:val="00F97843"/>
    <w:rsid w:val="00FA068B"/>
    <w:rsid w:val="00FA1A03"/>
    <w:rsid w:val="00FA3177"/>
    <w:rsid w:val="00FA34D8"/>
    <w:rsid w:val="00FA3B1D"/>
    <w:rsid w:val="00FA3E69"/>
    <w:rsid w:val="00FA49A3"/>
    <w:rsid w:val="00FA57A4"/>
    <w:rsid w:val="00FA6D12"/>
    <w:rsid w:val="00FA6DAE"/>
    <w:rsid w:val="00FB1C1F"/>
    <w:rsid w:val="00FB23D6"/>
    <w:rsid w:val="00FB27A0"/>
    <w:rsid w:val="00FB2956"/>
    <w:rsid w:val="00FB47DC"/>
    <w:rsid w:val="00FB4817"/>
    <w:rsid w:val="00FB711D"/>
    <w:rsid w:val="00FB7123"/>
    <w:rsid w:val="00FB716B"/>
    <w:rsid w:val="00FC054B"/>
    <w:rsid w:val="00FC1496"/>
    <w:rsid w:val="00FC22AC"/>
    <w:rsid w:val="00FC46D7"/>
    <w:rsid w:val="00FC4ACD"/>
    <w:rsid w:val="00FC7913"/>
    <w:rsid w:val="00FD01F5"/>
    <w:rsid w:val="00FD024A"/>
    <w:rsid w:val="00FD3772"/>
    <w:rsid w:val="00FD4029"/>
    <w:rsid w:val="00FD4CC8"/>
    <w:rsid w:val="00FD63D8"/>
    <w:rsid w:val="00FD6B1C"/>
    <w:rsid w:val="00FD75C7"/>
    <w:rsid w:val="00FE0556"/>
    <w:rsid w:val="00FE2413"/>
    <w:rsid w:val="00FE28E0"/>
    <w:rsid w:val="00FE38ED"/>
    <w:rsid w:val="00FE41E1"/>
    <w:rsid w:val="00FE483A"/>
    <w:rsid w:val="00FE505B"/>
    <w:rsid w:val="00FF0D28"/>
    <w:rsid w:val="00FF1C49"/>
    <w:rsid w:val="00FF27F4"/>
    <w:rsid w:val="00FF3883"/>
    <w:rsid w:val="00FF3C3B"/>
    <w:rsid w:val="00FF3CE8"/>
    <w:rsid w:val="00FF4262"/>
    <w:rsid w:val="00FF561A"/>
    <w:rsid w:val="00FF563B"/>
    <w:rsid w:val="00FF5C38"/>
    <w:rsid w:val="00FF6E9B"/>
    <w:rsid w:val="00FF75C4"/>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555D6"/>
  <w15:chartTrackingRefBased/>
  <w15:docId w15:val="{6F21ECDF-9E15-4735-9990-1BC93559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DF"/>
    <w:rPr>
      <w:sz w:val="24"/>
      <w:szCs w:val="24"/>
    </w:rPr>
  </w:style>
  <w:style w:type="paragraph" w:styleId="Heading1">
    <w:name w:val="heading 1"/>
    <w:basedOn w:val="Normal"/>
    <w:next w:val="Normal"/>
    <w:link w:val="Heading1Char"/>
    <w:qFormat/>
    <w:rsid w:val="00D24841"/>
    <w:pPr>
      <w:keepNext/>
      <w:spacing w:before="480" w:line="480" w:lineRule="auto"/>
      <w:ind w:left="504" w:hanging="504"/>
      <w:outlineLvl w:val="0"/>
    </w:pPr>
    <w:rPr>
      <w:b/>
      <w:bCs/>
      <w:caps/>
      <w:lang w:val="x-none" w:eastAsia="x-none"/>
    </w:rPr>
  </w:style>
  <w:style w:type="paragraph" w:styleId="Heading2">
    <w:name w:val="heading 2"/>
    <w:basedOn w:val="Normal"/>
    <w:next w:val="Normal"/>
    <w:link w:val="Heading2Char"/>
    <w:uiPriority w:val="9"/>
    <w:unhideWhenUsed/>
    <w:qFormat/>
    <w:rsid w:val="00A70E29"/>
    <w:pPr>
      <w:keepNext/>
      <w:keepLines/>
      <w:spacing w:before="48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A70E29"/>
    <w:pPr>
      <w:keepNext/>
      <w:keepLines/>
      <w:spacing w:before="48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81ADF"/>
    <w:rPr>
      <w:szCs w:val="20"/>
      <w:lang w:val="x-none" w:eastAsia="x-none"/>
    </w:rPr>
  </w:style>
  <w:style w:type="character" w:customStyle="1" w:styleId="Heading1Char">
    <w:name w:val="Heading 1 Char"/>
    <w:link w:val="Heading1"/>
    <w:locked/>
    <w:rsid w:val="00D24841"/>
    <w:rPr>
      <w:b/>
      <w:bCs/>
      <w:caps/>
      <w:sz w:val="24"/>
      <w:szCs w:val="24"/>
      <w:lang w:val="x-none" w:eastAsia="x-none"/>
    </w:rPr>
  </w:style>
  <w:style w:type="paragraph" w:styleId="Footer">
    <w:name w:val="footer"/>
    <w:basedOn w:val="Normal"/>
    <w:link w:val="FooterChar"/>
    <w:uiPriority w:val="99"/>
    <w:rsid w:val="00FD4029"/>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qFormat/>
    <w:rsid w:val="00FD4029"/>
    <w:rPr>
      <w:rFonts w:cs="Times New Roman"/>
    </w:rPr>
  </w:style>
  <w:style w:type="paragraph" w:styleId="Header">
    <w:name w:val="header"/>
    <w:basedOn w:val="Normal"/>
    <w:link w:val="HeaderChar"/>
    <w:uiPriority w:val="99"/>
    <w:rsid w:val="00FD4029"/>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character" w:styleId="LineNumber">
    <w:name w:val="line number"/>
    <w:rsid w:val="00FD4029"/>
    <w:rPr>
      <w:rFonts w:cs="Times New Roman"/>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Footnote Text Char1 Ch"/>
    <w:basedOn w:val="Normal"/>
    <w:link w:val="FootnoteTextChar"/>
    <w:uiPriority w:val="99"/>
    <w:rsid w:val="006368D2"/>
    <w:rPr>
      <w:sz w:val="20"/>
      <w:szCs w:val="20"/>
      <w:lang w:val="x-none" w:eastAsia="x-none"/>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link w:val="FootnoteText"/>
    <w:uiPriority w:val="99"/>
    <w:locked/>
    <w:rPr>
      <w:rFonts w:cs="Times New Roman"/>
      <w:sz w:val="20"/>
      <w:szCs w:val="20"/>
    </w:rPr>
  </w:style>
  <w:style w:type="character" w:styleId="FootnoteReference">
    <w:name w:val="footnote reference"/>
    <w:aliases w:val="o"/>
    <w:uiPriority w:val="99"/>
    <w:rsid w:val="006368D2"/>
    <w:rPr>
      <w:rFonts w:cs="Times New Roman"/>
      <w:vertAlign w:val="superscript"/>
    </w:rPr>
  </w:style>
  <w:style w:type="table" w:styleId="TableGrid">
    <w:name w:val="Table Grid"/>
    <w:basedOn w:val="TableNormal"/>
    <w:uiPriority w:val="59"/>
    <w:rsid w:val="00A9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881ADF"/>
    <w:rPr>
      <w:sz w:val="24"/>
      <w:lang w:val="x-none" w:eastAsia="x-none"/>
    </w:rPr>
  </w:style>
  <w:style w:type="paragraph" w:styleId="BodyText2">
    <w:name w:val="Body Text 2"/>
    <w:basedOn w:val="Normal"/>
    <w:link w:val="BodyText2Char"/>
    <w:rsid w:val="00D556FD"/>
    <w:pPr>
      <w:snapToGrid w:val="0"/>
      <w:spacing w:line="417" w:lineRule="auto"/>
      <w:jc w:val="both"/>
    </w:pPr>
    <w:rPr>
      <w:b/>
      <w:bCs/>
      <w:lang w:val="x-none" w:eastAsia="x-none"/>
    </w:rPr>
  </w:style>
  <w:style w:type="character" w:customStyle="1" w:styleId="BodyText2Char">
    <w:name w:val="Body Text 2 Char"/>
    <w:link w:val="BodyText2"/>
    <w:locked/>
    <w:rsid w:val="00D556FD"/>
    <w:rPr>
      <w:rFonts w:cs="Times New Roman"/>
      <w:b/>
      <w:bCs/>
      <w:sz w:val="24"/>
      <w:szCs w:val="24"/>
    </w:rPr>
  </w:style>
  <w:style w:type="character" w:styleId="CommentReference">
    <w:name w:val="annotation reference"/>
    <w:semiHidden/>
    <w:rsid w:val="0079398A"/>
    <w:rPr>
      <w:rFonts w:cs="Times New Roman"/>
      <w:sz w:val="16"/>
      <w:szCs w:val="16"/>
    </w:rPr>
  </w:style>
  <w:style w:type="paragraph" w:styleId="CommentText">
    <w:name w:val="annotation text"/>
    <w:basedOn w:val="Normal"/>
    <w:link w:val="CommentTextChar"/>
    <w:semiHidden/>
    <w:rsid w:val="0079398A"/>
    <w:rPr>
      <w:sz w:val="20"/>
      <w:szCs w:val="20"/>
      <w:lang w:val="x-none" w:eastAsia="x-none"/>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79398A"/>
    <w:rPr>
      <w:b/>
      <w:bCs/>
    </w:rPr>
  </w:style>
  <w:style w:type="character" w:customStyle="1" w:styleId="CommentSubjectChar">
    <w:name w:val="Comment Subject Char"/>
    <w:link w:val="CommentSubject"/>
    <w:semiHidden/>
    <w:locked/>
    <w:rPr>
      <w:rFonts w:cs="Times New Roman"/>
      <w:b/>
      <w:bCs/>
      <w:sz w:val="20"/>
      <w:szCs w:val="20"/>
    </w:rPr>
  </w:style>
  <w:style w:type="paragraph" w:styleId="Caption">
    <w:name w:val="caption"/>
    <w:basedOn w:val="Normal"/>
    <w:next w:val="Normal"/>
    <w:qFormat/>
    <w:rsid w:val="00557337"/>
    <w:pPr>
      <w:keepNext/>
      <w:spacing w:before="120" w:after="120"/>
      <w:jc w:val="center"/>
    </w:pPr>
    <w:rPr>
      <w:rFonts w:ascii="Calibri" w:eastAsia="Calibri" w:hAnsi="Calibri"/>
      <w:b/>
      <w:bCs/>
      <w:sz w:val="20"/>
      <w:szCs w:val="20"/>
    </w:rPr>
  </w:style>
  <w:style w:type="paragraph" w:styleId="ListParagraph">
    <w:name w:val="List Paragraph"/>
    <w:basedOn w:val="Normal"/>
    <w:uiPriority w:val="34"/>
    <w:qFormat/>
    <w:rsid w:val="006A056D"/>
    <w:pPr>
      <w:ind w:left="720"/>
    </w:pPr>
  </w:style>
  <w:style w:type="paragraph" w:styleId="Revision">
    <w:name w:val="Revision"/>
    <w:hidden/>
    <w:uiPriority w:val="99"/>
    <w:semiHidden/>
    <w:rsid w:val="00881ADF"/>
    <w:rPr>
      <w:sz w:val="24"/>
      <w:szCs w:val="24"/>
    </w:rPr>
  </w:style>
  <w:style w:type="paragraph" w:customStyle="1" w:styleId="Questions">
    <w:name w:val="Questions"/>
    <w:basedOn w:val="Normal"/>
    <w:link w:val="QuestionsChar"/>
    <w:qFormat/>
    <w:rsid w:val="00D24841"/>
    <w:pPr>
      <w:spacing w:before="480" w:line="480" w:lineRule="auto"/>
      <w:ind w:left="720" w:hanging="720"/>
      <w:jc w:val="both"/>
    </w:pPr>
    <w:rPr>
      <w:rFonts w:ascii="Times New Roman Bold" w:hAnsi="Times New Roman Bold"/>
      <w:b/>
      <w:bCs/>
      <w:caps/>
    </w:rPr>
  </w:style>
  <w:style w:type="paragraph" w:customStyle="1" w:styleId="Answers">
    <w:name w:val="Answers"/>
    <w:basedOn w:val="Normal"/>
    <w:link w:val="AnswersChar"/>
    <w:qFormat/>
    <w:rsid w:val="004717AD"/>
    <w:pPr>
      <w:spacing w:line="480" w:lineRule="auto"/>
      <w:ind w:left="720" w:hanging="720"/>
      <w:jc w:val="both"/>
    </w:pPr>
  </w:style>
  <w:style w:type="character" w:customStyle="1" w:styleId="QuestionsChar">
    <w:name w:val="Questions Char"/>
    <w:link w:val="Questions"/>
    <w:rsid w:val="00D24841"/>
    <w:rPr>
      <w:rFonts w:ascii="Times New Roman Bold" w:hAnsi="Times New Roman Bold"/>
      <w:b/>
      <w:bCs/>
      <w:caps/>
      <w:sz w:val="24"/>
      <w:szCs w:val="24"/>
    </w:rPr>
  </w:style>
  <w:style w:type="paragraph" w:customStyle="1" w:styleId="testimony">
    <w:name w:val="testimony"/>
    <w:basedOn w:val="Normal"/>
    <w:rsid w:val="00871F22"/>
    <w:pPr>
      <w:tabs>
        <w:tab w:val="left" w:pos="720"/>
        <w:tab w:val="left" w:pos="2160"/>
      </w:tabs>
      <w:spacing w:line="440" w:lineRule="atLeast"/>
      <w:ind w:hanging="360"/>
    </w:pPr>
    <w:rPr>
      <w:rFonts w:ascii="Times" w:hAnsi="Times"/>
      <w:szCs w:val="20"/>
    </w:rPr>
  </w:style>
  <w:style w:type="character" w:customStyle="1" w:styleId="AnswersChar">
    <w:name w:val="Answers Char"/>
    <w:link w:val="Answers"/>
    <w:rsid w:val="004717AD"/>
    <w:rPr>
      <w:sz w:val="24"/>
      <w:szCs w:val="24"/>
    </w:rPr>
  </w:style>
  <w:style w:type="paragraph" w:styleId="BodyText">
    <w:name w:val="Body Text"/>
    <w:basedOn w:val="Normal"/>
    <w:link w:val="BodyTextChar"/>
    <w:uiPriority w:val="99"/>
    <w:semiHidden/>
    <w:unhideWhenUsed/>
    <w:rsid w:val="00871F22"/>
    <w:pPr>
      <w:spacing w:after="120"/>
    </w:pPr>
  </w:style>
  <w:style w:type="character" w:customStyle="1" w:styleId="BodyTextChar">
    <w:name w:val="Body Text Char"/>
    <w:link w:val="BodyText"/>
    <w:uiPriority w:val="99"/>
    <w:semiHidden/>
    <w:rsid w:val="00871F22"/>
    <w:rPr>
      <w:sz w:val="24"/>
      <w:szCs w:val="24"/>
    </w:rPr>
  </w:style>
  <w:style w:type="paragraph" w:styleId="TOCHeading">
    <w:name w:val="TOC Heading"/>
    <w:basedOn w:val="Heading1"/>
    <w:next w:val="Normal"/>
    <w:uiPriority w:val="39"/>
    <w:unhideWhenUsed/>
    <w:qFormat/>
    <w:rsid w:val="00081604"/>
    <w:pPr>
      <w:keepLines/>
      <w:spacing w:before="240" w:line="259" w:lineRule="auto"/>
      <w:ind w:left="0" w:firstLine="0"/>
      <w:outlineLvl w:val="9"/>
    </w:pPr>
    <w:rPr>
      <w:rFonts w:eastAsiaTheme="majorEastAsia" w:cstheme="majorBidi"/>
      <w:b w:val="0"/>
      <w:bCs w:val="0"/>
      <w:caps w:val="0"/>
      <w:color w:val="000000" w:themeColor="text1"/>
      <w:sz w:val="32"/>
      <w:szCs w:val="32"/>
      <w:lang w:val="en-US" w:eastAsia="en-US"/>
    </w:rPr>
  </w:style>
  <w:style w:type="paragraph" w:styleId="TOC1">
    <w:name w:val="toc 1"/>
    <w:basedOn w:val="Normal"/>
    <w:next w:val="Normal"/>
    <w:autoRedefine/>
    <w:uiPriority w:val="39"/>
    <w:unhideWhenUsed/>
    <w:rsid w:val="0044754B"/>
    <w:pPr>
      <w:spacing w:after="100"/>
    </w:pPr>
  </w:style>
  <w:style w:type="character" w:styleId="Hyperlink">
    <w:name w:val="Hyperlink"/>
    <w:basedOn w:val="DefaultParagraphFont"/>
    <w:uiPriority w:val="99"/>
    <w:unhideWhenUsed/>
    <w:rsid w:val="0044754B"/>
    <w:rPr>
      <w:color w:val="0563C1" w:themeColor="hyperlink"/>
      <w:u w:val="single"/>
    </w:rPr>
  </w:style>
  <w:style w:type="character" w:customStyle="1" w:styleId="Heading2Char">
    <w:name w:val="Heading 2 Char"/>
    <w:basedOn w:val="DefaultParagraphFont"/>
    <w:link w:val="Heading2"/>
    <w:uiPriority w:val="9"/>
    <w:rsid w:val="00A70E29"/>
    <w:rPr>
      <w:rFonts w:eastAsiaTheme="majorEastAsia" w:cstheme="majorBidi"/>
      <w:b/>
      <w:color w:val="000000" w:themeColor="text1"/>
      <w:sz w:val="24"/>
      <w:szCs w:val="26"/>
    </w:rPr>
  </w:style>
  <w:style w:type="paragraph" w:styleId="TOC2">
    <w:name w:val="toc 2"/>
    <w:basedOn w:val="Normal"/>
    <w:next w:val="Normal"/>
    <w:autoRedefine/>
    <w:uiPriority w:val="39"/>
    <w:unhideWhenUsed/>
    <w:rsid w:val="00A70E29"/>
    <w:pPr>
      <w:spacing w:after="100"/>
      <w:ind w:left="240"/>
    </w:pPr>
  </w:style>
  <w:style w:type="character" w:customStyle="1" w:styleId="Heading3Char">
    <w:name w:val="Heading 3 Char"/>
    <w:basedOn w:val="DefaultParagraphFont"/>
    <w:link w:val="Heading3"/>
    <w:uiPriority w:val="9"/>
    <w:rsid w:val="00A70E29"/>
    <w:rPr>
      <w:rFonts w:eastAsiaTheme="majorEastAsia" w:cstheme="majorBidi"/>
      <w:b/>
      <w:color w:val="000000" w:themeColor="text1"/>
      <w:sz w:val="24"/>
      <w:szCs w:val="24"/>
    </w:rPr>
  </w:style>
  <w:style w:type="paragraph" w:styleId="TOC3">
    <w:name w:val="toc 3"/>
    <w:basedOn w:val="Normal"/>
    <w:next w:val="Normal"/>
    <w:autoRedefine/>
    <w:uiPriority w:val="39"/>
    <w:unhideWhenUsed/>
    <w:rsid w:val="00A70E2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4222891">
      <w:bodyDiv w:val="1"/>
      <w:marLeft w:val="0"/>
      <w:marRight w:val="0"/>
      <w:marTop w:val="0"/>
      <w:marBottom w:val="0"/>
      <w:divBdr>
        <w:top w:val="none" w:sz="0" w:space="0" w:color="auto"/>
        <w:left w:val="none" w:sz="0" w:space="0" w:color="auto"/>
        <w:bottom w:val="none" w:sz="0" w:space="0" w:color="auto"/>
        <w:right w:val="none" w:sz="0" w:space="0" w:color="auto"/>
      </w:divBdr>
    </w:div>
    <w:div w:id="929698626">
      <w:bodyDiv w:val="1"/>
      <w:marLeft w:val="0"/>
      <w:marRight w:val="0"/>
      <w:marTop w:val="0"/>
      <w:marBottom w:val="0"/>
      <w:divBdr>
        <w:top w:val="none" w:sz="0" w:space="0" w:color="auto"/>
        <w:left w:val="none" w:sz="0" w:space="0" w:color="auto"/>
        <w:bottom w:val="none" w:sz="0" w:space="0" w:color="auto"/>
        <w:right w:val="none" w:sz="0" w:space="0" w:color="auto"/>
      </w:divBdr>
    </w:div>
    <w:div w:id="1039207353">
      <w:bodyDiv w:val="1"/>
      <w:marLeft w:val="0"/>
      <w:marRight w:val="0"/>
      <w:marTop w:val="0"/>
      <w:marBottom w:val="0"/>
      <w:divBdr>
        <w:top w:val="none" w:sz="0" w:space="0" w:color="auto"/>
        <w:left w:val="none" w:sz="0" w:space="0" w:color="auto"/>
        <w:bottom w:val="none" w:sz="0" w:space="0" w:color="auto"/>
        <w:right w:val="none" w:sz="0" w:space="0" w:color="auto"/>
      </w:divBdr>
    </w:div>
    <w:div w:id="20005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4BF15E803F544A6A30F63CE3A7B87" ma:contentTypeVersion="10" ma:contentTypeDescription="Create a new document." ma:contentTypeScope="" ma:versionID="36988907e743fa0792930d72fcf221ee">
  <xsd:schema xmlns:xsd="http://www.w3.org/2001/XMLSchema" xmlns:xs="http://www.w3.org/2001/XMLSchema" xmlns:p="http://schemas.microsoft.com/office/2006/metadata/properties" xmlns:ns2="6c82624b-015b-4741-a0e7-93241e8a1b4b" targetNamespace="http://schemas.microsoft.com/office/2006/metadata/properties" ma:root="true" ma:fieldsID="c5064d3fe87b2adb5ab2a00befa0aabe" ns2:_="">
    <xsd:import namespace="6c82624b-015b-4741-a0e7-93241e8a1b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624b-015b-4741-a0e7-93241e8a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BEA2-4D7C-4E07-91AD-8B35263F6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2624b-015b-4741-a0e7-93241e8a1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9B7AF-0EFB-487E-8F45-331C154B75BB}">
  <ds:schemaRefs>
    <ds:schemaRef ds:uri="http://schemas.microsoft.com/sharepoint/v3/contenttype/forms"/>
  </ds:schemaRefs>
</ds:datastoreItem>
</file>

<file path=customXml/itemProps3.xml><?xml version="1.0" encoding="utf-8"?>
<ds:datastoreItem xmlns:ds="http://schemas.openxmlformats.org/officeDocument/2006/customXml" ds:itemID="{43763F07-87EE-4EB6-BFB3-476D2E9344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6E1EA3-6EDC-4247-AD81-EE2F73CF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106</Pages>
  <Words>20485</Words>
  <Characters>116771</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BEFORE THE</vt:lpstr>
    </vt:vector>
  </TitlesOfParts>
  <Company>Microsoft</Company>
  <LinksUpToDate>false</LinksUpToDate>
  <CharactersWithSpaces>136983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Jamie Barber</dc:creator>
  <cp:keywords/>
  <cp:lastModifiedBy>John Kaduk</cp:lastModifiedBy>
  <cp:revision>3</cp:revision>
  <cp:lastPrinted>2022-10-13T18:37:00Z</cp:lastPrinted>
  <dcterms:created xsi:type="dcterms:W3CDTF">2022-10-20T12:36:00Z</dcterms:created>
  <dcterms:modified xsi:type="dcterms:W3CDTF">2022-10-20T12:39:00Z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0x010100F4D4BF15E803F544A6A30F63CE3A7B87</vt:lpwstr>
  </property>
</Properties>
</file>