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F5069" w14:textId="4DFBBF5F" w:rsidR="00435A78" w:rsidRPr="00435A78" w:rsidRDefault="00435A78" w:rsidP="00177B58">
      <w:pPr>
        <w:spacing w:line="240" w:lineRule="auto"/>
        <w:contextualSpacing/>
        <w:jc w:val="center"/>
        <w:rPr>
          <w:rFonts w:ascii="Times New Roman" w:eastAsia="Times New Roman" w:hAnsi="Times New Roman" w:cs="Times New Roman"/>
          <w:b/>
          <w:sz w:val="24"/>
          <w:szCs w:val="24"/>
        </w:rPr>
      </w:pPr>
      <w:r w:rsidRPr="00435A78">
        <w:rPr>
          <w:rFonts w:ascii="Times New Roman" w:eastAsia="Times New Roman" w:hAnsi="Times New Roman" w:cs="Times New Roman"/>
          <w:b/>
          <w:sz w:val="24"/>
          <w:szCs w:val="24"/>
        </w:rPr>
        <w:t>BEFORE THE GEORGIA PUBLIC SERVICE COMMISSION</w:t>
      </w:r>
    </w:p>
    <w:p w14:paraId="0F6CC90E" w14:textId="77777777" w:rsidR="00435A78" w:rsidRPr="00435A78" w:rsidRDefault="00435A78" w:rsidP="00435A78">
      <w:pPr>
        <w:spacing w:after="0" w:line="240" w:lineRule="auto"/>
        <w:jc w:val="center"/>
        <w:rPr>
          <w:rFonts w:ascii="Times New Roman" w:eastAsia="Times New Roman" w:hAnsi="Times New Roman" w:cs="Times New Roman"/>
          <w:b/>
          <w:sz w:val="24"/>
          <w:szCs w:val="24"/>
        </w:rPr>
      </w:pPr>
    </w:p>
    <w:p w14:paraId="5B69C9C5" w14:textId="77777777" w:rsidR="00435A78" w:rsidRPr="00435A78" w:rsidRDefault="00435A78" w:rsidP="00435A78">
      <w:pPr>
        <w:spacing w:after="0" w:line="240" w:lineRule="auto"/>
        <w:jc w:val="center"/>
        <w:rPr>
          <w:rFonts w:ascii="Times New Roman" w:eastAsia="Times New Roman" w:hAnsi="Times New Roman" w:cs="Times New Roman"/>
          <w:sz w:val="24"/>
          <w:szCs w:val="24"/>
        </w:rPr>
      </w:pPr>
    </w:p>
    <w:tbl>
      <w:tblPr>
        <w:tblW w:w="9018" w:type="dxa"/>
        <w:tblCellMar>
          <w:left w:w="0" w:type="dxa"/>
          <w:right w:w="0" w:type="dxa"/>
        </w:tblCellMar>
        <w:tblLook w:val="0000" w:firstRow="0" w:lastRow="0" w:firstColumn="0" w:lastColumn="0" w:noHBand="0" w:noVBand="0"/>
      </w:tblPr>
      <w:tblGrid>
        <w:gridCol w:w="6408"/>
        <w:gridCol w:w="360"/>
        <w:gridCol w:w="2250"/>
      </w:tblGrid>
      <w:tr w:rsidR="00435A78" w:rsidRPr="00435A78" w14:paraId="57BCEDEA" w14:textId="77777777" w:rsidTr="00F82934">
        <w:tc>
          <w:tcPr>
            <w:tcW w:w="6408" w:type="dxa"/>
            <w:tcMar>
              <w:top w:w="0" w:type="dxa"/>
              <w:left w:w="108" w:type="dxa"/>
              <w:bottom w:w="0" w:type="dxa"/>
              <w:right w:w="108" w:type="dxa"/>
            </w:tcMar>
          </w:tcPr>
          <w:p w14:paraId="046E6070" w14:textId="77777777" w:rsidR="00435A78" w:rsidRPr="00435A78" w:rsidRDefault="00435A78" w:rsidP="00435A78">
            <w:pPr>
              <w:spacing w:line="259" w:lineRule="auto"/>
              <w:rPr>
                <w:rFonts w:ascii="Times New Roman" w:eastAsiaTheme="minorHAnsi" w:hAnsi="Times New Roman" w:cs="Times New Roman"/>
                <w:b/>
                <w:sz w:val="24"/>
                <w:szCs w:val="24"/>
              </w:rPr>
            </w:pPr>
            <w:r w:rsidRPr="00435A78">
              <w:rPr>
                <w:rFonts w:ascii="Times New Roman" w:eastAsiaTheme="minorHAnsi" w:hAnsi="Times New Roman" w:cs="Times New Roman"/>
                <w:b/>
                <w:i/>
                <w:iCs/>
                <w:sz w:val="24"/>
                <w:szCs w:val="24"/>
              </w:rPr>
              <w:t>In Re</w:t>
            </w:r>
            <w:r w:rsidRPr="00435A78">
              <w:rPr>
                <w:rFonts w:ascii="Times New Roman" w:eastAsiaTheme="minorHAnsi" w:hAnsi="Times New Roman" w:cs="Times New Roman"/>
                <w:b/>
                <w:sz w:val="24"/>
                <w:szCs w:val="24"/>
              </w:rPr>
              <w:t xml:space="preserve">:  </w:t>
            </w:r>
          </w:p>
          <w:p w14:paraId="1976624F" w14:textId="77777777" w:rsidR="00435A78" w:rsidRPr="00435A78" w:rsidRDefault="00435A78" w:rsidP="00435A78">
            <w:pPr>
              <w:spacing w:line="259" w:lineRule="auto"/>
              <w:rPr>
                <w:rFonts w:ascii="Times New Roman" w:eastAsiaTheme="minorHAnsi" w:hAnsi="Times New Roman" w:cs="Times New Roman"/>
                <w:b/>
                <w:i/>
                <w:iCs/>
                <w:sz w:val="24"/>
                <w:szCs w:val="24"/>
              </w:rPr>
            </w:pPr>
            <w:r w:rsidRPr="00435A78">
              <w:rPr>
                <w:rFonts w:ascii="Times New Roman" w:eastAsiaTheme="minorHAnsi" w:hAnsi="Times New Roman" w:cs="Times New Roman"/>
                <w:b/>
                <w:sz w:val="24"/>
                <w:szCs w:val="24"/>
              </w:rPr>
              <w:t xml:space="preserve">2019 ATLANTA GAS LIGHT RATE CASE/AFFILIATE TRANSACTION AUDIT </w:t>
            </w:r>
          </w:p>
        </w:tc>
        <w:tc>
          <w:tcPr>
            <w:tcW w:w="360" w:type="dxa"/>
            <w:tcMar>
              <w:top w:w="0" w:type="dxa"/>
              <w:left w:w="108" w:type="dxa"/>
              <w:bottom w:w="0" w:type="dxa"/>
              <w:right w:w="108" w:type="dxa"/>
            </w:tcMar>
          </w:tcPr>
          <w:p w14:paraId="6DA63E53" w14:textId="77777777" w:rsidR="00435A78" w:rsidRPr="00435A78" w:rsidRDefault="00435A78" w:rsidP="00435A78">
            <w:pPr>
              <w:spacing w:line="259" w:lineRule="auto"/>
              <w:rPr>
                <w:rFonts w:ascii="Times New Roman" w:eastAsiaTheme="minorHAnsi" w:hAnsi="Times New Roman" w:cs="Times New Roman"/>
                <w:b/>
                <w:sz w:val="24"/>
                <w:szCs w:val="24"/>
              </w:rPr>
            </w:pPr>
            <w:r w:rsidRPr="00435A78">
              <w:rPr>
                <w:rFonts w:ascii="Times New Roman" w:eastAsiaTheme="minorHAnsi" w:hAnsi="Times New Roman" w:cs="Times New Roman"/>
                <w:b/>
                <w:sz w:val="24"/>
                <w:szCs w:val="24"/>
              </w:rPr>
              <w:t>)</w:t>
            </w:r>
          </w:p>
          <w:p w14:paraId="1DB1D6E3" w14:textId="77777777" w:rsidR="00435A78" w:rsidRPr="00435A78" w:rsidRDefault="00435A78" w:rsidP="00435A78">
            <w:pPr>
              <w:spacing w:line="259" w:lineRule="auto"/>
              <w:rPr>
                <w:rFonts w:ascii="Times New Roman" w:eastAsiaTheme="minorHAnsi" w:hAnsi="Times New Roman" w:cs="Times New Roman"/>
                <w:b/>
                <w:sz w:val="24"/>
                <w:szCs w:val="24"/>
              </w:rPr>
            </w:pPr>
            <w:r w:rsidRPr="00435A78">
              <w:rPr>
                <w:rFonts w:ascii="Times New Roman" w:eastAsiaTheme="minorHAnsi" w:hAnsi="Times New Roman" w:cs="Times New Roman"/>
                <w:b/>
                <w:sz w:val="24"/>
                <w:szCs w:val="24"/>
              </w:rPr>
              <w:t>)</w:t>
            </w:r>
          </w:p>
          <w:p w14:paraId="4A8D891F" w14:textId="77777777" w:rsidR="00435A78" w:rsidRPr="00435A78" w:rsidRDefault="00435A78" w:rsidP="00435A78">
            <w:pPr>
              <w:spacing w:line="259" w:lineRule="auto"/>
              <w:rPr>
                <w:rFonts w:ascii="Times New Roman" w:eastAsiaTheme="minorHAnsi" w:hAnsi="Times New Roman" w:cs="Times New Roman"/>
                <w:b/>
                <w:sz w:val="24"/>
                <w:szCs w:val="24"/>
              </w:rPr>
            </w:pPr>
            <w:r w:rsidRPr="00435A78">
              <w:rPr>
                <w:rFonts w:ascii="Times New Roman" w:eastAsiaTheme="minorHAnsi" w:hAnsi="Times New Roman" w:cs="Times New Roman"/>
                <w:b/>
                <w:sz w:val="24"/>
                <w:szCs w:val="24"/>
              </w:rPr>
              <w:t>)</w:t>
            </w:r>
          </w:p>
          <w:p w14:paraId="32D24F1E" w14:textId="77777777" w:rsidR="00435A78" w:rsidRPr="00435A78" w:rsidRDefault="00435A78" w:rsidP="00435A78">
            <w:pPr>
              <w:spacing w:line="259" w:lineRule="auto"/>
              <w:rPr>
                <w:rFonts w:ascii="Times New Roman" w:eastAsiaTheme="minorHAnsi" w:hAnsi="Times New Roman" w:cs="Times New Roman"/>
                <w:b/>
                <w:sz w:val="24"/>
                <w:szCs w:val="24"/>
              </w:rPr>
            </w:pPr>
            <w:r w:rsidRPr="00435A78">
              <w:rPr>
                <w:rFonts w:ascii="Times New Roman" w:eastAsiaTheme="minorHAnsi" w:hAnsi="Times New Roman" w:cs="Times New Roman"/>
                <w:b/>
                <w:sz w:val="24"/>
                <w:szCs w:val="24"/>
              </w:rPr>
              <w:t>)</w:t>
            </w:r>
            <w:r w:rsidRPr="00435A78">
              <w:rPr>
                <w:rFonts w:ascii="Times New Roman" w:eastAsiaTheme="minorHAnsi" w:hAnsi="Times New Roman" w:cs="Times New Roman"/>
                <w:b/>
                <w:sz w:val="24"/>
                <w:szCs w:val="24"/>
              </w:rPr>
              <w:br/>
            </w:r>
          </w:p>
        </w:tc>
        <w:tc>
          <w:tcPr>
            <w:tcW w:w="2250" w:type="dxa"/>
            <w:tcMar>
              <w:top w:w="0" w:type="dxa"/>
              <w:left w:w="108" w:type="dxa"/>
              <w:bottom w:w="0" w:type="dxa"/>
              <w:right w:w="108" w:type="dxa"/>
            </w:tcMar>
          </w:tcPr>
          <w:p w14:paraId="4931F81B" w14:textId="77777777" w:rsidR="00435A78" w:rsidRPr="00435A78" w:rsidRDefault="00435A78" w:rsidP="00435A78">
            <w:pPr>
              <w:spacing w:line="259" w:lineRule="auto"/>
              <w:rPr>
                <w:rFonts w:ascii="Times New Roman" w:eastAsiaTheme="minorHAnsi" w:hAnsi="Times New Roman" w:cs="Times New Roman"/>
                <w:b/>
                <w:sz w:val="24"/>
                <w:szCs w:val="24"/>
              </w:rPr>
            </w:pPr>
          </w:p>
          <w:p w14:paraId="1D080538" w14:textId="77777777" w:rsidR="00435A78" w:rsidRPr="00435A78" w:rsidRDefault="00435A78" w:rsidP="00435A78">
            <w:pPr>
              <w:spacing w:line="259" w:lineRule="auto"/>
              <w:rPr>
                <w:rFonts w:ascii="Times New Roman" w:eastAsiaTheme="minorHAnsi" w:hAnsi="Times New Roman" w:cs="Times New Roman"/>
                <w:b/>
                <w:sz w:val="24"/>
                <w:szCs w:val="24"/>
              </w:rPr>
            </w:pPr>
            <w:r w:rsidRPr="00435A78">
              <w:rPr>
                <w:rFonts w:ascii="Times New Roman" w:eastAsiaTheme="minorHAnsi" w:hAnsi="Times New Roman" w:cs="Times New Roman"/>
                <w:b/>
                <w:sz w:val="24"/>
                <w:szCs w:val="24"/>
              </w:rPr>
              <w:t>DOCKET 42315</w:t>
            </w:r>
          </w:p>
        </w:tc>
      </w:tr>
    </w:tbl>
    <w:p w14:paraId="0600092C" w14:textId="77777777" w:rsidR="00435A78" w:rsidRPr="00435A78" w:rsidRDefault="00435A78" w:rsidP="00435A78">
      <w:pPr>
        <w:keepNext/>
        <w:tabs>
          <w:tab w:val="left" w:pos="810"/>
        </w:tabs>
        <w:spacing w:after="0" w:line="240" w:lineRule="auto"/>
        <w:outlineLvl w:val="0"/>
        <w:rPr>
          <w:rFonts w:ascii="Times New Roman" w:eastAsia="Times New Roman" w:hAnsi="Times New Roman" w:cs="Times New Roman"/>
          <w:b/>
          <w:sz w:val="24"/>
          <w:szCs w:val="24"/>
        </w:rPr>
      </w:pPr>
    </w:p>
    <w:p w14:paraId="4A6C8452" w14:textId="205EBEE7" w:rsidR="00435A78" w:rsidRPr="00435A78" w:rsidRDefault="00435A78" w:rsidP="00435A78">
      <w:pPr>
        <w:keepNext/>
        <w:spacing w:after="0" w:line="240" w:lineRule="auto"/>
        <w:jc w:val="center"/>
        <w:outlineLvl w:val="1"/>
        <w:rPr>
          <w:rFonts w:ascii="Times New Roman" w:eastAsia="Times New Roman" w:hAnsi="Times New Roman" w:cs="Times New Roman"/>
          <w:b/>
          <w:sz w:val="24"/>
          <w:szCs w:val="24"/>
        </w:rPr>
      </w:pPr>
      <w:r w:rsidRPr="00435A78">
        <w:rPr>
          <w:rFonts w:ascii="Times New Roman" w:eastAsia="Times New Roman" w:hAnsi="Times New Roman" w:cs="Times New Roman"/>
          <w:b/>
          <w:sz w:val="24"/>
          <w:szCs w:val="24"/>
        </w:rPr>
        <w:t>STAFF’S THIRTY-</w:t>
      </w:r>
      <w:r w:rsidR="007B15FF">
        <w:rPr>
          <w:rFonts w:ascii="Times New Roman" w:eastAsia="Times New Roman" w:hAnsi="Times New Roman" w:cs="Times New Roman"/>
          <w:b/>
          <w:sz w:val="24"/>
          <w:szCs w:val="24"/>
        </w:rPr>
        <w:t>SIXTH</w:t>
      </w:r>
      <w:r w:rsidRPr="00435A78">
        <w:rPr>
          <w:rFonts w:ascii="Times New Roman" w:eastAsia="Times New Roman" w:hAnsi="Times New Roman" w:cs="Times New Roman"/>
          <w:b/>
          <w:sz w:val="24"/>
          <w:szCs w:val="24"/>
        </w:rPr>
        <w:t xml:space="preserve"> SET OF DATA REQUESTS TO THE </w:t>
      </w:r>
    </w:p>
    <w:p w14:paraId="401D257D" w14:textId="77777777" w:rsidR="00435A78" w:rsidRPr="00435A78" w:rsidRDefault="00435A78" w:rsidP="00435A78">
      <w:pPr>
        <w:spacing w:line="259" w:lineRule="auto"/>
        <w:jc w:val="center"/>
        <w:rPr>
          <w:rFonts w:ascii="Times New Roman" w:eastAsiaTheme="minorHAnsi" w:hAnsi="Times New Roman" w:cs="Times New Roman"/>
          <w:b/>
          <w:sz w:val="24"/>
          <w:szCs w:val="24"/>
        </w:rPr>
      </w:pPr>
      <w:r w:rsidRPr="00435A78">
        <w:rPr>
          <w:rFonts w:ascii="Times New Roman" w:eastAsiaTheme="minorHAnsi" w:hAnsi="Times New Roman" w:cs="Times New Roman"/>
          <w:b/>
          <w:sz w:val="24"/>
          <w:szCs w:val="24"/>
        </w:rPr>
        <w:t>ATLANTA GAS LIGHT COMPANY</w:t>
      </w:r>
    </w:p>
    <w:p w14:paraId="3934153C" w14:textId="0CA14F88" w:rsidR="00435A78" w:rsidRPr="00435A78" w:rsidRDefault="00435A78" w:rsidP="00435A78">
      <w:pPr>
        <w:spacing w:line="259" w:lineRule="auto"/>
        <w:jc w:val="center"/>
        <w:rPr>
          <w:rFonts w:ascii="Times New Roman" w:eastAsiaTheme="minorHAnsi" w:hAnsi="Times New Roman" w:cs="Times New Roman"/>
          <w:b/>
          <w:sz w:val="24"/>
          <w:szCs w:val="24"/>
        </w:rPr>
      </w:pPr>
      <w:r w:rsidRPr="00435A78">
        <w:rPr>
          <w:rFonts w:ascii="Times New Roman" w:eastAsiaTheme="minorHAnsi" w:hAnsi="Times New Roman" w:cs="Times New Roman"/>
          <w:b/>
          <w:sz w:val="24"/>
          <w:szCs w:val="24"/>
        </w:rPr>
        <w:t xml:space="preserve">(2023 GRAM </w:t>
      </w:r>
      <w:r w:rsidR="007B15FF">
        <w:rPr>
          <w:rFonts w:ascii="Times New Roman" w:eastAsiaTheme="minorHAnsi" w:hAnsi="Times New Roman" w:cs="Times New Roman"/>
          <w:b/>
          <w:sz w:val="24"/>
          <w:szCs w:val="24"/>
        </w:rPr>
        <w:t>Schedules 3, 8, 9, 10 &amp; 11</w:t>
      </w:r>
      <w:r w:rsidRPr="00435A78">
        <w:rPr>
          <w:rFonts w:ascii="Times New Roman" w:eastAsiaTheme="minorHAnsi" w:hAnsi="Times New Roman" w:cs="Times New Roman"/>
          <w:b/>
          <w:sz w:val="24"/>
          <w:szCs w:val="24"/>
        </w:rPr>
        <w:t>)</w:t>
      </w:r>
    </w:p>
    <w:p w14:paraId="1E1F7D0F" w14:textId="77777777" w:rsidR="00435A78" w:rsidRPr="00435A78" w:rsidRDefault="00435A78" w:rsidP="00435A78">
      <w:pPr>
        <w:spacing w:after="0" w:line="240" w:lineRule="auto"/>
        <w:rPr>
          <w:rFonts w:ascii="Times New Roman" w:eastAsiaTheme="minorHAnsi" w:hAnsi="Times New Roman" w:cs="Times New Roman"/>
          <w:sz w:val="24"/>
          <w:szCs w:val="24"/>
        </w:rPr>
      </w:pPr>
    </w:p>
    <w:p w14:paraId="390D6F42" w14:textId="77777777" w:rsidR="00435A78" w:rsidRPr="00435A78" w:rsidRDefault="00435A78" w:rsidP="00435A78">
      <w:pPr>
        <w:spacing w:after="0" w:line="240" w:lineRule="auto"/>
        <w:rPr>
          <w:rFonts w:ascii="Times New Roman" w:eastAsiaTheme="minorHAnsi" w:hAnsi="Times New Roman" w:cs="Times New Roman"/>
          <w:sz w:val="24"/>
          <w:szCs w:val="24"/>
        </w:rPr>
      </w:pPr>
      <w:r w:rsidRPr="00435A78">
        <w:rPr>
          <w:rFonts w:ascii="Times New Roman" w:eastAsiaTheme="minorHAnsi" w:hAnsi="Times New Roman" w:cs="Times New Roman"/>
          <w:sz w:val="24"/>
          <w:szCs w:val="24"/>
        </w:rPr>
        <w:t>TO:</w:t>
      </w:r>
      <w:r w:rsidRPr="00435A78">
        <w:rPr>
          <w:rFonts w:ascii="Times New Roman" w:eastAsiaTheme="minorHAnsi" w:hAnsi="Times New Roman" w:cs="Times New Roman"/>
          <w:sz w:val="24"/>
          <w:szCs w:val="24"/>
        </w:rPr>
        <w:tab/>
        <w:t>BLAKE O’FARROW</w:t>
      </w:r>
    </w:p>
    <w:p w14:paraId="53720367" w14:textId="77777777" w:rsidR="00435A78" w:rsidRPr="00435A78" w:rsidRDefault="00435A78" w:rsidP="00435A78">
      <w:pPr>
        <w:spacing w:after="0" w:line="240" w:lineRule="auto"/>
        <w:rPr>
          <w:rFonts w:ascii="Times New Roman" w:eastAsiaTheme="minorHAnsi" w:hAnsi="Times New Roman" w:cs="Times New Roman"/>
          <w:sz w:val="24"/>
          <w:szCs w:val="24"/>
        </w:rPr>
      </w:pPr>
      <w:r w:rsidRPr="00435A78">
        <w:rPr>
          <w:rFonts w:ascii="Times New Roman" w:eastAsiaTheme="minorHAnsi" w:hAnsi="Times New Roman" w:cs="Times New Roman"/>
          <w:sz w:val="24"/>
          <w:szCs w:val="24"/>
        </w:rPr>
        <w:tab/>
        <w:t>DIRECTOR – REGULATORY AFFAIRS</w:t>
      </w:r>
    </w:p>
    <w:p w14:paraId="57F96ABF" w14:textId="77777777" w:rsidR="00435A78" w:rsidRPr="00435A78" w:rsidRDefault="00435A78" w:rsidP="00435A78">
      <w:pPr>
        <w:spacing w:after="0" w:line="240" w:lineRule="auto"/>
        <w:rPr>
          <w:rFonts w:ascii="Times New Roman" w:eastAsiaTheme="minorHAnsi" w:hAnsi="Times New Roman" w:cs="Times New Roman"/>
          <w:sz w:val="24"/>
          <w:szCs w:val="24"/>
        </w:rPr>
      </w:pPr>
      <w:r w:rsidRPr="00435A78">
        <w:rPr>
          <w:rFonts w:ascii="Times New Roman" w:eastAsiaTheme="minorHAnsi" w:hAnsi="Times New Roman" w:cs="Times New Roman"/>
          <w:sz w:val="24"/>
          <w:szCs w:val="24"/>
        </w:rPr>
        <w:tab/>
        <w:t xml:space="preserve">ATLANTA GAS LIGHT COMPANY </w:t>
      </w:r>
    </w:p>
    <w:p w14:paraId="1681038C" w14:textId="77777777" w:rsidR="00435A78" w:rsidRPr="00435A78" w:rsidRDefault="00435A78" w:rsidP="00435A78">
      <w:pPr>
        <w:spacing w:after="0" w:line="240" w:lineRule="auto"/>
        <w:rPr>
          <w:rFonts w:ascii="Times New Roman" w:eastAsiaTheme="minorHAnsi" w:hAnsi="Times New Roman" w:cs="Times New Roman"/>
          <w:sz w:val="24"/>
          <w:szCs w:val="24"/>
        </w:rPr>
      </w:pPr>
      <w:r w:rsidRPr="00435A78">
        <w:rPr>
          <w:rFonts w:ascii="Times New Roman" w:eastAsiaTheme="minorHAnsi" w:hAnsi="Times New Roman" w:cs="Times New Roman"/>
          <w:sz w:val="24"/>
          <w:szCs w:val="24"/>
        </w:rPr>
        <w:tab/>
        <w:t xml:space="preserve">TEN PEACHTREE PLACE </w:t>
      </w:r>
    </w:p>
    <w:p w14:paraId="6E71C362" w14:textId="77777777" w:rsidR="00435A78" w:rsidRPr="00435A78" w:rsidRDefault="00435A78" w:rsidP="00435A78">
      <w:pPr>
        <w:spacing w:after="0" w:line="240" w:lineRule="auto"/>
        <w:rPr>
          <w:rFonts w:ascii="Times New Roman" w:eastAsiaTheme="minorHAnsi" w:hAnsi="Times New Roman" w:cs="Times New Roman"/>
          <w:sz w:val="24"/>
          <w:szCs w:val="24"/>
        </w:rPr>
      </w:pPr>
      <w:r w:rsidRPr="00435A78">
        <w:rPr>
          <w:rFonts w:ascii="Times New Roman" w:eastAsiaTheme="minorHAnsi" w:hAnsi="Times New Roman" w:cs="Times New Roman"/>
          <w:sz w:val="24"/>
          <w:szCs w:val="24"/>
        </w:rPr>
        <w:tab/>
        <w:t>ATLANTA, GA  30309</w:t>
      </w:r>
    </w:p>
    <w:p w14:paraId="1D618947" w14:textId="77777777" w:rsidR="00435A78" w:rsidRPr="00435A78" w:rsidRDefault="00435A78" w:rsidP="00435A78">
      <w:pPr>
        <w:tabs>
          <w:tab w:val="left" w:pos="360"/>
        </w:tabs>
        <w:spacing w:line="259" w:lineRule="auto"/>
        <w:ind w:firstLine="720"/>
        <w:rPr>
          <w:rFonts w:ascii="Times New Roman" w:eastAsiaTheme="minorHAnsi" w:hAnsi="Times New Roman" w:cs="Times New Roman"/>
          <w:sz w:val="24"/>
          <w:szCs w:val="24"/>
        </w:rPr>
      </w:pPr>
    </w:p>
    <w:p w14:paraId="41DC3A3E" w14:textId="77777777" w:rsidR="00435A78" w:rsidRPr="00435A78" w:rsidRDefault="00435A78" w:rsidP="00177B58">
      <w:pPr>
        <w:spacing w:line="259" w:lineRule="auto"/>
        <w:jc w:val="both"/>
        <w:rPr>
          <w:rFonts w:ascii="Times New Roman" w:eastAsia="Cambria" w:hAnsi="Times New Roman" w:cs="Times New Roman"/>
          <w:sz w:val="24"/>
          <w:szCs w:val="24"/>
        </w:rPr>
      </w:pPr>
      <w:r w:rsidRPr="00435A78">
        <w:rPr>
          <w:rFonts w:ascii="Times New Roman" w:eastAsiaTheme="minorHAnsi" w:hAnsi="Times New Roman" w:cs="Times New Roman"/>
          <w:sz w:val="24"/>
          <w:szCs w:val="24"/>
        </w:rPr>
        <w:tab/>
        <w:t xml:space="preserve">COMES NOW the Georgia Public Service Commission Staff (“Staff”) and, pursuant to the authority vested in it by the Georgia Public Service Commission (“Commission”) pursuant to O.C.G.A. § 46-2-57, herein propounds the following interrogatories and requests for production of documents (collectively, “data requests”), </w:t>
      </w:r>
      <w:r w:rsidRPr="00435A78">
        <w:rPr>
          <w:rFonts w:ascii="Times New Roman" w:eastAsiaTheme="minorHAnsi" w:hAnsi="Times New Roman" w:cs="Times New Roman"/>
          <w:sz w:val="24"/>
          <w:szCs w:val="24"/>
          <w:u w:val="single"/>
        </w:rPr>
        <w:t>to be answered under oath</w:t>
      </w:r>
      <w:r w:rsidRPr="00435A78">
        <w:rPr>
          <w:rFonts w:ascii="Times New Roman" w:eastAsiaTheme="minorHAnsi" w:hAnsi="Times New Roman" w:cs="Times New Roman"/>
          <w:sz w:val="24"/>
          <w:szCs w:val="24"/>
        </w:rPr>
        <w:t xml:space="preserve"> by Atlanta Gas Light Company, (“AGLC” or “Company”) or its designated representatives.  </w:t>
      </w:r>
      <w:r w:rsidRPr="00435A78">
        <w:rPr>
          <w:rFonts w:ascii="Times New Roman" w:eastAsia="Cambria" w:hAnsi="Times New Roman" w:cs="Times New Roman"/>
          <w:sz w:val="24"/>
          <w:szCs w:val="24"/>
        </w:rPr>
        <w:t>The Company shall file with the Executive Secretary’s Office using the Alternative E-filing instructions. Public and Trade Secret responses shall be Accompanied therewith shall be an electronic version in Microsoft Word® format for text documents and Excel® for spreadsheets.</w:t>
      </w:r>
    </w:p>
    <w:p w14:paraId="38B32102" w14:textId="77777777" w:rsidR="00435A78" w:rsidRPr="00435A78" w:rsidRDefault="00435A78" w:rsidP="00435A78">
      <w:pPr>
        <w:spacing w:line="480" w:lineRule="auto"/>
        <w:jc w:val="both"/>
        <w:rPr>
          <w:rFonts w:ascii="Times New Roman" w:eastAsiaTheme="minorHAnsi" w:hAnsi="Times New Roman" w:cs="Times New Roman"/>
          <w:b/>
          <w:sz w:val="24"/>
          <w:szCs w:val="24"/>
        </w:rPr>
      </w:pPr>
    </w:p>
    <w:p w14:paraId="4B062451" w14:textId="6C6FC397" w:rsidR="00435A78" w:rsidRPr="00435A78" w:rsidRDefault="00435A78" w:rsidP="00435A78">
      <w:pPr>
        <w:spacing w:line="480" w:lineRule="auto"/>
        <w:jc w:val="both"/>
        <w:rPr>
          <w:rFonts w:ascii="Times New Roman" w:eastAsiaTheme="minorHAnsi" w:hAnsi="Times New Roman" w:cs="Times New Roman"/>
          <w:sz w:val="24"/>
          <w:szCs w:val="24"/>
        </w:rPr>
      </w:pPr>
      <w:r w:rsidRPr="00435A78">
        <w:rPr>
          <w:rFonts w:ascii="Times New Roman" w:eastAsiaTheme="minorHAnsi" w:hAnsi="Times New Roman" w:cs="Times New Roman"/>
          <w:sz w:val="24"/>
          <w:szCs w:val="24"/>
        </w:rPr>
        <w:tab/>
        <w:t xml:space="preserve">Please provide responses on or before 4:00 p. m. on </w:t>
      </w:r>
      <w:r w:rsidR="008E4062">
        <w:rPr>
          <w:rFonts w:ascii="Times New Roman" w:eastAsiaTheme="minorHAnsi" w:hAnsi="Times New Roman" w:cs="Times New Roman"/>
          <w:b/>
          <w:sz w:val="24"/>
          <w:szCs w:val="24"/>
        </w:rPr>
        <w:t xml:space="preserve">October </w:t>
      </w:r>
      <w:r w:rsidR="00FF38F0">
        <w:rPr>
          <w:rFonts w:ascii="Times New Roman" w:eastAsiaTheme="minorHAnsi" w:hAnsi="Times New Roman" w:cs="Times New Roman"/>
          <w:b/>
          <w:sz w:val="24"/>
          <w:szCs w:val="24"/>
        </w:rPr>
        <w:t>3</w:t>
      </w:r>
      <w:bookmarkStart w:id="0" w:name="_GoBack"/>
      <w:bookmarkEnd w:id="0"/>
      <w:r w:rsidRPr="004B75EE">
        <w:rPr>
          <w:rFonts w:ascii="Times New Roman" w:eastAsiaTheme="minorHAnsi" w:hAnsi="Times New Roman" w:cs="Times New Roman"/>
          <w:b/>
          <w:sz w:val="24"/>
          <w:szCs w:val="24"/>
        </w:rPr>
        <w:t>, 2022.</w:t>
      </w:r>
      <w:r w:rsidRPr="00435A78">
        <w:rPr>
          <w:rFonts w:ascii="Times New Roman" w:eastAsiaTheme="minorHAnsi" w:hAnsi="Times New Roman" w:cs="Times New Roman"/>
          <w:b/>
          <w:sz w:val="24"/>
          <w:szCs w:val="24"/>
        </w:rPr>
        <w:t xml:space="preserve"> </w:t>
      </w:r>
    </w:p>
    <w:p w14:paraId="45AC020E" w14:textId="77777777" w:rsidR="00435A78" w:rsidRPr="00435A78" w:rsidRDefault="00435A78" w:rsidP="00435A78">
      <w:pPr>
        <w:spacing w:line="259" w:lineRule="auto"/>
        <w:rPr>
          <w:rFonts w:ascii="Times New Roman" w:eastAsiaTheme="minorHAnsi" w:hAnsi="Times New Roman" w:cs="Times New Roman"/>
          <w:sz w:val="24"/>
          <w:szCs w:val="24"/>
        </w:rPr>
      </w:pPr>
      <w:r w:rsidRPr="00435A78">
        <w:rPr>
          <w:rFonts w:ascii="Times New Roman" w:eastAsiaTheme="minorHAnsi" w:hAnsi="Times New Roman" w:cs="Times New Roman"/>
          <w:color w:val="FF0000"/>
          <w:sz w:val="24"/>
          <w:szCs w:val="24"/>
        </w:rPr>
        <w:br w:type="page"/>
      </w:r>
    </w:p>
    <w:p w14:paraId="72D7A9A0" w14:textId="77777777" w:rsidR="00435A78" w:rsidRPr="00435A78" w:rsidRDefault="00435A78" w:rsidP="00435A78">
      <w:pPr>
        <w:keepNext/>
        <w:spacing w:after="0" w:line="480" w:lineRule="auto"/>
        <w:jc w:val="center"/>
        <w:outlineLvl w:val="1"/>
        <w:rPr>
          <w:rFonts w:ascii="Times New Roman" w:eastAsia="Times New Roman" w:hAnsi="Times New Roman" w:cs="Times New Roman"/>
          <w:b/>
          <w:sz w:val="24"/>
          <w:szCs w:val="24"/>
        </w:rPr>
      </w:pPr>
      <w:r w:rsidRPr="00435A78">
        <w:rPr>
          <w:rFonts w:ascii="Times New Roman" w:eastAsia="Times New Roman" w:hAnsi="Times New Roman" w:cs="Times New Roman"/>
          <w:b/>
          <w:sz w:val="24"/>
          <w:szCs w:val="24"/>
        </w:rPr>
        <w:lastRenderedPageBreak/>
        <w:t>INSTRUCTIONS</w:t>
      </w:r>
    </w:p>
    <w:p w14:paraId="56935775" w14:textId="77777777" w:rsidR="00435A78" w:rsidRPr="00435A78" w:rsidRDefault="00435A78" w:rsidP="00435A78">
      <w:pPr>
        <w:numPr>
          <w:ilvl w:val="0"/>
          <w:numId w:val="19"/>
        </w:numPr>
        <w:spacing w:after="0" w:line="240" w:lineRule="auto"/>
        <w:jc w:val="both"/>
        <w:rPr>
          <w:rFonts w:ascii="Times New Roman" w:eastAsia="Times New Roman" w:hAnsi="Times New Roman" w:cs="Times New Roman"/>
          <w:sz w:val="24"/>
          <w:szCs w:val="24"/>
        </w:rPr>
      </w:pPr>
      <w:r w:rsidRPr="00435A78">
        <w:rPr>
          <w:rFonts w:ascii="Times New Roman" w:eastAsia="Times New Roman" w:hAnsi="Times New Roman" w:cs="Times New Roman"/>
          <w:sz w:val="24"/>
          <w:szCs w:val="24"/>
        </w:rPr>
        <w:t>These requests shall be deemed to be continuing.  The Respondent is obliged to change, supplement, and correct all answers to requests to conform to available information; including such information as first comes available to the Respondent after the answers are hereto filed.</w:t>
      </w:r>
    </w:p>
    <w:p w14:paraId="6D8F18EA" w14:textId="77777777" w:rsidR="00435A78" w:rsidRPr="00435A78" w:rsidRDefault="00435A78" w:rsidP="00435A78">
      <w:pPr>
        <w:spacing w:after="0" w:line="480" w:lineRule="auto"/>
        <w:jc w:val="both"/>
        <w:rPr>
          <w:rFonts w:ascii="Times New Roman" w:eastAsia="Times New Roman" w:hAnsi="Times New Roman" w:cs="Times New Roman"/>
          <w:sz w:val="24"/>
          <w:szCs w:val="24"/>
        </w:rPr>
      </w:pPr>
    </w:p>
    <w:p w14:paraId="25BBBB0D" w14:textId="77777777" w:rsidR="00435A78" w:rsidRPr="00435A78" w:rsidRDefault="00435A78" w:rsidP="00435A78">
      <w:pPr>
        <w:numPr>
          <w:ilvl w:val="0"/>
          <w:numId w:val="19"/>
        </w:numPr>
        <w:spacing w:after="0" w:line="240" w:lineRule="auto"/>
        <w:jc w:val="both"/>
        <w:rPr>
          <w:rFonts w:ascii="Times New Roman" w:eastAsia="Times New Roman" w:hAnsi="Times New Roman" w:cs="Times New Roman"/>
          <w:sz w:val="24"/>
          <w:szCs w:val="24"/>
        </w:rPr>
      </w:pPr>
      <w:r w:rsidRPr="00435A78">
        <w:rPr>
          <w:rFonts w:ascii="Times New Roman" w:eastAsia="Times New Roman" w:hAnsi="Times New Roman" w:cs="Times New Roman"/>
          <w:sz w:val="24"/>
          <w:szCs w:val="24"/>
        </w:rPr>
        <w:t>The answers provided should first restate the question asked and also identify the person(s) supplying the information.</w:t>
      </w:r>
    </w:p>
    <w:p w14:paraId="2E03A6E2" w14:textId="77777777" w:rsidR="00435A78" w:rsidRPr="00435A78" w:rsidRDefault="00435A78" w:rsidP="00435A78">
      <w:pPr>
        <w:spacing w:after="0" w:line="480" w:lineRule="auto"/>
        <w:jc w:val="both"/>
        <w:rPr>
          <w:rFonts w:ascii="Times New Roman" w:eastAsia="Times New Roman" w:hAnsi="Times New Roman" w:cs="Times New Roman"/>
          <w:sz w:val="24"/>
          <w:szCs w:val="24"/>
        </w:rPr>
      </w:pPr>
    </w:p>
    <w:p w14:paraId="5D25F8AD" w14:textId="77777777" w:rsidR="00435A78" w:rsidRPr="00435A78" w:rsidRDefault="00435A78" w:rsidP="00435A78">
      <w:pPr>
        <w:numPr>
          <w:ilvl w:val="0"/>
          <w:numId w:val="19"/>
        </w:numPr>
        <w:spacing w:after="0" w:line="240" w:lineRule="auto"/>
        <w:jc w:val="both"/>
        <w:rPr>
          <w:rFonts w:ascii="Times New Roman" w:eastAsia="Times New Roman" w:hAnsi="Times New Roman" w:cs="Times New Roman"/>
          <w:sz w:val="24"/>
          <w:szCs w:val="24"/>
        </w:rPr>
      </w:pPr>
      <w:r w:rsidRPr="00435A78">
        <w:rPr>
          <w:rFonts w:ascii="Times New Roman" w:eastAsia="Times New Roman" w:hAnsi="Times New Roman" w:cs="Times New Roman"/>
          <w:sz w:val="24"/>
          <w:szCs w:val="24"/>
        </w:rPr>
        <w:t>All information is to be divulged that is within the knowledge, possession, control, or custody of the Respondent or may be reasonably ascertained thereby.</w:t>
      </w:r>
    </w:p>
    <w:p w14:paraId="14C1F71E" w14:textId="77777777" w:rsidR="00435A78" w:rsidRPr="00435A78" w:rsidRDefault="00435A78" w:rsidP="00435A78">
      <w:pPr>
        <w:spacing w:after="0" w:line="480" w:lineRule="auto"/>
        <w:jc w:val="both"/>
        <w:rPr>
          <w:rFonts w:ascii="Times New Roman" w:eastAsia="Times New Roman" w:hAnsi="Times New Roman" w:cs="Times New Roman"/>
          <w:sz w:val="24"/>
          <w:szCs w:val="24"/>
        </w:rPr>
      </w:pPr>
    </w:p>
    <w:p w14:paraId="7031ED72" w14:textId="77777777" w:rsidR="00435A78" w:rsidRPr="00435A78" w:rsidRDefault="00435A78" w:rsidP="00435A78">
      <w:pPr>
        <w:numPr>
          <w:ilvl w:val="0"/>
          <w:numId w:val="19"/>
        </w:numPr>
        <w:spacing w:after="0" w:line="240" w:lineRule="auto"/>
        <w:jc w:val="both"/>
        <w:rPr>
          <w:rFonts w:ascii="Times New Roman" w:eastAsia="Times New Roman" w:hAnsi="Times New Roman" w:cs="Times New Roman"/>
          <w:sz w:val="24"/>
          <w:szCs w:val="24"/>
        </w:rPr>
      </w:pPr>
      <w:r w:rsidRPr="00435A78">
        <w:rPr>
          <w:rFonts w:ascii="Times New Roman" w:eastAsia="Times New Roman" w:hAnsi="Times New Roman" w:cs="Times New Roman"/>
          <w:sz w:val="24"/>
          <w:szCs w:val="24"/>
        </w:rPr>
        <w:t>As used herein the “document” included, but is not limited to, the original and all copies (regardless of origin and whether or not including additional writing thereon or attached thereto) of memoranda, reports, books, manuals, instructions, directives, records, forms, notes, letters, notices, confirmations, telephone calls, meetings or other communications, bulletins, transcripts, diaries, analyses, summaries, correspondence and enclosures, circulars, opinions, studies, investigations, questionnaires and surveys, work sheets, and all drafts, preliminary versions, alterations, modifications, revisions, changes, amendments and written comments concerning the foregoing, in whatever form, stored or contained in or on whatever medium including computerized memory or magnetic media.</w:t>
      </w:r>
    </w:p>
    <w:p w14:paraId="5DB023B8" w14:textId="2374C4AA" w:rsidR="00135FFC" w:rsidRDefault="00135FFC" w:rsidP="00135FFC">
      <w:pPr>
        <w:spacing w:line="240" w:lineRule="auto"/>
        <w:ind w:left="1440" w:hanging="1440"/>
        <w:contextualSpacing/>
        <w:rPr>
          <w:rFonts w:ascii="Times New Roman" w:hAnsi="Times New Roman" w:cs="Times New Roman"/>
          <w:b/>
          <w:sz w:val="24"/>
          <w:szCs w:val="24"/>
          <w:u w:val="single"/>
        </w:rPr>
      </w:pPr>
    </w:p>
    <w:p w14:paraId="51A96055" w14:textId="69E18E05" w:rsidR="007B15FF" w:rsidRDefault="007B15FF" w:rsidP="00135FFC">
      <w:pPr>
        <w:spacing w:line="240" w:lineRule="auto"/>
        <w:ind w:left="1440" w:hanging="1440"/>
        <w:contextualSpacing/>
        <w:rPr>
          <w:rFonts w:ascii="Times New Roman" w:hAnsi="Times New Roman" w:cs="Times New Roman"/>
          <w:b/>
          <w:sz w:val="24"/>
          <w:szCs w:val="24"/>
          <w:u w:val="single"/>
        </w:rPr>
      </w:pPr>
    </w:p>
    <w:p w14:paraId="0D123A4C" w14:textId="0F533F58" w:rsidR="007B15FF" w:rsidRDefault="007B15FF" w:rsidP="00135FFC">
      <w:pPr>
        <w:spacing w:line="240" w:lineRule="auto"/>
        <w:ind w:left="1440" w:hanging="1440"/>
        <w:contextualSpacing/>
        <w:rPr>
          <w:rFonts w:ascii="Times New Roman" w:hAnsi="Times New Roman" w:cs="Times New Roman"/>
          <w:b/>
          <w:sz w:val="24"/>
          <w:szCs w:val="24"/>
          <w:u w:val="single"/>
        </w:rPr>
      </w:pPr>
    </w:p>
    <w:p w14:paraId="07B1BC42" w14:textId="488FE6AD" w:rsidR="007B15FF" w:rsidRDefault="007B15FF" w:rsidP="00135FFC">
      <w:pPr>
        <w:spacing w:line="240" w:lineRule="auto"/>
        <w:ind w:left="1440" w:hanging="1440"/>
        <w:contextualSpacing/>
        <w:rPr>
          <w:rFonts w:ascii="Times New Roman" w:hAnsi="Times New Roman" w:cs="Times New Roman"/>
          <w:b/>
          <w:sz w:val="24"/>
          <w:szCs w:val="24"/>
          <w:u w:val="single"/>
        </w:rPr>
      </w:pPr>
    </w:p>
    <w:p w14:paraId="53914540" w14:textId="071A9041" w:rsidR="007B15FF" w:rsidRDefault="007B15FF" w:rsidP="00135FFC">
      <w:pPr>
        <w:spacing w:line="240" w:lineRule="auto"/>
        <w:ind w:left="1440" w:hanging="1440"/>
        <w:contextualSpacing/>
        <w:rPr>
          <w:rFonts w:ascii="Times New Roman" w:hAnsi="Times New Roman" w:cs="Times New Roman"/>
          <w:b/>
          <w:sz w:val="24"/>
          <w:szCs w:val="24"/>
          <w:u w:val="single"/>
        </w:rPr>
      </w:pPr>
    </w:p>
    <w:p w14:paraId="211CC596" w14:textId="67D4D944" w:rsidR="007B15FF" w:rsidRDefault="007B15FF" w:rsidP="00135FFC">
      <w:pPr>
        <w:spacing w:line="240" w:lineRule="auto"/>
        <w:ind w:left="1440" w:hanging="1440"/>
        <w:contextualSpacing/>
        <w:rPr>
          <w:rFonts w:ascii="Times New Roman" w:hAnsi="Times New Roman" w:cs="Times New Roman"/>
          <w:b/>
          <w:sz w:val="24"/>
          <w:szCs w:val="24"/>
          <w:u w:val="single"/>
        </w:rPr>
      </w:pPr>
    </w:p>
    <w:p w14:paraId="6B9FF45F" w14:textId="726EC536" w:rsidR="007B15FF" w:rsidRDefault="007B15FF" w:rsidP="00135FFC">
      <w:pPr>
        <w:spacing w:line="240" w:lineRule="auto"/>
        <w:ind w:left="1440" w:hanging="1440"/>
        <w:contextualSpacing/>
        <w:rPr>
          <w:rFonts w:ascii="Times New Roman" w:hAnsi="Times New Roman" w:cs="Times New Roman"/>
          <w:b/>
          <w:sz w:val="24"/>
          <w:szCs w:val="24"/>
          <w:u w:val="single"/>
        </w:rPr>
      </w:pPr>
    </w:p>
    <w:p w14:paraId="1E90AD9E" w14:textId="2F6149C3" w:rsidR="007B15FF" w:rsidRDefault="007B15FF" w:rsidP="00135FFC">
      <w:pPr>
        <w:spacing w:line="240" w:lineRule="auto"/>
        <w:ind w:left="1440" w:hanging="1440"/>
        <w:contextualSpacing/>
        <w:rPr>
          <w:rFonts w:ascii="Times New Roman" w:hAnsi="Times New Roman" w:cs="Times New Roman"/>
          <w:b/>
          <w:sz w:val="24"/>
          <w:szCs w:val="24"/>
          <w:u w:val="single"/>
        </w:rPr>
      </w:pPr>
    </w:p>
    <w:p w14:paraId="42577CA1" w14:textId="31550E92" w:rsidR="007B15FF" w:rsidRDefault="007B15FF" w:rsidP="00135FFC">
      <w:pPr>
        <w:spacing w:line="240" w:lineRule="auto"/>
        <w:ind w:left="1440" w:hanging="1440"/>
        <w:contextualSpacing/>
        <w:rPr>
          <w:rFonts w:ascii="Times New Roman" w:hAnsi="Times New Roman" w:cs="Times New Roman"/>
          <w:b/>
          <w:sz w:val="24"/>
          <w:szCs w:val="24"/>
          <w:u w:val="single"/>
        </w:rPr>
      </w:pPr>
    </w:p>
    <w:p w14:paraId="271CC7F7" w14:textId="163008CE" w:rsidR="007B15FF" w:rsidRDefault="007B15FF" w:rsidP="00135FFC">
      <w:pPr>
        <w:spacing w:line="240" w:lineRule="auto"/>
        <w:ind w:left="1440" w:hanging="1440"/>
        <w:contextualSpacing/>
        <w:rPr>
          <w:rFonts w:ascii="Times New Roman" w:hAnsi="Times New Roman" w:cs="Times New Roman"/>
          <w:b/>
          <w:sz w:val="24"/>
          <w:szCs w:val="24"/>
          <w:u w:val="single"/>
        </w:rPr>
      </w:pPr>
    </w:p>
    <w:p w14:paraId="4BCE718B" w14:textId="49E6CFDD" w:rsidR="007B15FF" w:rsidRDefault="007B15FF" w:rsidP="00135FFC">
      <w:pPr>
        <w:spacing w:line="240" w:lineRule="auto"/>
        <w:ind w:left="1440" w:hanging="1440"/>
        <w:contextualSpacing/>
        <w:rPr>
          <w:rFonts w:ascii="Times New Roman" w:hAnsi="Times New Roman" w:cs="Times New Roman"/>
          <w:b/>
          <w:sz w:val="24"/>
          <w:szCs w:val="24"/>
          <w:u w:val="single"/>
        </w:rPr>
      </w:pPr>
    </w:p>
    <w:p w14:paraId="36C1407B" w14:textId="2ED37771" w:rsidR="007B15FF" w:rsidRDefault="007B15FF" w:rsidP="00135FFC">
      <w:pPr>
        <w:spacing w:line="240" w:lineRule="auto"/>
        <w:ind w:left="1440" w:hanging="1440"/>
        <w:contextualSpacing/>
        <w:rPr>
          <w:rFonts w:ascii="Times New Roman" w:hAnsi="Times New Roman" w:cs="Times New Roman"/>
          <w:b/>
          <w:sz w:val="24"/>
          <w:szCs w:val="24"/>
          <w:u w:val="single"/>
        </w:rPr>
      </w:pPr>
    </w:p>
    <w:p w14:paraId="0199EBD8" w14:textId="08F95D04" w:rsidR="007B15FF" w:rsidRDefault="007B15FF" w:rsidP="00135FFC">
      <w:pPr>
        <w:spacing w:line="240" w:lineRule="auto"/>
        <w:ind w:left="1440" w:hanging="1440"/>
        <w:contextualSpacing/>
        <w:rPr>
          <w:rFonts w:ascii="Times New Roman" w:hAnsi="Times New Roman" w:cs="Times New Roman"/>
          <w:b/>
          <w:sz w:val="24"/>
          <w:szCs w:val="24"/>
          <w:u w:val="single"/>
        </w:rPr>
      </w:pPr>
    </w:p>
    <w:p w14:paraId="617227FC" w14:textId="7374E977" w:rsidR="007B15FF" w:rsidRDefault="007B15FF" w:rsidP="00135FFC">
      <w:pPr>
        <w:spacing w:line="240" w:lineRule="auto"/>
        <w:ind w:left="1440" w:hanging="1440"/>
        <w:contextualSpacing/>
        <w:rPr>
          <w:rFonts w:ascii="Times New Roman" w:hAnsi="Times New Roman" w:cs="Times New Roman"/>
          <w:b/>
          <w:sz w:val="24"/>
          <w:szCs w:val="24"/>
          <w:u w:val="single"/>
        </w:rPr>
      </w:pPr>
    </w:p>
    <w:p w14:paraId="672D6693" w14:textId="53C5086B" w:rsidR="007B15FF" w:rsidRDefault="007B15FF" w:rsidP="00135FFC">
      <w:pPr>
        <w:spacing w:line="240" w:lineRule="auto"/>
        <w:ind w:left="1440" w:hanging="1440"/>
        <w:contextualSpacing/>
        <w:rPr>
          <w:rFonts w:ascii="Times New Roman" w:hAnsi="Times New Roman" w:cs="Times New Roman"/>
          <w:b/>
          <w:sz w:val="24"/>
          <w:szCs w:val="24"/>
          <w:u w:val="single"/>
        </w:rPr>
      </w:pPr>
    </w:p>
    <w:p w14:paraId="48E0C3BE" w14:textId="71C225D0" w:rsidR="007B15FF" w:rsidRDefault="007B15FF" w:rsidP="00135FFC">
      <w:pPr>
        <w:spacing w:line="240" w:lineRule="auto"/>
        <w:ind w:left="1440" w:hanging="1440"/>
        <w:contextualSpacing/>
        <w:rPr>
          <w:rFonts w:ascii="Times New Roman" w:hAnsi="Times New Roman" w:cs="Times New Roman"/>
          <w:b/>
          <w:sz w:val="24"/>
          <w:szCs w:val="24"/>
          <w:u w:val="single"/>
        </w:rPr>
      </w:pPr>
    </w:p>
    <w:p w14:paraId="40319BF1" w14:textId="4A383E4C" w:rsidR="007B15FF" w:rsidRDefault="007B15FF" w:rsidP="00135FFC">
      <w:pPr>
        <w:spacing w:line="240" w:lineRule="auto"/>
        <w:ind w:left="1440" w:hanging="1440"/>
        <w:contextualSpacing/>
        <w:rPr>
          <w:rFonts w:ascii="Times New Roman" w:hAnsi="Times New Roman" w:cs="Times New Roman"/>
          <w:b/>
          <w:sz w:val="24"/>
          <w:szCs w:val="24"/>
          <w:u w:val="single"/>
        </w:rPr>
      </w:pPr>
    </w:p>
    <w:p w14:paraId="6ABAC9F7" w14:textId="1AE2F933" w:rsidR="007B15FF" w:rsidRDefault="007B15FF" w:rsidP="00135FFC">
      <w:pPr>
        <w:spacing w:line="240" w:lineRule="auto"/>
        <w:ind w:left="1440" w:hanging="1440"/>
        <w:contextualSpacing/>
        <w:rPr>
          <w:rFonts w:ascii="Times New Roman" w:hAnsi="Times New Roman" w:cs="Times New Roman"/>
          <w:b/>
          <w:sz w:val="24"/>
          <w:szCs w:val="24"/>
          <w:u w:val="single"/>
        </w:rPr>
      </w:pPr>
    </w:p>
    <w:p w14:paraId="107EE5A8" w14:textId="6F3D267C" w:rsidR="007B15FF" w:rsidRDefault="007B15FF" w:rsidP="00135FFC">
      <w:pPr>
        <w:spacing w:line="240" w:lineRule="auto"/>
        <w:ind w:left="1440" w:hanging="1440"/>
        <w:contextualSpacing/>
        <w:rPr>
          <w:rFonts w:ascii="Times New Roman" w:hAnsi="Times New Roman" w:cs="Times New Roman"/>
          <w:b/>
          <w:sz w:val="24"/>
          <w:szCs w:val="24"/>
          <w:u w:val="single"/>
        </w:rPr>
      </w:pPr>
    </w:p>
    <w:p w14:paraId="17FA55B1" w14:textId="79B6177A" w:rsidR="007B15FF" w:rsidRDefault="007B15FF" w:rsidP="00135FFC">
      <w:pPr>
        <w:spacing w:line="240" w:lineRule="auto"/>
        <w:ind w:left="1440" w:hanging="1440"/>
        <w:contextualSpacing/>
        <w:rPr>
          <w:rFonts w:ascii="Times New Roman" w:hAnsi="Times New Roman" w:cs="Times New Roman"/>
          <w:b/>
          <w:sz w:val="24"/>
          <w:szCs w:val="24"/>
          <w:u w:val="single"/>
        </w:rPr>
      </w:pPr>
    </w:p>
    <w:p w14:paraId="59AF9BA7" w14:textId="40F34B15" w:rsidR="007B15FF" w:rsidRDefault="007B15FF" w:rsidP="00135FFC">
      <w:pPr>
        <w:spacing w:line="240" w:lineRule="auto"/>
        <w:ind w:left="1440" w:hanging="1440"/>
        <w:contextualSpacing/>
        <w:rPr>
          <w:rFonts w:ascii="Times New Roman" w:hAnsi="Times New Roman" w:cs="Times New Roman"/>
          <w:b/>
          <w:sz w:val="24"/>
          <w:szCs w:val="24"/>
          <w:u w:val="single"/>
        </w:rPr>
      </w:pPr>
    </w:p>
    <w:p w14:paraId="1BA98270" w14:textId="77777777" w:rsidR="007B15FF" w:rsidRPr="007B15FF" w:rsidRDefault="007B15FF" w:rsidP="007B15FF">
      <w:pPr>
        <w:spacing w:line="240" w:lineRule="auto"/>
        <w:contextualSpacing/>
        <w:jc w:val="center"/>
        <w:rPr>
          <w:rFonts w:ascii="Times New Roman" w:eastAsiaTheme="minorHAnsi" w:hAnsi="Times New Roman" w:cs="Times New Roman"/>
          <w:b/>
          <w:sz w:val="24"/>
          <w:szCs w:val="24"/>
        </w:rPr>
      </w:pPr>
      <w:r w:rsidRPr="007B15FF">
        <w:rPr>
          <w:rFonts w:ascii="Times New Roman" w:eastAsiaTheme="minorHAnsi" w:hAnsi="Times New Roman" w:cs="Times New Roman"/>
          <w:b/>
          <w:sz w:val="24"/>
          <w:szCs w:val="24"/>
        </w:rPr>
        <w:lastRenderedPageBreak/>
        <w:t>Docket No. 42315</w:t>
      </w:r>
    </w:p>
    <w:p w14:paraId="50FDD4E2" w14:textId="77777777" w:rsidR="007B15FF" w:rsidRPr="007B15FF" w:rsidRDefault="007B15FF" w:rsidP="007B15FF">
      <w:pPr>
        <w:spacing w:line="240" w:lineRule="auto"/>
        <w:contextualSpacing/>
        <w:jc w:val="center"/>
        <w:rPr>
          <w:rFonts w:ascii="Times New Roman" w:eastAsiaTheme="minorHAnsi" w:hAnsi="Times New Roman" w:cs="Times New Roman"/>
          <w:b/>
          <w:sz w:val="24"/>
          <w:szCs w:val="24"/>
        </w:rPr>
      </w:pPr>
      <w:r w:rsidRPr="007B15FF">
        <w:rPr>
          <w:rFonts w:ascii="Times New Roman" w:eastAsiaTheme="minorHAnsi" w:hAnsi="Times New Roman" w:cs="Times New Roman"/>
          <w:b/>
          <w:sz w:val="24"/>
          <w:szCs w:val="24"/>
        </w:rPr>
        <w:t>Information Request</w:t>
      </w:r>
    </w:p>
    <w:p w14:paraId="34DCC5E8" w14:textId="77777777" w:rsidR="007B15FF" w:rsidRPr="007B15FF" w:rsidRDefault="007B15FF" w:rsidP="007B15FF">
      <w:pPr>
        <w:spacing w:line="240" w:lineRule="auto"/>
        <w:contextualSpacing/>
        <w:jc w:val="center"/>
        <w:rPr>
          <w:rFonts w:ascii="Times New Roman" w:eastAsiaTheme="minorHAnsi" w:hAnsi="Times New Roman" w:cs="Times New Roman"/>
          <w:b/>
          <w:sz w:val="24"/>
          <w:szCs w:val="24"/>
        </w:rPr>
      </w:pPr>
      <w:r w:rsidRPr="007B15FF">
        <w:rPr>
          <w:rFonts w:ascii="Times New Roman" w:eastAsiaTheme="minorHAnsi" w:hAnsi="Times New Roman" w:cs="Times New Roman"/>
          <w:b/>
          <w:sz w:val="24"/>
          <w:szCs w:val="24"/>
        </w:rPr>
        <w:t>2023 GRAM</w:t>
      </w:r>
    </w:p>
    <w:p w14:paraId="2F7F3C8F" w14:textId="77777777" w:rsidR="00135FFC" w:rsidRDefault="00135FFC" w:rsidP="007B15FF">
      <w:pPr>
        <w:spacing w:line="240" w:lineRule="auto"/>
        <w:contextualSpacing/>
        <w:rPr>
          <w:rFonts w:ascii="Times New Roman" w:hAnsi="Times New Roman" w:cs="Times New Roman"/>
          <w:b/>
          <w:sz w:val="24"/>
          <w:szCs w:val="24"/>
          <w:u w:val="single"/>
        </w:rPr>
      </w:pPr>
    </w:p>
    <w:p w14:paraId="1B7F83ED" w14:textId="495726FB" w:rsidR="00283E79" w:rsidRPr="00135FFC" w:rsidRDefault="00FD7CD0" w:rsidP="00135FFC">
      <w:pPr>
        <w:spacing w:line="240" w:lineRule="auto"/>
        <w:ind w:left="1440" w:hanging="1440"/>
        <w:contextualSpacing/>
        <w:rPr>
          <w:rFonts w:ascii="Times New Roman" w:hAnsi="Times New Roman" w:cs="Times New Roman"/>
          <w:b/>
          <w:sz w:val="24"/>
          <w:szCs w:val="24"/>
          <w:u w:val="single"/>
        </w:rPr>
      </w:pPr>
      <w:r w:rsidRPr="00FD7CD0">
        <w:rPr>
          <w:rFonts w:ascii="Times New Roman" w:hAnsi="Times New Roman" w:cs="Times New Roman"/>
          <w:b/>
          <w:sz w:val="24"/>
          <w:szCs w:val="24"/>
          <w:u w:val="single"/>
        </w:rPr>
        <w:t>Schedule-3 / WP 3 Review</w:t>
      </w:r>
    </w:p>
    <w:p w14:paraId="05F4E595" w14:textId="02B64FEE" w:rsidR="004B65C3" w:rsidRDefault="005A6A62" w:rsidP="00177B58">
      <w:pPr>
        <w:spacing w:line="240" w:lineRule="auto"/>
        <w:ind w:left="1440" w:hanging="1440"/>
        <w:contextualSpacing/>
        <w:jc w:val="both"/>
        <w:rPr>
          <w:rFonts w:ascii="Times New Roman" w:hAnsi="Times New Roman" w:cs="Times New Roman"/>
          <w:sz w:val="24"/>
          <w:szCs w:val="24"/>
        </w:rPr>
      </w:pPr>
      <w:r>
        <w:rPr>
          <w:rFonts w:ascii="Times New Roman" w:hAnsi="Times New Roman" w:cs="Times New Roman"/>
          <w:sz w:val="24"/>
          <w:szCs w:val="24"/>
        </w:rPr>
        <w:t>STF-36-</w:t>
      </w:r>
      <w:r w:rsidR="00955685">
        <w:rPr>
          <w:rFonts w:ascii="Times New Roman" w:hAnsi="Times New Roman" w:cs="Times New Roman"/>
          <w:sz w:val="24"/>
          <w:szCs w:val="24"/>
        </w:rPr>
        <w:t>1</w:t>
      </w:r>
      <w:r>
        <w:rPr>
          <w:rFonts w:ascii="Times New Roman" w:hAnsi="Times New Roman" w:cs="Times New Roman"/>
          <w:sz w:val="24"/>
          <w:szCs w:val="24"/>
        </w:rPr>
        <w:tab/>
      </w:r>
      <w:r w:rsidR="004B65C3">
        <w:rPr>
          <w:rFonts w:ascii="Times New Roman" w:hAnsi="Times New Roman" w:cs="Times New Roman"/>
          <w:sz w:val="24"/>
          <w:szCs w:val="24"/>
        </w:rPr>
        <w:t>Regarding WP 3 AFUDC C12, Equity, the number was pulled from the Income Summary</w:t>
      </w:r>
      <w:r w:rsidR="0042418A">
        <w:rPr>
          <w:rFonts w:ascii="Times New Roman" w:hAnsi="Times New Roman" w:cs="Times New Roman"/>
          <w:sz w:val="24"/>
          <w:szCs w:val="24"/>
        </w:rPr>
        <w:t xml:space="preserve"> Historical</w:t>
      </w:r>
      <w:r w:rsidR="004B65C3">
        <w:rPr>
          <w:rFonts w:ascii="Times New Roman" w:hAnsi="Times New Roman" w:cs="Times New Roman"/>
          <w:sz w:val="24"/>
          <w:szCs w:val="24"/>
        </w:rPr>
        <w:t xml:space="preserve"> </w:t>
      </w:r>
      <w:r w:rsidR="00820E42">
        <w:rPr>
          <w:rFonts w:ascii="Times New Roman" w:hAnsi="Times New Roman" w:cs="Times New Roman"/>
          <w:sz w:val="24"/>
          <w:szCs w:val="24"/>
        </w:rPr>
        <w:t>Worksheet</w:t>
      </w:r>
      <w:r w:rsidR="004B65C3">
        <w:rPr>
          <w:rFonts w:ascii="Times New Roman" w:hAnsi="Times New Roman" w:cs="Times New Roman"/>
          <w:sz w:val="24"/>
          <w:szCs w:val="24"/>
        </w:rPr>
        <w:t xml:space="preserve"> Row-78, which was pulled from the Historical Income worksheet Row-646, GL account 446300. When reviewing WP 3 AFUDC C14, Debt, the number was pulled from the</w:t>
      </w:r>
      <w:r w:rsidR="0042418A">
        <w:rPr>
          <w:rFonts w:ascii="Times New Roman" w:hAnsi="Times New Roman" w:cs="Times New Roman"/>
          <w:sz w:val="24"/>
          <w:szCs w:val="24"/>
        </w:rPr>
        <w:t xml:space="preserve"> </w:t>
      </w:r>
      <w:r w:rsidR="004B65C3">
        <w:rPr>
          <w:rFonts w:ascii="Times New Roman" w:hAnsi="Times New Roman" w:cs="Times New Roman"/>
          <w:sz w:val="24"/>
          <w:szCs w:val="24"/>
        </w:rPr>
        <w:t>Income Summary</w:t>
      </w:r>
      <w:r w:rsidR="0042418A">
        <w:rPr>
          <w:rFonts w:ascii="Times New Roman" w:hAnsi="Times New Roman" w:cs="Times New Roman"/>
          <w:sz w:val="24"/>
          <w:szCs w:val="24"/>
        </w:rPr>
        <w:t xml:space="preserve"> Historical</w:t>
      </w:r>
      <w:r w:rsidR="004B65C3">
        <w:rPr>
          <w:rFonts w:ascii="Times New Roman" w:hAnsi="Times New Roman" w:cs="Times New Roman"/>
          <w:sz w:val="24"/>
          <w:szCs w:val="24"/>
        </w:rPr>
        <w:t xml:space="preserve"> </w:t>
      </w:r>
      <w:r w:rsidR="00820E42">
        <w:rPr>
          <w:rFonts w:ascii="Times New Roman" w:hAnsi="Times New Roman" w:cs="Times New Roman"/>
          <w:sz w:val="24"/>
          <w:szCs w:val="24"/>
        </w:rPr>
        <w:t>Worksheet</w:t>
      </w:r>
      <w:r w:rsidR="004B65C3">
        <w:rPr>
          <w:rFonts w:ascii="Times New Roman" w:hAnsi="Times New Roman" w:cs="Times New Roman"/>
          <w:sz w:val="24"/>
          <w:szCs w:val="24"/>
        </w:rPr>
        <w:t xml:space="preserve"> Row-81, which was pulled from the Historical Income worksheet Row-681. Please answer the following.</w:t>
      </w:r>
    </w:p>
    <w:p w14:paraId="1F182760" w14:textId="63731500" w:rsidR="004B65C3" w:rsidRDefault="00B02694" w:rsidP="00177B58">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 a more efficient review process, in a revised </w:t>
      </w:r>
      <w:r w:rsidR="004E031D">
        <w:rPr>
          <w:rFonts w:ascii="Times New Roman" w:hAnsi="Times New Roman" w:cs="Times New Roman"/>
          <w:sz w:val="24"/>
          <w:szCs w:val="24"/>
        </w:rPr>
        <w:t xml:space="preserve">2023 </w:t>
      </w:r>
      <w:r>
        <w:rPr>
          <w:rFonts w:ascii="Times New Roman" w:hAnsi="Times New Roman" w:cs="Times New Roman"/>
          <w:sz w:val="24"/>
          <w:szCs w:val="24"/>
        </w:rPr>
        <w:t xml:space="preserve">GRAM filing, and future GRAM filings, will AGL use the numbers directly sourced in the Historical Income worksheet and not use the Income Summary </w:t>
      </w:r>
      <w:r w:rsidR="0042418A">
        <w:rPr>
          <w:rFonts w:ascii="Times New Roman" w:hAnsi="Times New Roman" w:cs="Times New Roman"/>
          <w:sz w:val="24"/>
          <w:szCs w:val="24"/>
        </w:rPr>
        <w:t xml:space="preserve">Historical </w:t>
      </w:r>
      <w:r>
        <w:rPr>
          <w:rFonts w:ascii="Times New Roman" w:hAnsi="Times New Roman" w:cs="Times New Roman"/>
          <w:sz w:val="24"/>
          <w:szCs w:val="24"/>
        </w:rPr>
        <w:t>worksheet?</w:t>
      </w:r>
    </w:p>
    <w:p w14:paraId="7CAB41B9" w14:textId="77777777" w:rsidR="000D02AF" w:rsidRDefault="000D02AF" w:rsidP="00177B58">
      <w:pPr>
        <w:pStyle w:val="ListParagraph"/>
        <w:spacing w:line="240" w:lineRule="auto"/>
        <w:ind w:left="1800"/>
        <w:jc w:val="both"/>
        <w:rPr>
          <w:rFonts w:ascii="Times New Roman" w:hAnsi="Times New Roman" w:cs="Times New Roman"/>
          <w:sz w:val="24"/>
          <w:szCs w:val="24"/>
        </w:rPr>
      </w:pPr>
    </w:p>
    <w:p w14:paraId="37AADA22" w14:textId="5330BDE3" w:rsidR="007432A3" w:rsidRPr="004B75EE" w:rsidRDefault="00B02694" w:rsidP="00AC6D72">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When reviewing the Historical </w:t>
      </w:r>
      <w:r w:rsidR="000D02AF">
        <w:rPr>
          <w:rFonts w:ascii="Times New Roman" w:hAnsi="Times New Roman" w:cs="Times New Roman"/>
          <w:sz w:val="24"/>
          <w:szCs w:val="24"/>
        </w:rPr>
        <w:t>Income worksheet Row-646 GL 446300 AFUDC Equity and Row-680 GL 407100 AFUDC Debt, do these two accounts represent all AFUDC for AGL, to include the SRR and LNG related projects?</w:t>
      </w:r>
    </w:p>
    <w:p w14:paraId="4B2B784C" w14:textId="0E012844" w:rsidR="007432A3" w:rsidRDefault="007432A3" w:rsidP="00177B58">
      <w:pPr>
        <w:spacing w:line="240" w:lineRule="auto"/>
        <w:ind w:left="1440" w:hanging="1440"/>
        <w:contextualSpacing/>
        <w:jc w:val="both"/>
        <w:rPr>
          <w:rFonts w:ascii="Times New Roman" w:hAnsi="Times New Roman" w:cs="Times New Roman"/>
          <w:sz w:val="24"/>
          <w:szCs w:val="24"/>
        </w:rPr>
      </w:pPr>
    </w:p>
    <w:p w14:paraId="5DB2DA8B" w14:textId="5D726CA1" w:rsidR="00FD7CD0" w:rsidRDefault="003700EF" w:rsidP="00177B58">
      <w:pPr>
        <w:spacing w:line="240" w:lineRule="auto"/>
        <w:ind w:left="1440" w:hanging="1440"/>
        <w:contextualSpacing/>
        <w:jc w:val="both"/>
        <w:rPr>
          <w:rFonts w:ascii="Times New Roman" w:hAnsi="Times New Roman" w:cs="Times New Roman"/>
          <w:sz w:val="24"/>
          <w:szCs w:val="24"/>
        </w:rPr>
      </w:pPr>
      <w:r>
        <w:rPr>
          <w:rFonts w:ascii="Times New Roman" w:hAnsi="Times New Roman" w:cs="Times New Roman"/>
          <w:sz w:val="24"/>
          <w:szCs w:val="24"/>
        </w:rPr>
        <w:t>STF-36-</w:t>
      </w:r>
      <w:r w:rsidR="00B34DD2">
        <w:rPr>
          <w:rFonts w:ascii="Times New Roman" w:hAnsi="Times New Roman" w:cs="Times New Roman"/>
          <w:sz w:val="24"/>
          <w:szCs w:val="24"/>
        </w:rPr>
        <w:t>2</w:t>
      </w:r>
      <w:r>
        <w:rPr>
          <w:rFonts w:ascii="Times New Roman" w:hAnsi="Times New Roman" w:cs="Times New Roman"/>
          <w:sz w:val="24"/>
          <w:szCs w:val="24"/>
        </w:rPr>
        <w:tab/>
      </w:r>
      <w:r w:rsidR="00FD7CD0">
        <w:rPr>
          <w:rFonts w:ascii="Times New Roman" w:hAnsi="Times New Roman" w:cs="Times New Roman"/>
          <w:sz w:val="24"/>
          <w:szCs w:val="24"/>
        </w:rPr>
        <w:t>When reviewing Schedule-3 Line-4, Under-Recovery Amortization, AGL used a $23,00</w:t>
      </w:r>
      <w:r w:rsidR="00820E42">
        <w:rPr>
          <w:rFonts w:ascii="Times New Roman" w:hAnsi="Times New Roman" w:cs="Times New Roman"/>
          <w:sz w:val="24"/>
          <w:szCs w:val="24"/>
        </w:rPr>
        <w:t>0</w:t>
      </w:r>
      <w:r w:rsidR="00FD7CD0">
        <w:rPr>
          <w:rFonts w:ascii="Times New Roman" w:hAnsi="Times New Roman" w:cs="Times New Roman"/>
          <w:sz w:val="24"/>
          <w:szCs w:val="24"/>
        </w:rPr>
        <w:t>,000 amount from Schedule-12 G30. Please answer the following.</w:t>
      </w:r>
    </w:p>
    <w:p w14:paraId="3176E5A8" w14:textId="77777777" w:rsidR="00FD7CD0" w:rsidRDefault="00151969" w:rsidP="00177B58">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For the 2022 Rate Effective Period, did AGL use the monthly $1,916,667 Under-Recovery Applied because it was part of and approved with the 2022 GRAM?</w:t>
      </w:r>
    </w:p>
    <w:p w14:paraId="39552BBC" w14:textId="77777777" w:rsidR="00151969" w:rsidRDefault="00151969" w:rsidP="00177B58">
      <w:pPr>
        <w:pStyle w:val="ListParagraph"/>
        <w:spacing w:line="240" w:lineRule="auto"/>
        <w:ind w:left="1800"/>
        <w:jc w:val="both"/>
        <w:rPr>
          <w:rFonts w:ascii="Times New Roman" w:hAnsi="Times New Roman" w:cs="Times New Roman"/>
          <w:sz w:val="24"/>
          <w:szCs w:val="24"/>
        </w:rPr>
      </w:pPr>
    </w:p>
    <w:p w14:paraId="2E9CEF99" w14:textId="449595B6" w:rsidR="00AC6D72" w:rsidRPr="004B75EE" w:rsidRDefault="00151969" w:rsidP="004B75EE">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For the 2023 GRAM, AGL is proposing to maintain the monthly $1,916,667</w:t>
      </w:r>
      <w:r w:rsidR="00CA7C4B">
        <w:rPr>
          <w:rFonts w:ascii="Times New Roman" w:hAnsi="Times New Roman" w:cs="Times New Roman"/>
          <w:sz w:val="24"/>
          <w:szCs w:val="24"/>
        </w:rPr>
        <w:t xml:space="preserve"> with a 2023 ending $23,000,000 that will reduce the </w:t>
      </w:r>
      <w:r w:rsidR="00815914">
        <w:rPr>
          <w:rFonts w:ascii="Times New Roman" w:hAnsi="Times New Roman" w:cs="Times New Roman"/>
          <w:sz w:val="24"/>
          <w:szCs w:val="24"/>
        </w:rPr>
        <w:t>Over</w:t>
      </w:r>
      <w:r w:rsidR="00CA7C4B">
        <w:rPr>
          <w:rFonts w:ascii="Times New Roman" w:hAnsi="Times New Roman" w:cs="Times New Roman"/>
          <w:sz w:val="24"/>
          <w:szCs w:val="24"/>
        </w:rPr>
        <w:t>/(Under) Recovery of Rider Program from a ($67,525,005) in January 2023 to a balance of ($44,525,005) in December 2023?</w:t>
      </w:r>
    </w:p>
    <w:p w14:paraId="0D1EA52C" w14:textId="77777777" w:rsidR="00AC6D72" w:rsidRDefault="00AC6D72" w:rsidP="00177B58">
      <w:pPr>
        <w:spacing w:line="240" w:lineRule="auto"/>
        <w:ind w:left="1440" w:hanging="1440"/>
        <w:contextualSpacing/>
        <w:jc w:val="both"/>
        <w:rPr>
          <w:rFonts w:ascii="Times New Roman" w:hAnsi="Times New Roman" w:cs="Times New Roman"/>
          <w:sz w:val="24"/>
          <w:szCs w:val="24"/>
        </w:rPr>
      </w:pPr>
    </w:p>
    <w:p w14:paraId="69D0F49F" w14:textId="62792643" w:rsidR="00955685" w:rsidRDefault="00C214F4" w:rsidP="00177B58">
      <w:pPr>
        <w:spacing w:line="240" w:lineRule="auto"/>
        <w:ind w:left="1440" w:hanging="1440"/>
        <w:contextualSpacing/>
        <w:jc w:val="both"/>
        <w:rPr>
          <w:rFonts w:ascii="Times New Roman" w:hAnsi="Times New Roman" w:cs="Times New Roman"/>
          <w:sz w:val="24"/>
          <w:szCs w:val="24"/>
        </w:rPr>
      </w:pPr>
      <w:r>
        <w:rPr>
          <w:rFonts w:ascii="Times New Roman" w:hAnsi="Times New Roman" w:cs="Times New Roman"/>
          <w:sz w:val="24"/>
          <w:szCs w:val="24"/>
        </w:rPr>
        <w:t>STF-36-</w:t>
      </w:r>
      <w:r w:rsidR="00B34DD2">
        <w:rPr>
          <w:rFonts w:ascii="Times New Roman" w:hAnsi="Times New Roman" w:cs="Times New Roman"/>
          <w:sz w:val="24"/>
          <w:szCs w:val="24"/>
        </w:rPr>
        <w:t>3</w:t>
      </w:r>
      <w:r>
        <w:rPr>
          <w:rFonts w:ascii="Times New Roman" w:hAnsi="Times New Roman" w:cs="Times New Roman"/>
          <w:sz w:val="24"/>
          <w:szCs w:val="24"/>
        </w:rPr>
        <w:tab/>
        <w:t>When reviewing Schedule-3 E22, “Other Interest Expense”, AGL has a $64,444,229 amount. AGL used the following calculation to arrive at this total.</w:t>
      </w:r>
    </w:p>
    <w:p w14:paraId="6214EACC" w14:textId="4D38152D" w:rsidR="00C214F4" w:rsidRDefault="001452A4" w:rsidP="00177B58">
      <w:pPr>
        <w:spacing w:line="240" w:lineRule="auto"/>
        <w:ind w:left="1440" w:hanging="1440"/>
        <w:contextualSpacing/>
        <w:jc w:val="both"/>
        <w:rPr>
          <w:rFonts w:ascii="Times New Roman" w:hAnsi="Times New Roman" w:cs="Times New Roman"/>
          <w:sz w:val="24"/>
          <w:szCs w:val="24"/>
        </w:rPr>
      </w:pPr>
      <w:r>
        <w:rPr>
          <w:rFonts w:ascii="Times New Roman" w:hAnsi="Times New Roman" w:cs="Times New Roman"/>
          <w:sz w:val="24"/>
          <w:szCs w:val="24"/>
        </w:rPr>
        <w:tab/>
      </w:r>
      <w:r>
        <w:rPr>
          <w:noProof/>
        </w:rPr>
        <w:drawing>
          <wp:inline distT="0" distB="0" distL="0" distR="0" wp14:anchorId="7B912AA6" wp14:editId="0B1E1134">
            <wp:extent cx="3353091" cy="341406"/>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53091" cy="341406"/>
                    </a:xfrm>
                    <a:prstGeom prst="rect">
                      <a:avLst/>
                    </a:prstGeom>
                  </pic:spPr>
                </pic:pic>
              </a:graphicData>
            </a:graphic>
          </wp:inline>
        </w:drawing>
      </w:r>
    </w:p>
    <w:p w14:paraId="10457711" w14:textId="6BAEFFF7" w:rsidR="00955685" w:rsidRDefault="00C214F4" w:rsidP="00177B58">
      <w:pPr>
        <w:spacing w:line="240" w:lineRule="auto"/>
        <w:ind w:left="1440" w:hanging="1440"/>
        <w:contextualSpacing/>
        <w:jc w:val="both"/>
        <w:rPr>
          <w:rFonts w:ascii="Times New Roman" w:hAnsi="Times New Roman" w:cs="Times New Roman"/>
          <w:sz w:val="24"/>
          <w:szCs w:val="24"/>
        </w:rPr>
      </w:pPr>
      <w:r>
        <w:rPr>
          <w:rFonts w:ascii="Times New Roman" w:hAnsi="Times New Roman" w:cs="Times New Roman"/>
          <w:sz w:val="24"/>
          <w:szCs w:val="24"/>
        </w:rPr>
        <w:tab/>
      </w:r>
    </w:p>
    <w:p w14:paraId="1B8DAAB5" w14:textId="7F7CE068" w:rsidR="00C214F4" w:rsidRDefault="00C214F4" w:rsidP="00177B58">
      <w:pPr>
        <w:spacing w:line="240" w:lineRule="auto"/>
        <w:ind w:left="1440" w:hanging="1440"/>
        <w:contextualSpacing/>
        <w:jc w:val="both"/>
        <w:rPr>
          <w:rFonts w:ascii="Times New Roman" w:hAnsi="Times New Roman" w:cs="Times New Roman"/>
          <w:sz w:val="24"/>
          <w:szCs w:val="24"/>
        </w:rPr>
      </w:pPr>
      <w:r>
        <w:rPr>
          <w:rFonts w:ascii="Times New Roman" w:hAnsi="Times New Roman" w:cs="Times New Roman"/>
          <w:sz w:val="24"/>
          <w:szCs w:val="24"/>
        </w:rPr>
        <w:tab/>
        <w:t>Inputs worksheet B301, Rate Base $3,793,148,414 x (Schedule-10 E9, Short-Term Debt Weighted Cost 0.07 + Schedule-10 E10, Long-Term Debt Weighted Cost, $1.63%)</w:t>
      </w:r>
    </w:p>
    <w:p w14:paraId="0B6DF95F" w14:textId="15047A1F" w:rsidR="00DD3806" w:rsidRDefault="00DD3806" w:rsidP="00177B58">
      <w:pPr>
        <w:spacing w:line="240" w:lineRule="auto"/>
        <w:contextualSpacing/>
        <w:jc w:val="both"/>
        <w:rPr>
          <w:rFonts w:ascii="Times New Roman" w:hAnsi="Times New Roman" w:cs="Times New Roman"/>
          <w:sz w:val="24"/>
          <w:szCs w:val="24"/>
        </w:rPr>
      </w:pPr>
    </w:p>
    <w:p w14:paraId="67CDAB1C" w14:textId="5CBDCC67" w:rsidR="00DD3806" w:rsidRDefault="00C214F4" w:rsidP="00177B58">
      <w:pPr>
        <w:spacing w:line="240" w:lineRule="auto"/>
        <w:ind w:left="1440" w:hanging="1440"/>
        <w:contextualSpacing/>
        <w:jc w:val="both"/>
        <w:rPr>
          <w:rFonts w:ascii="Times New Roman" w:hAnsi="Times New Roman" w:cs="Times New Roman"/>
          <w:sz w:val="24"/>
          <w:szCs w:val="24"/>
        </w:rPr>
      </w:pPr>
      <w:r>
        <w:rPr>
          <w:rFonts w:ascii="Times New Roman" w:hAnsi="Times New Roman" w:cs="Times New Roman"/>
          <w:sz w:val="24"/>
          <w:szCs w:val="24"/>
        </w:rPr>
        <w:tab/>
        <w:t>When reviewing the Historical Income worksheet Row-</w:t>
      </w:r>
      <w:r w:rsidR="00562363">
        <w:rPr>
          <w:rFonts w:ascii="Times New Roman" w:hAnsi="Times New Roman" w:cs="Times New Roman"/>
          <w:sz w:val="24"/>
          <w:szCs w:val="24"/>
        </w:rPr>
        <w:t>679, AGL has “Other Interest Expense” composed of the accounts listed in Table-</w:t>
      </w:r>
      <w:r w:rsidR="00BC4DE2">
        <w:rPr>
          <w:rFonts w:ascii="Times New Roman" w:hAnsi="Times New Roman" w:cs="Times New Roman"/>
          <w:sz w:val="24"/>
          <w:szCs w:val="24"/>
        </w:rPr>
        <w:t>1</w:t>
      </w:r>
      <w:r w:rsidR="00562363">
        <w:rPr>
          <w:rFonts w:ascii="Times New Roman" w:hAnsi="Times New Roman" w:cs="Times New Roman"/>
          <w:sz w:val="24"/>
          <w:szCs w:val="24"/>
        </w:rPr>
        <w:t xml:space="preserve"> below.</w:t>
      </w:r>
    </w:p>
    <w:p w14:paraId="0E1D98DA" w14:textId="399D5078" w:rsidR="007B15FF" w:rsidRDefault="00562363" w:rsidP="006E3116">
      <w:pPr>
        <w:spacing w:line="240" w:lineRule="auto"/>
        <w:ind w:left="1440" w:hanging="1440"/>
        <w:contextualSpacing/>
        <w:jc w:val="both"/>
        <w:rPr>
          <w:rFonts w:ascii="Times New Roman" w:hAnsi="Times New Roman" w:cs="Times New Roman"/>
          <w:sz w:val="24"/>
          <w:szCs w:val="24"/>
        </w:rPr>
      </w:pPr>
      <w:r>
        <w:rPr>
          <w:rFonts w:ascii="Times New Roman" w:hAnsi="Times New Roman" w:cs="Times New Roman"/>
          <w:sz w:val="24"/>
          <w:szCs w:val="24"/>
        </w:rPr>
        <w:tab/>
      </w:r>
    </w:p>
    <w:p w14:paraId="6324CDE7" w14:textId="77777777" w:rsidR="004B75EE" w:rsidRDefault="004B75EE" w:rsidP="006E3116">
      <w:pPr>
        <w:spacing w:line="240" w:lineRule="auto"/>
        <w:ind w:left="1440" w:hanging="1440"/>
        <w:contextualSpacing/>
        <w:jc w:val="both"/>
        <w:rPr>
          <w:rFonts w:ascii="Times New Roman" w:hAnsi="Times New Roman" w:cs="Times New Roman"/>
          <w:sz w:val="24"/>
          <w:szCs w:val="24"/>
        </w:rPr>
      </w:pPr>
    </w:p>
    <w:p w14:paraId="0A04A7AD" w14:textId="7857731E" w:rsidR="00562363" w:rsidRPr="00562363" w:rsidRDefault="00562363" w:rsidP="00C214F4">
      <w:pPr>
        <w:spacing w:line="240" w:lineRule="auto"/>
        <w:ind w:left="1440" w:hanging="1440"/>
        <w:contextualSpacing/>
        <w:rPr>
          <w:rFonts w:ascii="Times New Roman" w:hAnsi="Times New Roman" w:cs="Times New Roman"/>
          <w:b/>
          <w:sz w:val="24"/>
          <w:szCs w:val="24"/>
        </w:rPr>
      </w:pPr>
      <w:r>
        <w:rPr>
          <w:rFonts w:ascii="Times New Roman" w:hAnsi="Times New Roman" w:cs="Times New Roman"/>
          <w:sz w:val="24"/>
          <w:szCs w:val="24"/>
        </w:rPr>
        <w:lastRenderedPageBreak/>
        <w:tab/>
      </w:r>
      <w:r w:rsidRPr="00562363">
        <w:rPr>
          <w:rFonts w:ascii="Times New Roman" w:hAnsi="Times New Roman" w:cs="Times New Roman"/>
          <w:b/>
          <w:sz w:val="24"/>
          <w:szCs w:val="24"/>
        </w:rPr>
        <w:t>Table-</w:t>
      </w:r>
      <w:r w:rsidR="00B34DD2">
        <w:rPr>
          <w:rFonts w:ascii="Times New Roman" w:hAnsi="Times New Roman" w:cs="Times New Roman"/>
          <w:b/>
          <w:sz w:val="24"/>
          <w:szCs w:val="24"/>
        </w:rPr>
        <w:t>1</w:t>
      </w:r>
      <w:r w:rsidRPr="00562363">
        <w:rPr>
          <w:rFonts w:ascii="Times New Roman" w:hAnsi="Times New Roman" w:cs="Times New Roman"/>
          <w:b/>
          <w:sz w:val="24"/>
          <w:szCs w:val="24"/>
        </w:rPr>
        <w:t xml:space="preserve">: Other Interest Expense </w:t>
      </w:r>
    </w:p>
    <w:tbl>
      <w:tblPr>
        <w:tblpPr w:leftFromText="180" w:rightFromText="180" w:vertAnchor="text" w:horzAnchor="page" w:tblpX="2971" w:tblpY="104"/>
        <w:tblW w:w="4000" w:type="dxa"/>
        <w:tblLook w:val="04A0" w:firstRow="1" w:lastRow="0" w:firstColumn="1" w:lastColumn="0" w:noHBand="0" w:noVBand="1"/>
      </w:tblPr>
      <w:tblGrid>
        <w:gridCol w:w="4000"/>
      </w:tblGrid>
      <w:tr w:rsidR="00562363" w:rsidRPr="00562363" w14:paraId="078D2ADC" w14:textId="77777777" w:rsidTr="00562363">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629C4" w14:textId="77777777" w:rsidR="00562363" w:rsidRPr="00562363" w:rsidRDefault="00562363" w:rsidP="00562363">
            <w:pPr>
              <w:spacing w:after="0" w:line="240" w:lineRule="auto"/>
              <w:rPr>
                <w:rFonts w:ascii="Arial" w:eastAsia="Times New Roman" w:hAnsi="Arial" w:cs="Arial"/>
                <w:color w:val="000000"/>
                <w:sz w:val="20"/>
                <w:szCs w:val="20"/>
              </w:rPr>
            </w:pPr>
            <w:r w:rsidRPr="00562363">
              <w:rPr>
                <w:rFonts w:ascii="Arial" w:eastAsia="Times New Roman" w:hAnsi="Arial" w:cs="Arial"/>
                <w:color w:val="000000"/>
                <w:sz w:val="20"/>
                <w:szCs w:val="20"/>
              </w:rPr>
              <w:t>468100 Interest Exp-Customer Deposit</w:t>
            </w:r>
          </w:p>
        </w:tc>
      </w:tr>
      <w:tr w:rsidR="00562363" w:rsidRPr="00562363" w14:paraId="3D0CFDD0" w14:textId="77777777" w:rsidTr="00562363">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4DB1E78D" w14:textId="77777777" w:rsidR="00562363" w:rsidRPr="00562363" w:rsidRDefault="00562363" w:rsidP="00562363">
            <w:pPr>
              <w:spacing w:after="0" w:line="240" w:lineRule="auto"/>
              <w:rPr>
                <w:rFonts w:ascii="Arial" w:eastAsia="Times New Roman" w:hAnsi="Arial" w:cs="Arial"/>
                <w:color w:val="000000"/>
                <w:sz w:val="20"/>
                <w:szCs w:val="20"/>
              </w:rPr>
            </w:pPr>
            <w:r w:rsidRPr="00562363">
              <w:rPr>
                <w:rFonts w:ascii="Arial" w:eastAsia="Times New Roman" w:hAnsi="Arial" w:cs="Arial"/>
                <w:color w:val="000000"/>
                <w:sz w:val="20"/>
                <w:szCs w:val="20"/>
              </w:rPr>
              <w:t>468103 Borrowing &amp; Financing Fees</w:t>
            </w:r>
          </w:p>
        </w:tc>
      </w:tr>
      <w:tr w:rsidR="00562363" w:rsidRPr="00562363" w14:paraId="4DF01EC7" w14:textId="77777777" w:rsidTr="00562363">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671FC7D" w14:textId="77777777" w:rsidR="00562363" w:rsidRPr="00562363" w:rsidRDefault="00562363" w:rsidP="00562363">
            <w:pPr>
              <w:spacing w:after="0" w:line="240" w:lineRule="auto"/>
              <w:rPr>
                <w:rFonts w:ascii="Arial" w:eastAsia="Times New Roman" w:hAnsi="Arial" w:cs="Arial"/>
                <w:color w:val="000000"/>
                <w:sz w:val="20"/>
                <w:szCs w:val="20"/>
              </w:rPr>
            </w:pPr>
            <w:r w:rsidRPr="00562363">
              <w:rPr>
                <w:rFonts w:ascii="Arial" w:eastAsia="Times New Roman" w:hAnsi="Arial" w:cs="Arial"/>
                <w:color w:val="000000"/>
                <w:sz w:val="20"/>
                <w:szCs w:val="20"/>
              </w:rPr>
              <w:t>468200 Infrastructure - Interest</w:t>
            </w:r>
          </w:p>
        </w:tc>
      </w:tr>
      <w:tr w:rsidR="00562363" w:rsidRPr="00562363" w14:paraId="279741BC" w14:textId="77777777" w:rsidTr="00562363">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0FD98A31" w14:textId="77777777" w:rsidR="00562363" w:rsidRPr="00562363" w:rsidRDefault="00562363" w:rsidP="00562363">
            <w:pPr>
              <w:spacing w:after="0" w:line="240" w:lineRule="auto"/>
              <w:rPr>
                <w:rFonts w:ascii="Arial" w:eastAsia="Times New Roman" w:hAnsi="Arial" w:cs="Arial"/>
                <w:color w:val="000000"/>
                <w:sz w:val="20"/>
                <w:szCs w:val="20"/>
              </w:rPr>
            </w:pPr>
            <w:r w:rsidRPr="00562363">
              <w:rPr>
                <w:rFonts w:ascii="Arial" w:eastAsia="Times New Roman" w:hAnsi="Arial" w:cs="Arial"/>
                <w:color w:val="000000"/>
                <w:sz w:val="20"/>
                <w:szCs w:val="20"/>
              </w:rPr>
              <w:t>672511 AGSC Alloc Cost of Capital</w:t>
            </w:r>
          </w:p>
        </w:tc>
      </w:tr>
      <w:tr w:rsidR="00562363" w:rsidRPr="00562363" w14:paraId="4C0470C5" w14:textId="77777777" w:rsidTr="00562363">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70C18B28" w14:textId="77777777" w:rsidR="00562363" w:rsidRPr="00562363" w:rsidRDefault="00562363" w:rsidP="00562363">
            <w:pPr>
              <w:spacing w:after="0" w:line="240" w:lineRule="auto"/>
              <w:rPr>
                <w:rFonts w:ascii="Arial" w:eastAsia="Times New Roman" w:hAnsi="Arial" w:cs="Arial"/>
                <w:b/>
                <w:bCs/>
                <w:sz w:val="20"/>
                <w:szCs w:val="20"/>
              </w:rPr>
            </w:pPr>
            <w:r w:rsidRPr="00562363">
              <w:rPr>
                <w:rFonts w:ascii="Arial" w:eastAsia="Times New Roman" w:hAnsi="Arial" w:cs="Arial"/>
                <w:b/>
                <w:bCs/>
                <w:sz w:val="20"/>
                <w:szCs w:val="20"/>
              </w:rPr>
              <w:t>Other Interest Expense</w:t>
            </w:r>
          </w:p>
        </w:tc>
      </w:tr>
    </w:tbl>
    <w:p w14:paraId="0E2BEB12" w14:textId="45E5BBCC" w:rsidR="00562363" w:rsidRDefault="00562363" w:rsidP="00C214F4">
      <w:pPr>
        <w:spacing w:line="240" w:lineRule="auto"/>
        <w:ind w:left="1440" w:hanging="1440"/>
        <w:contextualSpacing/>
        <w:rPr>
          <w:rFonts w:ascii="Times New Roman" w:hAnsi="Times New Roman" w:cs="Times New Roman"/>
          <w:sz w:val="24"/>
          <w:szCs w:val="24"/>
        </w:rPr>
      </w:pPr>
    </w:p>
    <w:p w14:paraId="19626C09" w14:textId="6FD75076" w:rsidR="00562363" w:rsidRDefault="00562363" w:rsidP="00C214F4">
      <w:pPr>
        <w:spacing w:line="240" w:lineRule="auto"/>
        <w:ind w:left="1440" w:hanging="1440"/>
        <w:contextualSpacing/>
        <w:rPr>
          <w:rFonts w:ascii="Times New Roman" w:hAnsi="Times New Roman" w:cs="Times New Roman"/>
          <w:sz w:val="24"/>
          <w:szCs w:val="24"/>
        </w:rPr>
      </w:pPr>
    </w:p>
    <w:p w14:paraId="60C39032" w14:textId="77777777" w:rsidR="00562363" w:rsidRDefault="00562363" w:rsidP="00C214F4">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ab/>
      </w:r>
    </w:p>
    <w:p w14:paraId="3236ABBD" w14:textId="41226D30" w:rsidR="00562363" w:rsidRDefault="00562363" w:rsidP="00C214F4">
      <w:pPr>
        <w:spacing w:line="240" w:lineRule="auto"/>
        <w:ind w:left="1440" w:hanging="1440"/>
        <w:contextualSpacing/>
        <w:rPr>
          <w:rFonts w:ascii="Times New Roman" w:hAnsi="Times New Roman" w:cs="Times New Roman"/>
          <w:sz w:val="24"/>
          <w:szCs w:val="24"/>
        </w:rPr>
      </w:pPr>
    </w:p>
    <w:p w14:paraId="735B0415" w14:textId="77777777" w:rsidR="00562363" w:rsidRDefault="00562363" w:rsidP="00C214F4">
      <w:pPr>
        <w:spacing w:line="240" w:lineRule="auto"/>
        <w:ind w:left="1440" w:hanging="1440"/>
        <w:contextualSpacing/>
        <w:rPr>
          <w:rFonts w:ascii="Times New Roman" w:hAnsi="Times New Roman" w:cs="Times New Roman"/>
          <w:sz w:val="24"/>
          <w:szCs w:val="24"/>
        </w:rPr>
      </w:pPr>
    </w:p>
    <w:p w14:paraId="68C035B8" w14:textId="30D9CA4E" w:rsidR="00DD3806" w:rsidRDefault="00DD3806" w:rsidP="00C214F4">
      <w:pPr>
        <w:spacing w:line="240" w:lineRule="auto"/>
        <w:ind w:left="1440" w:hanging="1440"/>
        <w:contextualSpacing/>
        <w:rPr>
          <w:rFonts w:ascii="Times New Roman" w:hAnsi="Times New Roman" w:cs="Times New Roman"/>
          <w:sz w:val="24"/>
          <w:szCs w:val="24"/>
        </w:rPr>
      </w:pPr>
    </w:p>
    <w:p w14:paraId="2E32F2D8" w14:textId="77777777" w:rsidR="00DD3806" w:rsidRDefault="00DD3806" w:rsidP="00C214F4">
      <w:pPr>
        <w:spacing w:line="240" w:lineRule="auto"/>
        <w:ind w:left="1440" w:hanging="1440"/>
        <w:contextualSpacing/>
        <w:rPr>
          <w:rFonts w:ascii="Times New Roman" w:hAnsi="Times New Roman" w:cs="Times New Roman"/>
          <w:sz w:val="24"/>
          <w:szCs w:val="24"/>
        </w:rPr>
      </w:pPr>
    </w:p>
    <w:p w14:paraId="685C9FDB" w14:textId="1DF1086A" w:rsidR="00562363" w:rsidRDefault="00562363" w:rsidP="00177B58">
      <w:pPr>
        <w:spacing w:line="240" w:lineRule="auto"/>
        <w:ind w:left="1440" w:hanging="1440"/>
        <w:contextualSpacing/>
        <w:jc w:val="both"/>
        <w:rPr>
          <w:rFonts w:ascii="Times New Roman" w:hAnsi="Times New Roman" w:cs="Times New Roman"/>
          <w:sz w:val="24"/>
          <w:szCs w:val="24"/>
        </w:rPr>
      </w:pPr>
      <w:r>
        <w:rPr>
          <w:rFonts w:ascii="Times New Roman" w:hAnsi="Times New Roman" w:cs="Times New Roman"/>
          <w:sz w:val="24"/>
          <w:szCs w:val="24"/>
        </w:rPr>
        <w:tab/>
        <w:t xml:space="preserve">When reviewing the activity ending July 2022, the Total Other Interest Expense was $5,806,570. </w:t>
      </w:r>
    </w:p>
    <w:p w14:paraId="37111B21" w14:textId="77777777" w:rsidR="00562363" w:rsidRDefault="00562363" w:rsidP="00177B58">
      <w:pPr>
        <w:spacing w:line="240" w:lineRule="auto"/>
        <w:ind w:left="1440" w:hanging="1440"/>
        <w:contextualSpacing/>
        <w:jc w:val="both"/>
        <w:rPr>
          <w:rFonts w:ascii="Times New Roman" w:hAnsi="Times New Roman" w:cs="Times New Roman"/>
          <w:sz w:val="24"/>
          <w:szCs w:val="24"/>
        </w:rPr>
      </w:pPr>
    </w:p>
    <w:p w14:paraId="53F591F4" w14:textId="00E91448" w:rsidR="00955685" w:rsidRDefault="00562363" w:rsidP="00177B58">
      <w:pPr>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Please answer the following</w:t>
      </w:r>
      <w:r w:rsidR="00DF22CC">
        <w:rPr>
          <w:rFonts w:ascii="Times New Roman" w:hAnsi="Times New Roman" w:cs="Times New Roman"/>
          <w:sz w:val="24"/>
          <w:szCs w:val="24"/>
        </w:rPr>
        <w:t>:</w:t>
      </w:r>
    </w:p>
    <w:p w14:paraId="4A4415D4" w14:textId="6F3C8138" w:rsidR="00562363" w:rsidRDefault="00562363" w:rsidP="00177B58">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Why did AGL use the methodology descri</w:t>
      </w:r>
      <w:r w:rsidR="0075612E">
        <w:rPr>
          <w:rFonts w:ascii="Times New Roman" w:hAnsi="Times New Roman" w:cs="Times New Roman"/>
          <w:sz w:val="24"/>
          <w:szCs w:val="24"/>
        </w:rPr>
        <w:t>b</w:t>
      </w:r>
      <w:r>
        <w:rPr>
          <w:rFonts w:ascii="Times New Roman" w:hAnsi="Times New Roman" w:cs="Times New Roman"/>
          <w:sz w:val="24"/>
          <w:szCs w:val="24"/>
        </w:rPr>
        <w:t>ed above to calculat</w:t>
      </w:r>
      <w:r w:rsidR="0075612E">
        <w:rPr>
          <w:rFonts w:ascii="Times New Roman" w:hAnsi="Times New Roman" w:cs="Times New Roman"/>
          <w:sz w:val="24"/>
          <w:szCs w:val="24"/>
        </w:rPr>
        <w:t>e</w:t>
      </w:r>
      <w:r>
        <w:rPr>
          <w:rFonts w:ascii="Times New Roman" w:hAnsi="Times New Roman" w:cs="Times New Roman"/>
          <w:sz w:val="24"/>
          <w:szCs w:val="24"/>
        </w:rPr>
        <w:t xml:space="preserve"> </w:t>
      </w:r>
      <w:r w:rsidR="006F0558">
        <w:rPr>
          <w:rFonts w:ascii="Times New Roman" w:hAnsi="Times New Roman" w:cs="Times New Roman"/>
          <w:sz w:val="24"/>
          <w:szCs w:val="24"/>
        </w:rPr>
        <w:t>“</w:t>
      </w:r>
      <w:r>
        <w:rPr>
          <w:rFonts w:ascii="Times New Roman" w:hAnsi="Times New Roman" w:cs="Times New Roman"/>
          <w:sz w:val="24"/>
          <w:szCs w:val="24"/>
        </w:rPr>
        <w:t>Other Interest expense</w:t>
      </w:r>
      <w:r w:rsidR="006F0558">
        <w:rPr>
          <w:rFonts w:ascii="Times New Roman" w:hAnsi="Times New Roman" w:cs="Times New Roman"/>
          <w:sz w:val="24"/>
          <w:szCs w:val="24"/>
        </w:rPr>
        <w:t>”</w:t>
      </w:r>
      <w:r>
        <w:rPr>
          <w:rFonts w:ascii="Times New Roman" w:hAnsi="Times New Roman" w:cs="Times New Roman"/>
          <w:sz w:val="24"/>
          <w:szCs w:val="24"/>
        </w:rPr>
        <w:t xml:space="preserve"> instead of using historic activity ending July 2022?</w:t>
      </w:r>
      <w:r w:rsidR="00A92699">
        <w:rPr>
          <w:rFonts w:ascii="Times New Roman" w:hAnsi="Times New Roman" w:cs="Times New Roman"/>
          <w:sz w:val="24"/>
          <w:szCs w:val="24"/>
        </w:rPr>
        <w:t xml:space="preserve"> The projected dollar amount appears excessive compared to the historic actuals. </w:t>
      </w:r>
    </w:p>
    <w:p w14:paraId="706DA52E" w14:textId="77777777" w:rsidR="00562363" w:rsidRDefault="00562363" w:rsidP="00177B58">
      <w:pPr>
        <w:pStyle w:val="ListParagraph"/>
        <w:spacing w:line="240" w:lineRule="auto"/>
        <w:ind w:left="1800"/>
        <w:jc w:val="both"/>
        <w:rPr>
          <w:rFonts w:ascii="Times New Roman" w:hAnsi="Times New Roman" w:cs="Times New Roman"/>
          <w:sz w:val="24"/>
          <w:szCs w:val="24"/>
        </w:rPr>
      </w:pPr>
    </w:p>
    <w:p w14:paraId="4E2A66F6" w14:textId="5241F833" w:rsidR="00562363" w:rsidRDefault="00562363" w:rsidP="00177B58">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Why wouldn’t AGL use the </w:t>
      </w:r>
      <w:r w:rsidR="00A92699">
        <w:rPr>
          <w:rFonts w:ascii="Times New Roman" w:hAnsi="Times New Roman" w:cs="Times New Roman"/>
          <w:sz w:val="24"/>
          <w:szCs w:val="24"/>
        </w:rPr>
        <w:t xml:space="preserve">actual </w:t>
      </w:r>
      <w:r>
        <w:rPr>
          <w:rFonts w:ascii="Times New Roman" w:hAnsi="Times New Roman" w:cs="Times New Roman"/>
          <w:sz w:val="24"/>
          <w:szCs w:val="24"/>
        </w:rPr>
        <w:t>$5,806,570</w:t>
      </w:r>
      <w:r w:rsidR="00A92699">
        <w:rPr>
          <w:rFonts w:ascii="Times New Roman" w:hAnsi="Times New Roman" w:cs="Times New Roman"/>
          <w:sz w:val="24"/>
          <w:szCs w:val="24"/>
        </w:rPr>
        <w:t xml:space="preserve"> for the HTY, and then use the historic total to project Other Interest Expense through the FTY</w:t>
      </w:r>
      <w:r>
        <w:rPr>
          <w:rFonts w:ascii="Times New Roman" w:hAnsi="Times New Roman" w:cs="Times New Roman"/>
          <w:sz w:val="24"/>
          <w:szCs w:val="24"/>
        </w:rPr>
        <w:t>?</w:t>
      </w:r>
    </w:p>
    <w:p w14:paraId="4DC58A16" w14:textId="77777777" w:rsidR="0010245A" w:rsidRPr="0010245A" w:rsidRDefault="0010245A" w:rsidP="00177B58">
      <w:pPr>
        <w:pStyle w:val="ListParagraph"/>
        <w:jc w:val="both"/>
        <w:rPr>
          <w:rFonts w:ascii="Times New Roman" w:hAnsi="Times New Roman" w:cs="Times New Roman"/>
          <w:sz w:val="24"/>
          <w:szCs w:val="24"/>
        </w:rPr>
      </w:pPr>
    </w:p>
    <w:p w14:paraId="47DB93E5" w14:textId="5F554D8A" w:rsidR="0010245A" w:rsidRDefault="00D54F50" w:rsidP="00177B58">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STF-36-</w:t>
      </w:r>
      <w:r w:rsidR="00BC4DE2">
        <w:rPr>
          <w:rFonts w:ascii="Times New Roman" w:hAnsi="Times New Roman" w:cs="Times New Roman"/>
          <w:sz w:val="24"/>
          <w:szCs w:val="24"/>
        </w:rPr>
        <w:t>4</w:t>
      </w:r>
      <w:r>
        <w:rPr>
          <w:rFonts w:ascii="Times New Roman" w:hAnsi="Times New Roman" w:cs="Times New Roman"/>
          <w:sz w:val="24"/>
          <w:szCs w:val="24"/>
        </w:rPr>
        <w:tab/>
      </w:r>
      <w:r w:rsidR="00A07DC5" w:rsidRPr="00D54F50">
        <w:rPr>
          <w:rFonts w:ascii="Times New Roman" w:hAnsi="Times New Roman" w:cs="Times New Roman"/>
          <w:sz w:val="24"/>
          <w:szCs w:val="24"/>
        </w:rPr>
        <w:t>When reviewing GL 468100 in Table-</w:t>
      </w:r>
      <w:r w:rsidR="00BC4DE2">
        <w:rPr>
          <w:rFonts w:ascii="Times New Roman" w:hAnsi="Times New Roman" w:cs="Times New Roman"/>
          <w:sz w:val="24"/>
          <w:szCs w:val="24"/>
        </w:rPr>
        <w:t>1</w:t>
      </w:r>
      <w:r w:rsidR="00A07DC5" w:rsidRPr="00D54F50">
        <w:rPr>
          <w:rFonts w:ascii="Times New Roman" w:hAnsi="Times New Roman" w:cs="Times New Roman"/>
          <w:sz w:val="24"/>
          <w:szCs w:val="24"/>
        </w:rPr>
        <w:t xml:space="preserve"> above, AGL uses this account as part of Schedule-3 E23, “Interest on Customer Deposits</w:t>
      </w:r>
      <w:r w:rsidR="00DF22CC">
        <w:rPr>
          <w:rFonts w:ascii="Times New Roman" w:hAnsi="Times New Roman" w:cs="Times New Roman"/>
          <w:sz w:val="24"/>
          <w:szCs w:val="24"/>
        </w:rPr>
        <w:t>,</w:t>
      </w:r>
      <w:r w:rsidR="00A07DC5" w:rsidRPr="00D54F50">
        <w:rPr>
          <w:rFonts w:ascii="Times New Roman" w:hAnsi="Times New Roman" w:cs="Times New Roman"/>
          <w:sz w:val="24"/>
          <w:szCs w:val="24"/>
        </w:rPr>
        <w:t>” $10,663. Does AGL agree to remove this item since it is accounted for in the total Other Interest Expense, $5,806,570?</w:t>
      </w:r>
    </w:p>
    <w:p w14:paraId="48FCC327" w14:textId="77777777" w:rsidR="00AC6D72" w:rsidRDefault="00AC6D72" w:rsidP="00177B58">
      <w:pPr>
        <w:spacing w:line="240" w:lineRule="auto"/>
        <w:ind w:left="1440" w:hanging="1440"/>
        <w:contextualSpacing/>
        <w:jc w:val="both"/>
        <w:rPr>
          <w:rFonts w:ascii="Times New Roman" w:hAnsi="Times New Roman" w:cs="Times New Roman"/>
          <w:b/>
          <w:sz w:val="24"/>
          <w:szCs w:val="24"/>
          <w:u w:val="single"/>
        </w:rPr>
      </w:pPr>
    </w:p>
    <w:p w14:paraId="758CF31A" w14:textId="15FC0D9B" w:rsidR="006F5B86" w:rsidRPr="004B75EE" w:rsidRDefault="00AF0ED3" w:rsidP="004B75EE">
      <w:pPr>
        <w:spacing w:line="240" w:lineRule="auto"/>
        <w:ind w:left="1440" w:hanging="1440"/>
        <w:contextualSpacing/>
        <w:jc w:val="both"/>
        <w:rPr>
          <w:rFonts w:ascii="Times New Roman" w:hAnsi="Times New Roman" w:cs="Times New Roman"/>
          <w:b/>
          <w:sz w:val="24"/>
          <w:szCs w:val="24"/>
          <w:u w:val="single"/>
        </w:rPr>
      </w:pPr>
      <w:r w:rsidRPr="00AF0ED3">
        <w:rPr>
          <w:rFonts w:ascii="Times New Roman" w:hAnsi="Times New Roman" w:cs="Times New Roman"/>
          <w:b/>
          <w:sz w:val="24"/>
          <w:szCs w:val="24"/>
          <w:u w:val="single"/>
        </w:rPr>
        <w:t>Schedule</w:t>
      </w:r>
      <w:r w:rsidR="00AB4831">
        <w:rPr>
          <w:rFonts w:ascii="Times New Roman" w:hAnsi="Times New Roman" w:cs="Times New Roman"/>
          <w:b/>
          <w:sz w:val="24"/>
          <w:szCs w:val="24"/>
          <w:u w:val="single"/>
        </w:rPr>
        <w:t xml:space="preserve">s 8, 9, &amp; </w:t>
      </w:r>
      <w:r w:rsidRPr="00AF0ED3">
        <w:rPr>
          <w:rFonts w:ascii="Times New Roman" w:hAnsi="Times New Roman" w:cs="Times New Roman"/>
          <w:b/>
          <w:sz w:val="24"/>
          <w:szCs w:val="24"/>
          <w:u w:val="single"/>
        </w:rPr>
        <w:t>10</w:t>
      </w:r>
    </w:p>
    <w:p w14:paraId="3668EB1F" w14:textId="5EAFD500" w:rsidR="00844BB4" w:rsidRDefault="006F5B86" w:rsidP="006F0558">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ST</w:t>
      </w:r>
      <w:r w:rsidR="00844BB4">
        <w:rPr>
          <w:rFonts w:ascii="Times New Roman" w:hAnsi="Times New Roman" w:cs="Times New Roman"/>
          <w:sz w:val="24"/>
          <w:szCs w:val="24"/>
        </w:rPr>
        <w:t>F</w:t>
      </w:r>
      <w:r>
        <w:rPr>
          <w:rFonts w:ascii="Times New Roman" w:hAnsi="Times New Roman" w:cs="Times New Roman"/>
          <w:sz w:val="24"/>
          <w:szCs w:val="24"/>
        </w:rPr>
        <w:t>-36-</w:t>
      </w:r>
      <w:r w:rsidR="00BC4DE2">
        <w:rPr>
          <w:rFonts w:ascii="Times New Roman" w:hAnsi="Times New Roman" w:cs="Times New Roman"/>
          <w:sz w:val="24"/>
          <w:szCs w:val="24"/>
        </w:rPr>
        <w:t>5</w:t>
      </w:r>
      <w:r>
        <w:rPr>
          <w:rFonts w:ascii="Times New Roman" w:hAnsi="Times New Roman" w:cs="Times New Roman"/>
          <w:sz w:val="24"/>
          <w:szCs w:val="24"/>
        </w:rPr>
        <w:tab/>
      </w:r>
      <w:r w:rsidRPr="00674420">
        <w:rPr>
          <w:rFonts w:ascii="Times New Roman" w:hAnsi="Times New Roman" w:cs="Times New Roman"/>
          <w:sz w:val="24"/>
          <w:szCs w:val="24"/>
        </w:rPr>
        <w:t>Regarding the 2023 GRAM Schedule-10 and found in Table-</w:t>
      </w:r>
      <w:r w:rsidR="00BC4DE2">
        <w:rPr>
          <w:rFonts w:ascii="Times New Roman" w:hAnsi="Times New Roman" w:cs="Times New Roman"/>
          <w:sz w:val="24"/>
          <w:szCs w:val="24"/>
        </w:rPr>
        <w:t>2</w:t>
      </w:r>
      <w:r w:rsidRPr="00674420">
        <w:rPr>
          <w:rFonts w:ascii="Times New Roman" w:hAnsi="Times New Roman" w:cs="Times New Roman"/>
          <w:sz w:val="24"/>
          <w:szCs w:val="24"/>
        </w:rPr>
        <w:t xml:space="preserve"> below, </w:t>
      </w:r>
      <w:r w:rsidR="00927CEF">
        <w:rPr>
          <w:rFonts w:ascii="Times New Roman" w:hAnsi="Times New Roman" w:cs="Times New Roman"/>
          <w:sz w:val="24"/>
          <w:szCs w:val="24"/>
        </w:rPr>
        <w:t>p</w:t>
      </w:r>
      <w:r w:rsidR="00844BB4">
        <w:rPr>
          <w:rFonts w:ascii="Times New Roman" w:hAnsi="Times New Roman" w:cs="Times New Roman"/>
          <w:sz w:val="24"/>
          <w:szCs w:val="24"/>
        </w:rPr>
        <w:t>lease answer the following.</w:t>
      </w:r>
    </w:p>
    <w:p w14:paraId="28A1B00A" w14:textId="1A8B3FA3" w:rsidR="00844BB4" w:rsidRDefault="006F5B86" w:rsidP="00844BB4">
      <w:pPr>
        <w:pStyle w:val="ListParagraph"/>
        <w:numPr>
          <w:ilvl w:val="0"/>
          <w:numId w:val="26"/>
        </w:numPr>
        <w:spacing w:line="240" w:lineRule="auto"/>
        <w:rPr>
          <w:rFonts w:ascii="Times New Roman" w:hAnsi="Times New Roman" w:cs="Times New Roman"/>
          <w:sz w:val="24"/>
          <w:szCs w:val="24"/>
        </w:rPr>
      </w:pPr>
      <w:r w:rsidRPr="00844BB4">
        <w:rPr>
          <w:rFonts w:ascii="Times New Roman" w:hAnsi="Times New Roman" w:cs="Times New Roman"/>
          <w:sz w:val="24"/>
          <w:szCs w:val="24"/>
        </w:rPr>
        <w:t>Why doesn’t AGL show the “After Tax Weighted Cost of Capital” based on tax breaks related to debt?</w:t>
      </w:r>
    </w:p>
    <w:p w14:paraId="23215EA7" w14:textId="77777777" w:rsidR="00844BB4" w:rsidRDefault="00844BB4" w:rsidP="00844BB4">
      <w:pPr>
        <w:pStyle w:val="ListParagraph"/>
        <w:spacing w:line="240" w:lineRule="auto"/>
        <w:ind w:left="1800"/>
        <w:rPr>
          <w:rFonts w:ascii="Times New Roman" w:hAnsi="Times New Roman" w:cs="Times New Roman"/>
          <w:sz w:val="24"/>
          <w:szCs w:val="24"/>
        </w:rPr>
      </w:pPr>
    </w:p>
    <w:p w14:paraId="79760EA8" w14:textId="7759F13F" w:rsidR="00844BB4" w:rsidRPr="00844BB4" w:rsidRDefault="00844BB4" w:rsidP="00844BB4">
      <w:pPr>
        <w:pStyle w:val="ListParagraph"/>
        <w:numPr>
          <w:ilvl w:val="0"/>
          <w:numId w:val="26"/>
        </w:numPr>
        <w:spacing w:line="240" w:lineRule="auto"/>
        <w:rPr>
          <w:rFonts w:ascii="Times New Roman" w:hAnsi="Times New Roman" w:cs="Times New Roman"/>
          <w:sz w:val="24"/>
          <w:szCs w:val="24"/>
        </w:rPr>
      </w:pPr>
      <w:r>
        <w:rPr>
          <w:rFonts w:ascii="Times New Roman" w:hAnsi="Times New Roman" w:cs="Times New Roman"/>
          <w:sz w:val="24"/>
          <w:szCs w:val="24"/>
        </w:rPr>
        <w:t>Since the tax breaks, “After Tax Weighted Average Cost of Capital”, related to debt wasn’t provided in Schedule-10, does this cause an inaccuracy in any of the 2033 GRAM calculations tied to Schedule-10?</w:t>
      </w:r>
    </w:p>
    <w:p w14:paraId="11B7C457" w14:textId="05C6BBCE" w:rsidR="0080671C" w:rsidRDefault="0080671C" w:rsidP="006F5B86">
      <w:pPr>
        <w:pStyle w:val="ListParagraph"/>
        <w:spacing w:line="240" w:lineRule="auto"/>
        <w:ind w:left="1800"/>
        <w:rPr>
          <w:rFonts w:ascii="Times New Roman" w:hAnsi="Times New Roman" w:cs="Times New Roman"/>
          <w:b/>
          <w:sz w:val="24"/>
          <w:szCs w:val="24"/>
        </w:rPr>
      </w:pPr>
    </w:p>
    <w:p w14:paraId="341F6FEE" w14:textId="3515C9BD" w:rsidR="00DA1205" w:rsidRDefault="00DA1205" w:rsidP="006F5B86">
      <w:pPr>
        <w:pStyle w:val="ListParagraph"/>
        <w:spacing w:line="240" w:lineRule="auto"/>
        <w:ind w:left="1800"/>
        <w:rPr>
          <w:rFonts w:ascii="Times New Roman" w:hAnsi="Times New Roman" w:cs="Times New Roman"/>
          <w:b/>
          <w:sz w:val="24"/>
          <w:szCs w:val="24"/>
        </w:rPr>
      </w:pPr>
    </w:p>
    <w:p w14:paraId="1FE92E0E" w14:textId="4F98931F" w:rsidR="00DA1205" w:rsidRDefault="00DA1205" w:rsidP="006F5B86">
      <w:pPr>
        <w:pStyle w:val="ListParagraph"/>
        <w:spacing w:line="240" w:lineRule="auto"/>
        <w:ind w:left="1800"/>
        <w:rPr>
          <w:rFonts w:ascii="Times New Roman" w:hAnsi="Times New Roman" w:cs="Times New Roman"/>
          <w:b/>
          <w:sz w:val="24"/>
          <w:szCs w:val="24"/>
        </w:rPr>
      </w:pPr>
    </w:p>
    <w:p w14:paraId="2B50E368" w14:textId="5930C9C6" w:rsidR="00DA1205" w:rsidRDefault="00DA1205" w:rsidP="006F5B86">
      <w:pPr>
        <w:pStyle w:val="ListParagraph"/>
        <w:spacing w:line="240" w:lineRule="auto"/>
        <w:ind w:left="1800"/>
        <w:rPr>
          <w:rFonts w:ascii="Times New Roman" w:hAnsi="Times New Roman" w:cs="Times New Roman"/>
          <w:b/>
          <w:sz w:val="24"/>
          <w:szCs w:val="24"/>
        </w:rPr>
      </w:pPr>
    </w:p>
    <w:p w14:paraId="3FB98539" w14:textId="4B38C2CF" w:rsidR="00DA1205" w:rsidRDefault="00DA1205" w:rsidP="006F5B86">
      <w:pPr>
        <w:pStyle w:val="ListParagraph"/>
        <w:spacing w:line="240" w:lineRule="auto"/>
        <w:ind w:left="1800"/>
        <w:rPr>
          <w:rFonts w:ascii="Times New Roman" w:hAnsi="Times New Roman" w:cs="Times New Roman"/>
          <w:b/>
          <w:sz w:val="24"/>
          <w:szCs w:val="24"/>
        </w:rPr>
      </w:pPr>
    </w:p>
    <w:p w14:paraId="5B9656A4" w14:textId="3186AA72" w:rsidR="00DA1205" w:rsidRDefault="00DA1205" w:rsidP="006F5B86">
      <w:pPr>
        <w:pStyle w:val="ListParagraph"/>
        <w:spacing w:line="240" w:lineRule="auto"/>
        <w:ind w:left="1800"/>
        <w:rPr>
          <w:rFonts w:ascii="Times New Roman" w:hAnsi="Times New Roman" w:cs="Times New Roman"/>
          <w:b/>
          <w:sz w:val="24"/>
          <w:szCs w:val="24"/>
        </w:rPr>
      </w:pPr>
    </w:p>
    <w:p w14:paraId="16459B3A" w14:textId="0760C250" w:rsidR="00DA1205" w:rsidRDefault="00DA1205" w:rsidP="006F5B86">
      <w:pPr>
        <w:pStyle w:val="ListParagraph"/>
        <w:spacing w:line="240" w:lineRule="auto"/>
        <w:ind w:left="1800"/>
        <w:rPr>
          <w:rFonts w:ascii="Times New Roman" w:hAnsi="Times New Roman" w:cs="Times New Roman"/>
          <w:b/>
          <w:sz w:val="24"/>
          <w:szCs w:val="24"/>
        </w:rPr>
      </w:pPr>
    </w:p>
    <w:p w14:paraId="260B1A0E" w14:textId="12F35E42" w:rsidR="00DA1205" w:rsidRDefault="00DA1205" w:rsidP="006F5B86">
      <w:pPr>
        <w:pStyle w:val="ListParagraph"/>
        <w:spacing w:line="240" w:lineRule="auto"/>
        <w:ind w:left="1800"/>
        <w:rPr>
          <w:rFonts w:ascii="Times New Roman" w:hAnsi="Times New Roman" w:cs="Times New Roman"/>
          <w:b/>
          <w:sz w:val="24"/>
          <w:szCs w:val="24"/>
        </w:rPr>
      </w:pPr>
    </w:p>
    <w:p w14:paraId="1D73D548" w14:textId="7FC9F3AF" w:rsidR="00DA1205" w:rsidRDefault="00DA1205" w:rsidP="006F5B86">
      <w:pPr>
        <w:pStyle w:val="ListParagraph"/>
        <w:spacing w:line="240" w:lineRule="auto"/>
        <w:ind w:left="1800"/>
        <w:rPr>
          <w:rFonts w:ascii="Times New Roman" w:hAnsi="Times New Roman" w:cs="Times New Roman"/>
          <w:b/>
          <w:sz w:val="24"/>
          <w:szCs w:val="24"/>
        </w:rPr>
      </w:pPr>
    </w:p>
    <w:p w14:paraId="01967A30" w14:textId="77777777" w:rsidR="00DA1205" w:rsidRDefault="00DA1205" w:rsidP="006F5B86">
      <w:pPr>
        <w:pStyle w:val="ListParagraph"/>
        <w:spacing w:line="240" w:lineRule="auto"/>
        <w:ind w:left="1800"/>
        <w:rPr>
          <w:rFonts w:ascii="Times New Roman" w:hAnsi="Times New Roman" w:cs="Times New Roman"/>
          <w:b/>
          <w:sz w:val="24"/>
          <w:szCs w:val="24"/>
        </w:rPr>
      </w:pPr>
    </w:p>
    <w:p w14:paraId="1BB19AA6" w14:textId="6B151380" w:rsidR="00844BB4" w:rsidRPr="00844BB4" w:rsidRDefault="00844BB4" w:rsidP="006F5B86">
      <w:pPr>
        <w:pStyle w:val="ListParagraph"/>
        <w:spacing w:line="240" w:lineRule="auto"/>
        <w:ind w:left="1800"/>
        <w:rPr>
          <w:rFonts w:ascii="Times New Roman" w:hAnsi="Times New Roman" w:cs="Times New Roman"/>
          <w:b/>
          <w:sz w:val="24"/>
          <w:szCs w:val="24"/>
        </w:rPr>
      </w:pPr>
      <w:r w:rsidRPr="00844BB4">
        <w:rPr>
          <w:rFonts w:ascii="Times New Roman" w:hAnsi="Times New Roman" w:cs="Times New Roman"/>
          <w:b/>
          <w:sz w:val="24"/>
          <w:szCs w:val="24"/>
        </w:rPr>
        <w:lastRenderedPageBreak/>
        <w:t>Table-5: Schedule -</w:t>
      </w:r>
      <w:r w:rsidR="00BC4DE2">
        <w:rPr>
          <w:rFonts w:ascii="Times New Roman" w:hAnsi="Times New Roman" w:cs="Times New Roman"/>
          <w:b/>
          <w:sz w:val="24"/>
          <w:szCs w:val="24"/>
        </w:rPr>
        <w:t>2</w:t>
      </w:r>
      <w:r w:rsidRPr="00844BB4">
        <w:rPr>
          <w:rFonts w:ascii="Times New Roman" w:hAnsi="Times New Roman" w:cs="Times New Roman"/>
          <w:b/>
          <w:sz w:val="24"/>
          <w:szCs w:val="24"/>
        </w:rPr>
        <w:t xml:space="preserve"> Capital Structure </w:t>
      </w:r>
    </w:p>
    <w:p w14:paraId="0A773FAC" w14:textId="419F0DFF" w:rsidR="00844BB4" w:rsidRDefault="00844BB4" w:rsidP="006F5B86">
      <w:pPr>
        <w:pStyle w:val="ListParagraph"/>
        <w:spacing w:line="240" w:lineRule="auto"/>
        <w:ind w:left="1800"/>
        <w:rPr>
          <w:rFonts w:ascii="Times New Roman" w:hAnsi="Times New Roman" w:cs="Times New Roman"/>
          <w:sz w:val="24"/>
          <w:szCs w:val="24"/>
        </w:rPr>
      </w:pPr>
      <w:r>
        <w:rPr>
          <w:noProof/>
        </w:rPr>
        <w:drawing>
          <wp:inline distT="0" distB="0" distL="0" distR="0" wp14:anchorId="0DE8BC72" wp14:editId="37F1FDE6">
            <wp:extent cx="4067175" cy="2228249"/>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76011" cy="2233090"/>
                    </a:xfrm>
                    <a:prstGeom prst="rect">
                      <a:avLst/>
                    </a:prstGeom>
                  </pic:spPr>
                </pic:pic>
              </a:graphicData>
            </a:graphic>
          </wp:inline>
        </w:drawing>
      </w:r>
    </w:p>
    <w:p w14:paraId="56A24673" w14:textId="480CFB15" w:rsidR="00562363" w:rsidRDefault="00562363" w:rsidP="00F577B8">
      <w:pPr>
        <w:spacing w:line="240" w:lineRule="auto"/>
        <w:contextualSpacing/>
        <w:jc w:val="both"/>
        <w:rPr>
          <w:rFonts w:ascii="Times New Roman" w:hAnsi="Times New Roman" w:cs="Times New Roman"/>
          <w:sz w:val="24"/>
          <w:szCs w:val="24"/>
        </w:rPr>
      </w:pPr>
    </w:p>
    <w:p w14:paraId="016C502F" w14:textId="072666DB" w:rsidR="00F577B8" w:rsidRPr="00F577B8" w:rsidRDefault="00D31188" w:rsidP="00F577B8">
      <w:pPr>
        <w:spacing w:line="240" w:lineRule="auto"/>
        <w:ind w:left="1440" w:hanging="1440"/>
        <w:contextualSpacing/>
        <w:jc w:val="both"/>
        <w:rPr>
          <w:rFonts w:ascii="Times New Roman" w:hAnsi="Times New Roman" w:cs="Times New Roman"/>
          <w:sz w:val="24"/>
          <w:szCs w:val="24"/>
        </w:rPr>
      </w:pPr>
      <w:r>
        <w:rPr>
          <w:rFonts w:ascii="Times New Roman" w:hAnsi="Times New Roman" w:cs="Times New Roman"/>
          <w:sz w:val="24"/>
          <w:szCs w:val="24"/>
        </w:rPr>
        <w:t>STF-36-</w:t>
      </w:r>
      <w:r w:rsidR="00BC4DE2">
        <w:rPr>
          <w:rFonts w:ascii="Times New Roman" w:hAnsi="Times New Roman" w:cs="Times New Roman"/>
          <w:sz w:val="24"/>
          <w:szCs w:val="24"/>
        </w:rPr>
        <w:t>6</w:t>
      </w:r>
      <w:r>
        <w:rPr>
          <w:rFonts w:ascii="Times New Roman" w:hAnsi="Times New Roman" w:cs="Times New Roman"/>
          <w:sz w:val="24"/>
          <w:szCs w:val="24"/>
        </w:rPr>
        <w:tab/>
      </w:r>
      <w:r w:rsidR="00F577B8" w:rsidRPr="00F577B8">
        <w:rPr>
          <w:rFonts w:ascii="Times New Roman" w:hAnsi="Times New Roman" w:cs="Times New Roman"/>
          <w:sz w:val="24"/>
          <w:szCs w:val="24"/>
        </w:rPr>
        <w:t xml:space="preserve">Related to the Inflation Reduction Act approved by Congress and signed into law by the president, please answer the following. </w:t>
      </w:r>
    </w:p>
    <w:p w14:paraId="35091D16" w14:textId="442841A9" w:rsidR="00D31188" w:rsidRDefault="00F577B8" w:rsidP="00177B58">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As part of a revised</w:t>
      </w:r>
      <w:r w:rsidR="00FA46A6">
        <w:rPr>
          <w:rFonts w:ascii="Times New Roman" w:hAnsi="Times New Roman" w:cs="Times New Roman"/>
          <w:sz w:val="24"/>
          <w:szCs w:val="24"/>
        </w:rPr>
        <w:t xml:space="preserve"> 2023 GRAM</w:t>
      </w:r>
      <w:r>
        <w:rPr>
          <w:rFonts w:ascii="Times New Roman" w:hAnsi="Times New Roman" w:cs="Times New Roman"/>
          <w:sz w:val="24"/>
          <w:szCs w:val="24"/>
        </w:rPr>
        <w:t xml:space="preserve"> filing</w:t>
      </w:r>
      <w:r w:rsidR="00FA46A6">
        <w:rPr>
          <w:rFonts w:ascii="Times New Roman" w:hAnsi="Times New Roman" w:cs="Times New Roman"/>
          <w:sz w:val="24"/>
          <w:szCs w:val="24"/>
        </w:rPr>
        <w:t xml:space="preserve">, </w:t>
      </w:r>
      <w:r>
        <w:rPr>
          <w:rFonts w:ascii="Times New Roman" w:hAnsi="Times New Roman" w:cs="Times New Roman"/>
          <w:sz w:val="24"/>
          <w:szCs w:val="24"/>
        </w:rPr>
        <w:t>please file a Corporate Tax Impact GRAM Report to explain how an increase in the corporate income tax will impact the capital budget and O&amp;M budgets. Please provide a list of areas in the model</w:t>
      </w:r>
      <w:r w:rsidR="00FC7E7B">
        <w:rPr>
          <w:rFonts w:ascii="Times New Roman" w:hAnsi="Times New Roman" w:cs="Times New Roman"/>
          <w:sz w:val="24"/>
          <w:szCs w:val="24"/>
        </w:rPr>
        <w:t xml:space="preserve"> that may be</w:t>
      </w:r>
      <w:r>
        <w:rPr>
          <w:rFonts w:ascii="Times New Roman" w:hAnsi="Times New Roman" w:cs="Times New Roman"/>
          <w:sz w:val="24"/>
          <w:szCs w:val="24"/>
        </w:rPr>
        <w:t xml:space="preserve"> impacted by the change in the corporate tax rate. </w:t>
      </w:r>
    </w:p>
    <w:p w14:paraId="31B7718A" w14:textId="77777777" w:rsidR="00E433DD" w:rsidRDefault="00E433DD" w:rsidP="00177B58">
      <w:pPr>
        <w:pStyle w:val="ListParagraph"/>
        <w:spacing w:line="240" w:lineRule="auto"/>
        <w:ind w:left="1800"/>
        <w:jc w:val="both"/>
        <w:rPr>
          <w:rFonts w:ascii="Times New Roman" w:hAnsi="Times New Roman" w:cs="Times New Roman"/>
          <w:sz w:val="24"/>
          <w:szCs w:val="24"/>
        </w:rPr>
      </w:pPr>
    </w:p>
    <w:p w14:paraId="40A15A34" w14:textId="77777777" w:rsidR="00F577B8" w:rsidRDefault="00F577B8" w:rsidP="00F577B8">
      <w:pPr>
        <w:pStyle w:val="ListParagraph"/>
        <w:spacing w:line="240" w:lineRule="auto"/>
        <w:ind w:left="1800"/>
        <w:jc w:val="both"/>
        <w:rPr>
          <w:rFonts w:ascii="Times New Roman" w:hAnsi="Times New Roman" w:cs="Times New Roman"/>
          <w:sz w:val="24"/>
          <w:szCs w:val="24"/>
        </w:rPr>
      </w:pPr>
    </w:p>
    <w:p w14:paraId="4CF1BA00" w14:textId="59B1AADA" w:rsidR="00290763" w:rsidRDefault="00FA46A6" w:rsidP="00AC6D72">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When considering a possible increase in the corporate income tax rate beginning January 1, 2023, please provide a discussion on how this impacts AGL’s contracts</w:t>
      </w:r>
      <w:r w:rsidR="00820675">
        <w:rPr>
          <w:rFonts w:ascii="Times New Roman" w:hAnsi="Times New Roman" w:cs="Times New Roman"/>
          <w:sz w:val="24"/>
          <w:szCs w:val="24"/>
        </w:rPr>
        <w:t xml:space="preserve">. If contractors also have an increase in the corporate income tax rate, how does this impact AGL, and does this mean </w:t>
      </w:r>
      <w:r w:rsidR="00CA60CB">
        <w:rPr>
          <w:rFonts w:ascii="Times New Roman" w:hAnsi="Times New Roman" w:cs="Times New Roman"/>
          <w:sz w:val="24"/>
          <w:szCs w:val="24"/>
        </w:rPr>
        <w:t xml:space="preserve">the contracts </w:t>
      </w:r>
      <w:r w:rsidR="00820675">
        <w:rPr>
          <w:rFonts w:ascii="Times New Roman" w:hAnsi="Times New Roman" w:cs="Times New Roman"/>
          <w:sz w:val="24"/>
          <w:szCs w:val="24"/>
        </w:rPr>
        <w:t xml:space="preserve">will have to be renegotiated or are </w:t>
      </w:r>
      <w:r w:rsidR="00FC7E7B">
        <w:rPr>
          <w:rFonts w:ascii="Times New Roman" w:hAnsi="Times New Roman" w:cs="Times New Roman"/>
          <w:sz w:val="24"/>
          <w:szCs w:val="24"/>
        </w:rPr>
        <w:t xml:space="preserve">there </w:t>
      </w:r>
      <w:r w:rsidR="00820675">
        <w:rPr>
          <w:rFonts w:ascii="Times New Roman" w:hAnsi="Times New Roman" w:cs="Times New Roman"/>
          <w:sz w:val="24"/>
          <w:szCs w:val="24"/>
        </w:rPr>
        <w:t>certain clauses</w:t>
      </w:r>
      <w:r w:rsidR="00FC7E7B">
        <w:rPr>
          <w:rFonts w:ascii="Times New Roman" w:hAnsi="Times New Roman" w:cs="Times New Roman"/>
          <w:sz w:val="24"/>
          <w:szCs w:val="24"/>
        </w:rPr>
        <w:t xml:space="preserve"> in the existing contract</w:t>
      </w:r>
      <w:r w:rsidR="00820675">
        <w:rPr>
          <w:rFonts w:ascii="Times New Roman" w:hAnsi="Times New Roman" w:cs="Times New Roman"/>
          <w:sz w:val="24"/>
          <w:szCs w:val="24"/>
        </w:rPr>
        <w:t xml:space="preserve"> that will be triggered?</w:t>
      </w:r>
    </w:p>
    <w:p w14:paraId="263CBB3E" w14:textId="77777777" w:rsidR="00597CEC" w:rsidRPr="00AC6D72" w:rsidRDefault="00597CEC" w:rsidP="004B75EE">
      <w:pPr>
        <w:pStyle w:val="ListParagraph"/>
        <w:spacing w:line="240" w:lineRule="auto"/>
        <w:ind w:left="1800"/>
        <w:jc w:val="both"/>
        <w:rPr>
          <w:rFonts w:ascii="Times New Roman" w:hAnsi="Times New Roman" w:cs="Times New Roman"/>
          <w:sz w:val="24"/>
          <w:szCs w:val="24"/>
        </w:rPr>
      </w:pPr>
    </w:p>
    <w:p w14:paraId="49A79139" w14:textId="1D179E6F" w:rsidR="0097012B" w:rsidRDefault="00290763" w:rsidP="00177B58">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On Schedule-9 B21, AGL has what it calls a “Tax Expansion Factor”</w:t>
      </w:r>
      <w:r w:rsidR="00597CEC">
        <w:rPr>
          <w:rFonts w:ascii="Times New Roman" w:hAnsi="Times New Roman" w:cs="Times New Roman"/>
          <w:sz w:val="24"/>
          <w:szCs w:val="24"/>
        </w:rPr>
        <w:t>.</w:t>
      </w:r>
      <w:r>
        <w:rPr>
          <w:rFonts w:ascii="Times New Roman" w:hAnsi="Times New Roman" w:cs="Times New Roman"/>
          <w:sz w:val="24"/>
          <w:szCs w:val="24"/>
        </w:rPr>
        <w:t xml:space="preserve"> On Schedule-11a B19, AGL uses the term “Income Expansion Factor”. For consistency, will AGL call this a “Tax Revenue Expansion Factor” in both Schedules 9 and 11a? </w:t>
      </w:r>
    </w:p>
    <w:p w14:paraId="3C7B2464" w14:textId="77777777" w:rsidR="0097012B" w:rsidRPr="0097012B" w:rsidRDefault="0097012B" w:rsidP="00177B58">
      <w:pPr>
        <w:pStyle w:val="ListParagraph"/>
        <w:jc w:val="both"/>
        <w:rPr>
          <w:rFonts w:ascii="Times New Roman" w:hAnsi="Times New Roman" w:cs="Times New Roman"/>
          <w:sz w:val="24"/>
          <w:szCs w:val="24"/>
        </w:rPr>
      </w:pPr>
    </w:p>
    <w:p w14:paraId="5735FB2C" w14:textId="76190B0C" w:rsidR="00290763" w:rsidRPr="00D31188" w:rsidRDefault="00290763" w:rsidP="00177B58">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discuss how an increase in the corporate income tax rate to 28% changes AGL’s </w:t>
      </w:r>
      <w:r w:rsidR="004250C4">
        <w:rPr>
          <w:rFonts w:ascii="Times New Roman" w:hAnsi="Times New Roman" w:cs="Times New Roman"/>
          <w:sz w:val="24"/>
          <w:szCs w:val="24"/>
        </w:rPr>
        <w:t xml:space="preserve">Tax </w:t>
      </w:r>
      <w:r w:rsidR="004D18D0">
        <w:rPr>
          <w:rFonts w:ascii="Times New Roman" w:hAnsi="Times New Roman" w:cs="Times New Roman"/>
          <w:sz w:val="24"/>
          <w:szCs w:val="24"/>
        </w:rPr>
        <w:t>Revenue Expansion Factor calculation.</w:t>
      </w:r>
    </w:p>
    <w:p w14:paraId="12692E6A" w14:textId="04DA2F6D" w:rsidR="009245E9" w:rsidRDefault="009245E9" w:rsidP="00AC6D72">
      <w:pPr>
        <w:spacing w:line="240" w:lineRule="auto"/>
        <w:contextualSpacing/>
        <w:rPr>
          <w:rFonts w:ascii="Times New Roman" w:hAnsi="Times New Roman" w:cs="Times New Roman"/>
          <w:b/>
          <w:sz w:val="24"/>
          <w:szCs w:val="24"/>
          <w:u w:val="single"/>
        </w:rPr>
      </w:pPr>
    </w:p>
    <w:p w14:paraId="415A0D9D" w14:textId="77777777" w:rsidR="00DA1205" w:rsidRPr="00194382" w:rsidRDefault="00DA1205" w:rsidP="00AC6D72">
      <w:pPr>
        <w:spacing w:line="240" w:lineRule="auto"/>
        <w:contextualSpacing/>
        <w:rPr>
          <w:rFonts w:ascii="Times New Roman" w:hAnsi="Times New Roman" w:cs="Times New Roman"/>
          <w:b/>
          <w:sz w:val="24"/>
          <w:szCs w:val="24"/>
          <w:u w:val="single"/>
        </w:rPr>
      </w:pPr>
    </w:p>
    <w:p w14:paraId="43F77FAE" w14:textId="6E580A68" w:rsidR="00DA259A" w:rsidRPr="00194382" w:rsidRDefault="00DD7CE1" w:rsidP="00C214F4">
      <w:pPr>
        <w:spacing w:line="240" w:lineRule="auto"/>
        <w:ind w:left="1440" w:hanging="1440"/>
        <w:contextualSpacing/>
        <w:rPr>
          <w:rFonts w:ascii="Times New Roman" w:hAnsi="Times New Roman" w:cs="Times New Roman"/>
          <w:b/>
          <w:sz w:val="24"/>
          <w:szCs w:val="24"/>
          <w:u w:val="single"/>
        </w:rPr>
      </w:pPr>
      <w:r w:rsidRPr="00194382">
        <w:rPr>
          <w:rFonts w:ascii="Times New Roman" w:hAnsi="Times New Roman" w:cs="Times New Roman"/>
          <w:b/>
          <w:sz w:val="24"/>
          <w:szCs w:val="24"/>
          <w:u w:val="single"/>
        </w:rPr>
        <w:t>Schedule-11a</w:t>
      </w:r>
      <w:r w:rsidR="00A25863">
        <w:rPr>
          <w:rFonts w:ascii="Times New Roman" w:hAnsi="Times New Roman" w:cs="Times New Roman"/>
          <w:b/>
          <w:sz w:val="24"/>
          <w:szCs w:val="24"/>
          <w:u w:val="single"/>
        </w:rPr>
        <w:t xml:space="preserve"> &amp; 11b</w:t>
      </w:r>
    </w:p>
    <w:p w14:paraId="0C9BBB89" w14:textId="23906C7E" w:rsidR="00E70D48" w:rsidRPr="00FD1B3F" w:rsidRDefault="00DD7CE1" w:rsidP="00196366">
      <w:pPr>
        <w:spacing w:line="240" w:lineRule="auto"/>
        <w:ind w:left="1440" w:hanging="1440"/>
        <w:contextualSpacing/>
        <w:jc w:val="both"/>
        <w:rPr>
          <w:rFonts w:ascii="Times New Roman" w:hAnsi="Times New Roman" w:cs="Times New Roman"/>
          <w:sz w:val="24"/>
          <w:szCs w:val="24"/>
        </w:rPr>
      </w:pPr>
      <w:r>
        <w:rPr>
          <w:rFonts w:ascii="Times New Roman" w:hAnsi="Times New Roman" w:cs="Times New Roman"/>
          <w:sz w:val="24"/>
          <w:szCs w:val="24"/>
        </w:rPr>
        <w:t>STF-36-</w:t>
      </w:r>
      <w:r w:rsidR="00BC4DE2">
        <w:rPr>
          <w:rFonts w:ascii="Times New Roman" w:hAnsi="Times New Roman" w:cs="Times New Roman"/>
          <w:sz w:val="24"/>
          <w:szCs w:val="24"/>
        </w:rPr>
        <w:t>7</w:t>
      </w:r>
      <w:r w:rsidR="00196366">
        <w:rPr>
          <w:rFonts w:ascii="Times New Roman" w:hAnsi="Times New Roman" w:cs="Times New Roman"/>
          <w:sz w:val="24"/>
          <w:szCs w:val="24"/>
        </w:rPr>
        <w:tab/>
      </w:r>
      <w:r w:rsidR="00194382">
        <w:rPr>
          <w:rFonts w:ascii="Times New Roman" w:hAnsi="Times New Roman" w:cs="Times New Roman"/>
          <w:sz w:val="24"/>
          <w:szCs w:val="24"/>
        </w:rPr>
        <w:t>When reviewing Schedule-11a Line-24, “</w:t>
      </w:r>
      <w:r w:rsidR="00194382" w:rsidRPr="00194382">
        <w:rPr>
          <w:rFonts w:ascii="Times New Roman" w:hAnsi="Times New Roman" w:cs="Times New Roman"/>
          <w:sz w:val="24"/>
          <w:szCs w:val="24"/>
        </w:rPr>
        <w:t>Less: ECON-1 Revenue Requirement (Calc on WP 13)</w:t>
      </w:r>
      <w:r w:rsidR="00194382">
        <w:rPr>
          <w:rFonts w:ascii="Times New Roman" w:hAnsi="Times New Roman" w:cs="Times New Roman"/>
          <w:sz w:val="24"/>
          <w:szCs w:val="24"/>
        </w:rPr>
        <w:t>”</w:t>
      </w:r>
      <w:r w:rsidR="00E70D48">
        <w:rPr>
          <w:rFonts w:ascii="Times New Roman" w:hAnsi="Times New Roman" w:cs="Times New Roman"/>
          <w:sz w:val="24"/>
          <w:szCs w:val="24"/>
        </w:rPr>
        <w:t xml:space="preserve">, AGL has a dollar amount totaling $1,403,767. </w:t>
      </w:r>
      <w:r w:rsidR="00FD1B3F">
        <w:rPr>
          <w:rFonts w:ascii="Times New Roman" w:hAnsi="Times New Roman" w:cs="Times New Roman"/>
          <w:sz w:val="24"/>
          <w:szCs w:val="24"/>
        </w:rPr>
        <w:t>When reviewing Schedule-11a Line-25, “</w:t>
      </w:r>
      <w:r w:rsidR="00FD1B3F" w:rsidRPr="00C064B6">
        <w:rPr>
          <w:rFonts w:ascii="Times New Roman" w:hAnsi="Times New Roman" w:cs="Times New Roman"/>
          <w:sz w:val="24"/>
          <w:szCs w:val="24"/>
        </w:rPr>
        <w:t>Less: LNG Expansion Revenue Requirement (Calc on WP 13)</w:t>
      </w:r>
      <w:r w:rsidR="00FD1B3F">
        <w:rPr>
          <w:rFonts w:ascii="Times New Roman" w:hAnsi="Times New Roman" w:cs="Times New Roman"/>
          <w:sz w:val="24"/>
          <w:szCs w:val="24"/>
        </w:rPr>
        <w:t xml:space="preserve">”, AGL has a dollar amount totaling $1,548,435. </w:t>
      </w:r>
      <w:r w:rsidR="00B832D8">
        <w:rPr>
          <w:rFonts w:ascii="Times New Roman" w:hAnsi="Times New Roman" w:cs="Times New Roman"/>
          <w:sz w:val="24"/>
          <w:szCs w:val="24"/>
        </w:rPr>
        <w:t xml:space="preserve">Additionally, in Schedule-11b </w:t>
      </w:r>
      <w:r w:rsidR="00B832D8">
        <w:rPr>
          <w:rFonts w:ascii="Times New Roman" w:hAnsi="Times New Roman" w:cs="Times New Roman"/>
          <w:sz w:val="24"/>
          <w:szCs w:val="24"/>
        </w:rPr>
        <w:lastRenderedPageBreak/>
        <w:t xml:space="preserve">Q77, AGL listed a total rate base revenue of $51,500,000, then added ECON-1, $1,403,767, added LNG tank $1,548,435, and added the 2021 RTU credit, ($1,745,342) for the $52,706,859 </w:t>
      </w:r>
      <w:r w:rsidR="00094BE9">
        <w:rPr>
          <w:rFonts w:ascii="Times New Roman" w:hAnsi="Times New Roman" w:cs="Times New Roman"/>
          <w:sz w:val="24"/>
          <w:szCs w:val="24"/>
        </w:rPr>
        <w:t>found in Schedule-11a Line-15.</w:t>
      </w:r>
      <w:r w:rsidR="001452A4">
        <w:rPr>
          <w:rFonts w:ascii="Times New Roman" w:hAnsi="Times New Roman" w:cs="Times New Roman"/>
          <w:sz w:val="24"/>
          <w:szCs w:val="24"/>
        </w:rPr>
        <w:t xml:space="preserve"> See Table-</w:t>
      </w:r>
      <w:r w:rsidR="00BC4DE2">
        <w:rPr>
          <w:rFonts w:ascii="Times New Roman" w:hAnsi="Times New Roman" w:cs="Times New Roman"/>
          <w:sz w:val="24"/>
          <w:szCs w:val="24"/>
        </w:rPr>
        <w:t>3</w:t>
      </w:r>
      <w:r w:rsidR="006237B5">
        <w:rPr>
          <w:rFonts w:ascii="Times New Roman" w:hAnsi="Times New Roman" w:cs="Times New Roman"/>
          <w:sz w:val="24"/>
          <w:szCs w:val="24"/>
        </w:rPr>
        <w:t xml:space="preserve">a and </w:t>
      </w:r>
      <w:r w:rsidR="00BC4DE2">
        <w:rPr>
          <w:rFonts w:ascii="Times New Roman" w:hAnsi="Times New Roman" w:cs="Times New Roman"/>
          <w:sz w:val="24"/>
          <w:szCs w:val="24"/>
        </w:rPr>
        <w:t>3</w:t>
      </w:r>
      <w:r w:rsidR="006237B5">
        <w:rPr>
          <w:rFonts w:ascii="Times New Roman" w:hAnsi="Times New Roman" w:cs="Times New Roman"/>
          <w:sz w:val="24"/>
          <w:szCs w:val="24"/>
        </w:rPr>
        <w:t>b</w:t>
      </w:r>
      <w:r w:rsidR="001452A4">
        <w:rPr>
          <w:rFonts w:ascii="Times New Roman" w:hAnsi="Times New Roman" w:cs="Times New Roman"/>
          <w:sz w:val="24"/>
          <w:szCs w:val="24"/>
        </w:rPr>
        <w:t xml:space="preserve"> below.</w:t>
      </w:r>
    </w:p>
    <w:p w14:paraId="47A756EC" w14:textId="0FF44145" w:rsidR="00E70D48" w:rsidRPr="00FD1B3F" w:rsidRDefault="004B5327" w:rsidP="00177B58">
      <w:pPr>
        <w:pStyle w:val="ListParagraph"/>
        <w:numPr>
          <w:ilvl w:val="0"/>
          <w:numId w:val="13"/>
        </w:numPr>
        <w:spacing w:line="240" w:lineRule="auto"/>
        <w:jc w:val="both"/>
        <w:rPr>
          <w:rFonts w:ascii="Times New Roman" w:hAnsi="Times New Roman" w:cs="Times New Roman"/>
          <w:sz w:val="24"/>
          <w:szCs w:val="24"/>
        </w:rPr>
      </w:pPr>
      <w:r w:rsidRPr="00FD1B3F">
        <w:rPr>
          <w:rFonts w:ascii="Times New Roman" w:hAnsi="Times New Roman" w:cs="Times New Roman"/>
          <w:sz w:val="24"/>
          <w:szCs w:val="24"/>
        </w:rPr>
        <w:t xml:space="preserve">On Schedule-11a, AGL is showing what it calls ECON-1 revenue requirement </w:t>
      </w:r>
      <w:r w:rsidR="002458C8">
        <w:rPr>
          <w:rFonts w:ascii="Times New Roman" w:hAnsi="Times New Roman" w:cs="Times New Roman"/>
          <w:sz w:val="24"/>
          <w:szCs w:val="24"/>
        </w:rPr>
        <w:t xml:space="preserve">which </w:t>
      </w:r>
      <w:r w:rsidR="002458C8" w:rsidRPr="00FD1B3F">
        <w:rPr>
          <w:rFonts w:ascii="Times New Roman" w:hAnsi="Times New Roman" w:cs="Times New Roman"/>
          <w:sz w:val="24"/>
          <w:szCs w:val="24"/>
        </w:rPr>
        <w:t>reduc</w:t>
      </w:r>
      <w:r w:rsidR="002458C8">
        <w:rPr>
          <w:rFonts w:ascii="Times New Roman" w:hAnsi="Times New Roman" w:cs="Times New Roman"/>
          <w:sz w:val="24"/>
          <w:szCs w:val="24"/>
        </w:rPr>
        <w:t>es the</w:t>
      </w:r>
      <w:r w:rsidR="002458C8" w:rsidRPr="00FD1B3F">
        <w:rPr>
          <w:rFonts w:ascii="Times New Roman" w:hAnsi="Times New Roman" w:cs="Times New Roman"/>
          <w:sz w:val="24"/>
          <w:szCs w:val="24"/>
        </w:rPr>
        <w:t xml:space="preserve"> </w:t>
      </w:r>
      <w:r w:rsidRPr="00FD1B3F">
        <w:rPr>
          <w:rFonts w:ascii="Times New Roman" w:hAnsi="Times New Roman" w:cs="Times New Roman"/>
          <w:sz w:val="24"/>
          <w:szCs w:val="24"/>
        </w:rPr>
        <w:t xml:space="preserve">overall GRAM revenue requirement. Since ECON-1 projects are part </w:t>
      </w:r>
      <w:r w:rsidR="00A25863" w:rsidRPr="00FD1B3F">
        <w:rPr>
          <w:rFonts w:ascii="Times New Roman" w:hAnsi="Times New Roman" w:cs="Times New Roman"/>
          <w:sz w:val="24"/>
          <w:szCs w:val="24"/>
        </w:rPr>
        <w:t>of</w:t>
      </w:r>
      <w:r w:rsidRPr="00FD1B3F">
        <w:rPr>
          <w:rFonts w:ascii="Times New Roman" w:hAnsi="Times New Roman" w:cs="Times New Roman"/>
          <w:sz w:val="24"/>
          <w:szCs w:val="24"/>
        </w:rPr>
        <w:t xml:space="preserve"> AGL’s CWIP </w:t>
      </w:r>
      <w:r w:rsidR="00A25863" w:rsidRPr="00FD1B3F">
        <w:rPr>
          <w:rFonts w:ascii="Times New Roman" w:hAnsi="Times New Roman" w:cs="Times New Roman"/>
          <w:sz w:val="24"/>
          <w:szCs w:val="24"/>
        </w:rPr>
        <w:t>and</w:t>
      </w:r>
      <w:r w:rsidRPr="00FD1B3F">
        <w:rPr>
          <w:rFonts w:ascii="Times New Roman" w:hAnsi="Times New Roman" w:cs="Times New Roman"/>
          <w:sz w:val="24"/>
          <w:szCs w:val="24"/>
        </w:rPr>
        <w:t xml:space="preserve"> Plant in Service, </w:t>
      </w:r>
      <w:r w:rsidR="00FD1B3F">
        <w:rPr>
          <w:rFonts w:ascii="Times New Roman" w:hAnsi="Times New Roman" w:cs="Times New Roman"/>
          <w:sz w:val="24"/>
          <w:szCs w:val="24"/>
        </w:rPr>
        <w:t xml:space="preserve">why has AGL </w:t>
      </w:r>
      <w:r w:rsidR="00A25863" w:rsidRPr="00FD1B3F">
        <w:rPr>
          <w:rFonts w:ascii="Times New Roman" w:hAnsi="Times New Roman" w:cs="Times New Roman"/>
          <w:sz w:val="24"/>
          <w:szCs w:val="24"/>
        </w:rPr>
        <w:t>add</w:t>
      </w:r>
      <w:r w:rsidR="00FD1B3F">
        <w:rPr>
          <w:rFonts w:ascii="Times New Roman" w:hAnsi="Times New Roman" w:cs="Times New Roman"/>
          <w:sz w:val="24"/>
          <w:szCs w:val="24"/>
        </w:rPr>
        <w:t>ed</w:t>
      </w:r>
      <w:r w:rsidR="00A25863" w:rsidRPr="00FD1B3F">
        <w:rPr>
          <w:rFonts w:ascii="Times New Roman" w:hAnsi="Times New Roman" w:cs="Times New Roman"/>
          <w:sz w:val="24"/>
          <w:szCs w:val="24"/>
        </w:rPr>
        <w:t xml:space="preserve"> a separate ECON-</w:t>
      </w:r>
      <w:r w:rsidR="006F3DAC">
        <w:rPr>
          <w:rFonts w:ascii="Times New Roman" w:hAnsi="Times New Roman" w:cs="Times New Roman"/>
          <w:sz w:val="24"/>
          <w:szCs w:val="24"/>
        </w:rPr>
        <w:t>1</w:t>
      </w:r>
      <w:r w:rsidR="00A25863" w:rsidRPr="00FD1B3F">
        <w:rPr>
          <w:rFonts w:ascii="Times New Roman" w:hAnsi="Times New Roman" w:cs="Times New Roman"/>
          <w:sz w:val="24"/>
          <w:szCs w:val="24"/>
        </w:rPr>
        <w:t xml:space="preserve"> revenue requirement?</w:t>
      </w:r>
    </w:p>
    <w:p w14:paraId="3015776F" w14:textId="77777777" w:rsidR="00A25863" w:rsidRDefault="00A25863" w:rsidP="00177B58">
      <w:pPr>
        <w:pStyle w:val="ListParagraph"/>
        <w:spacing w:line="240" w:lineRule="auto"/>
        <w:ind w:left="1800"/>
        <w:jc w:val="both"/>
        <w:rPr>
          <w:rFonts w:ascii="Times New Roman" w:hAnsi="Times New Roman" w:cs="Times New Roman"/>
          <w:sz w:val="24"/>
          <w:szCs w:val="24"/>
        </w:rPr>
      </w:pPr>
    </w:p>
    <w:p w14:paraId="10B03FBB" w14:textId="769EE39B" w:rsidR="003F5CBC" w:rsidRDefault="00E70D48" w:rsidP="00177B58">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When reviewing Schedule-11a </w:t>
      </w:r>
      <w:r w:rsidR="00403F0A">
        <w:rPr>
          <w:rFonts w:ascii="Times New Roman" w:hAnsi="Times New Roman" w:cs="Times New Roman"/>
          <w:sz w:val="24"/>
          <w:szCs w:val="24"/>
        </w:rPr>
        <w:t>C58</w:t>
      </w:r>
      <w:r>
        <w:rPr>
          <w:rFonts w:ascii="Times New Roman" w:hAnsi="Times New Roman" w:cs="Times New Roman"/>
          <w:sz w:val="24"/>
          <w:szCs w:val="24"/>
        </w:rPr>
        <w:t>, AGL has $1,403,767, but in the referenced WP 13 AH29, AGL uses the dollar amount $1,091,688. Why are the numbers different?</w:t>
      </w:r>
    </w:p>
    <w:p w14:paraId="13AFB074" w14:textId="3EDBC3DC" w:rsidR="00A25863" w:rsidRDefault="00A25863" w:rsidP="00177B58">
      <w:pPr>
        <w:pStyle w:val="ListParagraph"/>
        <w:jc w:val="both"/>
        <w:rPr>
          <w:rFonts w:ascii="Times New Roman" w:hAnsi="Times New Roman" w:cs="Times New Roman"/>
          <w:sz w:val="24"/>
          <w:szCs w:val="24"/>
        </w:rPr>
      </w:pPr>
    </w:p>
    <w:p w14:paraId="660D9A49" w14:textId="28789FE7" w:rsidR="00FD1B3F" w:rsidRDefault="00FD1B3F" w:rsidP="005605FA">
      <w:pPr>
        <w:pStyle w:val="ListParagraph"/>
        <w:spacing w:line="240" w:lineRule="auto"/>
        <w:ind w:left="1800"/>
        <w:jc w:val="both"/>
        <w:rPr>
          <w:rFonts w:ascii="Times New Roman" w:hAnsi="Times New Roman" w:cs="Times New Roman"/>
          <w:sz w:val="24"/>
          <w:szCs w:val="24"/>
        </w:rPr>
      </w:pPr>
      <w:r w:rsidRPr="00FC7E7B">
        <w:rPr>
          <w:rFonts w:ascii="Times New Roman" w:hAnsi="Times New Roman" w:cs="Times New Roman"/>
          <w:sz w:val="24"/>
          <w:szCs w:val="24"/>
        </w:rPr>
        <w:t xml:space="preserve">AGL is calling Line-25 an LNG expansion revenue requirement, but the Cherokee LNG tank is still under construction and there is no projected Plant through the FTY. Does AGL agree </w:t>
      </w:r>
      <w:r w:rsidR="002458C8" w:rsidRPr="00FC7E7B">
        <w:rPr>
          <w:rFonts w:ascii="Times New Roman" w:hAnsi="Times New Roman" w:cs="Times New Roman"/>
          <w:sz w:val="24"/>
          <w:szCs w:val="24"/>
        </w:rPr>
        <w:t xml:space="preserve">that </w:t>
      </w:r>
      <w:r w:rsidRPr="00FC7E7B">
        <w:rPr>
          <w:rFonts w:ascii="Times New Roman" w:hAnsi="Times New Roman" w:cs="Times New Roman"/>
          <w:sz w:val="24"/>
          <w:szCs w:val="24"/>
        </w:rPr>
        <w:t>the GRAM model has no components for the</w:t>
      </w:r>
      <w:r w:rsidR="00BC4DE2" w:rsidRPr="00FC7E7B">
        <w:rPr>
          <w:rFonts w:ascii="Times New Roman" w:hAnsi="Times New Roman" w:cs="Times New Roman"/>
          <w:sz w:val="24"/>
          <w:szCs w:val="24"/>
        </w:rPr>
        <w:t xml:space="preserve"> Cherokee LNG expansion</w:t>
      </w:r>
      <w:r w:rsidRPr="00FC7E7B">
        <w:rPr>
          <w:rFonts w:ascii="Times New Roman" w:hAnsi="Times New Roman" w:cs="Times New Roman"/>
          <w:sz w:val="24"/>
          <w:szCs w:val="24"/>
        </w:rPr>
        <w:t xml:space="preserve"> project?</w:t>
      </w:r>
      <w:r w:rsidR="002458C8" w:rsidRPr="00FC7E7B">
        <w:rPr>
          <w:rFonts w:ascii="Times New Roman" w:hAnsi="Times New Roman" w:cs="Times New Roman"/>
          <w:sz w:val="24"/>
          <w:szCs w:val="24"/>
        </w:rPr>
        <w:t xml:space="preserve">  And that any such components would not be added</w:t>
      </w:r>
      <w:r w:rsidR="00FC7E7B" w:rsidRPr="00FC7E7B">
        <w:rPr>
          <w:rFonts w:ascii="Times New Roman" w:hAnsi="Times New Roman" w:cs="Times New Roman"/>
          <w:sz w:val="24"/>
          <w:szCs w:val="24"/>
        </w:rPr>
        <w:t xml:space="preserve"> to the GRAM for recovery until </w:t>
      </w:r>
      <w:r w:rsidR="00FC7E7B">
        <w:rPr>
          <w:rFonts w:ascii="Times New Roman" w:hAnsi="Times New Roman" w:cs="Times New Roman"/>
          <w:sz w:val="24"/>
          <w:szCs w:val="24"/>
        </w:rPr>
        <w:t>LNG related assets are placed in service according to the stipulation?</w:t>
      </w:r>
    </w:p>
    <w:p w14:paraId="7061D0C2" w14:textId="2B3706E4" w:rsidR="00FD1B3F" w:rsidRPr="00640844" w:rsidRDefault="00FD1B3F" w:rsidP="00640844">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When reviewing Schedule-11a </w:t>
      </w:r>
      <w:r w:rsidR="00474621">
        <w:rPr>
          <w:rFonts w:ascii="Times New Roman" w:hAnsi="Times New Roman" w:cs="Times New Roman"/>
          <w:sz w:val="24"/>
          <w:szCs w:val="24"/>
        </w:rPr>
        <w:t>C59</w:t>
      </w:r>
      <w:r>
        <w:rPr>
          <w:rFonts w:ascii="Times New Roman" w:hAnsi="Times New Roman" w:cs="Times New Roman"/>
          <w:sz w:val="24"/>
          <w:szCs w:val="24"/>
        </w:rPr>
        <w:t>, AGL has $1,548,435</w:t>
      </w:r>
      <w:r w:rsidR="00FC7E7B">
        <w:rPr>
          <w:rFonts w:ascii="Times New Roman" w:hAnsi="Times New Roman" w:cs="Times New Roman"/>
          <w:sz w:val="24"/>
          <w:szCs w:val="24"/>
        </w:rPr>
        <w:t xml:space="preserve"> shown</w:t>
      </w:r>
      <w:r>
        <w:rPr>
          <w:rFonts w:ascii="Times New Roman" w:hAnsi="Times New Roman" w:cs="Times New Roman"/>
          <w:sz w:val="24"/>
          <w:szCs w:val="24"/>
        </w:rPr>
        <w:t>, but in the referenced WP 13 AH15, AGL uses the dollar amount $822,266. Why are the numbers different?</w:t>
      </w:r>
    </w:p>
    <w:p w14:paraId="1B762F3F" w14:textId="77777777" w:rsidR="00196366" w:rsidRDefault="00196366" w:rsidP="00196366">
      <w:pPr>
        <w:pStyle w:val="ListParagraph"/>
        <w:spacing w:line="240" w:lineRule="auto"/>
        <w:ind w:left="1800"/>
        <w:jc w:val="both"/>
        <w:rPr>
          <w:rFonts w:ascii="Times New Roman" w:hAnsi="Times New Roman" w:cs="Times New Roman"/>
          <w:sz w:val="24"/>
          <w:szCs w:val="24"/>
        </w:rPr>
      </w:pPr>
    </w:p>
    <w:p w14:paraId="483AD2A4" w14:textId="508B1909" w:rsidR="00A25863" w:rsidRDefault="00A25863" w:rsidP="00177B58">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When reviewing Schedule-11b Q77, AGL listed a total rate base r</w:t>
      </w:r>
      <w:r w:rsidR="00B832D8">
        <w:rPr>
          <w:rFonts w:ascii="Times New Roman" w:hAnsi="Times New Roman" w:cs="Times New Roman"/>
          <w:sz w:val="24"/>
          <w:szCs w:val="24"/>
        </w:rPr>
        <w:t>evenue</w:t>
      </w:r>
      <w:r>
        <w:rPr>
          <w:rFonts w:ascii="Times New Roman" w:hAnsi="Times New Roman" w:cs="Times New Roman"/>
          <w:sz w:val="24"/>
          <w:szCs w:val="24"/>
        </w:rPr>
        <w:t xml:space="preserve"> of $51,500,000</w:t>
      </w:r>
      <w:r w:rsidR="00B832D8">
        <w:rPr>
          <w:rFonts w:ascii="Times New Roman" w:hAnsi="Times New Roman" w:cs="Times New Roman"/>
          <w:sz w:val="24"/>
          <w:szCs w:val="24"/>
        </w:rPr>
        <w:t xml:space="preserve">. </w:t>
      </w:r>
      <w:r w:rsidR="00094BE9">
        <w:rPr>
          <w:rFonts w:ascii="Times New Roman" w:hAnsi="Times New Roman" w:cs="Times New Roman"/>
          <w:sz w:val="24"/>
          <w:szCs w:val="24"/>
        </w:rPr>
        <w:t>Then AGL showed ECON-1 revenue in Column-R allocated among the rate classes. Then AGL shows LNG Direct in Column-S as a total dollar amount. The ECON-1 and LNG Direct were added to the $51,500,00</w:t>
      </w:r>
      <w:r w:rsidR="0075612E">
        <w:rPr>
          <w:rFonts w:ascii="Times New Roman" w:hAnsi="Times New Roman" w:cs="Times New Roman"/>
          <w:sz w:val="24"/>
          <w:szCs w:val="24"/>
        </w:rPr>
        <w:t>0</w:t>
      </w:r>
      <w:r w:rsidR="00094BE9">
        <w:rPr>
          <w:rFonts w:ascii="Times New Roman" w:hAnsi="Times New Roman" w:cs="Times New Roman"/>
          <w:sz w:val="24"/>
          <w:szCs w:val="24"/>
        </w:rPr>
        <w:t xml:space="preserve"> to obtain the $52,706,859 found in Schedule-11</w:t>
      </w:r>
      <w:r w:rsidR="006237B5">
        <w:rPr>
          <w:rFonts w:ascii="Times New Roman" w:hAnsi="Times New Roman" w:cs="Times New Roman"/>
          <w:sz w:val="24"/>
          <w:szCs w:val="24"/>
        </w:rPr>
        <w:t>a</w:t>
      </w:r>
      <w:r w:rsidR="00094BE9">
        <w:rPr>
          <w:rFonts w:ascii="Times New Roman" w:hAnsi="Times New Roman" w:cs="Times New Roman"/>
          <w:sz w:val="24"/>
          <w:szCs w:val="24"/>
        </w:rPr>
        <w:t xml:space="preserve"> Line 15. Why has AGL deviated from the</w:t>
      </w:r>
      <w:r w:rsidR="0035405B">
        <w:rPr>
          <w:rFonts w:ascii="Times New Roman" w:hAnsi="Times New Roman" w:cs="Times New Roman"/>
          <w:sz w:val="24"/>
          <w:szCs w:val="24"/>
        </w:rPr>
        <w:t xml:space="preserve"> rate design</w:t>
      </w:r>
      <w:r w:rsidR="00094BE9">
        <w:rPr>
          <w:rFonts w:ascii="Times New Roman" w:hAnsi="Times New Roman" w:cs="Times New Roman"/>
          <w:sz w:val="24"/>
          <w:szCs w:val="24"/>
        </w:rPr>
        <w:t xml:space="preserve"> allocation methodology in the 2022/2021 GRAMs, and the 2019 rate case</w:t>
      </w:r>
      <w:r w:rsidR="0035405B">
        <w:rPr>
          <w:rFonts w:ascii="Times New Roman" w:hAnsi="Times New Roman" w:cs="Times New Roman"/>
          <w:sz w:val="24"/>
          <w:szCs w:val="24"/>
        </w:rPr>
        <w:t xml:space="preserve"> to insert ECON-1 and Cherokee LNG revenues?</w:t>
      </w:r>
    </w:p>
    <w:p w14:paraId="138E8EA2" w14:textId="77777777" w:rsidR="0035405B" w:rsidRDefault="0035405B" w:rsidP="00177B58">
      <w:pPr>
        <w:pStyle w:val="ListParagraph"/>
        <w:spacing w:line="240" w:lineRule="auto"/>
        <w:ind w:left="1800"/>
        <w:jc w:val="both"/>
        <w:rPr>
          <w:rFonts w:ascii="Times New Roman" w:hAnsi="Times New Roman" w:cs="Times New Roman"/>
          <w:sz w:val="24"/>
          <w:szCs w:val="24"/>
        </w:rPr>
      </w:pPr>
    </w:p>
    <w:p w14:paraId="1D285D52" w14:textId="3D44AF62" w:rsidR="0035405B" w:rsidRPr="003F5CBC" w:rsidRDefault="0035405B" w:rsidP="00177B58">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Related to the Peaking Charge found on Row-41, this charge increased </w:t>
      </w:r>
      <w:r w:rsidR="0075612E">
        <w:rPr>
          <w:rFonts w:ascii="Times New Roman" w:hAnsi="Times New Roman" w:cs="Times New Roman"/>
          <w:sz w:val="24"/>
          <w:szCs w:val="24"/>
        </w:rPr>
        <w:t>f</w:t>
      </w:r>
      <w:r>
        <w:rPr>
          <w:rFonts w:ascii="Times New Roman" w:hAnsi="Times New Roman" w:cs="Times New Roman"/>
          <w:sz w:val="24"/>
          <w:szCs w:val="24"/>
        </w:rPr>
        <w:t>rom $1.07 to $1.19. Is the increase in this Peaking Charge related to the Cherokee LNG project?</w:t>
      </w:r>
      <w:r w:rsidR="00FC7E7B">
        <w:rPr>
          <w:rFonts w:ascii="Times New Roman" w:hAnsi="Times New Roman" w:cs="Times New Roman"/>
          <w:sz w:val="24"/>
          <w:szCs w:val="24"/>
        </w:rPr>
        <w:t xml:space="preserve">  If yes, does AGL agree that the LNG related assets are placed in AFUDC until the plant is placed in service per the stipulation.</w:t>
      </w:r>
    </w:p>
    <w:p w14:paraId="3F60C4C7" w14:textId="36C91B08" w:rsidR="006237B5" w:rsidRDefault="006237B5" w:rsidP="006237B5">
      <w:pPr>
        <w:spacing w:line="240" w:lineRule="auto"/>
        <w:contextualSpacing/>
        <w:rPr>
          <w:rFonts w:ascii="Times New Roman" w:hAnsi="Times New Roman" w:cs="Times New Roman"/>
          <w:sz w:val="24"/>
          <w:szCs w:val="24"/>
        </w:rPr>
      </w:pPr>
    </w:p>
    <w:p w14:paraId="5C1ED813" w14:textId="26542666" w:rsidR="00DA1205" w:rsidRDefault="00DA1205" w:rsidP="006237B5">
      <w:pPr>
        <w:spacing w:line="240" w:lineRule="auto"/>
        <w:contextualSpacing/>
        <w:rPr>
          <w:rFonts w:ascii="Times New Roman" w:hAnsi="Times New Roman" w:cs="Times New Roman"/>
          <w:sz w:val="24"/>
          <w:szCs w:val="24"/>
        </w:rPr>
      </w:pPr>
    </w:p>
    <w:p w14:paraId="0551D433" w14:textId="2F466465" w:rsidR="00DA1205" w:rsidRDefault="00DA1205" w:rsidP="006237B5">
      <w:pPr>
        <w:spacing w:line="240" w:lineRule="auto"/>
        <w:contextualSpacing/>
        <w:rPr>
          <w:rFonts w:ascii="Times New Roman" w:hAnsi="Times New Roman" w:cs="Times New Roman"/>
          <w:sz w:val="24"/>
          <w:szCs w:val="24"/>
        </w:rPr>
      </w:pPr>
    </w:p>
    <w:p w14:paraId="3A86558D" w14:textId="4E8CDA6A" w:rsidR="00DA1205" w:rsidRDefault="00DA1205" w:rsidP="006237B5">
      <w:pPr>
        <w:spacing w:line="240" w:lineRule="auto"/>
        <w:contextualSpacing/>
        <w:rPr>
          <w:rFonts w:ascii="Times New Roman" w:hAnsi="Times New Roman" w:cs="Times New Roman"/>
          <w:sz w:val="24"/>
          <w:szCs w:val="24"/>
        </w:rPr>
      </w:pPr>
    </w:p>
    <w:p w14:paraId="0CA3E655" w14:textId="169063E1" w:rsidR="00DA1205" w:rsidRDefault="00DA1205" w:rsidP="006237B5">
      <w:pPr>
        <w:spacing w:line="240" w:lineRule="auto"/>
        <w:contextualSpacing/>
        <w:rPr>
          <w:rFonts w:ascii="Times New Roman" w:hAnsi="Times New Roman" w:cs="Times New Roman"/>
          <w:sz w:val="24"/>
          <w:szCs w:val="24"/>
        </w:rPr>
      </w:pPr>
    </w:p>
    <w:p w14:paraId="3C545B79" w14:textId="0B45F54C" w:rsidR="008E4062" w:rsidRDefault="008E4062" w:rsidP="006237B5">
      <w:pPr>
        <w:spacing w:line="240" w:lineRule="auto"/>
        <w:contextualSpacing/>
        <w:rPr>
          <w:rFonts w:ascii="Times New Roman" w:hAnsi="Times New Roman" w:cs="Times New Roman"/>
          <w:sz w:val="24"/>
          <w:szCs w:val="24"/>
        </w:rPr>
      </w:pPr>
    </w:p>
    <w:p w14:paraId="15E00AE7" w14:textId="4F0EEC6D" w:rsidR="008E4062" w:rsidRDefault="008E4062" w:rsidP="006237B5">
      <w:pPr>
        <w:spacing w:line="240" w:lineRule="auto"/>
        <w:contextualSpacing/>
        <w:rPr>
          <w:rFonts w:ascii="Times New Roman" w:hAnsi="Times New Roman" w:cs="Times New Roman"/>
          <w:sz w:val="24"/>
          <w:szCs w:val="24"/>
        </w:rPr>
      </w:pPr>
    </w:p>
    <w:p w14:paraId="0A90E765" w14:textId="77777777" w:rsidR="008E4062" w:rsidRDefault="008E4062" w:rsidP="006237B5">
      <w:pPr>
        <w:spacing w:line="240" w:lineRule="auto"/>
        <w:contextualSpacing/>
        <w:rPr>
          <w:rFonts w:ascii="Times New Roman" w:hAnsi="Times New Roman" w:cs="Times New Roman"/>
          <w:sz w:val="24"/>
          <w:szCs w:val="24"/>
        </w:rPr>
      </w:pPr>
    </w:p>
    <w:p w14:paraId="437B2374" w14:textId="77777777" w:rsidR="00DA1205" w:rsidRDefault="00DA1205" w:rsidP="006237B5">
      <w:pPr>
        <w:spacing w:line="240" w:lineRule="auto"/>
        <w:contextualSpacing/>
        <w:rPr>
          <w:rFonts w:ascii="Times New Roman" w:hAnsi="Times New Roman" w:cs="Times New Roman"/>
          <w:sz w:val="24"/>
          <w:szCs w:val="24"/>
        </w:rPr>
      </w:pPr>
    </w:p>
    <w:p w14:paraId="20B360A7" w14:textId="5A8CF366" w:rsidR="006237B5" w:rsidRPr="006237B5" w:rsidRDefault="006237B5" w:rsidP="006237B5">
      <w:pPr>
        <w:spacing w:line="240" w:lineRule="auto"/>
        <w:ind w:left="1800"/>
        <w:contextualSpacing/>
        <w:rPr>
          <w:rFonts w:ascii="Times New Roman" w:hAnsi="Times New Roman" w:cs="Times New Roman"/>
          <w:b/>
          <w:sz w:val="24"/>
          <w:szCs w:val="24"/>
        </w:rPr>
      </w:pPr>
      <w:r w:rsidRPr="006237B5">
        <w:rPr>
          <w:rFonts w:ascii="Times New Roman" w:hAnsi="Times New Roman" w:cs="Times New Roman"/>
          <w:b/>
          <w:sz w:val="24"/>
          <w:szCs w:val="24"/>
        </w:rPr>
        <w:lastRenderedPageBreak/>
        <w:t>Table-</w:t>
      </w:r>
      <w:r w:rsidR="00BC4DE2">
        <w:rPr>
          <w:rFonts w:ascii="Times New Roman" w:hAnsi="Times New Roman" w:cs="Times New Roman"/>
          <w:b/>
          <w:sz w:val="24"/>
          <w:szCs w:val="24"/>
        </w:rPr>
        <w:t>3</w:t>
      </w:r>
      <w:r w:rsidRPr="006237B5">
        <w:rPr>
          <w:rFonts w:ascii="Times New Roman" w:hAnsi="Times New Roman" w:cs="Times New Roman"/>
          <w:b/>
          <w:sz w:val="24"/>
          <w:szCs w:val="24"/>
        </w:rPr>
        <w:t>a: Schedule-11a</w:t>
      </w:r>
    </w:p>
    <w:p w14:paraId="4F4F6A20" w14:textId="1811A332" w:rsidR="006237B5" w:rsidRDefault="006237B5" w:rsidP="006237B5">
      <w:pPr>
        <w:spacing w:line="240" w:lineRule="auto"/>
        <w:ind w:left="1800"/>
        <w:contextualSpacing/>
        <w:rPr>
          <w:rFonts w:ascii="Times New Roman" w:hAnsi="Times New Roman" w:cs="Times New Roman"/>
          <w:sz w:val="24"/>
          <w:szCs w:val="24"/>
        </w:rPr>
      </w:pPr>
      <w:r>
        <w:rPr>
          <w:noProof/>
        </w:rPr>
        <w:drawing>
          <wp:inline distT="0" distB="0" distL="0" distR="0" wp14:anchorId="77AE7CA5" wp14:editId="3501C152">
            <wp:extent cx="3657539" cy="433387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2151" cy="4339340"/>
                    </a:xfrm>
                    <a:prstGeom prst="rect">
                      <a:avLst/>
                    </a:prstGeom>
                  </pic:spPr>
                </pic:pic>
              </a:graphicData>
            </a:graphic>
          </wp:inline>
        </w:drawing>
      </w:r>
    </w:p>
    <w:p w14:paraId="0D28C051" w14:textId="6F66A56F" w:rsidR="006237B5" w:rsidRDefault="006237B5" w:rsidP="00A85517">
      <w:pPr>
        <w:spacing w:line="240" w:lineRule="auto"/>
        <w:contextualSpacing/>
        <w:rPr>
          <w:rFonts w:ascii="Times New Roman" w:hAnsi="Times New Roman" w:cs="Times New Roman"/>
          <w:sz w:val="24"/>
          <w:szCs w:val="24"/>
        </w:rPr>
      </w:pPr>
    </w:p>
    <w:p w14:paraId="4FE59480" w14:textId="357ED209" w:rsidR="006237B5" w:rsidRDefault="006237B5" w:rsidP="00A85517">
      <w:pPr>
        <w:spacing w:line="240" w:lineRule="auto"/>
        <w:contextualSpacing/>
        <w:rPr>
          <w:rFonts w:ascii="Times New Roman" w:hAnsi="Times New Roman" w:cs="Times New Roman"/>
          <w:sz w:val="24"/>
          <w:szCs w:val="24"/>
        </w:rPr>
      </w:pPr>
    </w:p>
    <w:p w14:paraId="6BA800B5" w14:textId="6C626B3D" w:rsidR="006237B5" w:rsidRPr="006237B5" w:rsidRDefault="006237B5" w:rsidP="00A85517">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237B5">
        <w:rPr>
          <w:rFonts w:ascii="Times New Roman" w:hAnsi="Times New Roman" w:cs="Times New Roman"/>
          <w:b/>
          <w:sz w:val="24"/>
          <w:szCs w:val="24"/>
        </w:rPr>
        <w:t>Table-</w:t>
      </w:r>
      <w:r w:rsidR="00BC4DE2">
        <w:rPr>
          <w:rFonts w:ascii="Times New Roman" w:hAnsi="Times New Roman" w:cs="Times New Roman"/>
          <w:b/>
          <w:sz w:val="24"/>
          <w:szCs w:val="24"/>
        </w:rPr>
        <w:t>3</w:t>
      </w:r>
      <w:r w:rsidRPr="006237B5">
        <w:rPr>
          <w:rFonts w:ascii="Times New Roman" w:hAnsi="Times New Roman" w:cs="Times New Roman"/>
          <w:b/>
          <w:sz w:val="24"/>
          <w:szCs w:val="24"/>
        </w:rPr>
        <w:t>b: Schedule-11b</w:t>
      </w:r>
    </w:p>
    <w:p w14:paraId="7A4CE282" w14:textId="4C1967DD" w:rsidR="006237B5" w:rsidRDefault="006237B5" w:rsidP="00A85517">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noProof/>
        </w:rPr>
        <w:drawing>
          <wp:inline distT="0" distB="0" distL="0" distR="0" wp14:anchorId="05B26A65" wp14:editId="28A867C1">
            <wp:extent cx="2028825" cy="19716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28825" cy="1971675"/>
                    </a:xfrm>
                    <a:prstGeom prst="rect">
                      <a:avLst/>
                    </a:prstGeom>
                  </pic:spPr>
                </pic:pic>
              </a:graphicData>
            </a:graphic>
          </wp:inline>
        </w:drawing>
      </w:r>
    </w:p>
    <w:p w14:paraId="4BC7B0B3" w14:textId="46D2A0FD" w:rsidR="00FD1B3F" w:rsidRDefault="00FD1B3F" w:rsidP="00A85517">
      <w:pPr>
        <w:spacing w:line="240" w:lineRule="auto"/>
        <w:contextualSpacing/>
        <w:rPr>
          <w:rFonts w:ascii="Times New Roman" w:hAnsi="Times New Roman" w:cs="Times New Roman"/>
          <w:sz w:val="24"/>
          <w:szCs w:val="24"/>
        </w:rPr>
      </w:pPr>
    </w:p>
    <w:p w14:paraId="18020438" w14:textId="53B70A4C" w:rsidR="00B832D8" w:rsidRPr="00B832D8" w:rsidRDefault="0035405B" w:rsidP="0035405B">
      <w:pPr>
        <w:ind w:left="1440" w:hanging="1440"/>
        <w:rPr>
          <w:rFonts w:ascii="Times New Roman" w:hAnsi="Times New Roman" w:cs="Times New Roman"/>
          <w:sz w:val="24"/>
          <w:szCs w:val="24"/>
        </w:rPr>
      </w:pPr>
      <w:r>
        <w:rPr>
          <w:rFonts w:ascii="Times New Roman" w:hAnsi="Times New Roman" w:cs="Times New Roman"/>
          <w:sz w:val="24"/>
          <w:szCs w:val="24"/>
        </w:rPr>
        <w:t>STF-36-</w:t>
      </w:r>
      <w:r w:rsidR="00BC4DE2">
        <w:rPr>
          <w:rFonts w:ascii="Times New Roman" w:hAnsi="Times New Roman" w:cs="Times New Roman"/>
          <w:sz w:val="24"/>
          <w:szCs w:val="24"/>
        </w:rPr>
        <w:t>8</w:t>
      </w:r>
      <w:r>
        <w:rPr>
          <w:rFonts w:ascii="Times New Roman" w:hAnsi="Times New Roman" w:cs="Times New Roman"/>
          <w:sz w:val="24"/>
          <w:szCs w:val="24"/>
        </w:rPr>
        <w:tab/>
      </w:r>
      <w:r w:rsidR="00B832D8" w:rsidRPr="00B832D8">
        <w:rPr>
          <w:rFonts w:ascii="Times New Roman" w:hAnsi="Times New Roman" w:cs="Times New Roman"/>
          <w:sz w:val="24"/>
          <w:szCs w:val="24"/>
        </w:rPr>
        <w:t xml:space="preserve">On Page 20 of the approved Stipulation filed on </w:t>
      </w:r>
      <w:r w:rsidR="00133062">
        <w:rPr>
          <w:rFonts w:ascii="Times New Roman" w:hAnsi="Times New Roman" w:cs="Times New Roman"/>
          <w:sz w:val="24"/>
          <w:szCs w:val="24"/>
        </w:rPr>
        <w:t>Februa</w:t>
      </w:r>
      <w:r w:rsidR="00B77B64">
        <w:rPr>
          <w:rFonts w:ascii="Times New Roman" w:hAnsi="Times New Roman" w:cs="Times New Roman"/>
          <w:sz w:val="24"/>
          <w:szCs w:val="24"/>
        </w:rPr>
        <w:t>r</w:t>
      </w:r>
      <w:r w:rsidR="00133062">
        <w:rPr>
          <w:rFonts w:ascii="Times New Roman" w:hAnsi="Times New Roman" w:cs="Times New Roman"/>
          <w:sz w:val="24"/>
          <w:szCs w:val="24"/>
        </w:rPr>
        <w:t xml:space="preserve">y 23, 2021 </w:t>
      </w:r>
      <w:r w:rsidR="007A148E">
        <w:rPr>
          <w:rFonts w:ascii="Times New Roman" w:hAnsi="Times New Roman" w:cs="Times New Roman"/>
          <w:sz w:val="24"/>
          <w:szCs w:val="24"/>
        </w:rPr>
        <w:t>in Docket No. 42315</w:t>
      </w:r>
      <w:r w:rsidR="00B832D8" w:rsidRPr="00B832D8">
        <w:rPr>
          <w:rFonts w:ascii="Times New Roman" w:hAnsi="Times New Roman" w:cs="Times New Roman"/>
          <w:sz w:val="24"/>
          <w:szCs w:val="24"/>
        </w:rPr>
        <w:t>, on lines 16-18 including footnotes 17 and 18, it states:</w:t>
      </w:r>
    </w:p>
    <w:p w14:paraId="2068A872" w14:textId="3012DE53" w:rsidR="00B832D8" w:rsidRPr="00B832D8" w:rsidRDefault="00133062" w:rsidP="00177B58">
      <w:pPr>
        <w:ind w:left="2160"/>
        <w:jc w:val="both"/>
        <w:rPr>
          <w:rFonts w:ascii="Times New Roman" w:hAnsi="Times New Roman" w:cs="Times New Roman"/>
          <w:b/>
          <w:bCs/>
          <w:sz w:val="24"/>
          <w:szCs w:val="24"/>
          <w:vertAlign w:val="superscript"/>
        </w:rPr>
      </w:pPr>
      <w:r>
        <w:rPr>
          <w:rFonts w:ascii="Times New Roman" w:hAnsi="Times New Roman" w:cs="Times New Roman"/>
          <w:sz w:val="24"/>
          <w:szCs w:val="24"/>
        </w:rPr>
        <w:lastRenderedPageBreak/>
        <w:t>“</w:t>
      </w:r>
      <w:r w:rsidR="00B832D8" w:rsidRPr="00B832D8">
        <w:rPr>
          <w:rFonts w:ascii="Times New Roman" w:hAnsi="Times New Roman" w:cs="Times New Roman"/>
          <w:sz w:val="24"/>
          <w:szCs w:val="24"/>
        </w:rPr>
        <w:t>The LNG Tracker shall be in addition to both the recovery mechanisms within the new SRR and the existing GRAM.  Costs related to the construction of new LNG assets shall be capitalized and will accrue in the form of AFUDC from the point that costs are incurred for accounting purposes until such LNG-related asset</w:t>
      </w:r>
      <w:r w:rsidR="00B832D8" w:rsidRPr="00B832D8">
        <w:rPr>
          <w:rFonts w:ascii="Times New Roman" w:hAnsi="Times New Roman" w:cs="Times New Roman"/>
          <w:sz w:val="24"/>
          <w:szCs w:val="24"/>
          <w:vertAlign w:val="superscript"/>
        </w:rPr>
        <w:t>17</w:t>
      </w:r>
      <w:r w:rsidR="00B832D8" w:rsidRPr="00B832D8">
        <w:rPr>
          <w:rFonts w:ascii="Times New Roman" w:hAnsi="Times New Roman" w:cs="Times New Roman"/>
          <w:sz w:val="24"/>
          <w:szCs w:val="24"/>
        </w:rPr>
        <w:t xml:space="preserve"> is placed in service and depreciation begins</w:t>
      </w:r>
      <w:r w:rsidR="00B832D8" w:rsidRPr="00B832D8">
        <w:rPr>
          <w:rFonts w:ascii="Times New Roman" w:hAnsi="Times New Roman" w:cs="Times New Roman"/>
          <w:b/>
          <w:bCs/>
          <w:sz w:val="24"/>
          <w:szCs w:val="24"/>
          <w:vertAlign w:val="superscript"/>
        </w:rPr>
        <w:t>18.</w:t>
      </w:r>
      <w:r>
        <w:rPr>
          <w:rFonts w:ascii="Times New Roman" w:hAnsi="Times New Roman" w:cs="Times New Roman"/>
          <w:b/>
          <w:bCs/>
          <w:sz w:val="24"/>
          <w:szCs w:val="24"/>
          <w:vertAlign w:val="superscript"/>
        </w:rPr>
        <w:t>”</w:t>
      </w:r>
    </w:p>
    <w:p w14:paraId="1D315240" w14:textId="39800B08" w:rsidR="00B832D8" w:rsidRPr="00B832D8" w:rsidRDefault="00B832D8" w:rsidP="0035405B">
      <w:pPr>
        <w:ind w:left="1440" w:firstLine="720"/>
        <w:rPr>
          <w:rFonts w:ascii="Times New Roman" w:hAnsi="Times New Roman" w:cs="Times New Roman"/>
          <w:sz w:val="24"/>
          <w:szCs w:val="24"/>
        </w:rPr>
      </w:pPr>
      <w:r w:rsidRPr="00B832D8">
        <w:rPr>
          <w:rFonts w:ascii="Times New Roman" w:hAnsi="Times New Roman" w:cs="Times New Roman"/>
          <w:sz w:val="24"/>
          <w:szCs w:val="24"/>
        </w:rPr>
        <w:t>Footnote 17</w:t>
      </w:r>
      <w:r w:rsidR="00133062">
        <w:rPr>
          <w:rFonts w:ascii="Times New Roman" w:hAnsi="Times New Roman" w:cs="Times New Roman"/>
          <w:sz w:val="24"/>
          <w:szCs w:val="24"/>
        </w:rPr>
        <w:t xml:space="preserve"> states:</w:t>
      </w:r>
    </w:p>
    <w:p w14:paraId="4940DE89" w14:textId="2017664E" w:rsidR="00B832D8" w:rsidRPr="00B832D8" w:rsidRDefault="00133062" w:rsidP="00177B58">
      <w:pPr>
        <w:ind w:left="2160"/>
        <w:jc w:val="both"/>
        <w:rPr>
          <w:rFonts w:ascii="Times New Roman" w:hAnsi="Times New Roman" w:cs="Times New Roman"/>
          <w:sz w:val="24"/>
          <w:szCs w:val="24"/>
        </w:rPr>
      </w:pPr>
      <w:r>
        <w:rPr>
          <w:rFonts w:ascii="Times New Roman" w:hAnsi="Times New Roman" w:cs="Times New Roman"/>
          <w:sz w:val="24"/>
          <w:szCs w:val="24"/>
        </w:rPr>
        <w:t>“</w:t>
      </w:r>
      <w:r w:rsidR="00B832D8" w:rsidRPr="00B832D8">
        <w:rPr>
          <w:rFonts w:ascii="Times New Roman" w:hAnsi="Times New Roman" w:cs="Times New Roman"/>
          <w:sz w:val="24"/>
          <w:szCs w:val="24"/>
        </w:rPr>
        <w:t>The term “LNG assets” refers to the equipment, plant and facilities used by AGL to liquefy, store, and vaporize LNG.  The term LNG-related assets” refers to LNG assets as well as other equipment, plant and facilities primarily installed to enable the expanded LNG capability to be used as on AGL’s system, such as (for illustration and not limitation) distribution system modifications to increase the take-away capacity from the expanded LNG plants.</w:t>
      </w:r>
      <w:r>
        <w:rPr>
          <w:rFonts w:ascii="Times New Roman" w:hAnsi="Times New Roman" w:cs="Times New Roman"/>
          <w:sz w:val="24"/>
          <w:szCs w:val="24"/>
        </w:rPr>
        <w:t>”</w:t>
      </w:r>
    </w:p>
    <w:p w14:paraId="66289DCF" w14:textId="66631F30" w:rsidR="00133062" w:rsidRDefault="00B832D8" w:rsidP="00177B58">
      <w:pPr>
        <w:ind w:left="2160"/>
        <w:jc w:val="both"/>
        <w:rPr>
          <w:rFonts w:ascii="Times New Roman" w:hAnsi="Times New Roman" w:cs="Times New Roman"/>
          <w:sz w:val="24"/>
          <w:szCs w:val="24"/>
        </w:rPr>
      </w:pPr>
      <w:r w:rsidRPr="00B832D8">
        <w:rPr>
          <w:rFonts w:ascii="Times New Roman" w:hAnsi="Times New Roman" w:cs="Times New Roman"/>
          <w:sz w:val="24"/>
          <w:szCs w:val="24"/>
        </w:rPr>
        <w:t>Footnote 18</w:t>
      </w:r>
      <w:r w:rsidR="00133062">
        <w:rPr>
          <w:rFonts w:ascii="Times New Roman" w:hAnsi="Times New Roman" w:cs="Times New Roman"/>
          <w:sz w:val="24"/>
          <w:szCs w:val="24"/>
        </w:rPr>
        <w:t xml:space="preserve"> states”:</w:t>
      </w:r>
    </w:p>
    <w:p w14:paraId="20E00F68" w14:textId="660BE5A4" w:rsidR="00133062" w:rsidRDefault="00133062" w:rsidP="00DA1205">
      <w:pPr>
        <w:ind w:left="2160"/>
        <w:jc w:val="both"/>
        <w:rPr>
          <w:rFonts w:ascii="Times New Roman" w:hAnsi="Times New Roman" w:cs="Times New Roman"/>
          <w:sz w:val="24"/>
          <w:szCs w:val="24"/>
        </w:rPr>
      </w:pPr>
      <w:r>
        <w:rPr>
          <w:rFonts w:ascii="Times New Roman" w:hAnsi="Times New Roman" w:cs="Times New Roman"/>
          <w:sz w:val="24"/>
          <w:szCs w:val="24"/>
        </w:rPr>
        <w:t>“</w:t>
      </w:r>
      <w:r w:rsidR="00B832D8" w:rsidRPr="00B832D8">
        <w:rPr>
          <w:rFonts w:ascii="Times New Roman" w:hAnsi="Times New Roman" w:cs="Times New Roman"/>
          <w:sz w:val="24"/>
          <w:szCs w:val="24"/>
        </w:rPr>
        <w:t>It is the intent of the Parties that by using AFUDC until the new LNG asset is placed into service, no customer “prepayments” will be applied to the contemplated LNG expansion project.</w:t>
      </w:r>
      <w:r>
        <w:rPr>
          <w:rFonts w:ascii="Times New Roman" w:hAnsi="Times New Roman" w:cs="Times New Roman"/>
          <w:sz w:val="24"/>
          <w:szCs w:val="24"/>
        </w:rPr>
        <w:t>”</w:t>
      </w:r>
    </w:p>
    <w:p w14:paraId="1FFC5DAE" w14:textId="77777777" w:rsidR="00133062" w:rsidRPr="00B832D8" w:rsidRDefault="00133062" w:rsidP="00133062">
      <w:pPr>
        <w:ind w:left="1440"/>
        <w:rPr>
          <w:rFonts w:ascii="Times New Roman" w:hAnsi="Times New Roman" w:cs="Times New Roman"/>
          <w:sz w:val="24"/>
          <w:szCs w:val="24"/>
        </w:rPr>
      </w:pPr>
      <w:r w:rsidRPr="00B832D8">
        <w:rPr>
          <w:rFonts w:ascii="Times New Roman" w:hAnsi="Times New Roman" w:cs="Times New Roman"/>
          <w:sz w:val="24"/>
          <w:szCs w:val="24"/>
        </w:rPr>
        <w:t xml:space="preserve">Why is AGL is seeking recovery of LNG related costs in schedule before the </w:t>
      </w:r>
      <w:r>
        <w:rPr>
          <w:rFonts w:ascii="Times New Roman" w:hAnsi="Times New Roman" w:cs="Times New Roman"/>
          <w:sz w:val="24"/>
          <w:szCs w:val="24"/>
        </w:rPr>
        <w:t xml:space="preserve">Cherokee </w:t>
      </w:r>
      <w:r w:rsidRPr="00B832D8">
        <w:rPr>
          <w:rFonts w:ascii="Times New Roman" w:hAnsi="Times New Roman" w:cs="Times New Roman"/>
          <w:sz w:val="24"/>
          <w:szCs w:val="24"/>
        </w:rPr>
        <w:t>LNG-related assets are placed in service</w:t>
      </w:r>
      <w:r>
        <w:rPr>
          <w:rFonts w:ascii="Times New Roman" w:hAnsi="Times New Roman" w:cs="Times New Roman"/>
          <w:sz w:val="24"/>
          <w:szCs w:val="24"/>
        </w:rPr>
        <w:t xml:space="preserve"> as discussed in STF-36-11?</w:t>
      </w:r>
    </w:p>
    <w:p w14:paraId="179EA714" w14:textId="6016C76B" w:rsidR="00DA259A" w:rsidRDefault="00DA259A" w:rsidP="001452A4">
      <w:pPr>
        <w:spacing w:line="240" w:lineRule="auto"/>
        <w:contextualSpacing/>
        <w:rPr>
          <w:rFonts w:ascii="Times New Roman" w:hAnsi="Times New Roman" w:cs="Times New Roman"/>
          <w:sz w:val="24"/>
          <w:szCs w:val="24"/>
        </w:rPr>
      </w:pPr>
    </w:p>
    <w:p w14:paraId="53AB6C34" w14:textId="20EB14FF" w:rsidR="003F5CBC" w:rsidRDefault="006671AF" w:rsidP="00A85517">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STF-36-</w:t>
      </w:r>
      <w:r w:rsidR="00AC4545">
        <w:rPr>
          <w:rFonts w:ascii="Times New Roman" w:hAnsi="Times New Roman" w:cs="Times New Roman"/>
          <w:sz w:val="24"/>
          <w:szCs w:val="24"/>
        </w:rPr>
        <w:t>9</w:t>
      </w:r>
      <w:r>
        <w:rPr>
          <w:rFonts w:ascii="Times New Roman" w:hAnsi="Times New Roman" w:cs="Times New Roman"/>
          <w:sz w:val="24"/>
          <w:szCs w:val="24"/>
        </w:rPr>
        <w:tab/>
      </w:r>
      <w:r w:rsidR="003F5CBC">
        <w:rPr>
          <w:rFonts w:ascii="Times New Roman" w:hAnsi="Times New Roman" w:cs="Times New Roman"/>
          <w:sz w:val="24"/>
          <w:szCs w:val="24"/>
        </w:rPr>
        <w:t>Regarding Schedule-11a Lin</w:t>
      </w:r>
      <w:r w:rsidR="00697682">
        <w:rPr>
          <w:rFonts w:ascii="Times New Roman" w:hAnsi="Times New Roman" w:cs="Times New Roman"/>
          <w:sz w:val="24"/>
          <w:szCs w:val="24"/>
        </w:rPr>
        <w:t>e</w:t>
      </w:r>
      <w:r w:rsidR="003F5CBC">
        <w:rPr>
          <w:rFonts w:ascii="Times New Roman" w:hAnsi="Times New Roman" w:cs="Times New Roman"/>
          <w:sz w:val="24"/>
          <w:szCs w:val="24"/>
        </w:rPr>
        <w:t>-12, “Adjustment to 6% Customer Bill Commitment”, AGL listed ($4,636,867). Please answer the following</w:t>
      </w:r>
      <w:r w:rsidR="00697682">
        <w:rPr>
          <w:rFonts w:ascii="Times New Roman" w:hAnsi="Times New Roman" w:cs="Times New Roman"/>
          <w:sz w:val="24"/>
          <w:szCs w:val="24"/>
        </w:rPr>
        <w:t>:</w:t>
      </w:r>
    </w:p>
    <w:p w14:paraId="07722B3F" w14:textId="41F1C157" w:rsidR="003F5CBC" w:rsidRDefault="003F5CBC" w:rsidP="00A85517">
      <w:pPr>
        <w:spacing w:line="240" w:lineRule="auto"/>
        <w:ind w:left="1440" w:hanging="1440"/>
        <w:contextualSpacing/>
        <w:rPr>
          <w:rFonts w:ascii="Times New Roman" w:hAnsi="Times New Roman" w:cs="Times New Roman"/>
          <w:sz w:val="24"/>
          <w:szCs w:val="24"/>
        </w:rPr>
      </w:pPr>
    </w:p>
    <w:p w14:paraId="7292FBF2" w14:textId="57E23D0C" w:rsidR="003F5CBC" w:rsidRDefault="003F5CBC" w:rsidP="00177B58">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Please provide an electronic Excel worksheet showing how this dollar amount was calculated</w:t>
      </w:r>
      <w:r w:rsidR="005032A9">
        <w:rPr>
          <w:rFonts w:ascii="Times New Roman" w:hAnsi="Times New Roman" w:cs="Times New Roman"/>
          <w:sz w:val="24"/>
          <w:szCs w:val="24"/>
        </w:rPr>
        <w:t xml:space="preserve"> with live and unlocked cells</w:t>
      </w:r>
      <w:r>
        <w:rPr>
          <w:rFonts w:ascii="Times New Roman" w:hAnsi="Times New Roman" w:cs="Times New Roman"/>
          <w:sz w:val="24"/>
          <w:szCs w:val="24"/>
        </w:rPr>
        <w:t xml:space="preserve">. </w:t>
      </w:r>
    </w:p>
    <w:p w14:paraId="5F4EFD89" w14:textId="77777777" w:rsidR="0093468A" w:rsidRDefault="0093468A" w:rsidP="00177B58">
      <w:pPr>
        <w:pStyle w:val="ListParagraph"/>
        <w:spacing w:line="240" w:lineRule="auto"/>
        <w:ind w:left="1800"/>
        <w:jc w:val="both"/>
        <w:rPr>
          <w:rFonts w:ascii="Times New Roman" w:hAnsi="Times New Roman" w:cs="Times New Roman"/>
          <w:sz w:val="24"/>
          <w:szCs w:val="24"/>
        </w:rPr>
      </w:pPr>
    </w:p>
    <w:p w14:paraId="436A21FE" w14:textId="4D660EB4" w:rsidR="003F5CBC" w:rsidRDefault="003F5CBC" w:rsidP="00177B58">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provide the source documents that AGL is using to support the 6% commitment. </w:t>
      </w:r>
    </w:p>
    <w:p w14:paraId="71503DA5" w14:textId="77777777" w:rsidR="00A85517" w:rsidRDefault="00A85517" w:rsidP="00196366">
      <w:pPr>
        <w:spacing w:line="240" w:lineRule="auto"/>
        <w:contextualSpacing/>
        <w:rPr>
          <w:rFonts w:ascii="Times New Roman" w:hAnsi="Times New Roman" w:cs="Times New Roman"/>
          <w:sz w:val="24"/>
          <w:szCs w:val="24"/>
        </w:rPr>
      </w:pPr>
    </w:p>
    <w:p w14:paraId="2922E803" w14:textId="5F0FEFC8" w:rsidR="007A148E" w:rsidRDefault="00E32810" w:rsidP="007A148E">
      <w:pPr>
        <w:spacing w:line="240" w:lineRule="auto"/>
        <w:ind w:left="1440" w:hanging="1440"/>
        <w:contextualSpacing/>
        <w:rPr>
          <w:rFonts w:ascii="Times New Roman" w:hAnsi="Times New Roman" w:cs="Times New Roman"/>
          <w:sz w:val="24"/>
          <w:szCs w:val="24"/>
        </w:rPr>
      </w:pPr>
      <w:r w:rsidRPr="00F32FAB">
        <w:rPr>
          <w:rFonts w:ascii="Times New Roman" w:hAnsi="Times New Roman" w:cs="Times New Roman"/>
          <w:sz w:val="24"/>
          <w:szCs w:val="24"/>
        </w:rPr>
        <w:t>STF-3</w:t>
      </w:r>
      <w:r w:rsidR="003356E5">
        <w:rPr>
          <w:rFonts w:ascii="Times New Roman" w:hAnsi="Times New Roman" w:cs="Times New Roman"/>
          <w:sz w:val="24"/>
          <w:szCs w:val="24"/>
        </w:rPr>
        <w:t>6-1</w:t>
      </w:r>
      <w:r w:rsidR="00AC4545">
        <w:rPr>
          <w:rFonts w:ascii="Times New Roman" w:hAnsi="Times New Roman" w:cs="Times New Roman"/>
          <w:sz w:val="24"/>
          <w:szCs w:val="24"/>
        </w:rPr>
        <w:t>0</w:t>
      </w:r>
      <w:r w:rsidRPr="00F32FAB">
        <w:rPr>
          <w:rFonts w:ascii="Times New Roman" w:hAnsi="Times New Roman" w:cs="Times New Roman"/>
          <w:sz w:val="24"/>
          <w:szCs w:val="24"/>
        </w:rPr>
        <w:tab/>
        <w:t>As provided in Table-</w:t>
      </w:r>
      <w:r w:rsidR="00AC4545">
        <w:rPr>
          <w:rFonts w:ascii="Times New Roman" w:hAnsi="Times New Roman" w:cs="Times New Roman"/>
          <w:sz w:val="24"/>
          <w:szCs w:val="24"/>
        </w:rPr>
        <w:t>4</w:t>
      </w:r>
      <w:r w:rsidRPr="00F32FAB">
        <w:rPr>
          <w:rFonts w:ascii="Times New Roman" w:hAnsi="Times New Roman" w:cs="Times New Roman"/>
          <w:sz w:val="24"/>
          <w:szCs w:val="24"/>
        </w:rPr>
        <w:t xml:space="preserve"> below, the Staff has compared the rate % increase in the 2023 GRAM to that of the 2022 GRAM.</w:t>
      </w:r>
      <w:r w:rsidR="003356E5">
        <w:rPr>
          <w:rFonts w:ascii="Times New Roman" w:hAnsi="Times New Roman" w:cs="Times New Roman"/>
          <w:sz w:val="24"/>
          <w:szCs w:val="24"/>
        </w:rPr>
        <w:t xml:space="preserve"> </w:t>
      </w:r>
      <w:r w:rsidR="007A148E">
        <w:rPr>
          <w:rFonts w:ascii="Times New Roman" w:hAnsi="Times New Roman" w:cs="Times New Roman"/>
          <w:sz w:val="24"/>
          <w:szCs w:val="24"/>
        </w:rPr>
        <w:t>Please answer the following.</w:t>
      </w:r>
    </w:p>
    <w:p w14:paraId="0EED221F" w14:textId="016EB2D6" w:rsidR="00E32810" w:rsidRDefault="003356E5" w:rsidP="007A148E">
      <w:pPr>
        <w:pStyle w:val="ListParagraph"/>
        <w:numPr>
          <w:ilvl w:val="0"/>
          <w:numId w:val="27"/>
        </w:numPr>
        <w:spacing w:line="240" w:lineRule="auto"/>
        <w:rPr>
          <w:rFonts w:ascii="Times New Roman" w:hAnsi="Times New Roman" w:cs="Times New Roman"/>
          <w:sz w:val="24"/>
          <w:szCs w:val="24"/>
        </w:rPr>
      </w:pPr>
      <w:r w:rsidRPr="007A148E">
        <w:rPr>
          <w:rFonts w:ascii="Times New Roman" w:hAnsi="Times New Roman" w:cs="Times New Roman"/>
          <w:sz w:val="24"/>
          <w:szCs w:val="24"/>
        </w:rPr>
        <w:t>There are numerous rates that</w:t>
      </w:r>
      <w:r w:rsidR="007A148E">
        <w:rPr>
          <w:rFonts w:ascii="Times New Roman" w:hAnsi="Times New Roman" w:cs="Times New Roman"/>
          <w:sz w:val="24"/>
          <w:szCs w:val="24"/>
        </w:rPr>
        <w:t xml:space="preserve"> </w:t>
      </w:r>
      <w:r w:rsidR="00597CEC">
        <w:rPr>
          <w:rFonts w:ascii="Times New Roman" w:hAnsi="Times New Roman" w:cs="Times New Roman"/>
          <w:sz w:val="24"/>
          <w:szCs w:val="24"/>
        </w:rPr>
        <w:t xml:space="preserve">are </w:t>
      </w:r>
      <w:r w:rsidR="007A148E">
        <w:rPr>
          <w:rFonts w:ascii="Times New Roman" w:hAnsi="Times New Roman" w:cs="Times New Roman"/>
          <w:sz w:val="24"/>
          <w:szCs w:val="24"/>
        </w:rPr>
        <w:t xml:space="preserve">proposed to </w:t>
      </w:r>
      <w:r w:rsidRPr="007A148E">
        <w:rPr>
          <w:rFonts w:ascii="Times New Roman" w:hAnsi="Times New Roman" w:cs="Times New Roman"/>
          <w:sz w:val="24"/>
          <w:szCs w:val="24"/>
        </w:rPr>
        <w:t>exceed</w:t>
      </w:r>
      <w:r w:rsidR="007A148E">
        <w:rPr>
          <w:rFonts w:ascii="Times New Roman" w:hAnsi="Times New Roman" w:cs="Times New Roman"/>
          <w:sz w:val="24"/>
          <w:szCs w:val="24"/>
        </w:rPr>
        <w:t xml:space="preserve"> above</w:t>
      </w:r>
      <w:r w:rsidRPr="007A148E">
        <w:rPr>
          <w:rFonts w:ascii="Times New Roman" w:hAnsi="Times New Roman" w:cs="Times New Roman"/>
          <w:sz w:val="24"/>
          <w:szCs w:val="24"/>
        </w:rPr>
        <w:t xml:space="preserve"> 6%. Please discuss each rate that exceed</w:t>
      </w:r>
      <w:r w:rsidR="00597CEC">
        <w:rPr>
          <w:rFonts w:ascii="Times New Roman" w:hAnsi="Times New Roman" w:cs="Times New Roman"/>
          <w:sz w:val="24"/>
          <w:szCs w:val="24"/>
        </w:rPr>
        <w:t>s</w:t>
      </w:r>
      <w:r w:rsidRPr="007A148E">
        <w:rPr>
          <w:rFonts w:ascii="Times New Roman" w:hAnsi="Times New Roman" w:cs="Times New Roman"/>
          <w:sz w:val="24"/>
          <w:szCs w:val="24"/>
        </w:rPr>
        <w:t xml:space="preserve"> a 6% increase and why they have exceeded. </w:t>
      </w:r>
    </w:p>
    <w:p w14:paraId="61380208" w14:textId="77777777" w:rsidR="007A148E" w:rsidRDefault="007A148E" w:rsidP="007A148E">
      <w:pPr>
        <w:pStyle w:val="ListParagraph"/>
        <w:spacing w:line="240" w:lineRule="auto"/>
        <w:ind w:left="1800"/>
        <w:rPr>
          <w:rFonts w:ascii="Times New Roman" w:hAnsi="Times New Roman" w:cs="Times New Roman"/>
          <w:sz w:val="24"/>
          <w:szCs w:val="24"/>
        </w:rPr>
      </w:pPr>
    </w:p>
    <w:p w14:paraId="656B22ED" w14:textId="0ECF73CB" w:rsidR="00AC6D72" w:rsidRPr="009C3A83" w:rsidRDefault="007A148E" w:rsidP="009C3A83">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Were </w:t>
      </w:r>
      <w:r w:rsidR="00302BFA">
        <w:rPr>
          <w:rFonts w:ascii="Times New Roman" w:hAnsi="Times New Roman" w:cs="Times New Roman"/>
          <w:sz w:val="24"/>
          <w:szCs w:val="24"/>
        </w:rPr>
        <w:t>there</w:t>
      </w:r>
      <w:r>
        <w:rPr>
          <w:rFonts w:ascii="Times New Roman" w:hAnsi="Times New Roman" w:cs="Times New Roman"/>
          <w:sz w:val="24"/>
          <w:szCs w:val="24"/>
        </w:rPr>
        <w:t xml:space="preserve"> any rates that increased because of the Cherokee LNG project, such as the Peaking Charge that is proposed to increase by 10.08%?</w:t>
      </w:r>
    </w:p>
    <w:p w14:paraId="4382C46F" w14:textId="77777777" w:rsidR="00AC6D72" w:rsidRDefault="00AC6D72" w:rsidP="00C214F4">
      <w:pPr>
        <w:spacing w:line="240" w:lineRule="auto"/>
        <w:ind w:left="1440" w:hanging="1440"/>
        <w:contextualSpacing/>
        <w:rPr>
          <w:rFonts w:ascii="Times New Roman" w:hAnsi="Times New Roman" w:cs="Times New Roman"/>
          <w:b/>
          <w:sz w:val="24"/>
          <w:szCs w:val="24"/>
        </w:rPr>
      </w:pPr>
    </w:p>
    <w:p w14:paraId="2F2587EC" w14:textId="4799E121" w:rsidR="00E32810" w:rsidRDefault="00E32810" w:rsidP="00E32810">
      <w:pPr>
        <w:spacing w:line="240" w:lineRule="auto"/>
        <w:ind w:left="1440" w:hanging="1440"/>
        <w:contextualSpacing/>
        <w:rPr>
          <w:rFonts w:ascii="Times New Roman" w:hAnsi="Times New Roman" w:cs="Times New Roman"/>
          <w:b/>
          <w:sz w:val="24"/>
          <w:szCs w:val="24"/>
        </w:rPr>
      </w:pPr>
      <w:r>
        <w:rPr>
          <w:rFonts w:ascii="Times New Roman" w:hAnsi="Times New Roman" w:cs="Times New Roman"/>
          <w:b/>
          <w:sz w:val="24"/>
          <w:szCs w:val="24"/>
        </w:rPr>
        <w:t>Table-</w:t>
      </w:r>
      <w:r w:rsidR="00AC4545">
        <w:rPr>
          <w:rFonts w:ascii="Times New Roman" w:hAnsi="Times New Roman" w:cs="Times New Roman"/>
          <w:b/>
          <w:sz w:val="24"/>
          <w:szCs w:val="24"/>
        </w:rPr>
        <w:t>4</w:t>
      </w:r>
      <w:r>
        <w:rPr>
          <w:rFonts w:ascii="Times New Roman" w:hAnsi="Times New Roman" w:cs="Times New Roman"/>
          <w:b/>
          <w:sz w:val="24"/>
          <w:szCs w:val="24"/>
        </w:rPr>
        <w:t>: 2023 GRAM Proposed Rate % Increase</w:t>
      </w:r>
    </w:p>
    <w:tbl>
      <w:tblPr>
        <w:tblW w:w="9090" w:type="dxa"/>
        <w:tblInd w:w="-5" w:type="dxa"/>
        <w:tblLook w:val="04A0" w:firstRow="1" w:lastRow="0" w:firstColumn="1" w:lastColumn="0" w:noHBand="0" w:noVBand="1"/>
      </w:tblPr>
      <w:tblGrid>
        <w:gridCol w:w="3150"/>
        <w:gridCol w:w="1080"/>
        <w:gridCol w:w="270"/>
        <w:gridCol w:w="1350"/>
        <w:gridCol w:w="1350"/>
        <w:gridCol w:w="270"/>
        <w:gridCol w:w="1620"/>
      </w:tblGrid>
      <w:tr w:rsidR="007A148E" w:rsidRPr="003A3625" w14:paraId="23483F3F" w14:textId="77777777" w:rsidTr="007A148E">
        <w:trPr>
          <w:trHeight w:val="9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C45CB" w14:textId="77777777" w:rsidR="007A148E" w:rsidRPr="003A3625" w:rsidRDefault="007A148E" w:rsidP="000D02AF">
            <w:pPr>
              <w:spacing w:after="0" w:line="240" w:lineRule="auto"/>
              <w:jc w:val="center"/>
              <w:rPr>
                <w:rFonts w:ascii="Arial" w:eastAsia="Times New Roman" w:hAnsi="Arial" w:cs="Arial"/>
                <w:b/>
                <w:bCs/>
                <w:sz w:val="16"/>
                <w:szCs w:val="16"/>
              </w:rPr>
            </w:pPr>
            <w:r w:rsidRPr="003A3625">
              <w:rPr>
                <w:rFonts w:ascii="Arial" w:eastAsia="Times New Roman" w:hAnsi="Arial" w:cs="Arial"/>
                <w:b/>
                <w:bCs/>
                <w:sz w:val="16"/>
                <w:szCs w:val="16"/>
              </w:rPr>
              <w:t>Customer Classes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66E6D84" w14:textId="77777777" w:rsidR="007A148E" w:rsidRPr="003A3625" w:rsidRDefault="007A148E" w:rsidP="000D02AF">
            <w:pPr>
              <w:spacing w:after="0" w:line="240" w:lineRule="auto"/>
              <w:jc w:val="center"/>
              <w:rPr>
                <w:rFonts w:ascii="Arial" w:eastAsia="Times New Roman" w:hAnsi="Arial" w:cs="Arial"/>
                <w:b/>
                <w:bCs/>
                <w:sz w:val="16"/>
                <w:szCs w:val="16"/>
              </w:rPr>
            </w:pPr>
            <w:r w:rsidRPr="003A3625">
              <w:rPr>
                <w:rFonts w:ascii="Arial" w:eastAsia="Times New Roman" w:hAnsi="Arial" w:cs="Arial"/>
                <w:b/>
                <w:bCs/>
                <w:sz w:val="16"/>
                <w:szCs w:val="16"/>
              </w:rPr>
              <w:t>TW: 2023 GRAM Rate % Increase</w:t>
            </w:r>
          </w:p>
        </w:tc>
        <w:tc>
          <w:tcPr>
            <w:tcW w:w="270" w:type="dxa"/>
            <w:tcBorders>
              <w:top w:val="single" w:sz="4" w:space="0" w:color="auto"/>
              <w:left w:val="nil"/>
              <w:bottom w:val="single" w:sz="4" w:space="0" w:color="auto"/>
              <w:right w:val="single" w:sz="4" w:space="0" w:color="auto"/>
            </w:tcBorders>
            <w:shd w:val="clear" w:color="auto" w:fill="auto"/>
            <w:noWrap/>
            <w:vAlign w:val="bottom"/>
            <w:hideMark/>
          </w:tcPr>
          <w:p w14:paraId="256C2298"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single" w:sz="4" w:space="0" w:color="auto"/>
              <w:left w:val="nil"/>
              <w:bottom w:val="single" w:sz="4" w:space="0" w:color="auto"/>
              <w:right w:val="nil"/>
            </w:tcBorders>
          </w:tcPr>
          <w:p w14:paraId="5B788521" w14:textId="77777777" w:rsidR="007A148E" w:rsidRPr="003A3625" w:rsidRDefault="007A148E" w:rsidP="000D02AF">
            <w:pPr>
              <w:spacing w:after="0" w:line="240" w:lineRule="auto"/>
              <w:jc w:val="center"/>
              <w:rPr>
                <w:rFonts w:ascii="Arial" w:eastAsia="Times New Roman" w:hAnsi="Arial" w:cs="Arial"/>
                <w:b/>
                <w:bCs/>
                <w:sz w:val="16"/>
                <w:szCs w:val="16"/>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077D931" w14:textId="65D946A8" w:rsidR="007A148E" w:rsidRPr="003A3625" w:rsidRDefault="007A148E" w:rsidP="000D02AF">
            <w:pPr>
              <w:spacing w:after="0" w:line="240" w:lineRule="auto"/>
              <w:jc w:val="center"/>
              <w:rPr>
                <w:rFonts w:ascii="Arial" w:eastAsia="Times New Roman" w:hAnsi="Arial" w:cs="Arial"/>
                <w:b/>
                <w:bCs/>
                <w:sz w:val="16"/>
                <w:szCs w:val="16"/>
              </w:rPr>
            </w:pPr>
            <w:r w:rsidRPr="003A3625">
              <w:rPr>
                <w:rFonts w:ascii="Arial" w:eastAsia="Times New Roman" w:hAnsi="Arial" w:cs="Arial"/>
                <w:b/>
                <w:bCs/>
                <w:sz w:val="16"/>
                <w:szCs w:val="16"/>
              </w:rPr>
              <w:t>TW: 2022 GRAM Rate % Increase</w:t>
            </w:r>
          </w:p>
        </w:tc>
        <w:tc>
          <w:tcPr>
            <w:tcW w:w="270" w:type="dxa"/>
            <w:tcBorders>
              <w:top w:val="single" w:sz="4" w:space="0" w:color="auto"/>
              <w:left w:val="nil"/>
              <w:bottom w:val="single" w:sz="4" w:space="0" w:color="auto"/>
              <w:right w:val="single" w:sz="4" w:space="0" w:color="auto"/>
            </w:tcBorders>
            <w:shd w:val="clear" w:color="auto" w:fill="auto"/>
            <w:noWrap/>
            <w:vAlign w:val="bottom"/>
            <w:hideMark/>
          </w:tcPr>
          <w:p w14:paraId="50D3FA93"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6F40C812" w14:textId="77777777" w:rsidR="007A148E" w:rsidRPr="003A3625" w:rsidRDefault="007A148E" w:rsidP="000D02AF">
            <w:pPr>
              <w:spacing w:after="0" w:line="240" w:lineRule="auto"/>
              <w:jc w:val="center"/>
              <w:rPr>
                <w:rFonts w:ascii="Arial" w:eastAsia="Times New Roman" w:hAnsi="Arial" w:cs="Arial"/>
                <w:b/>
                <w:bCs/>
                <w:sz w:val="16"/>
                <w:szCs w:val="16"/>
              </w:rPr>
            </w:pPr>
            <w:r w:rsidRPr="003A3625">
              <w:rPr>
                <w:rFonts w:ascii="Arial" w:eastAsia="Times New Roman" w:hAnsi="Arial" w:cs="Arial"/>
                <w:b/>
                <w:bCs/>
                <w:sz w:val="16"/>
                <w:szCs w:val="16"/>
              </w:rPr>
              <w:t>TW: 2023 GRAM % Increase Over 2022 GRAM</w:t>
            </w:r>
          </w:p>
        </w:tc>
      </w:tr>
      <w:tr w:rsidR="007A148E" w:rsidRPr="003A3625" w14:paraId="44675A37"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5AF0C29"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4772442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05AE76E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CC1B53D"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11141566" w14:textId="3998249F"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4A85943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0194CC1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0063F1D2"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BFCB61D" w14:textId="77777777" w:rsidR="007A148E" w:rsidRPr="003A3625" w:rsidRDefault="007A148E" w:rsidP="000D02AF">
            <w:pPr>
              <w:spacing w:after="0" w:line="240" w:lineRule="auto"/>
              <w:rPr>
                <w:rFonts w:ascii="Arial" w:eastAsia="Times New Roman" w:hAnsi="Arial" w:cs="Arial"/>
                <w:b/>
                <w:bCs/>
                <w:sz w:val="16"/>
                <w:szCs w:val="16"/>
              </w:rPr>
            </w:pPr>
            <w:r w:rsidRPr="003A3625">
              <w:rPr>
                <w:rFonts w:ascii="Arial" w:eastAsia="Times New Roman" w:hAnsi="Arial" w:cs="Arial"/>
                <w:b/>
                <w:bCs/>
                <w:sz w:val="16"/>
                <w:szCs w:val="16"/>
              </w:rPr>
              <w:t>Residential</w:t>
            </w:r>
          </w:p>
        </w:tc>
        <w:tc>
          <w:tcPr>
            <w:tcW w:w="1080" w:type="dxa"/>
            <w:tcBorders>
              <w:top w:val="nil"/>
              <w:left w:val="nil"/>
              <w:bottom w:val="single" w:sz="4" w:space="0" w:color="auto"/>
              <w:right w:val="single" w:sz="4" w:space="0" w:color="auto"/>
            </w:tcBorders>
            <w:shd w:val="clear" w:color="auto" w:fill="auto"/>
            <w:noWrap/>
            <w:vAlign w:val="bottom"/>
            <w:hideMark/>
          </w:tcPr>
          <w:p w14:paraId="38E35C70"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055E0FB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566800D4"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048E20A6" w14:textId="4E52B7F5"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5B873E1F"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6E66FF7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64D6BC26"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540BA9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Customer Charge</w:t>
            </w:r>
          </w:p>
        </w:tc>
        <w:tc>
          <w:tcPr>
            <w:tcW w:w="1080" w:type="dxa"/>
            <w:tcBorders>
              <w:top w:val="nil"/>
              <w:left w:val="nil"/>
              <w:bottom w:val="single" w:sz="4" w:space="0" w:color="auto"/>
              <w:right w:val="single" w:sz="4" w:space="0" w:color="auto"/>
            </w:tcBorders>
            <w:shd w:val="clear" w:color="auto" w:fill="auto"/>
            <w:noWrap/>
            <w:vAlign w:val="bottom"/>
            <w:hideMark/>
          </w:tcPr>
          <w:p w14:paraId="6F4205C5"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5.96%</w:t>
            </w:r>
          </w:p>
        </w:tc>
        <w:tc>
          <w:tcPr>
            <w:tcW w:w="270" w:type="dxa"/>
            <w:tcBorders>
              <w:top w:val="nil"/>
              <w:left w:val="nil"/>
              <w:bottom w:val="single" w:sz="4" w:space="0" w:color="auto"/>
              <w:right w:val="single" w:sz="4" w:space="0" w:color="auto"/>
            </w:tcBorders>
            <w:shd w:val="clear" w:color="auto" w:fill="auto"/>
            <w:noWrap/>
            <w:vAlign w:val="bottom"/>
            <w:hideMark/>
          </w:tcPr>
          <w:p w14:paraId="52E44E8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39FD838A"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1BA4AB85" w14:textId="6EF4A226"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5.22%</w:t>
            </w:r>
          </w:p>
        </w:tc>
        <w:tc>
          <w:tcPr>
            <w:tcW w:w="270" w:type="dxa"/>
            <w:tcBorders>
              <w:top w:val="nil"/>
              <w:left w:val="nil"/>
              <w:bottom w:val="single" w:sz="4" w:space="0" w:color="auto"/>
              <w:right w:val="single" w:sz="4" w:space="0" w:color="auto"/>
            </w:tcBorders>
            <w:shd w:val="clear" w:color="auto" w:fill="auto"/>
            <w:noWrap/>
            <w:vAlign w:val="bottom"/>
            <w:hideMark/>
          </w:tcPr>
          <w:p w14:paraId="1754BC13"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28BFE591"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0.74%</w:t>
            </w:r>
          </w:p>
        </w:tc>
      </w:tr>
      <w:tr w:rsidR="007A148E" w:rsidRPr="003A3625" w14:paraId="026A6181"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CFCDAC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DDDC Charge</w:t>
            </w:r>
          </w:p>
        </w:tc>
        <w:tc>
          <w:tcPr>
            <w:tcW w:w="1080" w:type="dxa"/>
            <w:tcBorders>
              <w:top w:val="nil"/>
              <w:left w:val="nil"/>
              <w:bottom w:val="single" w:sz="4" w:space="0" w:color="auto"/>
              <w:right w:val="single" w:sz="4" w:space="0" w:color="auto"/>
            </w:tcBorders>
            <w:shd w:val="clear" w:color="auto" w:fill="auto"/>
            <w:noWrap/>
            <w:vAlign w:val="bottom"/>
            <w:hideMark/>
          </w:tcPr>
          <w:p w14:paraId="2B62612F"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5.97%</w:t>
            </w:r>
          </w:p>
        </w:tc>
        <w:tc>
          <w:tcPr>
            <w:tcW w:w="270" w:type="dxa"/>
            <w:tcBorders>
              <w:top w:val="nil"/>
              <w:left w:val="nil"/>
              <w:bottom w:val="single" w:sz="4" w:space="0" w:color="auto"/>
              <w:right w:val="single" w:sz="4" w:space="0" w:color="auto"/>
            </w:tcBorders>
            <w:shd w:val="clear" w:color="auto" w:fill="auto"/>
            <w:noWrap/>
            <w:vAlign w:val="bottom"/>
            <w:hideMark/>
          </w:tcPr>
          <w:p w14:paraId="78370DD4" w14:textId="77777777" w:rsidR="007A148E" w:rsidRPr="003A3625" w:rsidRDefault="007A148E" w:rsidP="000D02AF">
            <w:pPr>
              <w:spacing w:after="0" w:line="240" w:lineRule="auto"/>
              <w:rPr>
                <w:rFonts w:ascii="Arial" w:eastAsia="Times New Roman" w:hAnsi="Arial" w:cs="Arial"/>
                <w:color w:val="FF0000"/>
                <w:sz w:val="16"/>
                <w:szCs w:val="16"/>
              </w:rPr>
            </w:pPr>
            <w:r w:rsidRPr="003A3625">
              <w:rPr>
                <w:rFonts w:ascii="Arial" w:eastAsia="Times New Roman" w:hAnsi="Arial" w:cs="Arial"/>
                <w:color w:val="FF0000"/>
                <w:sz w:val="16"/>
                <w:szCs w:val="16"/>
              </w:rPr>
              <w:t> </w:t>
            </w:r>
          </w:p>
        </w:tc>
        <w:tc>
          <w:tcPr>
            <w:tcW w:w="1350" w:type="dxa"/>
            <w:tcBorders>
              <w:top w:val="nil"/>
              <w:left w:val="nil"/>
              <w:bottom w:val="single" w:sz="4" w:space="0" w:color="auto"/>
              <w:right w:val="nil"/>
            </w:tcBorders>
          </w:tcPr>
          <w:p w14:paraId="60B3F68A"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731A8256" w14:textId="4DAC2929"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5.23%</w:t>
            </w:r>
          </w:p>
        </w:tc>
        <w:tc>
          <w:tcPr>
            <w:tcW w:w="270" w:type="dxa"/>
            <w:tcBorders>
              <w:top w:val="nil"/>
              <w:left w:val="nil"/>
              <w:bottom w:val="single" w:sz="4" w:space="0" w:color="auto"/>
              <w:right w:val="single" w:sz="4" w:space="0" w:color="auto"/>
            </w:tcBorders>
            <w:shd w:val="clear" w:color="auto" w:fill="auto"/>
            <w:noWrap/>
            <w:vAlign w:val="bottom"/>
            <w:hideMark/>
          </w:tcPr>
          <w:p w14:paraId="5B07150D" w14:textId="77777777" w:rsidR="007A148E" w:rsidRPr="003A3625" w:rsidRDefault="007A148E" w:rsidP="000D02AF">
            <w:pPr>
              <w:spacing w:after="0" w:line="240" w:lineRule="auto"/>
              <w:rPr>
                <w:rFonts w:ascii="Arial" w:eastAsia="Times New Roman" w:hAnsi="Arial" w:cs="Arial"/>
                <w:color w:val="FF0000"/>
                <w:sz w:val="16"/>
                <w:szCs w:val="16"/>
              </w:rPr>
            </w:pPr>
            <w:r w:rsidRPr="003A3625">
              <w:rPr>
                <w:rFonts w:ascii="Arial" w:eastAsia="Times New Roman" w:hAnsi="Arial" w:cs="Arial"/>
                <w:color w:val="FF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39BF7EA5"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0.74%</w:t>
            </w:r>
          </w:p>
        </w:tc>
      </w:tr>
      <w:tr w:rsidR="007A148E" w:rsidRPr="003A3625" w14:paraId="2F02F87B"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62B320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022A4DA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2BF19865"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4681FA0A"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6E703248" w14:textId="7305F481"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6145F1F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5360434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14349C2F"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00344CD" w14:textId="77777777" w:rsidR="007A148E" w:rsidRPr="003A3625" w:rsidRDefault="007A148E" w:rsidP="000D02AF">
            <w:pPr>
              <w:spacing w:after="0" w:line="240" w:lineRule="auto"/>
              <w:rPr>
                <w:rFonts w:ascii="Arial" w:eastAsia="Times New Roman" w:hAnsi="Arial" w:cs="Arial"/>
                <w:b/>
                <w:bCs/>
                <w:sz w:val="16"/>
                <w:szCs w:val="16"/>
              </w:rPr>
            </w:pPr>
            <w:r w:rsidRPr="003A3625">
              <w:rPr>
                <w:rFonts w:ascii="Arial" w:eastAsia="Times New Roman" w:hAnsi="Arial" w:cs="Arial"/>
                <w:b/>
                <w:bCs/>
                <w:sz w:val="16"/>
                <w:szCs w:val="16"/>
              </w:rPr>
              <w:t>Master Metered</w:t>
            </w:r>
          </w:p>
        </w:tc>
        <w:tc>
          <w:tcPr>
            <w:tcW w:w="1080" w:type="dxa"/>
            <w:tcBorders>
              <w:top w:val="nil"/>
              <w:left w:val="nil"/>
              <w:bottom w:val="single" w:sz="4" w:space="0" w:color="auto"/>
              <w:right w:val="single" w:sz="4" w:space="0" w:color="auto"/>
            </w:tcBorders>
            <w:shd w:val="clear" w:color="auto" w:fill="auto"/>
            <w:noWrap/>
            <w:vAlign w:val="bottom"/>
            <w:hideMark/>
          </w:tcPr>
          <w:p w14:paraId="38733634"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36F3388A"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690508CC"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2BCCE332" w14:textId="0362312C"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6E34BF9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78A605A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5B1D86A9"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15884E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Customer Charge</w:t>
            </w:r>
          </w:p>
        </w:tc>
        <w:tc>
          <w:tcPr>
            <w:tcW w:w="1080" w:type="dxa"/>
            <w:tcBorders>
              <w:top w:val="nil"/>
              <w:left w:val="nil"/>
              <w:bottom w:val="single" w:sz="4" w:space="0" w:color="auto"/>
              <w:right w:val="single" w:sz="4" w:space="0" w:color="auto"/>
            </w:tcBorders>
            <w:shd w:val="clear" w:color="auto" w:fill="auto"/>
            <w:noWrap/>
            <w:vAlign w:val="bottom"/>
            <w:hideMark/>
          </w:tcPr>
          <w:p w14:paraId="7BF0475E"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5.97%</w:t>
            </w:r>
          </w:p>
        </w:tc>
        <w:tc>
          <w:tcPr>
            <w:tcW w:w="270" w:type="dxa"/>
            <w:tcBorders>
              <w:top w:val="nil"/>
              <w:left w:val="nil"/>
              <w:bottom w:val="single" w:sz="4" w:space="0" w:color="auto"/>
              <w:right w:val="single" w:sz="4" w:space="0" w:color="auto"/>
            </w:tcBorders>
            <w:shd w:val="clear" w:color="auto" w:fill="auto"/>
            <w:noWrap/>
            <w:vAlign w:val="bottom"/>
            <w:hideMark/>
          </w:tcPr>
          <w:p w14:paraId="4BEEE818"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4716C60"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274ABFCE" w14:textId="012F7393"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5.25%</w:t>
            </w:r>
          </w:p>
        </w:tc>
        <w:tc>
          <w:tcPr>
            <w:tcW w:w="270" w:type="dxa"/>
            <w:tcBorders>
              <w:top w:val="nil"/>
              <w:left w:val="nil"/>
              <w:bottom w:val="single" w:sz="4" w:space="0" w:color="auto"/>
              <w:right w:val="single" w:sz="4" w:space="0" w:color="auto"/>
            </w:tcBorders>
            <w:shd w:val="clear" w:color="auto" w:fill="auto"/>
            <w:noWrap/>
            <w:vAlign w:val="bottom"/>
            <w:hideMark/>
          </w:tcPr>
          <w:p w14:paraId="79AD089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7E2E8E7E"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0.72%</w:t>
            </w:r>
          </w:p>
        </w:tc>
      </w:tr>
      <w:tr w:rsidR="007A148E" w:rsidRPr="003A3625" w14:paraId="68C2A032"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6C3EA39"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DDDC Charge</w:t>
            </w:r>
          </w:p>
        </w:tc>
        <w:tc>
          <w:tcPr>
            <w:tcW w:w="1080" w:type="dxa"/>
            <w:tcBorders>
              <w:top w:val="nil"/>
              <w:left w:val="nil"/>
              <w:bottom w:val="single" w:sz="4" w:space="0" w:color="auto"/>
              <w:right w:val="single" w:sz="4" w:space="0" w:color="auto"/>
            </w:tcBorders>
            <w:shd w:val="clear" w:color="auto" w:fill="auto"/>
            <w:noWrap/>
            <w:vAlign w:val="bottom"/>
            <w:hideMark/>
          </w:tcPr>
          <w:p w14:paraId="74FD449A"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5.97%</w:t>
            </w:r>
          </w:p>
        </w:tc>
        <w:tc>
          <w:tcPr>
            <w:tcW w:w="270" w:type="dxa"/>
            <w:tcBorders>
              <w:top w:val="nil"/>
              <w:left w:val="nil"/>
              <w:bottom w:val="single" w:sz="4" w:space="0" w:color="auto"/>
              <w:right w:val="single" w:sz="4" w:space="0" w:color="auto"/>
            </w:tcBorders>
            <w:shd w:val="clear" w:color="auto" w:fill="auto"/>
            <w:noWrap/>
            <w:vAlign w:val="bottom"/>
            <w:hideMark/>
          </w:tcPr>
          <w:p w14:paraId="333DB51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5AC4F86A"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615A0C66" w14:textId="5E576B8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5.34%</w:t>
            </w:r>
          </w:p>
        </w:tc>
        <w:tc>
          <w:tcPr>
            <w:tcW w:w="270" w:type="dxa"/>
            <w:tcBorders>
              <w:top w:val="nil"/>
              <w:left w:val="nil"/>
              <w:bottom w:val="single" w:sz="4" w:space="0" w:color="auto"/>
              <w:right w:val="single" w:sz="4" w:space="0" w:color="auto"/>
            </w:tcBorders>
            <w:shd w:val="clear" w:color="auto" w:fill="auto"/>
            <w:noWrap/>
            <w:vAlign w:val="bottom"/>
            <w:hideMark/>
          </w:tcPr>
          <w:p w14:paraId="569A905A"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02A0AABC"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0.63%</w:t>
            </w:r>
          </w:p>
        </w:tc>
      </w:tr>
      <w:tr w:rsidR="007A148E" w:rsidRPr="003A3625" w14:paraId="452C998A"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0D889D53"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0826A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4CBEF88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71C679C4"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55505D08" w14:textId="517ADEE9"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070DD287"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3852379F"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5652C27E"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5B0B279C" w14:textId="77777777" w:rsidR="007A148E" w:rsidRPr="003A3625" w:rsidRDefault="007A148E" w:rsidP="000D02AF">
            <w:pPr>
              <w:spacing w:after="0" w:line="240" w:lineRule="auto"/>
              <w:rPr>
                <w:rFonts w:ascii="Arial" w:eastAsia="Times New Roman" w:hAnsi="Arial" w:cs="Arial"/>
                <w:b/>
                <w:bCs/>
                <w:sz w:val="16"/>
                <w:szCs w:val="16"/>
              </w:rPr>
            </w:pPr>
            <w:r w:rsidRPr="003A3625">
              <w:rPr>
                <w:rFonts w:ascii="Arial" w:eastAsia="Times New Roman" w:hAnsi="Arial" w:cs="Arial"/>
                <w:b/>
                <w:bCs/>
                <w:sz w:val="16"/>
                <w:szCs w:val="16"/>
              </w:rPr>
              <w:t>Commercial</w:t>
            </w:r>
          </w:p>
        </w:tc>
        <w:tc>
          <w:tcPr>
            <w:tcW w:w="1080" w:type="dxa"/>
            <w:tcBorders>
              <w:top w:val="nil"/>
              <w:left w:val="nil"/>
              <w:bottom w:val="single" w:sz="4" w:space="0" w:color="auto"/>
              <w:right w:val="single" w:sz="4" w:space="0" w:color="auto"/>
            </w:tcBorders>
            <w:shd w:val="clear" w:color="auto" w:fill="auto"/>
            <w:noWrap/>
            <w:vAlign w:val="bottom"/>
            <w:hideMark/>
          </w:tcPr>
          <w:p w14:paraId="55FB7BC3"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2BC7DDDA"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65DC1614"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2D96D142" w14:textId="663A4E56"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0DE69B6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62E3C03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0F084ACC"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3FFC4FEA"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Customer Charge &lt; 2.5</w:t>
            </w:r>
          </w:p>
        </w:tc>
        <w:tc>
          <w:tcPr>
            <w:tcW w:w="1080" w:type="dxa"/>
            <w:tcBorders>
              <w:top w:val="nil"/>
              <w:left w:val="nil"/>
              <w:bottom w:val="single" w:sz="4" w:space="0" w:color="auto"/>
              <w:right w:val="single" w:sz="4" w:space="0" w:color="auto"/>
            </w:tcBorders>
            <w:shd w:val="clear" w:color="auto" w:fill="auto"/>
            <w:noWrap/>
            <w:vAlign w:val="bottom"/>
            <w:hideMark/>
          </w:tcPr>
          <w:p w14:paraId="4D928C50"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5.97%</w:t>
            </w:r>
          </w:p>
        </w:tc>
        <w:tc>
          <w:tcPr>
            <w:tcW w:w="270" w:type="dxa"/>
            <w:tcBorders>
              <w:top w:val="nil"/>
              <w:left w:val="nil"/>
              <w:bottom w:val="single" w:sz="4" w:space="0" w:color="auto"/>
              <w:right w:val="single" w:sz="4" w:space="0" w:color="auto"/>
            </w:tcBorders>
            <w:shd w:val="clear" w:color="auto" w:fill="auto"/>
            <w:noWrap/>
            <w:vAlign w:val="bottom"/>
            <w:hideMark/>
          </w:tcPr>
          <w:p w14:paraId="0A1DBDC5"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2A6194FE"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3205E6D7" w14:textId="4747D921"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5.24%</w:t>
            </w:r>
          </w:p>
        </w:tc>
        <w:tc>
          <w:tcPr>
            <w:tcW w:w="270" w:type="dxa"/>
            <w:tcBorders>
              <w:top w:val="nil"/>
              <w:left w:val="nil"/>
              <w:bottom w:val="single" w:sz="4" w:space="0" w:color="auto"/>
              <w:right w:val="single" w:sz="4" w:space="0" w:color="auto"/>
            </w:tcBorders>
            <w:shd w:val="clear" w:color="auto" w:fill="auto"/>
            <w:noWrap/>
            <w:vAlign w:val="bottom"/>
            <w:hideMark/>
          </w:tcPr>
          <w:p w14:paraId="27758965"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63249F83"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0.73%</w:t>
            </w:r>
          </w:p>
        </w:tc>
      </w:tr>
      <w:tr w:rsidR="007A148E" w:rsidRPr="003A3625" w14:paraId="56FBB2BE"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C2A1E4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Customer Charge 2.5 to 7.0</w:t>
            </w:r>
          </w:p>
        </w:tc>
        <w:tc>
          <w:tcPr>
            <w:tcW w:w="1080" w:type="dxa"/>
            <w:tcBorders>
              <w:top w:val="nil"/>
              <w:left w:val="nil"/>
              <w:bottom w:val="single" w:sz="4" w:space="0" w:color="auto"/>
              <w:right w:val="single" w:sz="4" w:space="0" w:color="auto"/>
            </w:tcBorders>
            <w:shd w:val="clear" w:color="auto" w:fill="auto"/>
            <w:noWrap/>
            <w:vAlign w:val="bottom"/>
            <w:hideMark/>
          </w:tcPr>
          <w:p w14:paraId="06D90734"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5.97%</w:t>
            </w:r>
          </w:p>
        </w:tc>
        <w:tc>
          <w:tcPr>
            <w:tcW w:w="270" w:type="dxa"/>
            <w:tcBorders>
              <w:top w:val="nil"/>
              <w:left w:val="nil"/>
              <w:bottom w:val="single" w:sz="4" w:space="0" w:color="auto"/>
              <w:right w:val="single" w:sz="4" w:space="0" w:color="auto"/>
            </w:tcBorders>
            <w:shd w:val="clear" w:color="auto" w:fill="auto"/>
            <w:noWrap/>
            <w:vAlign w:val="bottom"/>
            <w:hideMark/>
          </w:tcPr>
          <w:p w14:paraId="4EF61534"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42EEFC9A"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51985863" w14:textId="7C9D8B1E"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5.23%</w:t>
            </w:r>
          </w:p>
        </w:tc>
        <w:tc>
          <w:tcPr>
            <w:tcW w:w="270" w:type="dxa"/>
            <w:tcBorders>
              <w:top w:val="nil"/>
              <w:left w:val="nil"/>
              <w:bottom w:val="single" w:sz="4" w:space="0" w:color="auto"/>
              <w:right w:val="single" w:sz="4" w:space="0" w:color="auto"/>
            </w:tcBorders>
            <w:shd w:val="clear" w:color="auto" w:fill="auto"/>
            <w:noWrap/>
            <w:vAlign w:val="bottom"/>
            <w:hideMark/>
          </w:tcPr>
          <w:p w14:paraId="5C83A867"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41E05A79"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0.74%</w:t>
            </w:r>
          </w:p>
        </w:tc>
      </w:tr>
      <w:tr w:rsidR="007A148E" w:rsidRPr="003A3625" w14:paraId="1341F811"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104F440"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Customer Charge 7.0 to 20</w:t>
            </w:r>
          </w:p>
        </w:tc>
        <w:tc>
          <w:tcPr>
            <w:tcW w:w="1080" w:type="dxa"/>
            <w:tcBorders>
              <w:top w:val="nil"/>
              <w:left w:val="nil"/>
              <w:bottom w:val="single" w:sz="4" w:space="0" w:color="auto"/>
              <w:right w:val="single" w:sz="4" w:space="0" w:color="auto"/>
            </w:tcBorders>
            <w:shd w:val="clear" w:color="auto" w:fill="auto"/>
            <w:noWrap/>
            <w:vAlign w:val="bottom"/>
            <w:hideMark/>
          </w:tcPr>
          <w:p w14:paraId="061AEAD5"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5.96%</w:t>
            </w:r>
          </w:p>
        </w:tc>
        <w:tc>
          <w:tcPr>
            <w:tcW w:w="270" w:type="dxa"/>
            <w:tcBorders>
              <w:top w:val="nil"/>
              <w:left w:val="nil"/>
              <w:bottom w:val="single" w:sz="4" w:space="0" w:color="auto"/>
              <w:right w:val="single" w:sz="4" w:space="0" w:color="auto"/>
            </w:tcBorders>
            <w:shd w:val="clear" w:color="auto" w:fill="auto"/>
            <w:noWrap/>
            <w:vAlign w:val="bottom"/>
            <w:hideMark/>
          </w:tcPr>
          <w:p w14:paraId="51AFADF7"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4EFBDB58"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5BB1CC99" w14:textId="655D7FC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5.25%</w:t>
            </w:r>
          </w:p>
        </w:tc>
        <w:tc>
          <w:tcPr>
            <w:tcW w:w="270" w:type="dxa"/>
            <w:tcBorders>
              <w:top w:val="nil"/>
              <w:left w:val="nil"/>
              <w:bottom w:val="single" w:sz="4" w:space="0" w:color="auto"/>
              <w:right w:val="single" w:sz="4" w:space="0" w:color="auto"/>
            </w:tcBorders>
            <w:shd w:val="clear" w:color="auto" w:fill="auto"/>
            <w:noWrap/>
            <w:vAlign w:val="bottom"/>
            <w:hideMark/>
          </w:tcPr>
          <w:p w14:paraId="4F02EAB0"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3DF24B5D"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0.71%</w:t>
            </w:r>
          </w:p>
        </w:tc>
      </w:tr>
      <w:tr w:rsidR="007A148E" w:rsidRPr="003A3625" w14:paraId="727BFA86"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4D67060"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Customer Charge 20 to 200</w:t>
            </w:r>
          </w:p>
        </w:tc>
        <w:tc>
          <w:tcPr>
            <w:tcW w:w="1080" w:type="dxa"/>
            <w:tcBorders>
              <w:top w:val="nil"/>
              <w:left w:val="nil"/>
              <w:bottom w:val="single" w:sz="4" w:space="0" w:color="auto"/>
              <w:right w:val="single" w:sz="4" w:space="0" w:color="auto"/>
            </w:tcBorders>
            <w:shd w:val="clear" w:color="auto" w:fill="auto"/>
            <w:noWrap/>
            <w:vAlign w:val="bottom"/>
            <w:hideMark/>
          </w:tcPr>
          <w:p w14:paraId="11A208AA"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5.96%</w:t>
            </w:r>
          </w:p>
        </w:tc>
        <w:tc>
          <w:tcPr>
            <w:tcW w:w="270" w:type="dxa"/>
            <w:tcBorders>
              <w:top w:val="nil"/>
              <w:left w:val="nil"/>
              <w:bottom w:val="single" w:sz="4" w:space="0" w:color="auto"/>
              <w:right w:val="single" w:sz="4" w:space="0" w:color="auto"/>
            </w:tcBorders>
            <w:shd w:val="clear" w:color="auto" w:fill="auto"/>
            <w:noWrap/>
            <w:vAlign w:val="bottom"/>
            <w:hideMark/>
          </w:tcPr>
          <w:p w14:paraId="103329E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2CA9B4C0"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15DBCCC7" w14:textId="2F1AA7F2"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5.24%</w:t>
            </w:r>
          </w:p>
        </w:tc>
        <w:tc>
          <w:tcPr>
            <w:tcW w:w="270" w:type="dxa"/>
            <w:tcBorders>
              <w:top w:val="nil"/>
              <w:left w:val="nil"/>
              <w:bottom w:val="single" w:sz="4" w:space="0" w:color="auto"/>
              <w:right w:val="single" w:sz="4" w:space="0" w:color="auto"/>
            </w:tcBorders>
            <w:shd w:val="clear" w:color="auto" w:fill="auto"/>
            <w:noWrap/>
            <w:vAlign w:val="bottom"/>
            <w:hideMark/>
          </w:tcPr>
          <w:p w14:paraId="2C4BAECF"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6E7DFDBC"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0.72%</w:t>
            </w:r>
          </w:p>
        </w:tc>
      </w:tr>
      <w:tr w:rsidR="007A148E" w:rsidRPr="003A3625" w14:paraId="7E3047A5"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946CFCF"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Customer Charge 200 to 500</w:t>
            </w:r>
          </w:p>
        </w:tc>
        <w:tc>
          <w:tcPr>
            <w:tcW w:w="1080" w:type="dxa"/>
            <w:tcBorders>
              <w:top w:val="nil"/>
              <w:left w:val="nil"/>
              <w:bottom w:val="single" w:sz="4" w:space="0" w:color="auto"/>
              <w:right w:val="single" w:sz="4" w:space="0" w:color="auto"/>
            </w:tcBorders>
            <w:shd w:val="clear" w:color="auto" w:fill="auto"/>
            <w:noWrap/>
            <w:vAlign w:val="bottom"/>
            <w:hideMark/>
          </w:tcPr>
          <w:p w14:paraId="4C9EE5AE"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5.96%</w:t>
            </w:r>
          </w:p>
        </w:tc>
        <w:tc>
          <w:tcPr>
            <w:tcW w:w="270" w:type="dxa"/>
            <w:tcBorders>
              <w:top w:val="nil"/>
              <w:left w:val="nil"/>
              <w:bottom w:val="single" w:sz="4" w:space="0" w:color="auto"/>
              <w:right w:val="single" w:sz="4" w:space="0" w:color="auto"/>
            </w:tcBorders>
            <w:shd w:val="clear" w:color="auto" w:fill="auto"/>
            <w:noWrap/>
            <w:vAlign w:val="bottom"/>
            <w:hideMark/>
          </w:tcPr>
          <w:p w14:paraId="06DE27DF"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49E8389A"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13AC3975" w14:textId="0587E852"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5.23%</w:t>
            </w:r>
          </w:p>
        </w:tc>
        <w:tc>
          <w:tcPr>
            <w:tcW w:w="270" w:type="dxa"/>
            <w:tcBorders>
              <w:top w:val="nil"/>
              <w:left w:val="nil"/>
              <w:bottom w:val="single" w:sz="4" w:space="0" w:color="auto"/>
              <w:right w:val="single" w:sz="4" w:space="0" w:color="auto"/>
            </w:tcBorders>
            <w:shd w:val="clear" w:color="auto" w:fill="auto"/>
            <w:noWrap/>
            <w:vAlign w:val="bottom"/>
            <w:hideMark/>
          </w:tcPr>
          <w:p w14:paraId="5124EDC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10C2046B"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0.73%</w:t>
            </w:r>
          </w:p>
        </w:tc>
      </w:tr>
      <w:tr w:rsidR="007A148E" w:rsidRPr="003A3625" w14:paraId="67075B97"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D398FC9"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Customer Charge 500 to 3000</w:t>
            </w:r>
          </w:p>
        </w:tc>
        <w:tc>
          <w:tcPr>
            <w:tcW w:w="1080" w:type="dxa"/>
            <w:tcBorders>
              <w:top w:val="nil"/>
              <w:left w:val="nil"/>
              <w:bottom w:val="single" w:sz="4" w:space="0" w:color="auto"/>
              <w:right w:val="single" w:sz="4" w:space="0" w:color="auto"/>
            </w:tcBorders>
            <w:shd w:val="clear" w:color="auto" w:fill="auto"/>
            <w:noWrap/>
            <w:vAlign w:val="bottom"/>
            <w:hideMark/>
          </w:tcPr>
          <w:p w14:paraId="444DDBD3"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5.96%</w:t>
            </w:r>
          </w:p>
        </w:tc>
        <w:tc>
          <w:tcPr>
            <w:tcW w:w="270" w:type="dxa"/>
            <w:tcBorders>
              <w:top w:val="nil"/>
              <w:left w:val="nil"/>
              <w:bottom w:val="single" w:sz="4" w:space="0" w:color="auto"/>
              <w:right w:val="single" w:sz="4" w:space="0" w:color="auto"/>
            </w:tcBorders>
            <w:shd w:val="clear" w:color="auto" w:fill="auto"/>
            <w:noWrap/>
            <w:vAlign w:val="bottom"/>
            <w:hideMark/>
          </w:tcPr>
          <w:p w14:paraId="79F70444"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0D963BBF"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146BA402" w14:textId="6CD0493B"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5.23%</w:t>
            </w:r>
          </w:p>
        </w:tc>
        <w:tc>
          <w:tcPr>
            <w:tcW w:w="270" w:type="dxa"/>
            <w:tcBorders>
              <w:top w:val="nil"/>
              <w:left w:val="nil"/>
              <w:bottom w:val="single" w:sz="4" w:space="0" w:color="auto"/>
              <w:right w:val="single" w:sz="4" w:space="0" w:color="auto"/>
            </w:tcBorders>
            <w:shd w:val="clear" w:color="auto" w:fill="auto"/>
            <w:noWrap/>
            <w:vAlign w:val="bottom"/>
            <w:hideMark/>
          </w:tcPr>
          <w:p w14:paraId="007FAB9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3CE63837"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0.73%</w:t>
            </w:r>
          </w:p>
        </w:tc>
      </w:tr>
      <w:tr w:rsidR="007A148E" w:rsidRPr="003A3625" w14:paraId="0C38EE3C"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0518B58"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Customer Charge 3000 and above</w:t>
            </w:r>
          </w:p>
        </w:tc>
        <w:tc>
          <w:tcPr>
            <w:tcW w:w="1080" w:type="dxa"/>
            <w:tcBorders>
              <w:top w:val="nil"/>
              <w:left w:val="nil"/>
              <w:bottom w:val="single" w:sz="4" w:space="0" w:color="auto"/>
              <w:right w:val="single" w:sz="4" w:space="0" w:color="auto"/>
            </w:tcBorders>
            <w:shd w:val="clear" w:color="auto" w:fill="auto"/>
            <w:noWrap/>
            <w:vAlign w:val="bottom"/>
            <w:hideMark/>
          </w:tcPr>
          <w:p w14:paraId="735B807D"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5.96%</w:t>
            </w:r>
          </w:p>
        </w:tc>
        <w:tc>
          <w:tcPr>
            <w:tcW w:w="270" w:type="dxa"/>
            <w:tcBorders>
              <w:top w:val="nil"/>
              <w:left w:val="nil"/>
              <w:bottom w:val="single" w:sz="4" w:space="0" w:color="auto"/>
              <w:right w:val="single" w:sz="4" w:space="0" w:color="auto"/>
            </w:tcBorders>
            <w:shd w:val="clear" w:color="auto" w:fill="auto"/>
            <w:noWrap/>
            <w:vAlign w:val="bottom"/>
            <w:hideMark/>
          </w:tcPr>
          <w:p w14:paraId="185D2D3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352509DB"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499CE09D" w14:textId="577EC3A9"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5.23%</w:t>
            </w:r>
          </w:p>
        </w:tc>
        <w:tc>
          <w:tcPr>
            <w:tcW w:w="270" w:type="dxa"/>
            <w:tcBorders>
              <w:top w:val="nil"/>
              <w:left w:val="nil"/>
              <w:bottom w:val="single" w:sz="4" w:space="0" w:color="auto"/>
              <w:right w:val="single" w:sz="4" w:space="0" w:color="auto"/>
            </w:tcBorders>
            <w:shd w:val="clear" w:color="auto" w:fill="auto"/>
            <w:noWrap/>
            <w:vAlign w:val="bottom"/>
            <w:hideMark/>
          </w:tcPr>
          <w:p w14:paraId="2261B90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1A0350A1"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0.73%</w:t>
            </w:r>
          </w:p>
        </w:tc>
      </w:tr>
      <w:tr w:rsidR="007A148E" w:rsidRPr="003A3625" w14:paraId="2C1952DF"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7F181AA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5AC48FD4"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41CE935A"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076A31C9"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2CF7CDA5" w14:textId="68F7D9C4"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399906A3"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3EA070EF"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5BA0D359"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28D0AE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DDDC Charge</w:t>
            </w:r>
          </w:p>
        </w:tc>
        <w:tc>
          <w:tcPr>
            <w:tcW w:w="1080" w:type="dxa"/>
            <w:tcBorders>
              <w:top w:val="nil"/>
              <w:left w:val="nil"/>
              <w:bottom w:val="single" w:sz="4" w:space="0" w:color="auto"/>
              <w:right w:val="single" w:sz="4" w:space="0" w:color="auto"/>
            </w:tcBorders>
            <w:shd w:val="clear" w:color="auto" w:fill="auto"/>
            <w:noWrap/>
            <w:vAlign w:val="bottom"/>
            <w:hideMark/>
          </w:tcPr>
          <w:p w14:paraId="57E739B8"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5.97%</w:t>
            </w:r>
          </w:p>
        </w:tc>
        <w:tc>
          <w:tcPr>
            <w:tcW w:w="270" w:type="dxa"/>
            <w:tcBorders>
              <w:top w:val="nil"/>
              <w:left w:val="nil"/>
              <w:bottom w:val="single" w:sz="4" w:space="0" w:color="auto"/>
              <w:right w:val="single" w:sz="4" w:space="0" w:color="auto"/>
            </w:tcBorders>
            <w:shd w:val="clear" w:color="auto" w:fill="auto"/>
            <w:noWrap/>
            <w:vAlign w:val="bottom"/>
            <w:hideMark/>
          </w:tcPr>
          <w:p w14:paraId="5C9E3BD5"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EE0005C"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3D6A3B1D" w14:textId="1004AFFC"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5.24%</w:t>
            </w:r>
          </w:p>
        </w:tc>
        <w:tc>
          <w:tcPr>
            <w:tcW w:w="270" w:type="dxa"/>
            <w:tcBorders>
              <w:top w:val="nil"/>
              <w:left w:val="nil"/>
              <w:bottom w:val="single" w:sz="4" w:space="0" w:color="auto"/>
              <w:right w:val="single" w:sz="4" w:space="0" w:color="auto"/>
            </w:tcBorders>
            <w:shd w:val="clear" w:color="auto" w:fill="auto"/>
            <w:noWrap/>
            <w:vAlign w:val="bottom"/>
            <w:hideMark/>
          </w:tcPr>
          <w:p w14:paraId="2F6A8E1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25DAF2C9"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0.73%</w:t>
            </w:r>
          </w:p>
        </w:tc>
      </w:tr>
      <w:tr w:rsidR="007A148E" w:rsidRPr="003A3625" w14:paraId="6E0A9476"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3D8DE5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71D7783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722CAFE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02217DB1"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3765E300" w14:textId="127A8A8A"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5AC250F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6BA9D984"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63AF11AB"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6EE6848" w14:textId="77777777" w:rsidR="007A148E" w:rsidRPr="003A3625" w:rsidRDefault="007A148E" w:rsidP="000D02AF">
            <w:pPr>
              <w:spacing w:after="0" w:line="240" w:lineRule="auto"/>
              <w:rPr>
                <w:rFonts w:ascii="Arial" w:eastAsia="Times New Roman" w:hAnsi="Arial" w:cs="Arial"/>
                <w:b/>
                <w:bCs/>
                <w:sz w:val="16"/>
                <w:szCs w:val="16"/>
              </w:rPr>
            </w:pPr>
            <w:r w:rsidRPr="003A3625">
              <w:rPr>
                <w:rFonts w:ascii="Arial" w:eastAsia="Times New Roman" w:hAnsi="Arial" w:cs="Arial"/>
                <w:b/>
                <w:bCs/>
                <w:sz w:val="16"/>
                <w:szCs w:val="16"/>
              </w:rPr>
              <w:t>Agricultural</w:t>
            </w:r>
          </w:p>
        </w:tc>
        <w:tc>
          <w:tcPr>
            <w:tcW w:w="1080" w:type="dxa"/>
            <w:tcBorders>
              <w:top w:val="nil"/>
              <w:left w:val="nil"/>
              <w:bottom w:val="single" w:sz="4" w:space="0" w:color="auto"/>
              <w:right w:val="single" w:sz="4" w:space="0" w:color="auto"/>
            </w:tcBorders>
            <w:shd w:val="clear" w:color="auto" w:fill="auto"/>
            <w:noWrap/>
            <w:vAlign w:val="bottom"/>
            <w:hideMark/>
          </w:tcPr>
          <w:p w14:paraId="23235DE9"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1ED67FA0"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75F860FF"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25EAD7A5" w14:textId="59DFB38F"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3D5FA97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19F4E983"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00CF6A3C"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E45A71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Customer Charge</w:t>
            </w:r>
          </w:p>
        </w:tc>
        <w:tc>
          <w:tcPr>
            <w:tcW w:w="1080" w:type="dxa"/>
            <w:tcBorders>
              <w:top w:val="nil"/>
              <w:left w:val="nil"/>
              <w:bottom w:val="single" w:sz="4" w:space="0" w:color="auto"/>
              <w:right w:val="single" w:sz="4" w:space="0" w:color="auto"/>
            </w:tcBorders>
            <w:shd w:val="clear" w:color="auto" w:fill="auto"/>
            <w:noWrap/>
            <w:vAlign w:val="bottom"/>
            <w:hideMark/>
          </w:tcPr>
          <w:p w14:paraId="6128BCC7"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5.96%</w:t>
            </w:r>
          </w:p>
        </w:tc>
        <w:tc>
          <w:tcPr>
            <w:tcW w:w="270" w:type="dxa"/>
            <w:tcBorders>
              <w:top w:val="nil"/>
              <w:left w:val="nil"/>
              <w:bottom w:val="single" w:sz="4" w:space="0" w:color="auto"/>
              <w:right w:val="single" w:sz="4" w:space="0" w:color="auto"/>
            </w:tcBorders>
            <w:shd w:val="clear" w:color="auto" w:fill="auto"/>
            <w:noWrap/>
            <w:vAlign w:val="bottom"/>
            <w:hideMark/>
          </w:tcPr>
          <w:p w14:paraId="72DF15C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32F48734"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73544ECF" w14:textId="54AE04A1"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5.24%</w:t>
            </w:r>
          </w:p>
        </w:tc>
        <w:tc>
          <w:tcPr>
            <w:tcW w:w="270" w:type="dxa"/>
            <w:tcBorders>
              <w:top w:val="nil"/>
              <w:left w:val="nil"/>
              <w:bottom w:val="single" w:sz="4" w:space="0" w:color="auto"/>
              <w:right w:val="single" w:sz="4" w:space="0" w:color="auto"/>
            </w:tcBorders>
            <w:shd w:val="clear" w:color="auto" w:fill="auto"/>
            <w:noWrap/>
            <w:vAlign w:val="bottom"/>
            <w:hideMark/>
          </w:tcPr>
          <w:p w14:paraId="0460466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7C7A745F"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0.72%</w:t>
            </w:r>
          </w:p>
        </w:tc>
      </w:tr>
      <w:tr w:rsidR="007A148E" w:rsidRPr="003A3625" w14:paraId="40AD021A"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302B2DE1" w14:textId="77777777" w:rsidR="007A148E" w:rsidRPr="003356E5" w:rsidRDefault="007A148E" w:rsidP="000D02AF">
            <w:pPr>
              <w:spacing w:after="0" w:line="240" w:lineRule="auto"/>
              <w:rPr>
                <w:rFonts w:ascii="Arial" w:eastAsia="Times New Roman" w:hAnsi="Arial" w:cs="Arial"/>
                <w:sz w:val="16"/>
                <w:szCs w:val="16"/>
                <w:highlight w:val="yellow"/>
              </w:rPr>
            </w:pPr>
            <w:r w:rsidRPr="003356E5">
              <w:rPr>
                <w:rFonts w:ascii="Arial" w:eastAsia="Times New Roman" w:hAnsi="Arial" w:cs="Arial"/>
                <w:sz w:val="16"/>
                <w:szCs w:val="16"/>
                <w:highlight w:val="yellow"/>
              </w:rPr>
              <w:t>Summer Commodity Charge</w:t>
            </w:r>
          </w:p>
        </w:tc>
        <w:tc>
          <w:tcPr>
            <w:tcW w:w="1080" w:type="dxa"/>
            <w:tcBorders>
              <w:top w:val="nil"/>
              <w:left w:val="nil"/>
              <w:bottom w:val="single" w:sz="4" w:space="0" w:color="auto"/>
              <w:right w:val="single" w:sz="4" w:space="0" w:color="auto"/>
            </w:tcBorders>
            <w:shd w:val="clear" w:color="auto" w:fill="auto"/>
            <w:noWrap/>
            <w:vAlign w:val="bottom"/>
            <w:hideMark/>
          </w:tcPr>
          <w:p w14:paraId="038BDF6B" w14:textId="77777777" w:rsidR="007A148E" w:rsidRPr="003356E5" w:rsidRDefault="007A148E" w:rsidP="000D02AF">
            <w:pPr>
              <w:spacing w:after="0" w:line="240" w:lineRule="auto"/>
              <w:jc w:val="right"/>
              <w:rPr>
                <w:rFonts w:ascii="Arial" w:eastAsia="Times New Roman" w:hAnsi="Arial" w:cs="Arial"/>
                <w:sz w:val="16"/>
                <w:szCs w:val="16"/>
                <w:highlight w:val="yellow"/>
              </w:rPr>
            </w:pPr>
            <w:r w:rsidRPr="003356E5">
              <w:rPr>
                <w:rFonts w:ascii="Arial" w:eastAsia="Times New Roman" w:hAnsi="Arial" w:cs="Arial"/>
                <w:sz w:val="16"/>
                <w:szCs w:val="16"/>
                <w:highlight w:val="yellow"/>
              </w:rPr>
              <w:t>6.09%</w:t>
            </w:r>
          </w:p>
        </w:tc>
        <w:tc>
          <w:tcPr>
            <w:tcW w:w="270" w:type="dxa"/>
            <w:tcBorders>
              <w:top w:val="nil"/>
              <w:left w:val="nil"/>
              <w:bottom w:val="single" w:sz="4" w:space="0" w:color="auto"/>
              <w:right w:val="single" w:sz="4" w:space="0" w:color="auto"/>
            </w:tcBorders>
            <w:shd w:val="clear" w:color="auto" w:fill="auto"/>
            <w:noWrap/>
            <w:vAlign w:val="bottom"/>
            <w:hideMark/>
          </w:tcPr>
          <w:p w14:paraId="2806C036" w14:textId="77777777" w:rsidR="007A148E" w:rsidRPr="003356E5" w:rsidRDefault="007A148E" w:rsidP="000D02AF">
            <w:pPr>
              <w:spacing w:after="0" w:line="240" w:lineRule="auto"/>
              <w:rPr>
                <w:rFonts w:ascii="Arial" w:eastAsia="Times New Roman" w:hAnsi="Arial" w:cs="Arial"/>
                <w:sz w:val="16"/>
                <w:szCs w:val="16"/>
                <w:highlight w:val="yellow"/>
              </w:rPr>
            </w:pPr>
            <w:r w:rsidRPr="003356E5">
              <w:rPr>
                <w:rFonts w:ascii="Arial" w:eastAsia="Times New Roman" w:hAnsi="Arial" w:cs="Arial"/>
                <w:sz w:val="16"/>
                <w:szCs w:val="16"/>
                <w:highlight w:val="yellow"/>
              </w:rPr>
              <w:t> </w:t>
            </w:r>
          </w:p>
        </w:tc>
        <w:tc>
          <w:tcPr>
            <w:tcW w:w="1350" w:type="dxa"/>
            <w:tcBorders>
              <w:top w:val="nil"/>
              <w:left w:val="nil"/>
              <w:bottom w:val="single" w:sz="4" w:space="0" w:color="auto"/>
              <w:right w:val="nil"/>
            </w:tcBorders>
          </w:tcPr>
          <w:p w14:paraId="45308487"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26089985" w14:textId="69F3B340"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5.56%</w:t>
            </w:r>
          </w:p>
        </w:tc>
        <w:tc>
          <w:tcPr>
            <w:tcW w:w="270" w:type="dxa"/>
            <w:tcBorders>
              <w:top w:val="nil"/>
              <w:left w:val="nil"/>
              <w:bottom w:val="single" w:sz="4" w:space="0" w:color="auto"/>
              <w:right w:val="single" w:sz="4" w:space="0" w:color="auto"/>
            </w:tcBorders>
            <w:shd w:val="clear" w:color="auto" w:fill="auto"/>
            <w:noWrap/>
            <w:vAlign w:val="bottom"/>
            <w:hideMark/>
          </w:tcPr>
          <w:p w14:paraId="32F6407F"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2C151AAC"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0.53%</w:t>
            </w:r>
          </w:p>
        </w:tc>
      </w:tr>
      <w:tr w:rsidR="007A148E" w:rsidRPr="003A3625" w14:paraId="29A77BDB"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83677D3"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Winter Commodity Charge</w:t>
            </w:r>
          </w:p>
        </w:tc>
        <w:tc>
          <w:tcPr>
            <w:tcW w:w="1080" w:type="dxa"/>
            <w:tcBorders>
              <w:top w:val="nil"/>
              <w:left w:val="nil"/>
              <w:bottom w:val="single" w:sz="4" w:space="0" w:color="auto"/>
              <w:right w:val="single" w:sz="4" w:space="0" w:color="auto"/>
            </w:tcBorders>
            <w:shd w:val="clear" w:color="auto" w:fill="auto"/>
            <w:noWrap/>
            <w:vAlign w:val="bottom"/>
            <w:hideMark/>
          </w:tcPr>
          <w:p w14:paraId="6C9FA9AC"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5.81%</w:t>
            </w:r>
          </w:p>
        </w:tc>
        <w:tc>
          <w:tcPr>
            <w:tcW w:w="270" w:type="dxa"/>
            <w:tcBorders>
              <w:top w:val="nil"/>
              <w:left w:val="nil"/>
              <w:bottom w:val="single" w:sz="4" w:space="0" w:color="auto"/>
              <w:right w:val="single" w:sz="4" w:space="0" w:color="auto"/>
            </w:tcBorders>
            <w:shd w:val="clear" w:color="auto" w:fill="auto"/>
            <w:noWrap/>
            <w:vAlign w:val="bottom"/>
            <w:hideMark/>
          </w:tcPr>
          <w:p w14:paraId="443D2B63"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7F5D7BC7"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79B65133" w14:textId="7159068E"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4.53%</w:t>
            </w:r>
          </w:p>
        </w:tc>
        <w:tc>
          <w:tcPr>
            <w:tcW w:w="270" w:type="dxa"/>
            <w:tcBorders>
              <w:top w:val="nil"/>
              <w:left w:val="nil"/>
              <w:bottom w:val="single" w:sz="4" w:space="0" w:color="auto"/>
              <w:right w:val="single" w:sz="4" w:space="0" w:color="auto"/>
            </w:tcBorders>
            <w:shd w:val="clear" w:color="auto" w:fill="auto"/>
            <w:noWrap/>
            <w:vAlign w:val="bottom"/>
            <w:hideMark/>
          </w:tcPr>
          <w:p w14:paraId="6256025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18A5BF45"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1.28%</w:t>
            </w:r>
          </w:p>
        </w:tc>
      </w:tr>
      <w:tr w:rsidR="007A148E" w:rsidRPr="003A3625" w14:paraId="78AEF2FD"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9474678"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5E672F20"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3787CE0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FE621AD"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6FF859A7" w14:textId="40628DC9"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25945DD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47E00865"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54AEB4E8"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AACCE1E" w14:textId="77777777" w:rsidR="007A148E" w:rsidRPr="003A3625" w:rsidRDefault="007A148E" w:rsidP="000D02AF">
            <w:pPr>
              <w:spacing w:after="0" w:line="240" w:lineRule="auto"/>
              <w:rPr>
                <w:rFonts w:ascii="Arial" w:eastAsia="Times New Roman" w:hAnsi="Arial" w:cs="Arial"/>
                <w:b/>
                <w:bCs/>
                <w:sz w:val="16"/>
                <w:szCs w:val="16"/>
              </w:rPr>
            </w:pPr>
            <w:r w:rsidRPr="003A3625">
              <w:rPr>
                <w:rFonts w:ascii="Arial" w:eastAsia="Times New Roman" w:hAnsi="Arial" w:cs="Arial"/>
                <w:b/>
                <w:bCs/>
                <w:sz w:val="16"/>
                <w:szCs w:val="16"/>
              </w:rPr>
              <w:t>Seasonal</w:t>
            </w:r>
          </w:p>
        </w:tc>
        <w:tc>
          <w:tcPr>
            <w:tcW w:w="1080" w:type="dxa"/>
            <w:tcBorders>
              <w:top w:val="nil"/>
              <w:left w:val="nil"/>
              <w:bottom w:val="single" w:sz="4" w:space="0" w:color="auto"/>
              <w:right w:val="single" w:sz="4" w:space="0" w:color="auto"/>
            </w:tcBorders>
            <w:shd w:val="clear" w:color="auto" w:fill="auto"/>
            <w:noWrap/>
            <w:vAlign w:val="bottom"/>
            <w:hideMark/>
          </w:tcPr>
          <w:p w14:paraId="026C38A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0CC54944"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481BC63A"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079861D8" w14:textId="5AA6B28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7BEE3F0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7DF5AB04"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4549050F"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D5F1D3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Customer Charge</w:t>
            </w:r>
          </w:p>
        </w:tc>
        <w:tc>
          <w:tcPr>
            <w:tcW w:w="1080" w:type="dxa"/>
            <w:tcBorders>
              <w:top w:val="nil"/>
              <w:left w:val="nil"/>
              <w:bottom w:val="single" w:sz="4" w:space="0" w:color="auto"/>
              <w:right w:val="single" w:sz="4" w:space="0" w:color="auto"/>
            </w:tcBorders>
            <w:shd w:val="clear" w:color="auto" w:fill="auto"/>
            <w:noWrap/>
            <w:vAlign w:val="bottom"/>
            <w:hideMark/>
          </w:tcPr>
          <w:p w14:paraId="54F1C21E"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5.96%</w:t>
            </w:r>
          </w:p>
        </w:tc>
        <w:tc>
          <w:tcPr>
            <w:tcW w:w="270" w:type="dxa"/>
            <w:tcBorders>
              <w:top w:val="nil"/>
              <w:left w:val="nil"/>
              <w:bottom w:val="single" w:sz="4" w:space="0" w:color="auto"/>
              <w:right w:val="single" w:sz="4" w:space="0" w:color="auto"/>
            </w:tcBorders>
            <w:shd w:val="clear" w:color="auto" w:fill="auto"/>
            <w:noWrap/>
            <w:vAlign w:val="bottom"/>
            <w:hideMark/>
          </w:tcPr>
          <w:p w14:paraId="59B0D6A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7B1CCF9A"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7026E79B" w14:textId="6C906919"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5.21%</w:t>
            </w:r>
          </w:p>
        </w:tc>
        <w:tc>
          <w:tcPr>
            <w:tcW w:w="270" w:type="dxa"/>
            <w:tcBorders>
              <w:top w:val="nil"/>
              <w:left w:val="nil"/>
              <w:bottom w:val="single" w:sz="4" w:space="0" w:color="auto"/>
              <w:right w:val="single" w:sz="4" w:space="0" w:color="auto"/>
            </w:tcBorders>
            <w:shd w:val="clear" w:color="auto" w:fill="auto"/>
            <w:noWrap/>
            <w:vAlign w:val="bottom"/>
            <w:hideMark/>
          </w:tcPr>
          <w:p w14:paraId="1F900E9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748C4BE8"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0.75%</w:t>
            </w:r>
          </w:p>
        </w:tc>
      </w:tr>
      <w:tr w:rsidR="007A148E" w:rsidRPr="003A3625" w14:paraId="5349EA1D"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D53DB0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Commodity Charge</w:t>
            </w:r>
          </w:p>
        </w:tc>
        <w:tc>
          <w:tcPr>
            <w:tcW w:w="1080" w:type="dxa"/>
            <w:tcBorders>
              <w:top w:val="nil"/>
              <w:left w:val="nil"/>
              <w:bottom w:val="single" w:sz="4" w:space="0" w:color="auto"/>
              <w:right w:val="single" w:sz="4" w:space="0" w:color="auto"/>
            </w:tcBorders>
            <w:shd w:val="clear" w:color="auto" w:fill="auto"/>
            <w:noWrap/>
            <w:vAlign w:val="bottom"/>
            <w:hideMark/>
          </w:tcPr>
          <w:p w14:paraId="350584F0"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6.40%</w:t>
            </w:r>
          </w:p>
        </w:tc>
        <w:tc>
          <w:tcPr>
            <w:tcW w:w="270" w:type="dxa"/>
            <w:tcBorders>
              <w:top w:val="nil"/>
              <w:left w:val="nil"/>
              <w:bottom w:val="single" w:sz="4" w:space="0" w:color="auto"/>
              <w:right w:val="single" w:sz="4" w:space="0" w:color="auto"/>
            </w:tcBorders>
            <w:shd w:val="clear" w:color="auto" w:fill="auto"/>
            <w:noWrap/>
            <w:vAlign w:val="bottom"/>
            <w:hideMark/>
          </w:tcPr>
          <w:p w14:paraId="2FC9C148"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2F9D6550"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6A08B5AE" w14:textId="1B5539F6"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4.97%</w:t>
            </w:r>
          </w:p>
        </w:tc>
        <w:tc>
          <w:tcPr>
            <w:tcW w:w="270" w:type="dxa"/>
            <w:tcBorders>
              <w:top w:val="nil"/>
              <w:left w:val="nil"/>
              <w:bottom w:val="single" w:sz="4" w:space="0" w:color="auto"/>
              <w:right w:val="single" w:sz="4" w:space="0" w:color="auto"/>
            </w:tcBorders>
            <w:shd w:val="clear" w:color="auto" w:fill="auto"/>
            <w:noWrap/>
            <w:vAlign w:val="bottom"/>
            <w:hideMark/>
          </w:tcPr>
          <w:p w14:paraId="6B2EBBD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7AE8E298"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1.43%</w:t>
            </w:r>
          </w:p>
        </w:tc>
      </w:tr>
      <w:tr w:rsidR="007A148E" w:rsidRPr="003A3625" w14:paraId="7BBF1A7F"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55A72EFA"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09C221D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7799C41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48E958D"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6105B2E0" w14:textId="44448AD3"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32AC1E8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101B209F"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0F723ADB"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D6876D1" w14:textId="77777777" w:rsidR="007A148E" w:rsidRPr="003356E5" w:rsidRDefault="007A148E" w:rsidP="000D02AF">
            <w:pPr>
              <w:spacing w:after="0" w:line="240" w:lineRule="auto"/>
              <w:rPr>
                <w:rFonts w:ascii="Arial" w:eastAsia="Times New Roman" w:hAnsi="Arial" w:cs="Arial"/>
                <w:b/>
                <w:bCs/>
                <w:sz w:val="16"/>
                <w:szCs w:val="16"/>
                <w:highlight w:val="yellow"/>
              </w:rPr>
            </w:pPr>
            <w:r w:rsidRPr="003356E5">
              <w:rPr>
                <w:rFonts w:ascii="Arial" w:eastAsia="Times New Roman" w:hAnsi="Arial" w:cs="Arial"/>
                <w:b/>
                <w:bCs/>
                <w:sz w:val="16"/>
                <w:szCs w:val="16"/>
                <w:highlight w:val="yellow"/>
              </w:rPr>
              <w:t xml:space="preserve">Peaking </w:t>
            </w:r>
          </w:p>
        </w:tc>
        <w:tc>
          <w:tcPr>
            <w:tcW w:w="1080" w:type="dxa"/>
            <w:tcBorders>
              <w:top w:val="nil"/>
              <w:left w:val="nil"/>
              <w:bottom w:val="single" w:sz="4" w:space="0" w:color="auto"/>
              <w:right w:val="single" w:sz="4" w:space="0" w:color="auto"/>
            </w:tcBorders>
            <w:shd w:val="clear" w:color="auto" w:fill="auto"/>
            <w:noWrap/>
            <w:vAlign w:val="bottom"/>
            <w:hideMark/>
          </w:tcPr>
          <w:p w14:paraId="5BA3135B" w14:textId="77777777" w:rsidR="007A148E" w:rsidRPr="003356E5" w:rsidRDefault="007A148E" w:rsidP="000D02AF">
            <w:pPr>
              <w:spacing w:after="0" w:line="240" w:lineRule="auto"/>
              <w:rPr>
                <w:rFonts w:ascii="Arial" w:eastAsia="Times New Roman" w:hAnsi="Arial" w:cs="Arial"/>
                <w:sz w:val="16"/>
                <w:szCs w:val="16"/>
                <w:highlight w:val="yellow"/>
              </w:rPr>
            </w:pPr>
            <w:r w:rsidRPr="003356E5">
              <w:rPr>
                <w:rFonts w:ascii="Arial" w:eastAsia="Times New Roman" w:hAnsi="Arial" w:cs="Arial"/>
                <w:sz w:val="16"/>
                <w:szCs w:val="16"/>
                <w:highlight w:val="yellow"/>
              </w:rPr>
              <w:t> </w:t>
            </w:r>
          </w:p>
        </w:tc>
        <w:tc>
          <w:tcPr>
            <w:tcW w:w="270" w:type="dxa"/>
            <w:tcBorders>
              <w:top w:val="nil"/>
              <w:left w:val="nil"/>
              <w:bottom w:val="single" w:sz="4" w:space="0" w:color="auto"/>
              <w:right w:val="single" w:sz="4" w:space="0" w:color="auto"/>
            </w:tcBorders>
            <w:shd w:val="clear" w:color="auto" w:fill="auto"/>
            <w:noWrap/>
            <w:vAlign w:val="bottom"/>
            <w:hideMark/>
          </w:tcPr>
          <w:p w14:paraId="1A2A656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0DB59306"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6780BDA3" w14:textId="3D0BEDFB"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50F8104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5795232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22024FF1"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C489311" w14:textId="77777777" w:rsidR="007A148E" w:rsidRPr="003356E5" w:rsidRDefault="007A148E" w:rsidP="000D02AF">
            <w:pPr>
              <w:spacing w:after="0" w:line="240" w:lineRule="auto"/>
              <w:rPr>
                <w:rFonts w:ascii="Arial" w:eastAsia="Times New Roman" w:hAnsi="Arial" w:cs="Arial"/>
                <w:sz w:val="16"/>
                <w:szCs w:val="16"/>
                <w:highlight w:val="yellow"/>
              </w:rPr>
            </w:pPr>
            <w:r w:rsidRPr="003356E5">
              <w:rPr>
                <w:rFonts w:ascii="Arial" w:eastAsia="Times New Roman" w:hAnsi="Arial" w:cs="Arial"/>
                <w:sz w:val="16"/>
                <w:szCs w:val="16"/>
                <w:highlight w:val="yellow"/>
              </w:rPr>
              <w:t>Residential</w:t>
            </w:r>
          </w:p>
        </w:tc>
        <w:tc>
          <w:tcPr>
            <w:tcW w:w="1080" w:type="dxa"/>
            <w:tcBorders>
              <w:top w:val="nil"/>
              <w:left w:val="nil"/>
              <w:bottom w:val="single" w:sz="4" w:space="0" w:color="auto"/>
              <w:right w:val="single" w:sz="4" w:space="0" w:color="auto"/>
            </w:tcBorders>
            <w:shd w:val="clear" w:color="auto" w:fill="auto"/>
            <w:noWrap/>
            <w:vAlign w:val="bottom"/>
            <w:hideMark/>
          </w:tcPr>
          <w:p w14:paraId="773EACCB" w14:textId="77777777" w:rsidR="007A148E" w:rsidRPr="003356E5" w:rsidRDefault="007A148E" w:rsidP="000D02AF">
            <w:pPr>
              <w:spacing w:after="0" w:line="240" w:lineRule="auto"/>
              <w:jc w:val="right"/>
              <w:rPr>
                <w:rFonts w:ascii="Arial" w:eastAsia="Times New Roman" w:hAnsi="Arial" w:cs="Arial"/>
                <w:sz w:val="16"/>
                <w:szCs w:val="16"/>
                <w:highlight w:val="yellow"/>
              </w:rPr>
            </w:pPr>
            <w:r w:rsidRPr="003356E5">
              <w:rPr>
                <w:rFonts w:ascii="Arial" w:eastAsia="Times New Roman" w:hAnsi="Arial" w:cs="Arial"/>
                <w:sz w:val="16"/>
                <w:szCs w:val="16"/>
                <w:highlight w:val="yellow"/>
              </w:rPr>
              <w:t>10.08%</w:t>
            </w:r>
          </w:p>
        </w:tc>
        <w:tc>
          <w:tcPr>
            <w:tcW w:w="270" w:type="dxa"/>
            <w:tcBorders>
              <w:top w:val="nil"/>
              <w:left w:val="nil"/>
              <w:bottom w:val="single" w:sz="4" w:space="0" w:color="auto"/>
              <w:right w:val="single" w:sz="4" w:space="0" w:color="auto"/>
            </w:tcBorders>
            <w:shd w:val="clear" w:color="auto" w:fill="auto"/>
            <w:noWrap/>
            <w:vAlign w:val="bottom"/>
            <w:hideMark/>
          </w:tcPr>
          <w:p w14:paraId="3A77DBB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72319B35"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23359C08" w14:textId="09D602AF"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5.61%</w:t>
            </w:r>
          </w:p>
        </w:tc>
        <w:tc>
          <w:tcPr>
            <w:tcW w:w="270" w:type="dxa"/>
            <w:tcBorders>
              <w:top w:val="nil"/>
              <w:left w:val="nil"/>
              <w:bottom w:val="single" w:sz="4" w:space="0" w:color="auto"/>
              <w:right w:val="single" w:sz="4" w:space="0" w:color="auto"/>
            </w:tcBorders>
            <w:shd w:val="clear" w:color="auto" w:fill="auto"/>
            <w:noWrap/>
            <w:vAlign w:val="bottom"/>
            <w:hideMark/>
          </w:tcPr>
          <w:p w14:paraId="5AAFA57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1F6C8A4C"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4.47%</w:t>
            </w:r>
          </w:p>
        </w:tc>
      </w:tr>
      <w:tr w:rsidR="007A148E" w:rsidRPr="003A3625" w14:paraId="526C8BA0"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DC18B38" w14:textId="77777777" w:rsidR="007A148E" w:rsidRPr="003356E5" w:rsidRDefault="007A148E" w:rsidP="000D02AF">
            <w:pPr>
              <w:spacing w:after="0" w:line="240" w:lineRule="auto"/>
              <w:rPr>
                <w:rFonts w:ascii="Arial" w:eastAsia="Times New Roman" w:hAnsi="Arial" w:cs="Arial"/>
                <w:sz w:val="16"/>
                <w:szCs w:val="16"/>
                <w:highlight w:val="yellow"/>
              </w:rPr>
            </w:pPr>
            <w:r w:rsidRPr="003356E5">
              <w:rPr>
                <w:rFonts w:ascii="Arial" w:eastAsia="Times New Roman" w:hAnsi="Arial" w:cs="Arial"/>
                <w:sz w:val="16"/>
                <w:szCs w:val="16"/>
                <w:highlight w:val="yellow"/>
              </w:rPr>
              <w:t>Master Metered</w:t>
            </w:r>
          </w:p>
        </w:tc>
        <w:tc>
          <w:tcPr>
            <w:tcW w:w="1080" w:type="dxa"/>
            <w:tcBorders>
              <w:top w:val="nil"/>
              <w:left w:val="nil"/>
              <w:bottom w:val="single" w:sz="4" w:space="0" w:color="auto"/>
              <w:right w:val="single" w:sz="4" w:space="0" w:color="auto"/>
            </w:tcBorders>
            <w:shd w:val="clear" w:color="auto" w:fill="auto"/>
            <w:noWrap/>
            <w:vAlign w:val="bottom"/>
            <w:hideMark/>
          </w:tcPr>
          <w:p w14:paraId="1506C5CD" w14:textId="77777777" w:rsidR="007A148E" w:rsidRPr="003356E5" w:rsidRDefault="007A148E" w:rsidP="000D02AF">
            <w:pPr>
              <w:spacing w:after="0" w:line="240" w:lineRule="auto"/>
              <w:jc w:val="right"/>
              <w:rPr>
                <w:rFonts w:ascii="Arial" w:eastAsia="Times New Roman" w:hAnsi="Arial" w:cs="Arial"/>
                <w:sz w:val="16"/>
                <w:szCs w:val="16"/>
                <w:highlight w:val="yellow"/>
              </w:rPr>
            </w:pPr>
            <w:r w:rsidRPr="003356E5">
              <w:rPr>
                <w:rFonts w:ascii="Arial" w:eastAsia="Times New Roman" w:hAnsi="Arial" w:cs="Arial"/>
                <w:sz w:val="16"/>
                <w:szCs w:val="16"/>
                <w:highlight w:val="yellow"/>
              </w:rPr>
              <w:t>10.08%</w:t>
            </w:r>
          </w:p>
        </w:tc>
        <w:tc>
          <w:tcPr>
            <w:tcW w:w="270" w:type="dxa"/>
            <w:tcBorders>
              <w:top w:val="nil"/>
              <w:left w:val="nil"/>
              <w:bottom w:val="single" w:sz="4" w:space="0" w:color="auto"/>
              <w:right w:val="single" w:sz="4" w:space="0" w:color="auto"/>
            </w:tcBorders>
            <w:shd w:val="clear" w:color="auto" w:fill="auto"/>
            <w:noWrap/>
            <w:vAlign w:val="bottom"/>
            <w:hideMark/>
          </w:tcPr>
          <w:p w14:paraId="3FDF16E0"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7B62F45A"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6C7D5B33" w14:textId="741C43D3"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5.61%</w:t>
            </w:r>
          </w:p>
        </w:tc>
        <w:tc>
          <w:tcPr>
            <w:tcW w:w="270" w:type="dxa"/>
            <w:tcBorders>
              <w:top w:val="nil"/>
              <w:left w:val="nil"/>
              <w:bottom w:val="single" w:sz="4" w:space="0" w:color="auto"/>
              <w:right w:val="single" w:sz="4" w:space="0" w:color="auto"/>
            </w:tcBorders>
            <w:shd w:val="clear" w:color="auto" w:fill="auto"/>
            <w:noWrap/>
            <w:vAlign w:val="bottom"/>
            <w:hideMark/>
          </w:tcPr>
          <w:p w14:paraId="2020ACD7"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20936A95"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4.47%</w:t>
            </w:r>
          </w:p>
        </w:tc>
      </w:tr>
      <w:tr w:rsidR="007A148E" w:rsidRPr="003A3625" w14:paraId="64E6857A"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9356D7E" w14:textId="77777777" w:rsidR="007A148E" w:rsidRPr="003356E5" w:rsidRDefault="007A148E" w:rsidP="000D02AF">
            <w:pPr>
              <w:spacing w:after="0" w:line="240" w:lineRule="auto"/>
              <w:rPr>
                <w:rFonts w:ascii="Arial" w:eastAsia="Times New Roman" w:hAnsi="Arial" w:cs="Arial"/>
                <w:sz w:val="16"/>
                <w:szCs w:val="16"/>
                <w:highlight w:val="yellow"/>
              </w:rPr>
            </w:pPr>
            <w:r w:rsidRPr="003356E5">
              <w:rPr>
                <w:rFonts w:ascii="Arial" w:eastAsia="Times New Roman" w:hAnsi="Arial" w:cs="Arial"/>
                <w:sz w:val="16"/>
                <w:szCs w:val="16"/>
                <w:highlight w:val="yellow"/>
              </w:rPr>
              <w:t>Commercial</w:t>
            </w:r>
          </w:p>
        </w:tc>
        <w:tc>
          <w:tcPr>
            <w:tcW w:w="1080" w:type="dxa"/>
            <w:tcBorders>
              <w:top w:val="nil"/>
              <w:left w:val="nil"/>
              <w:bottom w:val="single" w:sz="4" w:space="0" w:color="auto"/>
              <w:right w:val="single" w:sz="4" w:space="0" w:color="auto"/>
            </w:tcBorders>
            <w:shd w:val="clear" w:color="auto" w:fill="auto"/>
            <w:noWrap/>
            <w:vAlign w:val="bottom"/>
            <w:hideMark/>
          </w:tcPr>
          <w:p w14:paraId="01B631A0" w14:textId="77777777" w:rsidR="007A148E" w:rsidRPr="003356E5" w:rsidRDefault="007A148E" w:rsidP="000D02AF">
            <w:pPr>
              <w:spacing w:after="0" w:line="240" w:lineRule="auto"/>
              <w:jc w:val="right"/>
              <w:rPr>
                <w:rFonts w:ascii="Arial" w:eastAsia="Times New Roman" w:hAnsi="Arial" w:cs="Arial"/>
                <w:sz w:val="16"/>
                <w:szCs w:val="16"/>
                <w:highlight w:val="yellow"/>
              </w:rPr>
            </w:pPr>
            <w:r w:rsidRPr="003356E5">
              <w:rPr>
                <w:rFonts w:ascii="Arial" w:eastAsia="Times New Roman" w:hAnsi="Arial" w:cs="Arial"/>
                <w:sz w:val="16"/>
                <w:szCs w:val="16"/>
                <w:highlight w:val="yellow"/>
              </w:rPr>
              <w:t>10.08%</w:t>
            </w:r>
          </w:p>
        </w:tc>
        <w:tc>
          <w:tcPr>
            <w:tcW w:w="270" w:type="dxa"/>
            <w:tcBorders>
              <w:top w:val="nil"/>
              <w:left w:val="nil"/>
              <w:bottom w:val="single" w:sz="4" w:space="0" w:color="auto"/>
              <w:right w:val="single" w:sz="4" w:space="0" w:color="auto"/>
            </w:tcBorders>
            <w:shd w:val="clear" w:color="auto" w:fill="auto"/>
            <w:noWrap/>
            <w:vAlign w:val="bottom"/>
            <w:hideMark/>
          </w:tcPr>
          <w:p w14:paraId="459A791A"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5DF1DEF4"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5224BA35" w14:textId="1E4526E5"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5.61%</w:t>
            </w:r>
          </w:p>
        </w:tc>
        <w:tc>
          <w:tcPr>
            <w:tcW w:w="270" w:type="dxa"/>
            <w:tcBorders>
              <w:top w:val="nil"/>
              <w:left w:val="nil"/>
              <w:bottom w:val="single" w:sz="4" w:space="0" w:color="auto"/>
              <w:right w:val="single" w:sz="4" w:space="0" w:color="auto"/>
            </w:tcBorders>
            <w:shd w:val="clear" w:color="auto" w:fill="auto"/>
            <w:noWrap/>
            <w:vAlign w:val="bottom"/>
            <w:hideMark/>
          </w:tcPr>
          <w:p w14:paraId="660852FA"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686424D9"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4.47%</w:t>
            </w:r>
          </w:p>
        </w:tc>
      </w:tr>
      <w:tr w:rsidR="007A148E" w:rsidRPr="003A3625" w14:paraId="38993537"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7A9B81B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3ACB647A"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27DA7BD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4AEC0A34"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03CE4ABE" w14:textId="23032696"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1C1607C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143461D0"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4FFFF047"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89B51D9" w14:textId="77777777" w:rsidR="007A148E" w:rsidRPr="003A3625" w:rsidRDefault="007A148E" w:rsidP="000D02AF">
            <w:pPr>
              <w:spacing w:after="0" w:line="240" w:lineRule="auto"/>
              <w:rPr>
                <w:rFonts w:ascii="Arial" w:eastAsia="Times New Roman" w:hAnsi="Arial" w:cs="Arial"/>
                <w:b/>
                <w:bCs/>
                <w:sz w:val="16"/>
                <w:szCs w:val="16"/>
              </w:rPr>
            </w:pPr>
            <w:r w:rsidRPr="003A3625">
              <w:rPr>
                <w:rFonts w:ascii="Arial" w:eastAsia="Times New Roman" w:hAnsi="Arial" w:cs="Arial"/>
                <w:b/>
                <w:bCs/>
                <w:sz w:val="16"/>
                <w:szCs w:val="16"/>
              </w:rPr>
              <w:t>General Transportation Service (TS-1)</w:t>
            </w:r>
          </w:p>
        </w:tc>
        <w:tc>
          <w:tcPr>
            <w:tcW w:w="1080" w:type="dxa"/>
            <w:tcBorders>
              <w:top w:val="nil"/>
              <w:left w:val="nil"/>
              <w:bottom w:val="single" w:sz="4" w:space="0" w:color="auto"/>
              <w:right w:val="single" w:sz="4" w:space="0" w:color="auto"/>
            </w:tcBorders>
            <w:shd w:val="clear" w:color="auto" w:fill="auto"/>
            <w:noWrap/>
            <w:vAlign w:val="bottom"/>
            <w:hideMark/>
          </w:tcPr>
          <w:p w14:paraId="299FEDF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7779DBE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06E11D2"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18F6E4D9" w14:textId="5C505231"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52B612E7"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2DFFF8F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43CAF2FA"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8B1C2F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Customer Charge</w:t>
            </w:r>
          </w:p>
        </w:tc>
        <w:tc>
          <w:tcPr>
            <w:tcW w:w="1080" w:type="dxa"/>
            <w:tcBorders>
              <w:top w:val="nil"/>
              <w:left w:val="nil"/>
              <w:bottom w:val="single" w:sz="4" w:space="0" w:color="auto"/>
              <w:right w:val="single" w:sz="4" w:space="0" w:color="auto"/>
            </w:tcBorders>
            <w:shd w:val="clear" w:color="auto" w:fill="auto"/>
            <w:noWrap/>
            <w:vAlign w:val="bottom"/>
            <w:hideMark/>
          </w:tcPr>
          <w:p w14:paraId="46922CAA"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70C85DE8"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63BDA446"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51C7798D" w14:textId="69AE6DF8"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6C8F023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45540830"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62A223C0"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5BD83CFB" w14:textId="77777777" w:rsidR="007A148E" w:rsidRPr="003A3625" w:rsidRDefault="007A148E" w:rsidP="000D02AF">
            <w:pPr>
              <w:spacing w:after="0" w:line="240" w:lineRule="auto"/>
              <w:ind w:firstLineChars="200" w:firstLine="320"/>
              <w:rPr>
                <w:rFonts w:ascii="Arial" w:eastAsia="Times New Roman" w:hAnsi="Arial" w:cs="Arial"/>
                <w:sz w:val="16"/>
                <w:szCs w:val="16"/>
              </w:rPr>
            </w:pPr>
            <w:r w:rsidRPr="003A3625">
              <w:rPr>
                <w:rFonts w:ascii="Arial" w:eastAsia="Times New Roman" w:hAnsi="Arial" w:cs="Arial"/>
                <w:sz w:val="16"/>
                <w:szCs w:val="16"/>
              </w:rPr>
              <w:t>Maximum Daily Use under 1,000 Dths</w:t>
            </w:r>
          </w:p>
        </w:tc>
        <w:tc>
          <w:tcPr>
            <w:tcW w:w="1080" w:type="dxa"/>
            <w:tcBorders>
              <w:top w:val="nil"/>
              <w:left w:val="nil"/>
              <w:bottom w:val="single" w:sz="4" w:space="0" w:color="auto"/>
              <w:right w:val="single" w:sz="4" w:space="0" w:color="auto"/>
            </w:tcBorders>
            <w:shd w:val="clear" w:color="auto" w:fill="auto"/>
            <w:noWrap/>
            <w:vAlign w:val="bottom"/>
            <w:hideMark/>
          </w:tcPr>
          <w:p w14:paraId="11A8530F"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5.96%</w:t>
            </w:r>
          </w:p>
        </w:tc>
        <w:tc>
          <w:tcPr>
            <w:tcW w:w="270" w:type="dxa"/>
            <w:tcBorders>
              <w:top w:val="nil"/>
              <w:left w:val="nil"/>
              <w:bottom w:val="single" w:sz="4" w:space="0" w:color="auto"/>
              <w:right w:val="single" w:sz="4" w:space="0" w:color="auto"/>
            </w:tcBorders>
            <w:shd w:val="clear" w:color="auto" w:fill="auto"/>
            <w:noWrap/>
            <w:vAlign w:val="bottom"/>
            <w:hideMark/>
          </w:tcPr>
          <w:p w14:paraId="0187332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AD6C0D0"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3AC31F30" w14:textId="7D5401D2"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5.23%</w:t>
            </w:r>
          </w:p>
        </w:tc>
        <w:tc>
          <w:tcPr>
            <w:tcW w:w="270" w:type="dxa"/>
            <w:tcBorders>
              <w:top w:val="nil"/>
              <w:left w:val="nil"/>
              <w:bottom w:val="single" w:sz="4" w:space="0" w:color="auto"/>
              <w:right w:val="single" w:sz="4" w:space="0" w:color="auto"/>
            </w:tcBorders>
            <w:shd w:val="clear" w:color="auto" w:fill="auto"/>
            <w:noWrap/>
            <w:vAlign w:val="bottom"/>
            <w:hideMark/>
          </w:tcPr>
          <w:p w14:paraId="6A90461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3BDE8507"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0.73%</w:t>
            </w:r>
          </w:p>
        </w:tc>
      </w:tr>
      <w:tr w:rsidR="007A148E" w:rsidRPr="003A3625" w14:paraId="09E9CB7D"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01425E29" w14:textId="77777777" w:rsidR="007A148E" w:rsidRPr="003A3625" w:rsidRDefault="007A148E" w:rsidP="000D02AF">
            <w:pPr>
              <w:spacing w:after="0" w:line="240" w:lineRule="auto"/>
              <w:ind w:firstLineChars="200" w:firstLine="320"/>
              <w:rPr>
                <w:rFonts w:ascii="Arial" w:eastAsia="Times New Roman" w:hAnsi="Arial" w:cs="Arial"/>
                <w:sz w:val="16"/>
                <w:szCs w:val="16"/>
              </w:rPr>
            </w:pPr>
            <w:r w:rsidRPr="003A3625">
              <w:rPr>
                <w:rFonts w:ascii="Arial" w:eastAsia="Times New Roman" w:hAnsi="Arial" w:cs="Arial"/>
                <w:sz w:val="16"/>
                <w:szCs w:val="16"/>
              </w:rPr>
              <w:t>Maximum Daily Use 1,000  to ,5000 Dths</w:t>
            </w:r>
          </w:p>
        </w:tc>
        <w:tc>
          <w:tcPr>
            <w:tcW w:w="1080" w:type="dxa"/>
            <w:tcBorders>
              <w:top w:val="nil"/>
              <w:left w:val="nil"/>
              <w:bottom w:val="single" w:sz="4" w:space="0" w:color="auto"/>
              <w:right w:val="single" w:sz="4" w:space="0" w:color="auto"/>
            </w:tcBorders>
            <w:shd w:val="clear" w:color="auto" w:fill="auto"/>
            <w:noWrap/>
            <w:vAlign w:val="bottom"/>
            <w:hideMark/>
          </w:tcPr>
          <w:p w14:paraId="6A230377"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5.96%</w:t>
            </w:r>
          </w:p>
        </w:tc>
        <w:tc>
          <w:tcPr>
            <w:tcW w:w="270" w:type="dxa"/>
            <w:tcBorders>
              <w:top w:val="nil"/>
              <w:left w:val="nil"/>
              <w:bottom w:val="single" w:sz="4" w:space="0" w:color="auto"/>
              <w:right w:val="single" w:sz="4" w:space="0" w:color="auto"/>
            </w:tcBorders>
            <w:shd w:val="clear" w:color="auto" w:fill="auto"/>
            <w:noWrap/>
            <w:vAlign w:val="bottom"/>
            <w:hideMark/>
          </w:tcPr>
          <w:p w14:paraId="5C48CB64"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5F3AE8D9"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6FAF947D" w14:textId="3BAFB83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5.23%</w:t>
            </w:r>
          </w:p>
        </w:tc>
        <w:tc>
          <w:tcPr>
            <w:tcW w:w="270" w:type="dxa"/>
            <w:tcBorders>
              <w:top w:val="nil"/>
              <w:left w:val="nil"/>
              <w:bottom w:val="single" w:sz="4" w:space="0" w:color="auto"/>
              <w:right w:val="single" w:sz="4" w:space="0" w:color="auto"/>
            </w:tcBorders>
            <w:shd w:val="clear" w:color="auto" w:fill="auto"/>
            <w:noWrap/>
            <w:vAlign w:val="bottom"/>
            <w:hideMark/>
          </w:tcPr>
          <w:p w14:paraId="3DE08575"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696CB1B1"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0.73%</w:t>
            </w:r>
          </w:p>
        </w:tc>
      </w:tr>
      <w:tr w:rsidR="007A148E" w:rsidRPr="003A3625" w14:paraId="5FA25F6B"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9303B5F" w14:textId="77777777" w:rsidR="007A148E" w:rsidRPr="003356E5" w:rsidRDefault="007A148E" w:rsidP="000D02AF">
            <w:pPr>
              <w:spacing w:after="0" w:line="240" w:lineRule="auto"/>
              <w:ind w:firstLineChars="200" w:firstLine="320"/>
              <w:rPr>
                <w:rFonts w:ascii="Arial" w:eastAsia="Times New Roman" w:hAnsi="Arial" w:cs="Arial"/>
                <w:sz w:val="16"/>
                <w:szCs w:val="16"/>
                <w:highlight w:val="yellow"/>
              </w:rPr>
            </w:pPr>
            <w:r w:rsidRPr="003356E5">
              <w:rPr>
                <w:rFonts w:ascii="Arial" w:eastAsia="Times New Roman" w:hAnsi="Arial" w:cs="Arial"/>
                <w:sz w:val="16"/>
                <w:szCs w:val="16"/>
                <w:highlight w:val="yellow"/>
              </w:rPr>
              <w:t>Maximum Daily Use 5,000  to 10,000 Dths</w:t>
            </w:r>
          </w:p>
        </w:tc>
        <w:tc>
          <w:tcPr>
            <w:tcW w:w="1080" w:type="dxa"/>
            <w:tcBorders>
              <w:top w:val="nil"/>
              <w:left w:val="nil"/>
              <w:bottom w:val="single" w:sz="4" w:space="0" w:color="auto"/>
              <w:right w:val="single" w:sz="4" w:space="0" w:color="auto"/>
            </w:tcBorders>
            <w:shd w:val="clear" w:color="auto" w:fill="auto"/>
            <w:noWrap/>
            <w:vAlign w:val="bottom"/>
            <w:hideMark/>
          </w:tcPr>
          <w:p w14:paraId="7A6297DB" w14:textId="77777777" w:rsidR="007A148E" w:rsidRPr="003356E5" w:rsidRDefault="007A148E" w:rsidP="000D02AF">
            <w:pPr>
              <w:spacing w:after="0" w:line="240" w:lineRule="auto"/>
              <w:jc w:val="right"/>
              <w:rPr>
                <w:rFonts w:ascii="Arial" w:eastAsia="Times New Roman" w:hAnsi="Arial" w:cs="Arial"/>
                <w:sz w:val="16"/>
                <w:szCs w:val="16"/>
                <w:highlight w:val="yellow"/>
              </w:rPr>
            </w:pPr>
            <w:r w:rsidRPr="003356E5">
              <w:rPr>
                <w:rFonts w:ascii="Arial" w:eastAsia="Times New Roman" w:hAnsi="Arial" w:cs="Arial"/>
                <w:sz w:val="16"/>
                <w:szCs w:val="16"/>
                <w:highlight w:val="yellow"/>
              </w:rPr>
              <w:t>6.00%</w:t>
            </w:r>
          </w:p>
        </w:tc>
        <w:tc>
          <w:tcPr>
            <w:tcW w:w="270" w:type="dxa"/>
            <w:tcBorders>
              <w:top w:val="nil"/>
              <w:left w:val="nil"/>
              <w:bottom w:val="single" w:sz="4" w:space="0" w:color="auto"/>
              <w:right w:val="single" w:sz="4" w:space="0" w:color="auto"/>
            </w:tcBorders>
            <w:shd w:val="clear" w:color="auto" w:fill="auto"/>
            <w:noWrap/>
            <w:vAlign w:val="bottom"/>
            <w:hideMark/>
          </w:tcPr>
          <w:p w14:paraId="33689F6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6426AEE"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4FB8DD9B" w14:textId="7203C8FC"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5.61%</w:t>
            </w:r>
          </w:p>
        </w:tc>
        <w:tc>
          <w:tcPr>
            <w:tcW w:w="270" w:type="dxa"/>
            <w:tcBorders>
              <w:top w:val="nil"/>
              <w:left w:val="nil"/>
              <w:bottom w:val="single" w:sz="4" w:space="0" w:color="auto"/>
              <w:right w:val="single" w:sz="4" w:space="0" w:color="auto"/>
            </w:tcBorders>
            <w:shd w:val="clear" w:color="auto" w:fill="auto"/>
            <w:noWrap/>
            <w:vAlign w:val="bottom"/>
            <w:hideMark/>
          </w:tcPr>
          <w:p w14:paraId="021A685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4A209935"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0.39%</w:t>
            </w:r>
          </w:p>
        </w:tc>
      </w:tr>
      <w:tr w:rsidR="007A148E" w:rsidRPr="003A3625" w14:paraId="2EDFA9DB"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7333828E" w14:textId="77777777" w:rsidR="007A148E" w:rsidRPr="003356E5" w:rsidRDefault="007A148E" w:rsidP="000D02AF">
            <w:pPr>
              <w:spacing w:after="0" w:line="240" w:lineRule="auto"/>
              <w:ind w:firstLineChars="200" w:firstLine="320"/>
              <w:rPr>
                <w:rFonts w:ascii="Arial" w:eastAsia="Times New Roman" w:hAnsi="Arial" w:cs="Arial"/>
                <w:sz w:val="16"/>
                <w:szCs w:val="16"/>
                <w:highlight w:val="yellow"/>
              </w:rPr>
            </w:pPr>
            <w:r w:rsidRPr="003356E5">
              <w:rPr>
                <w:rFonts w:ascii="Arial" w:eastAsia="Times New Roman" w:hAnsi="Arial" w:cs="Arial"/>
                <w:sz w:val="16"/>
                <w:szCs w:val="16"/>
                <w:highlight w:val="yellow"/>
              </w:rPr>
              <w:t>Maximum Daily Use above 10,000 Dths</w:t>
            </w:r>
          </w:p>
        </w:tc>
        <w:tc>
          <w:tcPr>
            <w:tcW w:w="1080" w:type="dxa"/>
            <w:tcBorders>
              <w:top w:val="nil"/>
              <w:left w:val="nil"/>
              <w:bottom w:val="single" w:sz="4" w:space="0" w:color="auto"/>
              <w:right w:val="single" w:sz="4" w:space="0" w:color="auto"/>
            </w:tcBorders>
            <w:shd w:val="clear" w:color="auto" w:fill="auto"/>
            <w:noWrap/>
            <w:vAlign w:val="bottom"/>
            <w:hideMark/>
          </w:tcPr>
          <w:p w14:paraId="1A247700" w14:textId="77777777" w:rsidR="007A148E" w:rsidRPr="003356E5" w:rsidRDefault="007A148E" w:rsidP="000D02AF">
            <w:pPr>
              <w:spacing w:after="0" w:line="240" w:lineRule="auto"/>
              <w:jc w:val="right"/>
              <w:rPr>
                <w:rFonts w:ascii="Arial" w:eastAsia="Times New Roman" w:hAnsi="Arial" w:cs="Arial"/>
                <w:sz w:val="16"/>
                <w:szCs w:val="16"/>
                <w:highlight w:val="yellow"/>
              </w:rPr>
            </w:pPr>
            <w:r w:rsidRPr="003356E5">
              <w:rPr>
                <w:rFonts w:ascii="Arial" w:eastAsia="Times New Roman" w:hAnsi="Arial" w:cs="Arial"/>
                <w:sz w:val="16"/>
                <w:szCs w:val="16"/>
                <w:highlight w:val="yellow"/>
              </w:rPr>
              <w:t>6.00%</w:t>
            </w:r>
          </w:p>
        </w:tc>
        <w:tc>
          <w:tcPr>
            <w:tcW w:w="270" w:type="dxa"/>
            <w:tcBorders>
              <w:top w:val="nil"/>
              <w:left w:val="nil"/>
              <w:bottom w:val="single" w:sz="4" w:space="0" w:color="auto"/>
              <w:right w:val="single" w:sz="4" w:space="0" w:color="auto"/>
            </w:tcBorders>
            <w:shd w:val="clear" w:color="auto" w:fill="auto"/>
            <w:noWrap/>
            <w:vAlign w:val="bottom"/>
            <w:hideMark/>
          </w:tcPr>
          <w:p w14:paraId="03F606C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40C159D4"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106DE618" w14:textId="0D0CD7D9"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5.61%</w:t>
            </w:r>
          </w:p>
        </w:tc>
        <w:tc>
          <w:tcPr>
            <w:tcW w:w="270" w:type="dxa"/>
            <w:tcBorders>
              <w:top w:val="nil"/>
              <w:left w:val="nil"/>
              <w:bottom w:val="single" w:sz="4" w:space="0" w:color="auto"/>
              <w:right w:val="single" w:sz="4" w:space="0" w:color="auto"/>
            </w:tcBorders>
            <w:shd w:val="clear" w:color="auto" w:fill="auto"/>
            <w:noWrap/>
            <w:vAlign w:val="bottom"/>
            <w:hideMark/>
          </w:tcPr>
          <w:p w14:paraId="6320E13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7F6DB5AD"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0.39%</w:t>
            </w:r>
          </w:p>
        </w:tc>
      </w:tr>
      <w:tr w:rsidR="007A148E" w:rsidRPr="003A3625" w14:paraId="642943CD"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558401B6" w14:textId="77777777" w:rsidR="007A148E" w:rsidRPr="003356E5" w:rsidRDefault="007A148E" w:rsidP="000D02AF">
            <w:pPr>
              <w:spacing w:after="0" w:line="240" w:lineRule="auto"/>
              <w:rPr>
                <w:rFonts w:ascii="Arial" w:eastAsia="Times New Roman" w:hAnsi="Arial" w:cs="Arial"/>
                <w:sz w:val="16"/>
                <w:szCs w:val="16"/>
                <w:highlight w:val="yellow"/>
              </w:rPr>
            </w:pPr>
            <w:r w:rsidRPr="003356E5">
              <w:rPr>
                <w:rFonts w:ascii="Arial" w:eastAsia="Times New Roman" w:hAnsi="Arial" w:cs="Arial"/>
                <w:sz w:val="16"/>
                <w:szCs w:val="16"/>
                <w:highlight w:val="yellow"/>
              </w:rPr>
              <w:t>Commodity Charge</w:t>
            </w:r>
          </w:p>
        </w:tc>
        <w:tc>
          <w:tcPr>
            <w:tcW w:w="1080" w:type="dxa"/>
            <w:tcBorders>
              <w:top w:val="nil"/>
              <w:left w:val="nil"/>
              <w:bottom w:val="single" w:sz="4" w:space="0" w:color="auto"/>
              <w:right w:val="single" w:sz="4" w:space="0" w:color="auto"/>
            </w:tcBorders>
            <w:shd w:val="clear" w:color="auto" w:fill="auto"/>
            <w:noWrap/>
            <w:vAlign w:val="bottom"/>
            <w:hideMark/>
          </w:tcPr>
          <w:p w14:paraId="44428413" w14:textId="77777777" w:rsidR="007A148E" w:rsidRPr="003356E5" w:rsidRDefault="007A148E" w:rsidP="000D02AF">
            <w:pPr>
              <w:spacing w:after="0" w:line="240" w:lineRule="auto"/>
              <w:rPr>
                <w:rFonts w:ascii="Arial" w:eastAsia="Times New Roman" w:hAnsi="Arial" w:cs="Arial"/>
                <w:sz w:val="16"/>
                <w:szCs w:val="16"/>
                <w:highlight w:val="yellow"/>
              </w:rPr>
            </w:pPr>
            <w:r w:rsidRPr="003356E5">
              <w:rPr>
                <w:rFonts w:ascii="Arial" w:eastAsia="Times New Roman" w:hAnsi="Arial" w:cs="Arial"/>
                <w:sz w:val="16"/>
                <w:szCs w:val="16"/>
                <w:highlight w:val="yellow"/>
              </w:rPr>
              <w:t> </w:t>
            </w:r>
          </w:p>
        </w:tc>
        <w:tc>
          <w:tcPr>
            <w:tcW w:w="270" w:type="dxa"/>
            <w:tcBorders>
              <w:top w:val="nil"/>
              <w:left w:val="nil"/>
              <w:bottom w:val="single" w:sz="4" w:space="0" w:color="auto"/>
              <w:right w:val="single" w:sz="4" w:space="0" w:color="auto"/>
            </w:tcBorders>
            <w:shd w:val="clear" w:color="auto" w:fill="auto"/>
            <w:noWrap/>
            <w:vAlign w:val="bottom"/>
            <w:hideMark/>
          </w:tcPr>
          <w:p w14:paraId="46D1A864"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4FF4564"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7435D5D9" w14:textId="549FE41E"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5059D7A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21B2D1D9"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683F8996"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E1B04BD" w14:textId="77777777" w:rsidR="007A148E" w:rsidRPr="003356E5" w:rsidRDefault="007A148E" w:rsidP="000D02AF">
            <w:pPr>
              <w:spacing w:after="0" w:line="240" w:lineRule="auto"/>
              <w:ind w:firstLineChars="200" w:firstLine="320"/>
              <w:rPr>
                <w:rFonts w:ascii="Arial" w:eastAsia="Times New Roman" w:hAnsi="Arial" w:cs="Arial"/>
                <w:sz w:val="16"/>
                <w:szCs w:val="16"/>
                <w:highlight w:val="yellow"/>
              </w:rPr>
            </w:pPr>
            <w:r w:rsidRPr="003356E5">
              <w:rPr>
                <w:rFonts w:ascii="Arial" w:eastAsia="Times New Roman" w:hAnsi="Arial" w:cs="Arial"/>
                <w:sz w:val="16"/>
                <w:szCs w:val="16"/>
                <w:highlight w:val="yellow"/>
              </w:rPr>
              <w:t>Intrastate Volume</w:t>
            </w:r>
          </w:p>
        </w:tc>
        <w:tc>
          <w:tcPr>
            <w:tcW w:w="1080" w:type="dxa"/>
            <w:tcBorders>
              <w:top w:val="nil"/>
              <w:left w:val="nil"/>
              <w:bottom w:val="single" w:sz="4" w:space="0" w:color="auto"/>
              <w:right w:val="single" w:sz="4" w:space="0" w:color="auto"/>
            </w:tcBorders>
            <w:shd w:val="clear" w:color="auto" w:fill="auto"/>
            <w:noWrap/>
            <w:vAlign w:val="bottom"/>
            <w:hideMark/>
          </w:tcPr>
          <w:p w14:paraId="0D918468" w14:textId="77777777" w:rsidR="007A148E" w:rsidRPr="003356E5" w:rsidRDefault="007A148E" w:rsidP="000D02AF">
            <w:pPr>
              <w:spacing w:after="0" w:line="240" w:lineRule="auto"/>
              <w:jc w:val="right"/>
              <w:rPr>
                <w:rFonts w:ascii="Arial" w:eastAsia="Times New Roman" w:hAnsi="Arial" w:cs="Arial"/>
                <w:sz w:val="16"/>
                <w:szCs w:val="16"/>
                <w:highlight w:val="yellow"/>
              </w:rPr>
            </w:pPr>
            <w:r w:rsidRPr="003356E5">
              <w:rPr>
                <w:rFonts w:ascii="Arial" w:eastAsia="Times New Roman" w:hAnsi="Arial" w:cs="Arial"/>
                <w:sz w:val="16"/>
                <w:szCs w:val="16"/>
                <w:highlight w:val="yellow"/>
              </w:rPr>
              <w:t>7.14%</w:t>
            </w:r>
          </w:p>
        </w:tc>
        <w:tc>
          <w:tcPr>
            <w:tcW w:w="270" w:type="dxa"/>
            <w:tcBorders>
              <w:top w:val="nil"/>
              <w:left w:val="nil"/>
              <w:bottom w:val="single" w:sz="4" w:space="0" w:color="auto"/>
              <w:right w:val="single" w:sz="4" w:space="0" w:color="auto"/>
            </w:tcBorders>
            <w:shd w:val="clear" w:color="auto" w:fill="auto"/>
            <w:noWrap/>
            <w:vAlign w:val="bottom"/>
            <w:hideMark/>
          </w:tcPr>
          <w:p w14:paraId="229130A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00B74C4D"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3704F460" w14:textId="2015D5C9"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7.69%</w:t>
            </w:r>
          </w:p>
        </w:tc>
        <w:tc>
          <w:tcPr>
            <w:tcW w:w="270" w:type="dxa"/>
            <w:tcBorders>
              <w:top w:val="nil"/>
              <w:left w:val="nil"/>
              <w:bottom w:val="single" w:sz="4" w:space="0" w:color="auto"/>
              <w:right w:val="single" w:sz="4" w:space="0" w:color="auto"/>
            </w:tcBorders>
            <w:shd w:val="clear" w:color="auto" w:fill="auto"/>
            <w:noWrap/>
            <w:vAlign w:val="bottom"/>
            <w:hideMark/>
          </w:tcPr>
          <w:p w14:paraId="541FE210"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66305BD3"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-0.55%</w:t>
            </w:r>
          </w:p>
        </w:tc>
      </w:tr>
      <w:tr w:rsidR="007A148E" w:rsidRPr="003A3625" w14:paraId="12F3807B"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88E3AD2" w14:textId="77777777" w:rsidR="007A148E" w:rsidRPr="003356E5" w:rsidRDefault="007A148E" w:rsidP="000D02AF">
            <w:pPr>
              <w:spacing w:after="0" w:line="240" w:lineRule="auto"/>
              <w:ind w:firstLineChars="200" w:firstLine="320"/>
              <w:rPr>
                <w:rFonts w:ascii="Arial" w:eastAsia="Times New Roman" w:hAnsi="Arial" w:cs="Arial"/>
                <w:sz w:val="16"/>
                <w:szCs w:val="16"/>
                <w:highlight w:val="yellow"/>
              </w:rPr>
            </w:pPr>
            <w:r w:rsidRPr="003356E5">
              <w:rPr>
                <w:rFonts w:ascii="Arial" w:eastAsia="Times New Roman" w:hAnsi="Arial" w:cs="Arial"/>
                <w:sz w:val="16"/>
                <w:szCs w:val="16"/>
                <w:highlight w:val="yellow"/>
              </w:rPr>
              <w:lastRenderedPageBreak/>
              <w:t>Interstate Volume</w:t>
            </w:r>
          </w:p>
        </w:tc>
        <w:tc>
          <w:tcPr>
            <w:tcW w:w="1080" w:type="dxa"/>
            <w:tcBorders>
              <w:top w:val="nil"/>
              <w:left w:val="nil"/>
              <w:bottom w:val="single" w:sz="4" w:space="0" w:color="auto"/>
              <w:right w:val="single" w:sz="4" w:space="0" w:color="auto"/>
            </w:tcBorders>
            <w:shd w:val="clear" w:color="auto" w:fill="auto"/>
            <w:noWrap/>
            <w:vAlign w:val="bottom"/>
            <w:hideMark/>
          </w:tcPr>
          <w:p w14:paraId="337389BE" w14:textId="77777777" w:rsidR="007A148E" w:rsidRPr="003356E5" w:rsidRDefault="007A148E" w:rsidP="000D02AF">
            <w:pPr>
              <w:spacing w:after="0" w:line="240" w:lineRule="auto"/>
              <w:jc w:val="right"/>
              <w:rPr>
                <w:rFonts w:ascii="Arial" w:eastAsia="Times New Roman" w:hAnsi="Arial" w:cs="Arial"/>
                <w:sz w:val="16"/>
                <w:szCs w:val="16"/>
                <w:highlight w:val="yellow"/>
              </w:rPr>
            </w:pPr>
            <w:r w:rsidRPr="003356E5">
              <w:rPr>
                <w:rFonts w:ascii="Arial" w:eastAsia="Times New Roman" w:hAnsi="Arial" w:cs="Arial"/>
                <w:sz w:val="16"/>
                <w:szCs w:val="16"/>
                <w:highlight w:val="yellow"/>
              </w:rPr>
              <w:t>6.67%</w:t>
            </w:r>
          </w:p>
        </w:tc>
        <w:tc>
          <w:tcPr>
            <w:tcW w:w="270" w:type="dxa"/>
            <w:tcBorders>
              <w:top w:val="nil"/>
              <w:left w:val="nil"/>
              <w:bottom w:val="single" w:sz="4" w:space="0" w:color="auto"/>
              <w:right w:val="single" w:sz="4" w:space="0" w:color="auto"/>
            </w:tcBorders>
            <w:shd w:val="clear" w:color="auto" w:fill="auto"/>
            <w:noWrap/>
            <w:vAlign w:val="bottom"/>
            <w:hideMark/>
          </w:tcPr>
          <w:p w14:paraId="727816B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227CA867"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040D2CE7" w14:textId="12F6D601"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7.14%</w:t>
            </w:r>
          </w:p>
        </w:tc>
        <w:tc>
          <w:tcPr>
            <w:tcW w:w="270" w:type="dxa"/>
            <w:tcBorders>
              <w:top w:val="nil"/>
              <w:left w:val="nil"/>
              <w:bottom w:val="single" w:sz="4" w:space="0" w:color="auto"/>
              <w:right w:val="single" w:sz="4" w:space="0" w:color="auto"/>
            </w:tcBorders>
            <w:shd w:val="clear" w:color="auto" w:fill="auto"/>
            <w:noWrap/>
            <w:vAlign w:val="bottom"/>
            <w:hideMark/>
          </w:tcPr>
          <w:p w14:paraId="08803E1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3ADB87BF"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-0.47%</w:t>
            </w:r>
          </w:p>
        </w:tc>
      </w:tr>
      <w:tr w:rsidR="007A148E" w:rsidRPr="003A3625" w14:paraId="4F1A9E4E"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294BD3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3F2B81E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03227699"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6AD25AC"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5C2C8799" w14:textId="235533B3"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335AE56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411EA13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3DABDB9F"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B37F771" w14:textId="77777777" w:rsidR="007A148E" w:rsidRPr="003A3625" w:rsidRDefault="007A148E" w:rsidP="000D02AF">
            <w:pPr>
              <w:spacing w:after="0" w:line="240" w:lineRule="auto"/>
              <w:rPr>
                <w:rFonts w:ascii="Arial" w:eastAsia="Times New Roman" w:hAnsi="Arial" w:cs="Arial"/>
                <w:b/>
                <w:bCs/>
                <w:sz w:val="16"/>
                <w:szCs w:val="16"/>
              </w:rPr>
            </w:pPr>
            <w:r w:rsidRPr="003A3625">
              <w:rPr>
                <w:rFonts w:ascii="Arial" w:eastAsia="Times New Roman" w:hAnsi="Arial" w:cs="Arial"/>
                <w:b/>
                <w:bCs/>
                <w:sz w:val="16"/>
                <w:szCs w:val="16"/>
              </w:rPr>
              <w:t>General Transportation Service (TS-2)</w:t>
            </w:r>
          </w:p>
        </w:tc>
        <w:tc>
          <w:tcPr>
            <w:tcW w:w="1080" w:type="dxa"/>
            <w:tcBorders>
              <w:top w:val="nil"/>
              <w:left w:val="nil"/>
              <w:bottom w:val="single" w:sz="4" w:space="0" w:color="auto"/>
              <w:right w:val="single" w:sz="4" w:space="0" w:color="auto"/>
            </w:tcBorders>
            <w:shd w:val="clear" w:color="auto" w:fill="auto"/>
            <w:noWrap/>
            <w:vAlign w:val="bottom"/>
            <w:hideMark/>
          </w:tcPr>
          <w:p w14:paraId="3D1C937A"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0C52789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6A9FC9E5"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52E97826" w14:textId="0B8AE5D5"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61B3193A"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2EDBB497"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48428E08"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051549A4" w14:textId="755E7EAC"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Negotiated Monthly Customer Charge</w:t>
            </w:r>
          </w:p>
        </w:tc>
        <w:tc>
          <w:tcPr>
            <w:tcW w:w="1080" w:type="dxa"/>
            <w:tcBorders>
              <w:top w:val="nil"/>
              <w:left w:val="nil"/>
              <w:bottom w:val="single" w:sz="4" w:space="0" w:color="auto"/>
              <w:right w:val="single" w:sz="4" w:space="0" w:color="auto"/>
            </w:tcBorders>
            <w:shd w:val="clear" w:color="auto" w:fill="auto"/>
            <w:noWrap/>
            <w:vAlign w:val="bottom"/>
            <w:hideMark/>
          </w:tcPr>
          <w:p w14:paraId="1CB6DB1E"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2E00CCC4"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264A8C8E"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6FBC3DE3" w14:textId="0F115084"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239F20A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2AB3A15F"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r>
      <w:tr w:rsidR="007A148E" w:rsidRPr="003A3625" w14:paraId="18861440"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3C4F9E8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5582524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039C2DF7"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27E709B"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199C15FA" w14:textId="14FEEAB2"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1403E8F8"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750D411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4C531568"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AC3A474" w14:textId="77777777" w:rsidR="007A148E" w:rsidRPr="003A3625" w:rsidRDefault="007A148E" w:rsidP="000D02AF">
            <w:pPr>
              <w:spacing w:after="0" w:line="240" w:lineRule="auto"/>
              <w:rPr>
                <w:rFonts w:ascii="Arial" w:eastAsia="Times New Roman" w:hAnsi="Arial" w:cs="Arial"/>
                <w:b/>
                <w:bCs/>
                <w:sz w:val="16"/>
                <w:szCs w:val="16"/>
              </w:rPr>
            </w:pPr>
            <w:r w:rsidRPr="003A3625">
              <w:rPr>
                <w:rFonts w:ascii="Arial" w:eastAsia="Times New Roman" w:hAnsi="Arial" w:cs="Arial"/>
                <w:b/>
                <w:bCs/>
                <w:sz w:val="16"/>
                <w:szCs w:val="16"/>
              </w:rPr>
              <w:t>Liquified Natural Gas Delivery to Tanker Service  (LDTS)</w:t>
            </w:r>
          </w:p>
        </w:tc>
        <w:tc>
          <w:tcPr>
            <w:tcW w:w="1080" w:type="dxa"/>
            <w:tcBorders>
              <w:top w:val="nil"/>
              <w:left w:val="nil"/>
              <w:bottom w:val="single" w:sz="4" w:space="0" w:color="auto"/>
              <w:right w:val="single" w:sz="4" w:space="0" w:color="auto"/>
            </w:tcBorders>
            <w:shd w:val="clear" w:color="auto" w:fill="auto"/>
            <w:noWrap/>
            <w:vAlign w:val="bottom"/>
            <w:hideMark/>
          </w:tcPr>
          <w:p w14:paraId="6E88E1B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1448E335"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3976040A"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4B41301C" w14:textId="17B297CB"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1EDF836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7FC1E3F4"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5240BD35"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A6903B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Loading Charge</w:t>
            </w:r>
          </w:p>
        </w:tc>
        <w:tc>
          <w:tcPr>
            <w:tcW w:w="1080" w:type="dxa"/>
            <w:tcBorders>
              <w:top w:val="nil"/>
              <w:left w:val="nil"/>
              <w:bottom w:val="single" w:sz="4" w:space="0" w:color="auto"/>
              <w:right w:val="single" w:sz="4" w:space="0" w:color="auto"/>
            </w:tcBorders>
            <w:shd w:val="clear" w:color="auto" w:fill="auto"/>
            <w:noWrap/>
            <w:vAlign w:val="bottom"/>
            <w:hideMark/>
          </w:tcPr>
          <w:p w14:paraId="19C10BAE"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5.96%</w:t>
            </w:r>
          </w:p>
        </w:tc>
        <w:tc>
          <w:tcPr>
            <w:tcW w:w="270" w:type="dxa"/>
            <w:tcBorders>
              <w:top w:val="nil"/>
              <w:left w:val="nil"/>
              <w:bottom w:val="single" w:sz="4" w:space="0" w:color="auto"/>
              <w:right w:val="single" w:sz="4" w:space="0" w:color="auto"/>
            </w:tcBorders>
            <w:shd w:val="clear" w:color="auto" w:fill="auto"/>
            <w:noWrap/>
            <w:vAlign w:val="bottom"/>
            <w:hideMark/>
          </w:tcPr>
          <w:p w14:paraId="1DE9D78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48C1484E"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2EFDE3D5" w14:textId="7F85BD6F"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5.24%</w:t>
            </w:r>
          </w:p>
        </w:tc>
        <w:tc>
          <w:tcPr>
            <w:tcW w:w="270" w:type="dxa"/>
            <w:tcBorders>
              <w:top w:val="nil"/>
              <w:left w:val="nil"/>
              <w:bottom w:val="single" w:sz="4" w:space="0" w:color="auto"/>
              <w:right w:val="single" w:sz="4" w:space="0" w:color="auto"/>
            </w:tcBorders>
            <w:shd w:val="clear" w:color="auto" w:fill="auto"/>
            <w:noWrap/>
            <w:vAlign w:val="bottom"/>
            <w:hideMark/>
          </w:tcPr>
          <w:p w14:paraId="5D1A260A"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4F32284C"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0.72%</w:t>
            </w:r>
          </w:p>
        </w:tc>
      </w:tr>
      <w:tr w:rsidR="007A148E" w:rsidRPr="003A3625" w14:paraId="79F28F4B"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8A76CAE" w14:textId="77777777" w:rsidR="007A148E" w:rsidRPr="003356E5" w:rsidRDefault="007A148E" w:rsidP="000D02AF">
            <w:pPr>
              <w:spacing w:after="0" w:line="240" w:lineRule="auto"/>
              <w:rPr>
                <w:rFonts w:ascii="Arial" w:eastAsia="Times New Roman" w:hAnsi="Arial" w:cs="Arial"/>
                <w:sz w:val="16"/>
                <w:szCs w:val="16"/>
                <w:highlight w:val="yellow"/>
              </w:rPr>
            </w:pPr>
            <w:r w:rsidRPr="003356E5">
              <w:rPr>
                <w:rFonts w:ascii="Arial" w:eastAsia="Times New Roman" w:hAnsi="Arial" w:cs="Arial"/>
                <w:sz w:val="16"/>
                <w:szCs w:val="16"/>
                <w:highlight w:val="yellow"/>
              </w:rPr>
              <w:t>Surcharge</w:t>
            </w:r>
          </w:p>
        </w:tc>
        <w:tc>
          <w:tcPr>
            <w:tcW w:w="1080" w:type="dxa"/>
            <w:tcBorders>
              <w:top w:val="nil"/>
              <w:left w:val="nil"/>
              <w:bottom w:val="single" w:sz="4" w:space="0" w:color="auto"/>
              <w:right w:val="single" w:sz="4" w:space="0" w:color="auto"/>
            </w:tcBorders>
            <w:shd w:val="clear" w:color="auto" w:fill="auto"/>
            <w:noWrap/>
            <w:vAlign w:val="bottom"/>
            <w:hideMark/>
          </w:tcPr>
          <w:p w14:paraId="6A00FB31" w14:textId="77777777" w:rsidR="007A148E" w:rsidRPr="003356E5" w:rsidRDefault="007A148E" w:rsidP="000D02AF">
            <w:pPr>
              <w:spacing w:after="0" w:line="240" w:lineRule="auto"/>
              <w:jc w:val="right"/>
              <w:rPr>
                <w:rFonts w:ascii="Arial" w:eastAsia="Times New Roman" w:hAnsi="Arial" w:cs="Arial"/>
                <w:sz w:val="16"/>
                <w:szCs w:val="16"/>
                <w:highlight w:val="yellow"/>
              </w:rPr>
            </w:pPr>
            <w:r w:rsidRPr="003356E5">
              <w:rPr>
                <w:rFonts w:ascii="Arial" w:eastAsia="Times New Roman" w:hAnsi="Arial" w:cs="Arial"/>
                <w:sz w:val="16"/>
                <w:szCs w:val="16"/>
                <w:highlight w:val="yellow"/>
              </w:rPr>
              <w:t>6.21%</w:t>
            </w:r>
          </w:p>
        </w:tc>
        <w:tc>
          <w:tcPr>
            <w:tcW w:w="270" w:type="dxa"/>
            <w:tcBorders>
              <w:top w:val="nil"/>
              <w:left w:val="nil"/>
              <w:bottom w:val="single" w:sz="4" w:space="0" w:color="auto"/>
              <w:right w:val="single" w:sz="4" w:space="0" w:color="auto"/>
            </w:tcBorders>
            <w:shd w:val="clear" w:color="auto" w:fill="auto"/>
            <w:noWrap/>
            <w:vAlign w:val="bottom"/>
            <w:hideMark/>
          </w:tcPr>
          <w:p w14:paraId="42B1788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2140BB93"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2D6A3BFF" w14:textId="39FFB14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4.82%</w:t>
            </w:r>
          </w:p>
        </w:tc>
        <w:tc>
          <w:tcPr>
            <w:tcW w:w="270" w:type="dxa"/>
            <w:tcBorders>
              <w:top w:val="nil"/>
              <w:left w:val="nil"/>
              <w:bottom w:val="single" w:sz="4" w:space="0" w:color="auto"/>
              <w:right w:val="single" w:sz="4" w:space="0" w:color="auto"/>
            </w:tcBorders>
            <w:shd w:val="clear" w:color="auto" w:fill="auto"/>
            <w:noWrap/>
            <w:vAlign w:val="bottom"/>
            <w:hideMark/>
          </w:tcPr>
          <w:p w14:paraId="5F8C74C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2A682F7D"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1.39%</w:t>
            </w:r>
          </w:p>
        </w:tc>
      </w:tr>
      <w:tr w:rsidR="007A148E" w:rsidRPr="003A3625" w14:paraId="41C60E2B"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9703BF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11BA299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2DDB1133"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0AE21C0D"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482FAEF6" w14:textId="4B68B484"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6858009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131C5A6F"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034B7EB1"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61A6A26" w14:textId="77777777" w:rsidR="007A148E" w:rsidRPr="003A3625" w:rsidRDefault="007A148E" w:rsidP="000D02AF">
            <w:pPr>
              <w:spacing w:after="0" w:line="240" w:lineRule="auto"/>
              <w:rPr>
                <w:rFonts w:ascii="Arial" w:eastAsia="Times New Roman" w:hAnsi="Arial" w:cs="Arial"/>
                <w:b/>
                <w:bCs/>
                <w:sz w:val="16"/>
                <w:szCs w:val="16"/>
              </w:rPr>
            </w:pPr>
            <w:r w:rsidRPr="003A3625">
              <w:rPr>
                <w:rFonts w:ascii="Arial" w:eastAsia="Times New Roman" w:hAnsi="Arial" w:cs="Arial"/>
                <w:b/>
                <w:bCs/>
                <w:sz w:val="16"/>
                <w:szCs w:val="16"/>
              </w:rPr>
              <w:t>Synergy Savings</w:t>
            </w:r>
          </w:p>
        </w:tc>
        <w:tc>
          <w:tcPr>
            <w:tcW w:w="1080" w:type="dxa"/>
            <w:tcBorders>
              <w:top w:val="nil"/>
              <w:left w:val="nil"/>
              <w:bottom w:val="single" w:sz="4" w:space="0" w:color="auto"/>
              <w:right w:val="single" w:sz="4" w:space="0" w:color="auto"/>
            </w:tcBorders>
            <w:shd w:val="clear" w:color="auto" w:fill="auto"/>
            <w:noWrap/>
            <w:vAlign w:val="bottom"/>
            <w:hideMark/>
          </w:tcPr>
          <w:p w14:paraId="1E672E8A"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77712BD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78B7D1C9"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4BABAA6D" w14:textId="1F5AC803"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13B5F0D7"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45E52865"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25D30A8F"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0247F12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R-1 Residential</w:t>
            </w:r>
          </w:p>
        </w:tc>
        <w:tc>
          <w:tcPr>
            <w:tcW w:w="1080" w:type="dxa"/>
            <w:tcBorders>
              <w:top w:val="nil"/>
              <w:left w:val="nil"/>
              <w:bottom w:val="single" w:sz="4" w:space="0" w:color="auto"/>
              <w:right w:val="single" w:sz="4" w:space="0" w:color="auto"/>
            </w:tcBorders>
            <w:shd w:val="clear" w:color="auto" w:fill="auto"/>
            <w:noWrap/>
            <w:vAlign w:val="bottom"/>
            <w:hideMark/>
          </w:tcPr>
          <w:p w14:paraId="1CFBC030"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0108B97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4AA99318"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46BEE53D" w14:textId="3EF7FCC9"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246D300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0BD92E54"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r>
      <w:tr w:rsidR="007A148E" w:rsidRPr="003A3625" w14:paraId="351ABB8D"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C48D2B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G-10 Multi-Family</w:t>
            </w:r>
          </w:p>
        </w:tc>
        <w:tc>
          <w:tcPr>
            <w:tcW w:w="1080" w:type="dxa"/>
            <w:tcBorders>
              <w:top w:val="nil"/>
              <w:left w:val="nil"/>
              <w:bottom w:val="single" w:sz="4" w:space="0" w:color="auto"/>
              <w:right w:val="single" w:sz="4" w:space="0" w:color="auto"/>
            </w:tcBorders>
            <w:shd w:val="clear" w:color="auto" w:fill="auto"/>
            <w:noWrap/>
            <w:vAlign w:val="bottom"/>
            <w:hideMark/>
          </w:tcPr>
          <w:p w14:paraId="00C863E4"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22ACD827"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606AE0D5"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5BED1E18" w14:textId="667CE505"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32A86077"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00897A05"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r>
      <w:tr w:rsidR="007A148E" w:rsidRPr="003A3625" w14:paraId="75C8DBC8"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5D99F0B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G-11 Commercial</w:t>
            </w:r>
          </w:p>
        </w:tc>
        <w:tc>
          <w:tcPr>
            <w:tcW w:w="1080" w:type="dxa"/>
            <w:tcBorders>
              <w:top w:val="nil"/>
              <w:left w:val="nil"/>
              <w:bottom w:val="single" w:sz="4" w:space="0" w:color="auto"/>
              <w:right w:val="single" w:sz="4" w:space="0" w:color="auto"/>
            </w:tcBorders>
            <w:shd w:val="clear" w:color="auto" w:fill="auto"/>
            <w:noWrap/>
            <w:vAlign w:val="bottom"/>
            <w:hideMark/>
          </w:tcPr>
          <w:p w14:paraId="75B51979"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3F9F2FE4"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5E0E226A"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58FD1E42" w14:textId="7F403A6B"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017EC16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76CEC783"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r>
      <w:tr w:rsidR="007A148E" w:rsidRPr="003A3625" w14:paraId="6F6AC0A3"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35A4825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G-12 Commercial</w:t>
            </w:r>
          </w:p>
        </w:tc>
        <w:tc>
          <w:tcPr>
            <w:tcW w:w="1080" w:type="dxa"/>
            <w:tcBorders>
              <w:top w:val="nil"/>
              <w:left w:val="nil"/>
              <w:bottom w:val="single" w:sz="4" w:space="0" w:color="auto"/>
              <w:right w:val="single" w:sz="4" w:space="0" w:color="auto"/>
            </w:tcBorders>
            <w:shd w:val="clear" w:color="auto" w:fill="auto"/>
            <w:noWrap/>
            <w:vAlign w:val="bottom"/>
            <w:hideMark/>
          </w:tcPr>
          <w:p w14:paraId="03281E3E"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351CE89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62093EF2"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3112FDC9" w14:textId="5F4B2CF9"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409EE335"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2A7F4444"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r>
      <w:tr w:rsidR="007A148E" w:rsidRPr="003A3625" w14:paraId="4422FAD6"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D6D288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AG-1 Agricultural</w:t>
            </w:r>
          </w:p>
        </w:tc>
        <w:tc>
          <w:tcPr>
            <w:tcW w:w="1080" w:type="dxa"/>
            <w:tcBorders>
              <w:top w:val="nil"/>
              <w:left w:val="nil"/>
              <w:bottom w:val="single" w:sz="4" w:space="0" w:color="auto"/>
              <w:right w:val="single" w:sz="4" w:space="0" w:color="auto"/>
            </w:tcBorders>
            <w:shd w:val="clear" w:color="auto" w:fill="auto"/>
            <w:noWrap/>
            <w:vAlign w:val="bottom"/>
            <w:hideMark/>
          </w:tcPr>
          <w:p w14:paraId="0FB95C1A"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550F11CF"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577BD093"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3E2B0D2A" w14:textId="17C0B8BC"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14A4CB5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111A9717"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r>
      <w:tr w:rsidR="007A148E" w:rsidRPr="003A3625" w14:paraId="50AAF008"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0CFDC76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S-51 Seasonal</w:t>
            </w:r>
          </w:p>
        </w:tc>
        <w:tc>
          <w:tcPr>
            <w:tcW w:w="1080" w:type="dxa"/>
            <w:tcBorders>
              <w:top w:val="nil"/>
              <w:left w:val="nil"/>
              <w:bottom w:val="single" w:sz="4" w:space="0" w:color="auto"/>
              <w:right w:val="single" w:sz="4" w:space="0" w:color="auto"/>
            </w:tcBorders>
            <w:shd w:val="clear" w:color="auto" w:fill="auto"/>
            <w:noWrap/>
            <w:vAlign w:val="bottom"/>
            <w:hideMark/>
          </w:tcPr>
          <w:p w14:paraId="7ED75DDB"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2738978A"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6C69EF24"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411A6213" w14:textId="43FD6DCB"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2C313DAF"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781820B0"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r>
      <w:tr w:rsidR="007A148E" w:rsidRPr="003A3625" w14:paraId="08D811E5"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8C7328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1CEB4EA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0A3500B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50FC788F"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2E6907C1" w14:textId="37083595"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0E5B5574"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60E9EA8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55C5A857"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4333C88"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Meter Reading</w:t>
            </w:r>
          </w:p>
        </w:tc>
        <w:tc>
          <w:tcPr>
            <w:tcW w:w="1080" w:type="dxa"/>
            <w:tcBorders>
              <w:top w:val="nil"/>
              <w:left w:val="nil"/>
              <w:bottom w:val="single" w:sz="4" w:space="0" w:color="auto"/>
              <w:right w:val="single" w:sz="4" w:space="0" w:color="auto"/>
            </w:tcBorders>
            <w:shd w:val="clear" w:color="auto" w:fill="auto"/>
            <w:noWrap/>
            <w:vAlign w:val="bottom"/>
            <w:hideMark/>
          </w:tcPr>
          <w:p w14:paraId="1CA60C0B"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2928C549"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031B79A"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1C253958" w14:textId="00A9E13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5B15A4C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686069BF"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r>
      <w:tr w:rsidR="007A148E" w:rsidRPr="003A3625" w14:paraId="5B411EA7"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AD7F749"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Reconnect Charges</w:t>
            </w:r>
          </w:p>
        </w:tc>
        <w:tc>
          <w:tcPr>
            <w:tcW w:w="1080" w:type="dxa"/>
            <w:tcBorders>
              <w:top w:val="nil"/>
              <w:left w:val="nil"/>
              <w:bottom w:val="single" w:sz="4" w:space="0" w:color="auto"/>
              <w:right w:val="single" w:sz="4" w:space="0" w:color="auto"/>
            </w:tcBorders>
            <w:shd w:val="clear" w:color="auto" w:fill="auto"/>
            <w:noWrap/>
            <w:vAlign w:val="bottom"/>
            <w:hideMark/>
          </w:tcPr>
          <w:p w14:paraId="6A3671A6"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45B2EE1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3A7C69E6"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7C6564DC" w14:textId="5E5D4066"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58DB511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70C1F0D5"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r>
      <w:tr w:rsidR="007A148E" w:rsidRPr="003A3625" w14:paraId="280ECC37"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C41CF7F"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Seasonal Reconnect Charges</w:t>
            </w:r>
          </w:p>
        </w:tc>
        <w:tc>
          <w:tcPr>
            <w:tcW w:w="1080" w:type="dxa"/>
            <w:tcBorders>
              <w:top w:val="nil"/>
              <w:left w:val="nil"/>
              <w:bottom w:val="single" w:sz="4" w:space="0" w:color="auto"/>
              <w:right w:val="single" w:sz="4" w:space="0" w:color="auto"/>
            </w:tcBorders>
            <w:shd w:val="clear" w:color="auto" w:fill="auto"/>
            <w:noWrap/>
            <w:vAlign w:val="bottom"/>
            <w:hideMark/>
          </w:tcPr>
          <w:p w14:paraId="33C22B6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3B0705F9"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F156064"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177D0437" w14:textId="51F780CF"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321774E5"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48EC3089"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636DE0BD"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5ABD28A7"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xml:space="preserve">      October - April</w:t>
            </w:r>
          </w:p>
        </w:tc>
        <w:tc>
          <w:tcPr>
            <w:tcW w:w="1080" w:type="dxa"/>
            <w:tcBorders>
              <w:top w:val="nil"/>
              <w:left w:val="nil"/>
              <w:bottom w:val="single" w:sz="4" w:space="0" w:color="auto"/>
              <w:right w:val="single" w:sz="4" w:space="0" w:color="auto"/>
            </w:tcBorders>
            <w:shd w:val="clear" w:color="auto" w:fill="auto"/>
            <w:noWrap/>
            <w:vAlign w:val="bottom"/>
            <w:hideMark/>
          </w:tcPr>
          <w:p w14:paraId="25CD843B"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5856A50C"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602FFFC1"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0F06A07E" w14:textId="121F91FB"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0C47C12B"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37CA355C"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r>
      <w:tr w:rsidR="007A148E" w:rsidRPr="003A3625" w14:paraId="0003D4AC"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09539618"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xml:space="preserve">      May - September</w:t>
            </w:r>
          </w:p>
        </w:tc>
        <w:tc>
          <w:tcPr>
            <w:tcW w:w="1080" w:type="dxa"/>
            <w:tcBorders>
              <w:top w:val="nil"/>
              <w:left w:val="nil"/>
              <w:bottom w:val="single" w:sz="4" w:space="0" w:color="auto"/>
              <w:right w:val="single" w:sz="4" w:space="0" w:color="auto"/>
            </w:tcBorders>
            <w:shd w:val="clear" w:color="auto" w:fill="auto"/>
            <w:noWrap/>
            <w:vAlign w:val="bottom"/>
            <w:hideMark/>
          </w:tcPr>
          <w:p w14:paraId="66B1CB9E"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4DDD4F61"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67931080"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3E3B140E" w14:textId="2C738A72"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7B7D326D"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0D047B88"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r>
      <w:tr w:rsidR="007A148E" w:rsidRPr="003A3625" w14:paraId="1B548357"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E0269C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Turn On Charges</w:t>
            </w:r>
          </w:p>
        </w:tc>
        <w:tc>
          <w:tcPr>
            <w:tcW w:w="1080" w:type="dxa"/>
            <w:tcBorders>
              <w:top w:val="nil"/>
              <w:left w:val="nil"/>
              <w:bottom w:val="single" w:sz="4" w:space="0" w:color="auto"/>
              <w:right w:val="single" w:sz="4" w:space="0" w:color="auto"/>
            </w:tcBorders>
            <w:shd w:val="clear" w:color="auto" w:fill="auto"/>
            <w:noWrap/>
            <w:vAlign w:val="bottom"/>
            <w:hideMark/>
          </w:tcPr>
          <w:p w14:paraId="2DA1DAD5"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3554DA4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1C8F301"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1345F301" w14:textId="0FECFD95"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7D882119"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6A6AB953"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r>
      <w:tr w:rsidR="007A148E" w:rsidRPr="003A3625" w14:paraId="599C27DB"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43F6073"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Meter Set Charges</w:t>
            </w:r>
          </w:p>
        </w:tc>
        <w:tc>
          <w:tcPr>
            <w:tcW w:w="1080" w:type="dxa"/>
            <w:tcBorders>
              <w:top w:val="nil"/>
              <w:left w:val="nil"/>
              <w:bottom w:val="single" w:sz="4" w:space="0" w:color="auto"/>
              <w:right w:val="single" w:sz="4" w:space="0" w:color="auto"/>
            </w:tcBorders>
            <w:shd w:val="clear" w:color="auto" w:fill="auto"/>
            <w:noWrap/>
            <w:vAlign w:val="bottom"/>
            <w:hideMark/>
          </w:tcPr>
          <w:p w14:paraId="5E63C5F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34AE5253"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79AE2212" w14:textId="77777777" w:rsidR="007A148E" w:rsidRPr="003A3625" w:rsidRDefault="007A148E" w:rsidP="000D02AF">
            <w:pPr>
              <w:spacing w:after="0" w:line="240" w:lineRule="auto"/>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1E98F978" w14:textId="651F37D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270" w:type="dxa"/>
            <w:tcBorders>
              <w:top w:val="nil"/>
              <w:left w:val="nil"/>
              <w:bottom w:val="single" w:sz="4" w:space="0" w:color="auto"/>
              <w:right w:val="single" w:sz="4" w:space="0" w:color="auto"/>
            </w:tcBorders>
            <w:shd w:val="clear" w:color="auto" w:fill="auto"/>
            <w:noWrap/>
            <w:vAlign w:val="bottom"/>
            <w:hideMark/>
          </w:tcPr>
          <w:p w14:paraId="6DA736B9"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42EB580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r>
      <w:tr w:rsidR="007A148E" w:rsidRPr="003A3625" w14:paraId="5D7DBA7B"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56B1E24F"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xml:space="preserve">      New Meter</w:t>
            </w:r>
          </w:p>
        </w:tc>
        <w:tc>
          <w:tcPr>
            <w:tcW w:w="1080" w:type="dxa"/>
            <w:tcBorders>
              <w:top w:val="nil"/>
              <w:left w:val="nil"/>
              <w:bottom w:val="single" w:sz="4" w:space="0" w:color="auto"/>
              <w:right w:val="single" w:sz="4" w:space="0" w:color="auto"/>
            </w:tcBorders>
            <w:shd w:val="clear" w:color="auto" w:fill="auto"/>
            <w:noWrap/>
            <w:vAlign w:val="bottom"/>
            <w:hideMark/>
          </w:tcPr>
          <w:p w14:paraId="0143E42B"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2494F594"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3B2A060D"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019DEBD6" w14:textId="285E0D1E"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226D3125"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520323B5"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r>
      <w:tr w:rsidR="007A148E" w:rsidRPr="003A3625" w14:paraId="26D3BBBA"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3B67F7D2"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xml:space="preserve">      Meter Reset</w:t>
            </w:r>
          </w:p>
        </w:tc>
        <w:tc>
          <w:tcPr>
            <w:tcW w:w="1080" w:type="dxa"/>
            <w:tcBorders>
              <w:top w:val="nil"/>
              <w:left w:val="nil"/>
              <w:bottom w:val="single" w:sz="4" w:space="0" w:color="auto"/>
              <w:right w:val="single" w:sz="4" w:space="0" w:color="auto"/>
            </w:tcBorders>
            <w:shd w:val="clear" w:color="auto" w:fill="auto"/>
            <w:noWrap/>
            <w:vAlign w:val="bottom"/>
            <w:hideMark/>
          </w:tcPr>
          <w:p w14:paraId="1E9B05CA"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3C39C956"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30F7C54"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0FEDAF81" w14:textId="5636E581"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2C729160"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423FDB7A"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r>
      <w:tr w:rsidR="007A148E" w:rsidRPr="003A3625" w14:paraId="5A1B9B13" w14:textId="77777777" w:rsidTr="007A148E">
        <w:trPr>
          <w:trHeight w:val="225"/>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3D59155"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xml:space="preserve">Switching </w:t>
            </w:r>
          </w:p>
        </w:tc>
        <w:tc>
          <w:tcPr>
            <w:tcW w:w="1080" w:type="dxa"/>
            <w:tcBorders>
              <w:top w:val="nil"/>
              <w:left w:val="nil"/>
              <w:bottom w:val="single" w:sz="4" w:space="0" w:color="auto"/>
              <w:right w:val="single" w:sz="4" w:space="0" w:color="auto"/>
            </w:tcBorders>
            <w:shd w:val="clear" w:color="auto" w:fill="auto"/>
            <w:noWrap/>
            <w:vAlign w:val="bottom"/>
            <w:hideMark/>
          </w:tcPr>
          <w:p w14:paraId="53353DA6"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3C8AE5FE"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350" w:type="dxa"/>
            <w:tcBorders>
              <w:top w:val="nil"/>
              <w:left w:val="nil"/>
              <w:bottom w:val="single" w:sz="4" w:space="0" w:color="auto"/>
              <w:right w:val="nil"/>
            </w:tcBorders>
          </w:tcPr>
          <w:p w14:paraId="1EEC9770" w14:textId="77777777" w:rsidR="007A148E" w:rsidRPr="003A3625" w:rsidRDefault="007A148E" w:rsidP="000D02AF">
            <w:pPr>
              <w:spacing w:after="0" w:line="240" w:lineRule="auto"/>
              <w:jc w:val="right"/>
              <w:rPr>
                <w:rFonts w:ascii="Arial" w:eastAsia="Times New Roman"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center"/>
            <w:hideMark/>
          </w:tcPr>
          <w:p w14:paraId="37A60F33" w14:textId="54215CA9"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c>
          <w:tcPr>
            <w:tcW w:w="270" w:type="dxa"/>
            <w:tcBorders>
              <w:top w:val="nil"/>
              <w:left w:val="nil"/>
              <w:bottom w:val="single" w:sz="4" w:space="0" w:color="auto"/>
              <w:right w:val="single" w:sz="4" w:space="0" w:color="auto"/>
            </w:tcBorders>
            <w:shd w:val="clear" w:color="auto" w:fill="auto"/>
            <w:noWrap/>
            <w:vAlign w:val="bottom"/>
            <w:hideMark/>
          </w:tcPr>
          <w:p w14:paraId="78A1EDC4" w14:textId="77777777" w:rsidR="007A148E" w:rsidRPr="003A3625" w:rsidRDefault="007A148E" w:rsidP="000D02AF">
            <w:pPr>
              <w:spacing w:after="0" w:line="240" w:lineRule="auto"/>
              <w:rPr>
                <w:rFonts w:ascii="Arial" w:eastAsia="Times New Roman" w:hAnsi="Arial" w:cs="Arial"/>
                <w:sz w:val="16"/>
                <w:szCs w:val="16"/>
              </w:rPr>
            </w:pPr>
            <w:r w:rsidRPr="003A3625">
              <w:rPr>
                <w:rFonts w:ascii="Arial" w:eastAsia="Times New Roman"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772B7B06" w14:textId="77777777" w:rsidR="007A148E" w:rsidRPr="003A3625" w:rsidRDefault="007A148E" w:rsidP="000D02AF">
            <w:pPr>
              <w:spacing w:after="0" w:line="240" w:lineRule="auto"/>
              <w:jc w:val="right"/>
              <w:rPr>
                <w:rFonts w:ascii="Arial" w:eastAsia="Times New Roman" w:hAnsi="Arial" w:cs="Arial"/>
                <w:sz w:val="16"/>
                <w:szCs w:val="16"/>
              </w:rPr>
            </w:pPr>
            <w:r w:rsidRPr="003A3625">
              <w:rPr>
                <w:rFonts w:ascii="Arial" w:eastAsia="Times New Roman" w:hAnsi="Arial" w:cs="Arial"/>
                <w:sz w:val="16"/>
                <w:szCs w:val="16"/>
              </w:rPr>
              <w:t>0.00%</w:t>
            </w:r>
          </w:p>
        </w:tc>
      </w:tr>
    </w:tbl>
    <w:p w14:paraId="70191884" w14:textId="77777777" w:rsidR="00E32810" w:rsidRDefault="00E32810" w:rsidP="00E32810">
      <w:pPr>
        <w:spacing w:line="240" w:lineRule="auto"/>
        <w:ind w:left="1440" w:hanging="1440"/>
        <w:contextualSpacing/>
        <w:rPr>
          <w:rFonts w:ascii="Times New Roman" w:hAnsi="Times New Roman" w:cs="Times New Roman"/>
          <w:b/>
          <w:sz w:val="24"/>
          <w:szCs w:val="24"/>
        </w:rPr>
      </w:pPr>
    </w:p>
    <w:p w14:paraId="6EF62DDD" w14:textId="77777777" w:rsidR="00E32810" w:rsidRDefault="00E32810" w:rsidP="00E32810">
      <w:pPr>
        <w:spacing w:line="240" w:lineRule="auto"/>
        <w:contextualSpacing/>
        <w:rPr>
          <w:rFonts w:ascii="Times New Roman" w:hAnsi="Times New Roman" w:cs="Times New Roman"/>
          <w:b/>
          <w:sz w:val="24"/>
          <w:szCs w:val="24"/>
        </w:rPr>
      </w:pPr>
    </w:p>
    <w:p w14:paraId="754A717E" w14:textId="452E802C" w:rsidR="00E32810" w:rsidRDefault="00E32810" w:rsidP="00E32810">
      <w:pPr>
        <w:spacing w:line="240" w:lineRule="auto"/>
        <w:contextualSpacing/>
        <w:rPr>
          <w:rFonts w:ascii="Times New Roman" w:hAnsi="Times New Roman" w:cs="Times New Roman"/>
          <w:sz w:val="24"/>
          <w:szCs w:val="24"/>
        </w:rPr>
      </w:pPr>
      <w:r>
        <w:rPr>
          <w:rFonts w:ascii="Times New Roman" w:hAnsi="Times New Roman" w:cs="Times New Roman"/>
          <w:sz w:val="24"/>
          <w:szCs w:val="24"/>
        </w:rPr>
        <w:t>STF-3</w:t>
      </w:r>
      <w:r w:rsidR="003356E5">
        <w:rPr>
          <w:rFonts w:ascii="Times New Roman" w:hAnsi="Times New Roman" w:cs="Times New Roman"/>
          <w:sz w:val="24"/>
          <w:szCs w:val="24"/>
        </w:rPr>
        <w:t>6-1</w:t>
      </w:r>
      <w:r w:rsidR="00AC4545">
        <w:rPr>
          <w:rFonts w:ascii="Times New Roman" w:hAnsi="Times New Roman" w:cs="Times New Roman"/>
          <w:sz w:val="24"/>
          <w:szCs w:val="24"/>
        </w:rPr>
        <w:t>1</w:t>
      </w:r>
      <w:r>
        <w:rPr>
          <w:rFonts w:ascii="Times New Roman" w:hAnsi="Times New Roman" w:cs="Times New Roman"/>
          <w:sz w:val="24"/>
          <w:szCs w:val="24"/>
        </w:rPr>
        <w:tab/>
        <w:t>Regarding Schedule-11, please answer the following</w:t>
      </w:r>
      <w:r w:rsidR="00697682">
        <w:rPr>
          <w:rFonts w:ascii="Times New Roman" w:hAnsi="Times New Roman" w:cs="Times New Roman"/>
          <w:sz w:val="24"/>
          <w:szCs w:val="24"/>
        </w:rPr>
        <w:t>:</w:t>
      </w:r>
    </w:p>
    <w:p w14:paraId="43F0D281" w14:textId="470B1674" w:rsidR="00E32810" w:rsidRDefault="00E32810" w:rsidP="00E3281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Concerning the original 2023 GRAM filing’s Schedule-11, does AGL agree to relabel this as Schedule-11a</w:t>
      </w:r>
      <w:r w:rsidR="00D655A4">
        <w:rPr>
          <w:rFonts w:ascii="Times New Roman" w:hAnsi="Times New Roman" w:cs="Times New Roman"/>
          <w:sz w:val="24"/>
          <w:szCs w:val="24"/>
        </w:rPr>
        <w:t xml:space="preserve"> with the following heading</w:t>
      </w:r>
      <w:r>
        <w:rPr>
          <w:rFonts w:ascii="Times New Roman" w:hAnsi="Times New Roman" w:cs="Times New Roman"/>
          <w:sz w:val="24"/>
          <w:szCs w:val="24"/>
        </w:rPr>
        <w:t>?</w:t>
      </w:r>
    </w:p>
    <w:tbl>
      <w:tblPr>
        <w:tblW w:w="9640" w:type="dxa"/>
        <w:tblLook w:val="04A0" w:firstRow="1" w:lastRow="0" w:firstColumn="1" w:lastColumn="0" w:noHBand="0" w:noVBand="1"/>
      </w:tblPr>
      <w:tblGrid>
        <w:gridCol w:w="9640"/>
      </w:tblGrid>
      <w:tr w:rsidR="00D655A4" w:rsidRPr="00D655A4" w14:paraId="6A268B08" w14:textId="77777777" w:rsidTr="00D655A4">
        <w:trPr>
          <w:trHeight w:val="255"/>
        </w:trPr>
        <w:tc>
          <w:tcPr>
            <w:tcW w:w="9640" w:type="dxa"/>
            <w:tcBorders>
              <w:top w:val="nil"/>
              <w:left w:val="nil"/>
              <w:bottom w:val="nil"/>
              <w:right w:val="nil"/>
            </w:tcBorders>
            <w:shd w:val="clear" w:color="auto" w:fill="auto"/>
            <w:noWrap/>
            <w:vAlign w:val="bottom"/>
            <w:hideMark/>
          </w:tcPr>
          <w:p w14:paraId="167D90BE" w14:textId="77777777" w:rsidR="00D655A4" w:rsidRPr="00D655A4" w:rsidRDefault="00D655A4" w:rsidP="00D655A4">
            <w:pPr>
              <w:spacing w:after="0" w:line="240" w:lineRule="auto"/>
              <w:jc w:val="center"/>
              <w:rPr>
                <w:rFonts w:ascii="Arial" w:eastAsia="Times New Roman" w:hAnsi="Arial" w:cs="Arial"/>
                <w:b/>
                <w:bCs/>
                <w:sz w:val="20"/>
                <w:szCs w:val="20"/>
              </w:rPr>
            </w:pPr>
            <w:r w:rsidRPr="00D655A4">
              <w:rPr>
                <w:rFonts w:ascii="Arial" w:eastAsia="Times New Roman" w:hAnsi="Arial" w:cs="Arial"/>
                <w:b/>
                <w:bCs/>
                <w:sz w:val="20"/>
                <w:szCs w:val="20"/>
              </w:rPr>
              <w:t>Atlanta Gas Light Company (AGLC)</w:t>
            </w:r>
          </w:p>
        </w:tc>
      </w:tr>
      <w:tr w:rsidR="00D655A4" w:rsidRPr="00D655A4" w14:paraId="0CD30C2A" w14:textId="77777777" w:rsidTr="00D655A4">
        <w:trPr>
          <w:trHeight w:val="255"/>
        </w:trPr>
        <w:tc>
          <w:tcPr>
            <w:tcW w:w="9640" w:type="dxa"/>
            <w:tcBorders>
              <w:top w:val="nil"/>
              <w:left w:val="nil"/>
              <w:bottom w:val="nil"/>
              <w:right w:val="nil"/>
            </w:tcBorders>
            <w:shd w:val="clear" w:color="auto" w:fill="auto"/>
            <w:noWrap/>
            <w:vAlign w:val="bottom"/>
            <w:hideMark/>
          </w:tcPr>
          <w:p w14:paraId="63B0B315" w14:textId="77777777" w:rsidR="00D655A4" w:rsidRPr="00D655A4" w:rsidRDefault="00D655A4" w:rsidP="00D655A4">
            <w:pPr>
              <w:spacing w:after="0" w:line="240" w:lineRule="auto"/>
              <w:jc w:val="center"/>
              <w:rPr>
                <w:rFonts w:ascii="Arial" w:eastAsia="Times New Roman" w:hAnsi="Arial" w:cs="Arial"/>
                <w:b/>
                <w:bCs/>
                <w:sz w:val="20"/>
                <w:szCs w:val="20"/>
              </w:rPr>
            </w:pPr>
            <w:r w:rsidRPr="00D655A4">
              <w:rPr>
                <w:rFonts w:ascii="Arial" w:eastAsia="Times New Roman" w:hAnsi="Arial" w:cs="Arial"/>
                <w:b/>
                <w:bCs/>
                <w:sz w:val="20"/>
                <w:szCs w:val="20"/>
              </w:rPr>
              <w:t>Schedule 11a</w:t>
            </w:r>
          </w:p>
        </w:tc>
      </w:tr>
      <w:tr w:rsidR="00D655A4" w:rsidRPr="00D655A4" w14:paraId="1BBAA8C9" w14:textId="77777777" w:rsidTr="00D655A4">
        <w:trPr>
          <w:trHeight w:val="255"/>
        </w:trPr>
        <w:tc>
          <w:tcPr>
            <w:tcW w:w="9640" w:type="dxa"/>
            <w:tcBorders>
              <w:top w:val="nil"/>
              <w:left w:val="nil"/>
              <w:bottom w:val="nil"/>
              <w:right w:val="nil"/>
            </w:tcBorders>
            <w:shd w:val="clear" w:color="auto" w:fill="auto"/>
            <w:noWrap/>
            <w:vAlign w:val="bottom"/>
            <w:hideMark/>
          </w:tcPr>
          <w:p w14:paraId="17867171" w14:textId="77777777" w:rsidR="00D655A4" w:rsidRPr="00D655A4" w:rsidRDefault="00D655A4" w:rsidP="00D655A4">
            <w:pPr>
              <w:spacing w:after="0" w:line="240" w:lineRule="auto"/>
              <w:jc w:val="center"/>
              <w:rPr>
                <w:rFonts w:ascii="Arial" w:eastAsia="Times New Roman" w:hAnsi="Arial" w:cs="Arial"/>
                <w:b/>
                <w:bCs/>
                <w:sz w:val="20"/>
                <w:szCs w:val="20"/>
              </w:rPr>
            </w:pPr>
            <w:r w:rsidRPr="00D655A4">
              <w:rPr>
                <w:rFonts w:ascii="Arial" w:eastAsia="Times New Roman" w:hAnsi="Arial" w:cs="Arial"/>
                <w:b/>
                <w:bCs/>
                <w:sz w:val="20"/>
                <w:szCs w:val="20"/>
              </w:rPr>
              <w:t>Calculation of Revenue Adjustment</w:t>
            </w:r>
          </w:p>
        </w:tc>
      </w:tr>
      <w:tr w:rsidR="00D655A4" w:rsidRPr="00D655A4" w14:paraId="42F6CEB6" w14:textId="77777777" w:rsidTr="00D655A4">
        <w:trPr>
          <w:trHeight w:val="255"/>
        </w:trPr>
        <w:tc>
          <w:tcPr>
            <w:tcW w:w="9640" w:type="dxa"/>
            <w:tcBorders>
              <w:top w:val="nil"/>
              <w:left w:val="nil"/>
              <w:bottom w:val="nil"/>
              <w:right w:val="nil"/>
            </w:tcBorders>
            <w:shd w:val="clear" w:color="auto" w:fill="auto"/>
            <w:noWrap/>
            <w:vAlign w:val="bottom"/>
            <w:hideMark/>
          </w:tcPr>
          <w:p w14:paraId="62E9EB5A" w14:textId="77777777" w:rsidR="00D655A4" w:rsidRPr="00D655A4" w:rsidRDefault="00D655A4" w:rsidP="00D655A4">
            <w:pPr>
              <w:spacing w:after="0" w:line="240" w:lineRule="auto"/>
              <w:jc w:val="center"/>
              <w:rPr>
                <w:rFonts w:ascii="Arial" w:eastAsia="Times New Roman" w:hAnsi="Arial" w:cs="Arial"/>
                <w:b/>
                <w:bCs/>
                <w:sz w:val="20"/>
                <w:szCs w:val="20"/>
              </w:rPr>
            </w:pPr>
            <w:r w:rsidRPr="00D655A4">
              <w:rPr>
                <w:rFonts w:ascii="Arial" w:eastAsia="Times New Roman" w:hAnsi="Arial" w:cs="Arial"/>
                <w:b/>
                <w:bCs/>
                <w:sz w:val="20"/>
                <w:szCs w:val="20"/>
              </w:rPr>
              <w:t>Twelve Months Ending December 31, 2023</w:t>
            </w:r>
          </w:p>
        </w:tc>
      </w:tr>
    </w:tbl>
    <w:p w14:paraId="08C86FB7" w14:textId="77777777" w:rsidR="00E32810" w:rsidRPr="00D655A4" w:rsidRDefault="00E32810" w:rsidP="00D655A4">
      <w:pPr>
        <w:spacing w:line="240" w:lineRule="auto"/>
        <w:rPr>
          <w:rFonts w:ascii="Times New Roman" w:hAnsi="Times New Roman" w:cs="Times New Roman"/>
          <w:sz w:val="24"/>
          <w:szCs w:val="24"/>
        </w:rPr>
      </w:pPr>
    </w:p>
    <w:p w14:paraId="3308C4F8" w14:textId="7B20BB7D" w:rsidR="00D655A4" w:rsidRPr="00D655A4" w:rsidRDefault="00D655A4" w:rsidP="00D655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Concerning the original 2023 GRAM filing’s Workpaper 11B, does AGL agree to relabel this as Schedule-11b with the following heading?</w:t>
      </w:r>
    </w:p>
    <w:tbl>
      <w:tblPr>
        <w:tblW w:w="7720" w:type="dxa"/>
        <w:tblLook w:val="04A0" w:firstRow="1" w:lastRow="0" w:firstColumn="1" w:lastColumn="0" w:noHBand="0" w:noVBand="1"/>
      </w:tblPr>
      <w:tblGrid>
        <w:gridCol w:w="7720"/>
      </w:tblGrid>
      <w:tr w:rsidR="00D655A4" w:rsidRPr="00D655A4" w14:paraId="19666D0C" w14:textId="77777777" w:rsidTr="00D655A4">
        <w:trPr>
          <w:trHeight w:val="255"/>
        </w:trPr>
        <w:tc>
          <w:tcPr>
            <w:tcW w:w="7720" w:type="dxa"/>
            <w:tcBorders>
              <w:top w:val="nil"/>
              <w:left w:val="nil"/>
              <w:bottom w:val="nil"/>
              <w:right w:val="nil"/>
            </w:tcBorders>
            <w:shd w:val="clear" w:color="auto" w:fill="auto"/>
            <w:noWrap/>
            <w:vAlign w:val="bottom"/>
            <w:hideMark/>
          </w:tcPr>
          <w:p w14:paraId="411D3AD2" w14:textId="77777777" w:rsidR="00D655A4" w:rsidRPr="00D655A4" w:rsidRDefault="00D655A4" w:rsidP="00D655A4">
            <w:pPr>
              <w:spacing w:after="0" w:line="240" w:lineRule="auto"/>
              <w:jc w:val="center"/>
              <w:rPr>
                <w:rFonts w:ascii="Arial" w:eastAsia="Times New Roman" w:hAnsi="Arial" w:cs="Arial"/>
                <w:b/>
                <w:bCs/>
                <w:sz w:val="20"/>
                <w:szCs w:val="20"/>
              </w:rPr>
            </w:pPr>
            <w:r w:rsidRPr="00D655A4">
              <w:rPr>
                <w:rFonts w:ascii="Arial" w:eastAsia="Times New Roman" w:hAnsi="Arial" w:cs="Arial"/>
                <w:b/>
                <w:bCs/>
                <w:sz w:val="20"/>
                <w:szCs w:val="20"/>
              </w:rPr>
              <w:t>Atlanta Gas Light Company (AGLC)</w:t>
            </w:r>
          </w:p>
        </w:tc>
      </w:tr>
      <w:tr w:rsidR="00D655A4" w:rsidRPr="00D655A4" w14:paraId="7DA7A7F0" w14:textId="77777777" w:rsidTr="00D655A4">
        <w:trPr>
          <w:trHeight w:val="255"/>
        </w:trPr>
        <w:tc>
          <w:tcPr>
            <w:tcW w:w="7720" w:type="dxa"/>
            <w:tcBorders>
              <w:top w:val="nil"/>
              <w:left w:val="nil"/>
              <w:bottom w:val="nil"/>
              <w:right w:val="nil"/>
            </w:tcBorders>
            <w:shd w:val="clear" w:color="auto" w:fill="auto"/>
            <w:noWrap/>
            <w:vAlign w:val="bottom"/>
            <w:hideMark/>
          </w:tcPr>
          <w:p w14:paraId="097236A9" w14:textId="77777777" w:rsidR="00D655A4" w:rsidRPr="00D655A4" w:rsidRDefault="00D655A4" w:rsidP="00D655A4">
            <w:pPr>
              <w:spacing w:after="0" w:line="240" w:lineRule="auto"/>
              <w:jc w:val="center"/>
              <w:rPr>
                <w:rFonts w:ascii="Arial" w:eastAsia="Times New Roman" w:hAnsi="Arial" w:cs="Arial"/>
                <w:b/>
                <w:bCs/>
                <w:sz w:val="20"/>
                <w:szCs w:val="20"/>
              </w:rPr>
            </w:pPr>
            <w:r w:rsidRPr="00D655A4">
              <w:rPr>
                <w:rFonts w:ascii="Arial" w:eastAsia="Times New Roman" w:hAnsi="Arial" w:cs="Arial"/>
                <w:b/>
                <w:bCs/>
                <w:sz w:val="20"/>
                <w:szCs w:val="20"/>
              </w:rPr>
              <w:t>Schedule 11b</w:t>
            </w:r>
          </w:p>
        </w:tc>
      </w:tr>
      <w:tr w:rsidR="00D655A4" w:rsidRPr="00D655A4" w14:paraId="49D5988E" w14:textId="77777777" w:rsidTr="00D655A4">
        <w:trPr>
          <w:trHeight w:val="255"/>
        </w:trPr>
        <w:tc>
          <w:tcPr>
            <w:tcW w:w="7720" w:type="dxa"/>
            <w:tcBorders>
              <w:top w:val="nil"/>
              <w:left w:val="nil"/>
              <w:bottom w:val="nil"/>
              <w:right w:val="nil"/>
            </w:tcBorders>
            <w:shd w:val="clear" w:color="auto" w:fill="auto"/>
            <w:noWrap/>
            <w:vAlign w:val="bottom"/>
            <w:hideMark/>
          </w:tcPr>
          <w:p w14:paraId="23E2AB62" w14:textId="77777777" w:rsidR="00D655A4" w:rsidRPr="00D655A4" w:rsidRDefault="00D655A4" w:rsidP="00D655A4">
            <w:pPr>
              <w:spacing w:after="0" w:line="240" w:lineRule="auto"/>
              <w:jc w:val="center"/>
              <w:rPr>
                <w:rFonts w:ascii="Arial" w:eastAsia="Times New Roman" w:hAnsi="Arial" w:cs="Arial"/>
                <w:b/>
                <w:bCs/>
                <w:sz w:val="20"/>
                <w:szCs w:val="20"/>
              </w:rPr>
            </w:pPr>
            <w:r w:rsidRPr="00D655A4">
              <w:rPr>
                <w:rFonts w:ascii="Arial" w:eastAsia="Times New Roman" w:hAnsi="Arial" w:cs="Arial"/>
                <w:b/>
                <w:bCs/>
                <w:sz w:val="20"/>
                <w:szCs w:val="20"/>
              </w:rPr>
              <w:t xml:space="preserve">Revenue Adjustment Allocation </w:t>
            </w:r>
          </w:p>
        </w:tc>
      </w:tr>
      <w:tr w:rsidR="00D655A4" w:rsidRPr="00D655A4" w14:paraId="1AF089C7" w14:textId="77777777" w:rsidTr="00D655A4">
        <w:trPr>
          <w:trHeight w:val="255"/>
        </w:trPr>
        <w:tc>
          <w:tcPr>
            <w:tcW w:w="7720" w:type="dxa"/>
            <w:tcBorders>
              <w:top w:val="nil"/>
              <w:left w:val="nil"/>
              <w:bottom w:val="nil"/>
              <w:right w:val="nil"/>
            </w:tcBorders>
            <w:shd w:val="clear" w:color="auto" w:fill="auto"/>
            <w:noWrap/>
            <w:vAlign w:val="bottom"/>
            <w:hideMark/>
          </w:tcPr>
          <w:p w14:paraId="224A6424" w14:textId="77777777" w:rsidR="00D655A4" w:rsidRPr="00D655A4" w:rsidRDefault="00D655A4" w:rsidP="00D655A4">
            <w:pPr>
              <w:spacing w:after="0" w:line="240" w:lineRule="auto"/>
              <w:jc w:val="center"/>
              <w:rPr>
                <w:rFonts w:ascii="Arial" w:eastAsia="Times New Roman" w:hAnsi="Arial" w:cs="Arial"/>
                <w:b/>
                <w:bCs/>
                <w:sz w:val="20"/>
                <w:szCs w:val="20"/>
              </w:rPr>
            </w:pPr>
            <w:r w:rsidRPr="00D655A4">
              <w:rPr>
                <w:rFonts w:ascii="Arial" w:eastAsia="Times New Roman" w:hAnsi="Arial" w:cs="Arial"/>
                <w:b/>
                <w:bCs/>
                <w:sz w:val="20"/>
                <w:szCs w:val="20"/>
              </w:rPr>
              <w:t>Twelve Months Ending December 31, 2023</w:t>
            </w:r>
          </w:p>
        </w:tc>
      </w:tr>
    </w:tbl>
    <w:p w14:paraId="228AEA31" w14:textId="77777777" w:rsidR="00D655A4" w:rsidRPr="007A148E" w:rsidRDefault="00D655A4" w:rsidP="007A148E">
      <w:pPr>
        <w:spacing w:line="240" w:lineRule="auto"/>
        <w:rPr>
          <w:rFonts w:ascii="Times New Roman" w:hAnsi="Times New Roman" w:cs="Times New Roman"/>
          <w:sz w:val="24"/>
          <w:szCs w:val="24"/>
        </w:rPr>
      </w:pPr>
    </w:p>
    <w:p w14:paraId="2D670075" w14:textId="1160CE0C" w:rsidR="00AC6D72" w:rsidRPr="008E4062" w:rsidRDefault="003356E5" w:rsidP="00E3281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As provided in </w:t>
      </w:r>
      <w:r w:rsidR="00A67F46">
        <w:rPr>
          <w:rFonts w:ascii="Times New Roman" w:hAnsi="Times New Roman" w:cs="Times New Roman"/>
          <w:sz w:val="24"/>
          <w:szCs w:val="24"/>
        </w:rPr>
        <w:t>Attachment-STF-11c</w:t>
      </w:r>
      <w:r>
        <w:rPr>
          <w:rFonts w:ascii="Times New Roman" w:hAnsi="Times New Roman" w:cs="Times New Roman"/>
          <w:sz w:val="24"/>
          <w:szCs w:val="24"/>
        </w:rPr>
        <w:t>, does AGL agree to combine WP 11B and WP 4-2 into a single presentation and call the item Schedule-11c</w:t>
      </w:r>
      <w:r w:rsidR="00D655A4">
        <w:rPr>
          <w:rFonts w:ascii="Times New Roman" w:hAnsi="Times New Roman" w:cs="Times New Roman"/>
          <w:sz w:val="24"/>
          <w:szCs w:val="24"/>
        </w:rPr>
        <w:t>, with the revised heading</w:t>
      </w:r>
      <w:r>
        <w:rPr>
          <w:rFonts w:ascii="Times New Roman" w:hAnsi="Times New Roman" w:cs="Times New Roman"/>
          <w:sz w:val="24"/>
          <w:szCs w:val="24"/>
        </w:rPr>
        <w:t>?</w:t>
      </w:r>
    </w:p>
    <w:p w14:paraId="29AA5160" w14:textId="504734BF" w:rsidR="00E32810" w:rsidRPr="00141A53" w:rsidRDefault="00141A53" w:rsidP="00E32810">
      <w:pPr>
        <w:spacing w:line="240" w:lineRule="auto"/>
        <w:contextualSpacing/>
        <w:rPr>
          <w:rFonts w:ascii="Times New Roman" w:hAnsi="Times New Roman" w:cs="Times New Roman"/>
          <w:b/>
          <w:sz w:val="24"/>
          <w:szCs w:val="24"/>
          <w:u w:val="single"/>
        </w:rPr>
      </w:pPr>
      <w:r w:rsidRPr="00141A53">
        <w:rPr>
          <w:rFonts w:ascii="Times New Roman" w:hAnsi="Times New Roman" w:cs="Times New Roman"/>
          <w:b/>
          <w:sz w:val="24"/>
          <w:szCs w:val="24"/>
          <w:u w:val="single"/>
        </w:rPr>
        <w:lastRenderedPageBreak/>
        <w:t>Schedule-11b Rate Design</w:t>
      </w:r>
    </w:p>
    <w:p w14:paraId="68711133" w14:textId="71037BD6" w:rsidR="00563EDA" w:rsidRPr="00563EDA" w:rsidRDefault="00563EDA" w:rsidP="00177B58">
      <w:pPr>
        <w:spacing w:line="240" w:lineRule="auto"/>
        <w:ind w:left="1440" w:hanging="1440"/>
        <w:contextualSpacing/>
        <w:jc w:val="both"/>
        <w:rPr>
          <w:rFonts w:ascii="Times New Roman" w:eastAsiaTheme="minorHAnsi" w:hAnsi="Times New Roman" w:cs="Times New Roman"/>
          <w:sz w:val="24"/>
          <w:szCs w:val="24"/>
        </w:rPr>
      </w:pPr>
      <w:r w:rsidRPr="00563EDA">
        <w:rPr>
          <w:rFonts w:ascii="Times New Roman" w:eastAsiaTheme="minorHAnsi" w:hAnsi="Times New Roman" w:cs="Times New Roman"/>
          <w:sz w:val="24"/>
          <w:szCs w:val="24"/>
        </w:rPr>
        <w:t>STF-36-1</w:t>
      </w:r>
      <w:r w:rsidR="00AC4545">
        <w:rPr>
          <w:rFonts w:ascii="Times New Roman" w:eastAsiaTheme="minorHAnsi" w:hAnsi="Times New Roman" w:cs="Times New Roman"/>
          <w:sz w:val="24"/>
          <w:szCs w:val="24"/>
        </w:rPr>
        <w:t>2</w:t>
      </w:r>
      <w:r w:rsidRPr="00563EDA">
        <w:rPr>
          <w:rFonts w:ascii="Times New Roman" w:eastAsiaTheme="minorHAnsi" w:hAnsi="Times New Roman" w:cs="Times New Roman"/>
          <w:sz w:val="24"/>
          <w:szCs w:val="24"/>
        </w:rPr>
        <w:tab/>
        <w:t>When reviewing rate design used in Schedule-11b, it is a different calculation than used in the 2019 rate case and the 2022 GRAM. In Table-</w:t>
      </w:r>
      <w:r w:rsidR="00AC4545">
        <w:rPr>
          <w:rFonts w:ascii="Times New Roman" w:eastAsiaTheme="minorHAnsi" w:hAnsi="Times New Roman" w:cs="Times New Roman"/>
          <w:sz w:val="24"/>
          <w:szCs w:val="24"/>
        </w:rPr>
        <w:t>5</w:t>
      </w:r>
      <w:r w:rsidR="009C3A83">
        <w:rPr>
          <w:rFonts w:ascii="Times New Roman" w:eastAsiaTheme="minorHAnsi" w:hAnsi="Times New Roman" w:cs="Times New Roman"/>
          <w:sz w:val="24"/>
          <w:szCs w:val="24"/>
        </w:rPr>
        <w:t xml:space="preserve">a: 2019 Rate Case </w:t>
      </w:r>
      <w:r w:rsidRPr="00563EDA">
        <w:rPr>
          <w:rFonts w:ascii="Times New Roman" w:eastAsiaTheme="minorHAnsi" w:hAnsi="Times New Roman" w:cs="Times New Roman"/>
          <w:sz w:val="24"/>
          <w:szCs w:val="24"/>
        </w:rPr>
        <w:t>Rate</w:t>
      </w:r>
      <w:r w:rsidR="009C3A83">
        <w:rPr>
          <w:rFonts w:ascii="Times New Roman" w:eastAsiaTheme="minorHAnsi" w:hAnsi="Times New Roman" w:cs="Times New Roman"/>
          <w:sz w:val="24"/>
          <w:szCs w:val="24"/>
        </w:rPr>
        <w:t xml:space="preserve"> </w:t>
      </w:r>
      <w:r w:rsidRPr="00563EDA">
        <w:rPr>
          <w:rFonts w:ascii="Times New Roman" w:eastAsiaTheme="minorHAnsi" w:hAnsi="Times New Roman" w:cs="Times New Roman"/>
          <w:sz w:val="24"/>
          <w:szCs w:val="24"/>
        </w:rPr>
        <w:t>Design</w:t>
      </w:r>
      <w:r w:rsidR="009C3A83">
        <w:rPr>
          <w:rFonts w:ascii="Times New Roman" w:eastAsiaTheme="minorHAnsi" w:hAnsi="Times New Roman" w:cs="Times New Roman"/>
          <w:sz w:val="24"/>
          <w:szCs w:val="24"/>
        </w:rPr>
        <w:t xml:space="preserve"> DDDC WP 4-2-5</w:t>
      </w:r>
      <w:r w:rsidRPr="00563EDA">
        <w:rPr>
          <w:rFonts w:ascii="Times New Roman" w:eastAsiaTheme="minorHAnsi" w:hAnsi="Times New Roman" w:cs="Times New Roman"/>
          <w:sz w:val="24"/>
          <w:szCs w:val="24"/>
        </w:rPr>
        <w:t>, the DDDC change in rates is provided. AGL used hard inputs for the Customer Charge Rates.  In Table-</w:t>
      </w:r>
      <w:r w:rsidR="00AC4545">
        <w:rPr>
          <w:rFonts w:ascii="Times New Roman" w:eastAsiaTheme="minorHAnsi" w:hAnsi="Times New Roman" w:cs="Times New Roman"/>
          <w:sz w:val="24"/>
          <w:szCs w:val="24"/>
        </w:rPr>
        <w:t>5</w:t>
      </w:r>
      <w:r w:rsidR="009C3A83">
        <w:rPr>
          <w:rFonts w:ascii="Times New Roman" w:eastAsiaTheme="minorHAnsi" w:hAnsi="Times New Roman" w:cs="Times New Roman"/>
          <w:sz w:val="24"/>
          <w:szCs w:val="24"/>
        </w:rPr>
        <w:t>b: 2022 GRAM Rate Design WP 4-3</w:t>
      </w:r>
      <w:r w:rsidRPr="00563EDA">
        <w:rPr>
          <w:rFonts w:ascii="Times New Roman" w:eastAsiaTheme="minorHAnsi" w:hAnsi="Times New Roman" w:cs="Times New Roman"/>
          <w:sz w:val="24"/>
          <w:szCs w:val="24"/>
        </w:rPr>
        <w:t>, the calculation for the Customer Charge Rate and the DDDC Charge Rate is provided. In Table-</w:t>
      </w:r>
      <w:r w:rsidR="000D0421">
        <w:rPr>
          <w:rFonts w:ascii="Times New Roman" w:eastAsiaTheme="minorHAnsi" w:hAnsi="Times New Roman" w:cs="Times New Roman"/>
          <w:sz w:val="24"/>
          <w:szCs w:val="24"/>
        </w:rPr>
        <w:t>8</w:t>
      </w:r>
      <w:r w:rsidR="009C3A83">
        <w:rPr>
          <w:rFonts w:ascii="Times New Roman" w:eastAsiaTheme="minorHAnsi" w:hAnsi="Times New Roman" w:cs="Times New Roman"/>
          <w:sz w:val="24"/>
          <w:szCs w:val="24"/>
        </w:rPr>
        <w:t>c” 2023 GRAM Rate Design Schedule-11b</w:t>
      </w:r>
      <w:r w:rsidRPr="00563EDA">
        <w:rPr>
          <w:rFonts w:ascii="Times New Roman" w:eastAsiaTheme="minorHAnsi" w:hAnsi="Times New Roman" w:cs="Times New Roman"/>
          <w:sz w:val="24"/>
          <w:szCs w:val="24"/>
        </w:rPr>
        <w:t>, the calculation for the Customer Charge Rate and DDDC Charge Rate is provided. Please answer the following</w:t>
      </w:r>
      <w:r w:rsidR="00AC4545">
        <w:rPr>
          <w:rFonts w:ascii="Times New Roman" w:eastAsiaTheme="minorHAnsi" w:hAnsi="Times New Roman" w:cs="Times New Roman"/>
          <w:sz w:val="24"/>
          <w:szCs w:val="24"/>
        </w:rPr>
        <w:t>.</w:t>
      </w:r>
    </w:p>
    <w:p w14:paraId="54ADC3A4" w14:textId="77777777" w:rsidR="00563EDA" w:rsidRPr="00563EDA" w:rsidRDefault="00563EDA" w:rsidP="00177B58">
      <w:pPr>
        <w:spacing w:line="240" w:lineRule="auto"/>
        <w:contextualSpacing/>
        <w:jc w:val="both"/>
        <w:rPr>
          <w:rFonts w:ascii="Times New Roman" w:eastAsiaTheme="minorHAnsi" w:hAnsi="Times New Roman" w:cs="Times New Roman"/>
          <w:sz w:val="24"/>
          <w:szCs w:val="24"/>
        </w:rPr>
      </w:pPr>
    </w:p>
    <w:p w14:paraId="29375CEC" w14:textId="15C44961" w:rsidR="00563EDA" w:rsidRPr="00563EDA" w:rsidRDefault="00563EDA" w:rsidP="00177B58">
      <w:pPr>
        <w:numPr>
          <w:ilvl w:val="0"/>
          <w:numId w:val="22"/>
        </w:numPr>
        <w:spacing w:line="240" w:lineRule="auto"/>
        <w:contextualSpacing/>
        <w:jc w:val="both"/>
        <w:rPr>
          <w:rFonts w:ascii="Times New Roman" w:eastAsiaTheme="minorHAnsi" w:hAnsi="Times New Roman" w:cs="Times New Roman"/>
          <w:sz w:val="24"/>
          <w:szCs w:val="24"/>
        </w:rPr>
      </w:pPr>
      <w:r w:rsidRPr="00563EDA">
        <w:rPr>
          <w:rFonts w:ascii="Times New Roman" w:eastAsiaTheme="minorHAnsi" w:hAnsi="Times New Roman" w:cs="Times New Roman"/>
          <w:sz w:val="24"/>
          <w:szCs w:val="24"/>
        </w:rPr>
        <w:t>Related to the 2019 rate case</w:t>
      </w:r>
      <w:r w:rsidR="007A148E">
        <w:rPr>
          <w:rFonts w:ascii="Times New Roman" w:eastAsiaTheme="minorHAnsi" w:hAnsi="Times New Roman" w:cs="Times New Roman"/>
          <w:sz w:val="24"/>
          <w:szCs w:val="24"/>
        </w:rPr>
        <w:t xml:space="preserve"> Compliance Filing, December 31, 2019</w:t>
      </w:r>
      <w:r w:rsidRPr="00563EDA">
        <w:rPr>
          <w:rFonts w:ascii="Times New Roman" w:eastAsiaTheme="minorHAnsi" w:hAnsi="Times New Roman" w:cs="Times New Roman"/>
          <w:sz w:val="24"/>
          <w:szCs w:val="24"/>
        </w:rPr>
        <w:t xml:space="preserve">, for each customer class, please provide an explanation </w:t>
      </w:r>
      <w:r w:rsidR="007A148E">
        <w:rPr>
          <w:rFonts w:ascii="Times New Roman" w:eastAsiaTheme="minorHAnsi" w:hAnsi="Times New Roman" w:cs="Times New Roman"/>
          <w:sz w:val="24"/>
          <w:szCs w:val="24"/>
        </w:rPr>
        <w:t xml:space="preserve">of the Excel calculations for the rate design used </w:t>
      </w:r>
      <w:r w:rsidRPr="00563EDA">
        <w:rPr>
          <w:rFonts w:ascii="Times New Roman" w:eastAsiaTheme="minorHAnsi" w:hAnsi="Times New Roman" w:cs="Times New Roman"/>
          <w:sz w:val="24"/>
          <w:szCs w:val="24"/>
        </w:rPr>
        <w:t>for the Customer Charge Rate and DDDC Charge Rate in WP 4-2-5 in the 2019 rate case compliance filing.</w:t>
      </w:r>
    </w:p>
    <w:p w14:paraId="4BF48441" w14:textId="77777777" w:rsidR="00563EDA" w:rsidRPr="00563EDA" w:rsidRDefault="00563EDA" w:rsidP="00177B58">
      <w:pPr>
        <w:spacing w:line="240" w:lineRule="auto"/>
        <w:ind w:left="1800"/>
        <w:contextualSpacing/>
        <w:jc w:val="both"/>
        <w:rPr>
          <w:rFonts w:ascii="Times New Roman" w:eastAsiaTheme="minorHAnsi" w:hAnsi="Times New Roman" w:cs="Times New Roman"/>
          <w:sz w:val="24"/>
          <w:szCs w:val="24"/>
        </w:rPr>
      </w:pPr>
    </w:p>
    <w:p w14:paraId="7E828621" w14:textId="468D1A11" w:rsidR="00563EDA" w:rsidRPr="00563EDA" w:rsidRDefault="00563EDA" w:rsidP="00177B58">
      <w:pPr>
        <w:numPr>
          <w:ilvl w:val="0"/>
          <w:numId w:val="22"/>
        </w:numPr>
        <w:spacing w:line="240" w:lineRule="auto"/>
        <w:contextualSpacing/>
        <w:jc w:val="both"/>
        <w:rPr>
          <w:rFonts w:ascii="Times New Roman" w:eastAsiaTheme="minorHAnsi" w:hAnsi="Times New Roman" w:cs="Times New Roman"/>
          <w:sz w:val="24"/>
          <w:szCs w:val="24"/>
        </w:rPr>
      </w:pPr>
      <w:r w:rsidRPr="00563EDA">
        <w:rPr>
          <w:rFonts w:ascii="Times New Roman" w:eastAsiaTheme="minorHAnsi" w:hAnsi="Times New Roman" w:cs="Times New Roman"/>
          <w:sz w:val="24"/>
          <w:szCs w:val="24"/>
        </w:rPr>
        <w:t>Related to the 2022 GRAM, for each customer class,</w:t>
      </w:r>
      <w:r w:rsidR="00302BFA">
        <w:rPr>
          <w:rFonts w:ascii="Times New Roman" w:eastAsiaTheme="minorHAnsi" w:hAnsi="Times New Roman" w:cs="Times New Roman"/>
          <w:sz w:val="24"/>
          <w:szCs w:val="24"/>
        </w:rPr>
        <w:t xml:space="preserve"> </w:t>
      </w:r>
      <w:r w:rsidRPr="00563EDA">
        <w:rPr>
          <w:rFonts w:ascii="Times New Roman" w:eastAsiaTheme="minorHAnsi" w:hAnsi="Times New Roman" w:cs="Times New Roman"/>
          <w:sz w:val="24"/>
          <w:szCs w:val="24"/>
        </w:rPr>
        <w:t xml:space="preserve">please provide an explanation </w:t>
      </w:r>
      <w:r w:rsidR="007A148E">
        <w:rPr>
          <w:rFonts w:ascii="Times New Roman" w:eastAsiaTheme="minorHAnsi" w:hAnsi="Times New Roman" w:cs="Times New Roman"/>
          <w:sz w:val="24"/>
          <w:szCs w:val="24"/>
        </w:rPr>
        <w:t xml:space="preserve">of the Excel calculations for the rate design used </w:t>
      </w:r>
      <w:r w:rsidRPr="00563EDA">
        <w:rPr>
          <w:rFonts w:ascii="Times New Roman" w:eastAsiaTheme="minorHAnsi" w:hAnsi="Times New Roman" w:cs="Times New Roman"/>
          <w:sz w:val="24"/>
          <w:szCs w:val="24"/>
        </w:rPr>
        <w:t>for the Customer Charge Rate and the DDDC Charge Rate in WP 4-3.</w:t>
      </w:r>
    </w:p>
    <w:p w14:paraId="70609BFE" w14:textId="77777777" w:rsidR="00563EDA" w:rsidRPr="00563EDA" w:rsidRDefault="00563EDA" w:rsidP="00177B58">
      <w:pPr>
        <w:spacing w:line="240" w:lineRule="auto"/>
        <w:ind w:left="1800"/>
        <w:contextualSpacing/>
        <w:jc w:val="both"/>
        <w:rPr>
          <w:rFonts w:ascii="Times New Roman" w:eastAsiaTheme="minorHAnsi" w:hAnsi="Times New Roman" w:cs="Times New Roman"/>
          <w:sz w:val="24"/>
          <w:szCs w:val="24"/>
        </w:rPr>
      </w:pPr>
    </w:p>
    <w:p w14:paraId="454D50CA" w14:textId="415F7CB1" w:rsidR="00563EDA" w:rsidRPr="00563EDA" w:rsidRDefault="00563EDA" w:rsidP="00177B58">
      <w:pPr>
        <w:numPr>
          <w:ilvl w:val="0"/>
          <w:numId w:val="22"/>
        </w:numPr>
        <w:spacing w:line="240" w:lineRule="auto"/>
        <w:contextualSpacing/>
        <w:jc w:val="both"/>
        <w:rPr>
          <w:rFonts w:ascii="Times New Roman" w:eastAsiaTheme="minorHAnsi" w:hAnsi="Times New Roman" w:cs="Times New Roman"/>
          <w:sz w:val="24"/>
          <w:szCs w:val="24"/>
        </w:rPr>
      </w:pPr>
      <w:r w:rsidRPr="00563EDA">
        <w:rPr>
          <w:rFonts w:ascii="Times New Roman" w:eastAsiaTheme="minorHAnsi" w:hAnsi="Times New Roman" w:cs="Times New Roman"/>
          <w:sz w:val="24"/>
          <w:szCs w:val="24"/>
        </w:rPr>
        <w:t xml:space="preserve">Related to the 2023 GRAM, for each customer class, </w:t>
      </w:r>
      <w:r w:rsidR="007A148E" w:rsidRPr="00563EDA">
        <w:rPr>
          <w:rFonts w:ascii="Times New Roman" w:eastAsiaTheme="minorHAnsi" w:hAnsi="Times New Roman" w:cs="Times New Roman"/>
          <w:sz w:val="24"/>
          <w:szCs w:val="24"/>
        </w:rPr>
        <w:t xml:space="preserve">please provide an explanation </w:t>
      </w:r>
      <w:r w:rsidR="007A148E">
        <w:rPr>
          <w:rFonts w:ascii="Times New Roman" w:eastAsiaTheme="minorHAnsi" w:hAnsi="Times New Roman" w:cs="Times New Roman"/>
          <w:sz w:val="24"/>
          <w:szCs w:val="24"/>
        </w:rPr>
        <w:t xml:space="preserve">of the Excel calculations for the rate design used </w:t>
      </w:r>
      <w:r w:rsidR="007A148E" w:rsidRPr="00563EDA">
        <w:rPr>
          <w:rFonts w:ascii="Times New Roman" w:eastAsiaTheme="minorHAnsi" w:hAnsi="Times New Roman" w:cs="Times New Roman"/>
          <w:sz w:val="24"/>
          <w:szCs w:val="24"/>
        </w:rPr>
        <w:t>for the Customer Charge Rate and the DDDC Charge Rate in WP 4-3.</w:t>
      </w:r>
    </w:p>
    <w:p w14:paraId="42DCFA06" w14:textId="77777777" w:rsidR="00141A53" w:rsidRDefault="00141A53" w:rsidP="00563EDA">
      <w:pPr>
        <w:spacing w:line="240" w:lineRule="auto"/>
        <w:contextualSpacing/>
        <w:rPr>
          <w:rFonts w:ascii="Times New Roman" w:eastAsiaTheme="minorHAnsi" w:hAnsi="Times New Roman" w:cs="Times New Roman"/>
          <w:b/>
          <w:sz w:val="24"/>
          <w:szCs w:val="24"/>
        </w:rPr>
      </w:pPr>
    </w:p>
    <w:p w14:paraId="6CC87870" w14:textId="77777777" w:rsidR="009C3A83" w:rsidRDefault="009C3A83" w:rsidP="00563EDA">
      <w:pPr>
        <w:spacing w:line="240" w:lineRule="auto"/>
        <w:contextualSpacing/>
        <w:rPr>
          <w:rFonts w:ascii="Times New Roman" w:eastAsiaTheme="minorHAnsi" w:hAnsi="Times New Roman" w:cs="Times New Roman"/>
          <w:b/>
          <w:sz w:val="24"/>
          <w:szCs w:val="24"/>
          <w:u w:val="single"/>
        </w:rPr>
      </w:pPr>
    </w:p>
    <w:p w14:paraId="0F3162F8" w14:textId="589DFC26" w:rsidR="00563EDA" w:rsidRPr="007A148E" w:rsidRDefault="00563EDA" w:rsidP="00563EDA">
      <w:pPr>
        <w:spacing w:line="240" w:lineRule="auto"/>
        <w:contextualSpacing/>
        <w:rPr>
          <w:rFonts w:ascii="Times New Roman" w:eastAsiaTheme="minorHAnsi" w:hAnsi="Times New Roman" w:cs="Times New Roman"/>
          <w:b/>
          <w:sz w:val="24"/>
          <w:szCs w:val="24"/>
          <w:u w:val="single"/>
        </w:rPr>
      </w:pPr>
      <w:r w:rsidRPr="007A148E">
        <w:rPr>
          <w:rFonts w:ascii="Times New Roman" w:eastAsiaTheme="minorHAnsi" w:hAnsi="Times New Roman" w:cs="Times New Roman"/>
          <w:b/>
          <w:sz w:val="24"/>
          <w:szCs w:val="24"/>
          <w:u w:val="single"/>
        </w:rPr>
        <w:t>Table-</w:t>
      </w:r>
      <w:r w:rsidR="000D0421">
        <w:rPr>
          <w:rFonts w:ascii="Times New Roman" w:eastAsiaTheme="minorHAnsi" w:hAnsi="Times New Roman" w:cs="Times New Roman"/>
          <w:b/>
          <w:sz w:val="24"/>
          <w:szCs w:val="24"/>
          <w:u w:val="single"/>
        </w:rPr>
        <w:t>8</w:t>
      </w:r>
      <w:r w:rsidR="009C3A83">
        <w:rPr>
          <w:rFonts w:ascii="Times New Roman" w:eastAsiaTheme="minorHAnsi" w:hAnsi="Times New Roman" w:cs="Times New Roman"/>
          <w:b/>
          <w:sz w:val="24"/>
          <w:szCs w:val="24"/>
          <w:u w:val="single"/>
        </w:rPr>
        <w:t>a</w:t>
      </w:r>
      <w:r w:rsidRPr="007A148E">
        <w:rPr>
          <w:rFonts w:ascii="Times New Roman" w:eastAsiaTheme="minorHAnsi" w:hAnsi="Times New Roman" w:cs="Times New Roman"/>
          <w:b/>
          <w:sz w:val="24"/>
          <w:szCs w:val="24"/>
          <w:u w:val="single"/>
        </w:rPr>
        <w:t xml:space="preserve">: 2019 Rate Case </w:t>
      </w:r>
      <w:r w:rsidR="009C3A83">
        <w:rPr>
          <w:rFonts w:ascii="Times New Roman" w:eastAsiaTheme="minorHAnsi" w:hAnsi="Times New Roman" w:cs="Times New Roman"/>
          <w:b/>
          <w:sz w:val="24"/>
          <w:szCs w:val="24"/>
          <w:u w:val="single"/>
        </w:rPr>
        <w:t xml:space="preserve">Rate Design </w:t>
      </w:r>
      <w:r w:rsidRPr="007A148E">
        <w:rPr>
          <w:rFonts w:ascii="Times New Roman" w:eastAsiaTheme="minorHAnsi" w:hAnsi="Times New Roman" w:cs="Times New Roman"/>
          <w:b/>
          <w:sz w:val="24"/>
          <w:szCs w:val="24"/>
          <w:u w:val="single"/>
        </w:rPr>
        <w:t>DDDC WP 4-2-5</w:t>
      </w:r>
    </w:p>
    <w:p w14:paraId="74AE6B21" w14:textId="77777777" w:rsidR="00563EDA" w:rsidRPr="00563EDA" w:rsidRDefault="00563EDA" w:rsidP="00563EDA">
      <w:pPr>
        <w:spacing w:line="240" w:lineRule="auto"/>
        <w:contextualSpacing/>
        <w:rPr>
          <w:rFonts w:ascii="Times New Roman" w:eastAsiaTheme="minorHAnsi" w:hAnsi="Times New Roman" w:cs="Times New Roman"/>
          <w:sz w:val="24"/>
          <w:szCs w:val="24"/>
        </w:rPr>
      </w:pPr>
      <w:r w:rsidRPr="00563EDA">
        <w:rPr>
          <w:rFonts w:eastAsiaTheme="minorHAnsi"/>
          <w:noProof/>
          <w:sz w:val="22"/>
          <w:szCs w:val="22"/>
        </w:rPr>
        <w:drawing>
          <wp:inline distT="0" distB="0" distL="0" distR="0" wp14:anchorId="7CD0DFB1" wp14:editId="7422829B">
            <wp:extent cx="2066925" cy="342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66925" cy="342900"/>
                    </a:xfrm>
                    <a:prstGeom prst="rect">
                      <a:avLst/>
                    </a:prstGeom>
                  </pic:spPr>
                </pic:pic>
              </a:graphicData>
            </a:graphic>
          </wp:inline>
        </w:drawing>
      </w:r>
    </w:p>
    <w:p w14:paraId="6250C32D" w14:textId="77777777" w:rsidR="00563EDA" w:rsidRPr="00563EDA" w:rsidRDefault="00563EDA" w:rsidP="00563EDA">
      <w:pPr>
        <w:spacing w:line="240" w:lineRule="auto"/>
        <w:contextualSpacing/>
        <w:rPr>
          <w:rFonts w:ascii="Times New Roman" w:eastAsiaTheme="minorHAnsi" w:hAnsi="Times New Roman" w:cs="Times New Roman"/>
          <w:sz w:val="24"/>
          <w:szCs w:val="24"/>
        </w:rPr>
      </w:pPr>
      <w:r w:rsidRPr="00563EDA">
        <w:rPr>
          <w:rFonts w:ascii="Times New Roman" w:eastAsiaTheme="minorHAnsi" w:hAnsi="Times New Roman" w:cs="Times New Roman"/>
          <w:sz w:val="24"/>
          <w:szCs w:val="24"/>
        </w:rPr>
        <w:t xml:space="preserve">               Q9                                            T9                                              E9</w:t>
      </w:r>
    </w:p>
    <w:p w14:paraId="4F5C8EA8" w14:textId="77777777" w:rsidR="00563EDA" w:rsidRPr="00563EDA" w:rsidRDefault="00563EDA" w:rsidP="00563EDA">
      <w:pPr>
        <w:spacing w:line="240" w:lineRule="auto"/>
        <w:contextualSpacing/>
        <w:rPr>
          <w:rFonts w:ascii="Times New Roman" w:eastAsiaTheme="minorHAnsi" w:hAnsi="Times New Roman" w:cs="Times New Roman"/>
          <w:sz w:val="24"/>
          <w:szCs w:val="24"/>
        </w:rPr>
      </w:pPr>
      <w:r w:rsidRPr="00563EDA">
        <w:rPr>
          <w:rFonts w:ascii="Times New Roman" w:eastAsiaTheme="minorHAnsi" w:hAnsi="Times New Roman" w:cs="Times New Roman"/>
          <w:sz w:val="24"/>
          <w:szCs w:val="24"/>
        </w:rPr>
        <w:t>((Revenue Change Per Class – ((Proposed Customer Charge Rate x Number Bills) –</w:t>
      </w:r>
    </w:p>
    <w:p w14:paraId="2CD99FCB" w14:textId="77777777" w:rsidR="00563EDA" w:rsidRPr="00563EDA" w:rsidRDefault="00563EDA" w:rsidP="00563EDA">
      <w:pPr>
        <w:spacing w:line="240" w:lineRule="auto"/>
        <w:contextualSpacing/>
        <w:rPr>
          <w:rFonts w:ascii="Times New Roman" w:eastAsiaTheme="minorHAnsi" w:hAnsi="Times New Roman" w:cs="Times New Roman"/>
          <w:sz w:val="24"/>
          <w:szCs w:val="24"/>
        </w:rPr>
      </w:pPr>
    </w:p>
    <w:p w14:paraId="33D403A4" w14:textId="77777777" w:rsidR="00563EDA" w:rsidRPr="00563EDA" w:rsidRDefault="00563EDA" w:rsidP="00563EDA">
      <w:pPr>
        <w:spacing w:line="240" w:lineRule="auto"/>
        <w:contextualSpacing/>
        <w:rPr>
          <w:rFonts w:ascii="Times New Roman" w:eastAsiaTheme="minorHAnsi" w:hAnsi="Times New Roman" w:cs="Times New Roman"/>
          <w:sz w:val="24"/>
          <w:szCs w:val="24"/>
        </w:rPr>
      </w:pPr>
      <w:r w:rsidRPr="00563EDA">
        <w:rPr>
          <w:rFonts w:ascii="Times New Roman" w:eastAsiaTheme="minorHAnsi" w:hAnsi="Times New Roman" w:cs="Times New Roman"/>
          <w:sz w:val="24"/>
          <w:szCs w:val="24"/>
        </w:rPr>
        <w:t xml:space="preserve">                                      I9                        E9                       C9</w:t>
      </w:r>
    </w:p>
    <w:p w14:paraId="679C7CB3" w14:textId="2DB2AE70" w:rsidR="00563EDA" w:rsidRPr="00563EDA" w:rsidRDefault="00563EDA" w:rsidP="00563EDA">
      <w:pPr>
        <w:spacing w:line="240" w:lineRule="auto"/>
        <w:contextualSpacing/>
        <w:rPr>
          <w:rFonts w:ascii="Times New Roman" w:eastAsiaTheme="minorHAnsi" w:hAnsi="Times New Roman" w:cs="Times New Roman"/>
          <w:sz w:val="24"/>
          <w:szCs w:val="24"/>
        </w:rPr>
      </w:pPr>
      <w:r w:rsidRPr="00563EDA">
        <w:rPr>
          <w:rFonts w:ascii="Times New Roman" w:eastAsiaTheme="minorHAnsi" w:hAnsi="Times New Roman" w:cs="Times New Roman"/>
          <w:sz w:val="24"/>
          <w:szCs w:val="24"/>
        </w:rPr>
        <w:t xml:space="preserve">(Current Customer Charge Rate x Number of Bills))) / DDDC in Dts) + </w:t>
      </w:r>
    </w:p>
    <w:p w14:paraId="7968BBDC" w14:textId="77777777" w:rsidR="00563EDA" w:rsidRPr="00563EDA" w:rsidRDefault="00563EDA" w:rsidP="00563EDA">
      <w:pPr>
        <w:spacing w:line="240" w:lineRule="auto"/>
        <w:contextualSpacing/>
        <w:rPr>
          <w:rFonts w:ascii="Times New Roman" w:eastAsiaTheme="minorHAnsi" w:hAnsi="Times New Roman" w:cs="Times New Roman"/>
          <w:sz w:val="24"/>
          <w:szCs w:val="24"/>
        </w:rPr>
      </w:pPr>
    </w:p>
    <w:p w14:paraId="41FBE926" w14:textId="77777777" w:rsidR="00563EDA" w:rsidRPr="00563EDA" w:rsidRDefault="00563EDA" w:rsidP="00563EDA">
      <w:pPr>
        <w:spacing w:line="240" w:lineRule="auto"/>
        <w:contextualSpacing/>
        <w:rPr>
          <w:rFonts w:ascii="Times New Roman" w:eastAsiaTheme="minorHAnsi" w:hAnsi="Times New Roman" w:cs="Times New Roman"/>
          <w:sz w:val="24"/>
          <w:szCs w:val="24"/>
        </w:rPr>
      </w:pPr>
      <w:r w:rsidRPr="00563EDA">
        <w:rPr>
          <w:rFonts w:ascii="Times New Roman" w:eastAsiaTheme="minorHAnsi" w:hAnsi="Times New Roman" w:cs="Times New Roman"/>
          <w:sz w:val="24"/>
          <w:szCs w:val="24"/>
        </w:rPr>
        <w:t xml:space="preserve">                 G9</w:t>
      </w:r>
    </w:p>
    <w:p w14:paraId="782C24F4" w14:textId="77777777" w:rsidR="00563EDA" w:rsidRPr="00563EDA" w:rsidRDefault="00563EDA" w:rsidP="00563EDA">
      <w:pPr>
        <w:spacing w:line="240" w:lineRule="auto"/>
        <w:contextualSpacing/>
        <w:rPr>
          <w:rFonts w:ascii="Times New Roman" w:eastAsiaTheme="minorHAnsi" w:hAnsi="Times New Roman" w:cs="Times New Roman"/>
          <w:sz w:val="24"/>
          <w:szCs w:val="24"/>
        </w:rPr>
      </w:pPr>
      <w:r w:rsidRPr="00563EDA">
        <w:rPr>
          <w:rFonts w:ascii="Times New Roman" w:eastAsiaTheme="minorHAnsi" w:hAnsi="Times New Roman" w:cs="Times New Roman"/>
          <w:sz w:val="24"/>
          <w:szCs w:val="24"/>
        </w:rPr>
        <w:t>Current DDDC Charge Rate</w:t>
      </w:r>
    </w:p>
    <w:p w14:paraId="5C86899C" w14:textId="3D789E75" w:rsidR="009C3A83" w:rsidRDefault="009C3A83" w:rsidP="00563EDA">
      <w:pPr>
        <w:spacing w:line="240" w:lineRule="auto"/>
        <w:contextualSpacing/>
        <w:rPr>
          <w:rFonts w:ascii="Times New Roman" w:eastAsiaTheme="minorHAnsi" w:hAnsi="Times New Roman" w:cs="Times New Roman"/>
          <w:b/>
          <w:sz w:val="24"/>
          <w:szCs w:val="24"/>
        </w:rPr>
      </w:pPr>
    </w:p>
    <w:p w14:paraId="5763CCD6" w14:textId="2AB621E2" w:rsidR="00B87318" w:rsidRDefault="00B87318" w:rsidP="00563EDA">
      <w:pPr>
        <w:spacing w:line="240" w:lineRule="auto"/>
        <w:contextualSpacing/>
        <w:rPr>
          <w:rFonts w:ascii="Times New Roman" w:eastAsiaTheme="minorHAnsi" w:hAnsi="Times New Roman" w:cs="Times New Roman"/>
          <w:b/>
          <w:sz w:val="24"/>
          <w:szCs w:val="24"/>
        </w:rPr>
      </w:pPr>
    </w:p>
    <w:p w14:paraId="283EA369" w14:textId="060FB17D" w:rsidR="00B87318" w:rsidRDefault="00B87318" w:rsidP="00563EDA">
      <w:pPr>
        <w:spacing w:line="240" w:lineRule="auto"/>
        <w:contextualSpacing/>
        <w:rPr>
          <w:rFonts w:ascii="Times New Roman" w:eastAsiaTheme="minorHAnsi" w:hAnsi="Times New Roman" w:cs="Times New Roman"/>
          <w:b/>
          <w:sz w:val="24"/>
          <w:szCs w:val="24"/>
        </w:rPr>
      </w:pPr>
    </w:p>
    <w:p w14:paraId="2318C0AF" w14:textId="07A4BCDD" w:rsidR="00B87318" w:rsidRDefault="00B87318" w:rsidP="00563EDA">
      <w:pPr>
        <w:spacing w:line="240" w:lineRule="auto"/>
        <w:contextualSpacing/>
        <w:rPr>
          <w:rFonts w:ascii="Times New Roman" w:eastAsiaTheme="minorHAnsi" w:hAnsi="Times New Roman" w:cs="Times New Roman"/>
          <w:b/>
          <w:sz w:val="24"/>
          <w:szCs w:val="24"/>
        </w:rPr>
      </w:pPr>
    </w:p>
    <w:p w14:paraId="55EE221B" w14:textId="2B9F4C03" w:rsidR="00B87318" w:rsidRDefault="00B87318" w:rsidP="00563EDA">
      <w:pPr>
        <w:spacing w:line="240" w:lineRule="auto"/>
        <w:contextualSpacing/>
        <w:rPr>
          <w:rFonts w:ascii="Times New Roman" w:eastAsiaTheme="minorHAnsi" w:hAnsi="Times New Roman" w:cs="Times New Roman"/>
          <w:b/>
          <w:sz w:val="24"/>
          <w:szCs w:val="24"/>
        </w:rPr>
      </w:pPr>
    </w:p>
    <w:p w14:paraId="1933DFA4" w14:textId="7617542B" w:rsidR="00B87318" w:rsidRDefault="00B87318" w:rsidP="00563EDA">
      <w:pPr>
        <w:spacing w:line="240" w:lineRule="auto"/>
        <w:contextualSpacing/>
        <w:rPr>
          <w:rFonts w:ascii="Times New Roman" w:eastAsiaTheme="minorHAnsi" w:hAnsi="Times New Roman" w:cs="Times New Roman"/>
          <w:b/>
          <w:sz w:val="24"/>
          <w:szCs w:val="24"/>
        </w:rPr>
      </w:pPr>
    </w:p>
    <w:p w14:paraId="7804DB4C" w14:textId="6D5DDF2E" w:rsidR="00B87318" w:rsidRDefault="00B87318" w:rsidP="00563EDA">
      <w:pPr>
        <w:spacing w:line="240" w:lineRule="auto"/>
        <w:contextualSpacing/>
        <w:rPr>
          <w:rFonts w:ascii="Times New Roman" w:eastAsiaTheme="minorHAnsi" w:hAnsi="Times New Roman" w:cs="Times New Roman"/>
          <w:b/>
          <w:sz w:val="24"/>
          <w:szCs w:val="24"/>
        </w:rPr>
      </w:pPr>
    </w:p>
    <w:p w14:paraId="4547C931" w14:textId="6DFE42C7" w:rsidR="00B87318" w:rsidRDefault="00B87318" w:rsidP="00563EDA">
      <w:pPr>
        <w:spacing w:line="240" w:lineRule="auto"/>
        <w:contextualSpacing/>
        <w:rPr>
          <w:rFonts w:ascii="Times New Roman" w:eastAsiaTheme="minorHAnsi" w:hAnsi="Times New Roman" w:cs="Times New Roman"/>
          <w:b/>
          <w:sz w:val="24"/>
          <w:szCs w:val="24"/>
        </w:rPr>
      </w:pPr>
    </w:p>
    <w:p w14:paraId="4E54AE4C" w14:textId="77777777" w:rsidR="00B87318" w:rsidRDefault="00B87318" w:rsidP="00563EDA">
      <w:pPr>
        <w:spacing w:line="240" w:lineRule="auto"/>
        <w:contextualSpacing/>
        <w:rPr>
          <w:rFonts w:ascii="Times New Roman" w:eastAsiaTheme="minorHAnsi" w:hAnsi="Times New Roman" w:cs="Times New Roman"/>
          <w:b/>
          <w:sz w:val="24"/>
          <w:szCs w:val="24"/>
        </w:rPr>
      </w:pPr>
    </w:p>
    <w:p w14:paraId="7A75B3B1" w14:textId="49CD6B1D" w:rsidR="009C3A83" w:rsidRDefault="009C3A83" w:rsidP="00563EDA">
      <w:pPr>
        <w:spacing w:line="240" w:lineRule="auto"/>
        <w:contextualSpacing/>
        <w:rPr>
          <w:rFonts w:ascii="Times New Roman" w:eastAsiaTheme="minorHAnsi" w:hAnsi="Times New Roman" w:cs="Times New Roman"/>
          <w:b/>
          <w:sz w:val="24"/>
          <w:szCs w:val="24"/>
        </w:rPr>
      </w:pPr>
    </w:p>
    <w:p w14:paraId="68931FAF" w14:textId="77777777" w:rsidR="008E4062" w:rsidRPr="00563EDA" w:rsidRDefault="008E4062" w:rsidP="00563EDA">
      <w:pPr>
        <w:spacing w:line="240" w:lineRule="auto"/>
        <w:contextualSpacing/>
        <w:rPr>
          <w:rFonts w:ascii="Times New Roman" w:eastAsiaTheme="minorHAnsi" w:hAnsi="Times New Roman" w:cs="Times New Roman"/>
          <w:b/>
          <w:sz w:val="24"/>
          <w:szCs w:val="24"/>
        </w:rPr>
      </w:pPr>
    </w:p>
    <w:p w14:paraId="068EF6F0" w14:textId="3A8845F8" w:rsidR="00563EDA" w:rsidRPr="007A148E" w:rsidRDefault="00563EDA" w:rsidP="00563EDA">
      <w:pPr>
        <w:spacing w:line="240" w:lineRule="auto"/>
        <w:contextualSpacing/>
        <w:rPr>
          <w:rFonts w:ascii="Times New Roman" w:eastAsiaTheme="minorHAnsi" w:hAnsi="Times New Roman" w:cs="Times New Roman"/>
          <w:b/>
          <w:sz w:val="24"/>
          <w:szCs w:val="24"/>
          <w:u w:val="single"/>
        </w:rPr>
      </w:pPr>
      <w:r w:rsidRPr="007A148E">
        <w:rPr>
          <w:rFonts w:ascii="Times New Roman" w:eastAsiaTheme="minorHAnsi" w:hAnsi="Times New Roman" w:cs="Times New Roman"/>
          <w:b/>
          <w:sz w:val="24"/>
          <w:szCs w:val="24"/>
          <w:u w:val="single"/>
        </w:rPr>
        <w:lastRenderedPageBreak/>
        <w:t>Table-</w:t>
      </w:r>
      <w:r w:rsidR="000D0421">
        <w:rPr>
          <w:rFonts w:ascii="Times New Roman" w:eastAsiaTheme="minorHAnsi" w:hAnsi="Times New Roman" w:cs="Times New Roman"/>
          <w:b/>
          <w:sz w:val="24"/>
          <w:szCs w:val="24"/>
          <w:u w:val="single"/>
        </w:rPr>
        <w:t>8b</w:t>
      </w:r>
      <w:r w:rsidRPr="007A148E">
        <w:rPr>
          <w:rFonts w:ascii="Times New Roman" w:eastAsiaTheme="minorHAnsi" w:hAnsi="Times New Roman" w:cs="Times New Roman"/>
          <w:b/>
          <w:sz w:val="24"/>
          <w:szCs w:val="24"/>
          <w:u w:val="single"/>
        </w:rPr>
        <w:t xml:space="preserve">: 2022 GRAM </w:t>
      </w:r>
      <w:r w:rsidR="009C3A83">
        <w:rPr>
          <w:rFonts w:ascii="Times New Roman" w:eastAsiaTheme="minorHAnsi" w:hAnsi="Times New Roman" w:cs="Times New Roman"/>
          <w:b/>
          <w:sz w:val="24"/>
          <w:szCs w:val="24"/>
          <w:u w:val="single"/>
        </w:rPr>
        <w:t xml:space="preserve">Rate Design </w:t>
      </w:r>
      <w:r w:rsidRPr="007A148E">
        <w:rPr>
          <w:rFonts w:ascii="Times New Roman" w:eastAsiaTheme="minorHAnsi" w:hAnsi="Times New Roman" w:cs="Times New Roman"/>
          <w:b/>
          <w:sz w:val="24"/>
          <w:szCs w:val="24"/>
          <w:u w:val="single"/>
        </w:rPr>
        <w:t>WP 4-3</w:t>
      </w:r>
    </w:p>
    <w:p w14:paraId="35A3FEA0" w14:textId="77777777" w:rsidR="00563EDA" w:rsidRPr="00563EDA" w:rsidRDefault="00563EDA" w:rsidP="00563EDA">
      <w:pPr>
        <w:spacing w:line="240" w:lineRule="auto"/>
        <w:contextualSpacing/>
        <w:rPr>
          <w:rFonts w:ascii="Arial" w:eastAsiaTheme="minorHAnsi" w:hAnsi="Arial" w:cs="Arial"/>
          <w:b/>
          <w:sz w:val="20"/>
          <w:szCs w:val="20"/>
          <w:u w:val="single"/>
        </w:rPr>
      </w:pPr>
      <w:r w:rsidRPr="00563EDA">
        <w:rPr>
          <w:rFonts w:ascii="Arial" w:eastAsiaTheme="minorHAnsi" w:hAnsi="Arial" w:cs="Arial"/>
          <w:b/>
          <w:sz w:val="20"/>
          <w:szCs w:val="20"/>
          <w:u w:val="single"/>
        </w:rPr>
        <w:t>2022 GRAM Customer Charge Rate Calculation All Classes</w:t>
      </w:r>
    </w:p>
    <w:p w14:paraId="6F6C04C2" w14:textId="77777777" w:rsidR="00563EDA" w:rsidRPr="00563EDA" w:rsidRDefault="00563EDA" w:rsidP="00563EDA">
      <w:pPr>
        <w:spacing w:line="240" w:lineRule="auto"/>
        <w:contextualSpacing/>
        <w:rPr>
          <w:rFonts w:ascii="Arial" w:eastAsiaTheme="minorHAnsi" w:hAnsi="Arial" w:cs="Arial"/>
          <w:sz w:val="20"/>
          <w:szCs w:val="20"/>
        </w:rPr>
      </w:pPr>
    </w:p>
    <w:p w14:paraId="1DFF6F01"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noProof/>
          <w:sz w:val="20"/>
          <w:szCs w:val="20"/>
        </w:rPr>
        <w:drawing>
          <wp:inline distT="0" distB="0" distL="0" distR="0" wp14:anchorId="6AF97781" wp14:editId="7F6A9229">
            <wp:extent cx="1047750"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47750" cy="266700"/>
                    </a:xfrm>
                    <a:prstGeom prst="rect">
                      <a:avLst/>
                    </a:prstGeom>
                  </pic:spPr>
                </pic:pic>
              </a:graphicData>
            </a:graphic>
          </wp:inline>
        </w:drawing>
      </w:r>
    </w:p>
    <w:p w14:paraId="6B523BD3"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 xml:space="preserve">           I9                                             I9                                                       Q79</w:t>
      </w:r>
    </w:p>
    <w:p w14:paraId="4CCDEBE9"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Current Customer Charge + (Current Customer Charge x Percentage Change in Rates)</w:t>
      </w:r>
    </w:p>
    <w:p w14:paraId="4D25F6B3" w14:textId="77777777" w:rsidR="00AC6D72" w:rsidRPr="00563EDA" w:rsidRDefault="00AC6D72" w:rsidP="00563EDA">
      <w:pPr>
        <w:spacing w:line="240" w:lineRule="auto"/>
        <w:contextualSpacing/>
        <w:rPr>
          <w:rFonts w:ascii="Arial" w:eastAsiaTheme="minorHAnsi" w:hAnsi="Arial" w:cs="Arial"/>
          <w:b/>
          <w:sz w:val="20"/>
          <w:szCs w:val="20"/>
          <w:u w:val="single"/>
        </w:rPr>
      </w:pPr>
    </w:p>
    <w:p w14:paraId="070A80CF" w14:textId="77777777" w:rsidR="00563EDA" w:rsidRPr="00563EDA" w:rsidRDefault="00563EDA" w:rsidP="00563EDA">
      <w:pPr>
        <w:spacing w:line="240" w:lineRule="auto"/>
        <w:contextualSpacing/>
        <w:rPr>
          <w:rFonts w:ascii="Arial" w:eastAsiaTheme="minorHAnsi" w:hAnsi="Arial" w:cs="Arial"/>
          <w:b/>
          <w:sz w:val="20"/>
          <w:szCs w:val="20"/>
          <w:u w:val="single"/>
        </w:rPr>
      </w:pPr>
      <w:r w:rsidRPr="00563EDA">
        <w:rPr>
          <w:rFonts w:ascii="Arial" w:eastAsiaTheme="minorHAnsi" w:hAnsi="Arial" w:cs="Arial"/>
          <w:b/>
          <w:sz w:val="20"/>
          <w:szCs w:val="20"/>
          <w:u w:val="single"/>
        </w:rPr>
        <w:t>2022 GRAM DDDC Charge Calculation All Classes</w:t>
      </w:r>
    </w:p>
    <w:p w14:paraId="38FC41BE"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noProof/>
          <w:sz w:val="20"/>
          <w:szCs w:val="20"/>
        </w:rPr>
        <w:drawing>
          <wp:inline distT="0" distB="0" distL="0" distR="0" wp14:anchorId="36762A4D" wp14:editId="6E41AC1A">
            <wp:extent cx="1238250" cy="295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38250" cy="295275"/>
                    </a:xfrm>
                    <a:prstGeom prst="rect">
                      <a:avLst/>
                    </a:prstGeom>
                  </pic:spPr>
                </pic:pic>
              </a:graphicData>
            </a:graphic>
          </wp:inline>
        </w:drawing>
      </w:r>
    </w:p>
    <w:p w14:paraId="4072E6DF" w14:textId="77777777" w:rsidR="00563EDA" w:rsidRPr="00563EDA" w:rsidRDefault="00563EDA" w:rsidP="00563EDA">
      <w:pPr>
        <w:spacing w:line="240" w:lineRule="auto"/>
        <w:contextualSpacing/>
        <w:rPr>
          <w:rFonts w:ascii="Arial" w:eastAsiaTheme="minorHAnsi" w:hAnsi="Arial" w:cs="Arial"/>
          <w:sz w:val="20"/>
          <w:szCs w:val="20"/>
        </w:rPr>
      </w:pPr>
    </w:p>
    <w:p w14:paraId="130FD27B"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 xml:space="preserve">            G9                                                       G9                                               Q79</w:t>
      </w:r>
    </w:p>
    <w:p w14:paraId="036718D9" w14:textId="44761462" w:rsidR="00563EDA" w:rsidRPr="00AC6D72"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Current DDDC Charge Rate + (Current DDDC Charge Rate x Percentage Increase in Rates)</w:t>
      </w:r>
    </w:p>
    <w:p w14:paraId="51810A3A" w14:textId="21AF89EE" w:rsidR="009C3A83" w:rsidRDefault="009C3A83" w:rsidP="00563EDA">
      <w:pPr>
        <w:spacing w:line="240" w:lineRule="auto"/>
        <w:contextualSpacing/>
        <w:rPr>
          <w:rFonts w:ascii="Times New Roman" w:eastAsiaTheme="minorHAnsi" w:hAnsi="Times New Roman" w:cs="Times New Roman"/>
          <w:b/>
          <w:sz w:val="24"/>
          <w:szCs w:val="24"/>
          <w:u w:val="single"/>
        </w:rPr>
      </w:pPr>
    </w:p>
    <w:p w14:paraId="664B2DA6" w14:textId="77777777" w:rsidR="00B87318" w:rsidRDefault="00B87318" w:rsidP="00563EDA">
      <w:pPr>
        <w:spacing w:line="240" w:lineRule="auto"/>
        <w:contextualSpacing/>
        <w:rPr>
          <w:rFonts w:ascii="Times New Roman" w:eastAsiaTheme="minorHAnsi" w:hAnsi="Times New Roman" w:cs="Times New Roman"/>
          <w:b/>
          <w:sz w:val="24"/>
          <w:szCs w:val="24"/>
          <w:u w:val="single"/>
        </w:rPr>
      </w:pPr>
    </w:p>
    <w:p w14:paraId="2530F3D5" w14:textId="50BB7C18" w:rsidR="00563EDA" w:rsidRPr="007A148E" w:rsidRDefault="00563EDA" w:rsidP="00563EDA">
      <w:pPr>
        <w:spacing w:line="240" w:lineRule="auto"/>
        <w:contextualSpacing/>
        <w:rPr>
          <w:rFonts w:ascii="Times New Roman" w:eastAsiaTheme="minorHAnsi" w:hAnsi="Times New Roman" w:cs="Times New Roman"/>
          <w:b/>
          <w:sz w:val="24"/>
          <w:szCs w:val="24"/>
          <w:u w:val="single"/>
        </w:rPr>
      </w:pPr>
      <w:r w:rsidRPr="007A148E">
        <w:rPr>
          <w:rFonts w:ascii="Times New Roman" w:eastAsiaTheme="minorHAnsi" w:hAnsi="Times New Roman" w:cs="Times New Roman"/>
          <w:b/>
          <w:sz w:val="24"/>
          <w:szCs w:val="24"/>
          <w:u w:val="single"/>
        </w:rPr>
        <w:t>Table-</w:t>
      </w:r>
      <w:r w:rsidR="000D0421">
        <w:rPr>
          <w:rFonts w:ascii="Times New Roman" w:eastAsiaTheme="minorHAnsi" w:hAnsi="Times New Roman" w:cs="Times New Roman"/>
          <w:b/>
          <w:sz w:val="24"/>
          <w:szCs w:val="24"/>
          <w:u w:val="single"/>
        </w:rPr>
        <w:t>8</w:t>
      </w:r>
      <w:r w:rsidR="009C3A83">
        <w:rPr>
          <w:rFonts w:ascii="Times New Roman" w:eastAsiaTheme="minorHAnsi" w:hAnsi="Times New Roman" w:cs="Times New Roman"/>
          <w:b/>
          <w:sz w:val="24"/>
          <w:szCs w:val="24"/>
          <w:u w:val="single"/>
        </w:rPr>
        <w:t>c</w:t>
      </w:r>
      <w:r w:rsidRPr="007A148E">
        <w:rPr>
          <w:rFonts w:ascii="Times New Roman" w:eastAsiaTheme="minorHAnsi" w:hAnsi="Times New Roman" w:cs="Times New Roman"/>
          <w:b/>
          <w:sz w:val="24"/>
          <w:szCs w:val="24"/>
          <w:u w:val="single"/>
        </w:rPr>
        <w:t xml:space="preserve">: 2023 GRAM </w:t>
      </w:r>
      <w:r w:rsidR="009C3A83">
        <w:rPr>
          <w:rFonts w:ascii="Times New Roman" w:eastAsiaTheme="minorHAnsi" w:hAnsi="Times New Roman" w:cs="Times New Roman"/>
          <w:b/>
          <w:sz w:val="24"/>
          <w:szCs w:val="24"/>
          <w:u w:val="single"/>
        </w:rPr>
        <w:t xml:space="preserve">Rate Design </w:t>
      </w:r>
      <w:r w:rsidRPr="007A148E">
        <w:rPr>
          <w:rFonts w:ascii="Times New Roman" w:eastAsiaTheme="minorHAnsi" w:hAnsi="Times New Roman" w:cs="Times New Roman"/>
          <w:b/>
          <w:sz w:val="24"/>
          <w:szCs w:val="24"/>
          <w:u w:val="single"/>
        </w:rPr>
        <w:t>Schedule-11b</w:t>
      </w:r>
    </w:p>
    <w:p w14:paraId="6206F24A" w14:textId="77777777" w:rsidR="00563EDA" w:rsidRPr="00563EDA" w:rsidRDefault="00563EDA" w:rsidP="00563EDA">
      <w:pPr>
        <w:spacing w:line="240" w:lineRule="auto"/>
        <w:contextualSpacing/>
        <w:rPr>
          <w:rFonts w:ascii="Arial" w:eastAsiaTheme="minorHAnsi" w:hAnsi="Arial" w:cs="Arial"/>
          <w:b/>
          <w:noProof/>
          <w:sz w:val="20"/>
          <w:szCs w:val="20"/>
          <w:u w:val="single"/>
        </w:rPr>
      </w:pPr>
      <w:r w:rsidRPr="00563EDA">
        <w:rPr>
          <w:rFonts w:ascii="Arial" w:eastAsiaTheme="minorHAnsi" w:hAnsi="Arial" w:cs="Arial"/>
          <w:b/>
          <w:noProof/>
          <w:sz w:val="20"/>
          <w:szCs w:val="20"/>
          <w:u w:val="single"/>
        </w:rPr>
        <w:t>2023 GRAM Customer Charge Rate Calculation R-1 &amp; G-10</w:t>
      </w:r>
    </w:p>
    <w:p w14:paraId="3F89FEC3"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b/>
          <w:sz w:val="20"/>
          <w:szCs w:val="20"/>
        </w:rPr>
        <w:t>R-1 &amp; G-10:</w:t>
      </w:r>
      <w:r w:rsidRPr="00563EDA">
        <w:rPr>
          <w:rFonts w:ascii="Arial" w:eastAsiaTheme="minorHAnsi" w:hAnsi="Arial" w:cs="Arial"/>
          <w:sz w:val="20"/>
          <w:szCs w:val="20"/>
        </w:rPr>
        <w:t xml:space="preserve"> </w:t>
      </w:r>
      <w:r w:rsidRPr="00563EDA">
        <w:rPr>
          <w:rFonts w:ascii="Arial" w:eastAsiaTheme="minorHAnsi" w:hAnsi="Arial" w:cs="Arial"/>
          <w:noProof/>
          <w:sz w:val="20"/>
          <w:szCs w:val="20"/>
        </w:rPr>
        <w:drawing>
          <wp:inline distT="0" distB="0" distL="0" distR="0" wp14:anchorId="6874635E" wp14:editId="54150C27">
            <wp:extent cx="2638425" cy="295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38425" cy="295275"/>
                    </a:xfrm>
                    <a:prstGeom prst="rect">
                      <a:avLst/>
                    </a:prstGeom>
                  </pic:spPr>
                </pic:pic>
              </a:graphicData>
            </a:graphic>
          </wp:inline>
        </w:drawing>
      </w:r>
    </w:p>
    <w:p w14:paraId="2BFF5EAD" w14:textId="77777777" w:rsidR="00563EDA" w:rsidRPr="00563EDA" w:rsidRDefault="00563EDA" w:rsidP="00563EDA">
      <w:pPr>
        <w:spacing w:line="240" w:lineRule="auto"/>
        <w:contextualSpacing/>
        <w:rPr>
          <w:rFonts w:ascii="Arial" w:eastAsiaTheme="minorHAnsi" w:hAnsi="Arial" w:cs="Arial"/>
          <w:sz w:val="20"/>
          <w:szCs w:val="20"/>
        </w:rPr>
      </w:pPr>
    </w:p>
    <w:p w14:paraId="7EDFD288" w14:textId="0E5A0D4F"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 xml:space="preserve">                     I11                                        I11                                    Q81</w:t>
      </w:r>
      <w:r w:rsidRPr="00563EDA">
        <w:rPr>
          <w:rFonts w:ascii="Arial" w:eastAsiaTheme="minorHAnsi" w:hAnsi="Arial" w:cs="Arial"/>
          <w:sz w:val="20"/>
          <w:szCs w:val="20"/>
        </w:rPr>
        <w:tab/>
        <w:t xml:space="preserve">   </w:t>
      </w:r>
      <w:r w:rsidR="00302BFA">
        <w:rPr>
          <w:rFonts w:ascii="Arial" w:eastAsiaTheme="minorHAnsi" w:hAnsi="Arial" w:cs="Arial"/>
          <w:sz w:val="20"/>
          <w:szCs w:val="20"/>
        </w:rPr>
        <w:t xml:space="preserve">           </w:t>
      </w:r>
      <w:r w:rsidRPr="00563EDA">
        <w:rPr>
          <w:rFonts w:ascii="Arial" w:eastAsiaTheme="minorHAnsi" w:hAnsi="Arial" w:cs="Arial"/>
          <w:sz w:val="20"/>
          <w:szCs w:val="20"/>
        </w:rPr>
        <w:t xml:space="preserve"> L11                   </w:t>
      </w:r>
    </w:p>
    <w:p w14:paraId="6B9CBABE"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 xml:space="preserve">(Current Customer Charge Rate + (Current Customer Charge Rate x 6.38%)) + (ECON-1 Revenue x </w:t>
      </w:r>
    </w:p>
    <w:p w14:paraId="76B4F74B"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 xml:space="preserve">         </w:t>
      </w:r>
    </w:p>
    <w:p w14:paraId="177FE438"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 xml:space="preserve">         L11                                 M11</w:t>
      </w:r>
      <w:r w:rsidRPr="00563EDA">
        <w:rPr>
          <w:rFonts w:ascii="Arial" w:eastAsiaTheme="minorHAnsi" w:hAnsi="Arial" w:cs="Arial"/>
          <w:sz w:val="20"/>
          <w:szCs w:val="20"/>
        </w:rPr>
        <w:tab/>
        <w:t xml:space="preserve">                            E11</w:t>
      </w:r>
    </w:p>
    <w:p w14:paraId="20630872"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(ECON-1 Revenue / Total Revenue Current Rates)) / Number of Bills HTY)</w:t>
      </w:r>
    </w:p>
    <w:p w14:paraId="1247B790"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w:t>
      </w:r>
    </w:p>
    <w:p w14:paraId="6459C0FD" w14:textId="77777777" w:rsidR="00563EDA" w:rsidRPr="00563EDA" w:rsidRDefault="00563EDA" w:rsidP="00563EDA">
      <w:pPr>
        <w:spacing w:line="240" w:lineRule="auto"/>
        <w:contextualSpacing/>
        <w:rPr>
          <w:rFonts w:ascii="Arial" w:eastAsiaTheme="minorHAnsi" w:hAnsi="Arial" w:cs="Arial"/>
          <w:b/>
          <w:sz w:val="20"/>
          <w:szCs w:val="20"/>
        </w:rPr>
      </w:pPr>
    </w:p>
    <w:p w14:paraId="624D9428"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b/>
          <w:sz w:val="20"/>
          <w:szCs w:val="20"/>
        </w:rPr>
        <w:t>G-11:</w:t>
      </w:r>
      <w:r w:rsidRPr="00563EDA">
        <w:rPr>
          <w:rFonts w:ascii="Arial" w:eastAsiaTheme="minorHAnsi" w:hAnsi="Arial" w:cs="Arial"/>
          <w:sz w:val="20"/>
          <w:szCs w:val="20"/>
        </w:rPr>
        <w:t xml:space="preserve"> </w:t>
      </w:r>
      <w:r w:rsidRPr="00563EDA">
        <w:rPr>
          <w:rFonts w:ascii="Arial" w:eastAsiaTheme="minorHAnsi" w:hAnsi="Arial" w:cs="Arial"/>
          <w:noProof/>
          <w:sz w:val="20"/>
          <w:szCs w:val="20"/>
        </w:rPr>
        <w:drawing>
          <wp:inline distT="0" distB="0" distL="0" distR="0" wp14:anchorId="46800970" wp14:editId="38F6DC4A">
            <wp:extent cx="37147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14750" cy="209550"/>
                    </a:xfrm>
                    <a:prstGeom prst="rect">
                      <a:avLst/>
                    </a:prstGeom>
                  </pic:spPr>
                </pic:pic>
              </a:graphicData>
            </a:graphic>
          </wp:inline>
        </w:drawing>
      </w:r>
    </w:p>
    <w:p w14:paraId="5539B219" w14:textId="77777777" w:rsidR="00563EDA" w:rsidRPr="00563EDA" w:rsidRDefault="00563EDA" w:rsidP="00563EDA">
      <w:pPr>
        <w:spacing w:line="240" w:lineRule="auto"/>
        <w:contextualSpacing/>
        <w:rPr>
          <w:rFonts w:ascii="Arial" w:eastAsiaTheme="minorHAnsi" w:hAnsi="Arial" w:cs="Arial"/>
          <w:sz w:val="20"/>
          <w:szCs w:val="20"/>
        </w:rPr>
      </w:pPr>
    </w:p>
    <w:p w14:paraId="217254AE" w14:textId="2AF00266"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 xml:space="preserve">                 I15                                 I15                            Q81                 R22                             L22</w:t>
      </w:r>
    </w:p>
    <w:p w14:paraId="3A276AC2"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 xml:space="preserve">Current Customer Rate + ((Current Customer Charge x 6.38%) + ((ECON-1 Revenue x (ECON-1 Revenue / </w:t>
      </w:r>
    </w:p>
    <w:p w14:paraId="15375C43"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 xml:space="preserve">                M22                                                        L15                                                        L22                                                         </w:t>
      </w:r>
    </w:p>
    <w:p w14:paraId="07DB2A45"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 xml:space="preserve">Total Revenue Current Rates)) x (Customer Charge Revenue for a Tier / Total G-11 Revenue All Tiers)) / </w:t>
      </w:r>
    </w:p>
    <w:p w14:paraId="7DF147D1"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 xml:space="preserve">                E15</w:t>
      </w:r>
    </w:p>
    <w:p w14:paraId="2C5D2A51"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 xml:space="preserve">Number of Bills for Tier) </w:t>
      </w:r>
    </w:p>
    <w:p w14:paraId="0D2D35FA" w14:textId="77777777" w:rsidR="00563EDA" w:rsidRPr="00563EDA" w:rsidRDefault="00563EDA" w:rsidP="00563EDA">
      <w:pPr>
        <w:spacing w:line="240" w:lineRule="auto"/>
        <w:contextualSpacing/>
        <w:rPr>
          <w:rFonts w:ascii="Arial" w:eastAsiaTheme="minorHAnsi" w:hAnsi="Arial" w:cs="Arial"/>
          <w:sz w:val="20"/>
          <w:szCs w:val="20"/>
        </w:rPr>
      </w:pPr>
    </w:p>
    <w:p w14:paraId="33B122D3" w14:textId="77777777" w:rsidR="00563EDA" w:rsidRPr="00302BFA" w:rsidRDefault="00563EDA" w:rsidP="00563EDA">
      <w:pPr>
        <w:spacing w:line="240" w:lineRule="auto"/>
        <w:contextualSpacing/>
        <w:rPr>
          <w:rFonts w:ascii="Arial" w:eastAsiaTheme="minorHAnsi" w:hAnsi="Arial" w:cs="Arial"/>
          <w:b/>
          <w:noProof/>
          <w:sz w:val="20"/>
          <w:szCs w:val="20"/>
          <w:u w:val="single"/>
        </w:rPr>
      </w:pPr>
    </w:p>
    <w:p w14:paraId="2D91BEC9" w14:textId="77777777" w:rsidR="00563EDA" w:rsidRPr="00302BFA" w:rsidRDefault="00563EDA" w:rsidP="00563EDA">
      <w:pPr>
        <w:spacing w:line="240" w:lineRule="auto"/>
        <w:contextualSpacing/>
        <w:rPr>
          <w:rFonts w:ascii="Arial" w:eastAsiaTheme="minorHAnsi" w:hAnsi="Arial" w:cs="Arial"/>
          <w:b/>
          <w:noProof/>
          <w:sz w:val="20"/>
          <w:szCs w:val="20"/>
          <w:u w:val="single"/>
        </w:rPr>
      </w:pPr>
      <w:r w:rsidRPr="00302BFA">
        <w:rPr>
          <w:rFonts w:ascii="Arial" w:eastAsiaTheme="minorHAnsi" w:hAnsi="Arial" w:cs="Arial"/>
          <w:b/>
          <w:noProof/>
          <w:sz w:val="20"/>
          <w:szCs w:val="20"/>
          <w:u w:val="single"/>
        </w:rPr>
        <w:t>2023 GRAM DDDC Charge Rate Calculation – All Classes</w:t>
      </w:r>
    </w:p>
    <w:p w14:paraId="4B50FF75"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noProof/>
          <w:sz w:val="20"/>
          <w:szCs w:val="20"/>
        </w:rPr>
        <w:drawing>
          <wp:inline distT="0" distB="0" distL="0" distR="0" wp14:anchorId="716DCB1C" wp14:editId="1C15F546">
            <wp:extent cx="2695575" cy="314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5575" cy="314325"/>
                    </a:xfrm>
                    <a:prstGeom prst="rect">
                      <a:avLst/>
                    </a:prstGeom>
                  </pic:spPr>
                </pic:pic>
              </a:graphicData>
            </a:graphic>
          </wp:inline>
        </w:drawing>
      </w:r>
    </w:p>
    <w:p w14:paraId="607E86B3" w14:textId="77777777" w:rsidR="00141A53" w:rsidRPr="00563EDA" w:rsidRDefault="00141A53" w:rsidP="00563EDA">
      <w:pPr>
        <w:spacing w:line="240" w:lineRule="auto"/>
        <w:contextualSpacing/>
        <w:rPr>
          <w:rFonts w:ascii="Arial" w:eastAsiaTheme="minorHAnsi" w:hAnsi="Arial" w:cs="Arial"/>
          <w:sz w:val="20"/>
          <w:szCs w:val="20"/>
        </w:rPr>
      </w:pPr>
    </w:p>
    <w:p w14:paraId="28EC62BC"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 xml:space="preserve">             G11                                G11</w:t>
      </w:r>
      <w:r w:rsidRPr="00563EDA">
        <w:rPr>
          <w:rFonts w:ascii="Arial" w:eastAsiaTheme="minorHAnsi" w:hAnsi="Arial" w:cs="Arial"/>
          <w:sz w:val="20"/>
          <w:szCs w:val="20"/>
        </w:rPr>
        <w:tab/>
        <w:t xml:space="preserve">        Q81                    J11                                J11</w:t>
      </w:r>
    </w:p>
    <w:p w14:paraId="0F949799"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 xml:space="preserve">(Current DDDC Rate + (Current DDDC Rate x 6.38%)) + (ECON-1 Revenue x (ECON-1 Revenue / </w:t>
      </w:r>
    </w:p>
    <w:p w14:paraId="52887F21"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 xml:space="preserve">              M11                                             C11</w:t>
      </w:r>
    </w:p>
    <w:p w14:paraId="5981F7D1" w14:textId="77777777" w:rsidR="00563EDA" w:rsidRPr="00563EDA" w:rsidRDefault="00563EDA" w:rsidP="00563EDA">
      <w:pPr>
        <w:spacing w:line="240" w:lineRule="auto"/>
        <w:contextualSpacing/>
        <w:rPr>
          <w:rFonts w:ascii="Arial" w:eastAsiaTheme="minorHAnsi" w:hAnsi="Arial" w:cs="Arial"/>
          <w:sz w:val="20"/>
          <w:szCs w:val="20"/>
        </w:rPr>
      </w:pPr>
      <w:r w:rsidRPr="00563EDA">
        <w:rPr>
          <w:rFonts w:ascii="Arial" w:eastAsiaTheme="minorHAnsi" w:hAnsi="Arial" w:cs="Arial"/>
          <w:sz w:val="20"/>
          <w:szCs w:val="20"/>
        </w:rPr>
        <w:t>Total Revenue Current Rates)) / DDDC in Dts HTY)</w:t>
      </w:r>
    </w:p>
    <w:p w14:paraId="0F593836" w14:textId="77777777" w:rsidR="00563EDA" w:rsidRPr="00563EDA" w:rsidRDefault="00563EDA" w:rsidP="00563EDA">
      <w:pPr>
        <w:spacing w:line="240" w:lineRule="auto"/>
        <w:contextualSpacing/>
        <w:rPr>
          <w:rFonts w:ascii="Times New Roman" w:eastAsiaTheme="minorHAnsi" w:hAnsi="Times New Roman" w:cs="Times New Roman"/>
          <w:sz w:val="24"/>
          <w:szCs w:val="24"/>
        </w:rPr>
      </w:pPr>
    </w:p>
    <w:p w14:paraId="7A0351AC" w14:textId="77777777" w:rsidR="00B87318" w:rsidRDefault="00B87318" w:rsidP="00563EDA">
      <w:pPr>
        <w:spacing w:line="240" w:lineRule="auto"/>
        <w:ind w:left="1440" w:hanging="1440"/>
        <w:contextualSpacing/>
        <w:rPr>
          <w:rFonts w:ascii="Times New Roman" w:eastAsiaTheme="minorHAnsi" w:hAnsi="Times New Roman" w:cs="Times New Roman"/>
          <w:sz w:val="24"/>
          <w:szCs w:val="24"/>
        </w:rPr>
      </w:pPr>
    </w:p>
    <w:p w14:paraId="6892B279" w14:textId="77777777" w:rsidR="00B87318" w:rsidRDefault="00B87318" w:rsidP="00563EDA">
      <w:pPr>
        <w:spacing w:line="240" w:lineRule="auto"/>
        <w:ind w:left="1440" w:hanging="1440"/>
        <w:contextualSpacing/>
        <w:rPr>
          <w:rFonts w:ascii="Times New Roman" w:eastAsiaTheme="minorHAnsi" w:hAnsi="Times New Roman" w:cs="Times New Roman"/>
          <w:sz w:val="24"/>
          <w:szCs w:val="24"/>
        </w:rPr>
      </w:pPr>
    </w:p>
    <w:p w14:paraId="4B1D1188" w14:textId="77777777" w:rsidR="00B87318" w:rsidRDefault="00B87318" w:rsidP="00563EDA">
      <w:pPr>
        <w:spacing w:line="240" w:lineRule="auto"/>
        <w:ind w:left="1440" w:hanging="1440"/>
        <w:contextualSpacing/>
        <w:rPr>
          <w:rFonts w:ascii="Times New Roman" w:eastAsiaTheme="minorHAnsi" w:hAnsi="Times New Roman" w:cs="Times New Roman"/>
          <w:sz w:val="24"/>
          <w:szCs w:val="24"/>
        </w:rPr>
      </w:pPr>
    </w:p>
    <w:p w14:paraId="0407C207" w14:textId="77777777" w:rsidR="00B87318" w:rsidRDefault="00B87318" w:rsidP="00563EDA">
      <w:pPr>
        <w:spacing w:line="240" w:lineRule="auto"/>
        <w:ind w:left="1440" w:hanging="1440"/>
        <w:contextualSpacing/>
        <w:rPr>
          <w:rFonts w:ascii="Times New Roman" w:eastAsiaTheme="minorHAnsi" w:hAnsi="Times New Roman" w:cs="Times New Roman"/>
          <w:sz w:val="24"/>
          <w:szCs w:val="24"/>
        </w:rPr>
      </w:pPr>
    </w:p>
    <w:p w14:paraId="6CCE1E12" w14:textId="35366D31" w:rsidR="00563EDA" w:rsidRPr="00563EDA" w:rsidRDefault="00563EDA" w:rsidP="00563EDA">
      <w:pPr>
        <w:spacing w:line="240" w:lineRule="auto"/>
        <w:ind w:left="1440" w:hanging="1440"/>
        <w:contextualSpacing/>
        <w:rPr>
          <w:rFonts w:ascii="Times New Roman" w:eastAsiaTheme="minorHAnsi" w:hAnsi="Times New Roman" w:cs="Times New Roman"/>
          <w:sz w:val="24"/>
          <w:szCs w:val="24"/>
        </w:rPr>
      </w:pPr>
      <w:r w:rsidRPr="00563EDA">
        <w:rPr>
          <w:rFonts w:ascii="Times New Roman" w:eastAsiaTheme="minorHAnsi" w:hAnsi="Times New Roman" w:cs="Times New Roman"/>
          <w:sz w:val="24"/>
          <w:szCs w:val="24"/>
        </w:rPr>
        <w:lastRenderedPageBreak/>
        <w:t>STF-36-</w:t>
      </w:r>
      <w:r w:rsidR="00CC24C5">
        <w:rPr>
          <w:rFonts w:ascii="Times New Roman" w:eastAsiaTheme="minorHAnsi" w:hAnsi="Times New Roman" w:cs="Times New Roman"/>
          <w:sz w:val="24"/>
          <w:szCs w:val="24"/>
        </w:rPr>
        <w:t>1</w:t>
      </w:r>
      <w:r w:rsidR="00AC4545">
        <w:rPr>
          <w:rFonts w:ascii="Times New Roman" w:eastAsiaTheme="minorHAnsi" w:hAnsi="Times New Roman" w:cs="Times New Roman"/>
          <w:sz w:val="24"/>
          <w:szCs w:val="24"/>
        </w:rPr>
        <w:t>3</w:t>
      </w:r>
      <w:r w:rsidRPr="00563EDA">
        <w:rPr>
          <w:rFonts w:ascii="Times New Roman" w:eastAsiaTheme="minorHAnsi" w:hAnsi="Times New Roman" w:cs="Times New Roman"/>
          <w:sz w:val="24"/>
          <w:szCs w:val="24"/>
        </w:rPr>
        <w:tab/>
        <w:t xml:space="preserve">Related to the 2023 GRAM Schedule-11b, </w:t>
      </w:r>
      <w:r w:rsidR="00F23A99">
        <w:rPr>
          <w:rFonts w:ascii="Times New Roman" w:eastAsiaTheme="minorHAnsi" w:hAnsi="Times New Roman" w:cs="Times New Roman"/>
          <w:sz w:val="24"/>
          <w:szCs w:val="24"/>
        </w:rPr>
        <w:t>t</w:t>
      </w:r>
      <w:r w:rsidR="00302BFA">
        <w:rPr>
          <w:rFonts w:ascii="Times New Roman" w:eastAsiaTheme="minorHAnsi" w:hAnsi="Times New Roman" w:cs="Times New Roman"/>
          <w:sz w:val="24"/>
          <w:szCs w:val="24"/>
        </w:rPr>
        <w:t>he rate design in the 2021 and 2022 GRAMs appear to be different than that approved in the 2019 rate case. P</w:t>
      </w:r>
      <w:r w:rsidRPr="00563EDA">
        <w:rPr>
          <w:rFonts w:ascii="Times New Roman" w:eastAsiaTheme="minorHAnsi" w:hAnsi="Times New Roman" w:cs="Times New Roman"/>
          <w:sz w:val="24"/>
          <w:szCs w:val="24"/>
        </w:rPr>
        <w:t xml:space="preserve">lease explain why AGL </w:t>
      </w:r>
      <w:r w:rsidR="00341279" w:rsidRPr="00563EDA">
        <w:rPr>
          <w:rFonts w:ascii="Times New Roman" w:eastAsiaTheme="minorHAnsi" w:hAnsi="Times New Roman" w:cs="Times New Roman"/>
          <w:sz w:val="24"/>
          <w:szCs w:val="24"/>
        </w:rPr>
        <w:t>ha</w:t>
      </w:r>
      <w:r w:rsidR="00341279">
        <w:rPr>
          <w:rFonts w:ascii="Times New Roman" w:eastAsiaTheme="minorHAnsi" w:hAnsi="Times New Roman" w:cs="Times New Roman"/>
          <w:sz w:val="24"/>
          <w:szCs w:val="24"/>
        </w:rPr>
        <w:t>s</w:t>
      </w:r>
      <w:r w:rsidR="00341279" w:rsidRPr="00563EDA">
        <w:rPr>
          <w:rFonts w:ascii="Times New Roman" w:eastAsiaTheme="minorHAnsi" w:hAnsi="Times New Roman" w:cs="Times New Roman"/>
          <w:sz w:val="24"/>
          <w:szCs w:val="24"/>
        </w:rPr>
        <w:t xml:space="preserve"> </w:t>
      </w:r>
      <w:r w:rsidRPr="00563EDA">
        <w:rPr>
          <w:rFonts w:ascii="Times New Roman" w:eastAsiaTheme="minorHAnsi" w:hAnsi="Times New Roman" w:cs="Times New Roman"/>
          <w:sz w:val="24"/>
          <w:szCs w:val="24"/>
        </w:rPr>
        <w:t xml:space="preserve">deviated from the approved rate design from the 2019 rate case. </w:t>
      </w:r>
    </w:p>
    <w:p w14:paraId="3A648A0E" w14:textId="77777777" w:rsidR="00563EDA" w:rsidRPr="00563EDA" w:rsidRDefault="00563EDA" w:rsidP="00563EDA">
      <w:pPr>
        <w:spacing w:line="240" w:lineRule="auto"/>
        <w:ind w:left="1440" w:hanging="1440"/>
        <w:contextualSpacing/>
        <w:rPr>
          <w:rFonts w:ascii="Times New Roman" w:eastAsiaTheme="minorHAnsi" w:hAnsi="Times New Roman" w:cs="Times New Roman"/>
          <w:sz w:val="24"/>
          <w:szCs w:val="24"/>
        </w:rPr>
      </w:pPr>
    </w:p>
    <w:p w14:paraId="54BAC8B7" w14:textId="77E88729" w:rsidR="00547E6D" w:rsidRDefault="00563EDA" w:rsidP="00177B58">
      <w:pPr>
        <w:spacing w:line="240" w:lineRule="auto"/>
        <w:ind w:left="1440" w:hanging="1440"/>
        <w:contextualSpacing/>
        <w:jc w:val="both"/>
        <w:rPr>
          <w:rFonts w:ascii="Times New Roman" w:eastAsiaTheme="minorHAnsi" w:hAnsi="Times New Roman" w:cs="Times New Roman"/>
          <w:sz w:val="24"/>
          <w:szCs w:val="24"/>
        </w:rPr>
      </w:pPr>
      <w:r w:rsidRPr="00563EDA">
        <w:rPr>
          <w:rFonts w:ascii="Times New Roman" w:eastAsiaTheme="minorHAnsi" w:hAnsi="Times New Roman" w:cs="Times New Roman"/>
          <w:sz w:val="24"/>
          <w:szCs w:val="24"/>
        </w:rPr>
        <w:t>STF-36-</w:t>
      </w:r>
      <w:r w:rsidR="00CC24C5">
        <w:rPr>
          <w:rFonts w:ascii="Times New Roman" w:eastAsiaTheme="minorHAnsi" w:hAnsi="Times New Roman" w:cs="Times New Roman"/>
          <w:sz w:val="24"/>
          <w:szCs w:val="24"/>
        </w:rPr>
        <w:t>1</w:t>
      </w:r>
      <w:r w:rsidR="00AC4545">
        <w:rPr>
          <w:rFonts w:ascii="Times New Roman" w:eastAsiaTheme="minorHAnsi" w:hAnsi="Times New Roman" w:cs="Times New Roman"/>
          <w:sz w:val="24"/>
          <w:szCs w:val="24"/>
        </w:rPr>
        <w:t>4</w:t>
      </w:r>
      <w:r w:rsidRPr="00563EDA">
        <w:rPr>
          <w:rFonts w:ascii="Times New Roman" w:eastAsiaTheme="minorHAnsi" w:hAnsi="Times New Roman" w:cs="Times New Roman"/>
          <w:sz w:val="24"/>
          <w:szCs w:val="24"/>
        </w:rPr>
        <w:tab/>
        <w:t>When reviewing the 2023 GRAM Schedule-11b, AGL has included additional revenues for ECON-1</w:t>
      </w:r>
      <w:r w:rsidR="00547E6D">
        <w:rPr>
          <w:rFonts w:ascii="Times New Roman" w:eastAsiaTheme="minorHAnsi" w:hAnsi="Times New Roman" w:cs="Times New Roman"/>
          <w:sz w:val="24"/>
          <w:szCs w:val="24"/>
        </w:rPr>
        <w:t>, Q82,</w:t>
      </w:r>
      <w:r w:rsidRPr="00563EDA">
        <w:rPr>
          <w:rFonts w:ascii="Times New Roman" w:eastAsiaTheme="minorHAnsi" w:hAnsi="Times New Roman" w:cs="Times New Roman"/>
          <w:sz w:val="24"/>
          <w:szCs w:val="24"/>
        </w:rPr>
        <w:t xml:space="preserve"> and Cherokee LNG tank</w:t>
      </w:r>
      <w:r w:rsidR="00547E6D">
        <w:rPr>
          <w:rFonts w:ascii="Times New Roman" w:eastAsiaTheme="minorHAnsi" w:hAnsi="Times New Roman" w:cs="Times New Roman"/>
          <w:sz w:val="24"/>
          <w:szCs w:val="24"/>
        </w:rPr>
        <w:t>, Q83</w:t>
      </w:r>
      <w:r w:rsidR="00850F91">
        <w:rPr>
          <w:rFonts w:ascii="Times New Roman" w:eastAsiaTheme="minorHAnsi" w:hAnsi="Times New Roman" w:cs="Times New Roman"/>
          <w:sz w:val="24"/>
          <w:szCs w:val="24"/>
        </w:rPr>
        <w:t xml:space="preserve">. </w:t>
      </w:r>
      <w:r w:rsidR="00547E6D">
        <w:rPr>
          <w:rFonts w:ascii="Times New Roman" w:eastAsiaTheme="minorHAnsi" w:hAnsi="Times New Roman" w:cs="Times New Roman"/>
          <w:sz w:val="24"/>
          <w:szCs w:val="24"/>
        </w:rPr>
        <w:t xml:space="preserve">During the 2019 rate case, the Commission approved a rate design based in WP 4-3, now Schedule-11b. By including a different allocation methodology with ECON-1 and Cherokee LNG listed separately, this wasn’t approved as part of the 2019 rate case. </w:t>
      </w:r>
      <w:r w:rsidR="00850F91">
        <w:rPr>
          <w:rFonts w:ascii="Times New Roman" w:eastAsiaTheme="minorHAnsi" w:hAnsi="Times New Roman" w:cs="Times New Roman"/>
          <w:sz w:val="24"/>
          <w:szCs w:val="24"/>
        </w:rPr>
        <w:t xml:space="preserve">Does </w:t>
      </w:r>
      <w:r w:rsidRPr="00563EDA">
        <w:rPr>
          <w:rFonts w:ascii="Times New Roman" w:eastAsiaTheme="minorHAnsi" w:hAnsi="Times New Roman" w:cs="Times New Roman"/>
          <w:sz w:val="24"/>
          <w:szCs w:val="24"/>
        </w:rPr>
        <w:t xml:space="preserve">AGL agree </w:t>
      </w:r>
      <w:r w:rsidR="00547E6D">
        <w:rPr>
          <w:rFonts w:ascii="Times New Roman" w:eastAsiaTheme="minorHAnsi" w:hAnsi="Times New Roman" w:cs="Times New Roman"/>
          <w:sz w:val="24"/>
          <w:szCs w:val="24"/>
        </w:rPr>
        <w:t>to remove ECON-1 and Cherokee LNG from Schedule-11b?</w:t>
      </w:r>
    </w:p>
    <w:p w14:paraId="188D0488" w14:textId="67510749" w:rsidR="00547E6D" w:rsidRDefault="00547E6D" w:rsidP="00177B58">
      <w:pPr>
        <w:spacing w:line="240" w:lineRule="auto"/>
        <w:ind w:left="1440" w:hanging="1440"/>
        <w:contextualSpacing/>
        <w:jc w:val="both"/>
        <w:rPr>
          <w:rFonts w:ascii="Times New Roman" w:eastAsiaTheme="minorHAnsi" w:hAnsi="Times New Roman" w:cs="Times New Roman"/>
          <w:sz w:val="24"/>
          <w:szCs w:val="24"/>
        </w:rPr>
      </w:pPr>
    </w:p>
    <w:p w14:paraId="2A916818" w14:textId="12D32F39" w:rsidR="00547E6D" w:rsidRPr="008E4062" w:rsidRDefault="00547E6D" w:rsidP="00177B58">
      <w:pPr>
        <w:spacing w:line="240" w:lineRule="auto"/>
        <w:ind w:left="1440" w:hanging="1440"/>
        <w:contextualSpacing/>
        <w:jc w:val="both"/>
        <w:rPr>
          <w:rFonts w:ascii="Times New Roman" w:eastAsiaTheme="minorHAnsi" w:hAnsi="Times New Roman" w:cs="Times New Roman"/>
          <w:b/>
          <w:sz w:val="24"/>
          <w:szCs w:val="24"/>
          <w:u w:val="single"/>
        </w:rPr>
      </w:pPr>
      <w:r w:rsidRPr="008E4062">
        <w:rPr>
          <w:rFonts w:ascii="Times New Roman" w:eastAsiaTheme="minorHAnsi" w:hAnsi="Times New Roman" w:cs="Times New Roman"/>
          <w:b/>
          <w:sz w:val="24"/>
          <w:szCs w:val="24"/>
          <w:u w:val="single"/>
        </w:rPr>
        <w:t>Schedule 11b</w:t>
      </w:r>
      <w:r>
        <w:rPr>
          <w:rFonts w:ascii="Times New Roman" w:eastAsiaTheme="minorHAnsi" w:hAnsi="Times New Roman" w:cs="Times New Roman"/>
          <w:b/>
          <w:sz w:val="24"/>
          <w:szCs w:val="24"/>
          <w:u w:val="single"/>
        </w:rPr>
        <w:t>: Q82 &amp; Q83</w:t>
      </w:r>
    </w:p>
    <w:p w14:paraId="3E111C1E" w14:textId="1C25AC26" w:rsidR="00563EDA" w:rsidRPr="00563EDA" w:rsidRDefault="00547E6D" w:rsidP="00177B58">
      <w:pPr>
        <w:spacing w:line="240" w:lineRule="auto"/>
        <w:ind w:left="1440" w:hanging="144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noProof/>
        </w:rPr>
        <w:drawing>
          <wp:inline distT="0" distB="0" distL="0" distR="0" wp14:anchorId="6C49F549" wp14:editId="6C53D64C">
            <wp:extent cx="2095500" cy="1876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95500" cy="1876425"/>
                    </a:xfrm>
                    <a:prstGeom prst="rect">
                      <a:avLst/>
                    </a:prstGeom>
                  </pic:spPr>
                </pic:pic>
              </a:graphicData>
            </a:graphic>
          </wp:inline>
        </w:drawing>
      </w:r>
    </w:p>
    <w:p w14:paraId="31708D5B" w14:textId="77777777" w:rsidR="00563EDA" w:rsidRPr="00563EDA" w:rsidRDefault="00563EDA" w:rsidP="00177B58">
      <w:pPr>
        <w:spacing w:line="240" w:lineRule="auto"/>
        <w:ind w:left="1440" w:hanging="1440"/>
        <w:contextualSpacing/>
        <w:jc w:val="both"/>
        <w:rPr>
          <w:rFonts w:ascii="Times New Roman" w:eastAsiaTheme="minorHAnsi" w:hAnsi="Times New Roman" w:cs="Times New Roman"/>
          <w:sz w:val="24"/>
          <w:szCs w:val="24"/>
        </w:rPr>
      </w:pPr>
    </w:p>
    <w:p w14:paraId="45EBA976" w14:textId="560A8EBC" w:rsidR="00563EDA" w:rsidRDefault="00563EDA" w:rsidP="00177B58">
      <w:pPr>
        <w:spacing w:line="240" w:lineRule="auto"/>
        <w:ind w:left="1440" w:hanging="1440"/>
        <w:contextualSpacing/>
        <w:jc w:val="both"/>
        <w:rPr>
          <w:rFonts w:ascii="Times New Roman" w:eastAsiaTheme="minorHAnsi" w:hAnsi="Times New Roman" w:cs="Times New Roman"/>
          <w:sz w:val="24"/>
          <w:szCs w:val="24"/>
        </w:rPr>
      </w:pPr>
      <w:r w:rsidRPr="00563EDA">
        <w:rPr>
          <w:rFonts w:ascii="Times New Roman" w:eastAsiaTheme="minorHAnsi" w:hAnsi="Times New Roman" w:cs="Times New Roman"/>
          <w:sz w:val="24"/>
          <w:szCs w:val="24"/>
        </w:rPr>
        <w:t>STF-36-</w:t>
      </w:r>
      <w:r w:rsidR="00CC24C5">
        <w:rPr>
          <w:rFonts w:ascii="Times New Roman" w:eastAsiaTheme="minorHAnsi" w:hAnsi="Times New Roman" w:cs="Times New Roman"/>
          <w:sz w:val="24"/>
          <w:szCs w:val="24"/>
        </w:rPr>
        <w:t>1</w:t>
      </w:r>
      <w:r w:rsidR="00AC4545">
        <w:rPr>
          <w:rFonts w:ascii="Times New Roman" w:eastAsiaTheme="minorHAnsi" w:hAnsi="Times New Roman" w:cs="Times New Roman"/>
          <w:sz w:val="24"/>
          <w:szCs w:val="24"/>
        </w:rPr>
        <w:t>5</w:t>
      </w:r>
      <w:r w:rsidRPr="00563EDA">
        <w:rPr>
          <w:rFonts w:ascii="Times New Roman" w:eastAsiaTheme="minorHAnsi" w:hAnsi="Times New Roman" w:cs="Times New Roman"/>
          <w:sz w:val="24"/>
          <w:szCs w:val="24"/>
        </w:rPr>
        <w:tab/>
      </w:r>
      <w:r w:rsidR="00B04A0A">
        <w:rPr>
          <w:rFonts w:ascii="Times New Roman" w:eastAsiaTheme="minorHAnsi" w:hAnsi="Times New Roman" w:cs="Times New Roman"/>
          <w:sz w:val="24"/>
          <w:szCs w:val="24"/>
        </w:rPr>
        <w:t xml:space="preserve">With the outcome of the 2019 rate case, AGL increased the dollar amount going toward the DDDC charge. </w:t>
      </w:r>
      <w:r w:rsidRPr="00563EDA">
        <w:rPr>
          <w:rFonts w:ascii="Times New Roman" w:eastAsiaTheme="minorHAnsi" w:hAnsi="Times New Roman" w:cs="Times New Roman"/>
          <w:sz w:val="24"/>
          <w:szCs w:val="24"/>
        </w:rPr>
        <w:t xml:space="preserve">Regarding the </w:t>
      </w:r>
      <w:r w:rsidR="00B04A0A">
        <w:rPr>
          <w:rFonts w:ascii="Times New Roman" w:eastAsiaTheme="minorHAnsi" w:hAnsi="Times New Roman" w:cs="Times New Roman"/>
          <w:sz w:val="24"/>
          <w:szCs w:val="24"/>
        </w:rPr>
        <w:t xml:space="preserve">2023 GRAM for the </w:t>
      </w:r>
      <w:r w:rsidRPr="00563EDA">
        <w:rPr>
          <w:rFonts w:ascii="Times New Roman" w:eastAsiaTheme="minorHAnsi" w:hAnsi="Times New Roman" w:cs="Times New Roman"/>
          <w:sz w:val="24"/>
          <w:szCs w:val="24"/>
        </w:rPr>
        <w:t>Customer Charge Rate and the DDDC Charge Rate, did AGL change the percentage weight of revenue collections for the 2023 GRAM?</w:t>
      </w:r>
      <w:r w:rsidR="003257E4">
        <w:rPr>
          <w:rFonts w:ascii="Times New Roman" w:eastAsiaTheme="minorHAnsi" w:hAnsi="Times New Roman" w:cs="Times New Roman"/>
          <w:sz w:val="24"/>
          <w:szCs w:val="24"/>
        </w:rPr>
        <w:t xml:space="preserve">  Is AGL using the same rate design allocation approved in the rate case?  </w:t>
      </w:r>
    </w:p>
    <w:p w14:paraId="5413F7FA" w14:textId="1D1D169A" w:rsidR="00B04A0A" w:rsidRDefault="00B04A0A" w:rsidP="00177B58">
      <w:pPr>
        <w:spacing w:line="240" w:lineRule="auto"/>
        <w:ind w:left="1440" w:hanging="1440"/>
        <w:contextualSpacing/>
        <w:jc w:val="both"/>
        <w:rPr>
          <w:rFonts w:ascii="Times New Roman" w:eastAsiaTheme="minorHAnsi" w:hAnsi="Times New Roman" w:cs="Times New Roman"/>
          <w:sz w:val="24"/>
          <w:szCs w:val="24"/>
        </w:rPr>
      </w:pPr>
    </w:p>
    <w:p w14:paraId="29054547" w14:textId="6522E266" w:rsidR="000D02AF" w:rsidRDefault="00B04A0A" w:rsidP="00302BFA">
      <w:pPr>
        <w:spacing w:line="240" w:lineRule="auto"/>
        <w:ind w:left="1440" w:hanging="144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STF-36-</w:t>
      </w:r>
      <w:r w:rsidR="00882647">
        <w:rPr>
          <w:rFonts w:ascii="Times New Roman" w:eastAsiaTheme="minorHAnsi" w:hAnsi="Times New Roman" w:cs="Times New Roman"/>
          <w:sz w:val="24"/>
          <w:szCs w:val="24"/>
        </w:rPr>
        <w:t>16</w:t>
      </w:r>
      <w:r>
        <w:rPr>
          <w:rFonts w:ascii="Times New Roman" w:eastAsiaTheme="minorHAnsi" w:hAnsi="Times New Roman" w:cs="Times New Roman"/>
          <w:sz w:val="24"/>
          <w:szCs w:val="24"/>
        </w:rPr>
        <w:tab/>
        <w:t xml:space="preserve">With the approval of the i-CDP and the capital-intensive projects that will be ongoing through 2024, what impact </w:t>
      </w:r>
      <w:r w:rsidR="00697682">
        <w:rPr>
          <w:rFonts w:ascii="Times New Roman" w:eastAsiaTheme="minorHAnsi" w:hAnsi="Times New Roman" w:cs="Times New Roman"/>
          <w:sz w:val="24"/>
          <w:szCs w:val="24"/>
        </w:rPr>
        <w:t xml:space="preserve">(percentage increase) </w:t>
      </w:r>
      <w:r>
        <w:rPr>
          <w:rFonts w:ascii="Times New Roman" w:eastAsiaTheme="minorHAnsi" w:hAnsi="Times New Roman" w:cs="Times New Roman"/>
          <w:sz w:val="24"/>
          <w:szCs w:val="24"/>
        </w:rPr>
        <w:t>will that have on the Customer Charge over time compared to the DDDC Charge</w:t>
      </w:r>
      <w:r w:rsidR="003257E4">
        <w:rPr>
          <w:rFonts w:ascii="Times New Roman" w:eastAsiaTheme="minorHAnsi" w:hAnsi="Times New Roman" w:cs="Times New Roman"/>
          <w:sz w:val="24"/>
          <w:szCs w:val="24"/>
        </w:rPr>
        <w:t xml:space="preserve"> using the currently approved rate design allocation</w:t>
      </w:r>
      <w:r>
        <w:rPr>
          <w:rFonts w:ascii="Times New Roman" w:eastAsiaTheme="minorHAnsi" w:hAnsi="Times New Roman" w:cs="Times New Roman"/>
          <w:sz w:val="24"/>
          <w:szCs w:val="24"/>
        </w:rPr>
        <w:t>?</w:t>
      </w:r>
      <w:r w:rsidR="003257E4">
        <w:rPr>
          <w:rFonts w:ascii="Times New Roman" w:eastAsiaTheme="minorHAnsi" w:hAnsi="Times New Roman" w:cs="Times New Roman"/>
          <w:sz w:val="24"/>
          <w:szCs w:val="24"/>
        </w:rPr>
        <w:t xml:space="preserve">  </w:t>
      </w:r>
    </w:p>
    <w:p w14:paraId="74B41B5F" w14:textId="3C8B0220" w:rsidR="000D0421" w:rsidRDefault="000D0421" w:rsidP="00302BFA">
      <w:pPr>
        <w:spacing w:line="240" w:lineRule="auto"/>
        <w:ind w:left="1440" w:hanging="1440"/>
        <w:contextualSpacing/>
        <w:jc w:val="both"/>
        <w:rPr>
          <w:rFonts w:ascii="Times New Roman" w:eastAsiaTheme="minorHAnsi" w:hAnsi="Times New Roman" w:cs="Times New Roman"/>
          <w:sz w:val="24"/>
          <w:szCs w:val="24"/>
        </w:rPr>
      </w:pPr>
    </w:p>
    <w:p w14:paraId="3BDD4DC8" w14:textId="0E638B0F" w:rsidR="000D0421" w:rsidRDefault="000D0421" w:rsidP="00302BFA">
      <w:pPr>
        <w:spacing w:line="240" w:lineRule="auto"/>
        <w:ind w:left="1440" w:hanging="144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STF-36-</w:t>
      </w:r>
      <w:r w:rsidR="00882647">
        <w:rPr>
          <w:rFonts w:ascii="Times New Roman" w:eastAsiaTheme="minorHAnsi" w:hAnsi="Times New Roman" w:cs="Times New Roman"/>
          <w:sz w:val="24"/>
          <w:szCs w:val="24"/>
        </w:rPr>
        <w:t>17</w:t>
      </w:r>
      <w:r>
        <w:rPr>
          <w:rFonts w:ascii="Times New Roman" w:eastAsiaTheme="minorHAnsi" w:hAnsi="Times New Roman" w:cs="Times New Roman"/>
          <w:sz w:val="24"/>
          <w:szCs w:val="24"/>
        </w:rPr>
        <w:tab/>
      </w:r>
      <w:r w:rsidR="00B87318">
        <w:rPr>
          <w:rFonts w:ascii="Times New Roman" w:eastAsiaTheme="minorHAnsi" w:hAnsi="Times New Roman" w:cs="Times New Roman"/>
          <w:sz w:val="24"/>
          <w:szCs w:val="24"/>
        </w:rPr>
        <w:t>C</w:t>
      </w:r>
      <w:r>
        <w:rPr>
          <w:rFonts w:ascii="Times New Roman" w:eastAsiaTheme="minorHAnsi" w:hAnsi="Times New Roman" w:cs="Times New Roman"/>
          <w:sz w:val="24"/>
          <w:szCs w:val="24"/>
        </w:rPr>
        <w:t>onsidering that AGL proposes to have capital</w:t>
      </w:r>
      <w:r w:rsidR="00927CEF">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intensive investments through 2030, does the Company believe a greater percentage weight should be applied to the DDDC charge over the Customer Charge to place more of the revenue recovery </w:t>
      </w:r>
      <w:r w:rsidR="003257E4">
        <w:rPr>
          <w:rFonts w:ascii="Times New Roman" w:eastAsiaTheme="minorHAnsi" w:hAnsi="Times New Roman" w:cs="Times New Roman"/>
          <w:sz w:val="24"/>
          <w:szCs w:val="24"/>
        </w:rPr>
        <w:t xml:space="preserve">demand portion (DDDC charge) and less percentage on the flat </w:t>
      </w:r>
      <w:r>
        <w:rPr>
          <w:rFonts w:ascii="Times New Roman" w:eastAsiaTheme="minorHAnsi" w:hAnsi="Times New Roman" w:cs="Times New Roman"/>
          <w:sz w:val="24"/>
          <w:szCs w:val="24"/>
        </w:rPr>
        <w:t xml:space="preserve"> Customer Charge?</w:t>
      </w:r>
      <w:r w:rsidR="003257E4">
        <w:rPr>
          <w:rFonts w:ascii="Times New Roman" w:eastAsiaTheme="minorHAnsi" w:hAnsi="Times New Roman" w:cs="Times New Roman"/>
          <w:sz w:val="24"/>
          <w:szCs w:val="24"/>
        </w:rPr>
        <w:t xml:space="preserve"> </w:t>
      </w:r>
    </w:p>
    <w:p w14:paraId="05CE81CB" w14:textId="5E55F34E" w:rsidR="003257E4" w:rsidRDefault="003257E4" w:rsidP="00302BFA">
      <w:pPr>
        <w:spacing w:line="240" w:lineRule="auto"/>
        <w:ind w:left="1440" w:hanging="1440"/>
        <w:contextualSpacing/>
        <w:jc w:val="both"/>
        <w:rPr>
          <w:rFonts w:ascii="Times New Roman" w:eastAsiaTheme="minorHAnsi" w:hAnsi="Times New Roman" w:cs="Times New Roman"/>
          <w:sz w:val="24"/>
          <w:szCs w:val="24"/>
        </w:rPr>
      </w:pPr>
    </w:p>
    <w:p w14:paraId="2263D7C5" w14:textId="5C5DA54F" w:rsidR="003257E4" w:rsidRDefault="003257E4" w:rsidP="00302BFA">
      <w:pPr>
        <w:spacing w:line="240" w:lineRule="auto"/>
        <w:ind w:left="1440" w:hanging="1440"/>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STF – 36-18</w:t>
      </w:r>
      <w:r>
        <w:rPr>
          <w:rFonts w:ascii="Times New Roman" w:eastAsiaTheme="minorHAnsi" w:hAnsi="Times New Roman" w:cs="Times New Roman"/>
          <w:sz w:val="24"/>
          <w:szCs w:val="24"/>
        </w:rPr>
        <w:tab/>
        <w:t>Is the company open to discussion/workshop on  a change in rate design to avoid rate shock, especially for customers with a lower DDDC.  Currently, a customer with a 1.1 DDDC pays the same Customer charge as a customer with a 5 DDDC.</w:t>
      </w:r>
    </w:p>
    <w:p w14:paraId="7FAE2B6B" w14:textId="6F3368D8" w:rsidR="000D0421" w:rsidRPr="00C965BC" w:rsidRDefault="000D0421" w:rsidP="004B75EE">
      <w:pPr>
        <w:tabs>
          <w:tab w:val="left" w:pos="5160"/>
        </w:tabs>
        <w:rPr>
          <w:rFonts w:ascii="Times New Roman" w:eastAsiaTheme="minorHAnsi" w:hAnsi="Times New Roman" w:cs="Times New Roman"/>
          <w:sz w:val="24"/>
          <w:szCs w:val="24"/>
        </w:rPr>
      </w:pPr>
    </w:p>
    <w:sectPr w:rsidR="000D0421" w:rsidRPr="00C965BC">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7171D" w14:textId="77777777" w:rsidR="008E39D1" w:rsidRDefault="008E39D1" w:rsidP="007B15FF">
      <w:pPr>
        <w:spacing w:after="0" w:line="240" w:lineRule="auto"/>
      </w:pPr>
      <w:r>
        <w:separator/>
      </w:r>
    </w:p>
  </w:endnote>
  <w:endnote w:type="continuationSeparator" w:id="0">
    <w:p w14:paraId="192CDD92" w14:textId="77777777" w:rsidR="008E39D1" w:rsidRDefault="008E39D1" w:rsidP="007B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97815458"/>
      <w:docPartObj>
        <w:docPartGallery w:val="Page Numbers (Bottom of Page)"/>
        <w:docPartUnique/>
      </w:docPartObj>
    </w:sdtPr>
    <w:sdtEndPr>
      <w:rPr>
        <w:noProof/>
      </w:rPr>
    </w:sdtEndPr>
    <w:sdtContent>
      <w:p w14:paraId="40E25014" w14:textId="778686A9" w:rsidR="005605FA" w:rsidRPr="007B15FF" w:rsidRDefault="005605FA">
        <w:pPr>
          <w:pStyle w:val="Footer"/>
          <w:jc w:val="center"/>
          <w:rPr>
            <w:rFonts w:ascii="Times New Roman" w:hAnsi="Times New Roman" w:cs="Times New Roman"/>
            <w:sz w:val="20"/>
            <w:szCs w:val="20"/>
          </w:rPr>
        </w:pPr>
        <w:r w:rsidRPr="007B15FF">
          <w:rPr>
            <w:rFonts w:ascii="Times New Roman" w:hAnsi="Times New Roman" w:cs="Times New Roman"/>
            <w:sz w:val="20"/>
            <w:szCs w:val="20"/>
          </w:rPr>
          <w:t>Docket No. 42315: Staff’s 36</w:t>
        </w:r>
        <w:r w:rsidRPr="007B15FF">
          <w:rPr>
            <w:rFonts w:ascii="Times New Roman" w:hAnsi="Times New Roman" w:cs="Times New Roman"/>
            <w:sz w:val="20"/>
            <w:szCs w:val="20"/>
            <w:vertAlign w:val="superscript"/>
          </w:rPr>
          <w:t>th</w:t>
        </w:r>
        <w:r w:rsidRPr="007B15FF">
          <w:rPr>
            <w:rFonts w:ascii="Times New Roman" w:hAnsi="Times New Roman" w:cs="Times New Roman"/>
            <w:sz w:val="20"/>
            <w:szCs w:val="20"/>
          </w:rPr>
          <w:t xml:space="preserve"> Set of DRs</w:t>
        </w:r>
      </w:p>
      <w:p w14:paraId="7EE8EB7D" w14:textId="3E44AF54" w:rsidR="005605FA" w:rsidRPr="007B15FF" w:rsidRDefault="005605FA">
        <w:pPr>
          <w:pStyle w:val="Footer"/>
          <w:jc w:val="center"/>
          <w:rPr>
            <w:rFonts w:ascii="Times New Roman" w:hAnsi="Times New Roman" w:cs="Times New Roman"/>
            <w:sz w:val="20"/>
            <w:szCs w:val="20"/>
          </w:rPr>
        </w:pPr>
        <w:r w:rsidRPr="007B15FF">
          <w:rPr>
            <w:rFonts w:ascii="Times New Roman" w:hAnsi="Times New Roman" w:cs="Times New Roman"/>
            <w:sz w:val="20"/>
            <w:szCs w:val="20"/>
          </w:rPr>
          <w:t>2023 GRAM: Schedules 3, 8, 9, 10, &amp; 11</w:t>
        </w:r>
      </w:p>
      <w:p w14:paraId="3AED09F7" w14:textId="1DFF9F05" w:rsidR="005605FA" w:rsidRPr="007B15FF" w:rsidRDefault="005605FA">
        <w:pPr>
          <w:pStyle w:val="Footer"/>
          <w:jc w:val="center"/>
          <w:rPr>
            <w:rFonts w:ascii="Times New Roman" w:hAnsi="Times New Roman" w:cs="Times New Roman"/>
            <w:sz w:val="20"/>
            <w:szCs w:val="20"/>
          </w:rPr>
        </w:pPr>
        <w:r w:rsidRPr="007B15FF">
          <w:rPr>
            <w:rFonts w:ascii="Times New Roman" w:hAnsi="Times New Roman" w:cs="Times New Roman"/>
            <w:sz w:val="20"/>
            <w:szCs w:val="20"/>
          </w:rPr>
          <w:t xml:space="preserve">Page </w:t>
        </w:r>
        <w:r w:rsidRPr="007B15FF">
          <w:rPr>
            <w:rFonts w:ascii="Times New Roman" w:hAnsi="Times New Roman" w:cs="Times New Roman"/>
            <w:sz w:val="20"/>
            <w:szCs w:val="20"/>
          </w:rPr>
          <w:fldChar w:fldCharType="begin"/>
        </w:r>
        <w:r w:rsidRPr="007B15FF">
          <w:rPr>
            <w:rFonts w:ascii="Times New Roman" w:hAnsi="Times New Roman" w:cs="Times New Roman"/>
            <w:sz w:val="20"/>
            <w:szCs w:val="20"/>
          </w:rPr>
          <w:instrText xml:space="preserve"> PAGE   \* MERGEFORMAT </w:instrText>
        </w:r>
        <w:r w:rsidRPr="007B15FF">
          <w:rPr>
            <w:rFonts w:ascii="Times New Roman" w:hAnsi="Times New Roman" w:cs="Times New Roman"/>
            <w:sz w:val="20"/>
            <w:szCs w:val="20"/>
          </w:rPr>
          <w:fldChar w:fldCharType="separate"/>
        </w:r>
        <w:r>
          <w:rPr>
            <w:rFonts w:ascii="Times New Roman" w:hAnsi="Times New Roman" w:cs="Times New Roman"/>
            <w:noProof/>
            <w:sz w:val="20"/>
            <w:szCs w:val="20"/>
          </w:rPr>
          <w:t>11</w:t>
        </w:r>
        <w:r w:rsidRPr="007B15FF">
          <w:rPr>
            <w:rFonts w:ascii="Times New Roman" w:hAnsi="Times New Roman" w:cs="Times New Roman"/>
            <w:noProof/>
            <w:sz w:val="20"/>
            <w:szCs w:val="20"/>
          </w:rPr>
          <w:fldChar w:fldCharType="end"/>
        </w:r>
        <w:r w:rsidRPr="007B15FF">
          <w:rPr>
            <w:rFonts w:ascii="Times New Roman" w:hAnsi="Times New Roman" w:cs="Times New Roman"/>
            <w:noProof/>
            <w:sz w:val="20"/>
            <w:szCs w:val="20"/>
          </w:rPr>
          <w:t xml:space="preserve"> of 1</w:t>
        </w:r>
        <w:r>
          <w:rPr>
            <w:rFonts w:ascii="Times New Roman" w:hAnsi="Times New Roman" w:cs="Times New Roman"/>
            <w:noProof/>
            <w:sz w:val="20"/>
            <w:szCs w:val="20"/>
          </w:rPr>
          <w:t>3</w:t>
        </w:r>
      </w:p>
    </w:sdtContent>
  </w:sdt>
  <w:p w14:paraId="7772A2AF" w14:textId="77777777" w:rsidR="005605FA" w:rsidRPr="007B15FF" w:rsidRDefault="005605FA">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98075" w14:textId="77777777" w:rsidR="008E39D1" w:rsidRDefault="008E39D1" w:rsidP="007B15FF">
      <w:pPr>
        <w:spacing w:after="0" w:line="240" w:lineRule="auto"/>
      </w:pPr>
      <w:r>
        <w:separator/>
      </w:r>
    </w:p>
  </w:footnote>
  <w:footnote w:type="continuationSeparator" w:id="0">
    <w:p w14:paraId="58C23BC5" w14:textId="77777777" w:rsidR="008E39D1" w:rsidRDefault="008E39D1" w:rsidP="007B1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0609"/>
    <w:multiLevelType w:val="hybridMultilevel"/>
    <w:tmpl w:val="5BC286A6"/>
    <w:lvl w:ilvl="0" w:tplc="FD0AF8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253A3A"/>
    <w:multiLevelType w:val="hybridMultilevel"/>
    <w:tmpl w:val="6D3AE134"/>
    <w:lvl w:ilvl="0" w:tplc="417E04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291142"/>
    <w:multiLevelType w:val="hybridMultilevel"/>
    <w:tmpl w:val="4D760D90"/>
    <w:lvl w:ilvl="0" w:tplc="9A52D0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D3071B0"/>
    <w:multiLevelType w:val="hybridMultilevel"/>
    <w:tmpl w:val="5B5E8D60"/>
    <w:lvl w:ilvl="0" w:tplc="64940B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CC1340D"/>
    <w:multiLevelType w:val="hybridMultilevel"/>
    <w:tmpl w:val="06E01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97D0B"/>
    <w:multiLevelType w:val="hybridMultilevel"/>
    <w:tmpl w:val="586CC270"/>
    <w:lvl w:ilvl="0" w:tplc="14B857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421422"/>
    <w:multiLevelType w:val="hybridMultilevel"/>
    <w:tmpl w:val="DFFA166A"/>
    <w:lvl w:ilvl="0" w:tplc="9A52D0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0F21F6"/>
    <w:multiLevelType w:val="hybridMultilevel"/>
    <w:tmpl w:val="1A4640DC"/>
    <w:lvl w:ilvl="0" w:tplc="9A52D0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EB27124"/>
    <w:multiLevelType w:val="hybridMultilevel"/>
    <w:tmpl w:val="60169DAC"/>
    <w:lvl w:ilvl="0" w:tplc="9A52D0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0DA372B"/>
    <w:multiLevelType w:val="hybridMultilevel"/>
    <w:tmpl w:val="1A4640DC"/>
    <w:lvl w:ilvl="0" w:tplc="9A52D0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4F65B95"/>
    <w:multiLevelType w:val="hybridMultilevel"/>
    <w:tmpl w:val="F8F43628"/>
    <w:lvl w:ilvl="0" w:tplc="14B857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9528F4"/>
    <w:multiLevelType w:val="hybridMultilevel"/>
    <w:tmpl w:val="B0F6547C"/>
    <w:lvl w:ilvl="0" w:tplc="592449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4846C9"/>
    <w:multiLevelType w:val="hybridMultilevel"/>
    <w:tmpl w:val="BFF6EA7C"/>
    <w:lvl w:ilvl="0" w:tplc="3A961F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DD3342"/>
    <w:multiLevelType w:val="hybridMultilevel"/>
    <w:tmpl w:val="791C997E"/>
    <w:lvl w:ilvl="0" w:tplc="8E500E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3F477D3"/>
    <w:multiLevelType w:val="hybridMultilevel"/>
    <w:tmpl w:val="0BBA487E"/>
    <w:lvl w:ilvl="0" w:tplc="05D8A9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235E2D"/>
    <w:multiLevelType w:val="hybridMultilevel"/>
    <w:tmpl w:val="24DA490C"/>
    <w:lvl w:ilvl="0" w:tplc="9A52D0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8266DF8"/>
    <w:multiLevelType w:val="hybridMultilevel"/>
    <w:tmpl w:val="CFD01976"/>
    <w:lvl w:ilvl="0" w:tplc="4928DE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84D3E93"/>
    <w:multiLevelType w:val="hybridMultilevel"/>
    <w:tmpl w:val="99B2B0B0"/>
    <w:lvl w:ilvl="0" w:tplc="1F8A45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1EC617C"/>
    <w:multiLevelType w:val="hybridMultilevel"/>
    <w:tmpl w:val="74544598"/>
    <w:lvl w:ilvl="0" w:tplc="FD0AF8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43E7972"/>
    <w:multiLevelType w:val="hybridMultilevel"/>
    <w:tmpl w:val="53D45624"/>
    <w:lvl w:ilvl="0" w:tplc="AE7085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967628B"/>
    <w:multiLevelType w:val="hybridMultilevel"/>
    <w:tmpl w:val="663A1C7C"/>
    <w:lvl w:ilvl="0" w:tplc="9A52D0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A744496"/>
    <w:multiLevelType w:val="hybridMultilevel"/>
    <w:tmpl w:val="9F224ADA"/>
    <w:lvl w:ilvl="0" w:tplc="14B857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BE037CA"/>
    <w:multiLevelType w:val="hybridMultilevel"/>
    <w:tmpl w:val="B1A20D9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62A76FA"/>
    <w:multiLevelType w:val="singleLevel"/>
    <w:tmpl w:val="3E06DA74"/>
    <w:lvl w:ilvl="0">
      <w:start w:val="1"/>
      <w:numFmt w:val="lowerLetter"/>
      <w:lvlText w:val="%1)"/>
      <w:lvlJc w:val="left"/>
      <w:pPr>
        <w:tabs>
          <w:tab w:val="num" w:pos="720"/>
        </w:tabs>
        <w:ind w:left="720" w:hanging="720"/>
      </w:pPr>
      <w:rPr>
        <w:rFonts w:hint="default"/>
      </w:rPr>
    </w:lvl>
  </w:abstractNum>
  <w:abstractNum w:abstractNumId="24" w15:restartNumberingAfterBreak="0">
    <w:nsid w:val="784E295A"/>
    <w:multiLevelType w:val="hybridMultilevel"/>
    <w:tmpl w:val="24588EC4"/>
    <w:lvl w:ilvl="0" w:tplc="52E6AE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B925B2F"/>
    <w:multiLevelType w:val="hybridMultilevel"/>
    <w:tmpl w:val="BFF6EA7C"/>
    <w:lvl w:ilvl="0" w:tplc="3A961F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E8057D4"/>
    <w:multiLevelType w:val="hybridMultilevel"/>
    <w:tmpl w:val="DA127A18"/>
    <w:lvl w:ilvl="0" w:tplc="9F9EF74C">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6"/>
  </w:num>
  <w:num w:numId="4">
    <w:abstractNumId w:val="10"/>
  </w:num>
  <w:num w:numId="5">
    <w:abstractNumId w:val="19"/>
  </w:num>
  <w:num w:numId="6">
    <w:abstractNumId w:val="14"/>
  </w:num>
  <w:num w:numId="7">
    <w:abstractNumId w:val="25"/>
  </w:num>
  <w:num w:numId="8">
    <w:abstractNumId w:val="16"/>
  </w:num>
  <w:num w:numId="9">
    <w:abstractNumId w:val="12"/>
  </w:num>
  <w:num w:numId="10">
    <w:abstractNumId w:val="17"/>
  </w:num>
  <w:num w:numId="11">
    <w:abstractNumId w:val="3"/>
  </w:num>
  <w:num w:numId="12">
    <w:abstractNumId w:val="24"/>
  </w:num>
  <w:num w:numId="13">
    <w:abstractNumId w:val="9"/>
  </w:num>
  <w:num w:numId="14">
    <w:abstractNumId w:val="15"/>
  </w:num>
  <w:num w:numId="15">
    <w:abstractNumId w:val="6"/>
  </w:num>
  <w:num w:numId="16">
    <w:abstractNumId w:val="8"/>
  </w:num>
  <w:num w:numId="17">
    <w:abstractNumId w:val="2"/>
  </w:num>
  <w:num w:numId="18">
    <w:abstractNumId w:val="20"/>
  </w:num>
  <w:num w:numId="19">
    <w:abstractNumId w:val="23"/>
  </w:num>
  <w:num w:numId="20">
    <w:abstractNumId w:val="18"/>
  </w:num>
  <w:num w:numId="21">
    <w:abstractNumId w:val="7"/>
  </w:num>
  <w:num w:numId="22">
    <w:abstractNumId w:val="22"/>
  </w:num>
  <w:num w:numId="23">
    <w:abstractNumId w:val="4"/>
  </w:num>
  <w:num w:numId="24">
    <w:abstractNumId w:val="5"/>
  </w:num>
  <w:num w:numId="25">
    <w:abstractNumId w:val="21"/>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810"/>
    <w:rsid w:val="0002588A"/>
    <w:rsid w:val="00033DDF"/>
    <w:rsid w:val="000407A0"/>
    <w:rsid w:val="00094BE9"/>
    <w:rsid w:val="000A2D1E"/>
    <w:rsid w:val="000A2FA1"/>
    <w:rsid w:val="000D02AF"/>
    <w:rsid w:val="000D0421"/>
    <w:rsid w:val="000F5BF6"/>
    <w:rsid w:val="001020D0"/>
    <w:rsid w:val="0010245A"/>
    <w:rsid w:val="001131B2"/>
    <w:rsid w:val="00133062"/>
    <w:rsid w:val="00135FFC"/>
    <w:rsid w:val="00136358"/>
    <w:rsid w:val="001377CC"/>
    <w:rsid w:val="00141A53"/>
    <w:rsid w:val="001444DD"/>
    <w:rsid w:val="001452A4"/>
    <w:rsid w:val="00151969"/>
    <w:rsid w:val="0016566D"/>
    <w:rsid w:val="00165B59"/>
    <w:rsid w:val="00177B58"/>
    <w:rsid w:val="00184519"/>
    <w:rsid w:val="00194382"/>
    <w:rsid w:val="00196366"/>
    <w:rsid w:val="001A7805"/>
    <w:rsid w:val="00207298"/>
    <w:rsid w:val="00215E6E"/>
    <w:rsid w:val="00223965"/>
    <w:rsid w:val="002458C8"/>
    <w:rsid w:val="00270595"/>
    <w:rsid w:val="00283E79"/>
    <w:rsid w:val="00290763"/>
    <w:rsid w:val="002A58B4"/>
    <w:rsid w:val="002D4652"/>
    <w:rsid w:val="002F3803"/>
    <w:rsid w:val="002F652B"/>
    <w:rsid w:val="00302BFA"/>
    <w:rsid w:val="00303C23"/>
    <w:rsid w:val="003255AD"/>
    <w:rsid w:val="003257E4"/>
    <w:rsid w:val="00331244"/>
    <w:rsid w:val="003356E5"/>
    <w:rsid w:val="00341279"/>
    <w:rsid w:val="00346F26"/>
    <w:rsid w:val="0035405B"/>
    <w:rsid w:val="00361CDB"/>
    <w:rsid w:val="003700EF"/>
    <w:rsid w:val="00373B21"/>
    <w:rsid w:val="00382D21"/>
    <w:rsid w:val="003E55DB"/>
    <w:rsid w:val="003F0FE6"/>
    <w:rsid w:val="003F5CBC"/>
    <w:rsid w:val="00403F0A"/>
    <w:rsid w:val="0042418A"/>
    <w:rsid w:val="004250C4"/>
    <w:rsid w:val="00435A78"/>
    <w:rsid w:val="00471305"/>
    <w:rsid w:val="00474621"/>
    <w:rsid w:val="00483DCF"/>
    <w:rsid w:val="00484D5D"/>
    <w:rsid w:val="00486BF1"/>
    <w:rsid w:val="00496EBA"/>
    <w:rsid w:val="004B5327"/>
    <w:rsid w:val="004B65C3"/>
    <w:rsid w:val="004B75EE"/>
    <w:rsid w:val="004D18D0"/>
    <w:rsid w:val="004D4A84"/>
    <w:rsid w:val="004E031D"/>
    <w:rsid w:val="004F1D8A"/>
    <w:rsid w:val="005032A9"/>
    <w:rsid w:val="00540181"/>
    <w:rsid w:val="00547E6D"/>
    <w:rsid w:val="005605FA"/>
    <w:rsid w:val="00562363"/>
    <w:rsid w:val="00563EDA"/>
    <w:rsid w:val="00597CEC"/>
    <w:rsid w:val="005A6A62"/>
    <w:rsid w:val="005B4F15"/>
    <w:rsid w:val="005C0382"/>
    <w:rsid w:val="005D0011"/>
    <w:rsid w:val="005E7E4C"/>
    <w:rsid w:val="00600403"/>
    <w:rsid w:val="006237B5"/>
    <w:rsid w:val="00640844"/>
    <w:rsid w:val="0065555E"/>
    <w:rsid w:val="006671AF"/>
    <w:rsid w:val="00667822"/>
    <w:rsid w:val="00682B09"/>
    <w:rsid w:val="00697682"/>
    <w:rsid w:val="006A587C"/>
    <w:rsid w:val="006C02CF"/>
    <w:rsid w:val="006C5ED6"/>
    <w:rsid w:val="006E3116"/>
    <w:rsid w:val="006E7832"/>
    <w:rsid w:val="006F0558"/>
    <w:rsid w:val="006F3DAC"/>
    <w:rsid w:val="006F5B86"/>
    <w:rsid w:val="00703D63"/>
    <w:rsid w:val="0072752C"/>
    <w:rsid w:val="0073165A"/>
    <w:rsid w:val="0074033B"/>
    <w:rsid w:val="007432A3"/>
    <w:rsid w:val="00750C2C"/>
    <w:rsid w:val="0075612E"/>
    <w:rsid w:val="007711AE"/>
    <w:rsid w:val="00791F8B"/>
    <w:rsid w:val="007A148E"/>
    <w:rsid w:val="007A65B9"/>
    <w:rsid w:val="007B15FF"/>
    <w:rsid w:val="007B2EFD"/>
    <w:rsid w:val="007B7C4E"/>
    <w:rsid w:val="0080671C"/>
    <w:rsid w:val="00815914"/>
    <w:rsid w:val="00820675"/>
    <w:rsid w:val="00820E42"/>
    <w:rsid w:val="00844BB4"/>
    <w:rsid w:val="00850F91"/>
    <w:rsid w:val="00862DF1"/>
    <w:rsid w:val="008772AB"/>
    <w:rsid w:val="00882647"/>
    <w:rsid w:val="008B5B63"/>
    <w:rsid w:val="008E39D1"/>
    <w:rsid w:val="008E4062"/>
    <w:rsid w:val="008F6C19"/>
    <w:rsid w:val="009016C9"/>
    <w:rsid w:val="009245E9"/>
    <w:rsid w:val="00927CEF"/>
    <w:rsid w:val="0093468A"/>
    <w:rsid w:val="00941416"/>
    <w:rsid w:val="00950A40"/>
    <w:rsid w:val="00955685"/>
    <w:rsid w:val="0097012B"/>
    <w:rsid w:val="009765CC"/>
    <w:rsid w:val="00976A16"/>
    <w:rsid w:val="00981CCB"/>
    <w:rsid w:val="009918C3"/>
    <w:rsid w:val="009A520E"/>
    <w:rsid w:val="009A6D13"/>
    <w:rsid w:val="009B18DA"/>
    <w:rsid w:val="009C3A83"/>
    <w:rsid w:val="009D2CBC"/>
    <w:rsid w:val="00A01DC6"/>
    <w:rsid w:val="00A07DC5"/>
    <w:rsid w:val="00A25863"/>
    <w:rsid w:val="00A46619"/>
    <w:rsid w:val="00A53E4D"/>
    <w:rsid w:val="00A67F46"/>
    <w:rsid w:val="00A71D34"/>
    <w:rsid w:val="00A85517"/>
    <w:rsid w:val="00A86111"/>
    <w:rsid w:val="00A92699"/>
    <w:rsid w:val="00AA0E88"/>
    <w:rsid w:val="00AB0DED"/>
    <w:rsid w:val="00AB4831"/>
    <w:rsid w:val="00AC4545"/>
    <w:rsid w:val="00AC6D72"/>
    <w:rsid w:val="00AE417B"/>
    <w:rsid w:val="00AF0ED3"/>
    <w:rsid w:val="00AF236F"/>
    <w:rsid w:val="00AF79A7"/>
    <w:rsid w:val="00B02694"/>
    <w:rsid w:val="00B04A0A"/>
    <w:rsid w:val="00B2424F"/>
    <w:rsid w:val="00B34DD2"/>
    <w:rsid w:val="00B44A5B"/>
    <w:rsid w:val="00B625C7"/>
    <w:rsid w:val="00B64A9C"/>
    <w:rsid w:val="00B77B64"/>
    <w:rsid w:val="00B832D8"/>
    <w:rsid w:val="00B87318"/>
    <w:rsid w:val="00B93A13"/>
    <w:rsid w:val="00BB23E0"/>
    <w:rsid w:val="00BC4DE2"/>
    <w:rsid w:val="00BD06FB"/>
    <w:rsid w:val="00BD3C2A"/>
    <w:rsid w:val="00C064B6"/>
    <w:rsid w:val="00C214F4"/>
    <w:rsid w:val="00C569AC"/>
    <w:rsid w:val="00C6792E"/>
    <w:rsid w:val="00C7573C"/>
    <w:rsid w:val="00C951CB"/>
    <w:rsid w:val="00C965BC"/>
    <w:rsid w:val="00CA1EFC"/>
    <w:rsid w:val="00CA60CB"/>
    <w:rsid w:val="00CA7C4B"/>
    <w:rsid w:val="00CB06A4"/>
    <w:rsid w:val="00CC24C5"/>
    <w:rsid w:val="00D12CEA"/>
    <w:rsid w:val="00D31188"/>
    <w:rsid w:val="00D530E8"/>
    <w:rsid w:val="00D54F50"/>
    <w:rsid w:val="00D655A4"/>
    <w:rsid w:val="00D7014C"/>
    <w:rsid w:val="00DA1205"/>
    <w:rsid w:val="00DA259A"/>
    <w:rsid w:val="00DA2CA9"/>
    <w:rsid w:val="00DB4B98"/>
    <w:rsid w:val="00DD3806"/>
    <w:rsid w:val="00DD68DE"/>
    <w:rsid w:val="00DD7CE1"/>
    <w:rsid w:val="00DF22CC"/>
    <w:rsid w:val="00DF338A"/>
    <w:rsid w:val="00DF4333"/>
    <w:rsid w:val="00E05FA5"/>
    <w:rsid w:val="00E15F4F"/>
    <w:rsid w:val="00E2068B"/>
    <w:rsid w:val="00E32810"/>
    <w:rsid w:val="00E433DD"/>
    <w:rsid w:val="00E57C74"/>
    <w:rsid w:val="00E70D48"/>
    <w:rsid w:val="00E84CE1"/>
    <w:rsid w:val="00EA38CD"/>
    <w:rsid w:val="00EC093D"/>
    <w:rsid w:val="00EE568A"/>
    <w:rsid w:val="00F115CC"/>
    <w:rsid w:val="00F14611"/>
    <w:rsid w:val="00F17BBC"/>
    <w:rsid w:val="00F23A99"/>
    <w:rsid w:val="00F42B11"/>
    <w:rsid w:val="00F535E7"/>
    <w:rsid w:val="00F577B8"/>
    <w:rsid w:val="00F7327D"/>
    <w:rsid w:val="00F82159"/>
    <w:rsid w:val="00F82934"/>
    <w:rsid w:val="00FA46A6"/>
    <w:rsid w:val="00FA50E1"/>
    <w:rsid w:val="00FB237B"/>
    <w:rsid w:val="00FB7FFC"/>
    <w:rsid w:val="00FC7E7B"/>
    <w:rsid w:val="00FD1B3F"/>
    <w:rsid w:val="00FD7CD0"/>
    <w:rsid w:val="00FE5FDF"/>
    <w:rsid w:val="00FF3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3789"/>
  <w15:chartTrackingRefBased/>
  <w15:docId w15:val="{59A574A4-EEB0-4647-92D9-99745CDA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4B6"/>
  </w:style>
  <w:style w:type="paragraph" w:styleId="Heading1">
    <w:name w:val="heading 1"/>
    <w:basedOn w:val="Normal"/>
    <w:next w:val="Normal"/>
    <w:link w:val="Heading1Char"/>
    <w:uiPriority w:val="9"/>
    <w:qFormat/>
    <w:rsid w:val="00C064B6"/>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64B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064B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064B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064B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064B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064B6"/>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064B6"/>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064B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810"/>
    <w:pPr>
      <w:ind w:left="720"/>
      <w:contextualSpacing/>
    </w:pPr>
  </w:style>
  <w:style w:type="character" w:styleId="CommentReference">
    <w:name w:val="annotation reference"/>
    <w:basedOn w:val="DefaultParagraphFont"/>
    <w:uiPriority w:val="99"/>
    <w:semiHidden/>
    <w:unhideWhenUsed/>
    <w:rsid w:val="00B2424F"/>
    <w:rPr>
      <w:sz w:val="16"/>
      <w:szCs w:val="16"/>
    </w:rPr>
  </w:style>
  <w:style w:type="paragraph" w:styleId="CommentText">
    <w:name w:val="annotation text"/>
    <w:basedOn w:val="Normal"/>
    <w:link w:val="CommentTextChar"/>
    <w:uiPriority w:val="99"/>
    <w:semiHidden/>
    <w:unhideWhenUsed/>
    <w:rsid w:val="00B2424F"/>
    <w:pPr>
      <w:spacing w:line="240" w:lineRule="auto"/>
    </w:pPr>
    <w:rPr>
      <w:sz w:val="20"/>
      <w:szCs w:val="20"/>
    </w:rPr>
  </w:style>
  <w:style w:type="character" w:customStyle="1" w:styleId="CommentTextChar">
    <w:name w:val="Comment Text Char"/>
    <w:basedOn w:val="DefaultParagraphFont"/>
    <w:link w:val="CommentText"/>
    <w:uiPriority w:val="99"/>
    <w:semiHidden/>
    <w:rsid w:val="00B2424F"/>
    <w:rPr>
      <w:sz w:val="20"/>
      <w:szCs w:val="20"/>
    </w:rPr>
  </w:style>
  <w:style w:type="paragraph" w:styleId="CommentSubject">
    <w:name w:val="annotation subject"/>
    <w:basedOn w:val="CommentText"/>
    <w:next w:val="CommentText"/>
    <w:link w:val="CommentSubjectChar"/>
    <w:uiPriority w:val="99"/>
    <w:semiHidden/>
    <w:unhideWhenUsed/>
    <w:rsid w:val="00B2424F"/>
    <w:rPr>
      <w:b/>
      <w:bCs/>
    </w:rPr>
  </w:style>
  <w:style w:type="character" w:customStyle="1" w:styleId="CommentSubjectChar">
    <w:name w:val="Comment Subject Char"/>
    <w:basedOn w:val="CommentTextChar"/>
    <w:link w:val="CommentSubject"/>
    <w:uiPriority w:val="99"/>
    <w:semiHidden/>
    <w:rsid w:val="00B2424F"/>
    <w:rPr>
      <w:b/>
      <w:bCs/>
      <w:sz w:val="20"/>
      <w:szCs w:val="20"/>
    </w:rPr>
  </w:style>
  <w:style w:type="paragraph" w:styleId="BalloonText">
    <w:name w:val="Balloon Text"/>
    <w:basedOn w:val="Normal"/>
    <w:link w:val="BalloonTextChar"/>
    <w:uiPriority w:val="99"/>
    <w:semiHidden/>
    <w:unhideWhenUsed/>
    <w:rsid w:val="00B24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24F"/>
    <w:rPr>
      <w:rFonts w:ascii="Segoe UI" w:hAnsi="Segoe UI" w:cs="Segoe UI"/>
      <w:sz w:val="18"/>
      <w:szCs w:val="18"/>
    </w:rPr>
  </w:style>
  <w:style w:type="character" w:customStyle="1" w:styleId="Heading1Char">
    <w:name w:val="Heading 1 Char"/>
    <w:basedOn w:val="DefaultParagraphFont"/>
    <w:link w:val="Heading1"/>
    <w:uiPriority w:val="9"/>
    <w:rsid w:val="00C064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64B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064B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064B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064B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064B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064B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064B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064B6"/>
    <w:rPr>
      <w:b/>
      <w:bCs/>
      <w:i/>
      <w:iCs/>
    </w:rPr>
  </w:style>
  <w:style w:type="paragraph" w:styleId="Caption">
    <w:name w:val="caption"/>
    <w:basedOn w:val="Normal"/>
    <w:next w:val="Normal"/>
    <w:uiPriority w:val="35"/>
    <w:semiHidden/>
    <w:unhideWhenUsed/>
    <w:qFormat/>
    <w:rsid w:val="00C064B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064B6"/>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C064B6"/>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C064B6"/>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C064B6"/>
    <w:rPr>
      <w:color w:val="44546A" w:themeColor="text2"/>
      <w:sz w:val="28"/>
      <w:szCs w:val="28"/>
    </w:rPr>
  </w:style>
  <w:style w:type="character" w:styleId="Strong">
    <w:name w:val="Strong"/>
    <w:basedOn w:val="DefaultParagraphFont"/>
    <w:uiPriority w:val="22"/>
    <w:qFormat/>
    <w:rsid w:val="00C064B6"/>
    <w:rPr>
      <w:b/>
      <w:bCs/>
    </w:rPr>
  </w:style>
  <w:style w:type="character" w:styleId="Emphasis">
    <w:name w:val="Emphasis"/>
    <w:basedOn w:val="DefaultParagraphFont"/>
    <w:uiPriority w:val="20"/>
    <w:qFormat/>
    <w:rsid w:val="00C064B6"/>
    <w:rPr>
      <w:i/>
      <w:iCs/>
      <w:color w:val="000000" w:themeColor="text1"/>
    </w:rPr>
  </w:style>
  <w:style w:type="paragraph" w:styleId="NoSpacing">
    <w:name w:val="No Spacing"/>
    <w:uiPriority w:val="1"/>
    <w:qFormat/>
    <w:rsid w:val="00C064B6"/>
    <w:pPr>
      <w:spacing w:after="0" w:line="240" w:lineRule="auto"/>
    </w:pPr>
  </w:style>
  <w:style w:type="paragraph" w:styleId="Quote">
    <w:name w:val="Quote"/>
    <w:basedOn w:val="Normal"/>
    <w:next w:val="Normal"/>
    <w:link w:val="QuoteChar"/>
    <w:uiPriority w:val="29"/>
    <w:qFormat/>
    <w:rsid w:val="00C064B6"/>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C064B6"/>
    <w:rPr>
      <w:i/>
      <w:iCs/>
      <w:color w:val="7B7B7B" w:themeColor="accent3" w:themeShade="BF"/>
      <w:sz w:val="24"/>
      <w:szCs w:val="24"/>
    </w:rPr>
  </w:style>
  <w:style w:type="paragraph" w:styleId="IntenseQuote">
    <w:name w:val="Intense Quote"/>
    <w:basedOn w:val="Normal"/>
    <w:next w:val="Normal"/>
    <w:link w:val="IntenseQuoteChar"/>
    <w:uiPriority w:val="30"/>
    <w:qFormat/>
    <w:rsid w:val="00C064B6"/>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C064B6"/>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C064B6"/>
    <w:rPr>
      <w:i/>
      <w:iCs/>
      <w:color w:val="595959" w:themeColor="text1" w:themeTint="A6"/>
    </w:rPr>
  </w:style>
  <w:style w:type="character" w:styleId="IntenseEmphasis">
    <w:name w:val="Intense Emphasis"/>
    <w:basedOn w:val="DefaultParagraphFont"/>
    <w:uiPriority w:val="21"/>
    <w:qFormat/>
    <w:rsid w:val="00C064B6"/>
    <w:rPr>
      <w:b/>
      <w:bCs/>
      <w:i/>
      <w:iCs/>
      <w:color w:val="auto"/>
    </w:rPr>
  </w:style>
  <w:style w:type="character" w:styleId="SubtleReference">
    <w:name w:val="Subtle Reference"/>
    <w:basedOn w:val="DefaultParagraphFont"/>
    <w:uiPriority w:val="31"/>
    <w:qFormat/>
    <w:rsid w:val="00C064B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064B6"/>
    <w:rPr>
      <w:b/>
      <w:bCs/>
      <w:caps w:val="0"/>
      <w:smallCaps/>
      <w:color w:val="auto"/>
      <w:spacing w:val="0"/>
      <w:u w:val="single"/>
    </w:rPr>
  </w:style>
  <w:style w:type="character" w:styleId="BookTitle">
    <w:name w:val="Book Title"/>
    <w:basedOn w:val="DefaultParagraphFont"/>
    <w:uiPriority w:val="33"/>
    <w:qFormat/>
    <w:rsid w:val="00C064B6"/>
    <w:rPr>
      <w:b/>
      <w:bCs/>
      <w:caps w:val="0"/>
      <w:smallCaps/>
      <w:spacing w:val="0"/>
    </w:rPr>
  </w:style>
  <w:style w:type="paragraph" w:styleId="TOCHeading">
    <w:name w:val="TOC Heading"/>
    <w:basedOn w:val="Heading1"/>
    <w:next w:val="Normal"/>
    <w:uiPriority w:val="39"/>
    <w:semiHidden/>
    <w:unhideWhenUsed/>
    <w:qFormat/>
    <w:rsid w:val="00C064B6"/>
    <w:pPr>
      <w:outlineLvl w:val="9"/>
    </w:pPr>
  </w:style>
  <w:style w:type="paragraph" w:styleId="Header">
    <w:name w:val="header"/>
    <w:basedOn w:val="Normal"/>
    <w:link w:val="HeaderChar"/>
    <w:uiPriority w:val="99"/>
    <w:unhideWhenUsed/>
    <w:rsid w:val="007B1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5FF"/>
  </w:style>
  <w:style w:type="paragraph" w:styleId="Footer">
    <w:name w:val="footer"/>
    <w:basedOn w:val="Normal"/>
    <w:link w:val="FooterChar"/>
    <w:uiPriority w:val="99"/>
    <w:unhideWhenUsed/>
    <w:rsid w:val="007B1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5FF"/>
  </w:style>
  <w:style w:type="paragraph" w:styleId="Revision">
    <w:name w:val="Revision"/>
    <w:hidden/>
    <w:uiPriority w:val="99"/>
    <w:semiHidden/>
    <w:rsid w:val="00976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83209">
      <w:bodyDiv w:val="1"/>
      <w:marLeft w:val="0"/>
      <w:marRight w:val="0"/>
      <w:marTop w:val="0"/>
      <w:marBottom w:val="0"/>
      <w:divBdr>
        <w:top w:val="none" w:sz="0" w:space="0" w:color="auto"/>
        <w:left w:val="none" w:sz="0" w:space="0" w:color="auto"/>
        <w:bottom w:val="none" w:sz="0" w:space="0" w:color="auto"/>
        <w:right w:val="none" w:sz="0" w:space="0" w:color="auto"/>
      </w:divBdr>
    </w:div>
    <w:div w:id="941646234">
      <w:bodyDiv w:val="1"/>
      <w:marLeft w:val="0"/>
      <w:marRight w:val="0"/>
      <w:marTop w:val="0"/>
      <w:marBottom w:val="0"/>
      <w:divBdr>
        <w:top w:val="none" w:sz="0" w:space="0" w:color="auto"/>
        <w:left w:val="none" w:sz="0" w:space="0" w:color="auto"/>
        <w:bottom w:val="none" w:sz="0" w:space="0" w:color="auto"/>
        <w:right w:val="none" w:sz="0" w:space="0" w:color="auto"/>
      </w:divBdr>
    </w:div>
    <w:div w:id="945305595">
      <w:bodyDiv w:val="1"/>
      <w:marLeft w:val="0"/>
      <w:marRight w:val="0"/>
      <w:marTop w:val="0"/>
      <w:marBottom w:val="0"/>
      <w:divBdr>
        <w:top w:val="none" w:sz="0" w:space="0" w:color="auto"/>
        <w:left w:val="none" w:sz="0" w:space="0" w:color="auto"/>
        <w:bottom w:val="none" w:sz="0" w:space="0" w:color="auto"/>
        <w:right w:val="none" w:sz="0" w:space="0" w:color="auto"/>
      </w:divBdr>
    </w:div>
    <w:div w:id="1025639818">
      <w:bodyDiv w:val="1"/>
      <w:marLeft w:val="0"/>
      <w:marRight w:val="0"/>
      <w:marTop w:val="0"/>
      <w:marBottom w:val="0"/>
      <w:divBdr>
        <w:top w:val="none" w:sz="0" w:space="0" w:color="auto"/>
        <w:left w:val="none" w:sz="0" w:space="0" w:color="auto"/>
        <w:bottom w:val="none" w:sz="0" w:space="0" w:color="auto"/>
        <w:right w:val="none" w:sz="0" w:space="0" w:color="auto"/>
      </w:divBdr>
    </w:div>
    <w:div w:id="1094785981">
      <w:bodyDiv w:val="1"/>
      <w:marLeft w:val="0"/>
      <w:marRight w:val="0"/>
      <w:marTop w:val="0"/>
      <w:marBottom w:val="0"/>
      <w:divBdr>
        <w:top w:val="none" w:sz="0" w:space="0" w:color="auto"/>
        <w:left w:val="none" w:sz="0" w:space="0" w:color="auto"/>
        <w:bottom w:val="none" w:sz="0" w:space="0" w:color="auto"/>
        <w:right w:val="none" w:sz="0" w:space="0" w:color="auto"/>
      </w:divBdr>
    </w:div>
    <w:div w:id="1192960200">
      <w:bodyDiv w:val="1"/>
      <w:marLeft w:val="0"/>
      <w:marRight w:val="0"/>
      <w:marTop w:val="0"/>
      <w:marBottom w:val="0"/>
      <w:divBdr>
        <w:top w:val="none" w:sz="0" w:space="0" w:color="auto"/>
        <w:left w:val="none" w:sz="0" w:space="0" w:color="auto"/>
        <w:bottom w:val="none" w:sz="0" w:space="0" w:color="auto"/>
        <w:right w:val="none" w:sz="0" w:space="0" w:color="auto"/>
      </w:divBdr>
    </w:div>
    <w:div w:id="1345590467">
      <w:bodyDiv w:val="1"/>
      <w:marLeft w:val="0"/>
      <w:marRight w:val="0"/>
      <w:marTop w:val="0"/>
      <w:marBottom w:val="0"/>
      <w:divBdr>
        <w:top w:val="none" w:sz="0" w:space="0" w:color="auto"/>
        <w:left w:val="none" w:sz="0" w:space="0" w:color="auto"/>
        <w:bottom w:val="none" w:sz="0" w:space="0" w:color="auto"/>
        <w:right w:val="none" w:sz="0" w:space="0" w:color="auto"/>
      </w:divBdr>
    </w:div>
    <w:div w:id="1404643444">
      <w:bodyDiv w:val="1"/>
      <w:marLeft w:val="0"/>
      <w:marRight w:val="0"/>
      <w:marTop w:val="0"/>
      <w:marBottom w:val="0"/>
      <w:divBdr>
        <w:top w:val="none" w:sz="0" w:space="0" w:color="auto"/>
        <w:left w:val="none" w:sz="0" w:space="0" w:color="auto"/>
        <w:bottom w:val="none" w:sz="0" w:space="0" w:color="auto"/>
        <w:right w:val="none" w:sz="0" w:space="0" w:color="auto"/>
      </w:divBdr>
    </w:div>
    <w:div w:id="1413090358">
      <w:bodyDiv w:val="1"/>
      <w:marLeft w:val="0"/>
      <w:marRight w:val="0"/>
      <w:marTop w:val="0"/>
      <w:marBottom w:val="0"/>
      <w:divBdr>
        <w:top w:val="none" w:sz="0" w:space="0" w:color="auto"/>
        <w:left w:val="none" w:sz="0" w:space="0" w:color="auto"/>
        <w:bottom w:val="none" w:sz="0" w:space="0" w:color="auto"/>
        <w:right w:val="none" w:sz="0" w:space="0" w:color="auto"/>
      </w:divBdr>
    </w:div>
    <w:div w:id="1703242871">
      <w:bodyDiv w:val="1"/>
      <w:marLeft w:val="0"/>
      <w:marRight w:val="0"/>
      <w:marTop w:val="0"/>
      <w:marBottom w:val="0"/>
      <w:divBdr>
        <w:top w:val="none" w:sz="0" w:space="0" w:color="auto"/>
        <w:left w:val="none" w:sz="0" w:space="0" w:color="auto"/>
        <w:bottom w:val="none" w:sz="0" w:space="0" w:color="auto"/>
        <w:right w:val="none" w:sz="0" w:space="0" w:color="auto"/>
      </w:divBdr>
    </w:div>
    <w:div w:id="20653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ECD0-4EBB-410C-AAFA-F5C44464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3111</Words>
  <Characters>17735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Wackerly</dc:creator>
  <cp:keywords/>
  <dc:description/>
  <cp:lastModifiedBy>Tony Wackerly</cp:lastModifiedBy>
  <cp:revision>4</cp:revision>
  <dcterms:created xsi:type="dcterms:W3CDTF">2022-09-16T18:54:00Z</dcterms:created>
  <dcterms:modified xsi:type="dcterms:W3CDTF">2022-09-16T19:15:00Z</dcterms:modified>
</cp:coreProperties>
</file>