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F47E9E" w:rsidRPr="00611A1D" w:rsidTr="00581B65">
        <w:trPr>
          <w:trHeight w:val="1681"/>
          <w:jc w:val="center"/>
        </w:trPr>
        <w:tc>
          <w:tcPr>
            <w:tcW w:w="4358" w:type="dxa"/>
            <w:hideMark/>
          </w:tcPr>
          <w:p w:rsidR="00F47E9E" w:rsidRPr="00611A1D" w:rsidRDefault="00F47E9E" w:rsidP="00581B65">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rsidR="00F47E9E" w:rsidRPr="00611A1D" w:rsidRDefault="00F47E9E" w:rsidP="00581B65">
            <w:pPr>
              <w:spacing w:line="276" w:lineRule="auto"/>
              <w:rPr>
                <w:rStyle w:val="Strong"/>
                <w:sz w:val="20"/>
                <w:szCs w:val="20"/>
              </w:rPr>
            </w:pPr>
          </w:p>
          <w:p w:rsidR="00F47E9E" w:rsidRPr="00611A1D" w:rsidRDefault="00F47E9E" w:rsidP="00581B65">
            <w:pPr>
              <w:spacing w:line="276" w:lineRule="auto"/>
              <w:rPr>
                <w:rStyle w:val="Strong"/>
                <w:sz w:val="20"/>
                <w:szCs w:val="20"/>
              </w:rPr>
            </w:pPr>
            <w:r w:rsidRPr="00611A1D">
              <w:rPr>
                <w:rStyle w:val="Strong"/>
                <w:sz w:val="20"/>
                <w:szCs w:val="20"/>
              </w:rPr>
              <w:t xml:space="preserve">TRICIA PRIDEMORE, Chairman </w:t>
            </w:r>
          </w:p>
          <w:p w:rsidR="00F47E9E" w:rsidRPr="00611A1D" w:rsidRDefault="00F47E9E" w:rsidP="00581B65">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rsidR="00F47E9E" w:rsidRPr="00611A1D" w:rsidRDefault="00F47E9E" w:rsidP="00581B65">
            <w:pPr>
              <w:spacing w:line="276" w:lineRule="auto"/>
              <w:rPr>
                <w:rStyle w:val="Strong"/>
                <w:sz w:val="20"/>
                <w:szCs w:val="20"/>
              </w:rPr>
            </w:pPr>
            <w:r w:rsidRPr="00611A1D">
              <w:rPr>
                <w:rStyle w:val="Strong"/>
                <w:sz w:val="20"/>
                <w:szCs w:val="20"/>
              </w:rPr>
              <w:t xml:space="preserve">FITZ JOHNSON </w:t>
            </w:r>
          </w:p>
          <w:p w:rsidR="00F47E9E" w:rsidRDefault="00F47E9E" w:rsidP="00581B65">
            <w:pPr>
              <w:spacing w:line="276" w:lineRule="auto"/>
            </w:pPr>
            <w:r w:rsidRPr="00611A1D">
              <w:rPr>
                <w:rStyle w:val="Strong"/>
                <w:sz w:val="20"/>
                <w:szCs w:val="20"/>
              </w:rPr>
              <w:t xml:space="preserve">LAUREN “BUBBA” McDONALD                                  </w:t>
            </w:r>
            <w:r w:rsidRPr="00611A1D">
              <w:rPr>
                <w:b/>
                <w:sz w:val="20"/>
                <w:szCs w:val="20"/>
              </w:rPr>
              <w:br/>
            </w:r>
            <w:r w:rsidRPr="00611A1D">
              <w:rPr>
                <w:rStyle w:val="Strong"/>
                <w:sz w:val="20"/>
                <w:szCs w:val="20"/>
              </w:rPr>
              <w:t>JASON SHAW</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rsidR="00F47E9E" w:rsidRDefault="00F47E9E" w:rsidP="00581B65">
            <w:pPr>
              <w:tabs>
                <w:tab w:val="left" w:pos="1410"/>
              </w:tabs>
              <w:spacing w:line="276" w:lineRule="auto"/>
            </w:pPr>
            <w:r>
              <w:t xml:space="preserve">    </w:t>
            </w:r>
            <w:r w:rsidRPr="00A958CB">
              <w:rPr>
                <w:noProof/>
              </w:rPr>
              <w:drawing>
                <wp:inline distT="0" distB="0" distL="0" distR="0" wp14:anchorId="2E5BC609" wp14:editId="11C906A9">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6" cstate="print">
                            <a:biLevel thresh="75000"/>
                            <a:extLst>
                              <a:ext uri="{BEBA8EAE-BF5A-486C-A8C5-ECC9F3942E4B}">
                                <a14:imgProps xmlns:a14="http://schemas.microsoft.com/office/drawing/2010/main">
                                  <a14:imgLayer r:embed="rId7">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rsidR="00F47E9E" w:rsidRPr="00611A1D" w:rsidRDefault="00F47E9E" w:rsidP="00581B65">
            <w:pPr>
              <w:spacing w:line="276" w:lineRule="auto"/>
              <w:rPr>
                <w:b/>
                <w:sz w:val="20"/>
                <w:szCs w:val="20"/>
              </w:rPr>
            </w:pPr>
          </w:p>
          <w:p w:rsidR="00F47E9E" w:rsidRPr="00611A1D" w:rsidRDefault="00F47E9E" w:rsidP="00581B65">
            <w:pPr>
              <w:spacing w:line="276" w:lineRule="auto"/>
              <w:jc w:val="right"/>
              <w:rPr>
                <w:b/>
                <w:sz w:val="20"/>
                <w:szCs w:val="20"/>
              </w:rPr>
            </w:pPr>
            <w:r w:rsidRPr="00611A1D">
              <w:rPr>
                <w:b/>
                <w:sz w:val="20"/>
                <w:szCs w:val="20"/>
              </w:rPr>
              <w:t>REECE McALISTER </w:t>
            </w:r>
          </w:p>
          <w:p w:rsidR="00F47E9E" w:rsidRPr="00611A1D" w:rsidRDefault="00F47E9E" w:rsidP="00581B65">
            <w:pPr>
              <w:spacing w:line="276" w:lineRule="auto"/>
              <w:jc w:val="right"/>
              <w:rPr>
                <w:b/>
                <w:sz w:val="20"/>
                <w:szCs w:val="20"/>
              </w:rPr>
            </w:pPr>
            <w:r w:rsidRPr="00611A1D">
              <w:rPr>
                <w:b/>
                <w:sz w:val="20"/>
                <w:szCs w:val="20"/>
              </w:rPr>
              <w:t>EXECUTIVE DIRECTOR</w:t>
            </w:r>
          </w:p>
          <w:p w:rsidR="00F47E9E" w:rsidRPr="00611A1D" w:rsidRDefault="00F47E9E" w:rsidP="00581B65">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F47E9E" w:rsidTr="00581B65">
        <w:trPr>
          <w:trHeight w:val="772"/>
          <w:jc w:val="center"/>
        </w:trPr>
        <w:tc>
          <w:tcPr>
            <w:tcW w:w="11056" w:type="dxa"/>
            <w:gridSpan w:val="3"/>
            <w:hideMark/>
          </w:tcPr>
          <w:p w:rsidR="00F47E9E" w:rsidRDefault="00F47E9E" w:rsidP="00581B65">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Georgia Public Service Commission</w:t>
            </w:r>
          </w:p>
        </w:tc>
      </w:tr>
      <w:tr w:rsidR="00F47E9E" w:rsidTr="00581B65">
        <w:trPr>
          <w:jc w:val="center"/>
        </w:trPr>
        <w:tc>
          <w:tcPr>
            <w:tcW w:w="4358" w:type="dxa"/>
            <w:hideMark/>
          </w:tcPr>
          <w:p w:rsidR="00F47E9E" w:rsidRDefault="00F47E9E" w:rsidP="00581B65">
            <w:pPr>
              <w:spacing w:line="276" w:lineRule="auto"/>
              <w:rPr>
                <w:rFonts w:cs="Arial"/>
                <w:b/>
                <w:bCs/>
                <w:sz w:val="17"/>
                <w:szCs w:val="17"/>
              </w:rPr>
            </w:pPr>
            <w:r>
              <w:rPr>
                <w:rFonts w:cs="Arial"/>
                <w:b/>
                <w:bCs/>
                <w:sz w:val="17"/>
                <w:szCs w:val="17"/>
              </w:rPr>
              <w:t>(404) 656-4501</w:t>
            </w:r>
          </w:p>
          <w:p w:rsidR="00F47E9E" w:rsidRDefault="00F47E9E" w:rsidP="00581B65">
            <w:pPr>
              <w:spacing w:line="276" w:lineRule="auto"/>
              <w:rPr>
                <w:rFonts w:cs="Arial"/>
                <w:b/>
                <w:bCs/>
              </w:rPr>
            </w:pPr>
            <w:r>
              <w:rPr>
                <w:rFonts w:cs="Arial"/>
                <w:b/>
                <w:bCs/>
                <w:sz w:val="17"/>
                <w:szCs w:val="17"/>
              </w:rPr>
              <w:t>(800) 282-5813</w:t>
            </w:r>
          </w:p>
        </w:tc>
        <w:tc>
          <w:tcPr>
            <w:tcW w:w="2970" w:type="dxa"/>
            <w:hideMark/>
          </w:tcPr>
          <w:p w:rsidR="00F47E9E" w:rsidRDefault="00F47E9E" w:rsidP="00581B65">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rsidR="00F47E9E" w:rsidRDefault="00F47E9E" w:rsidP="00581B65">
            <w:pPr>
              <w:spacing w:line="276" w:lineRule="auto"/>
              <w:jc w:val="right"/>
              <w:rPr>
                <w:rFonts w:cs="Arial"/>
                <w:b/>
                <w:bCs/>
                <w:sz w:val="17"/>
                <w:szCs w:val="17"/>
              </w:rPr>
            </w:pPr>
            <w:r>
              <w:rPr>
                <w:rFonts w:cs="Arial"/>
                <w:b/>
                <w:bCs/>
                <w:sz w:val="17"/>
                <w:szCs w:val="17"/>
              </w:rPr>
              <w:t xml:space="preserve">FAX: (404) 656-2341                   </w:t>
            </w:r>
          </w:p>
          <w:p w:rsidR="00F47E9E" w:rsidRDefault="00F47E9E" w:rsidP="00581B65">
            <w:pPr>
              <w:spacing w:line="276" w:lineRule="auto"/>
              <w:jc w:val="right"/>
              <w:rPr>
                <w:rFonts w:cs="Arial"/>
                <w:b/>
                <w:bCs/>
              </w:rPr>
            </w:pPr>
            <w:r>
              <w:rPr>
                <w:rFonts w:cs="Arial"/>
                <w:b/>
                <w:bCs/>
                <w:sz w:val="17"/>
                <w:szCs w:val="17"/>
              </w:rPr>
              <w:t>psc.ga.gov</w:t>
            </w:r>
          </w:p>
        </w:tc>
      </w:tr>
    </w:tbl>
    <w:p w:rsidR="00464D24" w:rsidRDefault="00464D24" w:rsidP="00464D24">
      <w:pPr>
        <w:jc w:val="center"/>
        <w:rPr>
          <w:b/>
        </w:rPr>
      </w:pPr>
    </w:p>
    <w:p w:rsidR="00B44D56" w:rsidRDefault="00B44D56" w:rsidP="00464D24">
      <w:pPr>
        <w:jc w:val="center"/>
        <w:rPr>
          <w:b/>
        </w:rPr>
      </w:pPr>
    </w:p>
    <w:p w:rsidR="00464D24" w:rsidRPr="002C468E" w:rsidRDefault="00464D24" w:rsidP="00464D24">
      <w:pPr>
        <w:jc w:val="center"/>
        <w:rPr>
          <w:b/>
        </w:rPr>
      </w:pPr>
      <w:r w:rsidRPr="002C468E">
        <w:rPr>
          <w:b/>
        </w:rPr>
        <w:t>DOCKET NO</w:t>
      </w:r>
      <w:r w:rsidR="001C24B1">
        <w:rPr>
          <w:b/>
        </w:rPr>
        <w:t>s</w:t>
      </w:r>
      <w:r w:rsidRPr="002C468E">
        <w:rPr>
          <w:b/>
        </w:rPr>
        <w:t>.</w:t>
      </w:r>
      <w:r>
        <w:rPr>
          <w:b/>
        </w:rPr>
        <w:t xml:space="preserve"> 28320</w:t>
      </w:r>
      <w:r w:rsidR="00AC0F55">
        <w:rPr>
          <w:b/>
        </w:rPr>
        <w:t>/34432/38703</w:t>
      </w:r>
      <w:r w:rsidR="00D91FF8">
        <w:rPr>
          <w:b/>
        </w:rPr>
        <w:t>/41533</w:t>
      </w:r>
      <w:r w:rsidR="00C60AFE">
        <w:rPr>
          <w:b/>
        </w:rPr>
        <w:t>/43404</w:t>
      </w:r>
    </w:p>
    <w:p w:rsidR="00464D24" w:rsidRDefault="00464D24" w:rsidP="00464D24">
      <w:pPr>
        <w:rPr>
          <w:b/>
        </w:rPr>
      </w:pPr>
    </w:p>
    <w:p w:rsidR="00B44D56" w:rsidRPr="002C468E" w:rsidRDefault="00B44D56" w:rsidP="00464D24">
      <w:pPr>
        <w:rPr>
          <w:b/>
        </w:rPr>
      </w:pPr>
    </w:p>
    <w:p w:rsidR="00464D24" w:rsidRPr="002C468E" w:rsidRDefault="00464D24" w:rsidP="00464D24">
      <w:pPr>
        <w:rPr>
          <w:b/>
        </w:rPr>
      </w:pPr>
    </w:p>
    <w:p w:rsidR="00464D24" w:rsidRPr="002C468E" w:rsidRDefault="00464D24" w:rsidP="00062D41">
      <w:pPr>
        <w:ind w:left="1440" w:hanging="1440"/>
        <w:rPr>
          <w:b/>
        </w:rPr>
      </w:pPr>
      <w:r>
        <w:rPr>
          <w:b/>
        </w:rPr>
        <w:t>IN RE:</w:t>
      </w:r>
      <w:r w:rsidR="00062D41">
        <w:rPr>
          <w:b/>
        </w:rPr>
        <w:tab/>
      </w:r>
      <w:r w:rsidRPr="002C468E">
        <w:rPr>
          <w:b/>
        </w:rPr>
        <w:t xml:space="preserve">ORDER </w:t>
      </w:r>
      <w:r w:rsidR="00B404C5">
        <w:rPr>
          <w:b/>
        </w:rPr>
        <w:t xml:space="preserve">EXTENDING </w:t>
      </w:r>
      <w:r w:rsidR="00B357DC">
        <w:rPr>
          <w:b/>
        </w:rPr>
        <w:t>MEMORANDUM OF UNDERSTANDING</w:t>
      </w:r>
      <w:r w:rsidR="001C24B1">
        <w:rPr>
          <w:b/>
        </w:rPr>
        <w:t xml:space="preserve"> </w:t>
      </w:r>
    </w:p>
    <w:p w:rsidR="00464D24" w:rsidRDefault="00464D24" w:rsidP="00464D24">
      <w:pPr>
        <w:jc w:val="both"/>
      </w:pPr>
    </w:p>
    <w:p w:rsidR="00464D24" w:rsidRDefault="00464D24" w:rsidP="00464D24">
      <w:pPr>
        <w:jc w:val="both"/>
      </w:pPr>
    </w:p>
    <w:p w:rsidR="00DB3C83" w:rsidRDefault="00DB3C83" w:rsidP="00464D24">
      <w:pPr>
        <w:ind w:firstLine="720"/>
        <w:jc w:val="both"/>
      </w:pPr>
      <w:r>
        <w:t>This matter comes to the Georgia Public Service Commission (“</w:t>
      </w:r>
      <w:r w:rsidR="00EE6A5D">
        <w:t>Commission</w:t>
      </w:r>
      <w:r>
        <w:t xml:space="preserve">”) as a result of the Department of Human Services (“DHS”) filing a letter </w:t>
      </w:r>
      <w:r w:rsidR="001C24B1">
        <w:t xml:space="preserve">that requests </w:t>
      </w:r>
      <w:r>
        <w:t>the extension of the current Memorandum of Understanding (“MOU”) between the GPSC and DHS.</w:t>
      </w:r>
    </w:p>
    <w:p w:rsidR="00DB3C83" w:rsidRDefault="00DB3C83" w:rsidP="00464D24">
      <w:pPr>
        <w:ind w:firstLine="720"/>
        <w:jc w:val="both"/>
      </w:pPr>
    </w:p>
    <w:p w:rsidR="00DB3C83" w:rsidRDefault="00DB3C83" w:rsidP="00464D24">
      <w:pPr>
        <w:ind w:firstLine="720"/>
        <w:jc w:val="both"/>
      </w:pPr>
    </w:p>
    <w:p w:rsidR="00E72735" w:rsidRDefault="00E72735" w:rsidP="00DB3C83">
      <w:pPr>
        <w:ind w:firstLine="720"/>
        <w:jc w:val="center"/>
        <w:rPr>
          <w:b/>
        </w:rPr>
      </w:pPr>
    </w:p>
    <w:p w:rsidR="00DB3C83" w:rsidRDefault="00DB3C83" w:rsidP="00DB3C83">
      <w:pPr>
        <w:ind w:firstLine="720"/>
        <w:jc w:val="center"/>
        <w:rPr>
          <w:b/>
        </w:rPr>
      </w:pPr>
      <w:r w:rsidRPr="00DB3C83">
        <w:rPr>
          <w:b/>
        </w:rPr>
        <w:t>Background</w:t>
      </w:r>
    </w:p>
    <w:p w:rsidR="00DB3C83" w:rsidRPr="00DB3C83" w:rsidRDefault="00DB3C83" w:rsidP="00DB3C83">
      <w:pPr>
        <w:ind w:firstLine="720"/>
        <w:jc w:val="center"/>
        <w:rPr>
          <w:b/>
        </w:rPr>
      </w:pPr>
    </w:p>
    <w:p w:rsidR="00B404C5" w:rsidRDefault="00062D41" w:rsidP="00464D24">
      <w:pPr>
        <w:ind w:firstLine="720"/>
        <w:jc w:val="both"/>
      </w:pPr>
      <w:r>
        <w:t>On August</w:t>
      </w:r>
      <w:r w:rsidR="00B357DC">
        <w:t xml:space="preserve"> 17, 2011</w:t>
      </w:r>
      <w:r w:rsidR="00A2340D">
        <w:t xml:space="preserve">, the </w:t>
      </w:r>
      <w:r w:rsidR="00EE6A5D">
        <w:t xml:space="preserve">Commission </w:t>
      </w:r>
      <w:r w:rsidR="00A2340D">
        <w:t>and DHS entered into a Mem</w:t>
      </w:r>
      <w:r w:rsidR="00DB3C83">
        <w:t>orandum of Understanding.</w:t>
      </w:r>
      <w:r w:rsidR="00A2340D">
        <w:t xml:space="preserve"> The MOU provided for the transfer of funds from the Fresh Start Program to the Regulated Provider Program. The MOU also provided for a disbursement from the Universal Service Fund (“USF”) to DHS </w:t>
      </w:r>
      <w:r w:rsidR="00952B1C">
        <w:t xml:space="preserve">in order to provide </w:t>
      </w:r>
      <w:r w:rsidR="001C24B1">
        <w:t xml:space="preserve">funding for the </w:t>
      </w:r>
      <w:r w:rsidR="00952B1C">
        <w:t xml:space="preserve">referral processing </w:t>
      </w:r>
      <w:r w:rsidR="00566CA7">
        <w:t>services for</w:t>
      </w:r>
      <w:r w:rsidR="00A2340D">
        <w:t xml:space="preserve"> the Regulated Provider Program.</w:t>
      </w:r>
      <w:r w:rsidR="00DD5CDE">
        <w:t>.</w:t>
      </w:r>
    </w:p>
    <w:p w:rsidR="00DD5CDE" w:rsidRDefault="00DD5CDE" w:rsidP="00464D24">
      <w:pPr>
        <w:ind w:firstLine="720"/>
        <w:jc w:val="both"/>
      </w:pPr>
    </w:p>
    <w:p w:rsidR="00B404C5" w:rsidRDefault="00A2340D" w:rsidP="00464D24">
      <w:pPr>
        <w:ind w:firstLine="720"/>
        <w:jc w:val="both"/>
        <w:rPr>
          <w:i/>
        </w:rPr>
      </w:pPr>
      <w:r>
        <w:t xml:space="preserve">Paragraph 8 of the MOU provided that, “[i]f, by August 31, 2012, the full amount of this grant has not been used for the purposes of processing consumer applications for the Regulated Provider, then the amount left over shall be returned to the Commission to be deposited into the USF.”  </w:t>
      </w:r>
    </w:p>
    <w:p w:rsidR="0017132F" w:rsidRDefault="0017132F" w:rsidP="00464D24">
      <w:pPr>
        <w:ind w:firstLine="720"/>
        <w:jc w:val="both"/>
        <w:rPr>
          <w:i/>
        </w:rPr>
      </w:pPr>
    </w:p>
    <w:p w:rsidR="00300EAE" w:rsidRDefault="00DD5CDE" w:rsidP="00464D24">
      <w:pPr>
        <w:ind w:firstLine="720"/>
        <w:jc w:val="both"/>
      </w:pPr>
      <w:r>
        <w:t xml:space="preserve">On </w:t>
      </w:r>
      <w:r w:rsidR="008B12C5">
        <w:t>February 7</w:t>
      </w:r>
      <w:r>
        <w:t>, 201</w:t>
      </w:r>
      <w:r w:rsidR="008B12C5">
        <w:t>4</w:t>
      </w:r>
      <w:r>
        <w:t xml:space="preserve">, DHS filed a letter with the Commission requesting an extension of the </w:t>
      </w:r>
      <w:r w:rsidR="001C24B1">
        <w:t xml:space="preserve">then </w:t>
      </w:r>
      <w:r>
        <w:t>current MOU through August 31, 201</w:t>
      </w:r>
      <w:r w:rsidR="00C457D8">
        <w:t>5</w:t>
      </w:r>
      <w:r>
        <w:t xml:space="preserve">.  </w:t>
      </w:r>
      <w:r w:rsidR="00CA2DE6">
        <w:t xml:space="preserve">Additional funding </w:t>
      </w:r>
      <w:r w:rsidR="00AC0F55">
        <w:t>was</w:t>
      </w:r>
      <w:r w:rsidR="00CA2DE6">
        <w:t xml:space="preserve"> not</w:t>
      </w:r>
      <w:r w:rsidR="00E11377">
        <w:t xml:space="preserve"> being</w:t>
      </w:r>
      <w:r w:rsidR="00CA2DE6">
        <w:t xml:space="preserve"> requested at t</w:t>
      </w:r>
      <w:r w:rsidR="00AC0F55">
        <w:t>hat</w:t>
      </w:r>
      <w:r w:rsidR="00CA2DE6">
        <w:t xml:space="preserve"> time.  </w:t>
      </w:r>
      <w:r w:rsidR="00CA2DE6" w:rsidRPr="00C04EEA">
        <w:t xml:space="preserve">However, the extension of the MOU </w:t>
      </w:r>
      <w:r w:rsidR="00AC0F55" w:rsidRPr="00C04EEA">
        <w:t>was</w:t>
      </w:r>
      <w:r w:rsidR="00CA2DE6" w:rsidRPr="00C04EEA">
        <w:t xml:space="preserve"> necessary in order to avoid having </w:t>
      </w:r>
      <w:r w:rsidR="00300EAE" w:rsidRPr="00C04EEA">
        <w:t xml:space="preserve">to </w:t>
      </w:r>
      <w:r w:rsidR="00CA2DE6" w:rsidRPr="00C04EEA">
        <w:t xml:space="preserve">return </w:t>
      </w:r>
      <w:r w:rsidR="00300EAE" w:rsidRPr="00C04EEA">
        <w:t>the funds to the</w:t>
      </w:r>
      <w:r w:rsidR="00CA2DE6" w:rsidRPr="00C04EEA">
        <w:t xml:space="preserve"> USF</w:t>
      </w:r>
      <w:r w:rsidR="00C04EEA">
        <w:t xml:space="preserve"> </w:t>
      </w:r>
      <w:r w:rsidR="002A0DAD">
        <w:t>and to facilitate the processing of applications for the Regulated Provider Program</w:t>
      </w:r>
      <w:r w:rsidR="00C04EEA">
        <w:t xml:space="preserve">. DHS has continued to file these extensions </w:t>
      </w:r>
      <w:r w:rsidR="002A0DAD">
        <w:t>either yearly or bi-yearly without requesting additional funding. DHS now requests another extension to the</w:t>
      </w:r>
      <w:r w:rsidR="00B42F5E">
        <w:t xml:space="preserve"> current</w:t>
      </w:r>
      <w:r w:rsidR="002A0DAD">
        <w:t xml:space="preserve"> MOU</w:t>
      </w:r>
      <w:r w:rsidR="00063EB1">
        <w:t xml:space="preserve"> which ends on September 30, 2022</w:t>
      </w:r>
      <w:r w:rsidR="005640DE">
        <w:t>.</w:t>
      </w:r>
    </w:p>
    <w:p w:rsidR="00C04EEA" w:rsidRDefault="00C04EEA" w:rsidP="00215777">
      <w:pPr>
        <w:jc w:val="both"/>
      </w:pPr>
    </w:p>
    <w:p w:rsidR="00E11377" w:rsidRDefault="00E11377" w:rsidP="00E72735">
      <w:pPr>
        <w:jc w:val="both"/>
      </w:pPr>
    </w:p>
    <w:p w:rsidR="00E72735" w:rsidRDefault="00E72735" w:rsidP="00E72735">
      <w:pPr>
        <w:jc w:val="both"/>
      </w:pPr>
    </w:p>
    <w:p w:rsidR="00C0756B" w:rsidRDefault="00C0756B" w:rsidP="002A0DAD">
      <w:pPr>
        <w:ind w:firstLine="720"/>
        <w:jc w:val="center"/>
        <w:rPr>
          <w:b/>
        </w:rPr>
      </w:pPr>
      <w:r w:rsidRPr="00C0756B">
        <w:rPr>
          <w:b/>
        </w:rPr>
        <w:t>Extension Request</w:t>
      </w:r>
      <w:r w:rsidR="00004C56">
        <w:rPr>
          <w:b/>
        </w:rPr>
        <w:t xml:space="preserve"> and </w:t>
      </w:r>
      <w:r w:rsidR="001C24B1">
        <w:rPr>
          <w:b/>
        </w:rPr>
        <w:t>Staff Review</w:t>
      </w:r>
    </w:p>
    <w:p w:rsidR="00C0756B" w:rsidRPr="00C0756B" w:rsidRDefault="00C0756B" w:rsidP="00C0756B">
      <w:pPr>
        <w:ind w:firstLine="720"/>
        <w:jc w:val="center"/>
        <w:rPr>
          <w:b/>
        </w:rPr>
      </w:pPr>
    </w:p>
    <w:p w:rsidR="00E11377" w:rsidRPr="00E106AD" w:rsidRDefault="00E11377" w:rsidP="0097419F">
      <w:pPr>
        <w:ind w:firstLine="720"/>
        <w:jc w:val="both"/>
        <w:rPr>
          <w:color w:val="C00000"/>
        </w:rPr>
      </w:pPr>
      <w:r>
        <w:t xml:space="preserve">On June 17, 2022, DHS filed a letter requesting </w:t>
      </w:r>
      <w:r w:rsidR="00DF6663">
        <w:t xml:space="preserve">an </w:t>
      </w:r>
      <w:r>
        <w:t xml:space="preserve">extension of the current MOU through September 30, 2023 </w:t>
      </w:r>
      <w:r w:rsidR="001C24B1">
        <w:t>to continue providing referral services</w:t>
      </w:r>
      <w:r w:rsidR="00572F4A">
        <w:t xml:space="preserve"> </w:t>
      </w:r>
      <w:r w:rsidR="00432419">
        <w:t>for</w:t>
      </w:r>
      <w:r w:rsidR="00572F4A">
        <w:t xml:space="preserve"> the Regulated Provider Program</w:t>
      </w:r>
      <w:r>
        <w:t>,</w:t>
      </w:r>
      <w:r w:rsidR="002E35A6">
        <w:t xml:space="preserve"> </w:t>
      </w:r>
      <w:r w:rsidR="00DF6663">
        <w:t>The</w:t>
      </w:r>
      <w:r>
        <w:t xml:space="preserve"> extension of the MOU is </w:t>
      </w:r>
      <w:r w:rsidR="00DF6663">
        <w:t xml:space="preserve">also </w:t>
      </w:r>
      <w:r>
        <w:t>necessary</w:t>
      </w:r>
      <w:r w:rsidR="002E35A6">
        <w:t xml:space="preserve"> </w:t>
      </w:r>
      <w:r>
        <w:t>in order to avoid DHS having to return the funds to the USF.</w:t>
      </w:r>
      <w:r w:rsidR="00572F4A">
        <w:t xml:space="preserve"> </w:t>
      </w:r>
    </w:p>
    <w:p w:rsidR="0019495D" w:rsidRDefault="00197437" w:rsidP="00464D24">
      <w:pPr>
        <w:ind w:firstLine="720"/>
        <w:jc w:val="both"/>
      </w:pPr>
      <w:r>
        <w:t xml:space="preserve">Commission </w:t>
      </w:r>
      <w:r w:rsidR="008B3729">
        <w:t>Staff</w:t>
      </w:r>
      <w:r w:rsidR="00195FD8">
        <w:t xml:space="preserve"> </w:t>
      </w:r>
      <w:r w:rsidR="008B3729">
        <w:t xml:space="preserve">met with DHS </w:t>
      </w:r>
      <w:r>
        <w:t xml:space="preserve">and </w:t>
      </w:r>
      <w:r w:rsidR="00235749">
        <w:t>Scana</w:t>
      </w:r>
      <w:r w:rsidR="002E35A6">
        <w:t xml:space="preserve"> Energy</w:t>
      </w:r>
      <w:r w:rsidR="00235749">
        <w:t xml:space="preserve"> as </w:t>
      </w:r>
      <w:r>
        <w:t xml:space="preserve">the Regulated Provider multiple times </w:t>
      </w:r>
      <w:r w:rsidR="002E35A6">
        <w:t xml:space="preserve">via zoom and telephone </w:t>
      </w:r>
      <w:r w:rsidR="00211781">
        <w:t>conferences</w:t>
      </w:r>
      <w:r w:rsidR="00063EB1">
        <w:t xml:space="preserve"> </w:t>
      </w:r>
      <w:r>
        <w:t>during this process</w:t>
      </w:r>
      <w:r w:rsidR="00EE6A5D">
        <w:t xml:space="preserve">. </w:t>
      </w:r>
      <w:r w:rsidR="00235749">
        <w:t xml:space="preserve">After careful consideration of the extension </w:t>
      </w:r>
      <w:r w:rsidR="00063EB1">
        <w:t>request</w:t>
      </w:r>
      <w:r w:rsidR="00235749">
        <w:t xml:space="preserve">, </w:t>
      </w:r>
      <w:r w:rsidR="00063EB1">
        <w:t xml:space="preserve">and the performance of Staff’s due diligence, </w:t>
      </w:r>
      <w:r w:rsidR="00235749">
        <w:t xml:space="preserve">Staff recommends that the Commission approve the </w:t>
      </w:r>
      <w:r w:rsidR="00063EB1">
        <w:t>extension.</w:t>
      </w:r>
      <w:r w:rsidR="00235749">
        <w:t>.</w:t>
      </w:r>
    </w:p>
    <w:p w:rsidR="001C24B1" w:rsidRDefault="001C24B1" w:rsidP="00464D24">
      <w:pPr>
        <w:ind w:firstLine="720"/>
        <w:jc w:val="both"/>
      </w:pPr>
    </w:p>
    <w:p w:rsidR="00E72735" w:rsidRDefault="00E72735" w:rsidP="00464D24">
      <w:pPr>
        <w:ind w:firstLine="720"/>
        <w:jc w:val="both"/>
      </w:pPr>
    </w:p>
    <w:p w:rsidR="001C24B1" w:rsidRPr="00215777" w:rsidRDefault="001C24B1" w:rsidP="00464D24">
      <w:pPr>
        <w:ind w:firstLine="720"/>
        <w:jc w:val="both"/>
        <w:rPr>
          <w:b/>
          <w:bCs/>
        </w:rPr>
      </w:pPr>
    </w:p>
    <w:p w:rsidR="001C24B1" w:rsidRPr="00215777" w:rsidRDefault="001C24B1" w:rsidP="00464D24">
      <w:pPr>
        <w:ind w:firstLine="720"/>
        <w:jc w:val="both"/>
        <w:rPr>
          <w:b/>
          <w:bCs/>
        </w:rPr>
      </w:pPr>
      <w:r w:rsidRPr="00215777">
        <w:rPr>
          <w:b/>
          <w:bCs/>
        </w:rPr>
        <w:tab/>
      </w:r>
      <w:r w:rsidRPr="00215777">
        <w:rPr>
          <w:b/>
          <w:bCs/>
        </w:rPr>
        <w:tab/>
      </w:r>
      <w:r w:rsidRPr="00215777">
        <w:rPr>
          <w:b/>
          <w:bCs/>
        </w:rPr>
        <w:tab/>
        <w:t>Commission Decision</w:t>
      </w:r>
      <w:r w:rsidR="00EE6A5D">
        <w:rPr>
          <w:b/>
          <w:bCs/>
        </w:rPr>
        <w:t xml:space="preserve"> </w:t>
      </w:r>
    </w:p>
    <w:p w:rsidR="002A0DAD" w:rsidRDefault="002A0DAD" w:rsidP="00464D24">
      <w:pPr>
        <w:ind w:firstLine="720"/>
        <w:jc w:val="both"/>
      </w:pPr>
    </w:p>
    <w:p w:rsidR="0017132F" w:rsidRDefault="00CA2DE6" w:rsidP="00464D24">
      <w:pPr>
        <w:ind w:firstLine="720"/>
        <w:jc w:val="both"/>
      </w:pPr>
      <w:r>
        <w:t>In order for DHS to continue to facilitate the processing of applications for the Regulated Provider Program, the Commission finds</w:t>
      </w:r>
      <w:r w:rsidR="00E522BC">
        <w:t xml:space="preserve"> that</w:t>
      </w:r>
      <w:r>
        <w:t xml:space="preserve"> it </w:t>
      </w:r>
      <w:r w:rsidR="00E522BC">
        <w:t xml:space="preserve">is </w:t>
      </w:r>
      <w:r>
        <w:t xml:space="preserve">in the public interest to grant DHS’s </w:t>
      </w:r>
      <w:r w:rsidRPr="00215777">
        <w:t xml:space="preserve">request.  If DHS does not have </w:t>
      </w:r>
      <w:r w:rsidR="00063EB1">
        <w:t>authority</w:t>
      </w:r>
      <w:r w:rsidRPr="00215777">
        <w:t xml:space="preserve"> to perform this function, eligible consumers w</w:t>
      </w:r>
      <w:r w:rsidR="00E522BC" w:rsidRPr="00215777">
        <w:t>ill</w:t>
      </w:r>
      <w:r w:rsidRPr="00215777">
        <w:t xml:space="preserve"> be at risk of not being able to receive natural gas servi</w:t>
      </w:r>
      <w:r w:rsidR="00B44D56" w:rsidRPr="00215777">
        <w:t xml:space="preserve">ce from the </w:t>
      </w:r>
      <w:r w:rsidR="002E35A6" w:rsidRPr="00215777">
        <w:t>R</w:t>
      </w:r>
      <w:r w:rsidR="00B44D56" w:rsidRPr="00215777">
        <w:t xml:space="preserve">egulated </w:t>
      </w:r>
      <w:r w:rsidR="002E35A6" w:rsidRPr="00215777">
        <w:t>P</w:t>
      </w:r>
      <w:r w:rsidR="00B44D56" w:rsidRPr="00215777">
        <w:t>rovider.</w:t>
      </w:r>
      <w:r>
        <w:t xml:space="preserve"> Therefore, d</w:t>
      </w:r>
      <w:r w:rsidR="0017132F">
        <w:t xml:space="preserve">uring </w:t>
      </w:r>
      <w:r w:rsidR="0017132F" w:rsidRPr="00362B61">
        <w:t xml:space="preserve">its </w:t>
      </w:r>
      <w:r w:rsidR="00B44D56">
        <w:t>August</w:t>
      </w:r>
      <w:r w:rsidR="0097419F" w:rsidRPr="00362B61">
        <w:t xml:space="preserve"> </w:t>
      </w:r>
      <w:r w:rsidR="00B44D56">
        <w:t>16, 2022</w:t>
      </w:r>
      <w:r w:rsidR="0017132F" w:rsidRPr="00362B61">
        <w:t xml:space="preserve"> </w:t>
      </w:r>
      <w:r w:rsidR="0017132F">
        <w:t xml:space="preserve">Administrative Session, the Commission voted to extend the term </w:t>
      </w:r>
      <w:r w:rsidR="00E522BC">
        <w:t xml:space="preserve">of the </w:t>
      </w:r>
      <w:r w:rsidR="00A2340D">
        <w:t>Memorandum of Understanding t</w:t>
      </w:r>
      <w:r w:rsidR="00EA59D6">
        <w:t xml:space="preserve">hrough </w:t>
      </w:r>
      <w:r w:rsidR="0097419F" w:rsidRPr="00362B61">
        <w:t>September 30</w:t>
      </w:r>
      <w:r w:rsidR="00EA59D6" w:rsidRPr="00362B61">
        <w:t>, 20</w:t>
      </w:r>
      <w:r w:rsidR="00B44D56">
        <w:t>23</w:t>
      </w:r>
    </w:p>
    <w:p w:rsidR="0017132F" w:rsidRDefault="0017132F" w:rsidP="00464D24">
      <w:pPr>
        <w:ind w:firstLine="720"/>
        <w:jc w:val="center"/>
      </w:pPr>
    </w:p>
    <w:p w:rsidR="00E72735" w:rsidRDefault="00E72735" w:rsidP="00464D24">
      <w:pPr>
        <w:ind w:firstLine="720"/>
        <w:jc w:val="center"/>
      </w:pPr>
    </w:p>
    <w:p w:rsidR="008F5622" w:rsidRDefault="008F5622" w:rsidP="00464D24">
      <w:pPr>
        <w:ind w:firstLine="720"/>
        <w:jc w:val="center"/>
      </w:pPr>
    </w:p>
    <w:p w:rsidR="00464D24" w:rsidRDefault="00464D24" w:rsidP="00464D24">
      <w:pPr>
        <w:ind w:firstLine="720"/>
        <w:jc w:val="center"/>
      </w:pPr>
      <w:r>
        <w:t>*     *     *     *     *</w:t>
      </w:r>
    </w:p>
    <w:p w:rsidR="00464D24" w:rsidRDefault="00464D24" w:rsidP="00464D24">
      <w:pPr>
        <w:ind w:firstLine="720"/>
        <w:jc w:val="both"/>
      </w:pPr>
    </w:p>
    <w:p w:rsidR="00B44D56" w:rsidRDefault="00B44D56" w:rsidP="00464D24">
      <w:pPr>
        <w:ind w:firstLine="720"/>
        <w:jc w:val="both"/>
      </w:pPr>
    </w:p>
    <w:p w:rsidR="00EA59D6" w:rsidRPr="0017132F" w:rsidRDefault="00464D24" w:rsidP="005640DE">
      <w:pPr>
        <w:ind w:firstLine="720"/>
        <w:jc w:val="both"/>
      </w:pPr>
      <w:r w:rsidRPr="0025402C">
        <w:rPr>
          <w:b/>
        </w:rPr>
        <w:t>WHEREFORE IT IS ORDERED,</w:t>
      </w:r>
      <w:r w:rsidR="00211781">
        <w:rPr>
          <w:b/>
        </w:rPr>
        <w:t xml:space="preserve"> </w:t>
      </w:r>
      <w:r w:rsidR="00B42F5E">
        <w:t xml:space="preserve">that the Commission </w:t>
      </w:r>
      <w:r w:rsidR="00F25170">
        <w:t xml:space="preserve">hereby </w:t>
      </w:r>
      <w:r w:rsidR="00B42F5E">
        <w:t>approves the request for an extension to the current MOU</w:t>
      </w:r>
      <w:r w:rsidR="005C21EB">
        <w:t xml:space="preserve"> between DHS and the Commission</w:t>
      </w:r>
      <w:r w:rsidR="00B42F5E">
        <w:t xml:space="preserve"> to be effective October 1, 2022 through September 30, 2023.</w:t>
      </w:r>
      <w:r>
        <w:t xml:space="preserve"> </w:t>
      </w:r>
    </w:p>
    <w:p w:rsidR="00EA59D6" w:rsidRDefault="00EA59D6" w:rsidP="00464D24">
      <w:pPr>
        <w:ind w:firstLine="720"/>
        <w:jc w:val="both"/>
        <w:rPr>
          <w:b/>
        </w:rPr>
      </w:pPr>
    </w:p>
    <w:p w:rsidR="00EA59D6" w:rsidRDefault="00EA59D6" w:rsidP="00464D24">
      <w:pPr>
        <w:ind w:firstLine="720"/>
        <w:jc w:val="both"/>
        <w:rPr>
          <w:b/>
        </w:rPr>
      </w:pPr>
    </w:p>
    <w:p w:rsidR="00464D24" w:rsidRDefault="00464D24" w:rsidP="00464D24">
      <w:pPr>
        <w:ind w:firstLine="720"/>
        <w:jc w:val="both"/>
      </w:pPr>
      <w:r w:rsidRPr="0025402C">
        <w:rPr>
          <w:b/>
        </w:rPr>
        <w:t>ORDERED FURTHER,</w:t>
      </w:r>
      <w:r>
        <w:t xml:space="preserve"> </w:t>
      </w:r>
      <w:r w:rsidR="0017132F">
        <w:t>that a motion for reconsideration, rehearing, or oral argument or any other motion shall not stay the effective date of this Order, unless otherwise ordered by the Commission.</w:t>
      </w:r>
      <w:r>
        <w:t xml:space="preserve">  </w:t>
      </w:r>
    </w:p>
    <w:p w:rsidR="00464D24" w:rsidRDefault="00464D24" w:rsidP="00464D24">
      <w:pPr>
        <w:ind w:firstLine="720"/>
        <w:jc w:val="both"/>
      </w:pPr>
    </w:p>
    <w:p w:rsidR="00E72735" w:rsidRDefault="00E72735" w:rsidP="00464D24">
      <w:pPr>
        <w:ind w:firstLine="720"/>
        <w:jc w:val="both"/>
      </w:pPr>
    </w:p>
    <w:p w:rsidR="00464D24" w:rsidRDefault="00464D24" w:rsidP="00464D24">
      <w:pPr>
        <w:ind w:firstLine="720"/>
        <w:jc w:val="both"/>
      </w:pPr>
      <w:r w:rsidRPr="0025402C">
        <w:rPr>
          <w:b/>
        </w:rPr>
        <w:t>ORDERED FURTHER,</w:t>
      </w:r>
      <w:r>
        <w:t xml:space="preserve"> </w:t>
      </w:r>
      <w:r w:rsidR="00F62E3F">
        <w:t>that jurisdiction over this matter is expressly retained for the purpose of entering such further Order or Orders as this Commission may deem just and proper.</w:t>
      </w:r>
    </w:p>
    <w:p w:rsidR="00464D24" w:rsidRDefault="00464D24" w:rsidP="00464D24">
      <w:pPr>
        <w:ind w:firstLine="720"/>
        <w:jc w:val="both"/>
      </w:pPr>
    </w:p>
    <w:p w:rsidR="00464D24" w:rsidRPr="00362B61" w:rsidRDefault="00464D24" w:rsidP="00464D24">
      <w:pPr>
        <w:ind w:firstLine="720"/>
        <w:jc w:val="both"/>
      </w:pPr>
      <w:r>
        <w:t xml:space="preserve">The above by action of the Commission in Administrative Session on the </w:t>
      </w:r>
      <w:r w:rsidR="00B44D56">
        <w:t>1</w:t>
      </w:r>
      <w:r w:rsidR="0097419F" w:rsidRPr="00362B61">
        <w:t>6</w:t>
      </w:r>
      <w:r w:rsidR="00F06A9C" w:rsidRPr="00362B61">
        <w:t>th</w:t>
      </w:r>
      <w:r w:rsidR="00B357DC" w:rsidRPr="00362B61">
        <w:t xml:space="preserve"> </w:t>
      </w:r>
      <w:r w:rsidRPr="00362B61">
        <w:t xml:space="preserve">day of </w:t>
      </w:r>
      <w:r w:rsidR="00B44D56">
        <w:t>August 2022</w:t>
      </w:r>
      <w:r w:rsidRPr="00362B61">
        <w:t>.</w:t>
      </w:r>
    </w:p>
    <w:p w:rsidR="00464D24" w:rsidRPr="00362B61" w:rsidRDefault="00464D24" w:rsidP="00464D24">
      <w:pPr>
        <w:jc w:val="both"/>
      </w:pPr>
    </w:p>
    <w:p w:rsidR="00464D24" w:rsidRDefault="00464D24" w:rsidP="00464D24">
      <w:pPr>
        <w:jc w:val="both"/>
      </w:pPr>
    </w:p>
    <w:p w:rsidR="008F5622" w:rsidRPr="00362B61" w:rsidRDefault="008F5622" w:rsidP="00464D24">
      <w:pPr>
        <w:jc w:val="both"/>
      </w:pPr>
    </w:p>
    <w:p w:rsidR="00464D24" w:rsidRPr="00362B61" w:rsidRDefault="00464D24" w:rsidP="00464D24">
      <w:pPr>
        <w:jc w:val="both"/>
        <w:rPr>
          <w:u w:val="single"/>
        </w:rPr>
      </w:pPr>
      <w:r w:rsidRPr="00362B61">
        <w:rPr>
          <w:u w:val="single"/>
        </w:rPr>
        <w:tab/>
      </w:r>
      <w:r w:rsidRPr="00362B61">
        <w:rPr>
          <w:u w:val="single"/>
        </w:rPr>
        <w:tab/>
      </w:r>
      <w:r w:rsidRPr="00362B61">
        <w:rPr>
          <w:u w:val="single"/>
        </w:rPr>
        <w:tab/>
      </w:r>
      <w:r w:rsidRPr="00362B61">
        <w:rPr>
          <w:u w:val="single"/>
        </w:rPr>
        <w:tab/>
      </w:r>
      <w:r w:rsidRPr="00362B61">
        <w:rPr>
          <w:u w:val="single"/>
        </w:rPr>
        <w:tab/>
      </w:r>
      <w:r w:rsidRPr="00362B61">
        <w:tab/>
      </w:r>
      <w:r w:rsidRPr="00362B61">
        <w:tab/>
      </w:r>
      <w:r w:rsidRPr="00362B61">
        <w:tab/>
      </w:r>
      <w:r w:rsidRPr="00362B61">
        <w:rPr>
          <w:u w:val="single"/>
        </w:rPr>
        <w:tab/>
      </w:r>
      <w:r w:rsidRPr="00362B61">
        <w:rPr>
          <w:u w:val="single"/>
        </w:rPr>
        <w:tab/>
      </w:r>
      <w:r w:rsidRPr="00362B61">
        <w:rPr>
          <w:u w:val="single"/>
        </w:rPr>
        <w:tab/>
      </w:r>
      <w:r w:rsidRPr="00362B61">
        <w:rPr>
          <w:u w:val="single"/>
        </w:rPr>
        <w:tab/>
      </w:r>
      <w:r w:rsidRPr="00362B61">
        <w:rPr>
          <w:u w:val="single"/>
        </w:rPr>
        <w:tab/>
      </w:r>
    </w:p>
    <w:p w:rsidR="00464D24" w:rsidRPr="00362B61" w:rsidRDefault="00B44D56" w:rsidP="00464D24">
      <w:pPr>
        <w:jc w:val="both"/>
      </w:pPr>
      <w:r>
        <w:t>Sallie Tanner</w:t>
      </w:r>
      <w:r>
        <w:tab/>
      </w:r>
      <w:r w:rsidR="00464D24" w:rsidRPr="00362B61">
        <w:tab/>
      </w:r>
      <w:r w:rsidR="00464D24" w:rsidRPr="00362B61">
        <w:tab/>
      </w:r>
      <w:r w:rsidR="00464D24" w:rsidRPr="00362B61">
        <w:tab/>
      </w:r>
      <w:r w:rsidR="00464D24" w:rsidRPr="00362B61">
        <w:tab/>
      </w:r>
      <w:r w:rsidR="00464D24" w:rsidRPr="00362B61">
        <w:tab/>
      </w:r>
      <w:r w:rsidR="00464D24" w:rsidRPr="00362B61">
        <w:tab/>
      </w:r>
      <w:r>
        <w:t>Tricia Pridemore</w:t>
      </w:r>
    </w:p>
    <w:p w:rsidR="00464D24" w:rsidRPr="00362B61" w:rsidRDefault="00464D24" w:rsidP="00464D24">
      <w:pPr>
        <w:jc w:val="both"/>
      </w:pPr>
      <w:r w:rsidRPr="00362B61">
        <w:t>Executive Secretary</w:t>
      </w:r>
      <w:r w:rsidRPr="00362B61">
        <w:tab/>
      </w:r>
      <w:r w:rsidRPr="00362B61">
        <w:tab/>
      </w:r>
      <w:r w:rsidRPr="00362B61">
        <w:tab/>
      </w:r>
      <w:r w:rsidRPr="00362B61">
        <w:tab/>
      </w:r>
      <w:r w:rsidRPr="00362B61">
        <w:tab/>
      </w:r>
      <w:r w:rsidRPr="00362B61">
        <w:tab/>
        <w:t>Chairman</w:t>
      </w:r>
    </w:p>
    <w:p w:rsidR="00464D24" w:rsidRDefault="00464D24" w:rsidP="00464D24">
      <w:pPr>
        <w:jc w:val="both"/>
      </w:pPr>
    </w:p>
    <w:p w:rsidR="00464D24" w:rsidRDefault="00464D24" w:rsidP="00464D24">
      <w:pPr>
        <w:jc w:val="both"/>
      </w:pPr>
    </w:p>
    <w:p w:rsidR="00464D24" w:rsidRPr="00EC62EB" w:rsidRDefault="00464D24" w:rsidP="00464D24">
      <w:pPr>
        <w:jc w:val="both"/>
        <w:rPr>
          <w:u w:val="single"/>
        </w:rPr>
      </w:pPr>
      <w:r w:rsidRPr="00EC62EB">
        <w:rPr>
          <w:u w:val="single"/>
        </w:rPr>
        <w:tab/>
      </w:r>
      <w:r w:rsidRPr="00EC62EB">
        <w:rPr>
          <w:u w:val="single"/>
        </w:rPr>
        <w:tab/>
      </w:r>
      <w:r w:rsidRPr="00EC62EB">
        <w:rPr>
          <w:u w:val="single"/>
        </w:rPr>
        <w:tab/>
      </w:r>
      <w:r w:rsidRPr="00EC62EB">
        <w:rPr>
          <w:u w:val="single"/>
        </w:rPr>
        <w:tab/>
      </w:r>
      <w:r w:rsidRPr="00EC62EB">
        <w:rPr>
          <w:u w:val="single"/>
        </w:rPr>
        <w:tab/>
      </w:r>
      <w:r w:rsidRPr="00EC62EB">
        <w:tab/>
      </w:r>
      <w:r w:rsidRPr="00EC62EB">
        <w:tab/>
      </w:r>
      <w:r w:rsidRPr="00EC62EB">
        <w:tab/>
      </w:r>
      <w:r w:rsidRPr="00EC62EB">
        <w:rPr>
          <w:u w:val="single"/>
        </w:rPr>
        <w:tab/>
      </w:r>
      <w:r w:rsidRPr="00EC62EB">
        <w:rPr>
          <w:u w:val="single"/>
        </w:rPr>
        <w:tab/>
      </w:r>
      <w:r w:rsidRPr="00EC62EB">
        <w:rPr>
          <w:u w:val="single"/>
        </w:rPr>
        <w:tab/>
      </w:r>
      <w:r w:rsidRPr="00EC62EB">
        <w:rPr>
          <w:u w:val="single"/>
        </w:rPr>
        <w:tab/>
      </w:r>
      <w:r w:rsidRPr="00EC62EB">
        <w:rPr>
          <w:u w:val="single"/>
        </w:rPr>
        <w:tab/>
      </w:r>
    </w:p>
    <w:p w:rsidR="00464D24" w:rsidRDefault="00464D24" w:rsidP="00464D24">
      <w:pPr>
        <w:jc w:val="both"/>
      </w:pPr>
      <w:r>
        <w:t>Date</w:t>
      </w:r>
      <w:r>
        <w:tab/>
      </w:r>
      <w:r>
        <w:tab/>
      </w:r>
      <w:r>
        <w:tab/>
      </w:r>
      <w:r>
        <w:tab/>
      </w:r>
      <w:r>
        <w:tab/>
      </w:r>
      <w:r>
        <w:tab/>
      </w:r>
      <w:r>
        <w:tab/>
      </w:r>
      <w:r>
        <w:tab/>
        <w:t>Date</w:t>
      </w:r>
    </w:p>
    <w:p w:rsidR="00464D24" w:rsidRPr="002C468E" w:rsidRDefault="00464D24" w:rsidP="00464D24">
      <w:pPr>
        <w:jc w:val="both"/>
      </w:pPr>
    </w:p>
    <w:sectPr w:rsidR="00464D24" w:rsidRPr="002C468E" w:rsidSect="00464D24">
      <w:footerReference w:type="default" r:id="rId8"/>
      <w:pgSz w:w="12240" w:h="15840" w:code="1"/>
      <w:pgMar w:top="1440" w:right="1440" w:bottom="1440" w:left="1440" w:header="720" w:footer="989"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1CDF7D" w16cid:durableId="26A9E8E5"/>
  <w16cid:commentId w16cid:paraId="13B6B6BF" w16cid:durableId="26A9E8E6"/>
  <w16cid:commentId w16cid:paraId="638D8C49" w16cid:durableId="26A9E8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725" w:rsidRDefault="00961725">
      <w:r>
        <w:separator/>
      </w:r>
    </w:p>
  </w:endnote>
  <w:endnote w:type="continuationSeparator" w:id="0">
    <w:p w:rsidR="00961725" w:rsidRDefault="0096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867" w:rsidRDefault="00D65867" w:rsidP="00464D24">
    <w:pPr>
      <w:pStyle w:val="Footer"/>
      <w:jc w:val="center"/>
      <w:rPr>
        <w:sz w:val="20"/>
        <w:szCs w:val="20"/>
      </w:rPr>
    </w:pPr>
    <w:r>
      <w:rPr>
        <w:sz w:val="20"/>
        <w:szCs w:val="20"/>
      </w:rPr>
      <w:t>Docket No. 28320</w:t>
    </w:r>
    <w:r w:rsidR="00AC0F55">
      <w:rPr>
        <w:sz w:val="20"/>
        <w:szCs w:val="20"/>
      </w:rPr>
      <w:t>/34432/38703</w:t>
    </w:r>
    <w:r w:rsidR="00B44D56">
      <w:rPr>
        <w:sz w:val="20"/>
        <w:szCs w:val="20"/>
      </w:rPr>
      <w:t>/41533/43404</w:t>
    </w:r>
  </w:p>
  <w:p w:rsidR="00D65867" w:rsidRDefault="00D65867" w:rsidP="00464D24">
    <w:pPr>
      <w:pStyle w:val="Footer"/>
      <w:jc w:val="center"/>
      <w:rPr>
        <w:sz w:val="20"/>
        <w:szCs w:val="20"/>
      </w:rPr>
    </w:pPr>
    <w:r>
      <w:rPr>
        <w:sz w:val="20"/>
        <w:szCs w:val="20"/>
      </w:rPr>
      <w:t xml:space="preserve">Order Extending </w:t>
    </w:r>
    <w:r w:rsidR="00062D41">
      <w:rPr>
        <w:sz w:val="20"/>
        <w:szCs w:val="20"/>
      </w:rPr>
      <w:t xml:space="preserve">Memorandum of Understanding </w:t>
    </w:r>
    <w:r w:rsidR="0019495D">
      <w:rPr>
        <w:sz w:val="20"/>
        <w:szCs w:val="20"/>
      </w:rPr>
      <w:t xml:space="preserve">for </w:t>
    </w:r>
    <w:r w:rsidR="00B44D56">
      <w:rPr>
        <w:sz w:val="20"/>
        <w:szCs w:val="20"/>
      </w:rPr>
      <w:t>2022</w:t>
    </w:r>
    <w:r w:rsidRPr="00362B61">
      <w:rPr>
        <w:sz w:val="20"/>
        <w:szCs w:val="20"/>
      </w:rPr>
      <w:t>-</w:t>
    </w:r>
    <w:r w:rsidR="00062D41" w:rsidRPr="00362B61">
      <w:rPr>
        <w:sz w:val="20"/>
        <w:szCs w:val="20"/>
      </w:rPr>
      <w:t>20</w:t>
    </w:r>
    <w:r w:rsidR="00B44D56">
      <w:rPr>
        <w:sz w:val="20"/>
        <w:szCs w:val="20"/>
      </w:rPr>
      <w:t>23</w:t>
    </w:r>
  </w:p>
  <w:p w:rsidR="00D65867" w:rsidRPr="00FA1348" w:rsidRDefault="00D65867" w:rsidP="00464D24">
    <w:pPr>
      <w:pStyle w:val="Footer"/>
      <w:jc w:val="center"/>
      <w:rPr>
        <w:sz w:val="20"/>
        <w:szCs w:val="20"/>
      </w:rPr>
    </w:pPr>
    <w:r w:rsidRPr="00FA1348">
      <w:rPr>
        <w:sz w:val="20"/>
        <w:szCs w:val="20"/>
      </w:rPr>
      <w:t xml:space="preserve">Page </w:t>
    </w:r>
    <w:r w:rsidRPr="00FA1348">
      <w:rPr>
        <w:sz w:val="20"/>
        <w:szCs w:val="20"/>
      </w:rPr>
      <w:fldChar w:fldCharType="begin"/>
    </w:r>
    <w:r w:rsidRPr="00FA1348">
      <w:rPr>
        <w:sz w:val="20"/>
        <w:szCs w:val="20"/>
      </w:rPr>
      <w:instrText xml:space="preserve"> PAGE </w:instrText>
    </w:r>
    <w:r w:rsidRPr="00FA1348">
      <w:rPr>
        <w:sz w:val="20"/>
        <w:szCs w:val="20"/>
      </w:rPr>
      <w:fldChar w:fldCharType="separate"/>
    </w:r>
    <w:r w:rsidR="008E1426">
      <w:rPr>
        <w:noProof/>
        <w:sz w:val="20"/>
        <w:szCs w:val="20"/>
      </w:rPr>
      <w:t>1</w:t>
    </w:r>
    <w:r w:rsidRPr="00FA1348">
      <w:rPr>
        <w:sz w:val="20"/>
        <w:szCs w:val="20"/>
      </w:rPr>
      <w:fldChar w:fldCharType="end"/>
    </w:r>
    <w:r w:rsidRPr="00FA1348">
      <w:rPr>
        <w:sz w:val="20"/>
        <w:szCs w:val="20"/>
      </w:rPr>
      <w:t xml:space="preserve"> of </w:t>
    </w:r>
    <w:r w:rsidRPr="00FA1348">
      <w:rPr>
        <w:sz w:val="20"/>
        <w:szCs w:val="20"/>
      </w:rPr>
      <w:fldChar w:fldCharType="begin"/>
    </w:r>
    <w:r w:rsidRPr="00FA1348">
      <w:rPr>
        <w:sz w:val="20"/>
        <w:szCs w:val="20"/>
      </w:rPr>
      <w:instrText xml:space="preserve"> NUMPAGES </w:instrText>
    </w:r>
    <w:r w:rsidRPr="00FA1348">
      <w:rPr>
        <w:sz w:val="20"/>
        <w:szCs w:val="20"/>
      </w:rPr>
      <w:fldChar w:fldCharType="separate"/>
    </w:r>
    <w:r w:rsidR="008E1426">
      <w:rPr>
        <w:noProof/>
        <w:sz w:val="20"/>
        <w:szCs w:val="20"/>
      </w:rPr>
      <w:t>3</w:t>
    </w:r>
    <w:r w:rsidRPr="00FA134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725" w:rsidRDefault="00961725">
      <w:r>
        <w:separator/>
      </w:r>
    </w:p>
  </w:footnote>
  <w:footnote w:type="continuationSeparator" w:id="0">
    <w:p w:rsidR="00961725" w:rsidRDefault="00961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D24"/>
    <w:rsid w:val="00004C56"/>
    <w:rsid w:val="00007118"/>
    <w:rsid w:val="00052FFC"/>
    <w:rsid w:val="000540B8"/>
    <w:rsid w:val="00062D41"/>
    <w:rsid w:val="00062F95"/>
    <w:rsid w:val="00063EB1"/>
    <w:rsid w:val="00086CF4"/>
    <w:rsid w:val="00091EA7"/>
    <w:rsid w:val="000C7559"/>
    <w:rsid w:val="001117BE"/>
    <w:rsid w:val="001131E2"/>
    <w:rsid w:val="001262B4"/>
    <w:rsid w:val="00126F33"/>
    <w:rsid w:val="0017132F"/>
    <w:rsid w:val="00187876"/>
    <w:rsid w:val="0019495D"/>
    <w:rsid w:val="00195FD8"/>
    <w:rsid w:val="00197437"/>
    <w:rsid w:val="001C24B1"/>
    <w:rsid w:val="001E3371"/>
    <w:rsid w:val="00202DAD"/>
    <w:rsid w:val="00211781"/>
    <w:rsid w:val="00215777"/>
    <w:rsid w:val="00235749"/>
    <w:rsid w:val="002A0DAD"/>
    <w:rsid w:val="002E26E4"/>
    <w:rsid w:val="002E35A6"/>
    <w:rsid w:val="00300EAE"/>
    <w:rsid w:val="00362B61"/>
    <w:rsid w:val="00394857"/>
    <w:rsid w:val="003A4C4F"/>
    <w:rsid w:val="003A7852"/>
    <w:rsid w:val="003C617D"/>
    <w:rsid w:val="003D0E17"/>
    <w:rsid w:val="003D70D0"/>
    <w:rsid w:val="003E0A61"/>
    <w:rsid w:val="003E1DDB"/>
    <w:rsid w:val="00403282"/>
    <w:rsid w:val="00432419"/>
    <w:rsid w:val="00445D69"/>
    <w:rsid w:val="00464D24"/>
    <w:rsid w:val="004C7C1B"/>
    <w:rsid w:val="004E483F"/>
    <w:rsid w:val="004E7FB0"/>
    <w:rsid w:val="00513D29"/>
    <w:rsid w:val="00540171"/>
    <w:rsid w:val="005536F8"/>
    <w:rsid w:val="005640DE"/>
    <w:rsid w:val="00566CA7"/>
    <w:rsid w:val="00572F4A"/>
    <w:rsid w:val="00586890"/>
    <w:rsid w:val="0059248F"/>
    <w:rsid w:val="005B32EB"/>
    <w:rsid w:val="005C21EB"/>
    <w:rsid w:val="005D2CEF"/>
    <w:rsid w:val="006732F7"/>
    <w:rsid w:val="00690C11"/>
    <w:rsid w:val="0069540A"/>
    <w:rsid w:val="006F1AE7"/>
    <w:rsid w:val="00777596"/>
    <w:rsid w:val="007C7F9D"/>
    <w:rsid w:val="007E19B2"/>
    <w:rsid w:val="008009CC"/>
    <w:rsid w:val="00801947"/>
    <w:rsid w:val="0080594B"/>
    <w:rsid w:val="008723FE"/>
    <w:rsid w:val="008B12C5"/>
    <w:rsid w:val="008B3729"/>
    <w:rsid w:val="008E1426"/>
    <w:rsid w:val="008F5622"/>
    <w:rsid w:val="00952B1C"/>
    <w:rsid w:val="00961725"/>
    <w:rsid w:val="0097419F"/>
    <w:rsid w:val="009F7ED0"/>
    <w:rsid w:val="00A2340D"/>
    <w:rsid w:val="00A50A54"/>
    <w:rsid w:val="00A74710"/>
    <w:rsid w:val="00A916A5"/>
    <w:rsid w:val="00AC0F55"/>
    <w:rsid w:val="00AC7476"/>
    <w:rsid w:val="00B32C7E"/>
    <w:rsid w:val="00B33A9E"/>
    <w:rsid w:val="00B357DC"/>
    <w:rsid w:val="00B404C5"/>
    <w:rsid w:val="00B42F5E"/>
    <w:rsid w:val="00B44D56"/>
    <w:rsid w:val="00B83A5A"/>
    <w:rsid w:val="00BB5276"/>
    <w:rsid w:val="00BD28DB"/>
    <w:rsid w:val="00BF6C2C"/>
    <w:rsid w:val="00C04EEA"/>
    <w:rsid w:val="00C0756B"/>
    <w:rsid w:val="00C13C0A"/>
    <w:rsid w:val="00C23E8D"/>
    <w:rsid w:val="00C457D8"/>
    <w:rsid w:val="00C60AFE"/>
    <w:rsid w:val="00C63BC2"/>
    <w:rsid w:val="00C96B12"/>
    <w:rsid w:val="00CA2DE6"/>
    <w:rsid w:val="00CC6993"/>
    <w:rsid w:val="00D62B7F"/>
    <w:rsid w:val="00D65867"/>
    <w:rsid w:val="00D659F3"/>
    <w:rsid w:val="00D91FF8"/>
    <w:rsid w:val="00DA6A0A"/>
    <w:rsid w:val="00DB3C83"/>
    <w:rsid w:val="00DD068A"/>
    <w:rsid w:val="00DD5CDE"/>
    <w:rsid w:val="00DF6663"/>
    <w:rsid w:val="00E03E86"/>
    <w:rsid w:val="00E106AD"/>
    <w:rsid w:val="00E11377"/>
    <w:rsid w:val="00E17CF6"/>
    <w:rsid w:val="00E522BC"/>
    <w:rsid w:val="00E72735"/>
    <w:rsid w:val="00EA59D6"/>
    <w:rsid w:val="00EC42FE"/>
    <w:rsid w:val="00ED7029"/>
    <w:rsid w:val="00EE3A58"/>
    <w:rsid w:val="00EE6A5D"/>
    <w:rsid w:val="00F06A9C"/>
    <w:rsid w:val="00F14E40"/>
    <w:rsid w:val="00F25170"/>
    <w:rsid w:val="00F47E9E"/>
    <w:rsid w:val="00F62E3F"/>
    <w:rsid w:val="00F9146D"/>
    <w:rsid w:val="00FD0182"/>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7E51114F"/>
  <w15:chartTrackingRefBased/>
  <w15:docId w15:val="{3FB24239-0B1B-4089-BFE7-468C0331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24"/>
    <w:rPr>
      <w:sz w:val="24"/>
      <w:szCs w:val="24"/>
    </w:rPr>
  </w:style>
  <w:style w:type="paragraph" w:styleId="Heading1">
    <w:name w:val="heading 1"/>
    <w:basedOn w:val="Normal"/>
    <w:next w:val="Normal"/>
    <w:link w:val="Heading1Char"/>
    <w:qFormat/>
    <w:rsid w:val="00F47E9E"/>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64D24"/>
    <w:pPr>
      <w:tabs>
        <w:tab w:val="center" w:pos="4320"/>
        <w:tab w:val="right" w:pos="8640"/>
      </w:tabs>
    </w:pPr>
  </w:style>
  <w:style w:type="paragraph" w:styleId="Header">
    <w:name w:val="header"/>
    <w:basedOn w:val="Normal"/>
    <w:rsid w:val="00F62E3F"/>
    <w:pPr>
      <w:tabs>
        <w:tab w:val="center" w:pos="4320"/>
        <w:tab w:val="right" w:pos="8640"/>
      </w:tabs>
    </w:pPr>
  </w:style>
  <w:style w:type="paragraph" w:styleId="BalloonText">
    <w:name w:val="Balloon Text"/>
    <w:basedOn w:val="Normal"/>
    <w:semiHidden/>
    <w:rsid w:val="003A7852"/>
    <w:rPr>
      <w:rFonts w:ascii="Tahoma" w:hAnsi="Tahoma" w:cs="Tahoma"/>
      <w:sz w:val="16"/>
      <w:szCs w:val="16"/>
    </w:rPr>
  </w:style>
  <w:style w:type="character" w:styleId="CommentReference">
    <w:name w:val="annotation reference"/>
    <w:basedOn w:val="DefaultParagraphFont"/>
    <w:rsid w:val="00C23E8D"/>
    <w:rPr>
      <w:sz w:val="16"/>
      <w:szCs w:val="16"/>
    </w:rPr>
  </w:style>
  <w:style w:type="paragraph" w:styleId="CommentText">
    <w:name w:val="annotation text"/>
    <w:basedOn w:val="Normal"/>
    <w:link w:val="CommentTextChar"/>
    <w:rsid w:val="00C23E8D"/>
    <w:rPr>
      <w:sz w:val="20"/>
      <w:szCs w:val="20"/>
    </w:rPr>
  </w:style>
  <w:style w:type="character" w:customStyle="1" w:styleId="CommentTextChar">
    <w:name w:val="Comment Text Char"/>
    <w:basedOn w:val="DefaultParagraphFont"/>
    <w:link w:val="CommentText"/>
    <w:rsid w:val="00C23E8D"/>
  </w:style>
  <w:style w:type="paragraph" w:styleId="CommentSubject">
    <w:name w:val="annotation subject"/>
    <w:basedOn w:val="CommentText"/>
    <w:next w:val="CommentText"/>
    <w:link w:val="CommentSubjectChar"/>
    <w:rsid w:val="00C23E8D"/>
    <w:rPr>
      <w:b/>
      <w:bCs/>
    </w:rPr>
  </w:style>
  <w:style w:type="character" w:customStyle="1" w:styleId="CommentSubjectChar">
    <w:name w:val="Comment Subject Char"/>
    <w:basedOn w:val="CommentTextChar"/>
    <w:link w:val="CommentSubject"/>
    <w:rsid w:val="00C23E8D"/>
    <w:rPr>
      <w:b/>
      <w:bCs/>
    </w:rPr>
  </w:style>
  <w:style w:type="character" w:customStyle="1" w:styleId="Heading1Char">
    <w:name w:val="Heading 1 Char"/>
    <w:basedOn w:val="DefaultParagraphFont"/>
    <w:link w:val="Heading1"/>
    <w:rsid w:val="00F47E9E"/>
    <w:rPr>
      <w:sz w:val="24"/>
      <w:szCs w:val="24"/>
    </w:rPr>
  </w:style>
  <w:style w:type="character" w:styleId="Strong">
    <w:name w:val="Strong"/>
    <w:qFormat/>
    <w:rsid w:val="00F47E9E"/>
    <w:rPr>
      <w:b/>
      <w:bCs w:val="0"/>
    </w:rPr>
  </w:style>
  <w:style w:type="paragraph" w:styleId="Revision">
    <w:name w:val="Revision"/>
    <w:hidden/>
    <w:uiPriority w:val="99"/>
    <w:semiHidden/>
    <w:rsid w:val="00C04E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DOCKET NO</vt:lpstr>
    </vt:vector>
  </TitlesOfParts>
  <Company>Microsoft</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DOCKET NO</dc:title>
  <dc:subject/>
  <dc:creator>Irma Ormeno</dc:creator>
  <cp:keywords/>
  <cp:lastModifiedBy>Irma Ormeno</cp:lastModifiedBy>
  <cp:revision>3</cp:revision>
  <cp:lastPrinted>2014-03-04T19:27:00Z</cp:lastPrinted>
  <dcterms:created xsi:type="dcterms:W3CDTF">2022-08-19T15:42:00Z</dcterms:created>
  <dcterms:modified xsi:type="dcterms:W3CDTF">2022-08-19T15:45:00Z</dcterms:modified>
</cp:coreProperties>
</file>