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13" w:rsidRPr="005B05A8" w:rsidRDefault="00586013" w:rsidP="00586013">
      <w:pPr>
        <w:ind w:left="1440" w:hanging="1440"/>
        <w:jc w:val="center"/>
        <w:rPr>
          <w:rFonts w:ascii="Century Gothic" w:hAnsi="Century Gothic"/>
          <w:b/>
        </w:rPr>
      </w:pPr>
      <w:r w:rsidRPr="005B05A8">
        <w:rPr>
          <w:rFonts w:ascii="Century Gothic" w:hAnsi="Century Gothic"/>
          <w:b/>
        </w:rPr>
        <w:t>DOCKET NO. 4</w:t>
      </w:r>
      <w:r>
        <w:rPr>
          <w:rFonts w:ascii="Century Gothic" w:hAnsi="Century Gothic"/>
          <w:b/>
        </w:rPr>
        <w:t>4280</w:t>
      </w:r>
    </w:p>
    <w:p w:rsidR="00586013" w:rsidRPr="005B05A8" w:rsidRDefault="00586013" w:rsidP="00586013">
      <w:pPr>
        <w:ind w:left="1440" w:hanging="1440"/>
        <w:jc w:val="center"/>
        <w:rPr>
          <w:rFonts w:ascii="Century Gothic" w:hAnsi="Century Gothic"/>
          <w:b/>
        </w:rPr>
      </w:pPr>
    </w:p>
    <w:p w:rsidR="00586013" w:rsidRPr="00DA62D6" w:rsidRDefault="00586013" w:rsidP="00586013">
      <w:pPr>
        <w:ind w:left="1440" w:hanging="1440"/>
        <w:jc w:val="center"/>
        <w:rPr>
          <w:rFonts w:ascii="Century Gothic" w:hAnsi="Century Gothic"/>
          <w:b/>
        </w:rPr>
      </w:pPr>
      <w:bookmarkStart w:id="0" w:name="_DV_M1"/>
      <w:bookmarkEnd w:id="0"/>
      <w:r>
        <w:rPr>
          <w:rFonts w:ascii="Century Gothic" w:hAnsi="Century Gothic"/>
          <w:b/>
        </w:rPr>
        <w:t xml:space="preserve">IN RE:     </w:t>
      </w:r>
      <w:r w:rsidRPr="00DA62D6">
        <w:rPr>
          <w:rFonts w:ascii="Century Gothic" w:hAnsi="Century Gothic"/>
          <w:b/>
        </w:rPr>
        <w:t>Georgia Power Company’s 2022 Rate Case</w:t>
      </w:r>
    </w:p>
    <w:p w:rsidR="00586013" w:rsidRDefault="00586013" w:rsidP="00586013">
      <w:pPr>
        <w:keepNext/>
        <w:tabs>
          <w:tab w:val="center" w:pos="4680"/>
        </w:tabs>
        <w:jc w:val="center"/>
        <w:outlineLvl w:val="0"/>
        <w:rPr>
          <w:rFonts w:ascii="Century Gothic" w:hAnsi="Century Gothic"/>
          <w:b/>
        </w:rPr>
      </w:pPr>
      <w:bookmarkStart w:id="1" w:name="_DV_M2"/>
      <w:bookmarkEnd w:id="1"/>
    </w:p>
    <w:p w:rsidR="00586013" w:rsidRDefault="00586013" w:rsidP="00586013">
      <w:pPr>
        <w:keepNext/>
        <w:tabs>
          <w:tab w:val="center" w:pos="4680"/>
        </w:tabs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SECOND </w:t>
      </w:r>
      <w:r w:rsidRPr="005B05A8">
        <w:rPr>
          <w:rFonts w:ascii="Century Gothic" w:hAnsi="Century Gothic"/>
          <w:b/>
        </w:rPr>
        <w:t>AMENDED PROCEDURAL AND SCHEDULING ORDER</w:t>
      </w:r>
    </w:p>
    <w:p w:rsidR="00586013" w:rsidRPr="005B05A8" w:rsidRDefault="00586013" w:rsidP="00586013">
      <w:pPr>
        <w:jc w:val="both"/>
        <w:rPr>
          <w:rFonts w:ascii="Century Gothic" w:hAnsi="Century Gothic"/>
          <w:sz w:val="22"/>
          <w:szCs w:val="22"/>
        </w:rPr>
      </w:pPr>
      <w:bookmarkStart w:id="2" w:name="_DV_M3"/>
      <w:bookmarkStart w:id="3" w:name="_DV_M108"/>
      <w:bookmarkEnd w:id="2"/>
      <w:bookmarkEnd w:id="3"/>
    </w:p>
    <w:p w:rsidR="00586013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  <w:r w:rsidRPr="005B05A8">
        <w:rPr>
          <w:rFonts w:ascii="Century Gothic" w:hAnsi="Century Gothic"/>
          <w:sz w:val="22"/>
          <w:szCs w:val="22"/>
        </w:rPr>
        <w:t>The Chairman</w:t>
      </w:r>
      <w:r>
        <w:rPr>
          <w:rFonts w:ascii="Century Gothic" w:hAnsi="Century Gothic"/>
          <w:sz w:val="22"/>
          <w:szCs w:val="22"/>
        </w:rPr>
        <w:t>,</w:t>
      </w:r>
      <w:r w:rsidRPr="005B05A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pursuant to Commission Rule 515-1-1-.02</w:t>
      </w:r>
      <w:r w:rsidRPr="005B05A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hereby amends the Procedural and Scheduling Order previously issued in this matter as set forth below.</w:t>
      </w:r>
    </w:p>
    <w:p w:rsidR="00586013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586013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On pages 3 and 4 of the Procedural and Scheduling Order,</w:t>
      </w:r>
      <w:r w:rsidRPr="005D4A47">
        <w:rPr>
          <w:rFonts w:ascii="Century Gothic" w:hAnsi="Century Gothic"/>
          <w:sz w:val="22"/>
          <w:szCs w:val="22"/>
        </w:rPr>
        <w:t xml:space="preserve"> Part 1, Hearing Schedule and Filing Dates,</w:t>
      </w:r>
      <w:r>
        <w:rPr>
          <w:rFonts w:ascii="Century Gothic" w:hAnsi="Century Gothic"/>
          <w:sz w:val="22"/>
          <w:szCs w:val="22"/>
        </w:rPr>
        <w:t xml:space="preserve"> is hereby amended to provide as follows</w:t>
      </w:r>
      <w:r w:rsidRPr="007433A6">
        <w:rPr>
          <w:rFonts w:ascii="Century Gothic" w:hAnsi="Century Gothic"/>
          <w:sz w:val="22"/>
          <w:szCs w:val="22"/>
        </w:rPr>
        <w:t>:</w:t>
      </w:r>
    </w:p>
    <w:p w:rsidR="00586013" w:rsidRDefault="00586013" w:rsidP="00586013">
      <w:pPr>
        <w:jc w:val="both"/>
        <w:rPr>
          <w:rFonts w:ascii="Century Gothic" w:hAnsi="Century Gothic"/>
          <w:sz w:val="22"/>
          <w:szCs w:val="22"/>
        </w:rPr>
      </w:pPr>
    </w:p>
    <w:p w:rsidR="00586013" w:rsidRPr="008451ED" w:rsidRDefault="00586013" w:rsidP="00586013">
      <w:pPr>
        <w:ind w:left="720"/>
        <w:rPr>
          <w:b/>
          <w:u w:val="single"/>
        </w:rPr>
      </w:pPr>
      <w:r w:rsidRPr="0057286E">
        <w:t>The sche</w:t>
      </w:r>
      <w:r w:rsidRPr="008451ED">
        <w:t>dule for hearings in this docket will be governed as follows:</w:t>
      </w:r>
    </w:p>
    <w:p w:rsidR="00586013" w:rsidRPr="008451ED" w:rsidRDefault="00586013" w:rsidP="00586013">
      <w:pPr>
        <w:ind w:left="720"/>
        <w:jc w:val="center"/>
        <w:rPr>
          <w:b/>
          <w:u w:val="single"/>
        </w:rPr>
      </w:pPr>
    </w:p>
    <w:p w:rsidR="00586013" w:rsidRPr="008451ED" w:rsidRDefault="00586013" w:rsidP="00586013">
      <w:pPr>
        <w:ind w:left="720"/>
        <w:rPr>
          <w:b/>
        </w:rPr>
      </w:pPr>
      <w:r w:rsidRPr="008451ED">
        <w:rPr>
          <w:b/>
          <w:u w:val="single"/>
        </w:rPr>
        <w:t>June 24, 2022</w:t>
      </w:r>
      <w:r w:rsidRPr="008451ED">
        <w:rPr>
          <w:b/>
        </w:rPr>
        <w:tab/>
      </w:r>
      <w:r w:rsidRPr="008451ED">
        <w:rPr>
          <w:b/>
        </w:rPr>
        <w:tab/>
      </w:r>
    </w:p>
    <w:p w:rsidR="00586013" w:rsidRPr="008451ED" w:rsidRDefault="00586013" w:rsidP="00586013">
      <w:pPr>
        <w:ind w:left="720"/>
        <w:rPr>
          <w:b/>
        </w:rPr>
      </w:pPr>
    </w:p>
    <w:p w:rsidR="00586013" w:rsidRPr="000A1F4D" w:rsidRDefault="00586013" w:rsidP="0091049C">
      <w:pPr>
        <w:ind w:left="720"/>
        <w:jc w:val="both"/>
      </w:pPr>
      <w:r w:rsidRPr="00A6347A">
        <w:t xml:space="preserve">Georgia Power Company </w:t>
      </w:r>
      <w:r>
        <w:t>shall</w:t>
      </w:r>
      <w:r w:rsidRPr="00A6347A">
        <w:t xml:space="preserve"> file its Application and all direct testimony by June 24, 2022.</w:t>
      </w:r>
    </w:p>
    <w:p w:rsidR="00586013" w:rsidRPr="00C64C6D" w:rsidRDefault="00586013" w:rsidP="00586013">
      <w:pPr>
        <w:ind w:left="720"/>
      </w:pPr>
    </w:p>
    <w:p w:rsidR="00586013" w:rsidRPr="00C64C6D" w:rsidRDefault="00586013" w:rsidP="00586013">
      <w:pPr>
        <w:ind w:left="720"/>
        <w:rPr>
          <w:b/>
          <w:u w:val="single"/>
        </w:rPr>
      </w:pPr>
      <w:r w:rsidRPr="00C64C6D">
        <w:rPr>
          <w:b/>
          <w:u w:val="single"/>
        </w:rPr>
        <w:t xml:space="preserve">September </w:t>
      </w:r>
      <w:r>
        <w:rPr>
          <w:b/>
          <w:u w:val="single"/>
        </w:rPr>
        <w:t>27 - 29</w:t>
      </w:r>
      <w:r w:rsidRPr="00C64C6D">
        <w:rPr>
          <w:b/>
          <w:u w:val="single"/>
        </w:rPr>
        <w:t>, 2022</w:t>
      </w:r>
    </w:p>
    <w:p w:rsidR="00586013" w:rsidRPr="00C64C6D" w:rsidRDefault="00586013" w:rsidP="00586013">
      <w:pPr>
        <w:ind w:left="720"/>
        <w:rPr>
          <w:b/>
          <w:u w:val="single"/>
        </w:rPr>
      </w:pPr>
    </w:p>
    <w:p w:rsidR="00586013" w:rsidRPr="008114F1" w:rsidRDefault="00586013" w:rsidP="0091049C">
      <w:pPr>
        <w:ind w:left="720"/>
        <w:jc w:val="both"/>
        <w:rPr>
          <w:rFonts w:ascii="Arial" w:hAnsi="Arial" w:cs="Arial"/>
        </w:rPr>
      </w:pPr>
      <w:r>
        <w:t>Beginning at 9:3</w:t>
      </w:r>
      <w:r w:rsidRPr="00C64C6D">
        <w:t xml:space="preserve">0 a.m. on September </w:t>
      </w:r>
      <w:r>
        <w:t>27</w:t>
      </w:r>
      <w:r w:rsidRPr="00C64C6D">
        <w:t>th, the Commission will hear applications to intervene and any objections thereto, and any appropriate motions concerning Georgia Power’s pre-filed testimony. Following these motions, the Commission will conduct hearings on Georgia Power</w:t>
      </w:r>
      <w:r>
        <w:t>’s</w:t>
      </w:r>
      <w:r w:rsidRPr="00C64C6D">
        <w:t xml:space="preserve"> direct testimony. Hearings will continue </w:t>
      </w:r>
      <w:r>
        <w:t>at 9:3</w:t>
      </w:r>
      <w:r w:rsidRPr="008114F1">
        <w:t xml:space="preserve">0 a.m. on </w:t>
      </w:r>
      <w:r>
        <w:t>September 28</w:t>
      </w:r>
      <w:r w:rsidRPr="008114F1">
        <w:t xml:space="preserve">th </w:t>
      </w:r>
      <w:r>
        <w:t xml:space="preserve">and </w:t>
      </w:r>
      <w:r w:rsidRPr="00F16E82">
        <w:t>immediately following the Commission’s Committee Meetings on</w:t>
      </w:r>
      <w:r>
        <w:t xml:space="preserve"> September 29th</w:t>
      </w:r>
      <w:r w:rsidRPr="008114F1">
        <w:t>.</w:t>
      </w:r>
    </w:p>
    <w:p w:rsidR="00586013" w:rsidRPr="008114F1" w:rsidRDefault="00586013" w:rsidP="00586013">
      <w:pPr>
        <w:ind w:left="720"/>
      </w:pPr>
      <w:r w:rsidRPr="008114F1">
        <w:tab/>
      </w:r>
    </w:p>
    <w:p w:rsidR="00586013" w:rsidRPr="008114F1" w:rsidRDefault="00586013" w:rsidP="00586013">
      <w:pPr>
        <w:ind w:left="720"/>
        <w:rPr>
          <w:b/>
          <w:u w:val="single"/>
        </w:rPr>
      </w:pPr>
      <w:r w:rsidRPr="008114F1">
        <w:rPr>
          <w:b/>
          <w:u w:val="single"/>
        </w:rPr>
        <w:t xml:space="preserve">October </w:t>
      </w:r>
      <w:r>
        <w:rPr>
          <w:b/>
          <w:u w:val="single"/>
        </w:rPr>
        <w:t>20</w:t>
      </w:r>
      <w:r w:rsidRPr="008114F1">
        <w:rPr>
          <w:b/>
          <w:u w:val="single"/>
        </w:rPr>
        <w:t xml:space="preserve">, 2022 </w:t>
      </w:r>
    </w:p>
    <w:p w:rsidR="00586013" w:rsidRPr="008114F1" w:rsidRDefault="00586013" w:rsidP="00586013">
      <w:pPr>
        <w:ind w:left="720"/>
        <w:rPr>
          <w:b/>
        </w:rPr>
      </w:pPr>
    </w:p>
    <w:p w:rsidR="00586013" w:rsidRPr="005D4A47" w:rsidRDefault="00586013" w:rsidP="0091049C">
      <w:pPr>
        <w:ind w:left="720"/>
        <w:jc w:val="both"/>
      </w:pPr>
      <w:r>
        <w:t xml:space="preserve">PIA </w:t>
      </w:r>
      <w:r w:rsidRPr="008114F1">
        <w:t xml:space="preserve">Staff and </w:t>
      </w:r>
      <w:proofErr w:type="spellStart"/>
      <w:r w:rsidRPr="008114F1">
        <w:t>Intervenors</w:t>
      </w:r>
      <w:proofErr w:type="spellEnd"/>
      <w:r w:rsidRPr="008114F1">
        <w:t xml:space="preserve"> shall file separate direct testimony with the Commission on October </w:t>
      </w:r>
      <w:r>
        <w:t>20</w:t>
      </w:r>
      <w:r w:rsidRPr="008114F1">
        <w:t>th by 4:00 p.m.</w:t>
      </w:r>
      <w:r>
        <w:t xml:space="preserve">  In addition, Georgia Power shall file supplemental direct testimony, which shall be limited to the issue of the appropriate structure and pricing of the RNR-</w:t>
      </w:r>
      <w:r w:rsidRPr="005D4A47">
        <w:t>10 tariff, consistent with the Commission’s Final Order in Georgia Power’s 2022 Integrated Resource Plan in Docket No. 44160.</w:t>
      </w:r>
    </w:p>
    <w:p w:rsidR="00586013" w:rsidRPr="008114F1" w:rsidRDefault="00586013" w:rsidP="00586013">
      <w:pPr>
        <w:ind w:left="720"/>
      </w:pPr>
    </w:p>
    <w:p w:rsidR="00586013" w:rsidRPr="008114F1" w:rsidRDefault="00586013" w:rsidP="00586013">
      <w:pPr>
        <w:ind w:left="720"/>
        <w:rPr>
          <w:b/>
          <w:u w:val="single"/>
        </w:rPr>
      </w:pPr>
      <w:r w:rsidRPr="008114F1">
        <w:rPr>
          <w:b/>
          <w:u w:val="single"/>
        </w:rPr>
        <w:t>November 8-10, 2022</w:t>
      </w:r>
    </w:p>
    <w:p w:rsidR="00586013" w:rsidRPr="00D42354" w:rsidRDefault="00586013" w:rsidP="00586013">
      <w:pPr>
        <w:ind w:left="720"/>
        <w:rPr>
          <w:b/>
          <w:u w:val="single"/>
        </w:rPr>
      </w:pPr>
    </w:p>
    <w:p w:rsidR="00586013" w:rsidRPr="00F16E82" w:rsidRDefault="00586013" w:rsidP="0091049C">
      <w:pPr>
        <w:ind w:left="720"/>
        <w:jc w:val="both"/>
      </w:pPr>
      <w:r w:rsidRPr="00B14C5A">
        <w:t>Beginning at 9:30 a.m. on November</w:t>
      </w:r>
      <w:r w:rsidRPr="00D42354">
        <w:t xml:space="preserve"> 8th, the Commission will hear applications to intervene and any objections thereto, and any appropriate motions concerning </w:t>
      </w:r>
      <w:r>
        <w:t xml:space="preserve">PIA </w:t>
      </w:r>
      <w:r w:rsidRPr="00D42354">
        <w:t xml:space="preserve">Staff’s and </w:t>
      </w:r>
      <w:proofErr w:type="spellStart"/>
      <w:r w:rsidRPr="00D42354">
        <w:t>Intervenors</w:t>
      </w:r>
      <w:proofErr w:type="spellEnd"/>
      <w:r w:rsidRPr="00D42354">
        <w:t xml:space="preserve">’ pre-filed testimony. Following these motions, the Commission will conduct hearings on </w:t>
      </w:r>
      <w:r>
        <w:t xml:space="preserve">PIA </w:t>
      </w:r>
      <w:r w:rsidRPr="00D42354">
        <w:t xml:space="preserve">Staff’s and </w:t>
      </w:r>
      <w:proofErr w:type="spellStart"/>
      <w:r w:rsidRPr="00D42354">
        <w:t>Intervenors</w:t>
      </w:r>
      <w:proofErr w:type="spellEnd"/>
      <w:r w:rsidRPr="00D42354">
        <w:t>’ direct testimony</w:t>
      </w:r>
      <w:r w:rsidRPr="00F16E82">
        <w:t>.</w:t>
      </w:r>
      <w:r w:rsidRPr="00B14C5A">
        <w:t xml:space="preserve"> </w:t>
      </w:r>
      <w:r w:rsidRPr="00D42354">
        <w:t xml:space="preserve">Following hearings on </w:t>
      </w:r>
      <w:r>
        <w:t xml:space="preserve">PIA </w:t>
      </w:r>
      <w:r w:rsidRPr="00D42354">
        <w:t xml:space="preserve">Staff’s and </w:t>
      </w:r>
      <w:proofErr w:type="spellStart"/>
      <w:r w:rsidRPr="00D42354">
        <w:t>Intervenors</w:t>
      </w:r>
      <w:proofErr w:type="spellEnd"/>
      <w:r w:rsidRPr="00D42354">
        <w:t>’ direct testimony</w:t>
      </w:r>
      <w:r>
        <w:t xml:space="preserve">, </w:t>
      </w:r>
      <w:r w:rsidRPr="00D42354">
        <w:t>the Commission will conduct hearings on</w:t>
      </w:r>
      <w:r>
        <w:t xml:space="preserve"> Georgia Power’s supplemental direct testimony</w:t>
      </w:r>
      <w:r w:rsidRPr="00F16E82">
        <w:t xml:space="preserve">.  Hearings will continue at </w:t>
      </w:r>
      <w:r>
        <w:t xml:space="preserve">9:30 </w:t>
      </w:r>
      <w:r w:rsidRPr="00F16E82">
        <w:t>a.m. on November 9th and immediately following the Commission’s Committee Meetings on November 10th.</w:t>
      </w:r>
    </w:p>
    <w:p w:rsidR="00586013" w:rsidRPr="00F16E82" w:rsidRDefault="00586013" w:rsidP="00586013">
      <w:pPr>
        <w:ind w:left="720"/>
      </w:pPr>
    </w:p>
    <w:p w:rsidR="00586013" w:rsidRPr="00F16E82" w:rsidRDefault="00586013" w:rsidP="00586013">
      <w:pPr>
        <w:ind w:left="720"/>
        <w:rPr>
          <w:b/>
          <w:u w:val="single"/>
        </w:rPr>
      </w:pPr>
      <w:r w:rsidRPr="00F16E82">
        <w:rPr>
          <w:b/>
          <w:u w:val="single"/>
        </w:rPr>
        <w:t>November 18, 2022</w:t>
      </w:r>
    </w:p>
    <w:p w:rsidR="00586013" w:rsidRPr="00F16E82" w:rsidRDefault="00586013" w:rsidP="00586013">
      <w:pPr>
        <w:ind w:left="720"/>
      </w:pPr>
    </w:p>
    <w:p w:rsidR="00586013" w:rsidRPr="008114F1" w:rsidRDefault="00586013" w:rsidP="0091049C">
      <w:pPr>
        <w:ind w:left="720"/>
        <w:jc w:val="both"/>
      </w:pPr>
      <w:r w:rsidRPr="00F16E82">
        <w:t>Georgia Power may file rebuttal testimony</w:t>
      </w:r>
      <w:r>
        <w:t xml:space="preserve"> no later than</w:t>
      </w:r>
      <w:r w:rsidRPr="00F16E82">
        <w:t xml:space="preserve"> 4:00 p.m. on November 18th</w:t>
      </w:r>
      <w:r>
        <w:t xml:space="preserve"> </w:t>
      </w:r>
      <w:r w:rsidRPr="00F16E82">
        <w:t xml:space="preserve">in response to the direct testimony of </w:t>
      </w:r>
      <w:r>
        <w:t xml:space="preserve">PIA </w:t>
      </w:r>
      <w:r w:rsidRPr="00F16E82">
        <w:t xml:space="preserve">Staff’s and </w:t>
      </w:r>
      <w:proofErr w:type="spellStart"/>
      <w:r w:rsidRPr="00F16E82">
        <w:t>Intervenors</w:t>
      </w:r>
      <w:proofErr w:type="spellEnd"/>
      <w:r w:rsidRPr="00F16E82">
        <w:t>’ witnesses</w:t>
      </w:r>
      <w:r>
        <w:t>.</w:t>
      </w:r>
      <w:r w:rsidRPr="00F16E82">
        <w:t xml:space="preserve"> </w:t>
      </w:r>
      <w:r>
        <w:t xml:space="preserve">In addition, PIA </w:t>
      </w:r>
      <w:r w:rsidRPr="008114F1">
        <w:t xml:space="preserve">Staff and </w:t>
      </w:r>
      <w:proofErr w:type="spellStart"/>
      <w:r w:rsidRPr="008114F1">
        <w:t>Intervenors</w:t>
      </w:r>
      <w:proofErr w:type="spellEnd"/>
      <w:r w:rsidRPr="008114F1">
        <w:t xml:space="preserve"> shall file separate</w:t>
      </w:r>
      <w:r>
        <w:t xml:space="preserve"> supplemental</w:t>
      </w:r>
      <w:r w:rsidRPr="008114F1">
        <w:t xml:space="preserve"> direct testimony with the Commission</w:t>
      </w:r>
      <w:r>
        <w:t>, which shall be limited to the issue of the appropriate structure and pricing of the RNR-10 tariff</w:t>
      </w:r>
      <w:r w:rsidRPr="005D4A47">
        <w:t>, consistent with the Commission’s Final Order in Georgia Power’s 2022 Integrated Resource Plan in Docket No. 44160.</w:t>
      </w:r>
    </w:p>
    <w:p w:rsidR="00CD18D4" w:rsidRDefault="00CD18D4" w:rsidP="00CD18D4">
      <w:pPr>
        <w:ind w:left="720"/>
        <w:rPr>
          <w:b/>
          <w:u w:val="single"/>
        </w:rPr>
      </w:pPr>
    </w:p>
    <w:p w:rsidR="00CD18D4" w:rsidRPr="00F16E82" w:rsidRDefault="00CD18D4" w:rsidP="00CD18D4">
      <w:pPr>
        <w:ind w:left="720"/>
        <w:rPr>
          <w:b/>
          <w:u w:val="single"/>
        </w:rPr>
      </w:pPr>
      <w:r>
        <w:rPr>
          <w:b/>
          <w:u w:val="single"/>
        </w:rPr>
        <w:t>November 23</w:t>
      </w:r>
      <w:r w:rsidRPr="00F16E82">
        <w:rPr>
          <w:b/>
          <w:u w:val="single"/>
        </w:rPr>
        <w:t>, 2022</w:t>
      </w:r>
    </w:p>
    <w:p w:rsidR="00CD18D4" w:rsidRPr="00F16E82" w:rsidRDefault="00CD18D4" w:rsidP="00CD18D4">
      <w:pPr>
        <w:ind w:left="720"/>
      </w:pPr>
    </w:p>
    <w:p w:rsidR="00CD18D4" w:rsidRDefault="00CD18D4" w:rsidP="00CD18D4">
      <w:pPr>
        <w:ind w:left="720"/>
        <w:jc w:val="both"/>
      </w:pPr>
      <w:r w:rsidRPr="00F16E82">
        <w:t xml:space="preserve">Georgia Power may file </w:t>
      </w:r>
      <w:r w:rsidRPr="008114F1">
        <w:t>with the Commission</w:t>
      </w:r>
      <w:r>
        <w:t xml:space="preserve"> supplemental </w:t>
      </w:r>
      <w:r w:rsidRPr="00F16E82">
        <w:t>rebuttal testimony</w:t>
      </w:r>
      <w:r>
        <w:t>, which shall be limited to responding</w:t>
      </w:r>
      <w:r w:rsidRPr="00F16E82">
        <w:t xml:space="preserve"> to </w:t>
      </w:r>
      <w:r>
        <w:t xml:space="preserve">PIA </w:t>
      </w:r>
      <w:r w:rsidRPr="008114F1">
        <w:t xml:space="preserve">Staff and </w:t>
      </w:r>
      <w:proofErr w:type="spellStart"/>
      <w:r w:rsidRPr="008114F1">
        <w:t>Intervenors</w:t>
      </w:r>
      <w:proofErr w:type="spellEnd"/>
      <w:r w:rsidRPr="008114F1">
        <w:t xml:space="preserve"> </w:t>
      </w:r>
      <w:r>
        <w:t>supplemental</w:t>
      </w:r>
      <w:r w:rsidRPr="008114F1">
        <w:t xml:space="preserve"> direct testimony</w:t>
      </w:r>
      <w:r>
        <w:t>, no later than</w:t>
      </w:r>
      <w:r w:rsidRPr="00F16E82">
        <w:t xml:space="preserve"> 4:00 p.m. on November </w:t>
      </w:r>
      <w:r>
        <w:t>23rd</w:t>
      </w:r>
      <w:r w:rsidRPr="005D4A47">
        <w:t>.</w:t>
      </w:r>
    </w:p>
    <w:p w:rsidR="00CD18D4" w:rsidRPr="008114F1" w:rsidRDefault="00CD18D4" w:rsidP="00CD18D4">
      <w:pPr>
        <w:ind w:left="720"/>
        <w:jc w:val="both"/>
      </w:pPr>
    </w:p>
    <w:p w:rsidR="00586013" w:rsidRPr="00F16E82" w:rsidRDefault="00586013" w:rsidP="00586013">
      <w:pPr>
        <w:ind w:left="720"/>
        <w:rPr>
          <w:b/>
          <w:u w:val="single"/>
        </w:rPr>
      </w:pPr>
      <w:r w:rsidRPr="00F16E82">
        <w:rPr>
          <w:b/>
          <w:u w:val="single"/>
        </w:rPr>
        <w:t>November 29-30, 2022</w:t>
      </w:r>
    </w:p>
    <w:p w:rsidR="00586013" w:rsidRPr="00F16E82" w:rsidRDefault="00586013" w:rsidP="00586013">
      <w:pPr>
        <w:ind w:left="720"/>
      </w:pPr>
    </w:p>
    <w:p w:rsidR="00586013" w:rsidRPr="00F16E82" w:rsidRDefault="00586013" w:rsidP="0091049C">
      <w:pPr>
        <w:ind w:left="720"/>
        <w:jc w:val="both"/>
      </w:pPr>
      <w:r>
        <w:t>H</w:t>
      </w:r>
      <w:r w:rsidRPr="00F16E82">
        <w:t>eari</w:t>
      </w:r>
      <w:r>
        <w:t>ngs in this proceeding shall b</w:t>
      </w:r>
      <w:r w:rsidRPr="00F16E82">
        <w:t>egin at 9</w:t>
      </w:r>
      <w:r>
        <w:t>:3</w:t>
      </w:r>
      <w:r w:rsidRPr="00F16E82">
        <w:t>0 a.m. on November 29th. The Commission will hear any outstanding motions. After concluding with motions</w:t>
      </w:r>
      <w:r>
        <w:t>,</w:t>
      </w:r>
      <w:r w:rsidRPr="00F16E82">
        <w:t xml:space="preserve"> the Commission will proceed to hear Georgia Power</w:t>
      </w:r>
      <w:r>
        <w:t>’s</w:t>
      </w:r>
      <w:r w:rsidRPr="00F16E82">
        <w:t xml:space="preserve"> rebuttal</w:t>
      </w:r>
      <w:r>
        <w:t xml:space="preserve"> testimony.</w:t>
      </w:r>
      <w:r w:rsidRPr="004B4C0B">
        <w:t xml:space="preserve"> </w:t>
      </w:r>
      <w:r w:rsidRPr="00D42354">
        <w:t xml:space="preserve">Following hearings on </w:t>
      </w:r>
      <w:r w:rsidRPr="00F16E82">
        <w:t>Georgia Power</w:t>
      </w:r>
      <w:r>
        <w:t>’s</w:t>
      </w:r>
      <w:r w:rsidRPr="00F16E82">
        <w:t xml:space="preserve"> rebuttal</w:t>
      </w:r>
      <w:r>
        <w:t xml:space="preserve"> testimony, </w:t>
      </w:r>
      <w:r w:rsidRPr="00D42354">
        <w:t>the Commission will conduct hearings on</w:t>
      </w:r>
      <w:r>
        <w:t xml:space="preserve"> PIA Staff and </w:t>
      </w:r>
      <w:proofErr w:type="spellStart"/>
      <w:r>
        <w:t>Intervenor</w:t>
      </w:r>
      <w:proofErr w:type="spellEnd"/>
      <w:r>
        <w:t xml:space="preserve"> supplemental direct testimony</w:t>
      </w:r>
      <w:r w:rsidRPr="00F16E82">
        <w:t xml:space="preserve">. </w:t>
      </w:r>
      <w:r w:rsidR="00CD18D4" w:rsidRPr="00D42354">
        <w:t xml:space="preserve">Following hearings on </w:t>
      </w:r>
      <w:r w:rsidR="00CD18D4">
        <w:t xml:space="preserve">PIA Staff and </w:t>
      </w:r>
      <w:proofErr w:type="spellStart"/>
      <w:r w:rsidR="00CD18D4">
        <w:t>Intervenor</w:t>
      </w:r>
      <w:proofErr w:type="spellEnd"/>
      <w:r w:rsidR="00CD18D4">
        <w:t xml:space="preserve"> supplemental direct testimony, </w:t>
      </w:r>
      <w:r w:rsidR="00CD18D4" w:rsidRPr="00D42354">
        <w:t>the Commission will conduct hearings</w:t>
      </w:r>
      <w:r w:rsidR="00CD18D4" w:rsidRPr="00CD18D4">
        <w:t xml:space="preserve"> </w:t>
      </w:r>
      <w:r w:rsidR="00CD18D4">
        <w:t xml:space="preserve">on </w:t>
      </w:r>
      <w:r w:rsidR="00CD18D4" w:rsidRPr="00F16E82">
        <w:t>Georgia Power</w:t>
      </w:r>
      <w:r w:rsidR="00CD18D4">
        <w:t>’s</w:t>
      </w:r>
      <w:r w:rsidR="00CD18D4" w:rsidRPr="00F16E82">
        <w:t xml:space="preserve"> </w:t>
      </w:r>
      <w:r w:rsidR="00100AEA">
        <w:t xml:space="preserve">supplemental </w:t>
      </w:r>
      <w:r w:rsidR="00CD18D4" w:rsidRPr="00F16E82">
        <w:t>rebuttal</w:t>
      </w:r>
      <w:r w:rsidR="00CD18D4">
        <w:t xml:space="preserve"> testimony</w:t>
      </w:r>
      <w:r w:rsidR="00CD18D4" w:rsidRPr="00F16E82">
        <w:t>.</w:t>
      </w:r>
      <w:r w:rsidR="00CD18D4">
        <w:t xml:space="preserve"> </w:t>
      </w:r>
      <w:r w:rsidRPr="00F16E82">
        <w:t xml:space="preserve">Hearings will continue at </w:t>
      </w:r>
      <w:r>
        <w:t>9:30 a.m. on November 30</w:t>
      </w:r>
      <w:r w:rsidRPr="005D4A47">
        <w:rPr>
          <w:vertAlign w:val="superscript"/>
        </w:rPr>
        <w:t>th</w:t>
      </w:r>
      <w:r>
        <w:t>.</w:t>
      </w:r>
      <w:r w:rsidRPr="00F16E82">
        <w:t xml:space="preserve">  </w:t>
      </w:r>
    </w:p>
    <w:p w:rsidR="00586013" w:rsidRPr="00F16E82" w:rsidRDefault="00586013" w:rsidP="00586013">
      <w:pPr>
        <w:ind w:left="720"/>
        <w:rPr>
          <w:b/>
          <w:u w:val="single"/>
        </w:rPr>
      </w:pPr>
    </w:p>
    <w:p w:rsidR="00586013" w:rsidRPr="00F16E82" w:rsidRDefault="00586013" w:rsidP="00586013">
      <w:pPr>
        <w:ind w:left="720"/>
        <w:rPr>
          <w:b/>
          <w:u w:val="single"/>
        </w:rPr>
      </w:pPr>
      <w:r w:rsidRPr="00F16E82">
        <w:rPr>
          <w:b/>
          <w:u w:val="single"/>
        </w:rPr>
        <w:t xml:space="preserve">December 8, 2022 </w:t>
      </w:r>
    </w:p>
    <w:p w:rsidR="00586013" w:rsidRPr="00F16E82" w:rsidRDefault="00586013" w:rsidP="00586013">
      <w:pPr>
        <w:ind w:left="720"/>
      </w:pPr>
    </w:p>
    <w:p w:rsidR="00586013" w:rsidRPr="00F16E82" w:rsidRDefault="00586013" w:rsidP="0091049C">
      <w:pPr>
        <w:ind w:left="720"/>
        <w:jc w:val="both"/>
      </w:pPr>
      <w:r w:rsidRPr="00F16E82">
        <w:t xml:space="preserve">All briefs and proposed Orders are to be filed with the Commission </w:t>
      </w:r>
      <w:r>
        <w:t>by</w:t>
      </w:r>
      <w:r w:rsidRPr="00F16E82">
        <w:t xml:space="preserve"> December 8th </w:t>
      </w:r>
      <w:r>
        <w:t>at</w:t>
      </w:r>
      <w:r w:rsidRPr="00F16E82">
        <w:t xml:space="preserve"> 4:00 p.m.</w:t>
      </w:r>
    </w:p>
    <w:p w:rsidR="00586013" w:rsidRPr="00F16E82" w:rsidRDefault="00586013" w:rsidP="00586013">
      <w:pPr>
        <w:ind w:left="720"/>
        <w:rPr>
          <w:b/>
        </w:rPr>
      </w:pPr>
    </w:p>
    <w:p w:rsidR="00586013" w:rsidRPr="00F16E82" w:rsidRDefault="00586013" w:rsidP="00586013">
      <w:pPr>
        <w:ind w:left="720"/>
        <w:rPr>
          <w:b/>
          <w:u w:val="single"/>
        </w:rPr>
      </w:pPr>
      <w:r w:rsidRPr="00F16E82">
        <w:rPr>
          <w:b/>
          <w:u w:val="single"/>
        </w:rPr>
        <w:t>December 15, 2022</w:t>
      </w:r>
    </w:p>
    <w:p w:rsidR="00586013" w:rsidRPr="00F16E82" w:rsidRDefault="00586013" w:rsidP="00586013">
      <w:pPr>
        <w:ind w:left="720"/>
      </w:pPr>
    </w:p>
    <w:p w:rsidR="00586013" w:rsidRPr="00DF11F0" w:rsidRDefault="00586013" w:rsidP="0091049C">
      <w:pPr>
        <w:ind w:left="720"/>
        <w:jc w:val="both"/>
      </w:pPr>
      <w:r>
        <w:t>T</w:t>
      </w:r>
      <w:r w:rsidRPr="000C4ADB">
        <w:t>he Commission will hear from parties</w:t>
      </w:r>
      <w:r w:rsidRPr="00F16E82">
        <w:t xml:space="preserve"> </w:t>
      </w:r>
      <w:r>
        <w:t>a</w:t>
      </w:r>
      <w:r w:rsidRPr="00F16E82">
        <w:t>t 9:30 a.m. on December 15th at its regularly scheduled Energy Committee</w:t>
      </w:r>
      <w:r>
        <w:t>.</w:t>
      </w:r>
    </w:p>
    <w:p w:rsidR="00586013" w:rsidRPr="00DF11F0" w:rsidRDefault="00586013" w:rsidP="00586013">
      <w:pPr>
        <w:ind w:left="720"/>
      </w:pPr>
    </w:p>
    <w:p w:rsidR="00586013" w:rsidRPr="00DF11F0" w:rsidRDefault="00586013" w:rsidP="00586013">
      <w:pPr>
        <w:ind w:left="720"/>
        <w:rPr>
          <w:b/>
          <w:u w:val="single"/>
        </w:rPr>
      </w:pPr>
      <w:r w:rsidRPr="00DF11F0">
        <w:rPr>
          <w:b/>
          <w:u w:val="single"/>
        </w:rPr>
        <w:t>December 20, 2022</w:t>
      </w:r>
    </w:p>
    <w:p w:rsidR="00586013" w:rsidRPr="00DF11F0" w:rsidRDefault="00586013" w:rsidP="00586013">
      <w:pPr>
        <w:ind w:left="720"/>
      </w:pPr>
      <w:r w:rsidRPr="00DF11F0">
        <w:tab/>
      </w:r>
    </w:p>
    <w:p w:rsidR="00586013" w:rsidRPr="00DF11F0" w:rsidRDefault="00586013" w:rsidP="0091049C">
      <w:pPr>
        <w:ind w:left="720"/>
        <w:jc w:val="both"/>
      </w:pPr>
      <w:r>
        <w:t xml:space="preserve">The </w:t>
      </w:r>
      <w:r w:rsidRPr="00DF11F0">
        <w:t>Commission</w:t>
      </w:r>
      <w:r>
        <w:t xml:space="preserve"> shall render </w:t>
      </w:r>
      <w:r w:rsidRPr="00DF11F0">
        <w:t xml:space="preserve">a final decision in this proceeding, </w:t>
      </w:r>
      <w:r>
        <w:t>during</w:t>
      </w:r>
      <w:r w:rsidRPr="00DF11F0">
        <w:t xml:space="preserve"> the Commission’s regularly scheduled Administrative Session</w:t>
      </w:r>
      <w:r>
        <w:t xml:space="preserve"> beginning at </w:t>
      </w:r>
      <w:r w:rsidRPr="00DF11F0">
        <w:t>9:30 a.m. on December 20</w:t>
      </w:r>
      <w:r w:rsidRPr="00A6347A">
        <w:rPr>
          <w:vertAlign w:val="superscript"/>
        </w:rPr>
        <w:t>th</w:t>
      </w:r>
      <w:r>
        <w:t>.</w:t>
      </w:r>
    </w:p>
    <w:p w:rsidR="00586013" w:rsidRPr="00DF11F0" w:rsidRDefault="00586013" w:rsidP="00586013">
      <w:pPr>
        <w:ind w:left="720"/>
        <w:rPr>
          <w:b/>
        </w:rPr>
      </w:pPr>
    </w:p>
    <w:p w:rsidR="00586013" w:rsidRPr="002C1576" w:rsidRDefault="00586013" w:rsidP="0091049C">
      <w:pPr>
        <w:ind w:left="720"/>
        <w:jc w:val="both"/>
      </w:pPr>
      <w:r w:rsidRPr="002C1576">
        <w:t xml:space="preserve">The statutory deadline in this proceeding is five months after the effective date of </w:t>
      </w:r>
      <w:r>
        <w:t xml:space="preserve">the </w:t>
      </w:r>
      <w:r w:rsidRPr="002C1576">
        <w:t>proposed rate changes, e.g., January 1, 2023, pursuant to O. C. G. A. § 46-2-25.</w:t>
      </w:r>
    </w:p>
    <w:p w:rsidR="00586013" w:rsidRPr="00DF11F0" w:rsidRDefault="00586013" w:rsidP="00586013"/>
    <w:p w:rsidR="00586013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586013" w:rsidRPr="006D074D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addition, the discovery </w:t>
      </w:r>
      <w:r w:rsidRPr="006D074D">
        <w:rPr>
          <w:rFonts w:ascii="Century Gothic" w:hAnsi="Century Gothic"/>
          <w:sz w:val="22"/>
          <w:szCs w:val="22"/>
        </w:rPr>
        <w:t>procedures set for on page 2 of the Procedural and Scheduling Order are hereby amended to provide for a 15-day response time to interrogatories issued by Staff to Georgia Power</w:t>
      </w:r>
      <w:r>
        <w:rPr>
          <w:rFonts w:ascii="Century Gothic" w:hAnsi="Century Gothic"/>
          <w:sz w:val="22"/>
          <w:szCs w:val="22"/>
        </w:rPr>
        <w:t xml:space="preserve"> regarding</w:t>
      </w:r>
      <w:r w:rsidRPr="006D074D">
        <w:rPr>
          <w:rFonts w:ascii="Century Gothic" w:hAnsi="Century Gothic"/>
          <w:sz w:val="22"/>
          <w:szCs w:val="22"/>
        </w:rPr>
        <w:t xml:space="preserve"> Georgia Power’s supplemental direct testimony</w:t>
      </w:r>
      <w:r>
        <w:rPr>
          <w:rFonts w:ascii="Century Gothic" w:hAnsi="Century Gothic"/>
          <w:sz w:val="22"/>
          <w:szCs w:val="22"/>
        </w:rPr>
        <w:t xml:space="preserve"> </w:t>
      </w:r>
      <w:r w:rsidRPr="006D074D">
        <w:rPr>
          <w:rFonts w:ascii="Century Gothic" w:hAnsi="Century Gothic"/>
          <w:sz w:val="22"/>
          <w:szCs w:val="22"/>
        </w:rPr>
        <w:t>regarding the appropriate structure and pricing of the RNR-10 tariff.</w:t>
      </w:r>
      <w:r>
        <w:rPr>
          <w:rFonts w:ascii="Century Gothic" w:hAnsi="Century Gothic"/>
          <w:sz w:val="22"/>
          <w:szCs w:val="22"/>
        </w:rPr>
        <w:t xml:space="preserve">  This shortened deadline shall only apply to interrogatories regarding this particular testimony.</w:t>
      </w:r>
    </w:p>
    <w:p w:rsidR="00586013" w:rsidRPr="006D074D" w:rsidRDefault="00586013" w:rsidP="00586013">
      <w:pPr>
        <w:jc w:val="both"/>
        <w:rPr>
          <w:rFonts w:ascii="Century Gothic" w:hAnsi="Century Gothic"/>
          <w:sz w:val="22"/>
          <w:szCs w:val="22"/>
        </w:rPr>
      </w:pPr>
    </w:p>
    <w:p w:rsidR="00586013" w:rsidRPr="00154630" w:rsidRDefault="00586013" w:rsidP="00586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024"/>
          <w:tab w:val="left" w:pos="3240"/>
          <w:tab w:val="left" w:pos="4320"/>
          <w:tab w:val="left" w:pos="4464"/>
          <w:tab w:val="left" w:pos="5040"/>
          <w:tab w:val="left" w:pos="5760"/>
          <w:tab w:val="left" w:pos="5904"/>
          <w:tab w:val="left" w:pos="6480"/>
          <w:tab w:val="left" w:pos="7200"/>
          <w:tab w:val="left" w:pos="7344"/>
          <w:tab w:val="left" w:pos="7920"/>
          <w:tab w:val="left" w:pos="8640"/>
          <w:tab w:val="left" w:pos="8784"/>
          <w:tab w:val="left" w:pos="9360"/>
          <w:tab w:val="left" w:pos="10080"/>
          <w:tab w:val="left" w:pos="10800"/>
        </w:tabs>
        <w:jc w:val="both"/>
        <w:rPr>
          <w:rFonts w:ascii="Century Gothic" w:hAnsi="Century Gothic"/>
          <w:b/>
          <w:sz w:val="22"/>
          <w:szCs w:val="22"/>
        </w:rPr>
      </w:pPr>
      <w:bookmarkStart w:id="4" w:name="_GoBack"/>
      <w:bookmarkEnd w:id="4"/>
    </w:p>
    <w:p w:rsidR="00586013" w:rsidRPr="007433A6" w:rsidRDefault="00586013" w:rsidP="00586013">
      <w:pPr>
        <w:pStyle w:val="BodyText2"/>
        <w:spacing w:line="240" w:lineRule="auto"/>
        <w:jc w:val="center"/>
        <w:rPr>
          <w:rFonts w:ascii="Century Gothic" w:hAnsi="Century Gothic"/>
          <w:sz w:val="22"/>
          <w:szCs w:val="22"/>
        </w:rPr>
      </w:pPr>
      <w:r w:rsidRPr="007433A6">
        <w:rPr>
          <w:rFonts w:ascii="Century Gothic" w:hAnsi="Century Gothic"/>
          <w:sz w:val="22"/>
          <w:szCs w:val="22"/>
        </w:rPr>
        <w:t>*****</w:t>
      </w:r>
    </w:p>
    <w:p w:rsidR="00586013" w:rsidRPr="005B05A8" w:rsidRDefault="00586013" w:rsidP="00586013">
      <w:pPr>
        <w:jc w:val="both"/>
        <w:rPr>
          <w:rFonts w:ascii="Century Gothic" w:hAnsi="Century Gothic"/>
          <w:sz w:val="22"/>
          <w:szCs w:val="22"/>
        </w:rPr>
      </w:pPr>
      <w:r w:rsidRPr="007433A6">
        <w:rPr>
          <w:rFonts w:ascii="Century Gothic" w:hAnsi="Century Gothic"/>
          <w:b/>
          <w:sz w:val="22"/>
          <w:szCs w:val="22"/>
        </w:rPr>
        <w:tab/>
        <w:t>WHEREFORE IT IS ORDERED</w:t>
      </w:r>
      <w:r w:rsidRPr="007433A6">
        <w:rPr>
          <w:rFonts w:ascii="Century Gothic" w:hAnsi="Century Gothic"/>
          <w:sz w:val="22"/>
          <w:szCs w:val="22"/>
        </w:rPr>
        <w:t xml:space="preserve">, that the </w:t>
      </w:r>
      <w:r>
        <w:rPr>
          <w:rFonts w:ascii="Century Gothic" w:hAnsi="Century Gothic"/>
          <w:sz w:val="22"/>
          <w:szCs w:val="22"/>
        </w:rPr>
        <w:t>Chairman</w:t>
      </w:r>
      <w:r w:rsidRPr="007433A6">
        <w:rPr>
          <w:rFonts w:ascii="Century Gothic" w:hAnsi="Century Gothic"/>
          <w:sz w:val="22"/>
          <w:szCs w:val="22"/>
        </w:rPr>
        <w:t xml:space="preserve"> hereby approves the Amended Procedural and Scheduling Order.  Except as otherwise expressly provided herein all other provisions set forth</w:t>
      </w:r>
      <w:r w:rsidRPr="005B05A8">
        <w:rPr>
          <w:rFonts w:ascii="Century Gothic" w:hAnsi="Century Gothic"/>
          <w:sz w:val="22"/>
          <w:szCs w:val="22"/>
        </w:rPr>
        <w:t xml:space="preserve"> in the original Procedural and Scheduling Order shall remain in full force and effect.</w:t>
      </w:r>
    </w:p>
    <w:p w:rsidR="00586013" w:rsidRPr="005B05A8" w:rsidRDefault="00586013" w:rsidP="00586013">
      <w:pPr>
        <w:pStyle w:val="BodyText2"/>
        <w:spacing w:line="240" w:lineRule="auto"/>
        <w:ind w:firstLine="720"/>
        <w:rPr>
          <w:rFonts w:ascii="Century Gothic" w:hAnsi="Century Gothic"/>
          <w:sz w:val="22"/>
          <w:szCs w:val="22"/>
        </w:rPr>
      </w:pPr>
    </w:p>
    <w:p w:rsidR="00586013" w:rsidRPr="005B05A8" w:rsidRDefault="00586013" w:rsidP="00586013">
      <w:pPr>
        <w:tabs>
          <w:tab w:val="left" w:pos="9360"/>
        </w:tabs>
        <w:ind w:firstLine="576"/>
        <w:jc w:val="both"/>
        <w:rPr>
          <w:rFonts w:ascii="Century Gothic" w:hAnsi="Century Gothic"/>
          <w:sz w:val="22"/>
          <w:szCs w:val="22"/>
        </w:rPr>
      </w:pPr>
      <w:r w:rsidRPr="005B05A8">
        <w:rPr>
          <w:rFonts w:ascii="Century Gothic" w:hAnsi="Century Gothic"/>
          <w:b/>
          <w:bCs/>
          <w:sz w:val="22"/>
          <w:szCs w:val="22"/>
        </w:rPr>
        <w:t>ORDERED FURTHER</w:t>
      </w:r>
      <w:r w:rsidRPr="005B05A8">
        <w:rPr>
          <w:rFonts w:ascii="Century Gothic" w:hAnsi="Century Gothic"/>
          <w:sz w:val="22"/>
          <w:szCs w:val="22"/>
        </w:rPr>
        <w:t>, that a motion for reconsideration, rehearing or oral argument or any other motion shall not stay the effective date of this Order, unless otherwise ordered by the Commission.</w:t>
      </w:r>
    </w:p>
    <w:p w:rsidR="00586013" w:rsidRPr="005B05A8" w:rsidRDefault="00586013" w:rsidP="00586013">
      <w:pPr>
        <w:ind w:firstLine="576"/>
        <w:jc w:val="both"/>
        <w:rPr>
          <w:rFonts w:ascii="Century Gothic" w:hAnsi="Century Gothic"/>
          <w:sz w:val="22"/>
          <w:szCs w:val="22"/>
        </w:rPr>
      </w:pPr>
    </w:p>
    <w:p w:rsidR="00586013" w:rsidRPr="005B05A8" w:rsidRDefault="00586013" w:rsidP="00586013">
      <w:pPr>
        <w:tabs>
          <w:tab w:val="left" w:pos="9360"/>
        </w:tabs>
        <w:ind w:firstLine="576"/>
        <w:jc w:val="both"/>
        <w:rPr>
          <w:rFonts w:ascii="Century Gothic" w:hAnsi="Century Gothic"/>
          <w:sz w:val="22"/>
          <w:szCs w:val="22"/>
        </w:rPr>
      </w:pPr>
      <w:r w:rsidRPr="005B05A8">
        <w:rPr>
          <w:rFonts w:ascii="Century Gothic" w:hAnsi="Century Gothic"/>
          <w:b/>
          <w:bCs/>
          <w:sz w:val="22"/>
          <w:szCs w:val="22"/>
        </w:rPr>
        <w:t>ORDERED FURTHER,</w:t>
      </w:r>
      <w:r w:rsidRPr="005B05A8">
        <w:rPr>
          <w:rFonts w:ascii="Century Gothic" w:hAnsi="Century Gothic"/>
          <w:sz w:val="22"/>
          <w:szCs w:val="22"/>
        </w:rPr>
        <w:t xml:space="preserve"> that jurisdiction over these matters is expressly retained for the purpose of entering such further Order or Orders as this Commission may deem just and proper.</w:t>
      </w:r>
    </w:p>
    <w:p w:rsidR="00586013" w:rsidRPr="005B05A8" w:rsidRDefault="00586013" w:rsidP="00586013">
      <w:pPr>
        <w:jc w:val="both"/>
        <w:rPr>
          <w:rFonts w:ascii="Century Gothic" w:hAnsi="Century Gothic"/>
          <w:sz w:val="22"/>
          <w:szCs w:val="22"/>
        </w:rPr>
      </w:pPr>
    </w:p>
    <w:p w:rsidR="00586013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586013" w:rsidRPr="005B05A8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  <w:r w:rsidRPr="005B05A8">
        <w:rPr>
          <w:rFonts w:ascii="Century Gothic" w:hAnsi="Century Gothic"/>
          <w:sz w:val="22"/>
          <w:szCs w:val="22"/>
        </w:rPr>
        <w:t xml:space="preserve">The above action by </w:t>
      </w:r>
      <w:r>
        <w:rPr>
          <w:rFonts w:ascii="Century Gothic" w:hAnsi="Century Gothic"/>
          <w:sz w:val="22"/>
          <w:szCs w:val="22"/>
        </w:rPr>
        <w:t>Order</w:t>
      </w:r>
      <w:r w:rsidRPr="005B05A8">
        <w:rPr>
          <w:rFonts w:ascii="Century Gothic" w:hAnsi="Century Gothic"/>
          <w:sz w:val="22"/>
          <w:szCs w:val="22"/>
        </w:rPr>
        <w:t xml:space="preserve"> of the Chairman of the Georgia Public Service Commission on the </w:t>
      </w:r>
      <w:r>
        <w:rPr>
          <w:rFonts w:ascii="Century Gothic" w:hAnsi="Century Gothic"/>
          <w:sz w:val="22"/>
          <w:szCs w:val="22"/>
        </w:rPr>
        <w:t>__</w:t>
      </w:r>
      <w:r w:rsidRPr="005B05A8">
        <w:rPr>
          <w:rFonts w:ascii="Century Gothic" w:hAnsi="Century Gothic"/>
          <w:sz w:val="22"/>
          <w:szCs w:val="22"/>
        </w:rPr>
        <w:t xml:space="preserve"> day of </w:t>
      </w:r>
      <w:r>
        <w:rPr>
          <w:rFonts w:ascii="Century Gothic" w:hAnsi="Century Gothic"/>
          <w:sz w:val="22"/>
          <w:szCs w:val="22"/>
        </w:rPr>
        <w:t>August</w:t>
      </w:r>
      <w:r w:rsidRPr="005B05A8">
        <w:rPr>
          <w:rFonts w:ascii="Century Gothic" w:hAnsi="Century Gothic"/>
          <w:sz w:val="22"/>
          <w:szCs w:val="22"/>
        </w:rPr>
        <w:t xml:space="preserve"> 20</w:t>
      </w:r>
      <w:r>
        <w:rPr>
          <w:rFonts w:ascii="Century Gothic" w:hAnsi="Century Gothic"/>
          <w:sz w:val="22"/>
          <w:szCs w:val="22"/>
        </w:rPr>
        <w:t>22</w:t>
      </w:r>
      <w:r w:rsidRPr="005B05A8">
        <w:rPr>
          <w:rFonts w:ascii="Century Gothic" w:hAnsi="Century Gothic"/>
          <w:sz w:val="22"/>
          <w:szCs w:val="22"/>
        </w:rPr>
        <w:t>.</w:t>
      </w:r>
    </w:p>
    <w:p w:rsidR="00586013" w:rsidRPr="005B05A8" w:rsidRDefault="00586013" w:rsidP="00586013">
      <w:pPr>
        <w:jc w:val="both"/>
        <w:rPr>
          <w:rFonts w:ascii="Century Gothic" w:hAnsi="Century Gothic"/>
        </w:rPr>
      </w:pPr>
    </w:p>
    <w:p w:rsidR="00586013" w:rsidRPr="005B05A8" w:rsidRDefault="00586013" w:rsidP="00586013">
      <w:pPr>
        <w:spacing w:before="26" w:after="29" w:line="276" w:lineRule="exact"/>
        <w:rPr>
          <w:rFonts w:ascii="Century Gothic" w:hAnsi="Century Gothic"/>
          <w:spacing w:val="5"/>
          <w:sz w:val="22"/>
          <w:szCs w:val="22"/>
        </w:rPr>
      </w:pPr>
      <w:bookmarkStart w:id="5" w:name="_DV_M115"/>
      <w:bookmarkEnd w:id="5"/>
    </w:p>
    <w:p w:rsidR="00586013" w:rsidRPr="005B05A8" w:rsidRDefault="00586013" w:rsidP="00586013">
      <w:pPr>
        <w:tabs>
          <w:tab w:val="left" w:pos="720"/>
        </w:tabs>
        <w:ind w:firstLine="720"/>
        <w:jc w:val="both"/>
        <w:rPr>
          <w:rFonts w:ascii="Century Gothic" w:hAnsi="Century Gothic"/>
          <w:sz w:val="22"/>
          <w:szCs w:val="22"/>
        </w:rPr>
      </w:pPr>
    </w:p>
    <w:p w:rsidR="00586013" w:rsidRPr="005B05A8" w:rsidRDefault="00586013" w:rsidP="00586013">
      <w:pPr>
        <w:tabs>
          <w:tab w:val="left" w:pos="3600"/>
          <w:tab w:val="left" w:pos="5040"/>
          <w:tab w:val="left" w:pos="5760"/>
        </w:tabs>
        <w:ind w:hanging="90"/>
        <w:jc w:val="both"/>
        <w:rPr>
          <w:rFonts w:ascii="Century Gothic" w:hAnsi="Century Gothic"/>
          <w:sz w:val="22"/>
          <w:szCs w:val="22"/>
        </w:rPr>
      </w:pPr>
      <w:bookmarkStart w:id="6" w:name="_DV_M120"/>
      <w:bookmarkEnd w:id="6"/>
      <w:r w:rsidRPr="005B05A8">
        <w:rPr>
          <w:rFonts w:ascii="Century Gothic" w:hAnsi="Century Gothic"/>
          <w:sz w:val="22"/>
          <w:szCs w:val="22"/>
        </w:rPr>
        <w:t xml:space="preserve">  ______________________________</w:t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  <w:t>______________________________</w:t>
      </w:r>
    </w:p>
    <w:p w:rsidR="00586013" w:rsidRPr="005B05A8" w:rsidRDefault="00586013" w:rsidP="00586013">
      <w:pPr>
        <w:tabs>
          <w:tab w:val="left" w:pos="-90"/>
        </w:tabs>
        <w:jc w:val="both"/>
        <w:rPr>
          <w:rFonts w:ascii="Century Gothic" w:hAnsi="Century Gothic"/>
          <w:sz w:val="22"/>
          <w:szCs w:val="22"/>
        </w:rPr>
      </w:pPr>
      <w:bookmarkStart w:id="7" w:name="_DV_M121"/>
      <w:bookmarkEnd w:id="7"/>
      <w:r>
        <w:rPr>
          <w:rFonts w:ascii="Century Gothic" w:hAnsi="Century Gothic"/>
          <w:sz w:val="22"/>
          <w:szCs w:val="22"/>
        </w:rPr>
        <w:t>Sallie Tanner</w:t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>Tricia Pridemore</w:t>
      </w:r>
    </w:p>
    <w:p w:rsidR="00586013" w:rsidRPr="005B05A8" w:rsidRDefault="00586013" w:rsidP="00586013">
      <w:pPr>
        <w:tabs>
          <w:tab w:val="left" w:pos="3600"/>
        </w:tabs>
        <w:jc w:val="both"/>
        <w:rPr>
          <w:rFonts w:ascii="Century Gothic" w:hAnsi="Century Gothic"/>
          <w:sz w:val="22"/>
          <w:szCs w:val="22"/>
        </w:rPr>
      </w:pPr>
      <w:bookmarkStart w:id="8" w:name="_DV_M122"/>
      <w:bookmarkEnd w:id="8"/>
      <w:r w:rsidRPr="005B05A8">
        <w:rPr>
          <w:rFonts w:ascii="Century Gothic" w:hAnsi="Century Gothic"/>
          <w:sz w:val="22"/>
          <w:szCs w:val="22"/>
        </w:rPr>
        <w:t>Executive Secretary</w:t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  <w:t>Chairman</w:t>
      </w:r>
    </w:p>
    <w:p w:rsidR="00586013" w:rsidRPr="005B05A8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586013" w:rsidRPr="005B05A8" w:rsidRDefault="00586013" w:rsidP="00586013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586013" w:rsidRPr="005B05A8" w:rsidRDefault="00586013" w:rsidP="00586013">
      <w:pPr>
        <w:jc w:val="both"/>
        <w:rPr>
          <w:rFonts w:ascii="Century Gothic" w:hAnsi="Century Gothic"/>
          <w:sz w:val="22"/>
          <w:szCs w:val="22"/>
        </w:rPr>
      </w:pPr>
      <w:bookmarkStart w:id="9" w:name="_DV_M123"/>
      <w:bookmarkEnd w:id="9"/>
      <w:r w:rsidRPr="005B05A8">
        <w:rPr>
          <w:rFonts w:ascii="Century Gothic" w:hAnsi="Century Gothic"/>
          <w:sz w:val="22"/>
          <w:szCs w:val="22"/>
        </w:rPr>
        <w:t>______________________________</w:t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  <w:t>______________________________</w:t>
      </w:r>
    </w:p>
    <w:p w:rsidR="00586013" w:rsidRPr="005B05A8" w:rsidRDefault="00586013" w:rsidP="00586013">
      <w:pPr>
        <w:jc w:val="both"/>
        <w:rPr>
          <w:rFonts w:ascii="Century Gothic" w:hAnsi="Century Gothic"/>
        </w:rPr>
      </w:pPr>
      <w:bookmarkStart w:id="10" w:name="_DV_M124"/>
      <w:bookmarkEnd w:id="10"/>
      <w:r w:rsidRPr="005B05A8">
        <w:rPr>
          <w:rFonts w:ascii="Century Gothic" w:hAnsi="Century Gothic"/>
          <w:sz w:val="22"/>
          <w:szCs w:val="22"/>
        </w:rPr>
        <w:t>Date</w:t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r w:rsidRPr="005B05A8">
        <w:rPr>
          <w:rFonts w:ascii="Century Gothic" w:hAnsi="Century Gothic"/>
          <w:sz w:val="22"/>
          <w:szCs w:val="22"/>
        </w:rPr>
        <w:tab/>
      </w:r>
      <w:proofErr w:type="spellStart"/>
      <w:r w:rsidRPr="005B05A8">
        <w:rPr>
          <w:rFonts w:ascii="Century Gothic" w:hAnsi="Century Gothic"/>
          <w:sz w:val="22"/>
          <w:szCs w:val="22"/>
        </w:rPr>
        <w:t>Date</w:t>
      </w:r>
      <w:proofErr w:type="spellEnd"/>
    </w:p>
    <w:p w:rsidR="003F2763" w:rsidRPr="00A958CB" w:rsidRDefault="003F2763" w:rsidP="00352252">
      <w:pPr>
        <w:pStyle w:val="Heading1"/>
        <w:jc w:val="left"/>
      </w:pPr>
    </w:p>
    <w:sectPr w:rsidR="003F2763" w:rsidRPr="00A958CB" w:rsidSect="00F4069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FA" w:rsidRDefault="004302FA" w:rsidP="00010488">
      <w:r>
        <w:separator/>
      </w:r>
    </w:p>
  </w:endnote>
  <w:endnote w:type="continuationSeparator" w:id="0">
    <w:p w:rsidR="004302FA" w:rsidRDefault="004302FA" w:rsidP="0001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FA" w:rsidRDefault="004302FA" w:rsidP="00010488">
      <w:r>
        <w:separator/>
      </w:r>
    </w:p>
  </w:footnote>
  <w:footnote w:type="continuationSeparator" w:id="0">
    <w:p w:rsidR="004302FA" w:rsidRDefault="004302FA" w:rsidP="0001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jc w:val="center"/>
      <w:tblLayout w:type="fixed"/>
      <w:tblCellMar>
        <w:left w:w="84" w:type="dxa"/>
        <w:right w:w="84" w:type="dxa"/>
      </w:tblCellMar>
      <w:tblLook w:val="04A0" w:firstRow="1" w:lastRow="0" w:firstColumn="1" w:lastColumn="0" w:noHBand="0" w:noVBand="1"/>
    </w:tblPr>
    <w:tblGrid>
      <w:gridCol w:w="4357"/>
      <w:gridCol w:w="2970"/>
      <w:gridCol w:w="3728"/>
    </w:tblGrid>
    <w:tr w:rsidR="00F40698" w:rsidRPr="00611A1D" w:rsidTr="003A2E53">
      <w:trPr>
        <w:trHeight w:val="1681"/>
        <w:jc w:val="center"/>
      </w:trPr>
      <w:tc>
        <w:tcPr>
          <w:tcW w:w="4358" w:type="dxa"/>
          <w:hideMark/>
        </w:tcPr>
        <w:p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fldChar w:fldCharType="begin"/>
          </w:r>
          <w:r w:rsidRPr="00611A1D">
            <w:rPr>
              <w:b/>
              <w:sz w:val="20"/>
              <w:szCs w:val="20"/>
            </w:rPr>
            <w:instrText>PRIVATE</w:instrText>
          </w:r>
          <w:r w:rsidRPr="00611A1D">
            <w:rPr>
              <w:b/>
              <w:sz w:val="20"/>
              <w:szCs w:val="20"/>
            </w:rPr>
            <w:fldChar w:fldCharType="end"/>
          </w:r>
          <w:r w:rsidRPr="00611A1D">
            <w:rPr>
              <w:rStyle w:val="Strong"/>
              <w:sz w:val="20"/>
              <w:szCs w:val="20"/>
            </w:rPr>
            <w:t>COMMISSIONERS:</w:t>
          </w:r>
        </w:p>
        <w:p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</w:p>
        <w:p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rStyle w:val="Strong"/>
              <w:sz w:val="20"/>
              <w:szCs w:val="20"/>
            </w:rPr>
            <w:t xml:space="preserve">TRICIA PRIDEMORE, Chairman </w:t>
          </w:r>
        </w:p>
        <w:p w:rsidR="00F40698" w:rsidRPr="00611A1D" w:rsidRDefault="00F40698" w:rsidP="00F40698">
          <w:pPr>
            <w:tabs>
              <w:tab w:val="right" w:pos="4189"/>
            </w:tabs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rStyle w:val="Strong"/>
              <w:sz w:val="20"/>
              <w:szCs w:val="20"/>
            </w:rPr>
            <w:t>TIM G. ECHOLS, Vice-Chairman</w:t>
          </w:r>
          <w:r>
            <w:rPr>
              <w:rStyle w:val="Strong"/>
              <w:sz w:val="20"/>
              <w:szCs w:val="20"/>
            </w:rPr>
            <w:tab/>
            <w:t xml:space="preserve">   </w:t>
          </w:r>
        </w:p>
        <w:p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rStyle w:val="Strong"/>
              <w:sz w:val="20"/>
              <w:szCs w:val="20"/>
            </w:rPr>
            <w:t xml:space="preserve">FITZ JOHNSON </w:t>
          </w:r>
        </w:p>
        <w:p w:rsidR="00F40698" w:rsidRDefault="00F40698" w:rsidP="00F40698">
          <w:pPr>
            <w:spacing w:line="276" w:lineRule="auto"/>
          </w:pPr>
          <w:r w:rsidRPr="00611A1D">
            <w:rPr>
              <w:rStyle w:val="Strong"/>
              <w:sz w:val="20"/>
              <w:szCs w:val="20"/>
            </w:rPr>
            <w:t xml:space="preserve">LAUREN “BUBBA” </w:t>
          </w:r>
          <w:proofErr w:type="spellStart"/>
          <w:r w:rsidRPr="00611A1D">
            <w:rPr>
              <w:rStyle w:val="Strong"/>
              <w:sz w:val="20"/>
              <w:szCs w:val="20"/>
            </w:rPr>
            <w:t>McDONALD</w:t>
          </w:r>
          <w:proofErr w:type="spellEnd"/>
          <w:r w:rsidRPr="00611A1D">
            <w:rPr>
              <w:rStyle w:val="Strong"/>
              <w:sz w:val="20"/>
              <w:szCs w:val="20"/>
            </w:rPr>
            <w:t xml:space="preserve">                                  </w:t>
          </w:r>
          <w:r w:rsidRPr="00611A1D">
            <w:rPr>
              <w:b/>
              <w:sz w:val="20"/>
              <w:szCs w:val="20"/>
            </w:rPr>
            <w:br/>
          </w:r>
          <w:r w:rsidRPr="00611A1D">
            <w:rPr>
              <w:rStyle w:val="Strong"/>
              <w:sz w:val="20"/>
              <w:szCs w:val="20"/>
            </w:rPr>
            <w:t>JASON SHAW</w:t>
          </w:r>
          <w:r>
            <w:rPr>
              <w:rStyle w:val="Strong"/>
              <w:rFonts w:ascii="Arial Black" w:hAnsi="Arial Black"/>
              <w:sz w:val="16"/>
              <w:szCs w:val="16"/>
            </w:rPr>
            <w:t xml:space="preserve">                          </w:t>
          </w:r>
          <w:r>
            <w:rPr>
              <w:rFonts w:ascii="Arial Black" w:hAnsi="Arial Black"/>
              <w:b/>
              <w:sz w:val="16"/>
              <w:szCs w:val="16"/>
            </w:rPr>
            <w:br/>
          </w:r>
        </w:p>
      </w:tc>
      <w:tc>
        <w:tcPr>
          <w:tcW w:w="2970" w:type="dxa"/>
          <w:hideMark/>
        </w:tcPr>
        <w:p w:rsidR="00F40698" w:rsidRDefault="00F40698" w:rsidP="00F40698">
          <w:pPr>
            <w:tabs>
              <w:tab w:val="left" w:pos="1410"/>
            </w:tabs>
            <w:spacing w:line="276" w:lineRule="auto"/>
          </w:pPr>
          <w:r>
            <w:t xml:space="preserve">    </w:t>
          </w:r>
          <w:r w:rsidRPr="00A958CB">
            <w:rPr>
              <w:noProof/>
            </w:rPr>
            <w:drawing>
              <wp:inline distT="0" distB="0" distL="0" distR="0" wp14:anchorId="3E655424" wp14:editId="5059AD1D">
                <wp:extent cx="1226190" cy="1179830"/>
                <wp:effectExtent l="0" t="0" r="0" b="127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PSC_seal_GOLD-single_color.pn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Cement/>
                                  </a14:imgEffect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843" cy="1217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8" w:type="dxa"/>
          <w:hideMark/>
        </w:tcPr>
        <w:p w:rsidR="00F40698" w:rsidRPr="00611A1D" w:rsidRDefault="00F40698" w:rsidP="00F40698">
          <w:pPr>
            <w:spacing w:line="276" w:lineRule="auto"/>
            <w:rPr>
              <w:b/>
              <w:sz w:val="20"/>
              <w:szCs w:val="20"/>
            </w:rPr>
          </w:pPr>
        </w:p>
        <w:p w:rsidR="00F40698" w:rsidRPr="00611A1D" w:rsidRDefault="00F40698" w:rsidP="00F40698">
          <w:pPr>
            <w:spacing w:line="276" w:lineRule="auto"/>
            <w:jc w:val="right"/>
            <w:rPr>
              <w:b/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t xml:space="preserve">REECE </w:t>
          </w:r>
          <w:proofErr w:type="spellStart"/>
          <w:r w:rsidRPr="00611A1D">
            <w:rPr>
              <w:b/>
              <w:sz w:val="20"/>
              <w:szCs w:val="20"/>
            </w:rPr>
            <w:t>McALISTER</w:t>
          </w:r>
          <w:proofErr w:type="spellEnd"/>
          <w:r w:rsidRPr="00611A1D">
            <w:rPr>
              <w:b/>
              <w:sz w:val="20"/>
              <w:szCs w:val="20"/>
            </w:rPr>
            <w:t> </w:t>
          </w:r>
        </w:p>
        <w:p w:rsidR="00F40698" w:rsidRPr="00611A1D" w:rsidRDefault="00F40698" w:rsidP="00F40698">
          <w:pPr>
            <w:spacing w:line="276" w:lineRule="auto"/>
            <w:jc w:val="right"/>
            <w:rPr>
              <w:b/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t>EXECUTIVE DIRECTOR</w:t>
          </w:r>
        </w:p>
        <w:p w:rsidR="00F40698" w:rsidRPr="00611A1D" w:rsidRDefault="00F40698" w:rsidP="00F40698">
          <w:pPr>
            <w:spacing w:line="276" w:lineRule="auto"/>
            <w:jc w:val="right"/>
            <w:rPr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t xml:space="preserve"> </w:t>
          </w:r>
          <w:r w:rsidRPr="00611A1D">
            <w:rPr>
              <w:b/>
              <w:sz w:val="20"/>
              <w:szCs w:val="20"/>
            </w:rPr>
            <w:br/>
            <w:t>SALLIE TANNER</w:t>
          </w:r>
          <w:r w:rsidRPr="00611A1D">
            <w:rPr>
              <w:b/>
              <w:sz w:val="20"/>
              <w:szCs w:val="20"/>
            </w:rPr>
            <w:br/>
            <w:t>EXECUTIVE SECRETARY</w:t>
          </w:r>
        </w:p>
      </w:tc>
    </w:tr>
    <w:tr w:rsidR="00F40698" w:rsidTr="003A2E53">
      <w:trPr>
        <w:trHeight w:val="772"/>
        <w:jc w:val="center"/>
      </w:trPr>
      <w:tc>
        <w:tcPr>
          <w:tcW w:w="11056" w:type="dxa"/>
          <w:gridSpan w:val="3"/>
          <w:hideMark/>
        </w:tcPr>
        <w:p w:rsidR="00F40698" w:rsidRDefault="00F40698" w:rsidP="00F40698">
          <w:pPr>
            <w:pStyle w:val="Heading1"/>
            <w:tabs>
              <w:tab w:val="left" w:pos="1410"/>
              <w:tab w:val="left" w:pos="5772"/>
            </w:tabs>
            <w:spacing w:line="276" w:lineRule="auto"/>
            <w:rPr>
              <w:rFonts w:ascii="Old English Text MT" w:hAnsi="Old English Text MT"/>
              <w:sz w:val="42"/>
            </w:rPr>
          </w:pPr>
          <w:r>
            <w:rPr>
              <w:rFonts w:ascii="Old English Text MT" w:hAnsi="Old English Text MT"/>
              <w:sz w:val="42"/>
            </w:rPr>
            <w:t xml:space="preserve">       Georgia Public Service Commission</w:t>
          </w:r>
        </w:p>
      </w:tc>
    </w:tr>
    <w:tr w:rsidR="00F40698" w:rsidTr="003A2E53">
      <w:trPr>
        <w:jc w:val="center"/>
      </w:trPr>
      <w:tc>
        <w:tcPr>
          <w:tcW w:w="4358" w:type="dxa"/>
          <w:hideMark/>
        </w:tcPr>
        <w:p w:rsidR="00F40698" w:rsidRDefault="00F40698" w:rsidP="00F40698">
          <w:pPr>
            <w:spacing w:line="276" w:lineRule="auto"/>
            <w:rPr>
              <w:rFonts w:cs="Arial"/>
              <w:b/>
              <w:bCs/>
              <w:sz w:val="17"/>
              <w:szCs w:val="17"/>
            </w:rPr>
          </w:pPr>
          <w:r>
            <w:rPr>
              <w:rFonts w:cs="Arial"/>
              <w:b/>
              <w:bCs/>
              <w:sz w:val="17"/>
              <w:szCs w:val="17"/>
            </w:rPr>
            <w:t>(404) 656-4501</w:t>
          </w:r>
        </w:p>
        <w:p w:rsidR="00F40698" w:rsidRDefault="00F40698" w:rsidP="00F40698">
          <w:pPr>
            <w:spacing w:line="276" w:lineRule="auto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7"/>
              <w:szCs w:val="17"/>
            </w:rPr>
            <w:t>(800) 282-5813</w:t>
          </w:r>
        </w:p>
      </w:tc>
      <w:tc>
        <w:tcPr>
          <w:tcW w:w="2970" w:type="dxa"/>
          <w:hideMark/>
        </w:tcPr>
        <w:p w:rsidR="00F40698" w:rsidRDefault="00F40698" w:rsidP="00F40698">
          <w:pPr>
            <w:tabs>
              <w:tab w:val="left" w:pos="1410"/>
            </w:tabs>
            <w:spacing w:line="276" w:lineRule="auto"/>
            <w:rPr>
              <w:rFonts w:cs="Arial"/>
              <w:b/>
              <w:sz w:val="17"/>
              <w:szCs w:val="17"/>
            </w:rPr>
          </w:pPr>
          <w:r>
            <w:rPr>
              <w:rFonts w:cs="Arial"/>
              <w:b/>
              <w:sz w:val="17"/>
              <w:szCs w:val="17"/>
            </w:rPr>
            <w:t>244 WASHINGTON STREET, SW</w:t>
          </w:r>
          <w:r>
            <w:rPr>
              <w:rFonts w:cs="Arial"/>
              <w:b/>
              <w:sz w:val="17"/>
              <w:szCs w:val="17"/>
            </w:rPr>
            <w:br/>
          </w:r>
          <w:smartTag w:uri="urn:schemas-microsoft-com:office:smarttags" w:element="City">
            <w:r>
              <w:rPr>
                <w:rFonts w:cs="Arial"/>
                <w:b/>
                <w:sz w:val="17"/>
                <w:szCs w:val="17"/>
              </w:rPr>
              <w:t>ATLANTA</w:t>
            </w:r>
          </w:smartTag>
          <w:r>
            <w:rPr>
              <w:rFonts w:cs="Arial"/>
              <w:b/>
              <w:sz w:val="17"/>
              <w:szCs w:val="17"/>
            </w:rPr>
            <w:t xml:space="preserve">, </w:t>
          </w:r>
          <w:smartTag w:uri="urn:schemas-microsoft-com:office:smarttags" w:element="country-region">
            <w:r>
              <w:rPr>
                <w:rFonts w:cs="Arial"/>
                <w:b/>
                <w:sz w:val="17"/>
                <w:szCs w:val="17"/>
              </w:rPr>
              <w:t>GEORGIA</w:t>
            </w:r>
          </w:smartTag>
          <w:r>
            <w:rPr>
              <w:rFonts w:cs="Arial"/>
              <w:b/>
              <w:sz w:val="17"/>
              <w:szCs w:val="17"/>
            </w:rPr>
            <w:t xml:space="preserve"> 30334-5701</w:t>
          </w:r>
        </w:p>
      </w:tc>
      <w:tc>
        <w:tcPr>
          <w:tcW w:w="3728" w:type="dxa"/>
          <w:hideMark/>
        </w:tcPr>
        <w:p w:rsidR="00F40698" w:rsidRDefault="00F40698" w:rsidP="00F40698">
          <w:pPr>
            <w:spacing w:line="276" w:lineRule="auto"/>
            <w:jc w:val="right"/>
            <w:rPr>
              <w:rFonts w:cs="Arial"/>
              <w:b/>
              <w:bCs/>
              <w:sz w:val="17"/>
              <w:szCs w:val="17"/>
            </w:rPr>
          </w:pPr>
          <w:r>
            <w:rPr>
              <w:rFonts w:cs="Arial"/>
              <w:b/>
              <w:bCs/>
              <w:sz w:val="17"/>
              <w:szCs w:val="17"/>
            </w:rPr>
            <w:t xml:space="preserve">FAX: (404) 656-2341                   </w:t>
          </w:r>
        </w:p>
        <w:p w:rsidR="00F40698" w:rsidRDefault="00F40698" w:rsidP="00F40698">
          <w:pPr>
            <w:spacing w:line="276" w:lineRule="auto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7"/>
              <w:szCs w:val="17"/>
            </w:rPr>
            <w:t>psc.ga.gov</w:t>
          </w:r>
        </w:p>
      </w:tc>
    </w:tr>
  </w:tbl>
  <w:p w:rsidR="00F40698" w:rsidRDefault="00F40698" w:rsidP="00F40698">
    <w:pPr>
      <w:pStyle w:val="Header"/>
    </w:pPr>
  </w:p>
  <w:p w:rsidR="00F40698" w:rsidRDefault="00F40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C94"/>
    <w:multiLevelType w:val="hybridMultilevel"/>
    <w:tmpl w:val="73E69E3C"/>
    <w:lvl w:ilvl="0" w:tplc="4B4AD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63"/>
    <w:rsid w:val="00010488"/>
    <w:rsid w:val="000112CB"/>
    <w:rsid w:val="0005442F"/>
    <w:rsid w:val="0006325A"/>
    <w:rsid w:val="00100AEA"/>
    <w:rsid w:val="0010753E"/>
    <w:rsid w:val="001078BC"/>
    <w:rsid w:val="0011770D"/>
    <w:rsid w:val="001704C0"/>
    <w:rsid w:val="001C4F42"/>
    <w:rsid w:val="001D0747"/>
    <w:rsid w:val="001F00F3"/>
    <w:rsid w:val="00237B30"/>
    <w:rsid w:val="00291C03"/>
    <w:rsid w:val="002A3D95"/>
    <w:rsid w:val="002A61FE"/>
    <w:rsid w:val="002B5184"/>
    <w:rsid w:val="002C6DD1"/>
    <w:rsid w:val="00352252"/>
    <w:rsid w:val="003B1182"/>
    <w:rsid w:val="003F2763"/>
    <w:rsid w:val="004302FA"/>
    <w:rsid w:val="00467B71"/>
    <w:rsid w:val="00476AA2"/>
    <w:rsid w:val="0048564B"/>
    <w:rsid w:val="00494A05"/>
    <w:rsid w:val="004D75CE"/>
    <w:rsid w:val="004D7BC6"/>
    <w:rsid w:val="00521687"/>
    <w:rsid w:val="00525B80"/>
    <w:rsid w:val="005529E4"/>
    <w:rsid w:val="00586013"/>
    <w:rsid w:val="005F2927"/>
    <w:rsid w:val="005F7054"/>
    <w:rsid w:val="00611A1D"/>
    <w:rsid w:val="00617121"/>
    <w:rsid w:val="0063398F"/>
    <w:rsid w:val="006465C2"/>
    <w:rsid w:val="00670AF6"/>
    <w:rsid w:val="00673564"/>
    <w:rsid w:val="006862E4"/>
    <w:rsid w:val="006952CD"/>
    <w:rsid w:val="006A4919"/>
    <w:rsid w:val="006A5FC2"/>
    <w:rsid w:val="006D6992"/>
    <w:rsid w:val="006E65D8"/>
    <w:rsid w:val="00761035"/>
    <w:rsid w:val="007C40EE"/>
    <w:rsid w:val="007D1A4F"/>
    <w:rsid w:val="00810B63"/>
    <w:rsid w:val="00886BED"/>
    <w:rsid w:val="00897E9B"/>
    <w:rsid w:val="008F38EF"/>
    <w:rsid w:val="0091049C"/>
    <w:rsid w:val="00945A5F"/>
    <w:rsid w:val="009572C5"/>
    <w:rsid w:val="00994AB6"/>
    <w:rsid w:val="009A4D99"/>
    <w:rsid w:val="009A6D98"/>
    <w:rsid w:val="009B68C5"/>
    <w:rsid w:val="00A958CB"/>
    <w:rsid w:val="00AF7496"/>
    <w:rsid w:val="00B11BEB"/>
    <w:rsid w:val="00BA2A06"/>
    <w:rsid w:val="00BC27C0"/>
    <w:rsid w:val="00BD2F2B"/>
    <w:rsid w:val="00C36999"/>
    <w:rsid w:val="00CD18D4"/>
    <w:rsid w:val="00D73FBC"/>
    <w:rsid w:val="00DC7E18"/>
    <w:rsid w:val="00DE40A2"/>
    <w:rsid w:val="00E112AD"/>
    <w:rsid w:val="00E87C44"/>
    <w:rsid w:val="00E92FA4"/>
    <w:rsid w:val="00F40698"/>
    <w:rsid w:val="00F45EA9"/>
    <w:rsid w:val="00F721DF"/>
    <w:rsid w:val="00FD3B63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6AC64586-1549-401E-9C68-F294999F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2763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76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F2763"/>
    <w:rPr>
      <w:b/>
      <w:bCs w:val="0"/>
    </w:rPr>
  </w:style>
  <w:style w:type="paragraph" w:styleId="Title">
    <w:name w:val="Title"/>
    <w:basedOn w:val="Normal"/>
    <w:link w:val="TitleChar"/>
    <w:qFormat/>
    <w:rsid w:val="003F2763"/>
    <w:pPr>
      <w:widowControl w:val="0"/>
      <w:tabs>
        <w:tab w:val="center" w:pos="4680"/>
      </w:tabs>
      <w:autoSpaceDE w:val="0"/>
      <w:autoSpaceDN w:val="0"/>
      <w:adjustRightInd w:val="0"/>
      <w:jc w:val="center"/>
    </w:pPr>
  </w:style>
  <w:style w:type="character" w:customStyle="1" w:styleId="TitleChar">
    <w:name w:val="Title Char"/>
    <w:basedOn w:val="DefaultParagraphFont"/>
    <w:link w:val="Title"/>
    <w:rsid w:val="003F27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6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AF7496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1075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0753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4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Brown</dc:creator>
  <cp:lastModifiedBy>Tom Bond</cp:lastModifiedBy>
  <cp:revision>4</cp:revision>
  <cp:lastPrinted>2022-08-02T15:56:00Z</cp:lastPrinted>
  <dcterms:created xsi:type="dcterms:W3CDTF">2022-08-04T19:33:00Z</dcterms:created>
  <dcterms:modified xsi:type="dcterms:W3CDTF">2022-08-04T19:50:00Z</dcterms:modified>
</cp:coreProperties>
</file>