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CF317B" w:rsidRPr="00CF317B" w:rsidTr="008065F6">
        <w:trPr>
          <w:trHeight w:val="1681"/>
          <w:jc w:val="center"/>
        </w:trPr>
        <w:tc>
          <w:tcPr>
            <w:tcW w:w="4358" w:type="dxa"/>
            <w:hideMark/>
          </w:tcPr>
          <w:p w:rsidR="003F2763" w:rsidRPr="00CF317B" w:rsidRDefault="003F2763" w:rsidP="008065F6">
            <w:pPr>
              <w:spacing w:line="276" w:lineRule="auto"/>
              <w:rPr>
                <w:rStyle w:val="Strong"/>
                <w:rFonts w:ascii="Arial Black" w:hAnsi="Arial Black"/>
                <w:sz w:val="16"/>
                <w:szCs w:val="16"/>
              </w:rPr>
            </w:pPr>
            <w:r w:rsidRPr="00CF317B">
              <w:rPr>
                <w:rFonts w:ascii="Arial Black" w:hAnsi="Arial Black"/>
                <w:sz w:val="16"/>
                <w:szCs w:val="16"/>
              </w:rPr>
              <w:fldChar w:fldCharType="begin"/>
            </w:r>
            <w:r w:rsidRPr="00CF317B">
              <w:rPr>
                <w:rFonts w:ascii="Arial Black" w:hAnsi="Arial Black"/>
                <w:sz w:val="16"/>
                <w:szCs w:val="16"/>
              </w:rPr>
              <w:instrText>PRIVATE</w:instrText>
            </w:r>
            <w:r w:rsidRPr="00CF317B">
              <w:rPr>
                <w:rFonts w:ascii="Arial Black" w:hAnsi="Arial Black"/>
                <w:sz w:val="16"/>
                <w:szCs w:val="16"/>
              </w:rPr>
              <w:fldChar w:fldCharType="end"/>
            </w:r>
            <w:r w:rsidRPr="00CF317B">
              <w:rPr>
                <w:rStyle w:val="Strong"/>
                <w:rFonts w:ascii="Arial Black" w:hAnsi="Arial Black"/>
                <w:sz w:val="16"/>
                <w:szCs w:val="16"/>
              </w:rPr>
              <w:t>COMMISSIONERS:</w:t>
            </w:r>
          </w:p>
          <w:p w:rsidR="00BA2A06" w:rsidRPr="00CF317B" w:rsidRDefault="00BA2A06" w:rsidP="008065F6">
            <w:pPr>
              <w:spacing w:line="276" w:lineRule="auto"/>
              <w:rPr>
                <w:rStyle w:val="Strong"/>
                <w:rFonts w:ascii="Arial Black" w:hAnsi="Arial Black"/>
                <w:sz w:val="16"/>
                <w:szCs w:val="16"/>
              </w:rPr>
            </w:pPr>
          </w:p>
          <w:p w:rsidR="00E92FA4" w:rsidRPr="00CF317B" w:rsidRDefault="006862E4" w:rsidP="008065F6">
            <w:pPr>
              <w:spacing w:line="276" w:lineRule="auto"/>
              <w:rPr>
                <w:rStyle w:val="Strong"/>
                <w:rFonts w:ascii="Arial Black" w:hAnsi="Arial Black"/>
                <w:sz w:val="16"/>
                <w:szCs w:val="16"/>
              </w:rPr>
            </w:pPr>
            <w:r w:rsidRPr="00CF317B">
              <w:rPr>
                <w:rStyle w:val="Strong"/>
                <w:rFonts w:ascii="Arial Black" w:hAnsi="Arial Black"/>
                <w:sz w:val="16"/>
                <w:szCs w:val="16"/>
              </w:rPr>
              <w:t>TRICIA PRIDEMORE</w:t>
            </w:r>
            <w:r w:rsidR="00994AB6" w:rsidRPr="00CF317B">
              <w:rPr>
                <w:rStyle w:val="Strong"/>
                <w:rFonts w:ascii="Arial Black" w:hAnsi="Arial Black"/>
                <w:sz w:val="16"/>
                <w:szCs w:val="16"/>
              </w:rPr>
              <w:t xml:space="preserve">, Chairman </w:t>
            </w:r>
          </w:p>
          <w:p w:rsidR="001D0747" w:rsidRPr="00CF317B" w:rsidRDefault="00E92FA4" w:rsidP="008065F6">
            <w:pPr>
              <w:spacing w:line="276" w:lineRule="auto"/>
              <w:rPr>
                <w:rStyle w:val="Strong"/>
                <w:rFonts w:ascii="Arial Black" w:hAnsi="Arial Black"/>
                <w:sz w:val="16"/>
                <w:szCs w:val="16"/>
              </w:rPr>
            </w:pPr>
            <w:r w:rsidRPr="00CF317B">
              <w:rPr>
                <w:rStyle w:val="Strong"/>
                <w:rFonts w:ascii="Arial Black" w:hAnsi="Arial Black"/>
                <w:sz w:val="16"/>
                <w:szCs w:val="16"/>
              </w:rPr>
              <w:t>TIM G. ECHOLS, Vice-Chairman</w:t>
            </w:r>
          </w:p>
          <w:p w:rsidR="006862E4" w:rsidRPr="00CF317B" w:rsidRDefault="001D0747" w:rsidP="008065F6">
            <w:pPr>
              <w:spacing w:line="276" w:lineRule="auto"/>
              <w:rPr>
                <w:rStyle w:val="Strong"/>
                <w:rFonts w:ascii="Arial Black" w:hAnsi="Arial Black"/>
                <w:sz w:val="16"/>
                <w:szCs w:val="16"/>
              </w:rPr>
            </w:pPr>
            <w:r w:rsidRPr="00CF317B">
              <w:rPr>
                <w:rStyle w:val="Strong"/>
                <w:rFonts w:ascii="Arial Black" w:hAnsi="Arial Black"/>
                <w:sz w:val="16"/>
                <w:szCs w:val="16"/>
              </w:rPr>
              <w:t>FITZ JOHNSON</w:t>
            </w:r>
            <w:r w:rsidR="00994AB6" w:rsidRPr="00CF317B">
              <w:rPr>
                <w:rStyle w:val="Strong"/>
                <w:rFonts w:ascii="Arial Black" w:hAnsi="Arial Black"/>
                <w:sz w:val="16"/>
                <w:szCs w:val="16"/>
              </w:rPr>
              <w:t xml:space="preserve"> </w:t>
            </w:r>
          </w:p>
          <w:p w:rsidR="003F2763" w:rsidRPr="00CF317B" w:rsidRDefault="003F2763" w:rsidP="006862E4">
            <w:pPr>
              <w:spacing w:line="276" w:lineRule="auto"/>
            </w:pPr>
            <w:r w:rsidRPr="00CF317B">
              <w:rPr>
                <w:rStyle w:val="Strong"/>
                <w:rFonts w:ascii="Arial Black" w:hAnsi="Arial Black"/>
                <w:sz w:val="16"/>
                <w:szCs w:val="16"/>
              </w:rPr>
              <w:t>LAU</w:t>
            </w:r>
            <w:r w:rsidR="00994AB6" w:rsidRPr="00CF317B">
              <w:rPr>
                <w:rStyle w:val="Strong"/>
                <w:rFonts w:ascii="Arial Black" w:hAnsi="Arial Black"/>
                <w:sz w:val="16"/>
                <w:szCs w:val="16"/>
              </w:rPr>
              <w:t xml:space="preserve">REN “BUBBA” </w:t>
            </w:r>
            <w:proofErr w:type="spellStart"/>
            <w:r w:rsidR="00994AB6" w:rsidRPr="00CF317B">
              <w:rPr>
                <w:rStyle w:val="Strong"/>
                <w:rFonts w:ascii="Arial Black" w:hAnsi="Arial Black"/>
                <w:sz w:val="16"/>
                <w:szCs w:val="16"/>
              </w:rPr>
              <w:t>McDONALD</w:t>
            </w:r>
            <w:proofErr w:type="spellEnd"/>
            <w:r w:rsidRPr="00CF317B">
              <w:rPr>
                <w:rStyle w:val="Strong"/>
                <w:rFonts w:ascii="Arial Black" w:hAnsi="Arial Black"/>
                <w:sz w:val="16"/>
                <w:szCs w:val="16"/>
              </w:rPr>
              <w:t xml:space="preserve">                                  </w:t>
            </w:r>
            <w:r w:rsidRPr="00CF317B">
              <w:rPr>
                <w:rFonts w:ascii="Arial Black" w:hAnsi="Arial Black"/>
                <w:b/>
                <w:sz w:val="16"/>
                <w:szCs w:val="16"/>
              </w:rPr>
              <w:br/>
            </w:r>
            <w:r w:rsidR="00E92FA4" w:rsidRPr="00CF317B">
              <w:rPr>
                <w:rStyle w:val="Strong"/>
                <w:rFonts w:ascii="Arial Black" w:hAnsi="Arial Black"/>
                <w:sz w:val="16"/>
                <w:szCs w:val="16"/>
              </w:rPr>
              <w:t>JASON SHAW</w:t>
            </w:r>
            <w:r w:rsidRPr="00CF317B">
              <w:rPr>
                <w:rStyle w:val="Strong"/>
                <w:rFonts w:ascii="Arial Black" w:hAnsi="Arial Black"/>
                <w:sz w:val="16"/>
                <w:szCs w:val="16"/>
              </w:rPr>
              <w:t xml:space="preserve">                          </w:t>
            </w:r>
            <w:r w:rsidRPr="00CF317B">
              <w:rPr>
                <w:rFonts w:ascii="Arial Black" w:hAnsi="Arial Black"/>
                <w:b/>
                <w:sz w:val="16"/>
                <w:szCs w:val="16"/>
              </w:rPr>
              <w:br/>
            </w:r>
          </w:p>
        </w:tc>
        <w:tc>
          <w:tcPr>
            <w:tcW w:w="2970" w:type="dxa"/>
            <w:hideMark/>
          </w:tcPr>
          <w:p w:rsidR="003F2763" w:rsidRPr="00CF317B" w:rsidRDefault="003F2763" w:rsidP="008065F6">
            <w:pPr>
              <w:spacing w:line="276" w:lineRule="auto"/>
              <w:jc w:val="center"/>
            </w:pPr>
            <w:r w:rsidRPr="00CF317B">
              <w:rPr>
                <w:noProof/>
              </w:rPr>
              <w:drawing>
                <wp:inline distT="0" distB="0" distL="0" distR="0" wp14:anchorId="4B10345B" wp14:editId="47B570EF">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rsidR="00BA2A06" w:rsidRPr="00CF317B" w:rsidRDefault="00BA2A06" w:rsidP="008065F6">
            <w:pPr>
              <w:spacing w:line="276" w:lineRule="auto"/>
              <w:jc w:val="right"/>
              <w:rPr>
                <w:rFonts w:ascii="Arial Black" w:hAnsi="Arial Black"/>
                <w:b/>
                <w:sz w:val="16"/>
                <w:szCs w:val="16"/>
              </w:rPr>
            </w:pPr>
          </w:p>
          <w:p w:rsidR="00BA2A06" w:rsidRPr="00CF317B" w:rsidRDefault="00BA2A06" w:rsidP="008065F6">
            <w:pPr>
              <w:spacing w:line="276" w:lineRule="auto"/>
              <w:jc w:val="right"/>
              <w:rPr>
                <w:rFonts w:ascii="Arial Black" w:hAnsi="Arial Black"/>
                <w:b/>
                <w:sz w:val="16"/>
                <w:szCs w:val="16"/>
              </w:rPr>
            </w:pPr>
          </w:p>
          <w:p w:rsidR="003F2763" w:rsidRPr="00CF317B" w:rsidRDefault="00467B71" w:rsidP="008065F6">
            <w:pPr>
              <w:spacing w:line="276" w:lineRule="auto"/>
              <w:jc w:val="right"/>
              <w:rPr>
                <w:rFonts w:ascii="Arial Black" w:hAnsi="Arial Black"/>
                <w:b/>
                <w:sz w:val="16"/>
                <w:szCs w:val="16"/>
              </w:rPr>
            </w:pPr>
            <w:r w:rsidRPr="00CF317B">
              <w:rPr>
                <w:rFonts w:ascii="Arial Black" w:hAnsi="Arial Black"/>
                <w:b/>
                <w:sz w:val="16"/>
                <w:szCs w:val="16"/>
              </w:rPr>
              <w:t xml:space="preserve">REECE </w:t>
            </w:r>
            <w:proofErr w:type="spellStart"/>
            <w:r w:rsidRPr="00CF317B">
              <w:rPr>
                <w:rFonts w:ascii="Arial Black" w:hAnsi="Arial Black"/>
                <w:b/>
                <w:sz w:val="16"/>
                <w:szCs w:val="16"/>
              </w:rPr>
              <w:t>McALISTER</w:t>
            </w:r>
            <w:proofErr w:type="spellEnd"/>
            <w:r w:rsidR="003F2763" w:rsidRPr="00CF317B">
              <w:rPr>
                <w:rFonts w:ascii="Arial Black" w:hAnsi="Arial Black"/>
                <w:b/>
                <w:sz w:val="16"/>
                <w:szCs w:val="16"/>
              </w:rPr>
              <w:t> </w:t>
            </w:r>
          </w:p>
          <w:p w:rsidR="005529E4" w:rsidRPr="00CF317B" w:rsidRDefault="00467B71" w:rsidP="008065F6">
            <w:pPr>
              <w:spacing w:line="276" w:lineRule="auto"/>
              <w:jc w:val="right"/>
              <w:rPr>
                <w:rFonts w:ascii="Arial Black" w:hAnsi="Arial Black"/>
                <w:b/>
                <w:sz w:val="16"/>
                <w:szCs w:val="16"/>
              </w:rPr>
            </w:pPr>
            <w:r w:rsidRPr="00CF317B">
              <w:rPr>
                <w:rFonts w:ascii="Arial Black" w:hAnsi="Arial Black"/>
                <w:b/>
                <w:sz w:val="16"/>
                <w:szCs w:val="16"/>
              </w:rPr>
              <w:t>EXECUTIVE DIRECTOR</w:t>
            </w:r>
          </w:p>
          <w:p w:rsidR="003F2763" w:rsidRPr="00CF317B" w:rsidRDefault="003F2763" w:rsidP="00467B71">
            <w:pPr>
              <w:spacing w:line="276" w:lineRule="auto"/>
              <w:jc w:val="right"/>
              <w:rPr>
                <w:rFonts w:ascii="Arial Black" w:hAnsi="Arial Black"/>
                <w:sz w:val="16"/>
                <w:szCs w:val="16"/>
              </w:rPr>
            </w:pPr>
            <w:r w:rsidRPr="00CF317B">
              <w:rPr>
                <w:rFonts w:ascii="Arial Black" w:hAnsi="Arial Black"/>
                <w:b/>
                <w:sz w:val="16"/>
                <w:szCs w:val="16"/>
              </w:rPr>
              <w:t xml:space="preserve"> </w:t>
            </w:r>
            <w:r w:rsidRPr="00CF317B">
              <w:rPr>
                <w:rFonts w:ascii="Arial Black" w:hAnsi="Arial Black"/>
                <w:b/>
                <w:sz w:val="16"/>
                <w:szCs w:val="16"/>
              </w:rPr>
              <w:br/>
            </w:r>
            <w:r w:rsidR="00467B71" w:rsidRPr="00CF317B">
              <w:rPr>
                <w:rFonts w:ascii="Arial Black" w:hAnsi="Arial Black"/>
                <w:b/>
                <w:sz w:val="16"/>
                <w:szCs w:val="16"/>
              </w:rPr>
              <w:t>SALLIE TANNER</w:t>
            </w:r>
            <w:r w:rsidRPr="00CF317B">
              <w:rPr>
                <w:rFonts w:ascii="Arial Black" w:hAnsi="Arial Black"/>
                <w:b/>
                <w:sz w:val="16"/>
                <w:szCs w:val="16"/>
              </w:rPr>
              <w:br/>
              <w:t>EXECUTIVE SECRETARY</w:t>
            </w:r>
          </w:p>
        </w:tc>
      </w:tr>
      <w:tr w:rsidR="00CF317B" w:rsidRPr="00CF317B" w:rsidTr="008065F6">
        <w:trPr>
          <w:trHeight w:val="772"/>
          <w:jc w:val="center"/>
        </w:trPr>
        <w:tc>
          <w:tcPr>
            <w:tcW w:w="11056" w:type="dxa"/>
            <w:gridSpan w:val="3"/>
            <w:hideMark/>
          </w:tcPr>
          <w:p w:rsidR="003F2763" w:rsidRPr="00CF317B" w:rsidRDefault="003F2763" w:rsidP="008065F6">
            <w:pPr>
              <w:pStyle w:val="Heading1"/>
              <w:spacing w:line="276" w:lineRule="auto"/>
              <w:rPr>
                <w:rFonts w:ascii="Old English Text MT" w:hAnsi="Old English Text MT"/>
                <w:sz w:val="42"/>
              </w:rPr>
            </w:pPr>
            <w:r w:rsidRPr="00CF317B">
              <w:rPr>
                <w:rFonts w:ascii="Old English Text MT" w:hAnsi="Old English Text MT"/>
                <w:sz w:val="42"/>
              </w:rPr>
              <w:t>Georgia Public Service Commission</w:t>
            </w:r>
          </w:p>
        </w:tc>
      </w:tr>
      <w:tr w:rsidR="00CF317B" w:rsidRPr="00CF317B" w:rsidTr="008065F6">
        <w:trPr>
          <w:jc w:val="center"/>
        </w:trPr>
        <w:tc>
          <w:tcPr>
            <w:tcW w:w="4358" w:type="dxa"/>
            <w:hideMark/>
          </w:tcPr>
          <w:p w:rsidR="003F2763" w:rsidRPr="00CF317B" w:rsidRDefault="003F2763" w:rsidP="008065F6">
            <w:pPr>
              <w:spacing w:line="276" w:lineRule="auto"/>
              <w:rPr>
                <w:rFonts w:cs="Arial"/>
                <w:b/>
                <w:bCs/>
                <w:sz w:val="17"/>
                <w:szCs w:val="17"/>
              </w:rPr>
            </w:pPr>
            <w:r w:rsidRPr="00CF317B">
              <w:rPr>
                <w:rFonts w:cs="Arial"/>
                <w:b/>
                <w:bCs/>
                <w:sz w:val="17"/>
                <w:szCs w:val="17"/>
              </w:rPr>
              <w:t xml:space="preserve">(404) 656-4501  </w:t>
            </w:r>
          </w:p>
          <w:p w:rsidR="003F2763" w:rsidRPr="00CF317B" w:rsidRDefault="003F2763" w:rsidP="008065F6">
            <w:pPr>
              <w:spacing w:line="276" w:lineRule="auto"/>
              <w:rPr>
                <w:rFonts w:cs="Arial"/>
                <w:b/>
                <w:bCs/>
              </w:rPr>
            </w:pPr>
            <w:r w:rsidRPr="00CF317B">
              <w:rPr>
                <w:rFonts w:cs="Arial"/>
                <w:b/>
                <w:bCs/>
                <w:sz w:val="17"/>
                <w:szCs w:val="17"/>
              </w:rPr>
              <w:t>(800) 282-5813</w:t>
            </w:r>
          </w:p>
        </w:tc>
        <w:tc>
          <w:tcPr>
            <w:tcW w:w="2970" w:type="dxa"/>
            <w:hideMark/>
          </w:tcPr>
          <w:p w:rsidR="003F2763" w:rsidRPr="00CF317B" w:rsidRDefault="003F2763" w:rsidP="008065F6">
            <w:pPr>
              <w:spacing w:line="276" w:lineRule="auto"/>
              <w:jc w:val="center"/>
              <w:rPr>
                <w:rFonts w:cs="Arial"/>
                <w:b/>
                <w:sz w:val="17"/>
                <w:szCs w:val="17"/>
              </w:rPr>
            </w:pPr>
            <w:r w:rsidRPr="00CF317B">
              <w:rPr>
                <w:rFonts w:cs="Arial"/>
                <w:b/>
                <w:sz w:val="17"/>
                <w:szCs w:val="17"/>
              </w:rPr>
              <w:t>244 WASHINGTON STREET, SW</w:t>
            </w:r>
            <w:r w:rsidRPr="00CF317B">
              <w:rPr>
                <w:rFonts w:cs="Arial"/>
                <w:b/>
                <w:sz w:val="17"/>
                <w:szCs w:val="17"/>
              </w:rPr>
              <w:br/>
            </w:r>
            <w:smartTag w:uri="urn:schemas-microsoft-com:office:smarttags" w:element="City">
              <w:r w:rsidRPr="00CF317B">
                <w:rPr>
                  <w:rFonts w:cs="Arial"/>
                  <w:b/>
                  <w:sz w:val="17"/>
                  <w:szCs w:val="17"/>
                </w:rPr>
                <w:t>ATLANTA</w:t>
              </w:r>
            </w:smartTag>
            <w:r w:rsidRPr="00CF317B">
              <w:rPr>
                <w:rFonts w:cs="Arial"/>
                <w:b/>
                <w:sz w:val="17"/>
                <w:szCs w:val="17"/>
              </w:rPr>
              <w:t xml:space="preserve">, </w:t>
            </w:r>
            <w:smartTag w:uri="urn:schemas-microsoft-com:office:smarttags" w:element="country-region">
              <w:r w:rsidRPr="00CF317B">
                <w:rPr>
                  <w:rFonts w:cs="Arial"/>
                  <w:b/>
                  <w:sz w:val="17"/>
                  <w:szCs w:val="17"/>
                </w:rPr>
                <w:t>GEORGIA</w:t>
              </w:r>
            </w:smartTag>
            <w:r w:rsidRPr="00CF317B">
              <w:rPr>
                <w:rFonts w:cs="Arial"/>
                <w:b/>
                <w:sz w:val="17"/>
                <w:szCs w:val="17"/>
              </w:rPr>
              <w:t xml:space="preserve"> 30334-5701</w:t>
            </w:r>
          </w:p>
        </w:tc>
        <w:tc>
          <w:tcPr>
            <w:tcW w:w="3728" w:type="dxa"/>
            <w:hideMark/>
          </w:tcPr>
          <w:p w:rsidR="0011770D" w:rsidRPr="00CF317B" w:rsidRDefault="0011770D" w:rsidP="0011770D">
            <w:pPr>
              <w:spacing w:line="276" w:lineRule="auto"/>
              <w:jc w:val="right"/>
              <w:rPr>
                <w:rFonts w:cs="Arial"/>
                <w:b/>
                <w:bCs/>
                <w:sz w:val="17"/>
                <w:szCs w:val="17"/>
              </w:rPr>
            </w:pPr>
            <w:r w:rsidRPr="00CF317B">
              <w:rPr>
                <w:rFonts w:cs="Arial"/>
                <w:b/>
                <w:bCs/>
                <w:sz w:val="17"/>
                <w:szCs w:val="17"/>
              </w:rPr>
              <w:t xml:space="preserve">FAX: </w:t>
            </w:r>
            <w:r w:rsidR="003F2763" w:rsidRPr="00CF317B">
              <w:rPr>
                <w:rFonts w:cs="Arial"/>
                <w:b/>
                <w:bCs/>
                <w:sz w:val="17"/>
                <w:szCs w:val="17"/>
              </w:rPr>
              <w:t xml:space="preserve">(404) 656-2341                   </w:t>
            </w:r>
          </w:p>
          <w:p w:rsidR="003F2763" w:rsidRPr="00CF317B" w:rsidRDefault="003F2763" w:rsidP="0011770D">
            <w:pPr>
              <w:spacing w:line="276" w:lineRule="auto"/>
              <w:jc w:val="right"/>
              <w:rPr>
                <w:rFonts w:cs="Arial"/>
                <w:b/>
                <w:bCs/>
              </w:rPr>
            </w:pPr>
            <w:r w:rsidRPr="00CF317B">
              <w:rPr>
                <w:rFonts w:cs="Arial"/>
                <w:b/>
                <w:bCs/>
                <w:sz w:val="17"/>
                <w:szCs w:val="17"/>
              </w:rPr>
              <w:t>psc.ga.</w:t>
            </w:r>
            <w:r w:rsidR="0011770D" w:rsidRPr="00CF317B">
              <w:rPr>
                <w:rFonts w:cs="Arial"/>
                <w:b/>
                <w:bCs/>
                <w:sz w:val="17"/>
                <w:szCs w:val="17"/>
              </w:rPr>
              <w:t>gov</w:t>
            </w:r>
          </w:p>
        </w:tc>
      </w:tr>
      <w:tr w:rsidR="00CF317B" w:rsidRPr="00CF317B" w:rsidTr="008065F6">
        <w:trPr>
          <w:jc w:val="center"/>
        </w:trPr>
        <w:tc>
          <w:tcPr>
            <w:tcW w:w="4358" w:type="dxa"/>
          </w:tcPr>
          <w:p w:rsidR="0011770D" w:rsidRPr="00CF317B" w:rsidRDefault="0011770D" w:rsidP="008065F6">
            <w:pPr>
              <w:spacing w:line="276" w:lineRule="auto"/>
              <w:rPr>
                <w:rFonts w:cs="Arial"/>
                <w:b/>
                <w:bCs/>
                <w:sz w:val="17"/>
                <w:szCs w:val="17"/>
              </w:rPr>
            </w:pPr>
          </w:p>
        </w:tc>
        <w:tc>
          <w:tcPr>
            <w:tcW w:w="2970" w:type="dxa"/>
          </w:tcPr>
          <w:p w:rsidR="0011770D" w:rsidRPr="00CF317B" w:rsidRDefault="0011770D" w:rsidP="008065F6">
            <w:pPr>
              <w:spacing w:line="276" w:lineRule="auto"/>
              <w:jc w:val="center"/>
              <w:rPr>
                <w:rFonts w:cs="Arial"/>
                <w:b/>
                <w:sz w:val="17"/>
                <w:szCs w:val="17"/>
              </w:rPr>
            </w:pPr>
          </w:p>
        </w:tc>
        <w:tc>
          <w:tcPr>
            <w:tcW w:w="3728" w:type="dxa"/>
          </w:tcPr>
          <w:p w:rsidR="0011770D" w:rsidRPr="00CF317B" w:rsidRDefault="0011770D" w:rsidP="0011770D">
            <w:pPr>
              <w:spacing w:line="276" w:lineRule="auto"/>
              <w:jc w:val="right"/>
              <w:rPr>
                <w:rFonts w:cs="Arial"/>
                <w:b/>
                <w:bCs/>
                <w:sz w:val="17"/>
                <w:szCs w:val="17"/>
              </w:rPr>
            </w:pPr>
          </w:p>
        </w:tc>
      </w:tr>
    </w:tbl>
    <w:p w:rsidR="00CA642F" w:rsidRPr="00CF317B" w:rsidRDefault="00CA642F" w:rsidP="00CA642F"/>
    <w:p w:rsidR="001C5296" w:rsidRPr="00CF317B" w:rsidRDefault="001C5296" w:rsidP="001C5296">
      <w:pPr>
        <w:jc w:val="center"/>
        <w:rPr>
          <w:rFonts w:ascii="Georgia" w:hAnsi="Georgia"/>
          <w:b/>
        </w:rPr>
      </w:pPr>
    </w:p>
    <w:p w:rsidR="00AA3FF3" w:rsidRPr="00CF317B" w:rsidRDefault="00AA3FF3" w:rsidP="00AA3FF3">
      <w:pPr>
        <w:jc w:val="center"/>
        <w:rPr>
          <w:rFonts w:ascii="Georgia" w:hAnsi="Georgia"/>
          <w:b/>
          <w:sz w:val="20"/>
        </w:rPr>
      </w:pPr>
      <w:bookmarkStart w:id="0" w:name="_DV_M3"/>
      <w:bookmarkStart w:id="1" w:name="_DV_M108"/>
      <w:bookmarkEnd w:id="0"/>
      <w:bookmarkEnd w:id="1"/>
      <w:r w:rsidRPr="00CF317B">
        <w:rPr>
          <w:rFonts w:ascii="Georgia" w:hAnsi="Georgia"/>
          <w:b/>
        </w:rPr>
        <w:t>BEFORE THE GEORGIA PUBLIC SERVICE COMMISSION</w:t>
      </w:r>
    </w:p>
    <w:p w:rsidR="00AA3FF3" w:rsidRPr="00CF317B" w:rsidRDefault="00AA3FF3" w:rsidP="00AA3FF3">
      <w:pPr>
        <w:jc w:val="center"/>
        <w:rPr>
          <w:rFonts w:ascii="Georgia" w:hAnsi="Georgia"/>
          <w:b/>
        </w:rPr>
      </w:pPr>
      <w:r w:rsidRPr="00CF317B">
        <w:rPr>
          <w:rFonts w:ascii="Georgia" w:hAnsi="Georgia"/>
          <w:b/>
        </w:rPr>
        <w:t>STATE OF GEORGIA</w:t>
      </w:r>
    </w:p>
    <w:p w:rsidR="00AA3FF3" w:rsidRPr="00CF317B" w:rsidRDefault="00AA3FF3" w:rsidP="00AA3FF3">
      <w:pPr>
        <w:jc w:val="center"/>
        <w:rPr>
          <w:rFonts w:ascii="Georgia" w:hAnsi="Georgia"/>
          <w:b/>
        </w:rPr>
      </w:pPr>
    </w:p>
    <w:p w:rsidR="00AA3FF3" w:rsidRPr="00CF317B" w:rsidRDefault="00AA3FF3" w:rsidP="00AA3FF3">
      <w:pPr>
        <w:jc w:val="center"/>
        <w:rPr>
          <w:rFonts w:ascii="Georgia" w:hAnsi="Georgia"/>
          <w:b/>
        </w:rPr>
      </w:pPr>
      <w:r w:rsidRPr="00CF317B">
        <w:rPr>
          <w:rFonts w:ascii="Georgia" w:hAnsi="Georgia"/>
          <w:b/>
        </w:rPr>
        <w:t>DOCKET NO. 18638</w:t>
      </w:r>
    </w:p>
    <w:p w:rsidR="00A363AD" w:rsidRPr="00CF317B" w:rsidRDefault="00A363AD" w:rsidP="00AA3FF3">
      <w:pPr>
        <w:jc w:val="center"/>
        <w:rPr>
          <w:rFonts w:ascii="Georgia" w:hAnsi="Georgia"/>
          <w:b/>
        </w:rPr>
      </w:pPr>
    </w:p>
    <w:p w:rsidR="00AA3FF3" w:rsidRPr="00CF317B" w:rsidRDefault="00AA3FF3" w:rsidP="00AA3FF3">
      <w:pPr>
        <w:jc w:val="center"/>
        <w:rPr>
          <w:rFonts w:ascii="Georgia" w:hAnsi="Georgia"/>
          <w:b/>
        </w:rPr>
      </w:pPr>
      <w:r w:rsidRPr="00CF317B">
        <w:rPr>
          <w:rFonts w:ascii="Georgia" w:hAnsi="Georgia"/>
          <w:b/>
        </w:rPr>
        <w:t>IN RE:  ATLANTA GAS LIGHT COMPANY’S 2005–2010 EARNINGS REVIEW</w:t>
      </w:r>
    </w:p>
    <w:p w:rsidR="00AA3FF3" w:rsidRPr="00CF317B" w:rsidRDefault="00AA3FF3" w:rsidP="00AA3FF3">
      <w:pPr>
        <w:jc w:val="center"/>
        <w:rPr>
          <w:rFonts w:ascii="Georgia" w:hAnsi="Georgia"/>
          <w:b/>
        </w:rPr>
      </w:pPr>
    </w:p>
    <w:p w:rsidR="00AA3FF3" w:rsidRPr="00CF317B" w:rsidRDefault="00AA3FF3" w:rsidP="00AA3FF3">
      <w:pPr>
        <w:jc w:val="center"/>
        <w:rPr>
          <w:rFonts w:ascii="Georgia" w:hAnsi="Georgia"/>
          <w:b/>
        </w:rPr>
      </w:pPr>
      <w:r w:rsidRPr="00CF317B">
        <w:rPr>
          <w:rFonts w:ascii="Georgia" w:hAnsi="Georgia"/>
          <w:b/>
        </w:rPr>
        <w:t>ORDER APPROVING ATLANTA GAS LIGHT COMPANY’S</w:t>
      </w:r>
    </w:p>
    <w:p w:rsidR="00AA3FF3" w:rsidRPr="00CF317B" w:rsidRDefault="00AA3FF3" w:rsidP="00AA3FF3">
      <w:pPr>
        <w:jc w:val="center"/>
        <w:rPr>
          <w:rFonts w:ascii="Georgia" w:hAnsi="Georgia"/>
          <w:b/>
        </w:rPr>
      </w:pPr>
      <w:r w:rsidRPr="00CF317B">
        <w:rPr>
          <w:rFonts w:ascii="Georgia" w:hAnsi="Georgia"/>
          <w:b/>
        </w:rPr>
        <w:t>RECALCULATED DEDICATED DESIGN DAY CAPACITY FACTORS</w:t>
      </w:r>
    </w:p>
    <w:p w:rsidR="00AA3FF3" w:rsidRPr="00CF317B" w:rsidRDefault="00AA3FF3" w:rsidP="00AA3FF3">
      <w:pPr>
        <w:jc w:val="center"/>
        <w:rPr>
          <w:rFonts w:ascii="Georgia" w:hAnsi="Georgia"/>
          <w:b/>
        </w:rPr>
      </w:pPr>
      <w:r w:rsidRPr="00CF317B">
        <w:rPr>
          <w:rFonts w:ascii="Georgia" w:hAnsi="Georgia"/>
          <w:b/>
        </w:rPr>
        <w:t>FOR 2022</w:t>
      </w:r>
    </w:p>
    <w:p w:rsidR="00AA3FF3" w:rsidRPr="00CF317B" w:rsidRDefault="00AA3FF3" w:rsidP="00861F51">
      <w:pPr>
        <w:ind w:firstLine="720"/>
        <w:jc w:val="both"/>
        <w:rPr>
          <w:rFonts w:ascii="Georgia" w:hAnsi="Georgia"/>
          <w:b/>
        </w:rPr>
      </w:pPr>
    </w:p>
    <w:p w:rsidR="00194B57" w:rsidRPr="00CF317B" w:rsidRDefault="00194B57" w:rsidP="00194B57">
      <w:pPr>
        <w:jc w:val="both"/>
        <w:rPr>
          <w:rFonts w:ascii="Georgia" w:hAnsi="Georgia"/>
          <w:bCs/>
          <w:sz w:val="22"/>
          <w:szCs w:val="22"/>
        </w:rPr>
      </w:pPr>
    </w:p>
    <w:p w:rsidR="00194B57" w:rsidRPr="00CF317B" w:rsidRDefault="00194B57" w:rsidP="00194B57">
      <w:pPr>
        <w:jc w:val="both"/>
        <w:rPr>
          <w:rFonts w:ascii="Georgia" w:hAnsi="Georgia"/>
          <w:sz w:val="22"/>
          <w:szCs w:val="22"/>
        </w:rPr>
      </w:pPr>
      <w:r w:rsidRPr="00CF317B">
        <w:rPr>
          <w:rFonts w:ascii="Georgia" w:hAnsi="Georgia"/>
          <w:bCs/>
          <w:sz w:val="22"/>
          <w:szCs w:val="22"/>
        </w:rPr>
        <w:t xml:space="preserve">This matter comes before the Georgia Public Service Commission (“Commission”) as a result of the Commission’s June 30, 1998 Order in Docket No. 8390, which required </w:t>
      </w:r>
      <w:r w:rsidRPr="00CF317B">
        <w:rPr>
          <w:rFonts w:ascii="Georgia" w:hAnsi="Georgia"/>
          <w:sz w:val="22"/>
          <w:szCs w:val="22"/>
        </w:rPr>
        <w:t xml:space="preserve">Atlanta Gas Light Company (“AGL” or “Company”) to recalculate the Dedicated Design Day Capacity (“DDDC”) factors for customers each year.  During the August </w:t>
      </w:r>
      <w:r w:rsidR="00CF317B" w:rsidRPr="00CF317B">
        <w:rPr>
          <w:rFonts w:ascii="Georgia" w:hAnsi="Georgia"/>
          <w:sz w:val="22"/>
          <w:szCs w:val="22"/>
        </w:rPr>
        <w:t>2, 2022</w:t>
      </w:r>
      <w:r w:rsidRPr="00CF317B">
        <w:rPr>
          <w:rFonts w:ascii="Georgia" w:hAnsi="Georgia"/>
          <w:sz w:val="22"/>
          <w:szCs w:val="22"/>
        </w:rPr>
        <w:t xml:space="preserve">Administrative Session, the Commission approved the recalculated DDDC Factors for Year 2022 as set forth below.  </w:t>
      </w:r>
    </w:p>
    <w:p w:rsidR="000512E5" w:rsidRPr="00CF317B" w:rsidRDefault="000512E5" w:rsidP="00194B57">
      <w:pPr>
        <w:jc w:val="both"/>
        <w:rPr>
          <w:rFonts w:ascii="Georgia" w:hAnsi="Georgia"/>
          <w:sz w:val="22"/>
          <w:szCs w:val="22"/>
        </w:rPr>
      </w:pPr>
    </w:p>
    <w:p w:rsidR="000512E5" w:rsidRPr="00CF317B" w:rsidRDefault="000512E5" w:rsidP="000512E5">
      <w:pPr>
        <w:jc w:val="center"/>
        <w:rPr>
          <w:rFonts w:ascii="Georgia" w:hAnsi="Georgia"/>
          <w:b/>
          <w:bCs/>
          <w:sz w:val="22"/>
          <w:szCs w:val="22"/>
          <w:u w:val="single"/>
        </w:rPr>
      </w:pPr>
      <w:r w:rsidRPr="00CF317B">
        <w:rPr>
          <w:rFonts w:ascii="Georgia" w:hAnsi="Georgia"/>
          <w:b/>
          <w:bCs/>
          <w:sz w:val="22"/>
          <w:szCs w:val="22"/>
          <w:u w:val="single"/>
        </w:rPr>
        <w:t>Background</w:t>
      </w:r>
    </w:p>
    <w:p w:rsidR="000512E5" w:rsidRPr="00CF317B" w:rsidRDefault="000512E5" w:rsidP="000512E5">
      <w:pPr>
        <w:jc w:val="center"/>
        <w:rPr>
          <w:rFonts w:ascii="Georgia" w:hAnsi="Georgia"/>
          <w:b/>
          <w:bCs/>
          <w:sz w:val="22"/>
          <w:szCs w:val="22"/>
          <w:u w:val="single"/>
        </w:rPr>
      </w:pPr>
    </w:p>
    <w:p w:rsidR="000512E5" w:rsidRPr="00CF317B" w:rsidRDefault="000512E5" w:rsidP="000512E5">
      <w:pPr>
        <w:jc w:val="center"/>
        <w:rPr>
          <w:rFonts w:ascii="Georgia" w:hAnsi="Georgia"/>
          <w:b/>
          <w:bCs/>
          <w:sz w:val="22"/>
          <w:szCs w:val="22"/>
          <w:u w:val="single"/>
        </w:rPr>
      </w:pPr>
    </w:p>
    <w:p w:rsidR="000512E5" w:rsidRPr="00CF317B" w:rsidRDefault="000512E5" w:rsidP="000512E5">
      <w:pPr>
        <w:pStyle w:val="BodyText2"/>
        <w:spacing w:line="240" w:lineRule="auto"/>
        <w:jc w:val="both"/>
        <w:rPr>
          <w:rStyle w:val="BodyText2Char"/>
          <w:rFonts w:ascii="Georgia" w:hAnsi="Georgia"/>
        </w:rPr>
      </w:pPr>
      <w:r w:rsidRPr="00CF317B">
        <w:rPr>
          <w:rStyle w:val="BodyText2Char"/>
          <w:rFonts w:ascii="Georgia" w:hAnsi="Georgia"/>
          <w:sz w:val="22"/>
          <w:szCs w:val="22"/>
        </w:rPr>
        <w:t xml:space="preserve">In April 2022, AGL began the recalculation of the DDDC factors for Year 2022.  Section 13.3.1 A thru </w:t>
      </w:r>
      <w:r w:rsidR="00E3039F">
        <w:rPr>
          <w:rStyle w:val="BodyText2Char"/>
          <w:rFonts w:ascii="Georgia" w:hAnsi="Georgia"/>
          <w:sz w:val="22"/>
          <w:szCs w:val="22"/>
        </w:rPr>
        <w:t>M</w:t>
      </w:r>
      <w:r w:rsidRPr="00CF317B">
        <w:rPr>
          <w:rStyle w:val="BodyText2Char"/>
          <w:rFonts w:ascii="Georgia" w:hAnsi="Georgia"/>
          <w:sz w:val="22"/>
          <w:szCs w:val="22"/>
        </w:rPr>
        <w:t xml:space="preserve"> of AGL’s Tariff provides the approved DDDC calculation methodology.  The purpose of recalculating the DDDC Factors is to ensure that customers have the most recent billing determinant for calculating the AGL base charges.  </w:t>
      </w:r>
    </w:p>
    <w:p w:rsidR="000512E5" w:rsidRPr="00CF317B" w:rsidRDefault="000512E5" w:rsidP="000512E5">
      <w:pPr>
        <w:pStyle w:val="BodyText2"/>
        <w:spacing w:line="240" w:lineRule="auto"/>
        <w:jc w:val="both"/>
        <w:rPr>
          <w:rStyle w:val="BodyText2Char"/>
          <w:rFonts w:ascii="Georgia" w:hAnsi="Georgia"/>
          <w:sz w:val="22"/>
          <w:szCs w:val="22"/>
        </w:rPr>
      </w:pPr>
    </w:p>
    <w:p w:rsidR="0056408F" w:rsidRPr="00CF317B" w:rsidRDefault="0056408F" w:rsidP="0056408F">
      <w:pPr>
        <w:pStyle w:val="BodyText2"/>
        <w:spacing w:line="240" w:lineRule="auto"/>
        <w:jc w:val="both"/>
        <w:rPr>
          <w:rStyle w:val="BodyText2Char"/>
          <w:rFonts w:ascii="Georgia" w:hAnsi="Georgia"/>
          <w:sz w:val="22"/>
          <w:szCs w:val="22"/>
        </w:rPr>
      </w:pPr>
      <w:r w:rsidRPr="00CF317B">
        <w:rPr>
          <w:rStyle w:val="BodyText2Char"/>
          <w:rFonts w:ascii="Georgia" w:hAnsi="Georgia"/>
          <w:sz w:val="22"/>
          <w:szCs w:val="22"/>
        </w:rPr>
        <w:t xml:space="preserve">There were a total of </w:t>
      </w:r>
      <w:r w:rsidR="00F259C3" w:rsidRPr="00CF317B">
        <w:t xml:space="preserve">1,665,250 </w:t>
      </w:r>
      <w:r w:rsidRPr="00CF317B">
        <w:rPr>
          <w:rStyle w:val="BodyText2Char"/>
          <w:rFonts w:ascii="Georgia" w:hAnsi="Georgia"/>
          <w:sz w:val="22"/>
          <w:szCs w:val="22"/>
        </w:rPr>
        <w:t>active customers as of April 1, 202</w:t>
      </w:r>
      <w:r w:rsidR="006E734B" w:rsidRPr="00CF317B">
        <w:rPr>
          <w:rStyle w:val="BodyText2Char"/>
          <w:rFonts w:ascii="Georgia" w:hAnsi="Georgia"/>
          <w:sz w:val="22"/>
          <w:szCs w:val="22"/>
        </w:rPr>
        <w:t>2</w:t>
      </w:r>
      <w:r w:rsidRPr="00CF317B">
        <w:rPr>
          <w:rStyle w:val="BodyText2Char"/>
          <w:rFonts w:ascii="Georgia" w:hAnsi="Georgia"/>
          <w:sz w:val="22"/>
          <w:szCs w:val="22"/>
        </w:rPr>
        <w:t xml:space="preserve">. DDDC factors were also recalculated for all premises in the event an inactive customer reestablishes gas service. AGL also continued to utilize the same exception criteria in order to determine which recalculated DDDC factors require manual verification.  For residential premises, a manual verification was performed in the following instances:  </w:t>
      </w:r>
    </w:p>
    <w:p w:rsidR="000512E5" w:rsidRPr="00CF317B" w:rsidRDefault="000512E5" w:rsidP="00194B57">
      <w:pPr>
        <w:jc w:val="both"/>
        <w:rPr>
          <w:rFonts w:ascii="Georgia" w:hAnsi="Georgia"/>
          <w:sz w:val="22"/>
          <w:szCs w:val="22"/>
        </w:rPr>
      </w:pPr>
    </w:p>
    <w:p w:rsidR="0064096C" w:rsidRPr="00CF317B" w:rsidRDefault="0064096C" w:rsidP="0064096C">
      <w:pPr>
        <w:pStyle w:val="BodyText2"/>
        <w:spacing w:line="240" w:lineRule="auto"/>
        <w:jc w:val="both"/>
        <w:rPr>
          <w:rStyle w:val="BodyText2Char"/>
          <w:rFonts w:ascii="Georgia" w:hAnsi="Georgia"/>
          <w:sz w:val="22"/>
          <w:szCs w:val="22"/>
        </w:rPr>
      </w:pPr>
    </w:p>
    <w:p w:rsidR="0064096C" w:rsidRPr="00CF317B" w:rsidRDefault="0064096C" w:rsidP="0064096C">
      <w:pPr>
        <w:pStyle w:val="BodyText2"/>
        <w:spacing w:line="240" w:lineRule="auto"/>
        <w:rPr>
          <w:rStyle w:val="BodyText2Char"/>
          <w:rFonts w:ascii="Georgia" w:hAnsi="Georgia"/>
          <w:sz w:val="22"/>
          <w:szCs w:val="22"/>
        </w:rPr>
      </w:pPr>
    </w:p>
    <w:p w:rsidR="0064096C" w:rsidRPr="00CF317B" w:rsidRDefault="0064096C" w:rsidP="0064096C">
      <w:pPr>
        <w:pStyle w:val="BodyText2"/>
        <w:numPr>
          <w:ilvl w:val="0"/>
          <w:numId w:val="2"/>
        </w:numPr>
        <w:spacing w:after="0" w:line="240" w:lineRule="auto"/>
      </w:pPr>
      <w:r w:rsidRPr="00CF317B">
        <w:rPr>
          <w:rFonts w:ascii="Georgia" w:hAnsi="Georgia"/>
          <w:sz w:val="22"/>
          <w:szCs w:val="22"/>
        </w:rPr>
        <w:t>All customers whose recalculated DDDC factor &lt; 5 MCFs and had an increase &gt; 1</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customers whose recalculated DDDC factor &lt; 5 MCFs and had a decrease &gt; 2</w:t>
      </w:r>
    </w:p>
    <w:p w:rsidR="0064096C" w:rsidRPr="00CF317B" w:rsidRDefault="0064096C" w:rsidP="0064096C">
      <w:pPr>
        <w:pStyle w:val="BodyText2"/>
        <w:numPr>
          <w:ilvl w:val="0"/>
          <w:numId w:val="2"/>
        </w:numPr>
        <w:spacing w:after="0" w:line="240" w:lineRule="auto"/>
        <w:rPr>
          <w:rFonts w:ascii="Georgia" w:hAnsi="Georgia"/>
        </w:rPr>
      </w:pPr>
      <w:r w:rsidRPr="00CF317B">
        <w:rPr>
          <w:rFonts w:ascii="Georgia" w:hAnsi="Georgia"/>
          <w:sz w:val="22"/>
          <w:szCs w:val="22"/>
        </w:rPr>
        <w:t xml:space="preserve">All customer whose recalculated DDDC factor </w:t>
      </w:r>
      <w:r w:rsidRPr="00CF317B">
        <w:rPr>
          <w:rFonts w:ascii="Georgia" w:hAnsi="Georgia"/>
          <w:sz w:val="22"/>
          <w:szCs w:val="22"/>
          <w:u w:val="single"/>
        </w:rPr>
        <w:t>&gt;</w:t>
      </w:r>
      <w:r w:rsidRPr="00CF317B">
        <w:rPr>
          <w:rFonts w:ascii="Georgia" w:hAnsi="Georgia"/>
          <w:sz w:val="22"/>
          <w:szCs w:val="22"/>
        </w:rPr>
        <w:t xml:space="preserve"> 5 MCFs </w:t>
      </w:r>
    </w:p>
    <w:p w:rsidR="0064096C" w:rsidRPr="00CF317B" w:rsidRDefault="0064096C" w:rsidP="0064096C">
      <w:pPr>
        <w:pStyle w:val="BodyText2"/>
        <w:spacing w:after="0" w:line="240" w:lineRule="auto"/>
        <w:ind w:left="960"/>
        <w:rPr>
          <w:rStyle w:val="BodyText2Char"/>
          <w:rFonts w:ascii="Georgia" w:hAnsi="Georgia"/>
        </w:rPr>
      </w:pPr>
    </w:p>
    <w:p w:rsidR="0064096C" w:rsidRPr="00CF317B" w:rsidRDefault="0064096C" w:rsidP="0064096C">
      <w:pPr>
        <w:pStyle w:val="BodyText2"/>
        <w:spacing w:line="240" w:lineRule="auto"/>
        <w:jc w:val="both"/>
        <w:rPr>
          <w:rStyle w:val="BodyText2Char"/>
          <w:rFonts w:ascii="Georgia" w:hAnsi="Georgia"/>
          <w:sz w:val="22"/>
          <w:szCs w:val="22"/>
        </w:rPr>
      </w:pPr>
      <w:r w:rsidRPr="00CF317B">
        <w:rPr>
          <w:rStyle w:val="BodyText2Char"/>
          <w:rFonts w:ascii="Georgia" w:hAnsi="Georgia"/>
          <w:sz w:val="22"/>
          <w:szCs w:val="22"/>
        </w:rPr>
        <w:t xml:space="preserve">For commercial premises, a manual verification was performed in the following instances:  </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identified commercial poultry premises</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customers whose recalculated DDDC factor &lt; 7 MCFs and had an increase &gt; 1</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customers whose recalculated DDDC factor &lt; 7 MCFs and had a decrease &gt; 2</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customers whose recalculated DDDC factor &gt; 7 MCFs but &lt; 200 and had an increase &gt; 25%</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customers whose recalculated DDDC factor &gt; 7 MCFs but &lt; 200 and had a decrease &gt; 50%</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customer whose recalculated DDDC factor &gt; 200 MCFs</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Master Meter customers</w:t>
      </w:r>
    </w:p>
    <w:p w:rsidR="0064096C" w:rsidRPr="00CF317B" w:rsidRDefault="0064096C" w:rsidP="0064096C">
      <w:pPr>
        <w:pStyle w:val="BodyText2"/>
        <w:numPr>
          <w:ilvl w:val="0"/>
          <w:numId w:val="2"/>
        </w:numPr>
        <w:spacing w:after="0" w:line="240" w:lineRule="auto"/>
        <w:rPr>
          <w:rFonts w:ascii="Georgia" w:hAnsi="Georgia"/>
          <w:sz w:val="22"/>
          <w:szCs w:val="22"/>
        </w:rPr>
      </w:pPr>
      <w:r w:rsidRPr="00CF317B">
        <w:rPr>
          <w:rFonts w:ascii="Georgia" w:hAnsi="Georgia"/>
          <w:sz w:val="22"/>
          <w:szCs w:val="22"/>
        </w:rPr>
        <w:t>All Agricultural customers</w:t>
      </w:r>
    </w:p>
    <w:p w:rsidR="0064096C" w:rsidRPr="00CF317B" w:rsidRDefault="0064096C" w:rsidP="0064096C">
      <w:pPr>
        <w:pStyle w:val="BodyText2"/>
        <w:numPr>
          <w:ilvl w:val="0"/>
          <w:numId w:val="2"/>
        </w:numPr>
        <w:spacing w:after="0" w:line="240" w:lineRule="auto"/>
        <w:rPr>
          <w:rStyle w:val="BodyText2Char"/>
          <w:rFonts w:ascii="Georgia" w:hAnsi="Georgia"/>
        </w:rPr>
      </w:pPr>
      <w:r w:rsidRPr="00CF317B">
        <w:rPr>
          <w:rFonts w:ascii="Georgia" w:hAnsi="Georgia"/>
          <w:sz w:val="22"/>
          <w:szCs w:val="22"/>
        </w:rPr>
        <w:t>All Seasonal customers</w:t>
      </w:r>
    </w:p>
    <w:p w:rsidR="0064096C" w:rsidRPr="00CF317B" w:rsidRDefault="0064096C" w:rsidP="0064096C">
      <w:pPr>
        <w:pStyle w:val="BodyText2"/>
        <w:spacing w:line="240" w:lineRule="auto"/>
        <w:rPr>
          <w:rStyle w:val="BodyText2Char"/>
          <w:rFonts w:ascii="Georgia" w:hAnsi="Georgia"/>
          <w:sz w:val="22"/>
          <w:szCs w:val="22"/>
        </w:rPr>
      </w:pPr>
    </w:p>
    <w:p w:rsidR="007B51E8" w:rsidRPr="00CF317B" w:rsidRDefault="007B51E8" w:rsidP="007B51E8">
      <w:pPr>
        <w:pStyle w:val="BodyText2"/>
        <w:spacing w:line="240" w:lineRule="auto"/>
        <w:jc w:val="both"/>
        <w:rPr>
          <w:rStyle w:val="BodyText2Char"/>
          <w:rFonts w:ascii="Georgia" w:hAnsi="Georgia"/>
          <w:sz w:val="22"/>
          <w:szCs w:val="22"/>
        </w:rPr>
      </w:pPr>
      <w:r w:rsidRPr="00CF317B">
        <w:rPr>
          <w:rStyle w:val="BodyText2Char"/>
          <w:rFonts w:ascii="Georgia" w:hAnsi="Georgia"/>
          <w:sz w:val="22"/>
          <w:szCs w:val="22"/>
        </w:rPr>
        <w:t xml:space="preserve">Manual verification was performed for </w:t>
      </w:r>
      <w:r w:rsidR="005370BE" w:rsidRPr="00CF317B">
        <w:rPr>
          <w:rStyle w:val="BodyText2Char"/>
        </w:rPr>
        <w:t>20,862</w:t>
      </w:r>
      <w:r w:rsidRPr="00CF317B">
        <w:rPr>
          <w:rStyle w:val="BodyText2Char"/>
          <w:rFonts w:ascii="Georgia" w:hAnsi="Georgia"/>
          <w:sz w:val="22"/>
          <w:szCs w:val="22"/>
        </w:rPr>
        <w:t xml:space="preserve"> residential customers and </w:t>
      </w:r>
      <w:r w:rsidR="005370BE" w:rsidRPr="00CF317B">
        <w:rPr>
          <w:rStyle w:val="BodyText2Char"/>
        </w:rPr>
        <w:t>18,202</w:t>
      </w:r>
      <w:r w:rsidRPr="00CF317B">
        <w:rPr>
          <w:rStyle w:val="BodyText2Char"/>
          <w:rFonts w:ascii="Georgia" w:hAnsi="Georgia"/>
          <w:sz w:val="22"/>
          <w:szCs w:val="22"/>
        </w:rPr>
        <w:t xml:space="preserve"> commercial customers.   </w:t>
      </w:r>
    </w:p>
    <w:p w:rsidR="007B51E8" w:rsidRPr="00CF317B" w:rsidRDefault="007B51E8" w:rsidP="007B51E8">
      <w:pPr>
        <w:pStyle w:val="BodyText2"/>
        <w:spacing w:line="240" w:lineRule="auto"/>
        <w:jc w:val="both"/>
        <w:rPr>
          <w:rFonts w:ascii="Georgia" w:hAnsi="Georgia"/>
          <w:b/>
          <w:sz w:val="22"/>
          <w:szCs w:val="22"/>
        </w:rPr>
      </w:pPr>
      <w:r w:rsidRPr="00CF317B">
        <w:rPr>
          <w:rStyle w:val="BodyText2Char"/>
          <w:rFonts w:ascii="Georgia" w:hAnsi="Georgia"/>
          <w:sz w:val="22"/>
          <w:szCs w:val="22"/>
        </w:rPr>
        <w:t xml:space="preserve">A true-up factor is used to ensure that the recalculation process remains revenue neutral for AGL.  Only active customers as of April 1, 2022 are used in the true-up process.  </w:t>
      </w:r>
      <w:r w:rsidRPr="00CF317B">
        <w:rPr>
          <w:rFonts w:ascii="Georgia" w:hAnsi="Georgia"/>
          <w:sz w:val="22"/>
          <w:szCs w:val="22"/>
        </w:rPr>
        <w:t xml:space="preserve">For the 2022 recalculation, on a pool group basis, the aggregate pre-recalculation DDDC is compared to the aggregate recalculated DDDC factors in order to determine </w:t>
      </w:r>
      <w:r w:rsidRPr="00CF317B">
        <w:rPr>
          <w:rStyle w:val="BodyText2Char"/>
          <w:rFonts w:ascii="Georgia" w:hAnsi="Georgia"/>
          <w:sz w:val="22"/>
          <w:szCs w:val="22"/>
        </w:rPr>
        <w:t>the true-up factor for each pool group.</w:t>
      </w:r>
      <w:r w:rsidRPr="00CF317B">
        <w:rPr>
          <w:rFonts w:ascii="Georgia" w:hAnsi="Georgia"/>
          <w:b/>
          <w:sz w:val="22"/>
          <w:szCs w:val="22"/>
        </w:rPr>
        <w:t xml:space="preserve"> </w:t>
      </w:r>
    </w:p>
    <w:p w:rsidR="007B51E8" w:rsidRPr="00CF317B" w:rsidRDefault="007B51E8" w:rsidP="007B51E8">
      <w:pPr>
        <w:pStyle w:val="BodyText2"/>
        <w:spacing w:line="240" w:lineRule="auto"/>
        <w:jc w:val="both"/>
        <w:rPr>
          <w:rFonts w:ascii="Georgia" w:hAnsi="Georgia"/>
          <w:sz w:val="22"/>
          <w:szCs w:val="22"/>
        </w:rPr>
      </w:pPr>
    </w:p>
    <w:p w:rsidR="007B51E8" w:rsidRPr="00CF317B" w:rsidRDefault="007B51E8" w:rsidP="007B51E8">
      <w:pPr>
        <w:pStyle w:val="BodyText2"/>
        <w:spacing w:line="240" w:lineRule="auto"/>
        <w:jc w:val="both"/>
        <w:rPr>
          <w:rStyle w:val="BodyText2Char"/>
          <w:rFonts w:ascii="Georgia" w:hAnsi="Georgia"/>
        </w:rPr>
      </w:pPr>
      <w:r w:rsidRPr="00CF317B">
        <w:rPr>
          <w:rFonts w:ascii="Georgia" w:hAnsi="Georgia"/>
          <w:sz w:val="22"/>
          <w:szCs w:val="22"/>
        </w:rPr>
        <w:t xml:space="preserve">AGL submitted the final trued-up recalculated DDDC information to Staff on </w:t>
      </w:r>
      <w:r w:rsidRPr="00CF317B">
        <w:rPr>
          <w:rStyle w:val="BodyText2Char"/>
          <w:rFonts w:ascii="Georgia" w:hAnsi="Georgia"/>
          <w:sz w:val="22"/>
          <w:szCs w:val="22"/>
        </w:rPr>
        <w:t xml:space="preserve">July </w:t>
      </w:r>
      <w:r w:rsidR="00D30B36" w:rsidRPr="00CF317B">
        <w:rPr>
          <w:rStyle w:val="BodyText2Char"/>
          <w:rFonts w:ascii="Georgia" w:hAnsi="Georgia"/>
          <w:sz w:val="22"/>
          <w:szCs w:val="22"/>
        </w:rPr>
        <w:t>18</w:t>
      </w:r>
      <w:r w:rsidRPr="00CF317B">
        <w:rPr>
          <w:rStyle w:val="BodyText2Char"/>
          <w:rFonts w:ascii="Georgia" w:hAnsi="Georgia"/>
          <w:sz w:val="22"/>
          <w:szCs w:val="22"/>
        </w:rPr>
        <w:t>, 2022.</w:t>
      </w:r>
    </w:p>
    <w:p w:rsidR="003E76D3" w:rsidRPr="00CF317B" w:rsidRDefault="003E76D3" w:rsidP="002710B5">
      <w:pPr>
        <w:pStyle w:val="BodyText2"/>
        <w:spacing w:line="240" w:lineRule="auto"/>
        <w:jc w:val="center"/>
        <w:rPr>
          <w:rStyle w:val="BodyText2Char"/>
          <w:rFonts w:ascii="Georgia" w:hAnsi="Georgia"/>
          <w:b/>
          <w:sz w:val="22"/>
          <w:szCs w:val="22"/>
          <w:u w:val="single"/>
        </w:rPr>
      </w:pPr>
    </w:p>
    <w:p w:rsidR="002710B5" w:rsidRPr="00CF317B" w:rsidRDefault="002710B5" w:rsidP="002710B5">
      <w:pPr>
        <w:pStyle w:val="BodyText2"/>
        <w:spacing w:line="240" w:lineRule="auto"/>
        <w:jc w:val="center"/>
        <w:rPr>
          <w:rStyle w:val="BodyText2Char"/>
          <w:rFonts w:ascii="Georgia" w:hAnsi="Georgia"/>
          <w:b/>
          <w:sz w:val="22"/>
          <w:szCs w:val="22"/>
          <w:u w:val="single"/>
        </w:rPr>
      </w:pPr>
      <w:r w:rsidRPr="00CF317B">
        <w:rPr>
          <w:rStyle w:val="BodyText2Char"/>
          <w:rFonts w:ascii="Georgia" w:hAnsi="Georgia"/>
          <w:b/>
          <w:sz w:val="22"/>
          <w:szCs w:val="22"/>
          <w:u w:val="single"/>
        </w:rPr>
        <w:t>Commission Decision</w:t>
      </w:r>
    </w:p>
    <w:p w:rsidR="002710B5" w:rsidRPr="00CF317B" w:rsidRDefault="002710B5" w:rsidP="002710B5">
      <w:pPr>
        <w:pStyle w:val="BodyTextIndent"/>
        <w:ind w:left="0"/>
      </w:pPr>
    </w:p>
    <w:p w:rsidR="002710B5" w:rsidRPr="00CF317B" w:rsidRDefault="002710B5" w:rsidP="002710B5">
      <w:pPr>
        <w:pStyle w:val="BodyTextIndent"/>
        <w:ind w:left="0"/>
        <w:jc w:val="both"/>
        <w:rPr>
          <w:rFonts w:ascii="Georgia" w:hAnsi="Georgia"/>
          <w:sz w:val="22"/>
          <w:szCs w:val="22"/>
        </w:rPr>
      </w:pPr>
      <w:r w:rsidRPr="00CF317B">
        <w:rPr>
          <w:rFonts w:ascii="Georgia" w:hAnsi="Georgia"/>
          <w:sz w:val="22"/>
          <w:szCs w:val="22"/>
        </w:rPr>
        <w:t xml:space="preserve">The Commission Staff </w:t>
      </w:r>
      <w:r w:rsidRPr="00CF317B">
        <w:rPr>
          <w:rStyle w:val="BodyText2Char"/>
          <w:rFonts w:ascii="Georgia" w:hAnsi="Georgia"/>
          <w:sz w:val="22"/>
          <w:szCs w:val="22"/>
        </w:rPr>
        <w:t xml:space="preserve">verified that AGL is in compliance with the Commission approved tariff provisions 13.3.1 A thru </w:t>
      </w:r>
      <w:r w:rsidR="00DD3C46">
        <w:rPr>
          <w:rStyle w:val="BodyText2Char"/>
          <w:rFonts w:ascii="Georgia" w:hAnsi="Georgia"/>
          <w:sz w:val="22"/>
          <w:szCs w:val="22"/>
        </w:rPr>
        <w:t>M</w:t>
      </w:r>
      <w:bookmarkStart w:id="2" w:name="_GoBack"/>
      <w:bookmarkEnd w:id="2"/>
      <w:r w:rsidRPr="00CF317B">
        <w:rPr>
          <w:rStyle w:val="BodyText2Char"/>
          <w:rFonts w:ascii="Georgia" w:hAnsi="Georgia"/>
          <w:sz w:val="22"/>
          <w:szCs w:val="22"/>
        </w:rPr>
        <w:t>. This included reviewing components of the Georgia Customer Management Application System,</w:t>
      </w:r>
      <w:r w:rsidRPr="00CF317B">
        <w:rPr>
          <w:rFonts w:ascii="Georgia" w:hAnsi="Georgia"/>
          <w:sz w:val="22"/>
          <w:szCs w:val="22"/>
        </w:rPr>
        <w:t xml:space="preserve"> exception criteria and the true-up process approved by the Commission on May 15, 2007. In the course of the analysis, Staff also:</w:t>
      </w:r>
    </w:p>
    <w:p w:rsidR="002710B5" w:rsidRPr="00CF317B" w:rsidRDefault="002710B5" w:rsidP="002710B5">
      <w:pPr>
        <w:pStyle w:val="BodyTextIndent"/>
        <w:ind w:left="0"/>
        <w:jc w:val="both"/>
        <w:rPr>
          <w:rFonts w:ascii="Georgia" w:hAnsi="Georgia"/>
          <w:sz w:val="22"/>
          <w:szCs w:val="22"/>
        </w:rPr>
      </w:pPr>
    </w:p>
    <w:p w:rsidR="002710B5" w:rsidRPr="00CF317B" w:rsidRDefault="002710B5" w:rsidP="002710B5">
      <w:pPr>
        <w:pStyle w:val="BodyText2"/>
        <w:numPr>
          <w:ilvl w:val="0"/>
          <w:numId w:val="3"/>
        </w:numPr>
        <w:spacing w:after="0" w:line="240" w:lineRule="auto"/>
        <w:rPr>
          <w:rFonts w:ascii="Georgia" w:hAnsi="Georgia"/>
          <w:sz w:val="22"/>
          <w:szCs w:val="22"/>
        </w:rPr>
      </w:pPr>
      <w:r w:rsidRPr="00CF317B">
        <w:rPr>
          <w:rFonts w:ascii="Georgia" w:hAnsi="Georgia"/>
          <w:sz w:val="22"/>
          <w:szCs w:val="22"/>
        </w:rPr>
        <w:t>Examined the customers’ usage information in the Georgia Customer Management Application;</w:t>
      </w:r>
    </w:p>
    <w:p w:rsidR="002710B5" w:rsidRPr="00CF317B" w:rsidRDefault="002710B5" w:rsidP="002710B5">
      <w:pPr>
        <w:pStyle w:val="BodyText2"/>
        <w:numPr>
          <w:ilvl w:val="0"/>
          <w:numId w:val="3"/>
        </w:numPr>
        <w:spacing w:after="0" w:line="240" w:lineRule="auto"/>
        <w:rPr>
          <w:rFonts w:ascii="Georgia" w:hAnsi="Georgia"/>
          <w:sz w:val="22"/>
          <w:szCs w:val="22"/>
        </w:rPr>
      </w:pPr>
      <w:r w:rsidRPr="00CF317B">
        <w:rPr>
          <w:rFonts w:ascii="Georgia" w:hAnsi="Georgia"/>
          <w:sz w:val="22"/>
          <w:szCs w:val="22"/>
        </w:rPr>
        <w:t>Acquired information as to factors that may have contributed to changes in some customers’ DDDC factors;</w:t>
      </w:r>
    </w:p>
    <w:p w:rsidR="002710B5" w:rsidRPr="00CF317B" w:rsidRDefault="002710B5" w:rsidP="002710B5">
      <w:pPr>
        <w:pStyle w:val="BodyText2"/>
        <w:numPr>
          <w:ilvl w:val="0"/>
          <w:numId w:val="3"/>
        </w:numPr>
        <w:spacing w:after="0" w:line="240" w:lineRule="auto"/>
        <w:rPr>
          <w:rFonts w:ascii="Georgia" w:hAnsi="Georgia"/>
          <w:sz w:val="22"/>
          <w:szCs w:val="22"/>
        </w:rPr>
      </w:pPr>
      <w:r w:rsidRPr="00CF317B">
        <w:rPr>
          <w:rFonts w:ascii="Georgia" w:hAnsi="Georgia"/>
          <w:sz w:val="22"/>
          <w:szCs w:val="22"/>
        </w:rPr>
        <w:t>Manually verified the results of the DDDC calculations using a sampling of actual customer data; and</w:t>
      </w:r>
    </w:p>
    <w:p w:rsidR="002710B5" w:rsidRPr="00CF317B" w:rsidRDefault="002710B5" w:rsidP="002710B5">
      <w:pPr>
        <w:pStyle w:val="BodyText2"/>
        <w:numPr>
          <w:ilvl w:val="0"/>
          <w:numId w:val="3"/>
        </w:numPr>
        <w:spacing w:after="0" w:line="240" w:lineRule="auto"/>
        <w:rPr>
          <w:rFonts w:ascii="Georgia" w:hAnsi="Georgia"/>
          <w:sz w:val="22"/>
          <w:szCs w:val="22"/>
        </w:rPr>
      </w:pPr>
      <w:r w:rsidRPr="00CF317B">
        <w:rPr>
          <w:rFonts w:ascii="Georgia" w:hAnsi="Georgia"/>
          <w:sz w:val="22"/>
          <w:szCs w:val="22"/>
        </w:rPr>
        <w:t>Reviewed the process for determination of exceptions, and a sampling of actual customer exceptions.</w:t>
      </w:r>
    </w:p>
    <w:p w:rsidR="002710B5" w:rsidRPr="00CF317B" w:rsidRDefault="002710B5" w:rsidP="002710B5">
      <w:pPr>
        <w:pStyle w:val="BodyTextIndent"/>
        <w:ind w:left="450"/>
        <w:jc w:val="both"/>
        <w:rPr>
          <w:rStyle w:val="BodyText2Char"/>
          <w:rFonts w:ascii="Georgia" w:hAnsi="Georgia"/>
        </w:rPr>
      </w:pPr>
    </w:p>
    <w:p w:rsidR="002710B5" w:rsidRPr="00CF317B" w:rsidRDefault="002710B5" w:rsidP="002710B5">
      <w:pPr>
        <w:pStyle w:val="BodyTextIndent"/>
        <w:ind w:left="450"/>
        <w:jc w:val="both"/>
      </w:pPr>
      <w:r w:rsidRPr="00CF317B">
        <w:rPr>
          <w:rStyle w:val="BodyText2Char"/>
          <w:rFonts w:ascii="Georgia" w:hAnsi="Georgia"/>
          <w:sz w:val="22"/>
          <w:szCs w:val="22"/>
        </w:rPr>
        <w:t xml:space="preserve">Staff found everything to be in order.  Accordingly, </w:t>
      </w:r>
      <w:r w:rsidRPr="00CF317B">
        <w:rPr>
          <w:rFonts w:ascii="Georgia" w:hAnsi="Georgia"/>
          <w:sz w:val="22"/>
          <w:szCs w:val="22"/>
        </w:rPr>
        <w:t>Staff recommended that the Commission approve the recalculation of the DDDC factors with an effective date of September 1, 202</w:t>
      </w:r>
      <w:r w:rsidR="00F855DC" w:rsidRPr="00CF317B">
        <w:rPr>
          <w:rFonts w:ascii="Georgia" w:hAnsi="Georgia"/>
          <w:sz w:val="22"/>
          <w:szCs w:val="22"/>
        </w:rPr>
        <w:t>2</w:t>
      </w:r>
      <w:r w:rsidRPr="00CF317B">
        <w:rPr>
          <w:rFonts w:ascii="Georgia" w:hAnsi="Georgia"/>
          <w:sz w:val="22"/>
          <w:szCs w:val="22"/>
        </w:rPr>
        <w:t xml:space="preserve">.  Staff also recommended that AGL </w:t>
      </w:r>
      <w:r w:rsidRPr="00CF317B">
        <w:rPr>
          <w:rStyle w:val="BodyText2Char"/>
          <w:rFonts w:ascii="Georgia" w:hAnsi="Georgia"/>
          <w:sz w:val="22"/>
          <w:szCs w:val="22"/>
        </w:rPr>
        <w:t xml:space="preserve">make a compliance filing of the DDDC weighted averages within thirty (30) days of the Order. </w:t>
      </w:r>
      <w:r w:rsidRPr="00CF317B">
        <w:rPr>
          <w:rFonts w:ascii="Georgia" w:hAnsi="Georgia"/>
          <w:sz w:val="22"/>
          <w:szCs w:val="22"/>
        </w:rPr>
        <w:t>The Commission adopted both of Staff’s recommendations.</w:t>
      </w:r>
    </w:p>
    <w:p w:rsidR="007B51E8" w:rsidRPr="00CF317B" w:rsidRDefault="007B51E8" w:rsidP="0064096C">
      <w:pPr>
        <w:pStyle w:val="BodyText2"/>
        <w:spacing w:line="240" w:lineRule="auto"/>
        <w:rPr>
          <w:rStyle w:val="BodyText2Char"/>
          <w:rFonts w:ascii="Georgia" w:hAnsi="Georgia"/>
          <w:sz w:val="22"/>
          <w:szCs w:val="22"/>
        </w:rPr>
      </w:pPr>
    </w:p>
    <w:p w:rsidR="0064096C" w:rsidRPr="00CF317B" w:rsidRDefault="0064096C" w:rsidP="00194B57">
      <w:pPr>
        <w:jc w:val="both"/>
        <w:rPr>
          <w:rFonts w:ascii="Georgia" w:hAnsi="Georgia"/>
          <w:sz w:val="22"/>
          <w:szCs w:val="22"/>
        </w:rPr>
      </w:pPr>
    </w:p>
    <w:p w:rsidR="00C70A6A" w:rsidRPr="00CF317B" w:rsidRDefault="00C70A6A" w:rsidP="00C70A6A">
      <w:pPr>
        <w:spacing w:after="200" w:line="276" w:lineRule="auto"/>
        <w:jc w:val="center"/>
        <w:rPr>
          <w:rFonts w:ascii="Georgia" w:hAnsi="Georgia"/>
          <w:sz w:val="22"/>
          <w:szCs w:val="22"/>
        </w:rPr>
      </w:pPr>
      <w:r w:rsidRPr="00CF317B">
        <w:rPr>
          <w:rFonts w:ascii="Georgia" w:hAnsi="Georgia"/>
          <w:sz w:val="22"/>
          <w:szCs w:val="22"/>
        </w:rPr>
        <w:t>*   *   *   *   *</w:t>
      </w:r>
    </w:p>
    <w:p w:rsidR="00C70A6A" w:rsidRPr="00CF317B" w:rsidRDefault="00C70A6A" w:rsidP="00C70A6A">
      <w:pPr>
        <w:pStyle w:val="BodyTextIndent"/>
        <w:jc w:val="center"/>
        <w:rPr>
          <w:rFonts w:ascii="Georgia" w:hAnsi="Georgia"/>
          <w:sz w:val="22"/>
          <w:szCs w:val="22"/>
          <w:u w:val="single"/>
        </w:rPr>
      </w:pPr>
      <w:r w:rsidRPr="00CF317B">
        <w:rPr>
          <w:rFonts w:ascii="Georgia" w:hAnsi="Georgia"/>
          <w:sz w:val="22"/>
          <w:szCs w:val="22"/>
          <w:u w:val="single"/>
        </w:rPr>
        <w:t>Ordering Paragraphs</w:t>
      </w:r>
    </w:p>
    <w:p w:rsidR="00C70A6A" w:rsidRPr="00CF317B" w:rsidRDefault="00C70A6A" w:rsidP="00C70A6A">
      <w:pPr>
        <w:pStyle w:val="BodyTextIndent"/>
        <w:jc w:val="center"/>
        <w:rPr>
          <w:rFonts w:ascii="Georgia" w:hAnsi="Georgia"/>
          <w:sz w:val="22"/>
          <w:szCs w:val="22"/>
        </w:rPr>
      </w:pPr>
    </w:p>
    <w:p w:rsidR="00C70A6A" w:rsidRPr="00CF317B" w:rsidRDefault="00C70A6A" w:rsidP="00C70A6A">
      <w:pPr>
        <w:ind w:firstLine="720"/>
        <w:jc w:val="both"/>
        <w:rPr>
          <w:rFonts w:ascii="Georgia" w:hAnsi="Georgia"/>
          <w:sz w:val="22"/>
          <w:szCs w:val="22"/>
        </w:rPr>
      </w:pPr>
      <w:r w:rsidRPr="00CF317B">
        <w:rPr>
          <w:rFonts w:ascii="Georgia" w:hAnsi="Georgia"/>
          <w:b/>
          <w:sz w:val="22"/>
          <w:szCs w:val="22"/>
        </w:rPr>
        <w:t xml:space="preserve">WHEREFORE IT IS ORDERED, </w:t>
      </w:r>
      <w:r w:rsidRPr="00CF317B">
        <w:rPr>
          <w:rFonts w:ascii="Georgia" w:hAnsi="Georgia"/>
          <w:sz w:val="22"/>
          <w:szCs w:val="22"/>
        </w:rPr>
        <w:t>that the Commission hereby approves Atlanta Gas Light Company’s recalculated Dedicated Design Day Capacity factors for the Year 20</w:t>
      </w:r>
      <w:r w:rsidR="0014707A">
        <w:rPr>
          <w:rFonts w:ascii="Georgia" w:hAnsi="Georgia"/>
          <w:sz w:val="22"/>
          <w:szCs w:val="22"/>
        </w:rPr>
        <w:t>22</w:t>
      </w:r>
      <w:r w:rsidRPr="00CF317B">
        <w:rPr>
          <w:rFonts w:ascii="Georgia" w:hAnsi="Georgia"/>
          <w:sz w:val="22"/>
          <w:szCs w:val="22"/>
        </w:rPr>
        <w:t xml:space="preserve">, with an effective date of September 1, 2022.  </w:t>
      </w:r>
    </w:p>
    <w:p w:rsidR="00C70A6A" w:rsidRPr="00CF317B" w:rsidRDefault="00C70A6A" w:rsidP="00C70A6A">
      <w:pPr>
        <w:jc w:val="both"/>
        <w:rPr>
          <w:rFonts w:ascii="Georgia" w:hAnsi="Georgia"/>
          <w:sz w:val="22"/>
          <w:szCs w:val="22"/>
        </w:rPr>
      </w:pPr>
    </w:p>
    <w:p w:rsidR="00C70A6A" w:rsidRPr="00CF317B" w:rsidRDefault="00C70A6A" w:rsidP="00C70A6A">
      <w:pPr>
        <w:ind w:firstLine="720"/>
        <w:jc w:val="both"/>
        <w:rPr>
          <w:rFonts w:ascii="Georgia" w:hAnsi="Georgia"/>
          <w:sz w:val="22"/>
          <w:szCs w:val="22"/>
        </w:rPr>
      </w:pPr>
      <w:r w:rsidRPr="00CF317B">
        <w:rPr>
          <w:rFonts w:ascii="Georgia" w:hAnsi="Georgia"/>
          <w:b/>
          <w:sz w:val="22"/>
          <w:szCs w:val="22"/>
        </w:rPr>
        <w:t xml:space="preserve">ORDERED FURTHER, </w:t>
      </w:r>
      <w:r w:rsidRPr="00CF317B">
        <w:rPr>
          <w:rFonts w:ascii="Georgia" w:hAnsi="Georgia"/>
          <w:sz w:val="22"/>
          <w:szCs w:val="22"/>
        </w:rPr>
        <w:t>that Atlanta Gas Light Company shall</w:t>
      </w:r>
      <w:r w:rsidRPr="00CF317B">
        <w:rPr>
          <w:rFonts w:ascii="Georgia" w:hAnsi="Georgia"/>
          <w:b/>
          <w:sz w:val="22"/>
          <w:szCs w:val="22"/>
        </w:rPr>
        <w:t xml:space="preserve"> </w:t>
      </w:r>
      <w:r w:rsidRPr="00CF317B">
        <w:rPr>
          <w:rStyle w:val="BodyText2Char"/>
          <w:rFonts w:ascii="Georgia" w:hAnsi="Georgia"/>
          <w:sz w:val="22"/>
          <w:szCs w:val="22"/>
        </w:rPr>
        <w:t xml:space="preserve">make a compliance filing of the </w:t>
      </w:r>
      <w:r w:rsidRPr="00CF317B">
        <w:rPr>
          <w:rFonts w:ascii="Georgia" w:hAnsi="Georgia"/>
          <w:sz w:val="22"/>
          <w:szCs w:val="22"/>
        </w:rPr>
        <w:t xml:space="preserve">Dedicated Design Day Capacity </w:t>
      </w:r>
      <w:r w:rsidRPr="00CF317B">
        <w:rPr>
          <w:rStyle w:val="BodyText2Char"/>
          <w:rFonts w:ascii="Georgia" w:hAnsi="Georgia"/>
          <w:sz w:val="22"/>
          <w:szCs w:val="22"/>
        </w:rPr>
        <w:t xml:space="preserve">weighted averages within thirty (30) days of the Order.  </w:t>
      </w:r>
    </w:p>
    <w:p w:rsidR="00C70A6A" w:rsidRPr="00CF317B" w:rsidRDefault="00C70A6A" w:rsidP="00C70A6A">
      <w:pPr>
        <w:tabs>
          <w:tab w:val="left" w:pos="720"/>
          <w:tab w:val="left" w:pos="6444"/>
        </w:tabs>
        <w:jc w:val="both"/>
        <w:rPr>
          <w:rFonts w:ascii="Georgia" w:hAnsi="Georgia"/>
          <w:sz w:val="22"/>
          <w:szCs w:val="22"/>
        </w:rPr>
      </w:pPr>
      <w:r w:rsidRPr="00CF317B">
        <w:rPr>
          <w:rFonts w:ascii="Georgia" w:hAnsi="Georgia"/>
          <w:sz w:val="22"/>
          <w:szCs w:val="22"/>
        </w:rPr>
        <w:tab/>
      </w:r>
      <w:r w:rsidRPr="00CF317B">
        <w:rPr>
          <w:rFonts w:ascii="Georgia" w:hAnsi="Georgia"/>
          <w:sz w:val="22"/>
          <w:szCs w:val="22"/>
        </w:rPr>
        <w:tab/>
      </w:r>
    </w:p>
    <w:p w:rsidR="00C70A6A" w:rsidRPr="00CF317B" w:rsidRDefault="00C70A6A" w:rsidP="00C70A6A">
      <w:pPr>
        <w:ind w:firstLine="720"/>
        <w:jc w:val="both"/>
        <w:rPr>
          <w:rFonts w:ascii="Georgia" w:hAnsi="Georgia"/>
          <w:sz w:val="22"/>
          <w:szCs w:val="22"/>
        </w:rPr>
      </w:pPr>
      <w:r w:rsidRPr="00CF317B">
        <w:rPr>
          <w:rFonts w:ascii="Georgia" w:hAnsi="Georgia"/>
          <w:b/>
          <w:sz w:val="22"/>
          <w:szCs w:val="22"/>
        </w:rPr>
        <w:t xml:space="preserve">ORDERED FURTHER, </w:t>
      </w:r>
      <w:r w:rsidRPr="00CF317B">
        <w:rPr>
          <w:rFonts w:ascii="Georgia" w:hAnsi="Georgia"/>
          <w:sz w:val="22"/>
          <w:szCs w:val="22"/>
        </w:rPr>
        <w:t>that a motion for reconsideration, rehearing, or oral argument shall not stay the effectiveness of this order unless expressly ordered by the Commission.</w:t>
      </w:r>
    </w:p>
    <w:p w:rsidR="00C70A6A" w:rsidRPr="00CF317B" w:rsidRDefault="00C70A6A" w:rsidP="00C70A6A">
      <w:pPr>
        <w:jc w:val="both"/>
        <w:rPr>
          <w:rFonts w:ascii="Georgia" w:hAnsi="Georgia"/>
          <w:sz w:val="22"/>
          <w:szCs w:val="22"/>
        </w:rPr>
      </w:pPr>
    </w:p>
    <w:p w:rsidR="00C70A6A" w:rsidRPr="00CF317B" w:rsidRDefault="00C70A6A" w:rsidP="00C70A6A">
      <w:pPr>
        <w:jc w:val="both"/>
        <w:rPr>
          <w:rFonts w:ascii="Georgia" w:hAnsi="Georgia"/>
          <w:sz w:val="22"/>
          <w:szCs w:val="22"/>
        </w:rPr>
      </w:pPr>
      <w:r w:rsidRPr="00CF317B">
        <w:rPr>
          <w:rFonts w:ascii="Georgia" w:hAnsi="Georgia"/>
          <w:sz w:val="22"/>
          <w:szCs w:val="22"/>
        </w:rPr>
        <w:tab/>
      </w:r>
      <w:r w:rsidRPr="00CF317B">
        <w:rPr>
          <w:rFonts w:ascii="Georgia" w:hAnsi="Georgia"/>
          <w:b/>
          <w:sz w:val="22"/>
          <w:szCs w:val="22"/>
        </w:rPr>
        <w:t xml:space="preserve">ORDERED FURTHER, </w:t>
      </w:r>
      <w:r w:rsidRPr="00CF317B">
        <w:rPr>
          <w:rFonts w:ascii="Georgia" w:hAnsi="Georgia"/>
          <w:sz w:val="22"/>
          <w:szCs w:val="22"/>
        </w:rPr>
        <w:t>that jurisdiction over this matter is expressly retained for the purpose of entering such further Order or Orders as this Commission may deem just and proper.</w:t>
      </w:r>
    </w:p>
    <w:p w:rsidR="00C70A6A" w:rsidRPr="00CF317B" w:rsidRDefault="00C70A6A" w:rsidP="00C70A6A">
      <w:pPr>
        <w:pStyle w:val="BodyText"/>
        <w:rPr>
          <w:rFonts w:ascii="Georgia" w:hAnsi="Georgia"/>
          <w:sz w:val="22"/>
          <w:szCs w:val="22"/>
        </w:rPr>
      </w:pPr>
    </w:p>
    <w:p w:rsidR="00C70A6A" w:rsidRPr="00CF317B" w:rsidRDefault="00C70A6A" w:rsidP="00C70A6A">
      <w:pPr>
        <w:pStyle w:val="BodyText"/>
        <w:rPr>
          <w:rFonts w:ascii="Georgia" w:hAnsi="Georgia"/>
          <w:sz w:val="22"/>
          <w:szCs w:val="22"/>
        </w:rPr>
      </w:pPr>
      <w:r w:rsidRPr="00CF317B">
        <w:rPr>
          <w:rFonts w:ascii="Georgia" w:hAnsi="Georgia"/>
          <w:sz w:val="22"/>
          <w:szCs w:val="22"/>
        </w:rPr>
        <w:tab/>
        <w:t xml:space="preserve">The above by action of the Commission in Administrative Session on the </w:t>
      </w:r>
      <w:r w:rsidR="006151E8" w:rsidRPr="00CF317B">
        <w:rPr>
          <w:rFonts w:ascii="Georgia" w:hAnsi="Georgia"/>
          <w:sz w:val="22"/>
          <w:szCs w:val="22"/>
        </w:rPr>
        <w:t xml:space="preserve"> 2</w:t>
      </w:r>
      <w:r w:rsidR="006151E8" w:rsidRPr="00CF317B">
        <w:rPr>
          <w:rFonts w:ascii="Georgia" w:hAnsi="Georgia"/>
          <w:sz w:val="22"/>
          <w:szCs w:val="22"/>
          <w:vertAlign w:val="superscript"/>
        </w:rPr>
        <w:t>nd</w:t>
      </w:r>
      <w:r w:rsidR="006151E8" w:rsidRPr="00CF317B">
        <w:rPr>
          <w:rFonts w:ascii="Georgia" w:hAnsi="Georgia"/>
          <w:sz w:val="22"/>
          <w:szCs w:val="22"/>
        </w:rPr>
        <w:t xml:space="preserve"> </w:t>
      </w:r>
      <w:r w:rsidRPr="00CF317B">
        <w:rPr>
          <w:rFonts w:ascii="Georgia" w:hAnsi="Georgia"/>
          <w:sz w:val="22"/>
          <w:szCs w:val="22"/>
        </w:rPr>
        <w:t xml:space="preserve"> day of August 2022.</w:t>
      </w:r>
    </w:p>
    <w:p w:rsidR="00FE657E" w:rsidRPr="00CF317B" w:rsidRDefault="00FE657E" w:rsidP="001C5296">
      <w:pPr>
        <w:tabs>
          <w:tab w:val="left" w:pos="864"/>
          <w:tab w:val="left" w:pos="1584"/>
          <w:tab w:val="left" w:pos="2304"/>
          <w:tab w:val="left" w:pos="4176"/>
          <w:tab w:val="left" w:pos="4752"/>
          <w:tab w:val="left" w:pos="5472"/>
        </w:tabs>
        <w:ind w:right="144"/>
        <w:jc w:val="both"/>
        <w:rPr>
          <w:rFonts w:ascii="Georgia" w:hAnsi="Georgia"/>
          <w:bCs/>
        </w:rPr>
      </w:pPr>
    </w:p>
    <w:p w:rsidR="00FE657E" w:rsidRPr="00CF317B" w:rsidRDefault="00FE657E" w:rsidP="001C5296">
      <w:pPr>
        <w:tabs>
          <w:tab w:val="left" w:pos="864"/>
          <w:tab w:val="left" w:pos="1584"/>
          <w:tab w:val="left" w:pos="2304"/>
          <w:tab w:val="left" w:pos="4176"/>
          <w:tab w:val="left" w:pos="4752"/>
          <w:tab w:val="left" w:pos="5472"/>
        </w:tabs>
        <w:ind w:right="144"/>
        <w:jc w:val="both"/>
        <w:rPr>
          <w:rFonts w:ascii="Georgia" w:hAnsi="Georgia"/>
          <w:bCs/>
        </w:rPr>
      </w:pPr>
    </w:p>
    <w:p w:rsidR="001C5296" w:rsidRPr="00CF317B" w:rsidRDefault="001C5296" w:rsidP="00CA642F">
      <w:pPr>
        <w:jc w:val="both"/>
      </w:pPr>
    </w:p>
    <w:p w:rsidR="00CA642F" w:rsidRPr="00CF317B" w:rsidRDefault="00CA642F" w:rsidP="00CA642F">
      <w:pPr>
        <w:pStyle w:val="BodyTextIndent3"/>
        <w:tabs>
          <w:tab w:val="left" w:pos="720"/>
          <w:tab w:val="left" w:pos="1080"/>
        </w:tabs>
        <w:ind w:left="0"/>
        <w:jc w:val="both"/>
        <w:rPr>
          <w:sz w:val="24"/>
          <w:szCs w:val="24"/>
        </w:rPr>
      </w:pPr>
    </w:p>
    <w:p w:rsidR="00CA642F" w:rsidRPr="00CF317B" w:rsidRDefault="00CA642F" w:rsidP="00CA642F">
      <w:pPr>
        <w:pStyle w:val="BodyTextIndent3"/>
        <w:tabs>
          <w:tab w:val="left" w:pos="720"/>
          <w:tab w:val="left" w:pos="1080"/>
        </w:tabs>
        <w:ind w:left="0"/>
        <w:jc w:val="both"/>
        <w:rPr>
          <w:sz w:val="24"/>
          <w:szCs w:val="24"/>
        </w:rPr>
      </w:pPr>
      <w:r w:rsidRPr="00CF317B">
        <w:rPr>
          <w:sz w:val="24"/>
          <w:szCs w:val="24"/>
        </w:rPr>
        <w:tab/>
        <w:t>______________________________               ________________________________</w:t>
      </w:r>
    </w:p>
    <w:p w:rsidR="00CA642F" w:rsidRPr="00CF317B" w:rsidRDefault="00CA642F" w:rsidP="00CA642F">
      <w:pPr>
        <w:pStyle w:val="BodyTextIndent3"/>
        <w:tabs>
          <w:tab w:val="left" w:pos="720"/>
          <w:tab w:val="left" w:pos="1080"/>
        </w:tabs>
        <w:ind w:left="0"/>
        <w:jc w:val="both"/>
        <w:rPr>
          <w:sz w:val="24"/>
          <w:szCs w:val="24"/>
        </w:rPr>
      </w:pPr>
      <w:r w:rsidRPr="00CF317B">
        <w:rPr>
          <w:sz w:val="24"/>
          <w:szCs w:val="24"/>
        </w:rPr>
        <w:tab/>
        <w:t>Sallie Tanner</w:t>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t xml:space="preserve">Tricia Pridemore </w:t>
      </w:r>
    </w:p>
    <w:p w:rsidR="00CA642F" w:rsidRPr="00CF317B" w:rsidRDefault="00CA642F" w:rsidP="00CA642F">
      <w:pPr>
        <w:pStyle w:val="BodyTextIndent3"/>
        <w:tabs>
          <w:tab w:val="left" w:pos="720"/>
          <w:tab w:val="left" w:pos="1080"/>
          <w:tab w:val="left" w:pos="4500"/>
        </w:tabs>
        <w:ind w:left="0"/>
        <w:jc w:val="both"/>
        <w:rPr>
          <w:sz w:val="24"/>
          <w:szCs w:val="24"/>
        </w:rPr>
      </w:pPr>
      <w:r w:rsidRPr="00CF317B">
        <w:rPr>
          <w:sz w:val="24"/>
          <w:szCs w:val="24"/>
        </w:rPr>
        <w:tab/>
        <w:t>Executive Secretary</w:t>
      </w:r>
      <w:r w:rsidRPr="00CF317B">
        <w:rPr>
          <w:sz w:val="24"/>
          <w:szCs w:val="24"/>
        </w:rPr>
        <w:tab/>
      </w:r>
      <w:r w:rsidRPr="00CF317B">
        <w:rPr>
          <w:sz w:val="24"/>
          <w:szCs w:val="24"/>
        </w:rPr>
        <w:tab/>
      </w:r>
      <w:r w:rsidRPr="00CF317B">
        <w:rPr>
          <w:sz w:val="24"/>
          <w:szCs w:val="24"/>
        </w:rPr>
        <w:tab/>
        <w:t>Chairman</w:t>
      </w:r>
    </w:p>
    <w:p w:rsidR="00CA642F" w:rsidRPr="00CF317B" w:rsidRDefault="00CA642F" w:rsidP="00CA642F">
      <w:pPr>
        <w:pStyle w:val="BodyTextIndent3"/>
        <w:tabs>
          <w:tab w:val="left" w:pos="720"/>
          <w:tab w:val="left" w:pos="1080"/>
        </w:tabs>
        <w:ind w:left="0"/>
        <w:jc w:val="both"/>
        <w:rPr>
          <w:sz w:val="24"/>
          <w:szCs w:val="24"/>
        </w:rPr>
      </w:pPr>
    </w:p>
    <w:p w:rsidR="00CA642F" w:rsidRPr="00CF317B" w:rsidRDefault="00CA642F" w:rsidP="00CA642F">
      <w:pPr>
        <w:pStyle w:val="BodyTextIndent3"/>
        <w:tabs>
          <w:tab w:val="left" w:pos="720"/>
          <w:tab w:val="left" w:pos="1080"/>
        </w:tabs>
        <w:ind w:left="0"/>
        <w:jc w:val="both"/>
        <w:rPr>
          <w:sz w:val="24"/>
          <w:szCs w:val="24"/>
        </w:rPr>
      </w:pPr>
    </w:p>
    <w:p w:rsidR="00CA642F" w:rsidRPr="00CF317B" w:rsidRDefault="00CA642F" w:rsidP="00CA642F">
      <w:pPr>
        <w:pStyle w:val="BodyTextIndent3"/>
        <w:tabs>
          <w:tab w:val="left" w:pos="720"/>
          <w:tab w:val="left" w:pos="1080"/>
        </w:tabs>
        <w:ind w:left="0"/>
        <w:jc w:val="both"/>
        <w:rPr>
          <w:sz w:val="24"/>
          <w:szCs w:val="24"/>
        </w:rPr>
      </w:pPr>
      <w:r w:rsidRPr="00CF317B">
        <w:rPr>
          <w:sz w:val="24"/>
          <w:szCs w:val="24"/>
        </w:rPr>
        <w:tab/>
        <w:t>______________________________               ________________________________</w:t>
      </w:r>
    </w:p>
    <w:p w:rsidR="00CA642F" w:rsidRPr="00CF317B" w:rsidRDefault="00CA642F" w:rsidP="00CA642F">
      <w:pPr>
        <w:pStyle w:val="BodyTextIndent3"/>
        <w:tabs>
          <w:tab w:val="left" w:pos="1080"/>
        </w:tabs>
        <w:ind w:left="0"/>
        <w:jc w:val="both"/>
      </w:pPr>
      <w:r w:rsidRPr="00CF317B">
        <w:rPr>
          <w:sz w:val="24"/>
          <w:szCs w:val="24"/>
        </w:rPr>
        <w:tab/>
        <w:t>Date</w:t>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proofErr w:type="spellStart"/>
      <w:r w:rsidRPr="00CF317B">
        <w:rPr>
          <w:sz w:val="24"/>
          <w:szCs w:val="24"/>
        </w:rPr>
        <w:t>Date</w:t>
      </w:r>
      <w:proofErr w:type="spellEnd"/>
    </w:p>
    <w:sectPr w:rsidR="00CA642F" w:rsidRPr="00CF31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304" w:rsidRDefault="002D0304" w:rsidP="001C5296">
      <w:r>
        <w:separator/>
      </w:r>
    </w:p>
  </w:endnote>
  <w:endnote w:type="continuationSeparator" w:id="0">
    <w:p w:rsidR="002D0304" w:rsidRDefault="002D0304" w:rsidP="001C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296" w:rsidRPr="00BF179D" w:rsidRDefault="001C5296" w:rsidP="001C5296">
    <w:pPr>
      <w:pStyle w:val="Footer"/>
      <w:jc w:val="center"/>
      <w:rPr>
        <w:sz w:val="16"/>
        <w:szCs w:val="16"/>
      </w:rPr>
    </w:pPr>
    <w:r w:rsidRPr="00BF179D">
      <w:rPr>
        <w:sz w:val="16"/>
        <w:szCs w:val="16"/>
      </w:rPr>
      <w:t xml:space="preserve">Dockets </w:t>
    </w:r>
    <w:r w:rsidR="006E734B">
      <w:rPr>
        <w:sz w:val="16"/>
        <w:szCs w:val="16"/>
      </w:rPr>
      <w:t>18638</w:t>
    </w:r>
  </w:p>
  <w:p w:rsidR="00C70A6A" w:rsidRPr="007A5971" w:rsidRDefault="00C70A6A" w:rsidP="00C70A6A">
    <w:pPr>
      <w:pStyle w:val="Footer"/>
      <w:jc w:val="center"/>
      <w:rPr>
        <w:sz w:val="18"/>
        <w:szCs w:val="18"/>
      </w:rPr>
    </w:pPr>
    <w:r>
      <w:rPr>
        <w:sz w:val="18"/>
        <w:szCs w:val="18"/>
      </w:rPr>
      <w:t xml:space="preserve">Order Approving Atlanta Gas Light Company’s Recalculated </w:t>
    </w:r>
    <w:r w:rsidRPr="00F00695">
      <w:rPr>
        <w:sz w:val="18"/>
        <w:szCs w:val="18"/>
      </w:rPr>
      <w:t>DDDC</w:t>
    </w:r>
    <w:r>
      <w:rPr>
        <w:sz w:val="18"/>
        <w:szCs w:val="18"/>
      </w:rPr>
      <w:t xml:space="preserve"> Factors for 2022</w:t>
    </w:r>
  </w:p>
  <w:p w:rsidR="001C5296" w:rsidRDefault="002D0304" w:rsidP="001C5296">
    <w:pPr>
      <w:pStyle w:val="Footer"/>
      <w:jc w:val="center"/>
    </w:pPr>
    <w:sdt>
      <w:sdtPr>
        <w:rPr>
          <w:sz w:val="16"/>
          <w:szCs w:val="16"/>
        </w:rPr>
        <w:id w:val="-85580178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001C5296" w:rsidRPr="00BF179D">
              <w:rPr>
                <w:sz w:val="16"/>
                <w:szCs w:val="16"/>
              </w:rPr>
              <w:t xml:space="preserve">Page </w:t>
            </w:r>
            <w:r w:rsidR="001C5296" w:rsidRPr="00BF179D">
              <w:rPr>
                <w:b/>
                <w:bCs/>
                <w:sz w:val="16"/>
                <w:szCs w:val="16"/>
              </w:rPr>
              <w:fldChar w:fldCharType="begin"/>
            </w:r>
            <w:r w:rsidR="001C5296" w:rsidRPr="00BF179D">
              <w:rPr>
                <w:b/>
                <w:bCs/>
                <w:sz w:val="16"/>
                <w:szCs w:val="16"/>
              </w:rPr>
              <w:instrText xml:space="preserve"> PAGE </w:instrText>
            </w:r>
            <w:r w:rsidR="001C5296" w:rsidRPr="00BF179D">
              <w:rPr>
                <w:b/>
                <w:bCs/>
                <w:sz w:val="16"/>
                <w:szCs w:val="16"/>
              </w:rPr>
              <w:fldChar w:fldCharType="separate"/>
            </w:r>
            <w:r w:rsidR="003E76D3">
              <w:rPr>
                <w:b/>
                <w:bCs/>
                <w:noProof/>
                <w:sz w:val="16"/>
                <w:szCs w:val="16"/>
              </w:rPr>
              <w:t>1</w:t>
            </w:r>
            <w:r w:rsidR="001C5296" w:rsidRPr="00BF179D">
              <w:rPr>
                <w:b/>
                <w:bCs/>
                <w:sz w:val="16"/>
                <w:szCs w:val="16"/>
              </w:rPr>
              <w:fldChar w:fldCharType="end"/>
            </w:r>
            <w:r w:rsidR="001C5296" w:rsidRPr="00BF179D">
              <w:rPr>
                <w:sz w:val="16"/>
                <w:szCs w:val="16"/>
              </w:rPr>
              <w:t xml:space="preserve"> of </w:t>
            </w:r>
            <w:r w:rsidR="001C5296" w:rsidRPr="00BF179D">
              <w:rPr>
                <w:b/>
                <w:bCs/>
                <w:sz w:val="16"/>
                <w:szCs w:val="16"/>
              </w:rPr>
              <w:fldChar w:fldCharType="begin"/>
            </w:r>
            <w:r w:rsidR="001C5296" w:rsidRPr="00BF179D">
              <w:rPr>
                <w:b/>
                <w:bCs/>
                <w:sz w:val="16"/>
                <w:szCs w:val="16"/>
              </w:rPr>
              <w:instrText xml:space="preserve"> NUMPAGES  </w:instrText>
            </w:r>
            <w:r w:rsidR="001C5296" w:rsidRPr="00BF179D">
              <w:rPr>
                <w:b/>
                <w:bCs/>
                <w:sz w:val="16"/>
                <w:szCs w:val="16"/>
              </w:rPr>
              <w:fldChar w:fldCharType="separate"/>
            </w:r>
            <w:r w:rsidR="003E76D3">
              <w:rPr>
                <w:b/>
                <w:bCs/>
                <w:noProof/>
                <w:sz w:val="16"/>
                <w:szCs w:val="16"/>
              </w:rPr>
              <w:t>3</w:t>
            </w:r>
            <w:r w:rsidR="001C5296" w:rsidRPr="00BF179D">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304" w:rsidRDefault="002D0304" w:rsidP="001C5296">
      <w:r>
        <w:separator/>
      </w:r>
    </w:p>
  </w:footnote>
  <w:footnote w:type="continuationSeparator" w:id="0">
    <w:p w:rsidR="002D0304" w:rsidRDefault="002D0304" w:rsidP="001C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4413"/>
    <w:multiLevelType w:val="hybridMultilevel"/>
    <w:tmpl w:val="8818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06F8B"/>
    <w:multiLevelType w:val="hybridMultilevel"/>
    <w:tmpl w:val="01F21E62"/>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 w15:restartNumberingAfterBreak="0">
    <w:nsid w:val="6B8E7F21"/>
    <w:multiLevelType w:val="hybridMultilevel"/>
    <w:tmpl w:val="E3222ECA"/>
    <w:lvl w:ilvl="0" w:tplc="8648DD1A">
      <w:start w:val="1"/>
      <w:numFmt w:val="decimal"/>
      <w:lvlText w:val="%1."/>
      <w:lvlJc w:val="left"/>
      <w:pPr>
        <w:ind w:left="108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113D5"/>
    <w:rsid w:val="0001381A"/>
    <w:rsid w:val="000512E5"/>
    <w:rsid w:val="0005442F"/>
    <w:rsid w:val="00067CCB"/>
    <w:rsid w:val="001078BC"/>
    <w:rsid w:val="0011770D"/>
    <w:rsid w:val="0014707A"/>
    <w:rsid w:val="001704C0"/>
    <w:rsid w:val="00173ECA"/>
    <w:rsid w:val="00194B57"/>
    <w:rsid w:val="001C5296"/>
    <w:rsid w:val="001D0747"/>
    <w:rsid w:val="00237B30"/>
    <w:rsid w:val="002710B5"/>
    <w:rsid w:val="002A3D95"/>
    <w:rsid w:val="002B5184"/>
    <w:rsid w:val="002C6DD1"/>
    <w:rsid w:val="002D0304"/>
    <w:rsid w:val="00376A50"/>
    <w:rsid w:val="003B1182"/>
    <w:rsid w:val="003E76D3"/>
    <w:rsid w:val="003F2763"/>
    <w:rsid w:val="00467B71"/>
    <w:rsid w:val="00476AA2"/>
    <w:rsid w:val="00493EF9"/>
    <w:rsid w:val="00494A05"/>
    <w:rsid w:val="004D75CE"/>
    <w:rsid w:val="004D7BC6"/>
    <w:rsid w:val="00521687"/>
    <w:rsid w:val="005370BE"/>
    <w:rsid w:val="005529E4"/>
    <w:rsid w:val="0056408F"/>
    <w:rsid w:val="005E43E0"/>
    <w:rsid w:val="005F7054"/>
    <w:rsid w:val="006151E8"/>
    <w:rsid w:val="0064096C"/>
    <w:rsid w:val="006465C2"/>
    <w:rsid w:val="00670AF6"/>
    <w:rsid w:val="006862E4"/>
    <w:rsid w:val="006952CD"/>
    <w:rsid w:val="006A4919"/>
    <w:rsid w:val="006A5FC2"/>
    <w:rsid w:val="006E734B"/>
    <w:rsid w:val="00705012"/>
    <w:rsid w:val="00717A81"/>
    <w:rsid w:val="00761035"/>
    <w:rsid w:val="007B51E8"/>
    <w:rsid w:val="007C40EE"/>
    <w:rsid w:val="007D1A4F"/>
    <w:rsid w:val="007E77D6"/>
    <w:rsid w:val="00802187"/>
    <w:rsid w:val="00810B63"/>
    <w:rsid w:val="00861F51"/>
    <w:rsid w:val="00886BED"/>
    <w:rsid w:val="00945A5F"/>
    <w:rsid w:val="009572C5"/>
    <w:rsid w:val="0097136F"/>
    <w:rsid w:val="009803AB"/>
    <w:rsid w:val="00994AB6"/>
    <w:rsid w:val="009A4D99"/>
    <w:rsid w:val="009E0A9B"/>
    <w:rsid w:val="00A363AD"/>
    <w:rsid w:val="00AA3FF3"/>
    <w:rsid w:val="00AA5C28"/>
    <w:rsid w:val="00AF7496"/>
    <w:rsid w:val="00B11BEB"/>
    <w:rsid w:val="00B3134E"/>
    <w:rsid w:val="00BA2A06"/>
    <w:rsid w:val="00BC27C0"/>
    <w:rsid w:val="00BD2F2B"/>
    <w:rsid w:val="00C36999"/>
    <w:rsid w:val="00C70A6A"/>
    <w:rsid w:val="00CA642F"/>
    <w:rsid w:val="00CB74F6"/>
    <w:rsid w:val="00CE7CD3"/>
    <w:rsid w:val="00CF317B"/>
    <w:rsid w:val="00CF4F81"/>
    <w:rsid w:val="00D30B36"/>
    <w:rsid w:val="00D90878"/>
    <w:rsid w:val="00DC243E"/>
    <w:rsid w:val="00DC7E18"/>
    <w:rsid w:val="00DD3C46"/>
    <w:rsid w:val="00DD47B4"/>
    <w:rsid w:val="00E112AD"/>
    <w:rsid w:val="00E3039F"/>
    <w:rsid w:val="00E30EAE"/>
    <w:rsid w:val="00E7176E"/>
    <w:rsid w:val="00E92FA4"/>
    <w:rsid w:val="00F259C3"/>
    <w:rsid w:val="00F721DF"/>
    <w:rsid w:val="00F80F0B"/>
    <w:rsid w:val="00F855DC"/>
    <w:rsid w:val="00FE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49551C24"/>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CA642F"/>
    <w:pPr>
      <w:spacing w:after="120"/>
      <w:ind w:left="360"/>
    </w:pPr>
    <w:rPr>
      <w:sz w:val="16"/>
      <w:szCs w:val="16"/>
    </w:rPr>
  </w:style>
  <w:style w:type="character" w:customStyle="1" w:styleId="BodyTextIndent3Char">
    <w:name w:val="Body Text Indent 3 Char"/>
    <w:basedOn w:val="DefaultParagraphFont"/>
    <w:link w:val="BodyTextIndent3"/>
    <w:uiPriority w:val="99"/>
    <w:rsid w:val="00CA642F"/>
    <w:rPr>
      <w:rFonts w:ascii="Times New Roman" w:eastAsia="Times New Roman" w:hAnsi="Times New Roman" w:cs="Times New Roman"/>
      <w:sz w:val="16"/>
      <w:szCs w:val="16"/>
    </w:rPr>
  </w:style>
  <w:style w:type="paragraph" w:styleId="NoSpacing">
    <w:name w:val="No Spacing"/>
    <w:uiPriority w:val="99"/>
    <w:qFormat/>
    <w:rsid w:val="00CA642F"/>
    <w:pPr>
      <w:spacing w:after="0" w:line="240" w:lineRule="auto"/>
    </w:pPr>
    <w:rPr>
      <w:rFonts w:ascii="Calibri" w:eastAsia="Calibri" w:hAnsi="Calibri" w:cs="Times New Roman"/>
    </w:rPr>
  </w:style>
  <w:style w:type="paragraph" w:styleId="EnvelopeReturn">
    <w:name w:val="envelope return"/>
    <w:basedOn w:val="Normal"/>
    <w:uiPriority w:val="99"/>
    <w:rsid w:val="001C5296"/>
  </w:style>
  <w:style w:type="paragraph" w:styleId="ListParagraph">
    <w:name w:val="List Paragraph"/>
    <w:basedOn w:val="Normal"/>
    <w:uiPriority w:val="99"/>
    <w:qFormat/>
    <w:rsid w:val="001C5296"/>
    <w:pPr>
      <w:ind w:left="720"/>
    </w:pPr>
    <w:rPr>
      <w:rFonts w:ascii="Calibri" w:eastAsia="Calibri" w:hAnsi="Calibri"/>
      <w:sz w:val="22"/>
      <w:szCs w:val="22"/>
    </w:rPr>
  </w:style>
  <w:style w:type="paragraph" w:styleId="Header">
    <w:name w:val="header"/>
    <w:basedOn w:val="Normal"/>
    <w:link w:val="HeaderChar"/>
    <w:uiPriority w:val="99"/>
    <w:unhideWhenUsed/>
    <w:rsid w:val="001C5296"/>
    <w:pPr>
      <w:tabs>
        <w:tab w:val="center" w:pos="4680"/>
        <w:tab w:val="right" w:pos="9360"/>
      </w:tabs>
    </w:pPr>
  </w:style>
  <w:style w:type="character" w:customStyle="1" w:styleId="HeaderChar">
    <w:name w:val="Header Char"/>
    <w:basedOn w:val="DefaultParagraphFont"/>
    <w:link w:val="Header"/>
    <w:uiPriority w:val="99"/>
    <w:rsid w:val="001C5296"/>
    <w:rPr>
      <w:rFonts w:ascii="Times New Roman" w:eastAsia="Times New Roman" w:hAnsi="Times New Roman" w:cs="Times New Roman"/>
      <w:sz w:val="24"/>
      <w:szCs w:val="24"/>
    </w:rPr>
  </w:style>
  <w:style w:type="paragraph" w:styleId="Footer">
    <w:name w:val="footer"/>
    <w:basedOn w:val="Normal"/>
    <w:link w:val="FooterChar"/>
    <w:unhideWhenUsed/>
    <w:rsid w:val="001C5296"/>
    <w:pPr>
      <w:tabs>
        <w:tab w:val="center" w:pos="4680"/>
        <w:tab w:val="right" w:pos="9360"/>
      </w:tabs>
    </w:pPr>
  </w:style>
  <w:style w:type="character" w:customStyle="1" w:styleId="FooterChar">
    <w:name w:val="Footer Char"/>
    <w:basedOn w:val="DefaultParagraphFont"/>
    <w:link w:val="Footer"/>
    <w:rsid w:val="001C5296"/>
    <w:rPr>
      <w:rFonts w:ascii="Times New Roman" w:eastAsia="Times New Roman" w:hAnsi="Times New Roman" w:cs="Times New Roman"/>
      <w:sz w:val="24"/>
      <w:szCs w:val="24"/>
    </w:rPr>
  </w:style>
  <w:style w:type="paragraph" w:styleId="Subtitle">
    <w:name w:val="Subtitle"/>
    <w:basedOn w:val="Normal"/>
    <w:next w:val="BodyText"/>
    <w:link w:val="SubtitleChar"/>
    <w:uiPriority w:val="11"/>
    <w:qFormat/>
    <w:rsid w:val="001C5296"/>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1C5296"/>
    <w:rPr>
      <w:rFonts w:ascii="Times New Roman" w:eastAsiaTheme="majorEastAsia" w:hAnsi="Times New Roman" w:cstheme="majorBidi"/>
      <w:iCs/>
      <w:sz w:val="24"/>
      <w:szCs w:val="24"/>
      <w:u w:val="single"/>
    </w:rPr>
  </w:style>
  <w:style w:type="paragraph" w:styleId="BodyText2">
    <w:name w:val="Body Text 2"/>
    <w:basedOn w:val="Normal"/>
    <w:link w:val="BodyText2Char"/>
    <w:uiPriority w:val="99"/>
    <w:semiHidden/>
    <w:unhideWhenUsed/>
    <w:rsid w:val="00FE657E"/>
    <w:pPr>
      <w:spacing w:after="120" w:line="480" w:lineRule="auto"/>
    </w:pPr>
  </w:style>
  <w:style w:type="character" w:customStyle="1" w:styleId="BodyText2Char">
    <w:name w:val="Body Text 2 Char"/>
    <w:basedOn w:val="DefaultParagraphFont"/>
    <w:link w:val="BodyText2"/>
    <w:rsid w:val="00FE657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61F51"/>
    <w:pPr>
      <w:spacing w:after="120"/>
      <w:ind w:left="360"/>
    </w:pPr>
  </w:style>
  <w:style w:type="character" w:customStyle="1" w:styleId="BodyTextIndentChar">
    <w:name w:val="Body Text Indent Char"/>
    <w:basedOn w:val="DefaultParagraphFont"/>
    <w:link w:val="BodyTextIndent"/>
    <w:uiPriority w:val="99"/>
    <w:semiHidden/>
    <w:rsid w:val="00861F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7081">
      <w:bodyDiv w:val="1"/>
      <w:marLeft w:val="0"/>
      <w:marRight w:val="0"/>
      <w:marTop w:val="0"/>
      <w:marBottom w:val="0"/>
      <w:divBdr>
        <w:top w:val="none" w:sz="0" w:space="0" w:color="auto"/>
        <w:left w:val="none" w:sz="0" w:space="0" w:color="auto"/>
        <w:bottom w:val="none" w:sz="0" w:space="0" w:color="auto"/>
        <w:right w:val="none" w:sz="0" w:space="0" w:color="auto"/>
      </w:divBdr>
    </w:div>
    <w:div w:id="234973852">
      <w:bodyDiv w:val="1"/>
      <w:marLeft w:val="0"/>
      <w:marRight w:val="0"/>
      <w:marTop w:val="0"/>
      <w:marBottom w:val="0"/>
      <w:divBdr>
        <w:top w:val="none" w:sz="0" w:space="0" w:color="auto"/>
        <w:left w:val="none" w:sz="0" w:space="0" w:color="auto"/>
        <w:bottom w:val="none" w:sz="0" w:space="0" w:color="auto"/>
        <w:right w:val="none" w:sz="0" w:space="0" w:color="auto"/>
      </w:divBdr>
    </w:div>
    <w:div w:id="362486646">
      <w:bodyDiv w:val="1"/>
      <w:marLeft w:val="0"/>
      <w:marRight w:val="0"/>
      <w:marTop w:val="0"/>
      <w:marBottom w:val="0"/>
      <w:divBdr>
        <w:top w:val="none" w:sz="0" w:space="0" w:color="auto"/>
        <w:left w:val="none" w:sz="0" w:space="0" w:color="auto"/>
        <w:bottom w:val="none" w:sz="0" w:space="0" w:color="auto"/>
        <w:right w:val="none" w:sz="0" w:space="0" w:color="auto"/>
      </w:divBdr>
    </w:div>
    <w:div w:id="426973174">
      <w:bodyDiv w:val="1"/>
      <w:marLeft w:val="0"/>
      <w:marRight w:val="0"/>
      <w:marTop w:val="0"/>
      <w:marBottom w:val="0"/>
      <w:divBdr>
        <w:top w:val="none" w:sz="0" w:space="0" w:color="auto"/>
        <w:left w:val="none" w:sz="0" w:space="0" w:color="auto"/>
        <w:bottom w:val="none" w:sz="0" w:space="0" w:color="auto"/>
        <w:right w:val="none" w:sz="0" w:space="0" w:color="auto"/>
      </w:divBdr>
    </w:div>
    <w:div w:id="428238751">
      <w:bodyDiv w:val="1"/>
      <w:marLeft w:val="0"/>
      <w:marRight w:val="0"/>
      <w:marTop w:val="0"/>
      <w:marBottom w:val="0"/>
      <w:divBdr>
        <w:top w:val="none" w:sz="0" w:space="0" w:color="auto"/>
        <w:left w:val="none" w:sz="0" w:space="0" w:color="auto"/>
        <w:bottom w:val="none" w:sz="0" w:space="0" w:color="auto"/>
        <w:right w:val="none" w:sz="0" w:space="0" w:color="auto"/>
      </w:divBdr>
    </w:div>
    <w:div w:id="441846243">
      <w:bodyDiv w:val="1"/>
      <w:marLeft w:val="0"/>
      <w:marRight w:val="0"/>
      <w:marTop w:val="0"/>
      <w:marBottom w:val="0"/>
      <w:divBdr>
        <w:top w:val="none" w:sz="0" w:space="0" w:color="auto"/>
        <w:left w:val="none" w:sz="0" w:space="0" w:color="auto"/>
        <w:bottom w:val="none" w:sz="0" w:space="0" w:color="auto"/>
        <w:right w:val="none" w:sz="0" w:space="0" w:color="auto"/>
      </w:divBdr>
    </w:div>
    <w:div w:id="651564573">
      <w:bodyDiv w:val="1"/>
      <w:marLeft w:val="0"/>
      <w:marRight w:val="0"/>
      <w:marTop w:val="0"/>
      <w:marBottom w:val="0"/>
      <w:divBdr>
        <w:top w:val="none" w:sz="0" w:space="0" w:color="auto"/>
        <w:left w:val="none" w:sz="0" w:space="0" w:color="auto"/>
        <w:bottom w:val="none" w:sz="0" w:space="0" w:color="auto"/>
        <w:right w:val="none" w:sz="0" w:space="0" w:color="auto"/>
      </w:divBdr>
    </w:div>
    <w:div w:id="830607478">
      <w:bodyDiv w:val="1"/>
      <w:marLeft w:val="0"/>
      <w:marRight w:val="0"/>
      <w:marTop w:val="0"/>
      <w:marBottom w:val="0"/>
      <w:divBdr>
        <w:top w:val="none" w:sz="0" w:space="0" w:color="auto"/>
        <w:left w:val="none" w:sz="0" w:space="0" w:color="auto"/>
        <w:bottom w:val="none" w:sz="0" w:space="0" w:color="auto"/>
        <w:right w:val="none" w:sz="0" w:space="0" w:color="auto"/>
      </w:divBdr>
    </w:div>
    <w:div w:id="891962396">
      <w:bodyDiv w:val="1"/>
      <w:marLeft w:val="0"/>
      <w:marRight w:val="0"/>
      <w:marTop w:val="0"/>
      <w:marBottom w:val="0"/>
      <w:divBdr>
        <w:top w:val="none" w:sz="0" w:space="0" w:color="auto"/>
        <w:left w:val="none" w:sz="0" w:space="0" w:color="auto"/>
        <w:bottom w:val="none" w:sz="0" w:space="0" w:color="auto"/>
        <w:right w:val="none" w:sz="0" w:space="0" w:color="auto"/>
      </w:divBdr>
    </w:div>
    <w:div w:id="1054112447">
      <w:bodyDiv w:val="1"/>
      <w:marLeft w:val="0"/>
      <w:marRight w:val="0"/>
      <w:marTop w:val="0"/>
      <w:marBottom w:val="0"/>
      <w:divBdr>
        <w:top w:val="none" w:sz="0" w:space="0" w:color="auto"/>
        <w:left w:val="none" w:sz="0" w:space="0" w:color="auto"/>
        <w:bottom w:val="none" w:sz="0" w:space="0" w:color="auto"/>
        <w:right w:val="none" w:sz="0" w:space="0" w:color="auto"/>
      </w:divBdr>
    </w:div>
    <w:div w:id="1197158966">
      <w:bodyDiv w:val="1"/>
      <w:marLeft w:val="0"/>
      <w:marRight w:val="0"/>
      <w:marTop w:val="0"/>
      <w:marBottom w:val="0"/>
      <w:divBdr>
        <w:top w:val="none" w:sz="0" w:space="0" w:color="auto"/>
        <w:left w:val="none" w:sz="0" w:space="0" w:color="auto"/>
        <w:bottom w:val="none" w:sz="0" w:space="0" w:color="auto"/>
        <w:right w:val="none" w:sz="0" w:space="0" w:color="auto"/>
      </w:divBdr>
    </w:div>
    <w:div w:id="1309045876">
      <w:bodyDiv w:val="1"/>
      <w:marLeft w:val="0"/>
      <w:marRight w:val="0"/>
      <w:marTop w:val="0"/>
      <w:marBottom w:val="0"/>
      <w:divBdr>
        <w:top w:val="none" w:sz="0" w:space="0" w:color="auto"/>
        <w:left w:val="none" w:sz="0" w:space="0" w:color="auto"/>
        <w:bottom w:val="none" w:sz="0" w:space="0" w:color="auto"/>
        <w:right w:val="none" w:sz="0" w:space="0" w:color="auto"/>
      </w:divBdr>
    </w:div>
    <w:div w:id="19410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Janey Chauvet</dc:creator>
  <cp:lastModifiedBy>Janey Chauvet</cp:lastModifiedBy>
  <cp:revision>5</cp:revision>
  <cp:lastPrinted>2022-01-13T19:01:00Z</cp:lastPrinted>
  <dcterms:created xsi:type="dcterms:W3CDTF">2022-07-25T13:39:00Z</dcterms:created>
  <dcterms:modified xsi:type="dcterms:W3CDTF">2022-08-02T13:47:00Z</dcterms:modified>
</cp:coreProperties>
</file>