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06DB19" w14:textId="77777777" w:rsidR="007C284E" w:rsidRDefault="007C284E" w:rsidP="007C284E">
      <w:pPr>
        <w:spacing w:before="0" w:after="0" w:line="240" w:lineRule="auto"/>
        <w:ind w:left="0" w:right="0" w:firstLine="0"/>
        <w:jc w:val="center"/>
        <w:rPr>
          <w:sz w:val="40"/>
          <w:szCs w:val="40"/>
        </w:rPr>
      </w:pPr>
    </w:p>
    <w:p w14:paraId="4E0FFDE3" w14:textId="77777777" w:rsidR="007C284E" w:rsidRDefault="007C284E" w:rsidP="007C284E">
      <w:pPr>
        <w:spacing w:before="0" w:after="0" w:line="240" w:lineRule="auto"/>
        <w:ind w:left="0" w:right="0" w:firstLine="0"/>
        <w:jc w:val="center"/>
        <w:rPr>
          <w:sz w:val="40"/>
          <w:szCs w:val="40"/>
        </w:rPr>
      </w:pPr>
    </w:p>
    <w:p w14:paraId="568BC2F5" w14:textId="77777777" w:rsidR="007C284E" w:rsidRDefault="007C284E" w:rsidP="007C284E">
      <w:pPr>
        <w:spacing w:before="0" w:after="0" w:line="240" w:lineRule="auto"/>
        <w:ind w:left="0" w:right="0" w:firstLine="0"/>
        <w:jc w:val="center"/>
        <w:rPr>
          <w:sz w:val="40"/>
          <w:szCs w:val="40"/>
        </w:rPr>
      </w:pPr>
    </w:p>
    <w:p w14:paraId="4AC31482" w14:textId="77777777" w:rsidR="007C284E" w:rsidRDefault="007C284E" w:rsidP="007C284E">
      <w:pPr>
        <w:spacing w:before="0" w:after="0" w:line="240" w:lineRule="auto"/>
        <w:ind w:left="0" w:right="0" w:firstLine="0"/>
        <w:jc w:val="center"/>
        <w:rPr>
          <w:sz w:val="40"/>
          <w:szCs w:val="40"/>
        </w:rPr>
      </w:pPr>
    </w:p>
    <w:p w14:paraId="38F6A175" w14:textId="77777777" w:rsidR="007C284E" w:rsidRDefault="0006003A" w:rsidP="007C284E">
      <w:pPr>
        <w:spacing w:before="0" w:after="0" w:line="240" w:lineRule="auto"/>
        <w:ind w:left="0" w:right="0" w:firstLine="0"/>
        <w:jc w:val="center"/>
        <w:rPr>
          <w:sz w:val="40"/>
          <w:szCs w:val="40"/>
        </w:rPr>
      </w:pPr>
      <w:r>
        <w:rPr>
          <w:sz w:val="40"/>
          <w:szCs w:val="40"/>
        </w:rPr>
        <w:t>SUMMARY REPORT</w:t>
      </w:r>
    </w:p>
    <w:p w14:paraId="689CE45C" w14:textId="77777777" w:rsidR="007C284E" w:rsidRDefault="0006003A" w:rsidP="007C284E">
      <w:pPr>
        <w:spacing w:before="0" w:after="0" w:line="240" w:lineRule="auto"/>
        <w:ind w:left="0" w:right="0" w:firstLine="0"/>
        <w:jc w:val="center"/>
        <w:rPr>
          <w:sz w:val="40"/>
          <w:szCs w:val="40"/>
        </w:rPr>
      </w:pPr>
      <w:r>
        <w:rPr>
          <w:sz w:val="40"/>
          <w:szCs w:val="40"/>
        </w:rPr>
        <w:t>ON</w:t>
      </w:r>
    </w:p>
    <w:p w14:paraId="65F19BF9" w14:textId="77777777" w:rsidR="007C284E" w:rsidRDefault="0006003A" w:rsidP="007C284E">
      <w:pPr>
        <w:spacing w:before="0" w:after="0" w:line="240" w:lineRule="auto"/>
        <w:ind w:left="0" w:right="0" w:firstLine="0"/>
        <w:jc w:val="center"/>
        <w:rPr>
          <w:sz w:val="40"/>
          <w:szCs w:val="40"/>
        </w:rPr>
      </w:pPr>
      <w:r>
        <w:rPr>
          <w:sz w:val="40"/>
          <w:szCs w:val="40"/>
        </w:rPr>
        <w:t>GEORGIA POWER COMPANY’S</w:t>
      </w:r>
    </w:p>
    <w:p w14:paraId="00F997A5" w14:textId="62A028F9" w:rsidR="007C284E" w:rsidRDefault="0006003A" w:rsidP="007C284E">
      <w:pPr>
        <w:spacing w:before="0" w:after="0" w:line="240" w:lineRule="auto"/>
        <w:ind w:left="0" w:right="0" w:firstLine="0"/>
        <w:jc w:val="center"/>
        <w:rPr>
          <w:sz w:val="40"/>
          <w:szCs w:val="40"/>
        </w:rPr>
      </w:pPr>
      <w:r>
        <w:rPr>
          <w:sz w:val="40"/>
          <w:szCs w:val="40"/>
        </w:rPr>
        <w:t>20</w:t>
      </w:r>
      <w:r w:rsidR="001E3B38">
        <w:rPr>
          <w:sz w:val="40"/>
          <w:szCs w:val="40"/>
        </w:rPr>
        <w:t>2</w:t>
      </w:r>
      <w:r w:rsidR="00BE5DE4">
        <w:rPr>
          <w:sz w:val="40"/>
          <w:szCs w:val="40"/>
        </w:rPr>
        <w:t>1</w:t>
      </w:r>
      <w:r>
        <w:rPr>
          <w:sz w:val="40"/>
          <w:szCs w:val="40"/>
        </w:rPr>
        <w:t xml:space="preserve"> ANNUAL RETAIL</w:t>
      </w:r>
    </w:p>
    <w:p w14:paraId="023B55E9" w14:textId="73C2C850" w:rsidR="007C284E" w:rsidRDefault="0006003A" w:rsidP="007C284E">
      <w:pPr>
        <w:spacing w:before="0" w:after="0" w:line="240" w:lineRule="auto"/>
        <w:ind w:left="0" w:right="0" w:firstLine="0"/>
        <w:jc w:val="center"/>
        <w:rPr>
          <w:sz w:val="40"/>
          <w:szCs w:val="40"/>
        </w:rPr>
      </w:pPr>
      <w:r>
        <w:rPr>
          <w:sz w:val="40"/>
          <w:szCs w:val="40"/>
        </w:rPr>
        <w:t>SURVEILLANCE REPORT</w:t>
      </w:r>
    </w:p>
    <w:p w14:paraId="395B6B44" w14:textId="77777777" w:rsidR="007C284E" w:rsidRDefault="007C284E" w:rsidP="007C284E">
      <w:pPr>
        <w:spacing w:before="0" w:after="0" w:line="240" w:lineRule="auto"/>
        <w:ind w:left="0" w:right="0" w:firstLine="0"/>
        <w:jc w:val="center"/>
        <w:rPr>
          <w:sz w:val="40"/>
          <w:szCs w:val="40"/>
        </w:rPr>
      </w:pPr>
    </w:p>
    <w:p w14:paraId="032EE7B5" w14:textId="77777777" w:rsidR="007C284E" w:rsidRDefault="007C284E" w:rsidP="007C284E">
      <w:pPr>
        <w:spacing w:before="0" w:after="0" w:line="240" w:lineRule="auto"/>
        <w:ind w:left="0" w:right="0" w:firstLine="0"/>
        <w:jc w:val="center"/>
        <w:rPr>
          <w:sz w:val="40"/>
          <w:szCs w:val="40"/>
        </w:rPr>
      </w:pPr>
    </w:p>
    <w:p w14:paraId="397BC75F" w14:textId="77777777" w:rsidR="007C284E" w:rsidRDefault="007C284E" w:rsidP="007C284E">
      <w:pPr>
        <w:spacing w:before="0" w:after="0" w:line="240" w:lineRule="auto"/>
        <w:ind w:left="0" w:right="0" w:firstLine="0"/>
        <w:jc w:val="center"/>
        <w:rPr>
          <w:sz w:val="32"/>
          <w:szCs w:val="32"/>
        </w:rPr>
      </w:pPr>
    </w:p>
    <w:p w14:paraId="5C9C5F54" w14:textId="77777777" w:rsidR="007C284E" w:rsidRDefault="007C284E" w:rsidP="007C284E">
      <w:pPr>
        <w:spacing w:before="0" w:after="0" w:line="240" w:lineRule="auto"/>
        <w:ind w:left="0" w:right="0" w:firstLine="0"/>
        <w:jc w:val="center"/>
        <w:rPr>
          <w:sz w:val="32"/>
          <w:szCs w:val="32"/>
        </w:rPr>
      </w:pPr>
    </w:p>
    <w:p w14:paraId="760205DC" w14:textId="77777777" w:rsidR="007C284E" w:rsidRDefault="007C284E" w:rsidP="007C284E">
      <w:pPr>
        <w:spacing w:before="0" w:after="0" w:line="240" w:lineRule="auto"/>
        <w:ind w:left="0" w:right="0" w:firstLine="0"/>
        <w:jc w:val="center"/>
        <w:rPr>
          <w:sz w:val="32"/>
          <w:szCs w:val="32"/>
        </w:rPr>
      </w:pPr>
    </w:p>
    <w:p w14:paraId="46A7BBC9" w14:textId="77777777" w:rsidR="007C284E" w:rsidRPr="00A47826" w:rsidRDefault="0006003A" w:rsidP="007C284E">
      <w:pPr>
        <w:spacing w:before="0" w:after="0" w:line="240" w:lineRule="auto"/>
        <w:ind w:left="0" w:right="0" w:firstLine="0"/>
        <w:jc w:val="center"/>
        <w:outlineLvl w:val="0"/>
        <w:rPr>
          <w:sz w:val="32"/>
          <w:szCs w:val="32"/>
        </w:rPr>
      </w:pPr>
      <w:r w:rsidRPr="00A47826">
        <w:rPr>
          <w:sz w:val="32"/>
          <w:szCs w:val="32"/>
        </w:rPr>
        <w:t>PREPARED BY</w:t>
      </w:r>
    </w:p>
    <w:p w14:paraId="2BDBF965" w14:textId="77777777" w:rsidR="007C284E" w:rsidRPr="00A47826" w:rsidRDefault="0006003A" w:rsidP="007C284E">
      <w:pPr>
        <w:spacing w:before="0" w:after="0" w:line="240" w:lineRule="auto"/>
        <w:ind w:left="0" w:right="0" w:firstLine="0"/>
        <w:jc w:val="center"/>
        <w:outlineLvl w:val="0"/>
        <w:rPr>
          <w:sz w:val="32"/>
          <w:szCs w:val="32"/>
        </w:rPr>
      </w:pPr>
      <w:r>
        <w:rPr>
          <w:sz w:val="32"/>
          <w:szCs w:val="32"/>
        </w:rPr>
        <w:t>LARKIN &amp; ASSOCIATES PLLC</w:t>
      </w:r>
    </w:p>
    <w:p w14:paraId="30FB5655" w14:textId="77777777" w:rsidR="007C284E" w:rsidRPr="00A47826" w:rsidRDefault="007C284E" w:rsidP="007C284E">
      <w:pPr>
        <w:spacing w:before="0" w:after="0" w:line="240" w:lineRule="auto"/>
        <w:ind w:left="0" w:right="0" w:firstLine="0"/>
        <w:jc w:val="center"/>
        <w:rPr>
          <w:sz w:val="32"/>
          <w:szCs w:val="32"/>
        </w:rPr>
      </w:pPr>
    </w:p>
    <w:p w14:paraId="352BCF06" w14:textId="77777777" w:rsidR="007C284E" w:rsidRPr="00A47826" w:rsidRDefault="0006003A" w:rsidP="007C284E">
      <w:pPr>
        <w:spacing w:before="0" w:after="0" w:line="240" w:lineRule="auto"/>
        <w:ind w:left="0" w:right="0" w:firstLine="0"/>
        <w:jc w:val="center"/>
        <w:outlineLvl w:val="0"/>
        <w:rPr>
          <w:sz w:val="32"/>
          <w:szCs w:val="32"/>
        </w:rPr>
      </w:pPr>
      <w:r>
        <w:rPr>
          <w:sz w:val="32"/>
          <w:szCs w:val="32"/>
        </w:rPr>
        <w:t>AND THE</w:t>
      </w:r>
    </w:p>
    <w:p w14:paraId="6CB1F258" w14:textId="77777777" w:rsidR="007C284E" w:rsidRDefault="0006003A" w:rsidP="007C284E">
      <w:pPr>
        <w:spacing w:before="0" w:after="0" w:line="240" w:lineRule="auto"/>
        <w:ind w:left="0" w:right="0" w:firstLine="0"/>
        <w:jc w:val="center"/>
        <w:outlineLvl w:val="0"/>
        <w:rPr>
          <w:sz w:val="32"/>
          <w:szCs w:val="32"/>
        </w:rPr>
      </w:pPr>
      <w:r w:rsidRPr="00A47826">
        <w:rPr>
          <w:sz w:val="32"/>
          <w:szCs w:val="32"/>
        </w:rPr>
        <w:t>GEORGIA PUBLIC SERVICE COMMISSION</w:t>
      </w:r>
    </w:p>
    <w:p w14:paraId="01AAF9A8" w14:textId="77777777" w:rsidR="007C284E" w:rsidRDefault="0006003A" w:rsidP="007C284E">
      <w:pPr>
        <w:spacing w:before="0" w:after="0" w:line="240" w:lineRule="auto"/>
        <w:ind w:left="0" w:right="0" w:firstLine="0"/>
        <w:jc w:val="center"/>
        <w:outlineLvl w:val="0"/>
        <w:rPr>
          <w:sz w:val="32"/>
          <w:szCs w:val="32"/>
        </w:rPr>
      </w:pPr>
      <w:r>
        <w:rPr>
          <w:sz w:val="32"/>
          <w:szCs w:val="32"/>
        </w:rPr>
        <w:t>PUBLIC INTEREST ADVOCACY STAFF</w:t>
      </w:r>
    </w:p>
    <w:p w14:paraId="173853DD" w14:textId="77777777" w:rsidR="007C284E" w:rsidRDefault="007C284E" w:rsidP="007C284E">
      <w:pPr>
        <w:spacing w:before="0" w:after="0" w:line="240" w:lineRule="auto"/>
        <w:ind w:left="0" w:right="0" w:firstLine="0"/>
        <w:jc w:val="center"/>
        <w:rPr>
          <w:sz w:val="32"/>
          <w:szCs w:val="32"/>
        </w:rPr>
      </w:pPr>
    </w:p>
    <w:p w14:paraId="66F5F0BE" w14:textId="77777777" w:rsidR="007C284E" w:rsidRDefault="007C284E" w:rsidP="007C284E">
      <w:pPr>
        <w:spacing w:before="0" w:after="0" w:line="240" w:lineRule="auto"/>
        <w:ind w:left="0" w:right="0" w:firstLine="0"/>
        <w:jc w:val="center"/>
        <w:rPr>
          <w:sz w:val="32"/>
          <w:szCs w:val="32"/>
        </w:rPr>
      </w:pPr>
    </w:p>
    <w:p w14:paraId="0421A75B" w14:textId="77777777" w:rsidR="007C284E" w:rsidRDefault="007C284E" w:rsidP="007C284E">
      <w:pPr>
        <w:spacing w:before="0" w:after="0" w:line="240" w:lineRule="auto"/>
        <w:ind w:left="0" w:right="0" w:firstLine="0"/>
        <w:jc w:val="center"/>
        <w:rPr>
          <w:sz w:val="32"/>
          <w:szCs w:val="32"/>
        </w:rPr>
      </w:pPr>
    </w:p>
    <w:p w14:paraId="1A1E0AFA" w14:textId="77777777" w:rsidR="007C284E" w:rsidRDefault="007C284E" w:rsidP="007C284E">
      <w:pPr>
        <w:spacing w:before="0" w:after="0" w:line="240" w:lineRule="auto"/>
        <w:ind w:left="0" w:right="0" w:firstLine="0"/>
        <w:jc w:val="center"/>
        <w:rPr>
          <w:sz w:val="32"/>
          <w:szCs w:val="32"/>
        </w:rPr>
      </w:pPr>
    </w:p>
    <w:p w14:paraId="0D97E626" w14:textId="77777777" w:rsidR="007C284E" w:rsidRDefault="007C284E" w:rsidP="007C284E">
      <w:pPr>
        <w:spacing w:before="0" w:after="0" w:line="240" w:lineRule="auto"/>
        <w:ind w:left="0" w:right="0" w:firstLine="0"/>
        <w:jc w:val="center"/>
        <w:rPr>
          <w:sz w:val="32"/>
          <w:szCs w:val="32"/>
        </w:rPr>
      </w:pPr>
    </w:p>
    <w:p w14:paraId="1970C4D4" w14:textId="77777777" w:rsidR="007C284E" w:rsidRDefault="007C284E" w:rsidP="007C284E">
      <w:pPr>
        <w:spacing w:before="0" w:after="0" w:line="240" w:lineRule="auto"/>
        <w:ind w:left="0" w:right="0" w:firstLine="0"/>
        <w:jc w:val="center"/>
        <w:rPr>
          <w:sz w:val="32"/>
          <w:szCs w:val="32"/>
        </w:rPr>
      </w:pPr>
    </w:p>
    <w:p w14:paraId="163BAF0B" w14:textId="77777777" w:rsidR="007C284E" w:rsidRDefault="007C284E" w:rsidP="007C284E">
      <w:pPr>
        <w:spacing w:before="0" w:after="0" w:line="240" w:lineRule="auto"/>
        <w:ind w:left="0" w:right="0" w:firstLine="0"/>
        <w:jc w:val="center"/>
        <w:rPr>
          <w:sz w:val="32"/>
          <w:szCs w:val="32"/>
        </w:rPr>
      </w:pPr>
    </w:p>
    <w:p w14:paraId="33E2E197" w14:textId="27F2156B" w:rsidR="00C42EDE" w:rsidRDefault="00707150" w:rsidP="007C284E">
      <w:pPr>
        <w:spacing w:before="0" w:after="0" w:line="240" w:lineRule="auto"/>
        <w:ind w:left="0" w:right="0" w:firstLine="0"/>
        <w:jc w:val="center"/>
        <w:outlineLvl w:val="0"/>
        <w:rPr>
          <w:sz w:val="32"/>
          <w:szCs w:val="32"/>
        </w:rPr>
      </w:pPr>
      <w:r w:rsidRPr="00477685">
        <w:rPr>
          <w:sz w:val="32"/>
          <w:szCs w:val="32"/>
        </w:rPr>
        <w:t>JU</w:t>
      </w:r>
      <w:r w:rsidR="00477685" w:rsidRPr="00477685">
        <w:rPr>
          <w:sz w:val="32"/>
          <w:szCs w:val="32"/>
        </w:rPr>
        <w:t xml:space="preserve">LY </w:t>
      </w:r>
      <w:r w:rsidR="00C66DBE">
        <w:rPr>
          <w:sz w:val="32"/>
          <w:szCs w:val="32"/>
        </w:rPr>
        <w:t>8</w:t>
      </w:r>
      <w:r w:rsidR="00477685" w:rsidRPr="00477685">
        <w:rPr>
          <w:sz w:val="32"/>
          <w:szCs w:val="32"/>
        </w:rPr>
        <w:t>, 2022</w:t>
      </w:r>
      <w:r>
        <w:rPr>
          <w:sz w:val="32"/>
          <w:szCs w:val="32"/>
        </w:rPr>
        <w:t xml:space="preserve"> </w:t>
      </w:r>
    </w:p>
    <w:p w14:paraId="0AB6EB0D" w14:textId="6273C23A" w:rsidR="007C284E" w:rsidRDefault="007C284E" w:rsidP="007C284E">
      <w:pPr>
        <w:spacing w:before="0" w:after="0" w:line="240" w:lineRule="auto"/>
        <w:ind w:left="0" w:right="0" w:firstLine="0"/>
        <w:jc w:val="center"/>
        <w:outlineLvl w:val="0"/>
        <w:rPr>
          <w:sz w:val="32"/>
          <w:szCs w:val="32"/>
        </w:rPr>
      </w:pPr>
    </w:p>
    <w:p w14:paraId="26641217" w14:textId="5F27F5A0" w:rsidR="007C284E" w:rsidRDefault="007C284E" w:rsidP="007C284E">
      <w:pPr>
        <w:spacing w:before="0" w:after="0" w:line="240" w:lineRule="auto"/>
        <w:ind w:left="0" w:right="0" w:firstLine="0"/>
        <w:jc w:val="center"/>
        <w:outlineLvl w:val="0"/>
        <w:rPr>
          <w:sz w:val="32"/>
          <w:szCs w:val="32"/>
        </w:rPr>
      </w:pPr>
    </w:p>
    <w:p w14:paraId="6816B0F4" w14:textId="77777777" w:rsidR="007C284E" w:rsidRDefault="007C284E" w:rsidP="007C284E">
      <w:pPr>
        <w:spacing w:before="0" w:after="0" w:line="240" w:lineRule="auto"/>
        <w:ind w:left="0" w:right="0" w:firstLine="0"/>
        <w:jc w:val="center"/>
        <w:outlineLvl w:val="0"/>
        <w:rPr>
          <w:sz w:val="32"/>
          <w:szCs w:val="32"/>
        </w:rPr>
      </w:pPr>
    </w:p>
    <w:p w14:paraId="498F6E1C" w14:textId="77777777" w:rsidR="007C284E" w:rsidRPr="0046785A" w:rsidRDefault="007C284E" w:rsidP="007C284E">
      <w:pPr>
        <w:ind w:left="0" w:right="0" w:firstLine="0"/>
        <w:jc w:val="center"/>
      </w:pPr>
    </w:p>
    <w:p w14:paraId="1E801079" w14:textId="77777777" w:rsidR="007C284E" w:rsidRDefault="007C284E" w:rsidP="007C284E">
      <w:pPr>
        <w:ind w:left="0" w:right="0" w:firstLine="0"/>
        <w:jc w:val="center"/>
        <w:rPr>
          <w:b/>
          <w:u w:val="single"/>
        </w:rPr>
        <w:sectPr w:rsidR="007C284E" w:rsidSect="007C284E">
          <w:footerReference w:type="default" r:id="rId8"/>
          <w:pgSz w:w="12240" w:h="15840"/>
          <w:pgMar w:top="1440" w:right="1440" w:bottom="1440" w:left="1440" w:header="720" w:footer="720" w:gutter="0"/>
          <w:cols w:space="720"/>
          <w:docGrid w:linePitch="360"/>
        </w:sectPr>
      </w:pPr>
    </w:p>
    <w:p w14:paraId="3204C5CE" w14:textId="77777777" w:rsidR="007C284E" w:rsidRPr="00480D08" w:rsidRDefault="0006003A" w:rsidP="007C284E">
      <w:pPr>
        <w:pStyle w:val="H1"/>
      </w:pPr>
      <w:r>
        <w:lastRenderedPageBreak/>
        <w:t>Background and Overview</w:t>
      </w:r>
    </w:p>
    <w:p w14:paraId="7C252D20" w14:textId="2CE5C431" w:rsidR="007C284E" w:rsidRDefault="0006003A" w:rsidP="00791D54">
      <w:pPr>
        <w:pStyle w:val="GaBody"/>
      </w:pPr>
      <w:r>
        <w:t xml:space="preserve">The Georgia Public Service Commission’s (“GPSC” or “Commission”) </w:t>
      </w:r>
      <w:r w:rsidR="008F7E7F">
        <w:t xml:space="preserve">Short </w:t>
      </w:r>
      <w:r>
        <w:t>Order</w:t>
      </w:r>
      <w:r w:rsidR="008F7E7F">
        <w:t xml:space="preserve"> Adopting Settlement Agreement as Modified</w:t>
      </w:r>
      <w:r>
        <w:t xml:space="preserve"> in Docket No. </w:t>
      </w:r>
      <w:r w:rsidR="008F7E7F">
        <w:t>42516</w:t>
      </w:r>
      <w:r>
        <w:t xml:space="preserve">, dated December </w:t>
      </w:r>
      <w:r w:rsidR="008F7E7F">
        <w:t>17</w:t>
      </w:r>
      <w:r>
        <w:t>, 201</w:t>
      </w:r>
      <w:r w:rsidR="008F7E7F">
        <w:t>9</w:t>
      </w:r>
      <w:r>
        <w:t>, adopted a Settlement Agreement</w:t>
      </w:r>
      <w:r w:rsidR="004F74D7">
        <w:t xml:space="preserve"> among</w:t>
      </w:r>
      <w:r w:rsidR="000715EA">
        <w:t xml:space="preserve"> </w:t>
      </w:r>
      <w:r w:rsidR="009D55D1">
        <w:t xml:space="preserve">Georgia Power Company ("Georgia Power", "GPC", or "Company") and </w:t>
      </w:r>
      <w:r w:rsidR="000715EA">
        <w:t xml:space="preserve">the (1) City of Atlanta, (2) Commercial Group, (3) Georgia </w:t>
      </w:r>
      <w:r w:rsidR="000715EA" w:rsidRPr="00791D54">
        <w:t>Industrial</w:t>
      </w:r>
      <w:r w:rsidR="000715EA">
        <w:t xml:space="preserve"> Group (“GIG”), (4) Georgia Association of Manufacturers (“G</w:t>
      </w:r>
      <w:r w:rsidR="00F43488">
        <w:t>AM</w:t>
      </w:r>
      <w:r w:rsidR="000715EA">
        <w:t>”), (5) Metropolitan Atlanta Transit Authority (“MARTA”), and (6) Kroger Company</w:t>
      </w:r>
      <w:r>
        <w:t>, which, among other things, established a three-year Alternative Rate Plan ("ARP") with rates that became effective on January 1, 20</w:t>
      </w:r>
      <w:r w:rsidR="008F7E7F">
        <w:t>20</w:t>
      </w:r>
      <w:r>
        <w:t xml:space="preserve"> and originally set to continue through December 31, </w:t>
      </w:r>
      <w:r w:rsidRPr="00654D82">
        <w:t>20</w:t>
      </w:r>
      <w:r w:rsidR="008F7E7F">
        <w:t>22</w:t>
      </w:r>
      <w:r>
        <w:t xml:space="preserve">.  </w:t>
      </w:r>
      <w:r w:rsidR="008F7E7F">
        <w:t>For Annual Surveillance Reporting (“ASR”) purposes, a</w:t>
      </w:r>
      <w:r>
        <w:t xml:space="preserve"> provision of the Settlement Agreement established</w:t>
      </w:r>
      <w:r w:rsidR="008F7E7F">
        <w:t xml:space="preserve"> that beginning January 1, 2020,</w:t>
      </w:r>
      <w:r>
        <w:t xml:space="preserve"> an earnings band range between </w:t>
      </w:r>
      <w:r w:rsidR="008F7E7F">
        <w:t>9.5</w:t>
      </w:r>
      <w:r>
        <w:t xml:space="preserve">0% and 12.00% for retail return on equity ("ROE").  Specifically, Paragraph </w:t>
      </w:r>
      <w:r w:rsidR="008F7E7F">
        <w:t>4</w:t>
      </w:r>
      <w:r w:rsidR="00F15F01">
        <w:t xml:space="preserve"> (pages 5-6)</w:t>
      </w:r>
      <w:r>
        <w:t xml:space="preserve"> of the </w:t>
      </w:r>
      <w:r w:rsidR="008F7E7F">
        <w:t>Commission’s Short Order Adopting Settlement Agreement as Modified</w:t>
      </w:r>
      <w:r>
        <w:t xml:space="preserve"> stated that:</w:t>
      </w:r>
    </w:p>
    <w:p w14:paraId="578F5D6C" w14:textId="77777777" w:rsidR="008F7E7F" w:rsidRDefault="0006003A" w:rsidP="007C284E">
      <w:pPr>
        <w:pStyle w:val="Quote"/>
      </w:pPr>
      <w:r>
        <w:t>For Annual Surveillance Reporting ("ASR") reporting purposes, beginning January 1, 20</w:t>
      </w:r>
      <w:r w:rsidR="008F7E7F">
        <w:t>20</w:t>
      </w:r>
      <w:r>
        <w:t xml:space="preserve">, the earnings band shall be set at </w:t>
      </w:r>
      <w:r w:rsidR="008F7E7F">
        <w:t>9.5</w:t>
      </w:r>
      <w:r>
        <w:t>% to 12.0% ROE and the Company shall report earnings based on the actual historic cost of debt and</w:t>
      </w:r>
      <w:r w:rsidR="008F7E7F">
        <w:t xml:space="preserve"> approved</w:t>
      </w:r>
      <w:r>
        <w:t xml:space="preserve"> capital structure.  The Company </w:t>
      </w:r>
      <w:r w:rsidR="008F7E7F">
        <w:t>shal</w:t>
      </w:r>
      <w:r>
        <w:t xml:space="preserve">l not file a general rate case unless its calendar year retail earnings are projected to be less than </w:t>
      </w:r>
      <w:r w:rsidR="008F7E7F">
        <w:t>9.5</w:t>
      </w:r>
      <w:r>
        <w:t xml:space="preserve">% ROE.  </w:t>
      </w:r>
    </w:p>
    <w:p w14:paraId="394114CB" w14:textId="5EA00B4A" w:rsidR="007C284E" w:rsidRDefault="008F7E7F" w:rsidP="007C284E">
      <w:pPr>
        <w:pStyle w:val="Quote"/>
      </w:pPr>
      <w:r>
        <w:t xml:space="preserve">Subsequent to finalization of PIA Staff’s review of the respective ASR, any retail earnings above 12.0% ROE shall be shared, with forty percent (40%) being applied to regulatory assets in the following priority: Accumulated CCR ARO, Retired Generating Plant, Obsolete Inventory, Environmental Remediation, and Storm Damage, forty percent (40%) being directly refunded to customers, allocated on a percentage basis to all customer groups including the base revenue contribution of Real Time Pricing (“RTP”) incremental usage, and the remaining twenty percent (20%) retained by the Company.  The Commission finds that is fair and reasonable that in the event the Company is earning above the top end of the </w:t>
      </w:r>
      <w:r>
        <w:lastRenderedPageBreak/>
        <w:t>earnings band, the portion of the excess earnings not flowing to the Company’s shareholders be devoted to customer rate reductions</w:t>
      </w:r>
      <w:r w:rsidR="0006003A">
        <w:t>.</w:t>
      </w:r>
    </w:p>
    <w:p w14:paraId="10C78671" w14:textId="05A46665" w:rsidR="007C284E" w:rsidRDefault="0006003A" w:rsidP="00791D54">
      <w:pPr>
        <w:pStyle w:val="GaBody"/>
      </w:pPr>
      <w:r>
        <w:t>Georgia Power makes its ASR filings in order to determine its earned ROE and to address the return of excess amounts above the 12.00% upper end of the earnings dead band. The Company’s ASR filing for the twelve months ended 20</w:t>
      </w:r>
      <w:r w:rsidR="00B90224">
        <w:t>2</w:t>
      </w:r>
      <w:r w:rsidR="00E2570A">
        <w:t>1</w:t>
      </w:r>
      <w:r>
        <w:t xml:space="preserve"> in this proceeding is the Company's </w:t>
      </w:r>
      <w:r w:rsidR="00E2570A">
        <w:t>eight</w:t>
      </w:r>
      <w:r>
        <w:t xml:space="preserve">h annual filing since the ASR was adopted pursuant to the Settlement Agreement as approved by the Commission in its Order dated December 23, 2013 in Docket No. 36989 </w:t>
      </w:r>
      <w:r w:rsidRPr="00791D54">
        <w:t>and</w:t>
      </w:r>
      <w:r>
        <w:t xml:space="preserve"> extended by Commission Order in Docket No. 39971.  </w:t>
      </w:r>
      <w:r w:rsidRPr="004B451A">
        <w:t>As shown on page 1 of Section 1 of the Company's 20</w:t>
      </w:r>
      <w:r w:rsidR="00B90224" w:rsidRPr="004B451A">
        <w:t>2</w:t>
      </w:r>
      <w:r w:rsidR="003D6C9E">
        <w:t>1</w:t>
      </w:r>
      <w:r w:rsidRPr="004B451A">
        <w:t xml:space="preserve"> ASR filing, Georgia Power reported a Retail Return on Equity of </w:t>
      </w:r>
      <w:r w:rsidR="003D6C9E">
        <w:t>12.0</w:t>
      </w:r>
      <w:r w:rsidR="00B90224" w:rsidRPr="004B451A">
        <w:t>9</w:t>
      </w:r>
      <w:r w:rsidRPr="004B451A">
        <w:t>% for 20</w:t>
      </w:r>
      <w:r w:rsidR="00B90224" w:rsidRPr="004B451A">
        <w:t>2</w:t>
      </w:r>
      <w:r w:rsidR="00E2570A">
        <w:t>1</w:t>
      </w:r>
      <w:r w:rsidRPr="004B451A">
        <w:t xml:space="preserve"> on its ASR.</w:t>
      </w:r>
    </w:p>
    <w:p w14:paraId="517D5698" w14:textId="6E54D48B" w:rsidR="007C284E" w:rsidRDefault="0006003A" w:rsidP="007C284E">
      <w:pPr>
        <w:pStyle w:val="GaBody"/>
      </w:pPr>
      <w:r>
        <w:t>The Company</w:t>
      </w:r>
      <w:r w:rsidR="003A109A">
        <w:t xml:space="preserve"> indicated that its</w:t>
      </w:r>
      <w:r>
        <w:t xml:space="preserve"> retail surveillance report for 20</w:t>
      </w:r>
      <w:r w:rsidR="00B90224">
        <w:t>2</w:t>
      </w:r>
      <w:r w:rsidR="00D60E3A">
        <w:t>1</w:t>
      </w:r>
      <w:r>
        <w:t xml:space="preserve"> has been prepared in accordance with the ratemaking principles established by the Commission in Dockets 4007, 6292, 6739, 9355, 14000, 18300, 19758, 25060, 31958, 36989, and 42516.</w:t>
      </w:r>
    </w:p>
    <w:p w14:paraId="29C7465F" w14:textId="77777777" w:rsidR="003A109A" w:rsidRDefault="0006003A" w:rsidP="00791D54">
      <w:pPr>
        <w:pStyle w:val="GaBody"/>
      </w:pPr>
      <w:r>
        <w:t>Pursuant to the Settlement Agreement and the GPSC’s</w:t>
      </w:r>
      <w:r w:rsidR="003A109A">
        <w:t xml:space="preserve"> Short</w:t>
      </w:r>
      <w:r>
        <w:t xml:space="preserve"> Order</w:t>
      </w:r>
      <w:r w:rsidR="00B90224">
        <w:t xml:space="preserve"> Adopting Settlement</w:t>
      </w:r>
      <w:r w:rsidR="003A109A">
        <w:t xml:space="preserve"> Agreement as Modified dated December 17, 2019,</w:t>
      </w:r>
      <w:r>
        <w:t xml:space="preserve"> issued in Docket No. </w:t>
      </w:r>
      <w:r w:rsidR="00B90224">
        <w:t>42516</w:t>
      </w:r>
      <w:r>
        <w:t xml:space="preserve">, earnings above the upper limit of the </w:t>
      </w:r>
      <w:r w:rsidR="00B90224">
        <w:t>9.50</w:t>
      </w:r>
      <w:r>
        <w:t xml:space="preserve">% to 12.00% ROE range are subject to sharing, with </w:t>
      </w:r>
      <w:r w:rsidR="00B90224">
        <w:t>40% being applied to regulatory assets, 40% directly refunded to customers and the remaining 20% retained by the Company</w:t>
      </w:r>
      <w:r>
        <w:t xml:space="preserve">.  </w:t>
      </w:r>
    </w:p>
    <w:p w14:paraId="1FA8777D" w14:textId="7B0E918B" w:rsidR="00BC3729" w:rsidRDefault="003A109A" w:rsidP="00791D54">
      <w:pPr>
        <w:pStyle w:val="GaBody"/>
      </w:pPr>
      <w:r>
        <w:t>F</w:t>
      </w:r>
      <w:r w:rsidR="0006003A">
        <w:t xml:space="preserve">or the twelve </w:t>
      </w:r>
      <w:r w:rsidR="0006003A" w:rsidRPr="00791D54">
        <w:t>months</w:t>
      </w:r>
      <w:r w:rsidR="0006003A">
        <w:t xml:space="preserve"> ended December 31, 20</w:t>
      </w:r>
      <w:r w:rsidR="00B90224">
        <w:t>2</w:t>
      </w:r>
      <w:r w:rsidR="00D60E3A">
        <w:t>1</w:t>
      </w:r>
      <w:r w:rsidR="0006003A">
        <w:t xml:space="preserve">, the Company reported earnings of </w:t>
      </w:r>
      <w:r w:rsidR="00D60E3A">
        <w:t>12.09</w:t>
      </w:r>
      <w:r w:rsidR="0006003A">
        <w:t xml:space="preserve">% ROE, </w:t>
      </w:r>
      <w:r w:rsidR="00BC3729">
        <w:t>with excess revenues of $14.167 million</w:t>
      </w:r>
      <w:r w:rsidR="0006003A">
        <w:t xml:space="preserve">. </w:t>
      </w:r>
      <w:r w:rsidR="003D6C9E">
        <w:t xml:space="preserve"> </w:t>
      </w:r>
      <w:r w:rsidR="00B31470">
        <w:t>Consistent with</w:t>
      </w:r>
      <w:r w:rsidR="003D6C9E">
        <w:t xml:space="preserve"> the </w:t>
      </w:r>
      <w:r w:rsidR="00B31470">
        <w:t xml:space="preserve">Settlement Agreement and the GPSC’s Short Order Adopting Settlement Agreement, 40% (approximately $5.667 million) shall be applied to regulatory assets related to combustion coal residuals (“CCR”) asset retirement </w:t>
      </w:r>
      <w:r w:rsidR="00B31470">
        <w:lastRenderedPageBreak/>
        <w:t>obligations (“ARO”), 40% (approximately $5.667 million) shall be refunded to ratepayers and 20</w:t>
      </w:r>
      <w:r w:rsidR="00624F4B">
        <w:t>%</w:t>
      </w:r>
      <w:r w:rsidR="00B31470">
        <w:t xml:space="preserve"> (approximately $2.833 million) shall be retained by the Company.</w:t>
      </w:r>
      <w:r w:rsidR="0006003A">
        <w:t xml:space="preserve"> </w:t>
      </w:r>
    </w:p>
    <w:p w14:paraId="284D82E1" w14:textId="78F279D4" w:rsidR="007C284E" w:rsidRDefault="00624F4B" w:rsidP="00791D54">
      <w:pPr>
        <w:pStyle w:val="GaBody"/>
      </w:pPr>
      <w:r>
        <w:t>Similar to the ASR for the 12 months ended December 31, 2020</w:t>
      </w:r>
      <w:r w:rsidR="003A109A">
        <w:t>, the Company’s 202</w:t>
      </w:r>
      <w:r w:rsidR="00D60E3A">
        <w:t>1</w:t>
      </w:r>
      <w:r w:rsidR="003A109A">
        <w:t xml:space="preserve"> ASR filing omits making an adjustment to remove stock-based compensation expense that ha</w:t>
      </w:r>
      <w:r>
        <w:t>d</w:t>
      </w:r>
      <w:r w:rsidR="003A109A">
        <w:t xml:space="preserve"> been made in </w:t>
      </w:r>
      <w:r w:rsidR="001842A1">
        <w:t xml:space="preserve">previous </w:t>
      </w:r>
      <w:r w:rsidR="003A109A">
        <w:t xml:space="preserve">ASRs </w:t>
      </w:r>
      <w:r w:rsidR="00D60E3A">
        <w:t>until 2019</w:t>
      </w:r>
      <w:r w:rsidR="003A109A">
        <w:t>.  As discussed below, if an adjustment to remove stock-based compensation expense was made for 202</w:t>
      </w:r>
      <w:r w:rsidR="00D60E3A">
        <w:t>1</w:t>
      </w:r>
      <w:r w:rsidR="003A109A">
        <w:t>, the ASR results would be an equity return of 12.</w:t>
      </w:r>
      <w:r w:rsidR="003B2BC7">
        <w:t>29</w:t>
      </w:r>
      <w:r w:rsidR="003A109A">
        <w:t>%, which is above the top end of the earnings range</w:t>
      </w:r>
      <w:r w:rsidR="003B2BC7">
        <w:t xml:space="preserve"> and above the 12.09% reported by GPC in its 2021 ASR filing</w:t>
      </w:r>
      <w:r w:rsidR="0006003A">
        <w:t>.</w:t>
      </w:r>
      <w:r w:rsidR="001842A1">
        <w:t xml:space="preserve">  </w:t>
      </w:r>
      <w:r w:rsidR="00C81911">
        <w:t>If an adjustment to remove stock-based compensation expense was made for 2021</w:t>
      </w:r>
      <w:r w:rsidR="000909B8">
        <w:t xml:space="preserve"> on a retail jurisdictional basis</w:t>
      </w:r>
      <w:r w:rsidR="00C81911">
        <w:t>, the Company</w:t>
      </w:r>
      <w:r w:rsidR="001842A1">
        <w:t xml:space="preserve"> would have</w:t>
      </w:r>
      <w:r w:rsidR="00C81911">
        <w:t xml:space="preserve"> earnings of</w:t>
      </w:r>
      <w:r w:rsidR="00CC4DCD">
        <w:t xml:space="preserve"> </w:t>
      </w:r>
      <w:r w:rsidR="00C81911">
        <w:t xml:space="preserve">12.29% ROE, </w:t>
      </w:r>
      <w:r w:rsidR="001842A1">
        <w:t>and</w:t>
      </w:r>
      <w:r w:rsidR="00C81911">
        <w:t xml:space="preserve"> excess revenues of $</w:t>
      </w:r>
      <w:r w:rsidR="00F01EDF">
        <w:t>47.542</w:t>
      </w:r>
      <w:r w:rsidR="00C81911">
        <w:t xml:space="preserve"> million.  </w:t>
      </w:r>
      <w:r w:rsidR="001842A1">
        <w:t xml:space="preserve">Approximately </w:t>
      </w:r>
      <w:r w:rsidR="00C81911">
        <w:t>40%</w:t>
      </w:r>
      <w:r w:rsidR="001842A1">
        <w:t>, or</w:t>
      </w:r>
      <w:r w:rsidR="00C81911">
        <w:t xml:space="preserve"> $</w:t>
      </w:r>
      <w:r w:rsidR="00F01EDF">
        <w:t>19.017</w:t>
      </w:r>
      <w:r w:rsidR="00C81911">
        <w:t xml:space="preserve"> million would be applied to regulatory assets related to CCR ARO, 40% </w:t>
      </w:r>
      <w:r w:rsidR="001842A1">
        <w:t>or</w:t>
      </w:r>
      <w:r w:rsidR="00C81911">
        <w:t xml:space="preserve"> $</w:t>
      </w:r>
      <w:r w:rsidR="00F01EDF">
        <w:t>19.017</w:t>
      </w:r>
      <w:r w:rsidR="00C81911">
        <w:t xml:space="preserve"> million</w:t>
      </w:r>
      <w:r w:rsidR="001842A1">
        <w:t xml:space="preserve"> </w:t>
      </w:r>
      <w:r w:rsidR="00C81911">
        <w:t>would be refunded to ratepayers</w:t>
      </w:r>
      <w:r w:rsidR="001842A1">
        <w:t>,</w:t>
      </w:r>
      <w:r w:rsidR="00C81911">
        <w:t xml:space="preserve"> and 20%</w:t>
      </w:r>
      <w:r w:rsidR="001842A1">
        <w:t>, or</w:t>
      </w:r>
      <w:r w:rsidR="00C81911">
        <w:t xml:space="preserve"> $</w:t>
      </w:r>
      <w:r w:rsidR="00F01EDF">
        <w:t>9.508</w:t>
      </w:r>
      <w:r w:rsidR="00C81911">
        <w:t xml:space="preserve"> million would be retained by the Company.</w:t>
      </w:r>
      <w:r w:rsidR="001842A1">
        <w:t xml:space="preserve">  The refund to ratepayers would be $13.350 million more ($19.017 million vs. $5.667 million if the adjustment to remove stock-based compensation</w:t>
      </w:r>
      <w:r w:rsidR="003D4D4E">
        <w:t xml:space="preserve"> expense had continued to be made).</w:t>
      </w:r>
    </w:p>
    <w:p w14:paraId="40A2B147" w14:textId="77777777" w:rsidR="007C284E" w:rsidRDefault="0006003A" w:rsidP="007C284E">
      <w:pPr>
        <w:pStyle w:val="H1"/>
      </w:pPr>
      <w:r w:rsidRPr="00A4382D">
        <w:t>Scope of Review</w:t>
      </w:r>
      <w:r>
        <w:t xml:space="preserve"> and Recommendations</w:t>
      </w:r>
    </w:p>
    <w:p w14:paraId="3C77CBD5" w14:textId="38C82DAB" w:rsidR="007C284E" w:rsidRDefault="0006003A" w:rsidP="007C284E">
      <w:pPr>
        <w:pStyle w:val="GaBody"/>
      </w:pPr>
      <w:r>
        <w:t>The Staff conducted an extensive review of the Company’s 20</w:t>
      </w:r>
      <w:r w:rsidR="00B90224">
        <w:t>2</w:t>
      </w:r>
      <w:r w:rsidR="00BC3729">
        <w:t>1</w:t>
      </w:r>
      <w:r>
        <w:t xml:space="preserve"> ASR filing in order to:</w:t>
      </w:r>
    </w:p>
    <w:p w14:paraId="5AD37874" w14:textId="77777777" w:rsidR="007C284E" w:rsidRDefault="0006003A" w:rsidP="007C284E">
      <w:pPr>
        <w:pStyle w:val="ListParagraph"/>
        <w:numPr>
          <w:ilvl w:val="0"/>
          <w:numId w:val="1"/>
        </w:numPr>
        <w:spacing w:line="240" w:lineRule="auto"/>
        <w:ind w:right="0"/>
      </w:pPr>
      <w:r>
        <w:t>replicate and verify the Company’s return on equity calculation to ensure it placed within the Commission’s ordered ROE band,</w:t>
      </w:r>
    </w:p>
    <w:p w14:paraId="7DC0DE51" w14:textId="77777777" w:rsidR="007C284E" w:rsidRDefault="0006003A" w:rsidP="007C284E">
      <w:pPr>
        <w:pStyle w:val="ListParagraph"/>
        <w:numPr>
          <w:ilvl w:val="0"/>
          <w:numId w:val="1"/>
        </w:numPr>
        <w:spacing w:line="240" w:lineRule="auto"/>
        <w:ind w:right="0"/>
      </w:pPr>
      <w:r>
        <w:t>ensure that the Company’s regulatory adjustments were made in compliance with Commission orders, and</w:t>
      </w:r>
    </w:p>
    <w:p w14:paraId="6B1DC402" w14:textId="77777777" w:rsidR="007C284E" w:rsidRDefault="0006003A" w:rsidP="007C284E">
      <w:pPr>
        <w:pStyle w:val="ListParagraph"/>
        <w:numPr>
          <w:ilvl w:val="0"/>
          <w:numId w:val="1"/>
        </w:numPr>
        <w:spacing w:before="0" w:after="0" w:line="360" w:lineRule="auto"/>
        <w:ind w:right="0"/>
      </w:pPr>
      <w:r>
        <w:t>identify issues and/or adjustments to the Company’s filing as appropriate.</w:t>
      </w:r>
    </w:p>
    <w:p w14:paraId="6FF560DB" w14:textId="77777777" w:rsidR="007C284E" w:rsidRDefault="0006003A" w:rsidP="00791D54">
      <w:pPr>
        <w:pStyle w:val="GaBody"/>
      </w:pPr>
      <w:r>
        <w:lastRenderedPageBreak/>
        <w:t xml:space="preserve">Staff’s </w:t>
      </w:r>
      <w:r w:rsidRPr="00791D54">
        <w:t>review</w:t>
      </w:r>
      <w:r>
        <w:t xml:space="preserve"> implemented the following procedures, amongst others, to make its determination with respect to the Company’s reported Return on Equity:</w:t>
      </w:r>
    </w:p>
    <w:p w14:paraId="3391B38F" w14:textId="77777777" w:rsidR="007C284E" w:rsidRDefault="0006003A" w:rsidP="007C284E">
      <w:pPr>
        <w:pStyle w:val="ListParagraph"/>
        <w:numPr>
          <w:ilvl w:val="0"/>
          <w:numId w:val="1"/>
        </w:numPr>
        <w:spacing w:line="240" w:lineRule="auto"/>
        <w:ind w:right="0"/>
      </w:pPr>
      <w:r>
        <w:t>compared rate base and operating income components year over year</w:t>
      </w:r>
      <w:r w:rsidRPr="00531A81">
        <w:t>, identified changes in adopted accounting methodologies</w:t>
      </w:r>
      <w:r>
        <w:t>, and identified new transactions,</w:t>
      </w:r>
    </w:p>
    <w:p w14:paraId="77A2547B" w14:textId="77777777" w:rsidR="007C284E" w:rsidRDefault="0006003A" w:rsidP="007C284E">
      <w:pPr>
        <w:pStyle w:val="ListParagraph"/>
        <w:numPr>
          <w:ilvl w:val="0"/>
          <w:numId w:val="1"/>
        </w:numPr>
        <w:spacing w:line="240" w:lineRule="auto"/>
        <w:ind w:right="0"/>
      </w:pPr>
      <w:r>
        <w:t>identified variances as a foundation for discovery questions, and</w:t>
      </w:r>
    </w:p>
    <w:p w14:paraId="298FE33A" w14:textId="77777777" w:rsidR="007C284E" w:rsidRDefault="0006003A">
      <w:pPr>
        <w:pStyle w:val="ListParagraph"/>
        <w:numPr>
          <w:ilvl w:val="0"/>
          <w:numId w:val="1"/>
        </w:numPr>
        <w:spacing w:line="240" w:lineRule="auto"/>
        <w:ind w:right="0"/>
      </w:pPr>
      <w:r>
        <w:t>prepared multiple rounds of discovery questions and reviewed responses.</w:t>
      </w:r>
    </w:p>
    <w:p w14:paraId="29907A69" w14:textId="2347D2C7" w:rsidR="007C284E" w:rsidRPr="00464A21" w:rsidRDefault="0006003A" w:rsidP="00791D54">
      <w:pPr>
        <w:pStyle w:val="GaBody"/>
        <w:rPr>
          <w:u w:val="single"/>
        </w:rPr>
      </w:pPr>
      <w:r>
        <w:t>The Company's 20</w:t>
      </w:r>
      <w:r w:rsidR="00134A89">
        <w:t>2</w:t>
      </w:r>
      <w:r w:rsidR="00CC4DCD">
        <w:t>1</w:t>
      </w:r>
      <w:r>
        <w:t xml:space="preserve"> ASR </w:t>
      </w:r>
      <w:r w:rsidRPr="00791D54">
        <w:t>filing</w:t>
      </w:r>
      <w:r>
        <w:t xml:space="preserve">, at Section 5, Schedule 12, </w:t>
      </w:r>
      <w:r w:rsidR="00CC4DCD">
        <w:t>states that there were no</w:t>
      </w:r>
      <w:r>
        <w:t xml:space="preserve"> major accounting </w:t>
      </w:r>
      <w:r w:rsidR="00CC4DCD">
        <w:t>or</w:t>
      </w:r>
      <w:r>
        <w:t xml:space="preserve"> tax change</w:t>
      </w:r>
      <w:r w:rsidR="00CC4DCD">
        <w:t>s during 2021.</w:t>
      </w:r>
    </w:p>
    <w:p w14:paraId="20956CE5" w14:textId="4F7CA014" w:rsidR="00134A89" w:rsidRDefault="008A4F80">
      <w:pPr>
        <w:pStyle w:val="H1"/>
      </w:pPr>
      <w:r>
        <w:t>Stock-Based Compensation</w:t>
      </w:r>
    </w:p>
    <w:p w14:paraId="1F7D0CA3" w14:textId="054C2C45" w:rsidR="00E01897" w:rsidRDefault="00464A21" w:rsidP="00791D54">
      <w:pPr>
        <w:pStyle w:val="GaBody"/>
      </w:pPr>
      <w:r>
        <w:t>T</w:t>
      </w:r>
      <w:r w:rsidR="00E01897">
        <w:t>he Commission</w:t>
      </w:r>
      <w:r>
        <w:t xml:space="preserve"> had previously</w:t>
      </w:r>
      <w:r w:rsidR="00E01897">
        <w:t xml:space="preserve"> adopted </w:t>
      </w:r>
      <w:r>
        <w:t>a</w:t>
      </w:r>
      <w:r w:rsidR="00E01897">
        <w:t xml:space="preserve"> </w:t>
      </w:r>
      <w:r w:rsidR="00E01897" w:rsidRPr="00791D54">
        <w:t>Settlement</w:t>
      </w:r>
      <w:r w:rsidR="00E01897">
        <w:t xml:space="preserve"> Agreement in its Order dated December 23, 2013 in Docket No. 36989.  In the Findings of Fact section of th</w:t>
      </w:r>
      <w:r>
        <w:t xml:space="preserve">at </w:t>
      </w:r>
      <w:r w:rsidR="00E01897">
        <w:t>Order</w:t>
      </w:r>
      <w:r>
        <w:t xml:space="preserve">, </w:t>
      </w:r>
      <w:r w:rsidR="00E01897">
        <w:t>the Commission identified adjustments that had been recommended by Staff in GPC's 2013 rate case and included as provisions of the Settlement Agreement.  One of these adjustments related to</w:t>
      </w:r>
      <w:r w:rsidR="00020540">
        <w:t xml:space="preserve"> the removal of</w:t>
      </w:r>
      <w:r w:rsidR="00E01897">
        <w:t xml:space="preserve"> stock-based compensation</w:t>
      </w:r>
      <w:r>
        <w:t xml:space="preserve"> expense</w:t>
      </w:r>
      <w:r w:rsidR="00E01897">
        <w:t>.  The Commission directed that th</w:t>
      </w:r>
      <w:r w:rsidR="00E27755">
        <w:t xml:space="preserve">is </w:t>
      </w:r>
      <w:r w:rsidR="00E01897">
        <w:t xml:space="preserve">adjustment be reflected in the Company's next ASR filing.  Specifically, on page 9 of the </w:t>
      </w:r>
      <w:r w:rsidR="00476472">
        <w:t>its</w:t>
      </w:r>
      <w:r w:rsidR="00E01897">
        <w:t xml:space="preserve"> Order</w:t>
      </w:r>
      <w:r w:rsidR="00476472">
        <w:t xml:space="preserve"> adopting the Settlement in Docket No. 36989</w:t>
      </w:r>
      <w:r w:rsidR="00E01897">
        <w:t>, the Commission stated:</w:t>
      </w:r>
    </w:p>
    <w:p w14:paraId="33624411" w14:textId="386D8CBB" w:rsidR="00E01897" w:rsidRDefault="00E01897" w:rsidP="00E01897">
      <w:pPr>
        <w:pStyle w:val="Quote"/>
      </w:pPr>
      <w:r>
        <w:t>Paragraphs 2 and 3 of the Settlement Agreement describe and provide that the Annual Surveillance Report ("ASR") will be filed by the Company by March 15 of the year following the reporting year.  The Commission finds that the adjustments to the Company's initial filing agreed to in the Settlement Agreement, itemized in Exhibit A to the Settlement Agreement and further described above, shall be applied for ASR filing purposes for each year of the ARP.  Specifically, to be included in the ASR are the Stock Based Compensation adjustment (line 11)</w:t>
      </w:r>
      <w:r w:rsidR="00E27755">
        <w:t>…</w:t>
      </w:r>
      <w:r>
        <w:t>The Stock Based Compensation adjustment would be reported as the actualized amount</w:t>
      </w:r>
      <w:r w:rsidR="00E27755">
        <w:t>..</w:t>
      </w:r>
      <w:r>
        <w:t>.</w:t>
      </w:r>
    </w:p>
    <w:p w14:paraId="76285C96" w14:textId="54A73B06" w:rsidR="00464A21" w:rsidRDefault="00E01897" w:rsidP="00791D54">
      <w:pPr>
        <w:pStyle w:val="GaBody"/>
      </w:pPr>
      <w:r>
        <w:lastRenderedPageBreak/>
        <w:t>GPC had reflected th</w:t>
      </w:r>
      <w:r w:rsidR="00E27755">
        <w:t>e</w:t>
      </w:r>
      <w:r>
        <w:t xml:space="preserve"> adjustment</w:t>
      </w:r>
      <w:r w:rsidR="00E27755">
        <w:t xml:space="preserve"> to remove stock-based compensation</w:t>
      </w:r>
      <w:r>
        <w:t xml:space="preserve"> in its previous ASR filings </w:t>
      </w:r>
      <w:r w:rsidR="00CC4DCD">
        <w:t>through 2019</w:t>
      </w:r>
      <w:r w:rsidR="00CC4DCD">
        <w:rPr>
          <w:rStyle w:val="FootnoteReference"/>
        </w:rPr>
        <w:footnoteReference w:id="1"/>
      </w:r>
      <w:r w:rsidR="00CC4DCD">
        <w:t xml:space="preserve"> </w:t>
      </w:r>
      <w:r>
        <w:t xml:space="preserve">in accordance with the Commission's Order.  </w:t>
      </w:r>
    </w:p>
    <w:p w14:paraId="1367CCA7" w14:textId="43A48A85" w:rsidR="00E01897" w:rsidRDefault="00020540" w:rsidP="00791D54">
      <w:pPr>
        <w:pStyle w:val="GaBody"/>
      </w:pPr>
      <w:r>
        <w:t>T</w:t>
      </w:r>
      <w:r w:rsidR="00E27755">
        <w:t xml:space="preserve">he </w:t>
      </w:r>
      <w:r w:rsidR="00E27755" w:rsidRPr="00791D54">
        <w:t>Company’s</w:t>
      </w:r>
      <w:r w:rsidR="00E27755">
        <w:t xml:space="preserve"> 202</w:t>
      </w:r>
      <w:r w:rsidR="00CC4DCD">
        <w:t>1</w:t>
      </w:r>
      <w:r w:rsidR="00E27755">
        <w:t xml:space="preserve"> ASR filing, did </w:t>
      </w:r>
      <w:r w:rsidR="00E27755" w:rsidRPr="00464A21">
        <w:rPr>
          <w:u w:val="single"/>
        </w:rPr>
        <w:t>not</w:t>
      </w:r>
      <w:r w:rsidR="00E27755">
        <w:t xml:space="preserve"> include an adjustment to remove stock-based compensation expense</w:t>
      </w:r>
      <w:r>
        <w:t xml:space="preserve">, </w:t>
      </w:r>
      <w:r w:rsidR="007C284E">
        <w:t xml:space="preserve">as it had done over the past several years in accordance with the Commission’s Order in Docket No. 36989.  In response to </w:t>
      </w:r>
      <w:r w:rsidR="00464A21">
        <w:t>STF-ASR-</w:t>
      </w:r>
      <w:r w:rsidR="00CC4DCD">
        <w:t>6</w:t>
      </w:r>
      <w:r w:rsidR="00464A21">
        <w:t>-2</w:t>
      </w:r>
      <w:r w:rsidR="00CC4DCD">
        <w:t>9</w:t>
      </w:r>
      <w:r w:rsidR="00464A21">
        <w:t>,</w:t>
      </w:r>
      <w:r w:rsidR="007C284E">
        <w:t xml:space="preserve"> as to why stock-based compensation costs were </w:t>
      </w:r>
      <w:r w:rsidR="007C284E" w:rsidRPr="00464A21">
        <w:rPr>
          <w:u w:val="single"/>
        </w:rPr>
        <w:t>not</w:t>
      </w:r>
      <w:r w:rsidR="007C284E">
        <w:t xml:space="preserve"> removed from the 202</w:t>
      </w:r>
      <w:r w:rsidR="00CC4DCD">
        <w:t>1</w:t>
      </w:r>
      <w:r w:rsidR="007C284E">
        <w:t xml:space="preserve"> ASR filing, the Company stated:</w:t>
      </w:r>
    </w:p>
    <w:p w14:paraId="62C2ADFE" w14:textId="1541BE23" w:rsidR="007C284E" w:rsidRDefault="007C284E" w:rsidP="00752919">
      <w:pPr>
        <w:pStyle w:val="GaBody"/>
        <w:spacing w:before="0" w:after="0" w:line="240" w:lineRule="auto"/>
        <w:ind w:left="720" w:right="720"/>
      </w:pPr>
      <w:r>
        <w:t xml:space="preserve">The 2019 base rate case settlement in Docket No. 42516 approved by the Commission provided for the inclusion of stock-based compensation </w:t>
      </w:r>
      <w:r w:rsidR="000909B8">
        <w:t>within</w:t>
      </w:r>
      <w:r>
        <w:t xml:space="preserve"> retail cost of service under the 3-year alternate plan.  Specifically, paragraph 33 in the Commission’s Order adopting the Stipulation states, “…PIA Staff’s recommendation to remove the stock compensation plan from rate base is denied.”  The Commission also found that “the Proposed Agreement</w:t>
      </w:r>
      <w:r w:rsidR="00752919">
        <w:t xml:space="preserve"> does not include this adjustment and the Commission finds that the Settlement Agreement as Modified is reasonable as a whole.”  Consequently, the revenue requirement approved in the settlement reflected full recovery of stock-based compensation expenses.</w:t>
      </w:r>
    </w:p>
    <w:p w14:paraId="0A82E53B" w14:textId="77777777" w:rsidR="00996B18" w:rsidRDefault="00996B18" w:rsidP="00C0538C">
      <w:pPr>
        <w:pStyle w:val="GaBody"/>
        <w:spacing w:before="0" w:after="0"/>
      </w:pPr>
    </w:p>
    <w:p w14:paraId="1496D8FD" w14:textId="2E0E9A76" w:rsidR="00656C24" w:rsidRDefault="00656C24" w:rsidP="00791D54">
      <w:pPr>
        <w:pStyle w:val="GaBody"/>
      </w:pPr>
      <w:r>
        <w:t xml:space="preserve">It should be noted that the PIA </w:t>
      </w:r>
      <w:r w:rsidRPr="00791D54">
        <w:t>Staff</w:t>
      </w:r>
      <w:r>
        <w:t xml:space="preserve"> was not a party to the Company’s 2019 rate case settlement.  </w:t>
      </w:r>
      <w:r w:rsidR="00F3758F">
        <w:t xml:space="preserve">In the 2019 Rate case it was </w:t>
      </w:r>
      <w:r w:rsidR="00F3758F" w:rsidRPr="00E24233">
        <w:rPr>
          <w:rFonts w:eastAsia="Times New Roman"/>
          <w:szCs w:val="20"/>
        </w:rPr>
        <w:t>PIA Staff</w:t>
      </w:r>
      <w:r w:rsidR="00F3758F">
        <w:rPr>
          <w:rFonts w:eastAsia="Times New Roman"/>
          <w:szCs w:val="20"/>
        </w:rPr>
        <w:t xml:space="preserve">’s position </w:t>
      </w:r>
      <w:r w:rsidR="00F3758F" w:rsidRPr="00E24233">
        <w:rPr>
          <w:rFonts w:eastAsia="Times New Roman"/>
          <w:szCs w:val="20"/>
        </w:rPr>
        <w:t xml:space="preserve">that the Company incurs the costs of these incentive compensation programs in an effort to improve the Southern Company financial performance for the benefit of shareholders, not for the benefit of ratepayers.  </w:t>
      </w:r>
      <w:r w:rsidR="00F3758F">
        <w:rPr>
          <w:rFonts w:eastAsia="Times New Roman"/>
          <w:szCs w:val="20"/>
        </w:rPr>
        <w:t>Conversely, it was t</w:t>
      </w:r>
      <w:r w:rsidR="00F3758F" w:rsidRPr="00E24233">
        <w:rPr>
          <w:rFonts w:eastAsia="Times New Roman"/>
          <w:szCs w:val="20"/>
        </w:rPr>
        <w:t>he Company</w:t>
      </w:r>
      <w:r w:rsidR="00F3758F">
        <w:rPr>
          <w:rFonts w:eastAsia="Times New Roman"/>
          <w:szCs w:val="20"/>
        </w:rPr>
        <w:t xml:space="preserve">’s position </w:t>
      </w:r>
      <w:r w:rsidR="00F3758F" w:rsidRPr="00E24233">
        <w:rPr>
          <w:rFonts w:eastAsia="Times New Roman"/>
          <w:szCs w:val="20"/>
        </w:rPr>
        <w:t xml:space="preserve">that the total compensation plan, including stock-based at-risk compensation is market competitive and appropriately balances operational with financial focus for both short-term and longer term to drive employee behavior in ways that balance the interests of customers and shareholders alike. </w:t>
      </w:r>
      <w:r w:rsidR="00FC6FB2">
        <w:t>As a result of the settlement agreement that did not include Staff as a representative of general ratepayer interests, r</w:t>
      </w:r>
      <w:r>
        <w:t xml:space="preserve">atepayers are now </w:t>
      </w:r>
      <w:r w:rsidR="00FC6FB2">
        <w:t xml:space="preserve">are currently bearing the </w:t>
      </w:r>
      <w:r w:rsidR="00FC6FB2">
        <w:lastRenderedPageBreak/>
        <w:t>cost associated with</w:t>
      </w:r>
      <w:r>
        <w:t xml:space="preserve"> stock-based compensation expense, which had previously been borne by shareholders.</w:t>
      </w:r>
    </w:p>
    <w:p w14:paraId="081B9F89" w14:textId="45C00328" w:rsidR="00D7671F" w:rsidRDefault="00996B18" w:rsidP="00791D54">
      <w:pPr>
        <w:pStyle w:val="GaBody"/>
      </w:pPr>
      <w:r>
        <w:t xml:space="preserve">With </w:t>
      </w:r>
      <w:r w:rsidRPr="00791D54">
        <w:t>regard</w:t>
      </w:r>
      <w:r w:rsidR="00C0538C">
        <w:t xml:space="preserve"> to </w:t>
      </w:r>
      <w:r w:rsidR="00C0538C" w:rsidRPr="00791D54">
        <w:t>PIA</w:t>
      </w:r>
      <w:r w:rsidR="00C0538C">
        <w:t xml:space="preserve"> Staff’s recommendation to remove the costs of stock-based compensation from retail cost of service in GPC’s recent rate case in Docket No. 42516, in its post-hearing brief, PIA Staff stated that the Company incurs the costs of stock-based compensation in an effort to improve Southern Company’s financial performance for the benefit of shareholders rather than for the benefit of ratepayers.  Specifically, PIA Staff stated:</w:t>
      </w:r>
    </w:p>
    <w:p w14:paraId="673F11AF" w14:textId="1CF89F7C" w:rsidR="00C0538C" w:rsidRDefault="00C0538C" w:rsidP="00C0538C">
      <w:pPr>
        <w:pStyle w:val="GaBody"/>
        <w:spacing w:before="0" w:after="0" w:line="240" w:lineRule="auto"/>
        <w:ind w:left="720" w:right="720"/>
      </w:pPr>
      <w:r>
        <w:t>For instance, the purpose of these incentives is not to improve customer service or meet other regulated utility service requirements.  To the contrary, the objectives of maximizing shareholder value on the one hand and minimizing costs to ratepayers on the other hand, are generally opposed to each other.  And the fact that maximizing shareholder value frequently does not serve the ratepayer interest of lower rates for the service shows the fatal flaw in the argument that these financial incentives should be seen as merely part of a compensation package, and as such, should be recovered from ratepayers.</w:t>
      </w:r>
    </w:p>
    <w:p w14:paraId="137D2238" w14:textId="77777777" w:rsidR="00C0538C" w:rsidRDefault="00C0538C" w:rsidP="00015D3C">
      <w:pPr>
        <w:pStyle w:val="GaBody"/>
        <w:spacing w:before="0" w:after="0"/>
      </w:pPr>
    </w:p>
    <w:p w14:paraId="65ACB31B" w14:textId="379B571A" w:rsidR="00334BF5" w:rsidRDefault="00766CDD" w:rsidP="00B257E3">
      <w:pPr>
        <w:pStyle w:val="GaBody"/>
      </w:pPr>
      <w:r>
        <w:t xml:space="preserve">It is Staff’s </w:t>
      </w:r>
      <w:r w:rsidR="00515DE8">
        <w:t xml:space="preserve">position </w:t>
      </w:r>
      <w:r>
        <w:t>that</w:t>
      </w:r>
      <w:r w:rsidR="00FC6FB2">
        <w:t>,</w:t>
      </w:r>
      <w:r>
        <w:t xml:space="preserve"> </w:t>
      </w:r>
      <w:r w:rsidR="00FC6FB2">
        <w:t>a</w:t>
      </w:r>
      <w:r w:rsidR="00B257E3">
        <w:t>s a regulatory principle,</w:t>
      </w:r>
      <w:r w:rsidR="00996B18">
        <w:t xml:space="preserve"> </w:t>
      </w:r>
      <w:r w:rsidR="00996B18" w:rsidRPr="00791D54">
        <w:t>ratepayers</w:t>
      </w:r>
      <w:r w:rsidR="00996B18">
        <w:t xml:space="preserve"> should not be required to pay executive or management compensation that is based on the performance of Southern Company’s stock price, or which has the primary purpose of benefitting shareholders and/or to align the interests of participants in the stock-based compensation plans with those of such shareholders.  </w:t>
      </w:r>
      <w:r w:rsidR="005E0CCA">
        <w:t>It is Staff’s position that f</w:t>
      </w:r>
      <w:r w:rsidR="00996B18">
        <w:t xml:space="preserve">or utility ratemaking purposes, the concept that stock-based compensation should be borne by shareholders, and not charged to utility ratepayers, </w:t>
      </w:r>
      <w:r w:rsidR="00E24B7E">
        <w:t>ha</w:t>
      </w:r>
      <w:r w:rsidR="00E76845">
        <w:t>d</w:t>
      </w:r>
      <w:r w:rsidR="00E24B7E">
        <w:t xml:space="preserve"> been applied in</w:t>
      </w:r>
      <w:r w:rsidR="00E76845">
        <w:t xml:space="preserve"> prior</w:t>
      </w:r>
      <w:r w:rsidR="00E24B7E">
        <w:t xml:space="preserve"> GPC ASR filings </w:t>
      </w:r>
      <w:r w:rsidR="00E76845">
        <w:t>until 2019, and was a</w:t>
      </w:r>
      <w:r w:rsidR="00FC6FB2">
        <w:t>n</w:t>
      </w:r>
      <w:r w:rsidR="005E0CCA">
        <w:t xml:space="preserve"> </w:t>
      </w:r>
      <w:r w:rsidR="00E76845">
        <w:t>adjustment in all of the applicable GPC rate case settlements during that period to which the PIA Staff was a party.</w:t>
      </w:r>
      <w:r w:rsidR="00B257E3">
        <w:t xml:space="preserve">  The</w:t>
      </w:r>
      <w:r w:rsidR="00476472">
        <w:t xml:space="preserve"> Company had reflected </w:t>
      </w:r>
      <w:r w:rsidR="00B257E3">
        <w:t>an</w:t>
      </w:r>
      <w:r w:rsidR="00476472">
        <w:t xml:space="preserve"> adjustment to remove stock-based compensation </w:t>
      </w:r>
      <w:r w:rsidR="00E24B7E">
        <w:t xml:space="preserve">expense </w:t>
      </w:r>
      <w:r w:rsidR="00476472">
        <w:t>in its previous ASR filings</w:t>
      </w:r>
      <w:r w:rsidR="00996B18">
        <w:t xml:space="preserve"> going back to 2014</w:t>
      </w:r>
      <w:r w:rsidR="00476472">
        <w:t xml:space="preserve"> in accordance with the Commission's Order from Docket No. 36989. </w:t>
      </w:r>
      <w:r w:rsidR="00495E11">
        <w:tab/>
      </w:r>
    </w:p>
    <w:p w14:paraId="5AEA0CC3" w14:textId="068CA331" w:rsidR="00996B18" w:rsidRDefault="00A2579E" w:rsidP="00B257E3">
      <w:pPr>
        <w:pStyle w:val="GaBody"/>
      </w:pPr>
      <w:r>
        <w:lastRenderedPageBreak/>
        <w:tab/>
      </w:r>
      <w:r w:rsidR="00477685">
        <w:t xml:space="preserve">Staff understands the Company’s position to be that previous Commission-approved agreements to remove stock-based compensation should not be used to imply that the Company supports the exclusion as a matter of principle. </w:t>
      </w:r>
    </w:p>
    <w:p w14:paraId="12CCC9EB" w14:textId="7A5D5625" w:rsidR="00996B18" w:rsidRDefault="001C46BD" w:rsidP="00B257E3">
      <w:pPr>
        <w:pStyle w:val="GaBody"/>
      </w:pPr>
      <w:r>
        <w:t xml:space="preserve">With regard to the </w:t>
      </w:r>
      <w:r w:rsidRPr="00B257E3">
        <w:t>202</w:t>
      </w:r>
      <w:r w:rsidR="0098543B" w:rsidRPr="00B257E3">
        <w:t>1</w:t>
      </w:r>
      <w:r>
        <w:t xml:space="preserve"> </w:t>
      </w:r>
      <w:r w:rsidRPr="00791D54">
        <w:t>ASR</w:t>
      </w:r>
      <w:r>
        <w:t>, w</w:t>
      </w:r>
      <w:r w:rsidR="00996B18">
        <w:t>e requested that the Company provide a breakout of the components of stock-based compensation included in</w:t>
      </w:r>
      <w:r>
        <w:t xml:space="preserve"> </w:t>
      </w:r>
      <w:r w:rsidR="00996B18">
        <w:t xml:space="preserve">retail operating income as well as the related ADIT in retail rate base.  </w:t>
      </w:r>
      <w:r>
        <w:t>I</w:t>
      </w:r>
      <w:r w:rsidR="00996B18">
        <w:t>n its response to STF-ASR-</w:t>
      </w:r>
      <w:r w:rsidR="0098543B">
        <w:t>6</w:t>
      </w:r>
      <w:r w:rsidR="00996B18">
        <w:t>-2</w:t>
      </w:r>
      <w:r w:rsidR="0098543B">
        <w:t>9</w:t>
      </w:r>
      <w:r w:rsidR="00996B18">
        <w:t xml:space="preserve">, </w:t>
      </w:r>
      <w:r w:rsidR="00475E7E">
        <w:t>the Company provided the following breakout of 2021 stock-based compensation</w:t>
      </w:r>
      <w:r w:rsidR="00996B18">
        <w:t>:</w:t>
      </w:r>
    </w:p>
    <w:p w14:paraId="5E76F064" w14:textId="114C9C1F" w:rsidR="00996B18" w:rsidRDefault="00996B18" w:rsidP="00996B18">
      <w:pPr>
        <w:pStyle w:val="GaBody"/>
        <w:spacing w:before="0" w:after="0"/>
        <w:ind w:firstLine="720"/>
      </w:pPr>
      <w:r>
        <w:tab/>
      </w:r>
      <w:r>
        <w:tab/>
      </w:r>
      <w:r w:rsidR="004C7051" w:rsidRPr="004C7051">
        <w:rPr>
          <w:noProof/>
        </w:rPr>
        <w:drawing>
          <wp:inline distT="0" distB="0" distL="0" distR="0" wp14:anchorId="2E87B542" wp14:editId="19DEBEDB">
            <wp:extent cx="2863850" cy="40544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3850" cy="4054475"/>
                    </a:xfrm>
                    <a:prstGeom prst="rect">
                      <a:avLst/>
                    </a:prstGeom>
                    <a:noFill/>
                    <a:ln>
                      <a:noFill/>
                    </a:ln>
                  </pic:spPr>
                </pic:pic>
              </a:graphicData>
            </a:graphic>
          </wp:inline>
        </w:drawing>
      </w:r>
    </w:p>
    <w:p w14:paraId="080DCBB6" w14:textId="042FFF57" w:rsidR="008C4EB1" w:rsidRDefault="00996B18" w:rsidP="00B257E3">
      <w:pPr>
        <w:pStyle w:val="GaBody"/>
      </w:pPr>
      <w:r>
        <w:t>As shown in the table above, the Company’s 202</w:t>
      </w:r>
      <w:r w:rsidR="004C7051">
        <w:t>1</w:t>
      </w:r>
      <w:r>
        <w:t xml:space="preserve"> ASR filing includes a debit amount of ADIT in FERC Account 190 in rate base totaling $1.</w:t>
      </w:r>
      <w:r w:rsidR="004C7051">
        <w:t>834</w:t>
      </w:r>
      <w:r>
        <w:t xml:space="preserve"> million.  In addition, the 202</w:t>
      </w:r>
      <w:r w:rsidR="004C7051">
        <w:t>1</w:t>
      </w:r>
      <w:r>
        <w:t xml:space="preserve"> ASR retail operating </w:t>
      </w:r>
      <w:r>
        <w:lastRenderedPageBreak/>
        <w:t>income includes</w:t>
      </w:r>
      <w:r w:rsidR="00E24B7E">
        <w:t xml:space="preserve"> pre-tax</w:t>
      </w:r>
      <w:r>
        <w:t xml:space="preserve"> stock-based compensation</w:t>
      </w:r>
      <w:r w:rsidR="00E24B7E">
        <w:t xml:space="preserve"> expense</w:t>
      </w:r>
      <w:r>
        <w:t xml:space="preserve"> totaling $</w:t>
      </w:r>
      <w:r w:rsidR="004C7051">
        <w:t>33.425</w:t>
      </w:r>
      <w:r>
        <w:t xml:space="preserve"> million and the related income taxes totaled $</w:t>
      </w:r>
      <w:r w:rsidR="004C7051">
        <w:t>8</w:t>
      </w:r>
      <w:r>
        <w:t>.</w:t>
      </w:r>
      <w:r w:rsidR="004C7051">
        <w:t>455</w:t>
      </w:r>
      <w:r>
        <w:t xml:space="preserve"> million.</w:t>
      </w:r>
      <w:r w:rsidR="00476472">
        <w:t xml:space="preserve"> </w:t>
      </w:r>
    </w:p>
    <w:p w14:paraId="0B8807F2" w14:textId="67535698" w:rsidR="009C5B2F" w:rsidRDefault="009C5B2F" w:rsidP="009C5B2F">
      <w:pPr>
        <w:pStyle w:val="H1"/>
      </w:pPr>
      <w:r>
        <w:t xml:space="preserve">Recommendation  </w:t>
      </w:r>
    </w:p>
    <w:p w14:paraId="19A83CDA" w14:textId="77777777" w:rsidR="001217BA" w:rsidRDefault="009C5B2F" w:rsidP="001217BA">
      <w:pPr>
        <w:pStyle w:val="GaBody"/>
      </w:pPr>
      <w:r>
        <w:t xml:space="preserve">Staff is </w:t>
      </w:r>
      <w:r w:rsidRPr="001217BA">
        <w:t>not</w:t>
      </w:r>
      <w:r>
        <w:t xml:space="preserve"> proposing an adjustment to remove the costs associated with stock-based compensation from the 202</w:t>
      </w:r>
      <w:r w:rsidR="004C7051">
        <w:t>1</w:t>
      </w:r>
      <w:r>
        <w:t xml:space="preserve"> ASR filing</w:t>
      </w:r>
      <w:r w:rsidR="00E24B7E">
        <w:t xml:space="preserve">, since stock-based compensation was not removed in the </w:t>
      </w:r>
      <w:r w:rsidR="00E76845">
        <w:t xml:space="preserve">Company’s last </w:t>
      </w:r>
      <w:r w:rsidR="00E24B7E">
        <w:t>rate case settlement in which Staff was not a signatory, but which was approved by the Commission</w:t>
      </w:r>
      <w:r>
        <w:t xml:space="preserve">.  However, </w:t>
      </w:r>
      <w:r w:rsidR="000A6CC2">
        <w:t>for</w:t>
      </w:r>
      <w:r w:rsidR="00E24B7E">
        <w:t xml:space="preserve"> </w:t>
      </w:r>
      <w:r w:rsidR="00E76845">
        <w:t>informational purposes</w:t>
      </w:r>
      <w:r w:rsidR="000A6CC2">
        <w:t>, Staff calculated what the impact would be if the components of stock-based compensation shown in the table above were removed from the 202</w:t>
      </w:r>
      <w:r w:rsidR="004C7051">
        <w:t>1</w:t>
      </w:r>
      <w:r w:rsidR="000A6CC2">
        <w:t xml:space="preserve"> ASR retail rate base and retail operating income.  Specifically, removing stock-based compensation from the 202</w:t>
      </w:r>
      <w:r w:rsidR="004C7051">
        <w:t>1</w:t>
      </w:r>
      <w:r w:rsidR="000A6CC2">
        <w:t xml:space="preserve"> ASR would increase the Company’s Return on Investment – Retail from </w:t>
      </w:r>
      <w:r w:rsidR="00021694">
        <w:t>8.</w:t>
      </w:r>
      <w:r w:rsidR="004C7051">
        <w:t>32</w:t>
      </w:r>
      <w:r w:rsidR="000A6CC2" w:rsidRPr="00021694">
        <w:t>%</w:t>
      </w:r>
      <w:r w:rsidR="000A6CC2">
        <w:t xml:space="preserve"> to 8.</w:t>
      </w:r>
      <w:r w:rsidR="004C7051">
        <w:t>44</w:t>
      </w:r>
      <w:r w:rsidR="000A6CC2">
        <w:t>%.  This in turn would increase GPC’s reported</w:t>
      </w:r>
      <w:r w:rsidR="00B42AEA">
        <w:t xml:space="preserve"> 202</w:t>
      </w:r>
      <w:r w:rsidR="004C7051">
        <w:t>1</w:t>
      </w:r>
      <w:r w:rsidR="00B42AEA">
        <w:t xml:space="preserve"> ASR retail</w:t>
      </w:r>
      <w:r w:rsidR="000A6CC2">
        <w:t xml:space="preserve"> ROE of 1</w:t>
      </w:r>
      <w:r w:rsidR="004C7051">
        <w:t>2.09</w:t>
      </w:r>
      <w:r w:rsidR="000A6CC2">
        <w:t>% to 12.</w:t>
      </w:r>
      <w:r w:rsidR="004C7051">
        <w:t>29</w:t>
      </w:r>
      <w:r w:rsidR="000A6CC2">
        <w:t xml:space="preserve">%, which would </w:t>
      </w:r>
      <w:r w:rsidR="00246E8C">
        <w:t>increase</w:t>
      </w:r>
      <w:r w:rsidR="000A6CC2">
        <w:t xml:space="preserve"> the Company </w:t>
      </w:r>
      <w:r w:rsidR="00B42AEA">
        <w:t xml:space="preserve">excess </w:t>
      </w:r>
      <w:r w:rsidR="000A6CC2">
        <w:t>earnings</w:t>
      </w:r>
      <w:r w:rsidR="00E76845">
        <w:t xml:space="preserve"> above </w:t>
      </w:r>
      <w:r w:rsidR="000A6CC2">
        <w:t>12.00%</w:t>
      </w:r>
      <w:r w:rsidR="00B42AEA">
        <w:t xml:space="preserve"> for the 12 months ended December 31, 202</w:t>
      </w:r>
      <w:r w:rsidR="00246E8C">
        <w:t>1</w:t>
      </w:r>
      <w:r w:rsidR="00E76845">
        <w:t xml:space="preserve">, and would result in surplus revenues for sharing of $47.542 million, and would result in additional </w:t>
      </w:r>
      <w:r w:rsidR="00B42AEA">
        <w:t xml:space="preserve">sharing specified in the Commission’s Order Adopting Settlement in Docket No. 42516.  </w:t>
      </w:r>
    </w:p>
    <w:p w14:paraId="5A43F73A" w14:textId="5C5D5276" w:rsidR="00A111B2" w:rsidRDefault="00B42AEA" w:rsidP="001217BA">
      <w:pPr>
        <w:pStyle w:val="GaBody"/>
      </w:pPr>
      <w:r>
        <w:t>As noted above, such sharing would include (1) 40% being applied to</w:t>
      </w:r>
      <w:r w:rsidR="00246E8C">
        <w:t xml:space="preserve"> the CCR ARO</w:t>
      </w:r>
      <w:r>
        <w:t xml:space="preserve"> regulatory assets, (2) 40% being refunded to ratepayers, and (3) the remaining 20% being retained by the Company.  </w:t>
      </w:r>
      <w:r w:rsidR="00A111B2">
        <w:t>The impact of the sharing specified above is shown in following table:</w:t>
      </w:r>
    </w:p>
    <w:p w14:paraId="21105A10" w14:textId="082FE2C0" w:rsidR="00A111B2" w:rsidRDefault="00A111B2" w:rsidP="00CF7452">
      <w:pPr>
        <w:pStyle w:val="GaBody"/>
      </w:pPr>
      <w:r>
        <w:lastRenderedPageBreak/>
        <w:tab/>
      </w:r>
      <w:r w:rsidR="0023295B" w:rsidRPr="0023295B">
        <w:rPr>
          <w:noProof/>
        </w:rPr>
        <w:drawing>
          <wp:inline distT="0" distB="0" distL="0" distR="0" wp14:anchorId="7BBFDC92" wp14:editId="183D714A">
            <wp:extent cx="5296535" cy="30105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6535" cy="3010535"/>
                    </a:xfrm>
                    <a:prstGeom prst="rect">
                      <a:avLst/>
                    </a:prstGeom>
                    <a:noFill/>
                    <a:ln>
                      <a:noFill/>
                    </a:ln>
                  </pic:spPr>
                </pic:pic>
              </a:graphicData>
            </a:graphic>
          </wp:inline>
        </w:drawing>
      </w:r>
    </w:p>
    <w:p w14:paraId="2BB3E4AE" w14:textId="03315389" w:rsidR="00F05860" w:rsidRDefault="00A111B2" w:rsidP="001217BA">
      <w:pPr>
        <w:pStyle w:val="GaBody"/>
      </w:pPr>
      <w:r>
        <w:t xml:space="preserve">As shown above, the impact of removing the </w:t>
      </w:r>
      <w:r w:rsidRPr="001217BA">
        <w:t>cost</w:t>
      </w:r>
      <w:r w:rsidR="006A177F" w:rsidRPr="001217BA">
        <w:t>s</w:t>
      </w:r>
      <w:r>
        <w:t xml:space="preserve"> associated with stock-based compensation from the 202</w:t>
      </w:r>
      <w:r w:rsidR="0023295B">
        <w:t>1</w:t>
      </w:r>
      <w:r>
        <w:t xml:space="preserve"> ASR</w:t>
      </w:r>
      <w:r w:rsidR="006A177F">
        <w:t xml:space="preserve"> </w:t>
      </w:r>
      <w:r w:rsidR="001217BA">
        <w:t>(</w:t>
      </w:r>
      <w:r w:rsidR="006A177F">
        <w:t>thus increasing the retail ROE to 12.</w:t>
      </w:r>
      <w:r w:rsidR="0023295B">
        <w:t>29</w:t>
      </w:r>
      <w:r w:rsidR="006A177F">
        <w:t>%</w:t>
      </w:r>
      <w:r w:rsidR="001217BA">
        <w:t>)</w:t>
      </w:r>
      <w:r>
        <w:t xml:space="preserve"> would result in a</w:t>
      </w:r>
      <w:r w:rsidR="00E24B7E">
        <w:t>n earnings</w:t>
      </w:r>
      <w:r>
        <w:t xml:space="preserve"> surplus of $</w:t>
      </w:r>
      <w:r w:rsidR="0023295B">
        <w:t>47.542</w:t>
      </w:r>
      <w:r>
        <w:t xml:space="preserve"> million</w:t>
      </w:r>
      <w:r w:rsidR="00E24B7E">
        <w:t xml:space="preserve"> above the top end of the earnings band</w:t>
      </w:r>
      <w:r w:rsidR="006A177F">
        <w:t>.  In accordance with the sharing percentages discussed above, the $</w:t>
      </w:r>
      <w:r w:rsidR="0023295B">
        <w:t>47.542</w:t>
      </w:r>
      <w:r w:rsidR="006A177F">
        <w:t xml:space="preserve"> million surplus</w:t>
      </w:r>
      <w:r>
        <w:t xml:space="preserve"> would result in (1) $</w:t>
      </w:r>
      <w:r w:rsidR="0023295B">
        <w:t>19.017</w:t>
      </w:r>
      <w:r>
        <w:t xml:space="preserve"> million being applied to the Company’s</w:t>
      </w:r>
      <w:r w:rsidR="0023295B">
        <w:t xml:space="preserve"> CCR ARO</w:t>
      </w:r>
      <w:r>
        <w:t xml:space="preserve"> regulatory asset balances, (2) $</w:t>
      </w:r>
      <w:r w:rsidR="0023295B">
        <w:t>19.017</w:t>
      </w:r>
      <w:r>
        <w:t xml:space="preserve"> million being refunded to ratepayers, and (3) </w:t>
      </w:r>
      <w:r w:rsidR="007E40D1">
        <w:t>$</w:t>
      </w:r>
      <w:r w:rsidR="0023295B">
        <w:t>9.508</w:t>
      </w:r>
      <w:r>
        <w:t xml:space="preserve"> million being retained by the Company.</w:t>
      </w:r>
      <w:r w:rsidR="00B42AEA">
        <w:t xml:space="preserve"> </w:t>
      </w:r>
      <w:r w:rsidR="000A6CC2">
        <w:t xml:space="preserve"> </w:t>
      </w:r>
    </w:p>
    <w:p w14:paraId="6CC99463" w14:textId="0C409FF9" w:rsidR="009C5B2F" w:rsidRPr="004973DB" w:rsidRDefault="00F05860" w:rsidP="00477685">
      <w:pPr>
        <w:pStyle w:val="H1"/>
      </w:pPr>
      <w:bookmarkStart w:id="0" w:name="_Hlk76021332"/>
      <w:bookmarkStart w:id="1" w:name="_Hlk76021695"/>
      <w:r w:rsidRPr="002128D9">
        <w:rPr>
          <w:b w:val="0"/>
          <w:bCs w:val="0"/>
          <w:u w:val="none"/>
        </w:rPr>
        <w:t xml:space="preserve">The Company and PIA Staff agree that no adjustment should be made in this ASR for stock-based compensation.  </w:t>
      </w:r>
      <w:bookmarkEnd w:id="0"/>
      <w:r w:rsidRPr="002128D9">
        <w:rPr>
          <w:b w:val="0"/>
          <w:bCs w:val="0"/>
          <w:u w:val="none"/>
        </w:rPr>
        <w:t>PIA Staff and the Company agree that the upcoming rate case affords the next opportunity to address any disagreement over the rate treatment for stock-based compensation.</w:t>
      </w:r>
      <w:r>
        <w:rPr>
          <w:b w:val="0"/>
          <w:bCs w:val="0"/>
          <w:u w:val="none"/>
        </w:rPr>
        <w:t xml:space="preserve">  </w:t>
      </w:r>
      <w:bookmarkEnd w:id="1"/>
    </w:p>
    <w:p w14:paraId="027AA5DE" w14:textId="511331D9" w:rsidR="007C284E" w:rsidRDefault="0006003A">
      <w:pPr>
        <w:pStyle w:val="H1"/>
      </w:pPr>
      <w:r w:rsidRPr="00BA4C5F">
        <w:t>Plant Held For Future Use</w:t>
      </w:r>
      <w:r w:rsidR="003462BF">
        <w:t xml:space="preserve"> </w:t>
      </w:r>
      <w:r w:rsidR="00CD3ED6">
        <w:t xml:space="preserve"> </w:t>
      </w:r>
    </w:p>
    <w:p w14:paraId="3639EC92" w14:textId="2DE470CD" w:rsidR="007C284E" w:rsidRDefault="0006003A" w:rsidP="00715C43">
      <w:pPr>
        <w:pStyle w:val="GaBody"/>
      </w:pPr>
      <w:r>
        <w:t>As shown in Section 2, page 1 of GPC's 20</w:t>
      </w:r>
      <w:r w:rsidR="003462BF">
        <w:t>20</w:t>
      </w:r>
      <w:r>
        <w:t xml:space="preserve"> ASR filing, </w:t>
      </w:r>
      <w:bookmarkStart w:id="2" w:name="_Hlk74739876"/>
      <w:r>
        <w:t>the Company included FERC Account 105, Plant Held For Future Use ("PHFFU"), totaling $11</w:t>
      </w:r>
      <w:r w:rsidR="00B41C3C">
        <w:t>4.631</w:t>
      </w:r>
      <w:r>
        <w:t xml:space="preserve"> million in rate base</w:t>
      </w:r>
      <w:bookmarkEnd w:id="2"/>
      <w:r>
        <w:t xml:space="preserve">.  Staff requested </w:t>
      </w:r>
      <w:r>
        <w:lastRenderedPageBreak/>
        <w:t>that the Company identify how much of this PHFFU was related to projects that were (1) not included in the 2013 Integrated Resource Plan ("IRP"), (2) not included in the Company's 2016 IRP, and (3) not included in the Company's 2019 IRP.  In its response to STF-ASR-</w:t>
      </w:r>
      <w:r w:rsidR="00B41C3C">
        <w:t>6</w:t>
      </w:r>
      <w:r w:rsidR="00CD3ED6">
        <w:t>-54</w:t>
      </w:r>
      <w:r>
        <w:t>, the Company provided an attachment that provided the requested PHFFU information, which Staff has replicated in the table below:</w:t>
      </w:r>
    </w:p>
    <w:p w14:paraId="67E7A0A2" w14:textId="27201D8F" w:rsidR="00853350" w:rsidRDefault="00EF19C8" w:rsidP="00715C43">
      <w:pPr>
        <w:pStyle w:val="GaBody"/>
      </w:pPr>
      <w:r w:rsidRPr="00EF19C8">
        <w:rPr>
          <w:noProof/>
        </w:rPr>
        <w:drawing>
          <wp:inline distT="0" distB="0" distL="0" distR="0" wp14:anchorId="6E3BD8AB" wp14:editId="02CE8753">
            <wp:extent cx="5943600" cy="3537585"/>
            <wp:effectExtent l="0" t="0" r="0" b="571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537585"/>
                    </a:xfrm>
                    <a:prstGeom prst="rect">
                      <a:avLst/>
                    </a:prstGeom>
                    <a:noFill/>
                    <a:ln>
                      <a:noFill/>
                    </a:ln>
                  </pic:spPr>
                </pic:pic>
              </a:graphicData>
            </a:graphic>
          </wp:inline>
        </w:drawing>
      </w:r>
      <w:r w:rsidR="0006003A">
        <w:t xml:space="preserve">As shown in the table above under </w:t>
      </w:r>
      <w:r w:rsidR="0006003A" w:rsidRPr="00715C43">
        <w:t>column</w:t>
      </w:r>
      <w:r w:rsidR="0006003A">
        <w:t xml:space="preserve"> B, the Company included PHFFU totaling $11</w:t>
      </w:r>
      <w:r w:rsidR="00B41C3C">
        <w:t>4.631</w:t>
      </w:r>
      <w:r w:rsidR="0006003A">
        <w:t xml:space="preserve"> million in the 20</w:t>
      </w:r>
      <w:r w:rsidR="003462BF">
        <w:t>2</w:t>
      </w:r>
      <w:r w:rsidR="00B41C3C">
        <w:t>1</w:t>
      </w:r>
      <w:r w:rsidR="0006003A">
        <w:t xml:space="preserve"> 13-month average jurisdictional ASR rate base</w:t>
      </w:r>
      <w:r w:rsidR="00853350">
        <w:t>, of which</w:t>
      </w:r>
      <w:r w:rsidR="00715C43">
        <w:t xml:space="preserve"> approximately</w:t>
      </w:r>
      <w:r w:rsidR="00853350">
        <w:t xml:space="preserve"> $80.8 million has a projected in-service date of 2040 or beyond.</w:t>
      </w:r>
      <w:r w:rsidR="00EF045B">
        <w:t xml:space="preserve">  </w:t>
      </w:r>
    </w:p>
    <w:p w14:paraId="09F054FA" w14:textId="6D9A491A" w:rsidR="007C284E" w:rsidRDefault="0006003A" w:rsidP="00715C43">
      <w:pPr>
        <w:pStyle w:val="GaBody"/>
      </w:pPr>
      <w:r>
        <w:t xml:space="preserve">The Company provided the </w:t>
      </w:r>
      <w:r w:rsidRPr="00715C43">
        <w:t>following</w:t>
      </w:r>
      <w:r>
        <w:t xml:space="preserve"> </w:t>
      </w:r>
      <w:r w:rsidRPr="00715C43">
        <w:t>explanations</w:t>
      </w:r>
      <w:r>
        <w:t xml:space="preserve"> with regard to why </w:t>
      </w:r>
      <w:r w:rsidR="00853350">
        <w:t>certain PHFFU</w:t>
      </w:r>
      <w:r>
        <w:t xml:space="preserve"> items were not included in its 2013, 2016 and/or 2019 IRPs:</w:t>
      </w:r>
    </w:p>
    <w:p w14:paraId="63F8AAD9" w14:textId="0AB1CBBB" w:rsidR="007C284E" w:rsidRDefault="0006003A" w:rsidP="007C284E">
      <w:pPr>
        <w:pStyle w:val="GaBody"/>
        <w:numPr>
          <w:ilvl w:val="0"/>
          <w:numId w:val="30"/>
        </w:numPr>
        <w:spacing w:line="240" w:lineRule="auto"/>
      </w:pPr>
      <w:r w:rsidRPr="004B2283">
        <w:rPr>
          <w:b/>
        </w:rPr>
        <w:lastRenderedPageBreak/>
        <w:t>Lines 1-</w:t>
      </w:r>
      <w:r>
        <w:rPr>
          <w:b/>
        </w:rPr>
        <w:t>7</w:t>
      </w:r>
      <w:r>
        <w:t>: Items were not addressed in the Company's 2013, 2016 and 2019 IRP because they fell outside the 10-year Transmission planning horizon.</w:t>
      </w:r>
      <w:r w:rsidR="00E24B7E">
        <w:t xml:space="preserve">  These amounts total $7</w:t>
      </w:r>
      <w:r w:rsidR="00724D44">
        <w:t>0</w:t>
      </w:r>
      <w:r w:rsidR="00E24B7E">
        <w:t>.3</w:t>
      </w:r>
      <w:r w:rsidR="00724D44">
        <w:t>27</w:t>
      </w:r>
      <w:r w:rsidR="00E24B7E">
        <w:t xml:space="preserve"> million</w:t>
      </w:r>
      <w:r w:rsidR="00187C4B">
        <w:t>.  Of that $7</w:t>
      </w:r>
      <w:r w:rsidR="00724D44">
        <w:t>0</w:t>
      </w:r>
      <w:r w:rsidR="00187C4B">
        <w:t>.3</w:t>
      </w:r>
      <w:r w:rsidR="00724D44">
        <w:t>27</w:t>
      </w:r>
      <w:r w:rsidR="00187C4B">
        <w:t xml:space="preserve"> million, $6</w:t>
      </w:r>
      <w:r w:rsidR="00724D44">
        <w:t>5</w:t>
      </w:r>
      <w:r w:rsidR="00187C4B">
        <w:t>.8</w:t>
      </w:r>
      <w:r w:rsidR="00724D44">
        <w:t>15</w:t>
      </w:r>
      <w:r w:rsidR="00187C4B">
        <w:t xml:space="preserve"> million is not anticipated to be in use to provide electric service prior to 2040.</w:t>
      </w:r>
    </w:p>
    <w:p w14:paraId="55BF313B" w14:textId="1FBB9E01" w:rsidR="007C284E" w:rsidRDefault="0006003A" w:rsidP="007C284E">
      <w:pPr>
        <w:pStyle w:val="GaBody"/>
        <w:numPr>
          <w:ilvl w:val="0"/>
          <w:numId w:val="30"/>
        </w:numPr>
        <w:spacing w:line="240" w:lineRule="auto"/>
      </w:pPr>
      <w:r w:rsidRPr="004B2283">
        <w:rPr>
          <w:b/>
        </w:rPr>
        <w:t xml:space="preserve">Lines </w:t>
      </w:r>
      <w:r>
        <w:rPr>
          <w:b/>
        </w:rPr>
        <w:t>8-9</w:t>
      </w:r>
      <w:r>
        <w:t>: Items were included as part of the Company's 2013 IRP.  The use dates of these items have subsequently changed and they were not addressed in the 2016 or 2019 IRP because the anticipated use date fell outside the 5-year Area planning horizon.</w:t>
      </w:r>
      <w:r w:rsidR="00187C4B">
        <w:t xml:space="preserve">  Those projects, which total $1.388 million, and included in 202</w:t>
      </w:r>
      <w:r w:rsidR="00724D44">
        <w:t>1</w:t>
      </w:r>
      <w:r w:rsidR="00187C4B">
        <w:t xml:space="preserve"> ASR rate base, is not anticipated to be in use prior to 2040.</w:t>
      </w:r>
    </w:p>
    <w:p w14:paraId="22D07B94" w14:textId="760E7BD1" w:rsidR="007C284E" w:rsidRDefault="0006003A" w:rsidP="007C284E">
      <w:pPr>
        <w:pStyle w:val="GaBody"/>
        <w:numPr>
          <w:ilvl w:val="0"/>
          <w:numId w:val="30"/>
        </w:numPr>
        <w:spacing w:line="240" w:lineRule="auto"/>
      </w:pPr>
      <w:r w:rsidRPr="004B2283">
        <w:rPr>
          <w:b/>
        </w:rPr>
        <w:t>Line</w:t>
      </w:r>
      <w:r>
        <w:rPr>
          <w:b/>
        </w:rPr>
        <w:t>s</w:t>
      </w:r>
      <w:r w:rsidRPr="004B2283">
        <w:rPr>
          <w:b/>
        </w:rPr>
        <w:t xml:space="preserve"> 1</w:t>
      </w:r>
      <w:r>
        <w:rPr>
          <w:b/>
        </w:rPr>
        <w:t>0-11</w:t>
      </w:r>
      <w:r>
        <w:t xml:space="preserve">:  Items were inadvertently omitted from the Company's 2013 and 2016 IRP filings.  The projects associated with these items were subsequently provided in the Company's response to 2016 IRP data request STF-2-25.  Items were not addressed in the Company's 2019 IRP because </w:t>
      </w:r>
      <w:r w:rsidR="00724D44">
        <w:t>plant held</w:t>
      </w:r>
      <w:r>
        <w:t xml:space="preserve"> date fell outside the 10-year Transmission planning horizon and the 5-year Area planning horizon.</w:t>
      </w:r>
      <w:r w:rsidR="007E5B78">
        <w:t xml:space="preserve">  Those projects, which total $683,37</w:t>
      </w:r>
      <w:r w:rsidR="00724D44">
        <w:t>2</w:t>
      </w:r>
      <w:r w:rsidR="007E5B78">
        <w:t>, are not anticipated to be in use prior to 2040.</w:t>
      </w:r>
    </w:p>
    <w:p w14:paraId="12947A56" w14:textId="6F5EC162" w:rsidR="00672D73" w:rsidRDefault="0006003A" w:rsidP="007C284E">
      <w:pPr>
        <w:pStyle w:val="GaBody"/>
        <w:numPr>
          <w:ilvl w:val="0"/>
          <w:numId w:val="30"/>
        </w:numPr>
        <w:spacing w:line="240" w:lineRule="auto"/>
      </w:pPr>
      <w:r w:rsidRPr="004B2283">
        <w:rPr>
          <w:b/>
        </w:rPr>
        <w:t>Line 1</w:t>
      </w:r>
      <w:r>
        <w:rPr>
          <w:b/>
        </w:rPr>
        <w:t>2</w:t>
      </w:r>
      <w:r>
        <w:t xml:space="preserve">: Item was not addressed in the Company's 2013 IRP.  </w:t>
      </w:r>
      <w:r w:rsidR="00514C03">
        <w:t>I</w:t>
      </w:r>
      <w:r>
        <w:t>tem was addressed in the Company's 2016 IRP in Technical Appendix Volume I and Appendix G in the Resource Mix Study</w:t>
      </w:r>
      <w:r w:rsidR="00514C03">
        <w:t xml:space="preserve">. </w:t>
      </w:r>
      <w:r>
        <w:t xml:space="preserve"> </w:t>
      </w:r>
      <w:r w:rsidR="00514C03">
        <w:t>Item was</w:t>
      </w:r>
      <w:r>
        <w:t xml:space="preserve"> addressed in the Company's 2019 IRP in Attachment G in the Main Document.</w:t>
      </w:r>
      <w:r w:rsidR="007E5B78">
        <w:t xml:space="preserve">  </w:t>
      </w:r>
    </w:p>
    <w:p w14:paraId="332199C2" w14:textId="64840643" w:rsidR="007C284E" w:rsidRDefault="007E5B78" w:rsidP="00672D73">
      <w:pPr>
        <w:pStyle w:val="GaBody"/>
        <w:spacing w:line="240" w:lineRule="auto"/>
        <w:ind w:left="720"/>
      </w:pPr>
      <w:r>
        <w:t>This item is the $2</w:t>
      </w:r>
      <w:r w:rsidR="00514C03">
        <w:t>2.952</w:t>
      </w:r>
      <w:r>
        <w:t xml:space="preserve"> million of Stewart County land which GPC had initially indicated was purchased for a new nuclear plant site.  No “new nuclear” beyond Vogtle Plant</w:t>
      </w:r>
      <w:r w:rsidR="00672D73">
        <w:t xml:space="preserve"> Units 3 and 4 are presently authorized for GPC.  If some other type of new generating plant, such as a natural gas fuel combined cycle unit, is eventually built on this site, it is unclear whether the full amount of acreage needed for a new nuclear unit would be needed.  Thus, there is a concern that some of the land purchased for a new nuclear unit may end up being surplus land that is not needed, if a different type unit ends up getting built on the site.</w:t>
      </w:r>
    </w:p>
    <w:p w14:paraId="2B147BC6" w14:textId="41C391D9" w:rsidR="007C284E" w:rsidRDefault="0006003A" w:rsidP="007C284E">
      <w:pPr>
        <w:pStyle w:val="GaBody"/>
        <w:numPr>
          <w:ilvl w:val="0"/>
          <w:numId w:val="30"/>
        </w:numPr>
        <w:spacing w:line="240" w:lineRule="auto"/>
      </w:pPr>
      <w:r w:rsidRPr="00432B8E">
        <w:rPr>
          <w:b/>
        </w:rPr>
        <w:t xml:space="preserve">Line </w:t>
      </w:r>
      <w:r>
        <w:rPr>
          <w:b/>
        </w:rPr>
        <w:t>13</w:t>
      </w:r>
      <w:r>
        <w:t>: Item was not addressed in the Company's 2013 or 2016 IRP because the land was donated to the Company in 2018</w:t>
      </w:r>
      <w:r w:rsidR="00E43208">
        <w:t xml:space="preserve"> by the Effingham County Industrial Development Authority to be used as a future substation site to support anticipated load growth in the area</w:t>
      </w:r>
      <w:r>
        <w:t>.  Item was not addressed in the Company's 2019 IRP because the anticipated use date f</w:t>
      </w:r>
      <w:r w:rsidR="00E43208">
        <w:t>a</w:t>
      </w:r>
      <w:r>
        <w:t>ll</w:t>
      </w:r>
      <w:r w:rsidR="00E43208">
        <w:t>s</w:t>
      </w:r>
      <w:r>
        <w:t xml:space="preserve"> outside the 5-year Area planning horizon.</w:t>
      </w:r>
      <w:r w:rsidR="00672D73">
        <w:t xml:space="preserve">  The $30,266 for this site is not projected to be in use prior to 2040.</w:t>
      </w:r>
    </w:p>
    <w:p w14:paraId="4BDD1BAB" w14:textId="77777777" w:rsidR="007C284E" w:rsidRDefault="0006003A" w:rsidP="007C284E">
      <w:pPr>
        <w:pStyle w:val="GaBody"/>
        <w:numPr>
          <w:ilvl w:val="0"/>
          <w:numId w:val="30"/>
        </w:numPr>
        <w:spacing w:line="240" w:lineRule="auto"/>
      </w:pPr>
      <w:r w:rsidRPr="006A61C9">
        <w:rPr>
          <w:b/>
        </w:rPr>
        <w:t>Line 14:</w:t>
      </w:r>
      <w:r>
        <w:t xml:space="preserve"> Item was purchased in 2019.  It was not addressed in the Company's 2019 IRP as it is not directly associated with any specific Transmission or Distribution line and substation projects nor affiliated with any Generation projects.</w:t>
      </w:r>
    </w:p>
    <w:p w14:paraId="7C7B468F" w14:textId="7554117D" w:rsidR="007C284E" w:rsidRDefault="0006003A" w:rsidP="007C284E">
      <w:pPr>
        <w:pStyle w:val="GaBody"/>
        <w:numPr>
          <w:ilvl w:val="0"/>
          <w:numId w:val="30"/>
        </w:numPr>
        <w:spacing w:line="240" w:lineRule="auto"/>
      </w:pPr>
      <w:r w:rsidRPr="006A61C9">
        <w:rPr>
          <w:b/>
        </w:rPr>
        <w:t>Line 15:</w:t>
      </w:r>
      <w:r>
        <w:t xml:space="preserve"> Item was addressed in the Company's 2013 or 2016 IRP.  The use date of this item has subsequently changed and it was not addressed in the Company's 2019 IRP because the anticipated use date fell outside the 5-year Area planning horizon.</w:t>
      </w:r>
      <w:r w:rsidR="00672D73">
        <w:t xml:space="preserve">  The $12.933 million for this site is not projected to be in use prior to 2040.</w:t>
      </w:r>
    </w:p>
    <w:p w14:paraId="204EDB2E" w14:textId="47ADB3E5" w:rsidR="007C284E" w:rsidRDefault="0006003A" w:rsidP="007C284E">
      <w:pPr>
        <w:pStyle w:val="GaBody"/>
        <w:numPr>
          <w:ilvl w:val="0"/>
          <w:numId w:val="30"/>
        </w:numPr>
        <w:spacing w:line="240" w:lineRule="auto"/>
      </w:pPr>
      <w:r w:rsidRPr="006A61C9">
        <w:rPr>
          <w:b/>
        </w:rPr>
        <w:lastRenderedPageBreak/>
        <w:t>Lines 16-17:</w:t>
      </w:r>
      <w:r>
        <w:t xml:space="preserve"> Items were not addressed in the Company's 2013, 2016 or 2019 IRP because the</w:t>
      </w:r>
      <w:r w:rsidR="00B43EBA">
        <w:t>y</w:t>
      </w:r>
      <w:r>
        <w:t xml:space="preserve"> fell outside the 10-year Transmission planning horizon.  However, the need dates were recently moved within the 5-year Area planning horizon.</w:t>
      </w:r>
    </w:p>
    <w:p w14:paraId="56D391A8" w14:textId="367D661A" w:rsidR="007C284E" w:rsidRDefault="0006003A" w:rsidP="007C284E">
      <w:pPr>
        <w:pStyle w:val="GaBody"/>
        <w:numPr>
          <w:ilvl w:val="0"/>
          <w:numId w:val="30"/>
        </w:numPr>
        <w:spacing w:line="240" w:lineRule="auto"/>
      </w:pPr>
      <w:r w:rsidRPr="00B33C42">
        <w:rPr>
          <w:b/>
        </w:rPr>
        <w:t>Line 1</w:t>
      </w:r>
      <w:r w:rsidR="00485290">
        <w:rPr>
          <w:b/>
        </w:rPr>
        <w:t>8</w:t>
      </w:r>
      <w:r w:rsidRPr="00B33C42">
        <w:rPr>
          <w:b/>
        </w:rPr>
        <w:t>:</w:t>
      </w:r>
      <w:r>
        <w:t xml:space="preserve"> Item was inadvertently omitted from the Company's 2013 and 2016 IRP filings.  The project associated with this item was subsequently provided in the Company's response to 2016 IRP data request STF-2-25.  The item was included in the 2019 IRP referenced in Volume 3 [F]. </w:t>
      </w:r>
    </w:p>
    <w:p w14:paraId="7297B53F" w14:textId="572BFF9D" w:rsidR="00B43EBA" w:rsidRDefault="00B43EBA" w:rsidP="007C284E">
      <w:pPr>
        <w:pStyle w:val="GaBody"/>
        <w:numPr>
          <w:ilvl w:val="0"/>
          <w:numId w:val="30"/>
        </w:numPr>
        <w:spacing w:line="240" w:lineRule="auto"/>
      </w:pPr>
      <w:r>
        <w:rPr>
          <w:b/>
        </w:rPr>
        <w:t xml:space="preserve">Line </w:t>
      </w:r>
      <w:r w:rsidR="00485290">
        <w:rPr>
          <w:b/>
        </w:rPr>
        <w:t>19</w:t>
      </w:r>
      <w:r>
        <w:rPr>
          <w:b/>
        </w:rPr>
        <w:t>:</w:t>
      </w:r>
      <w:r>
        <w:t xml:space="preserve"> Item</w:t>
      </w:r>
      <w:r w:rsidR="00485290">
        <w:t>s</w:t>
      </w:r>
      <w:r>
        <w:t xml:space="preserve"> w</w:t>
      </w:r>
      <w:r w:rsidR="00485290">
        <w:t>ere</w:t>
      </w:r>
      <w:r>
        <w:t xml:space="preserve"> not addressed in the 2013 or 2016 IRP because it fell outside the 5-year area planning horizon.  It was included in the 2019 IRP referenced in Vol</w:t>
      </w:r>
      <w:r w:rsidR="00400314">
        <w:t>ume 3 [F].</w:t>
      </w:r>
    </w:p>
    <w:p w14:paraId="2386073B" w14:textId="65CF529A" w:rsidR="00400314" w:rsidRDefault="00400314" w:rsidP="007C284E">
      <w:pPr>
        <w:pStyle w:val="GaBody"/>
        <w:numPr>
          <w:ilvl w:val="0"/>
          <w:numId w:val="30"/>
        </w:numPr>
        <w:spacing w:line="240" w:lineRule="auto"/>
      </w:pPr>
      <w:r>
        <w:rPr>
          <w:b/>
        </w:rPr>
        <w:t>Line 2</w:t>
      </w:r>
      <w:r w:rsidR="00485290">
        <w:rPr>
          <w:b/>
        </w:rPr>
        <w:t>0</w:t>
      </w:r>
      <w:r>
        <w:rPr>
          <w:b/>
        </w:rPr>
        <w:t>:</w:t>
      </w:r>
      <w:r>
        <w:t xml:space="preserve"> Item was not addressed in the Company’s 2013 IRP because it fell outside the 5-year area planning horizon.  It was included in the 2016 and 2019 IRP referenced in Volume 3 [F].</w:t>
      </w:r>
    </w:p>
    <w:p w14:paraId="2C176C26" w14:textId="66009F09" w:rsidR="007C284E" w:rsidRDefault="0006003A" w:rsidP="00715C43">
      <w:pPr>
        <w:pStyle w:val="GaBody"/>
      </w:pPr>
      <w:r>
        <w:t>The issue of PHFFU was addressed in the Company's recent rate case in Docket No. 42516.  Pursuant to the Settlement Agreement reached in that case and as noted in Section 9 (pages 8-9) of the Commission's Short Order Adopting Settlement as Modified:</w:t>
      </w:r>
    </w:p>
    <w:p w14:paraId="199CB211" w14:textId="77777777" w:rsidR="007C284E" w:rsidRDefault="0006003A" w:rsidP="007C284E">
      <w:pPr>
        <w:pStyle w:val="GaBody"/>
        <w:spacing w:before="0" w:after="0" w:line="240" w:lineRule="auto"/>
        <w:ind w:left="720" w:right="720"/>
      </w:pPr>
      <w:r>
        <w:t>With the exception of easements and right of ways, Generation and Transmission property in Plant held for Future Use ("PHFFU") that has been held in PHFFU account for 15 consecutive years shall undergo review during the first IRP proceeding following the 15th year that such property has been held in PHFFU.  Distribution property in PHFFU that has been held in PHFFU account for 15 consecutive years shall undergo review during the first base rate proceeding following the 15th year that such property has been held in PHFFU.  In the respective proceeding, the Company will be required to present the specific plan for the property(s) that has exceeded 15 consecutive years in PHFFU.  The Commission will decide the matter in that proceeding.</w:t>
      </w:r>
    </w:p>
    <w:p w14:paraId="3F8175C6" w14:textId="77777777" w:rsidR="00672D73" w:rsidRDefault="00672D73" w:rsidP="00672D73">
      <w:pPr>
        <w:pStyle w:val="GaBody"/>
        <w:spacing w:before="0" w:after="0"/>
      </w:pPr>
    </w:p>
    <w:p w14:paraId="38DAE9B5" w14:textId="2EA503B6" w:rsidR="00672D73" w:rsidRDefault="00672D73" w:rsidP="00715C43">
      <w:pPr>
        <w:pStyle w:val="GaBody"/>
        <w:rPr>
          <w:b/>
          <w:u w:val="single"/>
        </w:rPr>
      </w:pPr>
      <w:r>
        <w:t xml:space="preserve">As shown in the </w:t>
      </w:r>
      <w:r w:rsidRPr="00715C43">
        <w:t>table</w:t>
      </w:r>
      <w:r>
        <w:t xml:space="preserve"> above under column C, the Company included PHFFU totaling $8</w:t>
      </w:r>
      <w:r w:rsidR="00485290">
        <w:t>0.8</w:t>
      </w:r>
      <w:r>
        <w:t xml:space="preserve"> million in the 202</w:t>
      </w:r>
      <w:r w:rsidR="00485290">
        <w:t>1</w:t>
      </w:r>
      <w:r>
        <w:t xml:space="preserve"> 13-month average jurisdictional ASR rate base that is not anticipated to be placed into service until 2040 or beyond.</w:t>
      </w:r>
    </w:p>
    <w:p w14:paraId="2B67FBDC" w14:textId="0BB84FD2" w:rsidR="007C284E" w:rsidRPr="00B7462C" w:rsidRDefault="0006003A" w:rsidP="007C284E">
      <w:pPr>
        <w:pStyle w:val="GaBody"/>
        <w:spacing w:line="240" w:lineRule="auto"/>
        <w:rPr>
          <w:b/>
          <w:u w:val="single"/>
        </w:rPr>
      </w:pPr>
      <w:r w:rsidRPr="00DC4EB1">
        <w:rPr>
          <w:b/>
          <w:u w:val="single"/>
        </w:rPr>
        <w:t>Recommendation</w:t>
      </w:r>
    </w:p>
    <w:p w14:paraId="4F35FDEA" w14:textId="27FF96AE" w:rsidR="007C284E" w:rsidRDefault="0006003A" w:rsidP="00715C43">
      <w:pPr>
        <w:pStyle w:val="GaBody"/>
        <w:rPr>
          <w:b/>
          <w:u w:val="single"/>
        </w:rPr>
      </w:pPr>
      <w:r>
        <w:lastRenderedPageBreak/>
        <w:t xml:space="preserve">Based on the </w:t>
      </w:r>
      <w:r w:rsidRPr="00715C43">
        <w:t>foregoing</w:t>
      </w:r>
      <w:r>
        <w:t xml:space="preserve"> passage from the Commission's Short Order Adopting Settlement Agreement as Modified, Staff is not proposing any adjustments to PHFFU in the 20</w:t>
      </w:r>
      <w:r w:rsidR="003462BF">
        <w:t>2</w:t>
      </w:r>
      <w:r w:rsidR="00485290">
        <w:t>1</w:t>
      </w:r>
      <w:r>
        <w:t xml:space="preserve"> ASR filing.  However, Staff recommends that the Company continue to hold quarterly meetings to re-evaluate the uses of the </w:t>
      </w:r>
      <w:r w:rsidR="00A076E0">
        <w:t>items</w:t>
      </w:r>
      <w:r>
        <w:t xml:space="preserve"> in the PHFFU account to determine if and when it will be used</w:t>
      </w:r>
      <w:r w:rsidR="00A076E0">
        <w:t>, and to maintain documentation for these quarterly reviews of PHFFU</w:t>
      </w:r>
      <w:r>
        <w:t>.  If it is determined that a parcel of land will not be used</w:t>
      </w:r>
      <w:r w:rsidR="00672D73">
        <w:t xml:space="preserve"> within a reasonable time period, such as 15 years since its acquisition date</w:t>
      </w:r>
      <w:r>
        <w:t>, it should be reclassified into non-utility property, and removed from jurisdictional retail rate base with notification to the Commission of such reclassification</w:t>
      </w:r>
      <w:r w:rsidRPr="00BF68CA">
        <w:t xml:space="preserve">.   </w:t>
      </w:r>
    </w:p>
    <w:p w14:paraId="655ACF6D" w14:textId="4F709F69" w:rsidR="007C284E" w:rsidRDefault="0006003A" w:rsidP="007C284E">
      <w:pPr>
        <w:pStyle w:val="GaBody"/>
        <w:rPr>
          <w:b/>
          <w:u w:val="single"/>
        </w:rPr>
      </w:pPr>
      <w:r w:rsidRPr="00211820">
        <w:rPr>
          <w:b/>
          <w:u w:val="single"/>
        </w:rPr>
        <w:t>Vegetation Management</w:t>
      </w:r>
    </w:p>
    <w:p w14:paraId="67D46522" w14:textId="3E0C44E9" w:rsidR="007C284E" w:rsidRPr="00B33C42" w:rsidRDefault="0006003A" w:rsidP="00013B66">
      <w:pPr>
        <w:pStyle w:val="GaBody"/>
        <w:rPr>
          <w:b/>
          <w:u w:val="single"/>
        </w:rPr>
      </w:pPr>
      <w:r w:rsidRPr="00B86AFB">
        <w:t xml:space="preserve">Upon reviewing </w:t>
      </w:r>
      <w:r>
        <w:t>Section 5, Schedule 6 - Actual to Budget Non-Fuel O&amp;M Expense Comparisons from the 20</w:t>
      </w:r>
      <w:r w:rsidR="003462BF">
        <w:t>2</w:t>
      </w:r>
      <w:r w:rsidR="00485290">
        <w:t>1</w:t>
      </w:r>
      <w:r>
        <w:t xml:space="preserve"> ASR filing, Staff noted that the budget to actual comparisons for the Transmission and Distribution functions reflected the following budget to actual variances:</w:t>
      </w:r>
    </w:p>
    <w:p w14:paraId="2735B2D6" w14:textId="77777777" w:rsidR="00F77BC0" w:rsidRDefault="00F77BC0" w:rsidP="00F77BC0">
      <w:pPr>
        <w:pStyle w:val="GaBody"/>
      </w:pPr>
      <w:r w:rsidRPr="00F77BC0">
        <w:rPr>
          <w:noProof/>
        </w:rPr>
        <w:drawing>
          <wp:inline distT="0" distB="0" distL="0" distR="0" wp14:anchorId="53FFC9F0" wp14:editId="7F92AACD">
            <wp:extent cx="5727700" cy="1147445"/>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1147445"/>
                    </a:xfrm>
                    <a:prstGeom prst="rect">
                      <a:avLst/>
                    </a:prstGeom>
                    <a:noFill/>
                    <a:ln>
                      <a:noFill/>
                    </a:ln>
                  </pic:spPr>
                </pic:pic>
              </a:graphicData>
            </a:graphic>
          </wp:inline>
        </w:drawing>
      </w:r>
    </w:p>
    <w:p w14:paraId="1581A3CC" w14:textId="46CED58D" w:rsidR="00433BCA" w:rsidRDefault="0006003A" w:rsidP="00013B66">
      <w:pPr>
        <w:pStyle w:val="GaBody"/>
      </w:pPr>
      <w:r>
        <w:t xml:space="preserve">As shown in the table above, the Transmission function reflected </w:t>
      </w:r>
      <w:r w:rsidR="00013B66">
        <w:t>actual spending</w:t>
      </w:r>
      <w:r>
        <w:t xml:space="preserve"> </w:t>
      </w:r>
      <w:r w:rsidR="00013B66">
        <w:t xml:space="preserve">that was </w:t>
      </w:r>
      <w:r>
        <w:t>$</w:t>
      </w:r>
      <w:r w:rsidR="00F77BC0">
        <w:t>1.879</w:t>
      </w:r>
      <w:r>
        <w:t xml:space="preserve"> million, or </w:t>
      </w:r>
      <w:r w:rsidR="00F77BC0">
        <w:t>1.51</w:t>
      </w:r>
      <w:r w:rsidR="003462BF">
        <w:t xml:space="preserve">% </w:t>
      </w:r>
      <w:r w:rsidR="00F77BC0">
        <w:t>higher</w:t>
      </w:r>
      <w:r>
        <w:t xml:space="preserve"> than the amount budgeted.  In addition, the Distribution function reflected </w:t>
      </w:r>
      <w:r w:rsidR="00013B66">
        <w:t>actual spending that was</w:t>
      </w:r>
      <w:r>
        <w:t xml:space="preserve"> $</w:t>
      </w:r>
      <w:r w:rsidR="00F77BC0">
        <w:t>58.035</w:t>
      </w:r>
      <w:r>
        <w:t xml:space="preserve"> million, or </w:t>
      </w:r>
      <w:r w:rsidR="00F77BC0">
        <w:t>20.04</w:t>
      </w:r>
      <w:r>
        <w:t xml:space="preserve">% </w:t>
      </w:r>
      <w:r w:rsidR="00F77BC0">
        <w:t>highe</w:t>
      </w:r>
      <w:r>
        <w:t>r than the amount budgeted.</w:t>
      </w:r>
      <w:r w:rsidR="0029581F">
        <w:t xml:space="preserve">  </w:t>
      </w:r>
      <w:r w:rsidR="00E4130A">
        <w:t>Based on the information presented in the Company’s as-filed Schedule 6, f</w:t>
      </w:r>
      <w:r w:rsidR="0029581F">
        <w:t>or 202</w:t>
      </w:r>
      <w:r w:rsidR="00F77BC0">
        <w:t>1</w:t>
      </w:r>
      <w:r w:rsidR="0029581F">
        <w:t>, for Transmission and Distribution combined, the Company</w:t>
      </w:r>
      <w:r w:rsidR="004C13DA">
        <w:t>’s</w:t>
      </w:r>
      <w:r w:rsidR="0029581F">
        <w:t xml:space="preserve"> </w:t>
      </w:r>
      <w:r w:rsidR="004C13DA">
        <w:t>actual spending</w:t>
      </w:r>
      <w:r w:rsidR="0029581F">
        <w:t xml:space="preserve"> for </w:t>
      </w:r>
      <w:r w:rsidR="00E4130A">
        <w:t xml:space="preserve">asset management and </w:t>
      </w:r>
      <w:r w:rsidR="0029581F">
        <w:t xml:space="preserve">vegetation </w:t>
      </w:r>
      <w:r w:rsidR="0029581F">
        <w:lastRenderedPageBreak/>
        <w:t xml:space="preserve">management expense </w:t>
      </w:r>
      <w:r w:rsidR="004C13DA">
        <w:t>was</w:t>
      </w:r>
      <w:r w:rsidR="0029581F">
        <w:t xml:space="preserve"> $</w:t>
      </w:r>
      <w:r w:rsidR="00E4130A">
        <w:t>59.914</w:t>
      </w:r>
      <w:r w:rsidR="0029581F">
        <w:t xml:space="preserve"> million or </w:t>
      </w:r>
      <w:r w:rsidR="00E4130A">
        <w:t>14.46</w:t>
      </w:r>
      <w:r w:rsidR="0029581F">
        <w:t xml:space="preserve">% </w:t>
      </w:r>
      <w:r w:rsidR="00E4130A">
        <w:t>highe</w:t>
      </w:r>
      <w:r w:rsidR="0029581F">
        <w:t>r than budgeted</w:t>
      </w:r>
      <w:r w:rsidR="004C13DA">
        <w:t>.</w:t>
      </w:r>
      <w:r>
        <w:t xml:space="preserve">  Under the Explanation of Variances column of Schedule 6, the Company stated that, among other things, the variance for Transmission was primarily attributed to </w:t>
      </w:r>
      <w:r w:rsidR="003462BF">
        <w:t>asset management</w:t>
      </w:r>
      <w:r w:rsidR="00A67C38">
        <w:t xml:space="preserve"> spending</w:t>
      </w:r>
      <w:r w:rsidR="00E4130A">
        <w:t xml:space="preserve"> that</w:t>
      </w:r>
      <w:r w:rsidR="00A67C38">
        <w:t xml:space="preserve"> was</w:t>
      </w:r>
      <w:r w:rsidR="00E4130A">
        <w:t xml:space="preserve"> partially offset by parity payment receipts</w:t>
      </w:r>
      <w:r>
        <w:t xml:space="preserve">.  In addition, among other things, the variance for Distribution </w:t>
      </w:r>
      <w:r w:rsidR="00D12A57">
        <w:t>w</w:t>
      </w:r>
      <w:r>
        <w:t>as primarily attributed to</w:t>
      </w:r>
      <w:r w:rsidR="00D12A57">
        <w:t xml:space="preserve"> </w:t>
      </w:r>
      <w:r w:rsidR="00E4130A">
        <w:t>over</w:t>
      </w:r>
      <w:r w:rsidR="00D12A57">
        <w:t xml:space="preserve">runs in asset management </w:t>
      </w:r>
      <w:r w:rsidR="00E4130A">
        <w:t>and</w:t>
      </w:r>
      <w:r>
        <w:t xml:space="preserve"> vegetation management</w:t>
      </w:r>
      <w:r w:rsidR="00A67C38">
        <w:t xml:space="preserve"> spending</w:t>
      </w:r>
      <w:r>
        <w:t>.</w:t>
      </w:r>
    </w:p>
    <w:p w14:paraId="4884906B" w14:textId="2F37FAC7" w:rsidR="00A23A1C" w:rsidRDefault="00A67C38" w:rsidP="00A67C38">
      <w:pPr>
        <w:pStyle w:val="GaBody"/>
      </w:pPr>
      <w:r>
        <w:t>Because</w:t>
      </w:r>
      <w:r w:rsidR="00A23A1C">
        <w:t xml:space="preserve"> t</w:t>
      </w:r>
      <w:r w:rsidR="00433BCA">
        <w:t xml:space="preserve">he </w:t>
      </w:r>
      <w:r w:rsidR="00A23A1C">
        <w:t>Distribution budget</w:t>
      </w:r>
      <w:r>
        <w:t>-</w:t>
      </w:r>
      <w:r w:rsidR="00A23A1C">
        <w:t>to</w:t>
      </w:r>
      <w:r>
        <w:t>-</w:t>
      </w:r>
      <w:r w:rsidR="00A23A1C" w:rsidRPr="00A67C38">
        <w:t>actual</w:t>
      </w:r>
      <w:r w:rsidR="00A23A1C">
        <w:t xml:space="preserve"> variance was substantial, Staff requested that GPC explain in detail the reason(s) for the overruns which resulted in actual Distribution related vegetation and asset management as well as maintenance costs of </w:t>
      </w:r>
      <w:r w:rsidR="005C6907">
        <w:t>$</w:t>
      </w:r>
      <w:r w:rsidR="00A23A1C">
        <w:t>347.644 million being $58.035 million higher than the budgeted amount of $289.609 million.  In its response to STF-ASR-6-20, the Company stated:</w:t>
      </w:r>
    </w:p>
    <w:p w14:paraId="7E8799F7" w14:textId="77777777" w:rsidR="00AA1E6A" w:rsidRDefault="00A23A1C" w:rsidP="00AA1E6A">
      <w:pPr>
        <w:pStyle w:val="GaBody"/>
        <w:spacing w:before="0" w:after="0" w:line="240" w:lineRule="auto"/>
        <w:ind w:left="720" w:right="720"/>
      </w:pPr>
      <w:r>
        <w:t>The Section 5, Schedule 6 filed in the Company’s 2021 ASR filing contained budget data that was inadvertently misclassified between functions “Distribution” and “Administrative &amp; General.”  The total budget amount did not change.</w:t>
      </w:r>
    </w:p>
    <w:p w14:paraId="325EC88A" w14:textId="0229982C" w:rsidR="00433BCA" w:rsidRDefault="00AA1E6A" w:rsidP="00227711">
      <w:pPr>
        <w:pStyle w:val="GaBody"/>
      </w:pPr>
      <w:r>
        <w:t xml:space="preserve">Pursuant to the passage above, the </w:t>
      </w:r>
      <w:r w:rsidRPr="00227711">
        <w:t>response</w:t>
      </w:r>
      <w:r>
        <w:t xml:space="preserve"> to STF-ASR-6-20 included a corrected version of Section 5, Schedule 6</w:t>
      </w:r>
      <w:r w:rsidR="00102105">
        <w:t>, which reflects the revised budget</w:t>
      </w:r>
      <w:r w:rsidR="00227711">
        <w:t>-</w:t>
      </w:r>
      <w:r w:rsidR="00102105">
        <w:t>to</w:t>
      </w:r>
      <w:r w:rsidR="00227711">
        <w:t>-</w:t>
      </w:r>
      <w:r w:rsidR="00102105">
        <w:t>actual comparison for the Distribution function shown in the table:</w:t>
      </w:r>
      <w:r w:rsidR="0060222B">
        <w:rPr>
          <w:rStyle w:val="FootnoteReference"/>
        </w:rPr>
        <w:footnoteReference w:id="2"/>
      </w:r>
    </w:p>
    <w:p w14:paraId="07CD2CB6" w14:textId="2CC5CD35" w:rsidR="00102105" w:rsidRDefault="0060222B" w:rsidP="00F77BC0">
      <w:pPr>
        <w:pStyle w:val="GaBody"/>
      </w:pPr>
      <w:r w:rsidRPr="0060222B">
        <w:rPr>
          <w:noProof/>
        </w:rPr>
        <w:drawing>
          <wp:inline distT="0" distB="0" distL="0" distR="0" wp14:anchorId="32345C67" wp14:editId="1FDBC5F9">
            <wp:extent cx="5866130" cy="819785"/>
            <wp:effectExtent l="0" t="0" r="127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66130" cy="819785"/>
                    </a:xfrm>
                    <a:prstGeom prst="rect">
                      <a:avLst/>
                    </a:prstGeom>
                    <a:noFill/>
                    <a:ln>
                      <a:noFill/>
                    </a:ln>
                  </pic:spPr>
                </pic:pic>
              </a:graphicData>
            </a:graphic>
          </wp:inline>
        </w:drawing>
      </w:r>
    </w:p>
    <w:p w14:paraId="0293F970" w14:textId="33806D21" w:rsidR="00522280" w:rsidRDefault="0060222B" w:rsidP="00522280">
      <w:pPr>
        <w:pStyle w:val="GaBody"/>
      </w:pPr>
      <w:r>
        <w:lastRenderedPageBreak/>
        <w:t xml:space="preserve">As shown in the above table, the corrected </w:t>
      </w:r>
      <w:r w:rsidR="005B7F1E">
        <w:t>overrun amount</w:t>
      </w:r>
      <w:r>
        <w:t xml:space="preserve"> between </w:t>
      </w:r>
      <w:r w:rsidR="005B7F1E">
        <w:t xml:space="preserve">the budgeted and actual Distribution function </w:t>
      </w:r>
      <w:r w:rsidR="00522280">
        <w:t>for</w:t>
      </w:r>
      <w:r w:rsidR="005B7F1E">
        <w:t xml:space="preserve"> 2021 was $21.069 million, or 6.45%.  In its response to STF-ASR-6-20, the Company stated that corrected </w:t>
      </w:r>
      <w:r w:rsidR="00A56F29">
        <w:t>variance for the</w:t>
      </w:r>
      <w:r w:rsidR="005B7F1E">
        <w:t xml:space="preserve"> Distribution</w:t>
      </w:r>
      <w:r w:rsidR="00A56F29">
        <w:t xml:space="preserve"> function</w:t>
      </w:r>
      <w:r w:rsidR="005B7F1E">
        <w:t xml:space="preserve"> were primarily related to overruns </w:t>
      </w:r>
      <w:r w:rsidR="00A56F29">
        <w:t>in</w:t>
      </w:r>
      <w:r w:rsidR="005B7F1E">
        <w:t xml:space="preserve"> maintenance expenses </w:t>
      </w:r>
      <w:r w:rsidR="00A56F29">
        <w:t>of</w:t>
      </w:r>
      <w:r w:rsidR="005B7F1E">
        <w:t xml:space="preserve"> $16 million</w:t>
      </w:r>
      <w:r w:rsidR="00A56F29">
        <w:t>, which was driven by maintenance and repair activities designed to help strengthen system reliability.  In addition, GPC asserted that the correct budget</w:t>
      </w:r>
      <w:r w:rsidR="00227711">
        <w:t>-</w:t>
      </w:r>
      <w:r w:rsidR="00A56F29">
        <w:t>to</w:t>
      </w:r>
      <w:r w:rsidR="00227711">
        <w:t>-</w:t>
      </w:r>
      <w:r w:rsidR="00A56F29">
        <w:t>actual variance for Distribution-related vegetation and asset management was an underrun totaling $2 million for 2021</w:t>
      </w:r>
      <w:r w:rsidR="00522280">
        <w:t xml:space="preserve"> and referred to the Company’s response to STF-ASR-6-18 (see discussion below)</w:t>
      </w:r>
      <w:r w:rsidR="00A56F29">
        <w:t xml:space="preserve">. </w:t>
      </w:r>
      <w:r w:rsidR="005B7F1E">
        <w:t xml:space="preserve"> </w:t>
      </w:r>
    </w:p>
    <w:p w14:paraId="2345EF17" w14:textId="60E75E02" w:rsidR="007C284E" w:rsidRDefault="0006003A" w:rsidP="00227711">
      <w:pPr>
        <w:pStyle w:val="GaBody"/>
      </w:pPr>
      <w:r>
        <w:t>Staff requested that GPC provide the 20</w:t>
      </w:r>
      <w:r w:rsidR="00D12A57">
        <w:t>2</w:t>
      </w:r>
      <w:r w:rsidR="00E4130A">
        <w:t>1</w:t>
      </w:r>
      <w:r>
        <w:t xml:space="preserve"> budgeted and actual amounts for (1) Distribution Asset Management, (2) Distribution Vegetation Management, and (3) Transmission Vegetation and Right of Way Management.  In its response to STF-ASR-</w:t>
      </w:r>
      <w:r w:rsidR="00F77BC0">
        <w:t>6</w:t>
      </w:r>
      <w:r w:rsidR="00A01266">
        <w:t>-18</w:t>
      </w:r>
      <w:r>
        <w:t>, the Company provided the requested information, which is summarized by total in the table below:</w:t>
      </w:r>
      <w:r w:rsidR="00D12A57">
        <w:t xml:space="preserve"> </w:t>
      </w:r>
    </w:p>
    <w:p w14:paraId="4CF2056B" w14:textId="3C5AFAB8" w:rsidR="007C284E" w:rsidRDefault="004B1AEF" w:rsidP="007C284E">
      <w:pPr>
        <w:pStyle w:val="GaBody"/>
      </w:pPr>
      <w:r w:rsidRPr="004B1AEF">
        <w:rPr>
          <w:noProof/>
        </w:rPr>
        <w:drawing>
          <wp:inline distT="0" distB="0" distL="0" distR="0" wp14:anchorId="0BA93181" wp14:editId="04AB57FB">
            <wp:extent cx="5867400" cy="1628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67400" cy="1628775"/>
                    </a:xfrm>
                    <a:prstGeom prst="rect">
                      <a:avLst/>
                    </a:prstGeom>
                    <a:noFill/>
                    <a:ln>
                      <a:noFill/>
                    </a:ln>
                  </pic:spPr>
                </pic:pic>
              </a:graphicData>
            </a:graphic>
          </wp:inline>
        </w:drawing>
      </w:r>
    </w:p>
    <w:p w14:paraId="09CA107D" w14:textId="2C1DC5A0" w:rsidR="007C284E" w:rsidRDefault="0006003A" w:rsidP="00227711">
      <w:pPr>
        <w:pStyle w:val="GaBody"/>
      </w:pPr>
      <w:r>
        <w:t>As shown in the table for 20</w:t>
      </w:r>
      <w:r w:rsidR="00D12A57">
        <w:t>2</w:t>
      </w:r>
      <w:r w:rsidR="00433BCA">
        <w:t>1</w:t>
      </w:r>
      <w:r>
        <w:t xml:space="preserve"> (1) Distribution Asset Management reflected an </w:t>
      </w:r>
      <w:r w:rsidR="00A01266">
        <w:t>under</w:t>
      </w:r>
      <w:r>
        <w:t>-spending variance of $</w:t>
      </w:r>
      <w:r w:rsidR="00782127">
        <w:t>1.815</w:t>
      </w:r>
      <w:r w:rsidR="00A01266">
        <w:t xml:space="preserve"> million</w:t>
      </w:r>
      <w:r>
        <w:t xml:space="preserve">, or </w:t>
      </w:r>
      <w:r w:rsidR="00782127">
        <w:t>8.33</w:t>
      </w:r>
      <w:r>
        <w:t xml:space="preserve">% </w:t>
      </w:r>
      <w:r w:rsidR="00A01266">
        <w:t>lower</w:t>
      </w:r>
      <w:r>
        <w:t xml:space="preserve"> than budget; (2) Distribution Vegetation Management reflected a</w:t>
      </w:r>
      <w:r w:rsidR="00782127">
        <w:t>n under-spending</w:t>
      </w:r>
      <w:r>
        <w:t xml:space="preserve"> variance of $</w:t>
      </w:r>
      <w:r w:rsidR="00782127">
        <w:t>203,000</w:t>
      </w:r>
      <w:r>
        <w:t xml:space="preserve">, or </w:t>
      </w:r>
      <w:r w:rsidR="00782127">
        <w:t>0.27</w:t>
      </w:r>
      <w:r>
        <w:t xml:space="preserve">% </w:t>
      </w:r>
      <w:r w:rsidR="00782127">
        <w:t>low</w:t>
      </w:r>
      <w:r>
        <w:t>er than budget; and (3) Transmission Vegetation and Right of Way Management reflected a</w:t>
      </w:r>
      <w:r w:rsidR="00782127">
        <w:t>n over-spending</w:t>
      </w:r>
      <w:r>
        <w:t xml:space="preserve"> variance of </w:t>
      </w:r>
      <w:r>
        <w:lastRenderedPageBreak/>
        <w:t>$</w:t>
      </w:r>
      <w:r w:rsidR="00782127">
        <w:t>5,000</w:t>
      </w:r>
      <w:r>
        <w:t xml:space="preserve">, or </w:t>
      </w:r>
      <w:r w:rsidR="00782127">
        <w:t>0.02</w:t>
      </w:r>
      <w:r>
        <w:t xml:space="preserve">% </w:t>
      </w:r>
      <w:r w:rsidR="00782127">
        <w:t>highe</w:t>
      </w:r>
      <w:r w:rsidR="00A01266">
        <w:t>r</w:t>
      </w:r>
      <w:r>
        <w:t xml:space="preserve"> than budget.</w:t>
      </w:r>
      <w:r w:rsidR="00E63A13">
        <w:t xml:space="preserve">  In total, for 202</w:t>
      </w:r>
      <w:r w:rsidR="00782127">
        <w:t>1</w:t>
      </w:r>
      <w:r w:rsidR="00E63A13">
        <w:t>, the vegetation management expense budget was underspent by $</w:t>
      </w:r>
      <w:r w:rsidR="00782127">
        <w:t>2.013</w:t>
      </w:r>
      <w:r w:rsidR="00E63A13">
        <w:t xml:space="preserve"> million, or </w:t>
      </w:r>
      <w:r w:rsidR="00782127">
        <w:t>1.61%</w:t>
      </w:r>
      <w:r w:rsidR="00897F49">
        <w:t>, which corresponds with the Company’s response to STF-ASR-6.20.</w:t>
      </w:r>
      <w:r>
        <w:t xml:space="preserve">  </w:t>
      </w:r>
    </w:p>
    <w:p w14:paraId="5EC2FE35" w14:textId="0562242D" w:rsidR="007C284E" w:rsidRDefault="00312E56" w:rsidP="00227711">
      <w:pPr>
        <w:pStyle w:val="GaBody"/>
      </w:pPr>
      <w:r>
        <w:t xml:space="preserve">The </w:t>
      </w:r>
      <w:r w:rsidRPr="00227711">
        <w:t>Company’s</w:t>
      </w:r>
      <w:r>
        <w:t xml:space="preserve"> vegetation management plan during 202</w:t>
      </w:r>
      <w:r w:rsidR="00897F49">
        <w:t>1</w:t>
      </w:r>
      <w:r>
        <w:t xml:space="preserve"> consisted of the following activities:</w:t>
      </w:r>
    </w:p>
    <w:p w14:paraId="35C4B3FF" w14:textId="532DE38B" w:rsidR="00312E56" w:rsidRDefault="00312E56" w:rsidP="00E63A13">
      <w:pPr>
        <w:pStyle w:val="GaBody"/>
        <w:spacing w:before="0" w:after="0"/>
        <w:ind w:left="720"/>
      </w:pPr>
      <w:r w:rsidRPr="00357CF2">
        <w:rPr>
          <w:b/>
          <w:bCs/>
        </w:rPr>
        <w:t>Transmission Herb</w:t>
      </w:r>
      <w:r w:rsidR="00357CF2" w:rsidRPr="00357CF2">
        <w:rPr>
          <w:b/>
          <w:bCs/>
        </w:rPr>
        <w:t>i</w:t>
      </w:r>
      <w:r w:rsidRPr="00357CF2">
        <w:rPr>
          <w:b/>
          <w:bCs/>
        </w:rPr>
        <w:t>cide</w:t>
      </w:r>
      <w:r>
        <w:t xml:space="preserve"> – Work plan consists of one-third system miles to be sprayed each year.</w:t>
      </w:r>
    </w:p>
    <w:p w14:paraId="763AC814" w14:textId="62C1C11F" w:rsidR="00357CF2" w:rsidRDefault="00357CF2" w:rsidP="00E63A13">
      <w:pPr>
        <w:pStyle w:val="GaBody"/>
        <w:spacing w:before="0" w:after="0"/>
        <w:ind w:left="720"/>
      </w:pPr>
      <w:proofErr w:type="spellStart"/>
      <w:r w:rsidRPr="00357CF2">
        <w:rPr>
          <w:b/>
          <w:bCs/>
        </w:rPr>
        <w:t>Reclearing</w:t>
      </w:r>
      <w:proofErr w:type="spellEnd"/>
      <w:r>
        <w:t xml:space="preserve"> – Work plan is based on approximately one-sixth of system miles.</w:t>
      </w:r>
    </w:p>
    <w:p w14:paraId="3E1A9FEC" w14:textId="038FE842" w:rsidR="00357CF2" w:rsidRDefault="00357CF2" w:rsidP="00E63A13">
      <w:pPr>
        <w:pStyle w:val="GaBody"/>
        <w:spacing w:before="0" w:after="0" w:line="240" w:lineRule="auto"/>
        <w:ind w:left="720"/>
      </w:pPr>
      <w:r w:rsidRPr="00357CF2">
        <w:rPr>
          <w:b/>
          <w:bCs/>
        </w:rPr>
        <w:t>Yard Tree Removal</w:t>
      </w:r>
      <w:r>
        <w:t xml:space="preserve"> – Scheduled based on the forester’s assessment of the condition of lines within their territories, with respect to planted incompatible species on the ROW.  Lines that are most heavily impacted, and where conductor clearance is approaching critical are prioritized highest.  In highly urbanized areas, yard tree removal should be performed approximately every ten years.</w:t>
      </w:r>
    </w:p>
    <w:p w14:paraId="42CDD317" w14:textId="47CFA82D" w:rsidR="00357CF2" w:rsidRDefault="00357CF2" w:rsidP="00E63A13">
      <w:pPr>
        <w:pStyle w:val="GaBody"/>
        <w:spacing w:before="0" w:after="0" w:line="240" w:lineRule="auto"/>
        <w:ind w:left="720"/>
      </w:pPr>
    </w:p>
    <w:p w14:paraId="0473B159" w14:textId="39927895" w:rsidR="00357CF2" w:rsidRDefault="00357CF2" w:rsidP="00E63A13">
      <w:pPr>
        <w:pStyle w:val="GaBody"/>
        <w:spacing w:before="0" w:after="0" w:line="240" w:lineRule="auto"/>
        <w:ind w:left="720"/>
      </w:pPr>
      <w:r w:rsidRPr="00357CF2">
        <w:rPr>
          <w:b/>
          <w:bCs/>
        </w:rPr>
        <w:t>Danger Tree</w:t>
      </w:r>
      <w:r>
        <w:t xml:space="preserve"> – At least one patrol on all transmission lines.</w:t>
      </w:r>
    </w:p>
    <w:p w14:paraId="4328C5AB" w14:textId="0CFDBBF3" w:rsidR="00357CF2" w:rsidRDefault="00357CF2" w:rsidP="00E63A13">
      <w:pPr>
        <w:pStyle w:val="GaBody"/>
        <w:spacing w:before="0" w:after="0" w:line="240" w:lineRule="auto"/>
        <w:ind w:left="720"/>
      </w:pPr>
    </w:p>
    <w:p w14:paraId="7D200C00" w14:textId="4DF9B11E" w:rsidR="00357CF2" w:rsidRDefault="00357CF2" w:rsidP="00E63A13">
      <w:pPr>
        <w:pStyle w:val="GaBody"/>
        <w:spacing w:before="0" w:after="0" w:line="240" w:lineRule="auto"/>
        <w:ind w:left="720"/>
      </w:pPr>
      <w:r w:rsidRPr="00357CF2">
        <w:rPr>
          <w:b/>
          <w:bCs/>
        </w:rPr>
        <w:t>Transmission Side Tree Trimming</w:t>
      </w:r>
      <w:r>
        <w:t xml:space="preserve"> – Established work plan determined by due date of next scheduled activity for each line and the criticality of the line; critical lines are high voltage bulk lines.  Cycle is 8-12 years based on vegetation type and right of way conditions.</w:t>
      </w:r>
    </w:p>
    <w:p w14:paraId="7F0CA3F0" w14:textId="31929EAD" w:rsidR="00357CF2" w:rsidRDefault="00357CF2" w:rsidP="00E63A13">
      <w:pPr>
        <w:pStyle w:val="GaBody"/>
        <w:spacing w:before="0" w:after="0" w:line="240" w:lineRule="auto"/>
        <w:ind w:left="720"/>
      </w:pPr>
    </w:p>
    <w:p w14:paraId="60DE33E1" w14:textId="20A90845" w:rsidR="00357CF2" w:rsidRDefault="00357CF2" w:rsidP="00E63A13">
      <w:pPr>
        <w:pStyle w:val="GaBody"/>
        <w:spacing w:before="0" w:after="0" w:line="240" w:lineRule="auto"/>
        <w:ind w:left="720"/>
      </w:pPr>
      <w:r w:rsidRPr="00357CF2">
        <w:rPr>
          <w:b/>
          <w:bCs/>
        </w:rPr>
        <w:t>Transmission Urban Tree Trimming</w:t>
      </w:r>
      <w:r>
        <w:t xml:space="preserve"> – Established work plan determined by due date of next scheduled activity for each line.  Cycle is average of three years based on vegetation type and right of way conditions.</w:t>
      </w:r>
    </w:p>
    <w:p w14:paraId="0FAEF40B" w14:textId="65E6B77C" w:rsidR="00357CF2" w:rsidRDefault="00357CF2" w:rsidP="00E63A13">
      <w:pPr>
        <w:pStyle w:val="GaBody"/>
        <w:spacing w:before="0" w:after="0" w:line="240" w:lineRule="auto"/>
        <w:ind w:left="720"/>
      </w:pPr>
    </w:p>
    <w:p w14:paraId="5F19EB89" w14:textId="0B8CF470" w:rsidR="00357CF2" w:rsidRDefault="00357CF2" w:rsidP="00E63A13">
      <w:pPr>
        <w:pStyle w:val="GaBody"/>
        <w:spacing w:before="0" w:after="0" w:line="240" w:lineRule="auto"/>
        <w:ind w:left="720"/>
      </w:pPr>
      <w:r w:rsidRPr="00357CF2">
        <w:rPr>
          <w:b/>
          <w:bCs/>
        </w:rPr>
        <w:t>Distribution Herbicide</w:t>
      </w:r>
      <w:r>
        <w:t xml:space="preserve"> – Work plan is based on a two-year cycle where approximately half of the system miles are sprayed each year.</w:t>
      </w:r>
    </w:p>
    <w:p w14:paraId="398A3106" w14:textId="1A6A085D" w:rsidR="00357CF2" w:rsidRDefault="00357CF2" w:rsidP="00E63A13">
      <w:pPr>
        <w:pStyle w:val="GaBody"/>
        <w:spacing w:before="0" w:after="0" w:line="240" w:lineRule="auto"/>
        <w:ind w:left="720"/>
      </w:pPr>
    </w:p>
    <w:p w14:paraId="70CF8903" w14:textId="211C452B" w:rsidR="00357CF2" w:rsidRDefault="00357CF2" w:rsidP="00E63A13">
      <w:pPr>
        <w:pStyle w:val="GaBody"/>
        <w:spacing w:before="0" w:after="0" w:line="240" w:lineRule="auto"/>
        <w:ind w:left="720"/>
      </w:pPr>
      <w:r w:rsidRPr="00357CF2">
        <w:rPr>
          <w:b/>
          <w:bCs/>
        </w:rPr>
        <w:t>Distribution Tree Trimming</w:t>
      </w:r>
      <w:r>
        <w:t xml:space="preserve"> – Cycle typically ranges from 24-60 months, with an average of approximately three and a half years.  Cycles are based on vegetation type and right of way conditions.</w:t>
      </w:r>
    </w:p>
    <w:p w14:paraId="54964C20" w14:textId="62C8EA0D" w:rsidR="00E63A13" w:rsidRDefault="00E63A13" w:rsidP="00357CF2">
      <w:pPr>
        <w:pStyle w:val="GaBody"/>
        <w:spacing w:before="0" w:after="0" w:line="240" w:lineRule="auto"/>
      </w:pPr>
    </w:p>
    <w:p w14:paraId="55A443F7" w14:textId="77777777" w:rsidR="001D6684" w:rsidRDefault="00E63A13" w:rsidP="00227711">
      <w:pPr>
        <w:pStyle w:val="GaBody"/>
      </w:pPr>
      <w:r>
        <w:t xml:space="preserve">Staff requested that GPC identify and </w:t>
      </w:r>
      <w:r w:rsidRPr="00227711">
        <w:t>document</w:t>
      </w:r>
      <w:r>
        <w:t xml:space="preserve"> all Company decisions in 202</w:t>
      </w:r>
      <w:r w:rsidR="001917DA">
        <w:t>1</w:t>
      </w:r>
      <w:r>
        <w:t xml:space="preserve"> to defer or delay distribution and transmission vegetation management and right of way management.  In response </w:t>
      </w:r>
      <w:r>
        <w:lastRenderedPageBreak/>
        <w:t>to STF-ASR-</w:t>
      </w:r>
      <w:r w:rsidR="001917DA">
        <w:t>6</w:t>
      </w:r>
      <w:r>
        <w:t xml:space="preserve">-18, the Company stated </w:t>
      </w:r>
      <w:r w:rsidR="001917DA">
        <w:t>that there were no decisions to defer or delay either distribution or transmission management during 2021.</w:t>
      </w:r>
      <w:r w:rsidR="002717FC">
        <w:t xml:space="preserve">  </w:t>
      </w:r>
    </w:p>
    <w:p w14:paraId="1A024CBF" w14:textId="357392CE" w:rsidR="00E63A13" w:rsidRDefault="001D6684" w:rsidP="00227711">
      <w:pPr>
        <w:pStyle w:val="GaBody"/>
      </w:pPr>
      <w:r>
        <w:t xml:space="preserve">Staff also inquired into the Company’s progress in 2021 in addressing the vegetation management backlog.  </w:t>
      </w:r>
      <w:r w:rsidR="002717FC">
        <w:t>In its response to STF-ASR-6-71, the Company stated that the Distribution Vegetation Management backlog was 6,900 miles as of January 1, 2021 and 3,500 miles as of December 31, 2021.  In its response to STF-ASR-6-72, the Company stated that the Transmission Vegetation Management backlog was 68 miles as of January 1, 2021 and 0 miles as of December 31, 2021.</w:t>
      </w:r>
    </w:p>
    <w:p w14:paraId="6984732D" w14:textId="77777777" w:rsidR="007C284E" w:rsidRPr="00D76182" w:rsidRDefault="0006003A" w:rsidP="007C284E">
      <w:pPr>
        <w:pStyle w:val="GaBody"/>
        <w:spacing w:before="0" w:after="0"/>
        <w:rPr>
          <w:b/>
          <w:u w:val="single"/>
        </w:rPr>
      </w:pPr>
      <w:r w:rsidRPr="00D76182">
        <w:rPr>
          <w:b/>
          <w:u w:val="single"/>
        </w:rPr>
        <w:t>Recommendation</w:t>
      </w:r>
    </w:p>
    <w:p w14:paraId="19438241" w14:textId="7AD491E9" w:rsidR="007C284E" w:rsidRDefault="0006003A" w:rsidP="001D6684">
      <w:pPr>
        <w:pStyle w:val="GaBody"/>
      </w:pPr>
      <w:r>
        <w:t xml:space="preserve">Staff is not </w:t>
      </w:r>
      <w:r w:rsidRPr="001D6684">
        <w:t>recommending</w:t>
      </w:r>
      <w:r>
        <w:t xml:space="preserve"> an adjustment to Vegetation Management expense included in the 20</w:t>
      </w:r>
      <w:r w:rsidR="00D12A57">
        <w:t>2</w:t>
      </w:r>
      <w:r w:rsidR="002717FC">
        <w:t>1</w:t>
      </w:r>
      <w:r>
        <w:t xml:space="preserve"> ASR.</w:t>
      </w:r>
      <w:r w:rsidR="002717FC">
        <w:t xml:space="preserve">  As noted above, the Company’s Transmission related backlog was</w:t>
      </w:r>
      <w:r w:rsidR="00192760">
        <w:t xml:space="preserve"> reduced to</w:t>
      </w:r>
      <w:r w:rsidR="002717FC">
        <w:t xml:space="preserve"> zero as of December 31, 2021.</w:t>
      </w:r>
      <w:r>
        <w:t xml:space="preserve">  Staff remains concerned about the</w:t>
      </w:r>
      <w:r w:rsidR="00192760">
        <w:t xml:space="preserve"> remaining 3,500 miles of</w:t>
      </w:r>
      <w:r>
        <w:t xml:space="preserve"> Distribution </w:t>
      </w:r>
      <w:r w:rsidR="00192760">
        <w:t>vegetation management</w:t>
      </w:r>
      <w:r>
        <w:t xml:space="preserve"> backlog in terms of the potential impacts on reliability in areas of dense terrain and also from the standpoint of the </w:t>
      </w:r>
      <w:r w:rsidR="00E63A13">
        <w:t xml:space="preserve">future </w:t>
      </w:r>
      <w:r>
        <w:t>costs associated with allocating the additional resources that will be necessary to eliminate th</w:t>
      </w:r>
      <w:r w:rsidR="00192760">
        <w:t>at</w:t>
      </w:r>
      <w:r w:rsidR="00045C7C">
        <w:t xml:space="preserve"> remaining</w:t>
      </w:r>
      <w:r>
        <w:t xml:space="preserve"> </w:t>
      </w:r>
      <w:r w:rsidR="00C603F9">
        <w:t xml:space="preserve">Distribution </w:t>
      </w:r>
      <w:r>
        <w:t>backlog.</w:t>
      </w:r>
      <w:r w:rsidR="002717FC">
        <w:t xml:space="preserve">  </w:t>
      </w:r>
      <w:r>
        <w:t>Therefore, Staff recommends t</w:t>
      </w:r>
      <w:r w:rsidRPr="00570551">
        <w:t xml:space="preserve">hat the Company explain in detail </w:t>
      </w:r>
      <w:r w:rsidR="00E63A13">
        <w:t>its plans to address and</w:t>
      </w:r>
      <w:r w:rsidR="00032524">
        <w:t xml:space="preserve"> </w:t>
      </w:r>
      <w:r w:rsidRPr="00570551">
        <w:t>eliminate the Distribution Vegetation</w:t>
      </w:r>
      <w:r>
        <w:t xml:space="preserve"> Management</w:t>
      </w:r>
      <w:r w:rsidR="00312E56">
        <w:t xml:space="preserve"> </w:t>
      </w:r>
      <w:r w:rsidRPr="00570551">
        <w:t>backlog</w:t>
      </w:r>
      <w:r>
        <w:t>.</w:t>
      </w:r>
    </w:p>
    <w:p w14:paraId="33C859F6" w14:textId="0D1767BB" w:rsidR="009F163F" w:rsidRDefault="009F163F" w:rsidP="009F163F">
      <w:pPr>
        <w:pStyle w:val="GaBody"/>
        <w:spacing w:before="0" w:after="0"/>
        <w:rPr>
          <w:b/>
          <w:u w:val="single"/>
        </w:rPr>
      </w:pPr>
      <w:r>
        <w:rPr>
          <w:b/>
          <w:u w:val="single"/>
        </w:rPr>
        <w:t>Preliminary Surveys and Investigations</w:t>
      </w:r>
    </w:p>
    <w:p w14:paraId="72A97A00" w14:textId="2AB14181" w:rsidR="001D59D1" w:rsidRDefault="00EB5231" w:rsidP="00045C7C">
      <w:pPr>
        <w:pStyle w:val="GaBody"/>
      </w:pPr>
      <w:r>
        <w:t>GPC’s retail rate base</w:t>
      </w:r>
      <w:r w:rsidR="00F5019E">
        <w:t xml:space="preserve"> for the 202</w:t>
      </w:r>
      <w:r w:rsidR="0039578A">
        <w:t>1</w:t>
      </w:r>
      <w:r w:rsidR="00F5019E">
        <w:t xml:space="preserve"> ASR</w:t>
      </w:r>
      <w:r>
        <w:t xml:space="preserve"> included costs for Preliminary Surveys and Investigations (“PS&amp;I”).  </w:t>
      </w:r>
      <w:r w:rsidR="00F5019E">
        <w:t>I</w:t>
      </w:r>
      <w:r>
        <w:t>n its response to STF-ASR-</w:t>
      </w:r>
      <w:r w:rsidR="0039578A">
        <w:t>6</w:t>
      </w:r>
      <w:r>
        <w:t>-60, the Company stated that the Operating Reserves line item in Section 2, page 1 of 2 in the 202</w:t>
      </w:r>
      <w:r w:rsidR="0039578A">
        <w:t>1</w:t>
      </w:r>
      <w:r>
        <w:t xml:space="preserve"> ASR includes a 13-month average balance of PS&amp;I costs totaling $2</w:t>
      </w:r>
      <w:r w:rsidR="0039578A">
        <w:t>9.7</w:t>
      </w:r>
      <w:r>
        <w:t xml:space="preserve"> million</w:t>
      </w:r>
      <w:r w:rsidR="001D59D1">
        <w:t xml:space="preserve">.  Staff requested that the Company specifically identify and explain any </w:t>
      </w:r>
      <w:r w:rsidR="001D59D1">
        <w:lastRenderedPageBreak/>
        <w:t>amount</w:t>
      </w:r>
      <w:r w:rsidR="00DE490C">
        <w:t>s</w:t>
      </w:r>
      <w:r w:rsidR="001D59D1">
        <w:t xml:space="preserve"> included in PS&amp;I costs tha</w:t>
      </w:r>
      <w:r w:rsidR="00DE490C">
        <w:t xml:space="preserve">t relate to </w:t>
      </w:r>
      <w:r w:rsidR="001D59D1">
        <w:t>(1) Plant Vogtle Units 3 and 4, and (2)</w:t>
      </w:r>
      <w:r w:rsidR="00DE490C">
        <w:t xml:space="preserve"> pursuing or maintaining an option to build new nuclear plants.  As it relates to Plant Vogtle Units 3 and 4, in its response to STF-ASR-</w:t>
      </w:r>
      <w:r w:rsidR="0039578A">
        <w:t>6</w:t>
      </w:r>
      <w:r w:rsidR="00DE490C">
        <w:t>-61, the Company stated that the PS&amp;I accounts do not contain amounts related to Plant Vogtle Units 3 and 4 since that project was certified by the Commission and the capital expenditures recorded to Construction Work in Progress (“CWIP”).  In addition, the response to STF-ASR-</w:t>
      </w:r>
      <w:r w:rsidR="0039578A">
        <w:t>6</w:t>
      </w:r>
      <w:r w:rsidR="00DE490C">
        <w:t>-61 stated that there are no PS&amp;I accounts included in the 202</w:t>
      </w:r>
      <w:r w:rsidR="0039578A">
        <w:t>1</w:t>
      </w:r>
      <w:r w:rsidR="00DE490C">
        <w:t xml:space="preserve"> ASR related to preserving </w:t>
      </w:r>
      <w:r w:rsidR="00F5019E">
        <w:t>an</w:t>
      </w:r>
      <w:r w:rsidR="00DE490C">
        <w:t xml:space="preserve"> option for new nuclear generation. </w:t>
      </w:r>
      <w:r w:rsidR="001D59D1">
        <w:t xml:space="preserve">   </w:t>
      </w:r>
    </w:p>
    <w:p w14:paraId="639319CE" w14:textId="4705E352" w:rsidR="009F163F" w:rsidRDefault="001D59D1" w:rsidP="00045C7C">
      <w:pPr>
        <w:pStyle w:val="GaBody"/>
      </w:pPr>
      <w:r>
        <w:t>The breakout of the PS&amp;I costs included in the 202</w:t>
      </w:r>
      <w:r w:rsidR="0039578A">
        <w:t>1</w:t>
      </w:r>
      <w:r>
        <w:t xml:space="preserve"> ASR retail rate base</w:t>
      </w:r>
      <w:r w:rsidR="00DE490C">
        <w:t xml:space="preserve"> (provided in STF-ASR-</w:t>
      </w:r>
      <w:r w:rsidR="0039578A">
        <w:t>6</w:t>
      </w:r>
      <w:r w:rsidR="00DE490C">
        <w:t>-61)</w:t>
      </w:r>
      <w:r>
        <w:t xml:space="preserve"> </w:t>
      </w:r>
      <w:r w:rsidR="00EB5231">
        <w:t>is summarized by month in the table below:</w:t>
      </w:r>
    </w:p>
    <w:p w14:paraId="207060C5" w14:textId="77BE8CF8" w:rsidR="00EB5231" w:rsidRDefault="0029081A" w:rsidP="00B62753">
      <w:pPr>
        <w:pStyle w:val="GaBody"/>
      </w:pPr>
      <w:r w:rsidRPr="0029081A">
        <w:rPr>
          <w:noProof/>
        </w:rPr>
        <w:drawing>
          <wp:inline distT="0" distB="0" distL="0" distR="0" wp14:anchorId="40644F29" wp14:editId="23C64443">
            <wp:extent cx="5943600" cy="193675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1936750"/>
                    </a:xfrm>
                    <a:prstGeom prst="rect">
                      <a:avLst/>
                    </a:prstGeom>
                    <a:noFill/>
                    <a:ln>
                      <a:noFill/>
                    </a:ln>
                  </pic:spPr>
                </pic:pic>
              </a:graphicData>
            </a:graphic>
          </wp:inline>
        </w:drawing>
      </w:r>
    </w:p>
    <w:p w14:paraId="1466F2D2" w14:textId="5F11DAEF" w:rsidR="009568CF" w:rsidRDefault="00DE490C" w:rsidP="00045C7C">
      <w:pPr>
        <w:pStyle w:val="GaBody"/>
      </w:pPr>
      <w:r>
        <w:t xml:space="preserve">Of the PS&amp;I items listed in the table </w:t>
      </w:r>
      <w:r w:rsidRPr="00045C7C">
        <w:t>above</w:t>
      </w:r>
      <w:r>
        <w:t xml:space="preserve">, the </w:t>
      </w:r>
      <w:r w:rsidR="0029081A">
        <w:t>following</w:t>
      </w:r>
      <w:r w:rsidR="00B34A5B">
        <w:t xml:space="preserve"> four</w:t>
      </w:r>
      <w:r w:rsidR="0029081A">
        <w:t xml:space="preserve"> </w:t>
      </w:r>
      <w:r>
        <w:t>line item</w:t>
      </w:r>
      <w:r w:rsidR="0029081A">
        <w:t xml:space="preserve">s are new </w:t>
      </w:r>
      <w:r w:rsidR="009568CF">
        <w:t>PS&amp;I accounts</w:t>
      </w:r>
      <w:r w:rsidR="0029081A">
        <w:t xml:space="preserve"> included in the 2021 ASR</w:t>
      </w:r>
      <w:r w:rsidR="009568CF">
        <w:t>:</w:t>
      </w:r>
      <w:r w:rsidR="00155030">
        <w:rPr>
          <w:rStyle w:val="FootnoteReference"/>
        </w:rPr>
        <w:footnoteReference w:id="3"/>
      </w:r>
      <w:r w:rsidR="009568CF">
        <w:t xml:space="preserve"> (1) Georgia Deep Well Project, (2) Tall Wind Project, (3) PCC Building II, and (4) DCC Building II.</w:t>
      </w:r>
      <w:r w:rsidR="00155030">
        <w:t xml:space="preserve">  According to the response to STF-ASR-</w:t>
      </w:r>
      <w:r w:rsidR="009568CF">
        <w:t>6</w:t>
      </w:r>
      <w:r w:rsidR="00155030">
        <w:t>-60, th</w:t>
      </w:r>
      <w:r w:rsidR="009568CF">
        <w:t>e descriptions for these four new PS&amp;I</w:t>
      </w:r>
      <w:r w:rsidR="00155030">
        <w:t xml:space="preserve"> account</w:t>
      </w:r>
      <w:r w:rsidR="009568CF">
        <w:t>s</w:t>
      </w:r>
      <w:r w:rsidR="00155030">
        <w:t xml:space="preserve"> </w:t>
      </w:r>
      <w:r w:rsidR="009568CF">
        <w:t>are as follows:</w:t>
      </w:r>
    </w:p>
    <w:p w14:paraId="34FD8B54" w14:textId="12B1522C" w:rsidR="00EC2DB1" w:rsidRDefault="009568CF" w:rsidP="009568CF">
      <w:pPr>
        <w:pStyle w:val="GaBody"/>
        <w:numPr>
          <w:ilvl w:val="0"/>
          <w:numId w:val="49"/>
        </w:numPr>
      </w:pPr>
      <w:r>
        <w:lastRenderedPageBreak/>
        <w:t>Georgia Deep Well Project – This is a study to determine if the geology of a site near Plant Bowen is suitable for carbon capture.</w:t>
      </w:r>
      <w:r w:rsidR="00155030">
        <w:t xml:space="preserve"> </w:t>
      </w:r>
    </w:p>
    <w:p w14:paraId="37AA1888" w14:textId="20DFD685" w:rsidR="009568CF" w:rsidRDefault="009568CF" w:rsidP="009568CF">
      <w:pPr>
        <w:pStyle w:val="GaBody"/>
        <w:numPr>
          <w:ilvl w:val="0"/>
          <w:numId w:val="49"/>
        </w:numPr>
      </w:pPr>
      <w:r>
        <w:t>Tall Wind Project – This is a study to test the feasibility of wind in Georgia, more specifically, related to wind towers much higher than regular towers to capture more consistent wind at higher altitudes.</w:t>
      </w:r>
    </w:p>
    <w:p w14:paraId="46357EF6" w14:textId="65EB08F4" w:rsidR="009568CF" w:rsidRDefault="00BA50C0" w:rsidP="009568CF">
      <w:pPr>
        <w:pStyle w:val="GaBody"/>
        <w:numPr>
          <w:ilvl w:val="0"/>
          <w:numId w:val="49"/>
        </w:numPr>
      </w:pPr>
      <w:bookmarkStart w:id="3" w:name="_Hlk107331294"/>
      <w:r>
        <w:t xml:space="preserve">PCC Building II – This is a study to determine the feasibility of a new power control center </w:t>
      </w:r>
      <w:r w:rsidR="00477685" w:rsidRPr="00477685">
        <w:t>in</w:t>
      </w:r>
      <w:r w:rsidRPr="00477685">
        <w:t xml:space="preserve"> Alabama</w:t>
      </w:r>
      <w:r>
        <w:t xml:space="preserve"> that, if feasible, will be co-owned along with Alabama Power Company and Mississippi Power Company.</w:t>
      </w:r>
    </w:p>
    <w:p w14:paraId="6DDD1A5C" w14:textId="04C37327" w:rsidR="00BA50C0" w:rsidRDefault="00BA50C0" w:rsidP="009568CF">
      <w:pPr>
        <w:pStyle w:val="GaBody"/>
        <w:numPr>
          <w:ilvl w:val="0"/>
          <w:numId w:val="49"/>
        </w:numPr>
      </w:pPr>
      <w:r>
        <w:t xml:space="preserve">DCC Building II – This is a study to determine the feasibility of a new power control center in </w:t>
      </w:r>
      <w:r w:rsidRPr="00477685">
        <w:t>Georgia</w:t>
      </w:r>
      <w:r>
        <w:t xml:space="preserve"> that, if feasible, will be co-owned along with Alabama Power Company, Mississippi Power Company, and Southern Linc.</w:t>
      </w:r>
    </w:p>
    <w:bookmarkEnd w:id="3"/>
    <w:p w14:paraId="4E3DADF1" w14:textId="6009B530" w:rsidR="00BA50C0" w:rsidRDefault="00D905CB" w:rsidP="00045C7C">
      <w:pPr>
        <w:pStyle w:val="GaBody"/>
      </w:pPr>
      <w:r>
        <w:t>Of these four new PS&amp;I accounts that are included in the 2021 ASR 13-month average retail rate base</w:t>
      </w:r>
      <w:r w:rsidR="00551D03">
        <w:t xml:space="preserve">, the most significant costs are related to the Georgia Deep Well Project, which total $1.249 million.  The costs related to the remaining three new PS&amp;I accounts that are included in the 2021 ASR 13-month average rate base are </w:t>
      </w:r>
      <w:r w:rsidR="00B34A5B">
        <w:t>relatively negligible</w:t>
      </w:r>
      <w:r w:rsidR="00551D03">
        <w:t xml:space="preserve"> and are as follows: (1) Tall Wind Project - $1,000, (2) PCC Building II - $2,000, and (3) DCC Building II - $6,000.</w:t>
      </w:r>
      <w:r w:rsidR="00864D3B">
        <w:t xml:space="preserve"> </w:t>
      </w:r>
      <w:r>
        <w:t xml:space="preserve"> </w:t>
      </w:r>
    </w:p>
    <w:p w14:paraId="02D8CA1B" w14:textId="768AE09B" w:rsidR="00B135AA" w:rsidRDefault="00B135AA" w:rsidP="004B451A">
      <w:pPr>
        <w:pStyle w:val="GaBody"/>
        <w:spacing w:before="0" w:after="0" w:line="360" w:lineRule="auto"/>
        <w:rPr>
          <w:b/>
          <w:u w:val="single"/>
        </w:rPr>
      </w:pPr>
      <w:r>
        <w:rPr>
          <w:b/>
          <w:u w:val="single"/>
        </w:rPr>
        <w:t>Recommendation</w:t>
      </w:r>
    </w:p>
    <w:p w14:paraId="647A1F97" w14:textId="721CA548" w:rsidR="009F163F" w:rsidRDefault="00F5019E" w:rsidP="00045C7C">
      <w:pPr>
        <w:pStyle w:val="GaBody"/>
      </w:pPr>
      <w:r>
        <w:t xml:space="preserve">Staff is not </w:t>
      </w:r>
      <w:r w:rsidRPr="00045C7C">
        <w:t>recommending</w:t>
      </w:r>
      <w:r>
        <w:t xml:space="preserve"> any adjustments for PS&amp;I costs in the 202</w:t>
      </w:r>
      <w:r w:rsidR="00063DCC">
        <w:t>1</w:t>
      </w:r>
      <w:r>
        <w:t xml:space="preserve"> ASR rate base.</w:t>
      </w:r>
      <w:r w:rsidR="00B34A5B">
        <w:t xml:space="preserve">  The costs included in retail rate base for the four new</w:t>
      </w:r>
      <w:r w:rsidR="00AB105A">
        <w:t xml:space="preserve"> PS&amp;I</w:t>
      </w:r>
      <w:r w:rsidR="00B34A5B">
        <w:t xml:space="preserve"> items </w:t>
      </w:r>
      <w:r w:rsidR="00AB105A">
        <w:t>discussed above</w:t>
      </w:r>
      <w:r w:rsidR="0011302E">
        <w:t xml:space="preserve"> totaling $1.258 million</w:t>
      </w:r>
      <w:r w:rsidR="00AB105A">
        <w:t xml:space="preserve"> </w:t>
      </w:r>
      <w:r w:rsidR="00AB105A">
        <w:lastRenderedPageBreak/>
        <w:t>comprise less than .01% of the total</w:t>
      </w:r>
      <w:r w:rsidR="0011302E">
        <w:t xml:space="preserve"> 2021 ASR</w:t>
      </w:r>
      <w:r w:rsidR="00AB105A">
        <w:t xml:space="preserve"> 13-month average retail rate base </w:t>
      </w:r>
      <w:r w:rsidR="0011302E">
        <w:t>of $21.647 million</w:t>
      </w:r>
      <w:r w:rsidR="00AB105A">
        <w:t xml:space="preserve">. </w:t>
      </w:r>
      <w:r w:rsidR="00B34A5B">
        <w:t xml:space="preserve"> </w:t>
      </w:r>
      <w:r>
        <w:t xml:space="preserve"> </w:t>
      </w:r>
    </w:p>
    <w:p w14:paraId="72DF1FCB" w14:textId="22BDD5CE" w:rsidR="004B1AEF" w:rsidRDefault="004B1AEF" w:rsidP="00045C7C">
      <w:pPr>
        <w:pStyle w:val="GaBody"/>
        <w:keepNext/>
        <w:spacing w:before="0" w:after="0" w:line="360" w:lineRule="auto"/>
        <w:rPr>
          <w:b/>
          <w:u w:val="single"/>
        </w:rPr>
      </w:pPr>
      <w:r>
        <w:rPr>
          <w:b/>
          <w:u w:val="single"/>
        </w:rPr>
        <w:t>Research and Development Tax Credits</w:t>
      </w:r>
    </w:p>
    <w:p w14:paraId="3D3FA019" w14:textId="47E38B82" w:rsidR="00F91A1A" w:rsidRDefault="00F91A1A" w:rsidP="004B1AEF">
      <w:pPr>
        <w:pStyle w:val="GaBody"/>
      </w:pPr>
      <w:r>
        <w:t>The IRS provides specific instructions for businesses that perform qualified research and development (“R&amp;D”) activities and that wish to reduce their tax liability using the federal R&amp;D tax credit.  Specifically, the R&amp;D guidelines are outlined in Internal Revenue Code (“IRC”) Sections 41 and 174.</w:t>
      </w:r>
    </w:p>
    <w:p w14:paraId="78AC096E" w14:textId="6E313DA1" w:rsidR="004B1AEF" w:rsidRDefault="00F91A1A" w:rsidP="00045C7C">
      <w:pPr>
        <w:pStyle w:val="GaBody"/>
      </w:pPr>
      <w:r>
        <w:t>With regard to IRC § 174, Staff requested that GPC identify any expenditures related to research and experimentation incurred during 2021 that were eligible for federal income tax deductions.  In its response to STF-ASR-8-1, the Company stated:</w:t>
      </w:r>
    </w:p>
    <w:p w14:paraId="72164830" w14:textId="7402F29B" w:rsidR="00F91A1A" w:rsidRDefault="003011AC" w:rsidP="003011AC">
      <w:pPr>
        <w:pStyle w:val="GaBody"/>
        <w:spacing w:before="0" w:after="0" w:line="240" w:lineRule="auto"/>
        <w:ind w:left="720" w:right="720"/>
      </w:pPr>
      <w:r>
        <w:t>The Company is currently working on preparing the 2021 federal income tax return that will be filed later this summer.  Due to the complexities and tests involved with identifying eligible costs for purposes of claiming federal income tax deductions under § 174 of the Internal Revenue Code (IRC), the Company uses external consultants to assist with analyzing research and experimentation expenditures.  At this time, no expenditures have been identified as deductions under § 174 of the Internal Revenue Code for the 2021 tax year.</w:t>
      </w:r>
    </w:p>
    <w:p w14:paraId="198ECDE1" w14:textId="77777777" w:rsidR="00D1401E" w:rsidRDefault="00D1401E" w:rsidP="00F21A39">
      <w:pPr>
        <w:pStyle w:val="GaBody"/>
        <w:spacing w:before="0" w:after="0"/>
      </w:pPr>
    </w:p>
    <w:p w14:paraId="25BEB02C" w14:textId="7A654180" w:rsidR="00634F85" w:rsidRDefault="003011AC" w:rsidP="00F21A39">
      <w:pPr>
        <w:pStyle w:val="GaBody"/>
        <w:spacing w:before="0" w:after="0"/>
      </w:pPr>
      <w:r>
        <w:t xml:space="preserve">Staff made a similar inquiry with regard to GPC’s expenditures incurred for research </w:t>
      </w:r>
      <w:r w:rsidR="003D063F">
        <w:t>in 2021 that the Company expects will be eligible for federal income tax credits under § 41 of the IRC.  In its response to STF-ASR-8-2, the Company stated that i</w:t>
      </w:r>
      <w:r w:rsidR="00CB04BE">
        <w:t xml:space="preserve">t </w:t>
      </w:r>
      <w:r w:rsidR="00F21A39">
        <w:t xml:space="preserve">currently </w:t>
      </w:r>
      <w:r w:rsidR="00CB04BE">
        <w:t xml:space="preserve">estimates </w:t>
      </w:r>
      <w:r w:rsidR="003D063F">
        <w:t>that $9.877 million of research expenditures associated with</w:t>
      </w:r>
      <w:r w:rsidR="00CB04BE">
        <w:t xml:space="preserve"> Electric Power Research Institute</w:t>
      </w:r>
      <w:r w:rsidR="003D063F">
        <w:t xml:space="preserve"> </w:t>
      </w:r>
      <w:r w:rsidR="00CB04BE">
        <w:t>(“</w:t>
      </w:r>
      <w:r w:rsidR="003D063F">
        <w:t>EPRI</w:t>
      </w:r>
      <w:r w:rsidR="00CB04BE">
        <w:t>”)</w:t>
      </w:r>
      <w:r w:rsidR="003D063F">
        <w:t xml:space="preserve"> dues will be eligible</w:t>
      </w:r>
      <w:r w:rsidR="00D83480">
        <w:t xml:space="preserve"> for federal income tax credits</w:t>
      </w:r>
      <w:r w:rsidR="003D063F">
        <w:t xml:space="preserve"> under § 41 of the IRC.</w:t>
      </w:r>
      <w:r w:rsidR="00DF1CD0">
        <w:t xml:space="preserve"> </w:t>
      </w:r>
      <w:r w:rsidR="00634F85">
        <w:t xml:space="preserve"> Through an informal data request</w:t>
      </w:r>
      <w:r w:rsidR="00212E28">
        <w:t>,</w:t>
      </w:r>
      <w:r w:rsidR="00DF1CD0">
        <w:t xml:space="preserve"> </w:t>
      </w:r>
      <w:r w:rsidR="00CB04BE">
        <w:t xml:space="preserve">Staff asked GPC whether it recorded a reduction to federal income taxes </w:t>
      </w:r>
      <w:r w:rsidR="00265E61">
        <w:t>pursuant</w:t>
      </w:r>
      <w:r w:rsidR="00CB04BE">
        <w:t xml:space="preserve"> to the $9.877 million of expenditures </w:t>
      </w:r>
      <w:r w:rsidR="00265E61">
        <w:t>associated with</w:t>
      </w:r>
      <w:r w:rsidR="00CB04BE">
        <w:t xml:space="preserve"> EPRI dues</w:t>
      </w:r>
      <w:r w:rsidR="00265E61">
        <w:t xml:space="preserve"> that GPC expects will be eligible for federal </w:t>
      </w:r>
      <w:r w:rsidR="00265E61">
        <w:lastRenderedPageBreak/>
        <w:t>income tax credits under § 41 of the IRC</w:t>
      </w:r>
      <w:r w:rsidR="00CB04BE">
        <w:t xml:space="preserve"> in its 2021 results</w:t>
      </w:r>
      <w:r w:rsidR="00265E61">
        <w:t xml:space="preserve">.  </w:t>
      </w:r>
      <w:r w:rsidR="00634F85">
        <w:t>In response to Staff’s informal inquiry, the Company stated:</w:t>
      </w:r>
    </w:p>
    <w:p w14:paraId="09189AF0" w14:textId="39AA4790" w:rsidR="00265E61" w:rsidRDefault="00634F85" w:rsidP="00DB5E7D">
      <w:pPr>
        <w:pStyle w:val="GaBody"/>
        <w:spacing w:before="0" w:after="0" w:line="240" w:lineRule="auto"/>
        <w:ind w:left="720" w:right="720"/>
      </w:pPr>
      <w:r>
        <w:t>Yes, the Company included $1,287,160 of estimated R&amp;E credits in the 2021 results of operations related to $9,051,755 of estimated eligible research expenditures associated with EPRI dues in 2021.  This amount is different from the $9,876,755 of research expenditures as identified in the Company’s response to STF-ASR-8-2 because the amounts used to calculate the R&amp;E credit included in the 2021 ASR were an estimate.  The difference between the final 2021 R&amp;E credits and the estimate included in the 2021 ASR will recorded in the 2022 operating results as part of the 2021 tax return to provision true up.</w:t>
      </w:r>
    </w:p>
    <w:p w14:paraId="54882944" w14:textId="77777777" w:rsidR="0049275B" w:rsidRDefault="0049275B" w:rsidP="00DB5E7D">
      <w:pPr>
        <w:pStyle w:val="GaBody"/>
        <w:spacing w:before="0" w:after="0" w:line="240" w:lineRule="auto"/>
        <w:ind w:left="720" w:right="720"/>
      </w:pPr>
    </w:p>
    <w:p w14:paraId="3B9EB0BC" w14:textId="77777777" w:rsidR="008B43F6" w:rsidRDefault="00D453AE" w:rsidP="008B43F6">
      <w:pPr>
        <w:pStyle w:val="GaBody"/>
        <w:spacing w:before="0" w:after="0"/>
      </w:pPr>
      <w:r>
        <w:t>In response to Staff’s inquiry as to whether the Company calculated the R&amp;E credit by multiplying the EPRI dues by the federal income tax rate of 21%, the Company provided the following calculation</w:t>
      </w:r>
      <w:r w:rsidR="008B43F6">
        <w:t>s of the R&amp;E credit estimate of $1.287 million, which reflects the IRS approved methodology:</w:t>
      </w:r>
    </w:p>
    <w:p w14:paraId="1135D046" w14:textId="3FB58EF8" w:rsidR="00634F85" w:rsidRDefault="008B43F6" w:rsidP="00212E28">
      <w:pPr>
        <w:pStyle w:val="GaBody"/>
      </w:pPr>
      <w:r>
        <w:tab/>
      </w:r>
      <w:r>
        <w:tab/>
      </w:r>
      <w:r>
        <w:tab/>
      </w:r>
      <w:r w:rsidR="00EB1933" w:rsidRPr="00EB1933">
        <w:rPr>
          <w:noProof/>
        </w:rPr>
        <w:drawing>
          <wp:inline distT="0" distB="0" distL="0" distR="0" wp14:anchorId="5EBEA32B" wp14:editId="27248957">
            <wp:extent cx="3505200" cy="227647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05200" cy="2276475"/>
                    </a:xfrm>
                    <a:prstGeom prst="rect">
                      <a:avLst/>
                    </a:prstGeom>
                    <a:noFill/>
                    <a:ln>
                      <a:noFill/>
                    </a:ln>
                  </pic:spPr>
                </pic:pic>
              </a:graphicData>
            </a:graphic>
          </wp:inline>
        </w:drawing>
      </w:r>
      <w:r w:rsidR="00D453AE">
        <w:t xml:space="preserve"> </w:t>
      </w:r>
    </w:p>
    <w:p w14:paraId="5428D047" w14:textId="63B82BC5" w:rsidR="008B43F6" w:rsidRDefault="0049275B" w:rsidP="00695D4B">
      <w:pPr>
        <w:pStyle w:val="GaBody"/>
      </w:pPr>
      <w:r>
        <w:t>As shown in the above table, the estimate</w:t>
      </w:r>
      <w:r w:rsidR="00EB1933">
        <w:t>d</w:t>
      </w:r>
      <w:r>
        <w:t xml:space="preserve"> research expenditures associated with EPRI dues of $9.052 million is comprised of EPRI dues totaling $6.909 million</w:t>
      </w:r>
      <w:r w:rsidR="007B3C69">
        <w:t xml:space="preserve"> </w:t>
      </w:r>
      <w:r>
        <w:t>and other EPRI invoices totaling $2.143 million.</w:t>
      </w:r>
      <w:r w:rsidR="00EB1933">
        <w:t xml:space="preserve">  As noted in the passage above, the $9.052 million of EPRI dues is the estimated amount used to calculate the R&amp;E credit.  In response to Staff’s informal data request, GPC stated that </w:t>
      </w:r>
      <w:r w:rsidR="00F21A39">
        <w:t>its current estimate of</w:t>
      </w:r>
      <w:r w:rsidR="00EB1933">
        <w:t xml:space="preserve"> $9.877 million of EPRI dues (identified in response to STF-ASR-8-2) </w:t>
      </w:r>
      <w:r w:rsidR="00EB1933">
        <w:lastRenderedPageBreak/>
        <w:t xml:space="preserve">is comprised of </w:t>
      </w:r>
      <w:r w:rsidR="00D35153">
        <w:t xml:space="preserve">(1) $6.909 million of EPRI dues allocated to GPC from Southern Company, and (2) EPRI invoices totaling $2.968 million that were directly billed to GPC.  </w:t>
      </w:r>
      <w:r w:rsidR="00EB1933">
        <w:t xml:space="preserve"> </w:t>
      </w:r>
      <w:r w:rsidR="007B3C69">
        <w:t xml:space="preserve">    </w:t>
      </w:r>
      <w:r>
        <w:t xml:space="preserve"> </w:t>
      </w:r>
    </w:p>
    <w:p w14:paraId="2DAA8AE9" w14:textId="55630E4F" w:rsidR="00E766C6" w:rsidRDefault="00E766C6" w:rsidP="00695D4B">
      <w:pPr>
        <w:pStyle w:val="GaBody"/>
      </w:pPr>
      <w:r>
        <w:t xml:space="preserve">Staff </w:t>
      </w:r>
      <w:r w:rsidRPr="00695D4B">
        <w:t>requested</w:t>
      </w:r>
      <w:r>
        <w:t xml:space="preserve"> that GPC identify by project its actual research expenditures incurred during 2021, which the Company provided in its response to STF-ASR-8-4 and s</w:t>
      </w:r>
      <w:r w:rsidR="005D494F">
        <w:t>ummarized</w:t>
      </w:r>
      <w:r>
        <w:t xml:space="preserve"> in the following table:</w:t>
      </w:r>
    </w:p>
    <w:p w14:paraId="6A4F369D" w14:textId="11A16443" w:rsidR="005D494F" w:rsidRDefault="00E766C6" w:rsidP="004B1AEF">
      <w:pPr>
        <w:pStyle w:val="GaBody"/>
      </w:pPr>
      <w:r>
        <w:tab/>
      </w:r>
      <w:r>
        <w:tab/>
      </w:r>
      <w:r>
        <w:tab/>
      </w:r>
      <w:r w:rsidR="005D494F" w:rsidRPr="005D494F">
        <w:rPr>
          <w:noProof/>
        </w:rPr>
        <w:drawing>
          <wp:inline distT="0" distB="0" distL="0" distR="0" wp14:anchorId="7394797A" wp14:editId="381B7D44">
            <wp:extent cx="2781300" cy="1333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81300" cy="1333500"/>
                    </a:xfrm>
                    <a:prstGeom prst="rect">
                      <a:avLst/>
                    </a:prstGeom>
                    <a:noFill/>
                    <a:ln>
                      <a:noFill/>
                    </a:ln>
                  </pic:spPr>
                </pic:pic>
              </a:graphicData>
            </a:graphic>
          </wp:inline>
        </w:drawing>
      </w:r>
    </w:p>
    <w:p w14:paraId="26DD5660" w14:textId="77777777" w:rsidR="00C073E9" w:rsidRDefault="005D494F" w:rsidP="00695D4B">
      <w:pPr>
        <w:pStyle w:val="GaBody"/>
      </w:pPr>
      <w:r>
        <w:t>As shown in the above table, the Company incurred expenditures on three projects during 2021, which totaled $9.007 million.  Staff also requested that GPC identify by project its research expenditures charged or allocated to GPC by affiliates (e.g., SCS) during 2021, which the Company provided in its response to STF-ASR-8-5 and summarized in the following table:</w:t>
      </w:r>
    </w:p>
    <w:p w14:paraId="30222A0F" w14:textId="1E581EF8" w:rsidR="003011AC" w:rsidRDefault="00C073E9" w:rsidP="004B1AEF">
      <w:pPr>
        <w:pStyle w:val="GaBody"/>
      </w:pPr>
      <w:r>
        <w:lastRenderedPageBreak/>
        <w:tab/>
      </w:r>
      <w:r w:rsidRPr="00C073E9">
        <w:rPr>
          <w:noProof/>
        </w:rPr>
        <w:drawing>
          <wp:inline distT="0" distB="0" distL="0" distR="0" wp14:anchorId="7FEE1E0E" wp14:editId="14F263E6">
            <wp:extent cx="5086350" cy="27622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086350" cy="2762250"/>
                    </a:xfrm>
                    <a:prstGeom prst="rect">
                      <a:avLst/>
                    </a:prstGeom>
                    <a:noFill/>
                    <a:ln>
                      <a:noFill/>
                    </a:ln>
                  </pic:spPr>
                </pic:pic>
              </a:graphicData>
            </a:graphic>
          </wp:inline>
        </w:drawing>
      </w:r>
      <w:r w:rsidR="005D494F">
        <w:t xml:space="preserve">    </w:t>
      </w:r>
      <w:r w:rsidR="00E766C6">
        <w:t xml:space="preserve"> </w:t>
      </w:r>
      <w:r w:rsidR="003D063F">
        <w:t xml:space="preserve">  </w:t>
      </w:r>
      <w:r w:rsidR="003011AC">
        <w:t xml:space="preserve"> </w:t>
      </w:r>
    </w:p>
    <w:p w14:paraId="35A8C0CC" w14:textId="74023A26" w:rsidR="00C073E9" w:rsidRDefault="00C073E9" w:rsidP="00695D4B">
      <w:pPr>
        <w:pStyle w:val="GaBody"/>
      </w:pPr>
      <w:r>
        <w:t xml:space="preserve">As shown in the above </w:t>
      </w:r>
      <w:r w:rsidRPr="00695D4B">
        <w:t>table</w:t>
      </w:r>
      <w:r>
        <w:t xml:space="preserve">, the Company’s affiliates </w:t>
      </w:r>
      <w:r w:rsidR="00C22451">
        <w:t>incurred</w:t>
      </w:r>
      <w:r>
        <w:t xml:space="preserve"> research expenditures for 11 projects,</w:t>
      </w:r>
      <w:r w:rsidR="00C22451">
        <w:t xml:space="preserve"> of</w:t>
      </w:r>
      <w:r>
        <w:t xml:space="preserve"> which $11.390 million</w:t>
      </w:r>
      <w:r w:rsidR="00C22451">
        <w:t xml:space="preserve"> was allocated to GPC during 2021</w:t>
      </w:r>
      <w:r>
        <w:t>.</w:t>
      </w:r>
      <w:r w:rsidR="00C22451">
        <w:t xml:space="preserve">  In addition, the Company stated </w:t>
      </w:r>
      <w:r w:rsidR="00BF36C1">
        <w:t xml:space="preserve">in response to STF-ASR-8-5 </w:t>
      </w:r>
      <w:r w:rsidR="00C22451">
        <w:t>that there were approximately $6.9 million of EPRI dues allocated to GPC from SCS during 2021.</w:t>
      </w:r>
      <w:r w:rsidR="00C22451">
        <w:rPr>
          <w:rStyle w:val="FootnoteReference"/>
        </w:rPr>
        <w:footnoteReference w:id="4"/>
      </w:r>
      <w:r w:rsidR="00C82A74">
        <w:t xml:space="preserve">  </w:t>
      </w:r>
      <w:r w:rsidR="0049275B">
        <w:t xml:space="preserve">Through an informal data request, </w:t>
      </w:r>
      <w:r w:rsidR="00C82A74">
        <w:t>Staff asked the Company whether</w:t>
      </w:r>
      <w:r w:rsidR="00763E4D">
        <w:t xml:space="preserve"> the $11.390 million summarized in the above table and</w:t>
      </w:r>
      <w:r w:rsidR="00C82A74">
        <w:t xml:space="preserve"> the $6.9 million of EPRI dues allocated to GPC</w:t>
      </w:r>
      <w:r w:rsidR="006A482D">
        <w:t xml:space="preserve"> from SC</w:t>
      </w:r>
      <w:r w:rsidR="00763E4D">
        <w:t>S</w:t>
      </w:r>
      <w:r w:rsidR="00C82A74">
        <w:t xml:space="preserve"> </w:t>
      </w:r>
      <w:r w:rsidR="00763E4D">
        <w:t>a</w:t>
      </w:r>
      <w:r w:rsidR="00C82A74">
        <w:t xml:space="preserve">re </w:t>
      </w:r>
      <w:r w:rsidR="00C129A3">
        <w:t xml:space="preserve">expected to be eligible for federal income tax credits under </w:t>
      </w:r>
      <w:r w:rsidR="001E7D86">
        <w:t>§ 41 of the IRC</w:t>
      </w:r>
      <w:r w:rsidR="00695D4B">
        <w:t>.</w:t>
      </w:r>
      <w:r w:rsidR="00FB4856">
        <w:t xml:space="preserve">  In response to Staff’s informal inquiry, the Company stated that 100% of the $6.9 million of EPRI dues is expected to be eligible for R&amp;E credits under § 41 of the IRC.  As it relates to the eligibility of $11.390 million identified above, GPC stated that the final 2021 R&amp;E credit will be available upon the Company finalizing its 2021 federal income tax return in the third quarter of 2022.  </w:t>
      </w:r>
    </w:p>
    <w:p w14:paraId="1213C99E" w14:textId="1ACC8218" w:rsidR="001D03E8" w:rsidRDefault="008C06EE" w:rsidP="00575D18">
      <w:pPr>
        <w:pStyle w:val="GaBody"/>
      </w:pPr>
      <w:r>
        <w:lastRenderedPageBreak/>
        <w:t>Staff inquired as to whether the research expenditures direct charged and/</w:t>
      </w:r>
      <w:r w:rsidRPr="00575D18">
        <w:t>or</w:t>
      </w:r>
      <w:r>
        <w:t xml:space="preserve"> allocated to the Company</w:t>
      </w:r>
      <w:r w:rsidR="006A482D">
        <w:t xml:space="preserve"> (and summarized in the above tables)</w:t>
      </w:r>
      <w:r>
        <w:t xml:space="preserve"> are expected to be claimed as credits by GPC for federal income tax purposes under § 41 of the IRC.  </w:t>
      </w:r>
      <w:r w:rsidR="00FF1821">
        <w:t>In its response to STF-ASR-8-2, the Company stated other than the aforementioned $9.877 million of expenditures related to EPRI dues, no additional expenditures have been identified as eligible for credits under § 41 of the IRC.</w:t>
      </w:r>
      <w:r>
        <w:t xml:space="preserve">  </w:t>
      </w:r>
      <w:r w:rsidR="009D7594">
        <w:t>With regard to</w:t>
      </w:r>
      <w:r>
        <w:t xml:space="preserve"> research expenditures being eligible for federal income tax credits under a section of the IRC other than § 41</w:t>
      </w:r>
      <w:r w:rsidR="009D7594">
        <w:t>, the Company stated that it is currently not aware of any research expenditures in 2021 that qualify for federal income tax credits under section of the IRC other than § 41</w:t>
      </w:r>
      <w:r>
        <w:t>.</w:t>
      </w:r>
      <w:r w:rsidR="009D7594">
        <w:rPr>
          <w:rStyle w:val="FootnoteReference"/>
        </w:rPr>
        <w:footnoteReference w:id="5"/>
      </w:r>
      <w:r>
        <w:t xml:space="preserve"> </w:t>
      </w:r>
    </w:p>
    <w:p w14:paraId="2086413D" w14:textId="2B176F1D" w:rsidR="00C129A3" w:rsidRDefault="00C129A3" w:rsidP="00C129A3">
      <w:pPr>
        <w:pStyle w:val="GaBody"/>
        <w:spacing w:before="0" w:after="0"/>
        <w:rPr>
          <w:b/>
          <w:u w:val="single"/>
        </w:rPr>
      </w:pPr>
      <w:r>
        <w:rPr>
          <w:b/>
          <w:u w:val="single"/>
        </w:rPr>
        <w:t>Recommendation</w:t>
      </w:r>
    </w:p>
    <w:p w14:paraId="5A161856" w14:textId="721FCEA6" w:rsidR="00C129A3" w:rsidRDefault="00575D18" w:rsidP="00C129A3">
      <w:pPr>
        <w:pStyle w:val="GaBody"/>
      </w:pPr>
      <w:r w:rsidRPr="000F57A8">
        <w:t>A</w:t>
      </w:r>
      <w:r w:rsidR="005A2153">
        <w:t>s discussed above, the Company</w:t>
      </w:r>
      <w:r w:rsidR="00AA7AB7">
        <w:t xml:space="preserve"> has</w:t>
      </w:r>
      <w:r w:rsidR="005A2153">
        <w:t xml:space="preserve"> included an estimated R&amp;E credit of $1.287 million in the 2021 ASR operating results pursuant to § 41 of the IRC.  Upon finalizing its 2021 federal tax return in the third quarter of 2022, the R&amp;E credit will be trued-up and the results of this true-up will be recorded and reflected in the 2022 ASR.  </w:t>
      </w:r>
      <w:r w:rsidR="00D12DE4">
        <w:t>Although it appears from the information provided that the true-up amount for the R&amp;E tax credit could be higher than the estimated amount that the Company used for recording this item in its 2021 operating results</w:t>
      </w:r>
      <w:r w:rsidR="005A2153">
        <w:t>, Staff</w:t>
      </w:r>
      <w:r w:rsidR="00D12DE4">
        <w:t xml:space="preserve"> believes the Company’s estimate was reasonable at the time it was made and</w:t>
      </w:r>
      <w:r w:rsidR="005A2153">
        <w:t xml:space="preserve"> is not recommending an </w:t>
      </w:r>
      <w:r w:rsidRPr="000F57A8">
        <w:t>adjustment to reflect</w:t>
      </w:r>
      <w:r w:rsidR="00D12DE4">
        <w:t xml:space="preserve"> a different amount for the</w:t>
      </w:r>
      <w:r w:rsidRPr="000F57A8">
        <w:t xml:space="preserve"> reduction to federal income tax expense for the research and experimentation expenditures</w:t>
      </w:r>
      <w:r w:rsidR="00AA7AB7">
        <w:t>.</w:t>
      </w:r>
      <w:r w:rsidR="001D387C" w:rsidRPr="000F57A8">
        <w:t xml:space="preserve"> </w:t>
      </w:r>
    </w:p>
    <w:p w14:paraId="5341A90F" w14:textId="44EC40E8" w:rsidR="0090234D" w:rsidRDefault="0090234D" w:rsidP="0090234D">
      <w:pPr>
        <w:pStyle w:val="GaBody"/>
        <w:spacing w:before="0" w:after="0"/>
        <w:rPr>
          <w:b/>
          <w:u w:val="single"/>
        </w:rPr>
      </w:pPr>
      <w:r>
        <w:rPr>
          <w:b/>
          <w:u w:val="single"/>
        </w:rPr>
        <w:t>Covid-19 Deferrals</w:t>
      </w:r>
    </w:p>
    <w:p w14:paraId="1C44732B" w14:textId="3ECFBEBE" w:rsidR="0090234D" w:rsidRDefault="0090234D" w:rsidP="00ED53F4">
      <w:pPr>
        <w:pStyle w:val="GaBody"/>
      </w:pPr>
      <w:r>
        <w:lastRenderedPageBreak/>
        <w:t xml:space="preserve">Section 1 of the Company’s </w:t>
      </w:r>
      <w:r w:rsidRPr="00ED53F4">
        <w:t>202</w:t>
      </w:r>
      <w:r w:rsidR="00C7088C" w:rsidRPr="00ED53F4">
        <w:t>0</w:t>
      </w:r>
      <w:r w:rsidR="00C7088C">
        <w:t xml:space="preserve"> and 2021</w:t>
      </w:r>
      <w:r>
        <w:t xml:space="preserve"> ASR filing</w:t>
      </w:r>
      <w:r w:rsidR="00C7088C">
        <w:t>s</w:t>
      </w:r>
      <w:r>
        <w:t>, specifically Item No. 39 of the Summary of Ratemaking Principles</w:t>
      </w:r>
      <w:r w:rsidR="00272988">
        <w:t xml:space="preserve"> Used in Computing Retail Return on Equity</w:t>
      </w:r>
      <w:r>
        <w:t>, state</w:t>
      </w:r>
      <w:r w:rsidR="00C7088C">
        <w:t>d</w:t>
      </w:r>
      <w:r>
        <w:t xml:space="preserve"> the following with regard to Covid-19 deferrals:</w:t>
      </w:r>
    </w:p>
    <w:p w14:paraId="6DAF2ED7" w14:textId="2D0C5538" w:rsidR="0090234D" w:rsidRDefault="0090234D" w:rsidP="0090234D">
      <w:pPr>
        <w:pStyle w:val="GaBody"/>
        <w:spacing w:before="0" w:after="0" w:line="240" w:lineRule="auto"/>
        <w:ind w:left="720" w:right="720"/>
      </w:pPr>
      <w:r>
        <w:t>Pursuant to the Commission’s Order in Docket No. 42516, the incremental cost of bad debt resulting from the suspension of disconnects for nonpayment due to COVID-19 and certain other incremental COVID-19 costs are deferred to a regulatory asset with recovery of such costs to be determined in the Company’s next base rate case.</w:t>
      </w:r>
    </w:p>
    <w:p w14:paraId="4D2E05C8" w14:textId="711897D7" w:rsidR="0090234D" w:rsidRDefault="00EF6023" w:rsidP="00ED53F4">
      <w:pPr>
        <w:pStyle w:val="GaBody"/>
      </w:pPr>
      <w:r>
        <w:t xml:space="preserve">Based on the </w:t>
      </w:r>
      <w:r w:rsidRPr="00ED53F4">
        <w:t>language</w:t>
      </w:r>
      <w:r>
        <w:t xml:space="preserve"> in the foregoing passage from </w:t>
      </w:r>
      <w:r w:rsidR="00C7088C">
        <w:t>the Summary of Ratemaking Principles</w:t>
      </w:r>
      <w:r w:rsidR="00272988">
        <w:t xml:space="preserve"> Used in Computing Retail Return on Equity</w:t>
      </w:r>
      <w:r>
        <w:t xml:space="preserve">, </w:t>
      </w:r>
      <w:r w:rsidR="00C7088C">
        <w:t>during the review of GPC’s 2020 ASR filing, Staff had</w:t>
      </w:r>
      <w:r>
        <w:t xml:space="preserve"> </w:t>
      </w:r>
      <w:r w:rsidR="004D49DE">
        <w:t>asked whether C</w:t>
      </w:r>
      <w:r>
        <w:t xml:space="preserve">ompany </w:t>
      </w:r>
      <w:r w:rsidR="004D49DE">
        <w:t xml:space="preserve">included </w:t>
      </w:r>
      <w:r>
        <w:t>the Covid-19 related regulatory asset in retail rate base, a</w:t>
      </w:r>
      <w:r w:rsidR="004D49DE">
        <w:t>nd whether</w:t>
      </w:r>
      <w:r>
        <w:t xml:space="preserve"> retail operating income</w:t>
      </w:r>
      <w:r w:rsidR="004D49DE">
        <w:t xml:space="preserve"> included any incremental Covid-19 related costs</w:t>
      </w:r>
      <w:r>
        <w:t xml:space="preserve">.  In </w:t>
      </w:r>
      <w:r w:rsidR="004D49DE">
        <w:t xml:space="preserve">its </w:t>
      </w:r>
      <w:r>
        <w:t>response to STF-ASR-3-83</w:t>
      </w:r>
      <w:r w:rsidR="004D49DE">
        <w:t xml:space="preserve"> in the 202 ASR</w:t>
      </w:r>
      <w:r>
        <w:t>, the Company stated</w:t>
      </w:r>
      <w:r w:rsidR="004D49DE">
        <w:t>:</w:t>
      </w:r>
    </w:p>
    <w:p w14:paraId="7F1A3E23" w14:textId="6AB5ECF7" w:rsidR="004D49DE" w:rsidRDefault="004D49DE" w:rsidP="004D49DE">
      <w:pPr>
        <w:pStyle w:val="GaBody"/>
        <w:spacing w:before="0" w:after="0" w:line="240" w:lineRule="auto"/>
        <w:ind w:left="720" w:right="720"/>
      </w:pPr>
      <w:r>
        <w:t>The incremental COVID-19 related costs are not included in retail operating income, but the Company included the regulatory asset balance of the deferred COVID-19 costs in retail rate base.  The language in the Company’s Summary of Ratemaking Principles regarding recovery is only intended to address the amortization of the regulatory asset to be recovered in rates in the next base rate case.  Pursuant to the Commission’s Order in Docket No. 42516, the incremental cost of bad debt resulting from the suspension of disconnects for nonpayment due to COVID-19 and certain other COVID-19 costs that were approved for deferral by the Commission in Docket No. 42516 to the storm damage regulatory asset are appropriately reflected in retail rate base until they are fully amortized as directed by the Commission.  There is no language in the Commission’s Order in Docket No. 42516 approving the deferral of these costs and including them in a regulatory asset that would suggest they should not be included in retail rate base as these costs have already been incurred by the Company and are subject to future recovery.</w:t>
      </w:r>
    </w:p>
    <w:p w14:paraId="6050BDFC" w14:textId="47822F01" w:rsidR="004D49DE" w:rsidRDefault="00702D7D" w:rsidP="00ED53F4">
      <w:pPr>
        <w:pStyle w:val="GaBody"/>
      </w:pPr>
      <w:r>
        <w:t>Based on GPC’s response to STF-ASR-3-83, while the Company has been accumulat</w:t>
      </w:r>
      <w:r w:rsidR="00050101">
        <w:t>ing</w:t>
      </w:r>
      <w:r>
        <w:t xml:space="preserve"> Covid-19 related costs into the regulatory asset (which is included in retail rate base</w:t>
      </w:r>
      <w:r w:rsidR="00ED53F4">
        <w:t xml:space="preserve"> in the 2021 AS</w:t>
      </w:r>
      <w:r>
        <w:t xml:space="preserve">), the amortization of these costs </w:t>
      </w:r>
      <w:r w:rsidR="00D76C15">
        <w:t>is</w:t>
      </w:r>
      <w:r>
        <w:t xml:space="preserve"> not</w:t>
      </w:r>
      <w:r w:rsidR="00050101">
        <w:t xml:space="preserve"> yet</w:t>
      </w:r>
      <w:r>
        <w:t xml:space="preserve"> reflected in retail operating income</w:t>
      </w:r>
      <w:r w:rsidR="00D76C15">
        <w:t xml:space="preserve">.  As noted in the Summary </w:t>
      </w:r>
      <w:r w:rsidR="00D76C15">
        <w:lastRenderedPageBreak/>
        <w:t>of Ratemaking Principles</w:t>
      </w:r>
      <w:r w:rsidR="00272988">
        <w:t xml:space="preserve"> Used in Computing Retail Return on Equity</w:t>
      </w:r>
      <w:r w:rsidR="00D76C15">
        <w:t xml:space="preserve">, the recovery of </w:t>
      </w:r>
      <w:r w:rsidR="0022055C">
        <w:t>Covid-19 related</w:t>
      </w:r>
      <w:r w:rsidR="00D76C15">
        <w:t xml:space="preserve"> costs is to be determined in the Company’s next rate case.</w:t>
      </w:r>
    </w:p>
    <w:p w14:paraId="2742BC19" w14:textId="093D4033" w:rsidR="00DF0592" w:rsidRDefault="00DF0592" w:rsidP="00DF0592">
      <w:pPr>
        <w:pStyle w:val="GaBody"/>
        <w:spacing w:before="0" w:after="0"/>
        <w:rPr>
          <w:b/>
          <w:u w:val="single"/>
        </w:rPr>
      </w:pPr>
      <w:r>
        <w:rPr>
          <w:b/>
          <w:u w:val="single"/>
        </w:rPr>
        <w:t>Recommendation</w:t>
      </w:r>
    </w:p>
    <w:p w14:paraId="2CB64C77" w14:textId="22D8D9C9" w:rsidR="00DF0592" w:rsidRDefault="00DF0592" w:rsidP="00ED53F4">
      <w:pPr>
        <w:pStyle w:val="GaBody"/>
      </w:pPr>
      <w:r>
        <w:t xml:space="preserve">Staff is not recommending any </w:t>
      </w:r>
      <w:r w:rsidRPr="00ED53F4">
        <w:t>adjustments</w:t>
      </w:r>
      <w:r>
        <w:t xml:space="preserve"> to the Covid-19 regulatory asset </w:t>
      </w:r>
      <w:r w:rsidR="00ED53F4">
        <w:t xml:space="preserve">in the 2021 ASR. </w:t>
      </w:r>
      <w:r>
        <w:t xml:space="preserve"> Staff </w:t>
      </w:r>
      <w:r w:rsidR="0042044F">
        <w:t>will investigate the</w:t>
      </w:r>
      <w:r w:rsidR="00702D7D">
        <w:t xml:space="preserve"> components of the costs that are included the</w:t>
      </w:r>
      <w:r>
        <w:t xml:space="preserve"> Company’s</w:t>
      </w:r>
      <w:r w:rsidR="00702D7D">
        <w:t xml:space="preserve"> </w:t>
      </w:r>
      <w:r>
        <w:t>Covid-19 regulatory asset balance</w:t>
      </w:r>
      <w:r w:rsidR="0042044F">
        <w:t xml:space="preserve"> in detail</w:t>
      </w:r>
      <w:r w:rsidR="0075126F">
        <w:t xml:space="preserve"> and the amortization of the Covid-19 deferrals</w:t>
      </w:r>
      <w:r w:rsidR="0042044F">
        <w:t xml:space="preserve"> in the Company’s upcoming rate case.</w:t>
      </w:r>
    </w:p>
    <w:p w14:paraId="25CF7616" w14:textId="7065B13B" w:rsidR="007C284E" w:rsidRDefault="0006003A" w:rsidP="007C284E">
      <w:pPr>
        <w:pStyle w:val="GaBody"/>
        <w:spacing w:before="0" w:after="0"/>
        <w:rPr>
          <w:b/>
          <w:u w:val="single"/>
        </w:rPr>
      </w:pPr>
      <w:r w:rsidRPr="00EE2435">
        <w:rPr>
          <w:b/>
          <w:u w:val="single"/>
        </w:rPr>
        <w:t>Conclusion</w:t>
      </w:r>
    </w:p>
    <w:p w14:paraId="22F1E051" w14:textId="3DAA0259" w:rsidR="007C284E" w:rsidRDefault="0006003A" w:rsidP="00ED53F4">
      <w:pPr>
        <w:pStyle w:val="GaBody"/>
      </w:pPr>
      <w:r w:rsidRPr="00EE2435">
        <w:t xml:space="preserve">Staff has made the following </w:t>
      </w:r>
      <w:r w:rsidRPr="00ED53F4">
        <w:t>recommendations</w:t>
      </w:r>
      <w:r w:rsidRPr="00EE2435">
        <w:t xml:space="preserve"> as a result of its review of the 20</w:t>
      </w:r>
      <w:r w:rsidR="00C76A64">
        <w:t>2</w:t>
      </w:r>
      <w:r w:rsidR="00AF0227">
        <w:t>1</w:t>
      </w:r>
      <w:r w:rsidRPr="00EE2435">
        <w:t xml:space="preserve"> ASR:</w:t>
      </w:r>
      <w:r>
        <w:t xml:space="preserve"> </w:t>
      </w:r>
    </w:p>
    <w:p w14:paraId="2AAFEEB9" w14:textId="592551F8" w:rsidR="00D000B1" w:rsidRPr="00036EEC" w:rsidRDefault="00036EEC" w:rsidP="00A74D26">
      <w:pPr>
        <w:pStyle w:val="GaBody"/>
        <w:numPr>
          <w:ilvl w:val="0"/>
          <w:numId w:val="44"/>
        </w:numPr>
      </w:pPr>
      <w:r>
        <w:t>Staff is not proposing any adjustments to remove the costs associated with stock-based compensation from the 202</w:t>
      </w:r>
      <w:r w:rsidR="00AF0227">
        <w:t>1</w:t>
      </w:r>
      <w:r>
        <w:t xml:space="preserve"> ASR filing, since stock-based compensation was not removed in the rate case settlement in </w:t>
      </w:r>
      <w:r w:rsidR="0075126F">
        <w:t>the Company’s base rate case</w:t>
      </w:r>
      <w:r w:rsidR="00DD184C">
        <w:t xml:space="preserve">. </w:t>
      </w:r>
      <w:r>
        <w:t xml:space="preserve"> Staff was not a signatory</w:t>
      </w:r>
      <w:r w:rsidR="00DD184C">
        <w:t xml:space="preserve"> to that settlement</w:t>
      </w:r>
      <w:r>
        <w:t xml:space="preserve">, but </w:t>
      </w:r>
      <w:r w:rsidR="00DD184C">
        <w:t>it</w:t>
      </w:r>
      <w:r>
        <w:t xml:space="preserve"> was approved by the Commission.  </w:t>
      </w:r>
      <w:r w:rsidR="00DD184C">
        <w:t>F</w:t>
      </w:r>
      <w:r>
        <w:t xml:space="preserve">or </w:t>
      </w:r>
      <w:r w:rsidR="00DD184C">
        <w:t>informational purposes</w:t>
      </w:r>
      <w:r>
        <w:t>, Staff calculated the impact of removing stock-based compensation from the 202</w:t>
      </w:r>
      <w:r w:rsidR="00665302">
        <w:t>1</w:t>
      </w:r>
      <w:r>
        <w:t xml:space="preserve"> ASR</w:t>
      </w:r>
      <w:r w:rsidR="0092107C">
        <w:t>, which</w:t>
      </w:r>
      <w:r>
        <w:t xml:space="preserve"> would increase the Company’s Return on Investment – Retail from 8.</w:t>
      </w:r>
      <w:r w:rsidR="00665302">
        <w:t>32</w:t>
      </w:r>
      <w:r w:rsidRPr="00021694">
        <w:t>%</w:t>
      </w:r>
      <w:r>
        <w:t xml:space="preserve"> to 8.</w:t>
      </w:r>
      <w:r w:rsidR="00665302">
        <w:t>44</w:t>
      </w:r>
      <w:r>
        <w:t>%, which in turn would increase GPC’s reported 202</w:t>
      </w:r>
      <w:r w:rsidR="00665302">
        <w:t>1</w:t>
      </w:r>
      <w:r>
        <w:t xml:space="preserve"> ASR retail ROE of 1</w:t>
      </w:r>
      <w:r w:rsidR="00665302">
        <w:t>2.0</w:t>
      </w:r>
      <w:r>
        <w:t>9% to 12.</w:t>
      </w:r>
      <w:r w:rsidR="00665302">
        <w:t>29</w:t>
      </w:r>
      <w:r>
        <w:t xml:space="preserve">%, which would put the Company </w:t>
      </w:r>
      <w:r w:rsidR="00D821D3">
        <w:t>further above</w:t>
      </w:r>
      <w:r>
        <w:t xml:space="preserve"> the high end of the earnings range of 12.00% for the 12 months ended December 31, 202</w:t>
      </w:r>
      <w:r w:rsidR="00665302">
        <w:t>1</w:t>
      </w:r>
      <w:r>
        <w:t>.  The impact of removing the costs associated with stock-based compensation from the 202</w:t>
      </w:r>
      <w:r w:rsidR="00665302">
        <w:t>1</w:t>
      </w:r>
      <w:r>
        <w:t xml:space="preserve"> ASR would result in an earnings surplus of $</w:t>
      </w:r>
      <w:r w:rsidR="00665302">
        <w:t>47.542</w:t>
      </w:r>
      <w:r>
        <w:t xml:space="preserve"> million above the top end of the earnings band.  In accordance with the sharing percentages discussed above, the $</w:t>
      </w:r>
      <w:r w:rsidR="00665302">
        <w:t>47.542</w:t>
      </w:r>
      <w:r>
        <w:t xml:space="preserve"> million surplus </w:t>
      </w:r>
      <w:r>
        <w:lastRenderedPageBreak/>
        <w:t>would result in (1) $</w:t>
      </w:r>
      <w:r w:rsidR="00665302">
        <w:t>19.017</w:t>
      </w:r>
      <w:r>
        <w:t xml:space="preserve"> million being applied to the Company’s</w:t>
      </w:r>
      <w:r w:rsidR="00665302">
        <w:t xml:space="preserve"> CCR ARO</w:t>
      </w:r>
      <w:r>
        <w:t xml:space="preserve"> regulatory asset balances, (2) $</w:t>
      </w:r>
      <w:r w:rsidR="00665302">
        <w:t>19.0</w:t>
      </w:r>
      <w:r w:rsidR="0070651E">
        <w:t>1</w:t>
      </w:r>
      <w:r w:rsidR="00665302">
        <w:t>7</w:t>
      </w:r>
      <w:r>
        <w:t xml:space="preserve"> million being refunded to ratepayers, and (3) $</w:t>
      </w:r>
      <w:r w:rsidR="00665302">
        <w:t>9.508</w:t>
      </w:r>
      <w:r>
        <w:t xml:space="preserve"> million being retained by the Company.  </w:t>
      </w:r>
    </w:p>
    <w:p w14:paraId="3437515A" w14:textId="00DDBD8C" w:rsidR="007C284E" w:rsidRDefault="0006003A" w:rsidP="00A74D26">
      <w:pPr>
        <w:pStyle w:val="GaBody"/>
        <w:numPr>
          <w:ilvl w:val="0"/>
          <w:numId w:val="44"/>
        </w:numPr>
      </w:pPr>
      <w:r w:rsidRPr="00E53ED4">
        <w:t>Staff recommends that the Company continue to address land held in the PHFFU account by having quarterly meetings to re-evaluate the intended uses of the land</w:t>
      </w:r>
      <w:r w:rsidR="00D821D3">
        <w:t xml:space="preserve"> and</w:t>
      </w:r>
      <w:r w:rsidRPr="00E53ED4">
        <w:t xml:space="preserve"> to determine if</w:t>
      </w:r>
      <w:r>
        <w:t xml:space="preserve"> </w:t>
      </w:r>
      <w:r w:rsidRPr="00E53ED4">
        <w:t>and when it will be used.</w:t>
      </w:r>
      <w:r w:rsidR="00D821D3">
        <w:t xml:space="preserve">  Staff recommends that the Company maintain documentation of those quarterly PHFFU </w:t>
      </w:r>
      <w:r w:rsidR="00851275">
        <w:t>reviews</w:t>
      </w:r>
      <w:r w:rsidR="00785520">
        <w:t>.</w:t>
      </w:r>
      <w:r w:rsidRPr="00E53ED4">
        <w:t xml:space="preserve">  If it is determined that a parcel of land will not be used, it should be reclassified into non-utility property.</w:t>
      </w:r>
    </w:p>
    <w:p w14:paraId="4938BFF0" w14:textId="44168101" w:rsidR="007C284E" w:rsidRDefault="00785520" w:rsidP="00A74D26">
      <w:pPr>
        <w:pStyle w:val="GaBody"/>
        <w:numPr>
          <w:ilvl w:val="0"/>
          <w:numId w:val="44"/>
        </w:numPr>
      </w:pPr>
      <w:r>
        <w:t>Staff recommends t</w:t>
      </w:r>
      <w:r w:rsidR="0006003A" w:rsidRPr="00E53ED4">
        <w:t xml:space="preserve">hat the Company explain in detail </w:t>
      </w:r>
      <w:r w:rsidR="00036EEC">
        <w:t>its plans to address and</w:t>
      </w:r>
      <w:r w:rsidR="0006003A" w:rsidRPr="00E53ED4">
        <w:t xml:space="preserve"> eliminate the</w:t>
      </w:r>
      <w:r w:rsidR="0006003A">
        <w:t xml:space="preserve"> December 31, 20</w:t>
      </w:r>
      <w:r w:rsidR="001B161C">
        <w:t>2</w:t>
      </w:r>
      <w:r w:rsidR="00AF0227">
        <w:t>1</w:t>
      </w:r>
      <w:r w:rsidR="0006003A" w:rsidRPr="00E53ED4">
        <w:t xml:space="preserve"> Distribution Vegetation</w:t>
      </w:r>
      <w:r>
        <w:t xml:space="preserve"> management</w:t>
      </w:r>
      <w:r w:rsidR="0006003A" w:rsidRPr="00E53ED4">
        <w:t xml:space="preserve"> backlog</w:t>
      </w:r>
      <w:r w:rsidR="0006003A">
        <w:t xml:space="preserve"> of </w:t>
      </w:r>
      <w:r w:rsidR="00AF0227">
        <w:t>3,5</w:t>
      </w:r>
      <w:r w:rsidR="009F163F">
        <w:t>00</w:t>
      </w:r>
      <w:r w:rsidR="0006003A">
        <w:t xml:space="preserve"> miles</w:t>
      </w:r>
      <w:r w:rsidR="0006003A" w:rsidRPr="00E53ED4">
        <w:t>.</w:t>
      </w:r>
    </w:p>
    <w:p w14:paraId="1F866936" w14:textId="03CD6925" w:rsidR="007C284E" w:rsidRDefault="00F5019E" w:rsidP="00A74D26">
      <w:pPr>
        <w:pStyle w:val="GaBody"/>
        <w:numPr>
          <w:ilvl w:val="0"/>
          <w:numId w:val="44"/>
        </w:numPr>
      </w:pPr>
      <w:r>
        <w:t>With regard to PS&amp;I costs included in the 202</w:t>
      </w:r>
      <w:r w:rsidR="00E36CD1">
        <w:t>1</w:t>
      </w:r>
      <w:r>
        <w:t xml:space="preserve"> ASR rate base</w:t>
      </w:r>
      <w:r w:rsidR="0011302E">
        <w:t>, Staff is not recommending any adjustments.  The costs included in retail rate base for the four new PS&amp;I items totaling $1.258 million comprise less than .01% of the total 2021 ASR 13-month average retail rate base of $21.647 million</w:t>
      </w:r>
      <w:r w:rsidR="0006003A">
        <w:t xml:space="preserve">. </w:t>
      </w:r>
    </w:p>
    <w:p w14:paraId="6E69216F" w14:textId="0F1D0224" w:rsidR="00B743F6" w:rsidRDefault="00AA7AB7" w:rsidP="00B743F6">
      <w:pPr>
        <w:pStyle w:val="GaBody"/>
        <w:numPr>
          <w:ilvl w:val="0"/>
          <w:numId w:val="44"/>
        </w:numPr>
      </w:pPr>
      <w:r>
        <w:t xml:space="preserve">The Company has included an estimated R&amp;E credit of $1.287 million in the 2021 ASR operating results pursuant to § 41 of the IRC.  Upon finalizing its 2021 federal tax return in the third quarter of 2022, the R&amp;E credit will be trued-up and the results of this true-up will be recorded and reflected in the 2022 ASR.  Staff is not recommending an </w:t>
      </w:r>
      <w:bookmarkStart w:id="4" w:name="_GoBack"/>
      <w:bookmarkEnd w:id="4"/>
      <w:r w:rsidRPr="000F57A8">
        <w:t>adjustment to</w:t>
      </w:r>
      <w:r w:rsidR="000C6CC1">
        <w:t xml:space="preserve"> this item in the 2021 ASR</w:t>
      </w:r>
      <w:r w:rsidR="00D0404D">
        <w:t>.</w:t>
      </w:r>
    </w:p>
    <w:p w14:paraId="7A475C6C" w14:textId="07C676C8" w:rsidR="00B743F6" w:rsidRDefault="00050101" w:rsidP="00A74D26">
      <w:pPr>
        <w:pStyle w:val="GaBody"/>
        <w:numPr>
          <w:ilvl w:val="0"/>
          <w:numId w:val="44"/>
        </w:numPr>
      </w:pPr>
      <w:r>
        <w:lastRenderedPageBreak/>
        <w:t>Staff recommends that the components of the costs that are included the Company’s Covid-19 regulatory asset balance</w:t>
      </w:r>
      <w:r w:rsidR="00C058CC">
        <w:t>, as well as the amortization of those deferred c</w:t>
      </w:r>
      <w:r w:rsidR="00AC60E8">
        <w:t>osts</w:t>
      </w:r>
      <w:r w:rsidR="00C058CC">
        <w:t xml:space="preserve">, </w:t>
      </w:r>
      <w:r w:rsidR="0020376E">
        <w:t>be investigated</w:t>
      </w:r>
      <w:r>
        <w:t xml:space="preserve"> in detail in the Company’s upcoming rate case</w:t>
      </w:r>
      <w:r w:rsidR="0020376E">
        <w:t>.</w:t>
      </w:r>
      <w:r w:rsidR="00F43488">
        <w:t xml:space="preserve"> </w:t>
      </w:r>
    </w:p>
    <w:sectPr w:rsidR="00B743F6" w:rsidSect="007C284E">
      <w:headerReference w:type="default" r:id="rId19"/>
      <w:footerReference w:type="default" r:id="rId20"/>
      <w:pgSz w:w="12240" w:h="15840"/>
      <w:pgMar w:top="1440" w:right="1440" w:bottom="1440" w:left="1440" w:header="720" w:footer="720" w:gutter="0"/>
      <w:pgNumType w:start="1"/>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66A6DC" w16cex:dateUtc="2022-06-29T14:24:00Z"/>
  <w16cex:commentExtensible w16cex:durableId="2666A714" w16cex:dateUtc="2022-06-29T14:2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20432D" w14:textId="77777777" w:rsidR="00282ADE" w:rsidRDefault="00282ADE">
      <w:pPr>
        <w:spacing w:before="0" w:after="0" w:line="240" w:lineRule="auto"/>
      </w:pPr>
      <w:r>
        <w:separator/>
      </w:r>
    </w:p>
  </w:endnote>
  <w:endnote w:type="continuationSeparator" w:id="0">
    <w:p w14:paraId="46C3C5C3" w14:textId="77777777" w:rsidR="00282ADE" w:rsidRDefault="00282A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1328F" w14:textId="77777777" w:rsidR="00036EEC" w:rsidRDefault="00036EEC" w:rsidP="007C284E">
    <w:pPr>
      <w:pStyle w:val="Footer"/>
      <w:spacing w:line="200" w:lineRule="exact"/>
      <w:ind w:left="0" w:firstLine="0"/>
      <w:jc w:val="left"/>
    </w:pPr>
  </w:p>
  <w:p w14:paraId="7C8D66D8" w14:textId="77777777" w:rsidR="00036EEC" w:rsidRDefault="00036EEC" w:rsidP="007C284E">
    <w:pPr>
      <w:pStyle w:val="Footer"/>
      <w:spacing w:line="200" w:lineRule="exact"/>
      <w:ind w:left="0" w:firstLine="0"/>
      <w:jc w:val="left"/>
    </w:pPr>
  </w:p>
  <w:p w14:paraId="57AF76EF" w14:textId="77777777" w:rsidR="00036EEC" w:rsidRDefault="00036EEC" w:rsidP="007C284E">
    <w:pPr>
      <w:pStyle w:val="Footer"/>
      <w:spacing w:line="200" w:lineRule="exact"/>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4BCF" w14:textId="77777777" w:rsidR="00036EEC" w:rsidRDefault="00036EEC" w:rsidP="00940087">
    <w:pPr>
      <w:pStyle w:val="Footer"/>
      <w:spacing w:line="200" w:lineRule="exact"/>
      <w:ind w:firstLine="0"/>
      <w:jc w:val="center"/>
      <w:rPr>
        <w:noProof/>
      </w:rPr>
    </w:pPr>
  </w:p>
  <w:p w14:paraId="46F1285B" w14:textId="7DF0431F" w:rsidR="00036EEC" w:rsidRDefault="00036EEC" w:rsidP="00BF14C6">
    <w:pPr>
      <w:pStyle w:val="Footer"/>
      <w:pBdr>
        <w:top w:val="single" w:sz="4" w:space="1" w:color="auto"/>
      </w:pBdr>
      <w:spacing w:line="200" w:lineRule="exact"/>
      <w:ind w:left="0" w:firstLine="0"/>
      <w:jc w:val="left"/>
    </w:pPr>
    <w:r w:rsidRPr="00477685">
      <w:t xml:space="preserve">Page </w:t>
    </w:r>
    <w:r w:rsidR="00C42EDE" w:rsidRPr="00477685">
      <w:rPr>
        <w:noProof/>
      </w:rPr>
      <w:fldChar w:fldCharType="begin"/>
    </w:r>
    <w:r w:rsidR="00C42EDE" w:rsidRPr="00477685">
      <w:rPr>
        <w:noProof/>
      </w:rPr>
      <w:instrText xml:space="preserve"> PAGE   \* MERGEFORMAT </w:instrText>
    </w:r>
    <w:r w:rsidR="00C42EDE" w:rsidRPr="00477685">
      <w:rPr>
        <w:noProof/>
      </w:rPr>
      <w:fldChar w:fldCharType="separate"/>
    </w:r>
    <w:r w:rsidR="00155103" w:rsidRPr="00477685">
      <w:rPr>
        <w:noProof/>
      </w:rPr>
      <w:t>28</w:t>
    </w:r>
    <w:r w:rsidR="00C42EDE" w:rsidRPr="00477685">
      <w:rPr>
        <w:noProof/>
      </w:rPr>
      <w:fldChar w:fldCharType="end"/>
    </w:r>
    <w:r w:rsidRPr="00477685">
      <w:t xml:space="preserve"> of </w:t>
    </w:r>
    <w:r w:rsidR="00AD42C5" w:rsidRPr="00477685">
      <w:rPr>
        <w:noProof/>
      </w:rPr>
      <w:t>2</w:t>
    </w:r>
    <w:r w:rsidR="00AB2900">
      <w:rPr>
        <w:noProof/>
      </w:rPr>
      <w:t>8</w:t>
    </w:r>
  </w:p>
  <w:p w14:paraId="2CA6020D" w14:textId="77777777" w:rsidR="00036EEC" w:rsidRDefault="00036EEC" w:rsidP="007C284E">
    <w:pPr>
      <w:pStyle w:val="Footer"/>
      <w:spacing w:line="200" w:lineRule="exact"/>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EE0628" w14:textId="77777777" w:rsidR="00282ADE" w:rsidRDefault="00282ADE" w:rsidP="007C284E">
      <w:pPr>
        <w:spacing w:before="0" w:after="0" w:line="240" w:lineRule="auto"/>
      </w:pPr>
      <w:r>
        <w:separator/>
      </w:r>
    </w:p>
  </w:footnote>
  <w:footnote w:type="continuationSeparator" w:id="0">
    <w:p w14:paraId="57C5052E" w14:textId="77777777" w:rsidR="00282ADE" w:rsidRDefault="00282ADE" w:rsidP="007C284E">
      <w:pPr>
        <w:spacing w:before="0" w:after="0" w:line="240" w:lineRule="auto"/>
      </w:pPr>
      <w:r>
        <w:continuationSeparator/>
      </w:r>
    </w:p>
  </w:footnote>
  <w:footnote w:id="1">
    <w:p w14:paraId="2E903CF5" w14:textId="74AE2195" w:rsidR="00CC4DCD" w:rsidRDefault="00CC4DCD">
      <w:pPr>
        <w:pStyle w:val="FootnoteText"/>
      </w:pPr>
      <w:r>
        <w:rPr>
          <w:rStyle w:val="FootnoteReference"/>
        </w:rPr>
        <w:footnoteRef/>
      </w:r>
      <w:r>
        <w:t xml:space="preserve"> GPC did not make an adjustment to remove stock-based compensation in the 2020 ASR.</w:t>
      </w:r>
    </w:p>
  </w:footnote>
  <w:footnote w:id="2">
    <w:p w14:paraId="5DECCBAD" w14:textId="630F411D" w:rsidR="0060222B" w:rsidRDefault="0060222B">
      <w:pPr>
        <w:pStyle w:val="FootnoteText"/>
      </w:pPr>
      <w:r>
        <w:rPr>
          <w:rStyle w:val="FootnoteReference"/>
        </w:rPr>
        <w:footnoteRef/>
      </w:r>
      <w:r>
        <w:t xml:space="preserve"> The budget and actual amounts for the Transmission function did not change</w:t>
      </w:r>
      <w:r w:rsidR="00522280">
        <w:t xml:space="preserve"> between the as-</w:t>
      </w:r>
      <w:r w:rsidR="005C6907">
        <w:t>f</w:t>
      </w:r>
      <w:r w:rsidR="00522280">
        <w:t>iled and the corrected versions of Section 5, Schedule 6 from the 2021 ASR filing</w:t>
      </w:r>
      <w:r>
        <w:t>.</w:t>
      </w:r>
    </w:p>
  </w:footnote>
  <w:footnote w:id="3">
    <w:p w14:paraId="46048051" w14:textId="500D0D88" w:rsidR="00036EEC" w:rsidRDefault="00036EEC">
      <w:pPr>
        <w:pStyle w:val="FootnoteText"/>
      </w:pPr>
      <w:r>
        <w:rPr>
          <w:rStyle w:val="FootnoteReference"/>
        </w:rPr>
        <w:footnoteRef/>
      </w:r>
      <w:r>
        <w:t xml:space="preserve"> See the response to STF-ASR-</w:t>
      </w:r>
      <w:r w:rsidR="0029081A">
        <w:t>6</w:t>
      </w:r>
      <w:r>
        <w:t>-60.</w:t>
      </w:r>
    </w:p>
  </w:footnote>
  <w:footnote w:id="4">
    <w:p w14:paraId="6E6764F4" w14:textId="565C7DC6" w:rsidR="00C22451" w:rsidRDefault="00C22451">
      <w:pPr>
        <w:pStyle w:val="FootnoteText"/>
      </w:pPr>
      <w:r>
        <w:rPr>
          <w:rStyle w:val="FootnoteReference"/>
        </w:rPr>
        <w:footnoteRef/>
      </w:r>
      <w:r>
        <w:t xml:space="preserve"> </w:t>
      </w:r>
      <w:r w:rsidR="00BF36C1">
        <w:t xml:space="preserve">The $6.9 million of EPRI dues identified in STF-ASR-8-5 reflects the amount allocated to GPC that </w:t>
      </w:r>
      <w:r w:rsidR="007E4D89">
        <w:t>was used to calculate the estimated R&amp;E tax credit of $1.287 million that is reflected in the 2021 ASR</w:t>
      </w:r>
      <w:r>
        <w:t>.</w:t>
      </w:r>
    </w:p>
  </w:footnote>
  <w:footnote w:id="5">
    <w:p w14:paraId="0E16757A" w14:textId="495CFD84" w:rsidR="009D7594" w:rsidRDefault="009D7594">
      <w:pPr>
        <w:pStyle w:val="FootnoteText"/>
      </w:pPr>
      <w:r>
        <w:rPr>
          <w:rStyle w:val="FootnoteReference"/>
        </w:rPr>
        <w:footnoteRef/>
      </w:r>
      <w:r>
        <w:t xml:space="preserve"> See the response to STF-ASR-8-3.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E86F2" w14:textId="77777777" w:rsidR="00036EEC" w:rsidRDefault="00036EE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564"/>
    <w:multiLevelType w:val="hybridMultilevel"/>
    <w:tmpl w:val="1972A6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0FC70B2"/>
    <w:multiLevelType w:val="hybridMultilevel"/>
    <w:tmpl w:val="46463E24"/>
    <w:lvl w:ilvl="0" w:tplc="699C22FE">
      <w:start w:val="1"/>
      <w:numFmt w:val="bullet"/>
      <w:lvlText w:val=""/>
      <w:lvlJc w:val="left"/>
      <w:pPr>
        <w:ind w:left="2166" w:hanging="360"/>
      </w:pPr>
      <w:rPr>
        <w:rFonts w:ascii="Symbol" w:hAnsi="Symbol" w:hint="default"/>
      </w:rPr>
    </w:lvl>
    <w:lvl w:ilvl="1" w:tplc="DDF6C620" w:tentative="1">
      <w:start w:val="1"/>
      <w:numFmt w:val="bullet"/>
      <w:lvlText w:val="o"/>
      <w:lvlJc w:val="left"/>
      <w:pPr>
        <w:ind w:left="2886" w:hanging="360"/>
      </w:pPr>
      <w:rPr>
        <w:rFonts w:ascii="Courier New" w:hAnsi="Courier New" w:cs="Courier New" w:hint="default"/>
      </w:rPr>
    </w:lvl>
    <w:lvl w:ilvl="2" w:tplc="302A1BC6" w:tentative="1">
      <w:start w:val="1"/>
      <w:numFmt w:val="bullet"/>
      <w:lvlText w:val=""/>
      <w:lvlJc w:val="left"/>
      <w:pPr>
        <w:ind w:left="3606" w:hanging="360"/>
      </w:pPr>
      <w:rPr>
        <w:rFonts w:ascii="Wingdings" w:hAnsi="Wingdings" w:hint="default"/>
      </w:rPr>
    </w:lvl>
    <w:lvl w:ilvl="3" w:tplc="F604A130" w:tentative="1">
      <w:start w:val="1"/>
      <w:numFmt w:val="bullet"/>
      <w:lvlText w:val=""/>
      <w:lvlJc w:val="left"/>
      <w:pPr>
        <w:ind w:left="4326" w:hanging="360"/>
      </w:pPr>
      <w:rPr>
        <w:rFonts w:ascii="Symbol" w:hAnsi="Symbol" w:hint="default"/>
      </w:rPr>
    </w:lvl>
    <w:lvl w:ilvl="4" w:tplc="5588D7A0" w:tentative="1">
      <w:start w:val="1"/>
      <w:numFmt w:val="bullet"/>
      <w:lvlText w:val="o"/>
      <w:lvlJc w:val="left"/>
      <w:pPr>
        <w:ind w:left="5046" w:hanging="360"/>
      </w:pPr>
      <w:rPr>
        <w:rFonts w:ascii="Courier New" w:hAnsi="Courier New" w:cs="Courier New" w:hint="default"/>
      </w:rPr>
    </w:lvl>
    <w:lvl w:ilvl="5" w:tplc="907C7632" w:tentative="1">
      <w:start w:val="1"/>
      <w:numFmt w:val="bullet"/>
      <w:lvlText w:val=""/>
      <w:lvlJc w:val="left"/>
      <w:pPr>
        <w:ind w:left="5766" w:hanging="360"/>
      </w:pPr>
      <w:rPr>
        <w:rFonts w:ascii="Wingdings" w:hAnsi="Wingdings" w:hint="default"/>
      </w:rPr>
    </w:lvl>
    <w:lvl w:ilvl="6" w:tplc="D4BCBC2C" w:tentative="1">
      <w:start w:val="1"/>
      <w:numFmt w:val="bullet"/>
      <w:lvlText w:val=""/>
      <w:lvlJc w:val="left"/>
      <w:pPr>
        <w:ind w:left="6486" w:hanging="360"/>
      </w:pPr>
      <w:rPr>
        <w:rFonts w:ascii="Symbol" w:hAnsi="Symbol" w:hint="default"/>
      </w:rPr>
    </w:lvl>
    <w:lvl w:ilvl="7" w:tplc="7D0E1302" w:tentative="1">
      <w:start w:val="1"/>
      <w:numFmt w:val="bullet"/>
      <w:lvlText w:val="o"/>
      <w:lvlJc w:val="left"/>
      <w:pPr>
        <w:ind w:left="7206" w:hanging="360"/>
      </w:pPr>
      <w:rPr>
        <w:rFonts w:ascii="Courier New" w:hAnsi="Courier New" w:cs="Courier New" w:hint="default"/>
      </w:rPr>
    </w:lvl>
    <w:lvl w:ilvl="8" w:tplc="A622DAA4" w:tentative="1">
      <w:start w:val="1"/>
      <w:numFmt w:val="bullet"/>
      <w:lvlText w:val=""/>
      <w:lvlJc w:val="left"/>
      <w:pPr>
        <w:ind w:left="7926" w:hanging="360"/>
      </w:pPr>
      <w:rPr>
        <w:rFonts w:ascii="Wingdings" w:hAnsi="Wingdings" w:hint="default"/>
      </w:rPr>
    </w:lvl>
  </w:abstractNum>
  <w:abstractNum w:abstractNumId="2" w15:restartNumberingAfterBreak="0">
    <w:nsid w:val="03DC5075"/>
    <w:multiLevelType w:val="hybridMultilevel"/>
    <w:tmpl w:val="A822D49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09511438"/>
    <w:multiLevelType w:val="hybridMultilevel"/>
    <w:tmpl w:val="A5B8F766"/>
    <w:lvl w:ilvl="0" w:tplc="8F4036B6">
      <w:start w:val="1"/>
      <w:numFmt w:val="bullet"/>
      <w:lvlText w:val="o"/>
      <w:lvlJc w:val="left"/>
      <w:pPr>
        <w:ind w:left="1080" w:hanging="360"/>
      </w:pPr>
      <w:rPr>
        <w:rFonts w:ascii="Courier New" w:hAnsi="Courier New" w:cs="Courier New" w:hint="default"/>
      </w:rPr>
    </w:lvl>
    <w:lvl w:ilvl="1" w:tplc="67DAAF0E" w:tentative="1">
      <w:start w:val="1"/>
      <w:numFmt w:val="bullet"/>
      <w:lvlText w:val="o"/>
      <w:lvlJc w:val="left"/>
      <w:pPr>
        <w:ind w:left="1800" w:hanging="360"/>
      </w:pPr>
      <w:rPr>
        <w:rFonts w:ascii="Courier New" w:hAnsi="Courier New" w:cs="Courier New" w:hint="default"/>
      </w:rPr>
    </w:lvl>
    <w:lvl w:ilvl="2" w:tplc="32CC1802" w:tentative="1">
      <w:start w:val="1"/>
      <w:numFmt w:val="bullet"/>
      <w:lvlText w:val=""/>
      <w:lvlJc w:val="left"/>
      <w:pPr>
        <w:ind w:left="2520" w:hanging="360"/>
      </w:pPr>
      <w:rPr>
        <w:rFonts w:ascii="Wingdings" w:hAnsi="Wingdings" w:hint="default"/>
      </w:rPr>
    </w:lvl>
    <w:lvl w:ilvl="3" w:tplc="66648E7C" w:tentative="1">
      <w:start w:val="1"/>
      <w:numFmt w:val="bullet"/>
      <w:lvlText w:val=""/>
      <w:lvlJc w:val="left"/>
      <w:pPr>
        <w:ind w:left="3240" w:hanging="360"/>
      </w:pPr>
      <w:rPr>
        <w:rFonts w:ascii="Symbol" w:hAnsi="Symbol" w:hint="default"/>
      </w:rPr>
    </w:lvl>
    <w:lvl w:ilvl="4" w:tplc="B428D804" w:tentative="1">
      <w:start w:val="1"/>
      <w:numFmt w:val="bullet"/>
      <w:lvlText w:val="o"/>
      <w:lvlJc w:val="left"/>
      <w:pPr>
        <w:ind w:left="3960" w:hanging="360"/>
      </w:pPr>
      <w:rPr>
        <w:rFonts w:ascii="Courier New" w:hAnsi="Courier New" w:cs="Courier New" w:hint="default"/>
      </w:rPr>
    </w:lvl>
    <w:lvl w:ilvl="5" w:tplc="C332DE3A" w:tentative="1">
      <w:start w:val="1"/>
      <w:numFmt w:val="bullet"/>
      <w:lvlText w:val=""/>
      <w:lvlJc w:val="left"/>
      <w:pPr>
        <w:ind w:left="4680" w:hanging="360"/>
      </w:pPr>
      <w:rPr>
        <w:rFonts w:ascii="Wingdings" w:hAnsi="Wingdings" w:hint="default"/>
      </w:rPr>
    </w:lvl>
    <w:lvl w:ilvl="6" w:tplc="DB643530" w:tentative="1">
      <w:start w:val="1"/>
      <w:numFmt w:val="bullet"/>
      <w:lvlText w:val=""/>
      <w:lvlJc w:val="left"/>
      <w:pPr>
        <w:ind w:left="5400" w:hanging="360"/>
      </w:pPr>
      <w:rPr>
        <w:rFonts w:ascii="Symbol" w:hAnsi="Symbol" w:hint="default"/>
      </w:rPr>
    </w:lvl>
    <w:lvl w:ilvl="7" w:tplc="F2E4B3DE" w:tentative="1">
      <w:start w:val="1"/>
      <w:numFmt w:val="bullet"/>
      <w:lvlText w:val="o"/>
      <w:lvlJc w:val="left"/>
      <w:pPr>
        <w:ind w:left="6120" w:hanging="360"/>
      </w:pPr>
      <w:rPr>
        <w:rFonts w:ascii="Courier New" w:hAnsi="Courier New" w:cs="Courier New" w:hint="default"/>
      </w:rPr>
    </w:lvl>
    <w:lvl w:ilvl="8" w:tplc="CAFEF6C0" w:tentative="1">
      <w:start w:val="1"/>
      <w:numFmt w:val="bullet"/>
      <w:lvlText w:val=""/>
      <w:lvlJc w:val="left"/>
      <w:pPr>
        <w:ind w:left="6840" w:hanging="360"/>
      </w:pPr>
      <w:rPr>
        <w:rFonts w:ascii="Wingdings" w:hAnsi="Wingdings" w:hint="default"/>
      </w:rPr>
    </w:lvl>
  </w:abstractNum>
  <w:abstractNum w:abstractNumId="4" w15:restartNumberingAfterBreak="0">
    <w:nsid w:val="0C33286B"/>
    <w:multiLevelType w:val="hybridMultilevel"/>
    <w:tmpl w:val="9C5CF64E"/>
    <w:lvl w:ilvl="0" w:tplc="A61AB72A">
      <w:start w:val="1"/>
      <w:numFmt w:val="bullet"/>
      <w:lvlText w:val=""/>
      <w:lvlJc w:val="left"/>
      <w:pPr>
        <w:ind w:left="2166" w:hanging="360"/>
      </w:pPr>
      <w:rPr>
        <w:rFonts w:ascii="Symbol" w:hAnsi="Symbol" w:hint="default"/>
      </w:rPr>
    </w:lvl>
    <w:lvl w:ilvl="1" w:tplc="55E0C238" w:tentative="1">
      <w:start w:val="1"/>
      <w:numFmt w:val="bullet"/>
      <w:lvlText w:val="o"/>
      <w:lvlJc w:val="left"/>
      <w:pPr>
        <w:ind w:left="2886" w:hanging="360"/>
      </w:pPr>
      <w:rPr>
        <w:rFonts w:ascii="Courier New" w:hAnsi="Courier New" w:cs="Courier New" w:hint="default"/>
      </w:rPr>
    </w:lvl>
    <w:lvl w:ilvl="2" w:tplc="9732CA1A" w:tentative="1">
      <w:start w:val="1"/>
      <w:numFmt w:val="bullet"/>
      <w:lvlText w:val=""/>
      <w:lvlJc w:val="left"/>
      <w:pPr>
        <w:ind w:left="3606" w:hanging="360"/>
      </w:pPr>
      <w:rPr>
        <w:rFonts w:ascii="Wingdings" w:hAnsi="Wingdings" w:hint="default"/>
      </w:rPr>
    </w:lvl>
    <w:lvl w:ilvl="3" w:tplc="C3181ED8" w:tentative="1">
      <w:start w:val="1"/>
      <w:numFmt w:val="bullet"/>
      <w:lvlText w:val=""/>
      <w:lvlJc w:val="left"/>
      <w:pPr>
        <w:ind w:left="4326" w:hanging="360"/>
      </w:pPr>
      <w:rPr>
        <w:rFonts w:ascii="Symbol" w:hAnsi="Symbol" w:hint="default"/>
      </w:rPr>
    </w:lvl>
    <w:lvl w:ilvl="4" w:tplc="B0A88CE0" w:tentative="1">
      <w:start w:val="1"/>
      <w:numFmt w:val="bullet"/>
      <w:lvlText w:val="o"/>
      <w:lvlJc w:val="left"/>
      <w:pPr>
        <w:ind w:left="5046" w:hanging="360"/>
      </w:pPr>
      <w:rPr>
        <w:rFonts w:ascii="Courier New" w:hAnsi="Courier New" w:cs="Courier New" w:hint="default"/>
      </w:rPr>
    </w:lvl>
    <w:lvl w:ilvl="5" w:tplc="D34A507E" w:tentative="1">
      <w:start w:val="1"/>
      <w:numFmt w:val="bullet"/>
      <w:lvlText w:val=""/>
      <w:lvlJc w:val="left"/>
      <w:pPr>
        <w:ind w:left="5766" w:hanging="360"/>
      </w:pPr>
      <w:rPr>
        <w:rFonts w:ascii="Wingdings" w:hAnsi="Wingdings" w:hint="default"/>
      </w:rPr>
    </w:lvl>
    <w:lvl w:ilvl="6" w:tplc="53425DF4" w:tentative="1">
      <w:start w:val="1"/>
      <w:numFmt w:val="bullet"/>
      <w:lvlText w:val=""/>
      <w:lvlJc w:val="left"/>
      <w:pPr>
        <w:ind w:left="6486" w:hanging="360"/>
      </w:pPr>
      <w:rPr>
        <w:rFonts w:ascii="Symbol" w:hAnsi="Symbol" w:hint="default"/>
      </w:rPr>
    </w:lvl>
    <w:lvl w:ilvl="7" w:tplc="AD5EA52E" w:tentative="1">
      <w:start w:val="1"/>
      <w:numFmt w:val="bullet"/>
      <w:lvlText w:val="o"/>
      <w:lvlJc w:val="left"/>
      <w:pPr>
        <w:ind w:left="7206" w:hanging="360"/>
      </w:pPr>
      <w:rPr>
        <w:rFonts w:ascii="Courier New" w:hAnsi="Courier New" w:cs="Courier New" w:hint="default"/>
      </w:rPr>
    </w:lvl>
    <w:lvl w:ilvl="8" w:tplc="761ED03A" w:tentative="1">
      <w:start w:val="1"/>
      <w:numFmt w:val="bullet"/>
      <w:lvlText w:val=""/>
      <w:lvlJc w:val="left"/>
      <w:pPr>
        <w:ind w:left="7926" w:hanging="360"/>
      </w:pPr>
      <w:rPr>
        <w:rFonts w:ascii="Wingdings" w:hAnsi="Wingdings" w:hint="default"/>
      </w:rPr>
    </w:lvl>
  </w:abstractNum>
  <w:abstractNum w:abstractNumId="5" w15:restartNumberingAfterBreak="0">
    <w:nsid w:val="0E517D9D"/>
    <w:multiLevelType w:val="hybridMultilevel"/>
    <w:tmpl w:val="79D696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096C78"/>
    <w:multiLevelType w:val="hybridMultilevel"/>
    <w:tmpl w:val="31FC06C8"/>
    <w:lvl w:ilvl="0" w:tplc="6A14F5BC">
      <w:start w:val="1"/>
      <w:numFmt w:val="bullet"/>
      <w:lvlText w:val=""/>
      <w:lvlJc w:val="left"/>
      <w:pPr>
        <w:ind w:left="720" w:hanging="360"/>
      </w:pPr>
      <w:rPr>
        <w:rFonts w:ascii="Symbol" w:hAnsi="Symbol" w:hint="default"/>
      </w:rPr>
    </w:lvl>
    <w:lvl w:ilvl="1" w:tplc="B52E343A" w:tentative="1">
      <w:start w:val="1"/>
      <w:numFmt w:val="bullet"/>
      <w:lvlText w:val="o"/>
      <w:lvlJc w:val="left"/>
      <w:pPr>
        <w:ind w:left="1440" w:hanging="360"/>
      </w:pPr>
      <w:rPr>
        <w:rFonts w:ascii="Courier New" w:hAnsi="Courier New" w:cs="Courier New" w:hint="default"/>
      </w:rPr>
    </w:lvl>
    <w:lvl w:ilvl="2" w:tplc="F3DE16C8" w:tentative="1">
      <w:start w:val="1"/>
      <w:numFmt w:val="bullet"/>
      <w:lvlText w:val=""/>
      <w:lvlJc w:val="left"/>
      <w:pPr>
        <w:ind w:left="2160" w:hanging="360"/>
      </w:pPr>
      <w:rPr>
        <w:rFonts w:ascii="Wingdings" w:hAnsi="Wingdings" w:hint="default"/>
      </w:rPr>
    </w:lvl>
    <w:lvl w:ilvl="3" w:tplc="359C1F32" w:tentative="1">
      <w:start w:val="1"/>
      <w:numFmt w:val="bullet"/>
      <w:lvlText w:val=""/>
      <w:lvlJc w:val="left"/>
      <w:pPr>
        <w:ind w:left="2880" w:hanging="360"/>
      </w:pPr>
      <w:rPr>
        <w:rFonts w:ascii="Symbol" w:hAnsi="Symbol" w:hint="default"/>
      </w:rPr>
    </w:lvl>
    <w:lvl w:ilvl="4" w:tplc="06E0228C" w:tentative="1">
      <w:start w:val="1"/>
      <w:numFmt w:val="bullet"/>
      <w:lvlText w:val="o"/>
      <w:lvlJc w:val="left"/>
      <w:pPr>
        <w:ind w:left="3600" w:hanging="360"/>
      </w:pPr>
      <w:rPr>
        <w:rFonts w:ascii="Courier New" w:hAnsi="Courier New" w:cs="Courier New" w:hint="default"/>
      </w:rPr>
    </w:lvl>
    <w:lvl w:ilvl="5" w:tplc="B5F061AC" w:tentative="1">
      <w:start w:val="1"/>
      <w:numFmt w:val="bullet"/>
      <w:lvlText w:val=""/>
      <w:lvlJc w:val="left"/>
      <w:pPr>
        <w:ind w:left="4320" w:hanging="360"/>
      </w:pPr>
      <w:rPr>
        <w:rFonts w:ascii="Wingdings" w:hAnsi="Wingdings" w:hint="default"/>
      </w:rPr>
    </w:lvl>
    <w:lvl w:ilvl="6" w:tplc="651448EA" w:tentative="1">
      <w:start w:val="1"/>
      <w:numFmt w:val="bullet"/>
      <w:lvlText w:val=""/>
      <w:lvlJc w:val="left"/>
      <w:pPr>
        <w:ind w:left="5040" w:hanging="360"/>
      </w:pPr>
      <w:rPr>
        <w:rFonts w:ascii="Symbol" w:hAnsi="Symbol" w:hint="default"/>
      </w:rPr>
    </w:lvl>
    <w:lvl w:ilvl="7" w:tplc="AAF29710" w:tentative="1">
      <w:start w:val="1"/>
      <w:numFmt w:val="bullet"/>
      <w:lvlText w:val="o"/>
      <w:lvlJc w:val="left"/>
      <w:pPr>
        <w:ind w:left="5760" w:hanging="360"/>
      </w:pPr>
      <w:rPr>
        <w:rFonts w:ascii="Courier New" w:hAnsi="Courier New" w:cs="Courier New" w:hint="default"/>
      </w:rPr>
    </w:lvl>
    <w:lvl w:ilvl="8" w:tplc="BD38C28C" w:tentative="1">
      <w:start w:val="1"/>
      <w:numFmt w:val="bullet"/>
      <w:lvlText w:val=""/>
      <w:lvlJc w:val="left"/>
      <w:pPr>
        <w:ind w:left="6480" w:hanging="360"/>
      </w:pPr>
      <w:rPr>
        <w:rFonts w:ascii="Wingdings" w:hAnsi="Wingdings" w:hint="default"/>
      </w:rPr>
    </w:lvl>
  </w:abstractNum>
  <w:abstractNum w:abstractNumId="7" w15:restartNumberingAfterBreak="0">
    <w:nsid w:val="11EA7F44"/>
    <w:multiLevelType w:val="multilevel"/>
    <w:tmpl w:val="86560F86"/>
    <w:lvl w:ilvl="0">
      <w:start w:val="1"/>
      <w:numFmt w:val="decimal"/>
      <w:pStyle w:val="GA-STF-DR"/>
      <w:lvlText w:val="STF-19-%1"/>
      <w:lvlJc w:val="left"/>
      <w:pPr>
        <w:tabs>
          <w:tab w:val="num" w:pos="1944"/>
        </w:tabs>
        <w:ind w:left="2160" w:hanging="2160"/>
      </w:pPr>
      <w:rPr>
        <w:rFonts w:hint="default"/>
        <w:b/>
      </w:rPr>
    </w:lvl>
    <w:lvl w:ilvl="1">
      <w:start w:val="1"/>
      <w:numFmt w:val="lowerLetter"/>
      <w:pStyle w:val="Ga-DR-a"/>
      <w:lvlText w:val="%2."/>
      <w:lvlJc w:val="left"/>
      <w:pPr>
        <w:tabs>
          <w:tab w:val="num" w:pos="2160"/>
        </w:tabs>
        <w:ind w:left="2880" w:hanging="720"/>
      </w:pPr>
      <w:rPr>
        <w:rFonts w:hint="default"/>
      </w:rPr>
    </w:lvl>
    <w:lvl w:ilvl="2">
      <w:start w:val="1"/>
      <w:numFmt w:val="decimal"/>
      <w:lvlText w:val="%3."/>
      <w:lvlJc w:val="left"/>
      <w:pPr>
        <w:tabs>
          <w:tab w:val="num" w:pos="2880"/>
        </w:tabs>
        <w:ind w:left="3600" w:hanging="720"/>
      </w:pPr>
      <w:rPr>
        <w:rFonts w:hint="default"/>
      </w:rPr>
    </w:lvl>
    <w:lvl w:ilvl="3">
      <w:start w:val="1"/>
      <w:numFmt w:val="lowerRoman"/>
      <w:lvlText w:val="%4."/>
      <w:lvlJc w:val="left"/>
      <w:pPr>
        <w:tabs>
          <w:tab w:val="num" w:pos="3600"/>
        </w:tabs>
        <w:ind w:left="4320" w:hanging="720"/>
      </w:pPr>
      <w:rPr>
        <w:rFonts w:hint="default"/>
      </w:rPr>
    </w:lvl>
    <w:lvl w:ilvl="4">
      <w:start w:val="1"/>
      <w:numFmt w:val="lowerLetter"/>
      <w:lvlText w:val="%5."/>
      <w:lvlJc w:val="left"/>
      <w:pPr>
        <w:tabs>
          <w:tab w:val="num" w:pos="3600"/>
        </w:tabs>
        <w:ind w:left="4032" w:hanging="432"/>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15:restartNumberingAfterBreak="0">
    <w:nsid w:val="12092794"/>
    <w:multiLevelType w:val="hybridMultilevel"/>
    <w:tmpl w:val="34D42536"/>
    <w:lvl w:ilvl="0" w:tplc="CD98D5DE">
      <w:start w:val="1"/>
      <w:numFmt w:val="bullet"/>
      <w:lvlText w:val=""/>
      <w:lvlJc w:val="left"/>
      <w:pPr>
        <w:ind w:left="2166" w:hanging="360"/>
      </w:pPr>
      <w:rPr>
        <w:rFonts w:ascii="Symbol" w:hAnsi="Symbol" w:hint="default"/>
      </w:rPr>
    </w:lvl>
    <w:lvl w:ilvl="1" w:tplc="5344EDD0" w:tentative="1">
      <w:start w:val="1"/>
      <w:numFmt w:val="bullet"/>
      <w:lvlText w:val="o"/>
      <w:lvlJc w:val="left"/>
      <w:pPr>
        <w:ind w:left="2886" w:hanging="360"/>
      </w:pPr>
      <w:rPr>
        <w:rFonts w:ascii="Courier New" w:hAnsi="Courier New" w:cs="Courier New" w:hint="default"/>
      </w:rPr>
    </w:lvl>
    <w:lvl w:ilvl="2" w:tplc="CB5874F6" w:tentative="1">
      <w:start w:val="1"/>
      <w:numFmt w:val="bullet"/>
      <w:lvlText w:val=""/>
      <w:lvlJc w:val="left"/>
      <w:pPr>
        <w:ind w:left="3606" w:hanging="360"/>
      </w:pPr>
      <w:rPr>
        <w:rFonts w:ascii="Wingdings" w:hAnsi="Wingdings" w:hint="default"/>
      </w:rPr>
    </w:lvl>
    <w:lvl w:ilvl="3" w:tplc="8AE62C52" w:tentative="1">
      <w:start w:val="1"/>
      <w:numFmt w:val="bullet"/>
      <w:lvlText w:val=""/>
      <w:lvlJc w:val="left"/>
      <w:pPr>
        <w:ind w:left="4326" w:hanging="360"/>
      </w:pPr>
      <w:rPr>
        <w:rFonts w:ascii="Symbol" w:hAnsi="Symbol" w:hint="default"/>
      </w:rPr>
    </w:lvl>
    <w:lvl w:ilvl="4" w:tplc="B55E8358" w:tentative="1">
      <w:start w:val="1"/>
      <w:numFmt w:val="bullet"/>
      <w:lvlText w:val="o"/>
      <w:lvlJc w:val="left"/>
      <w:pPr>
        <w:ind w:left="5046" w:hanging="360"/>
      </w:pPr>
      <w:rPr>
        <w:rFonts w:ascii="Courier New" w:hAnsi="Courier New" w:cs="Courier New" w:hint="default"/>
      </w:rPr>
    </w:lvl>
    <w:lvl w:ilvl="5" w:tplc="31862DDA" w:tentative="1">
      <w:start w:val="1"/>
      <w:numFmt w:val="bullet"/>
      <w:lvlText w:val=""/>
      <w:lvlJc w:val="left"/>
      <w:pPr>
        <w:ind w:left="5766" w:hanging="360"/>
      </w:pPr>
      <w:rPr>
        <w:rFonts w:ascii="Wingdings" w:hAnsi="Wingdings" w:hint="default"/>
      </w:rPr>
    </w:lvl>
    <w:lvl w:ilvl="6" w:tplc="59A8EF68" w:tentative="1">
      <w:start w:val="1"/>
      <w:numFmt w:val="bullet"/>
      <w:lvlText w:val=""/>
      <w:lvlJc w:val="left"/>
      <w:pPr>
        <w:ind w:left="6486" w:hanging="360"/>
      </w:pPr>
      <w:rPr>
        <w:rFonts w:ascii="Symbol" w:hAnsi="Symbol" w:hint="default"/>
      </w:rPr>
    </w:lvl>
    <w:lvl w:ilvl="7" w:tplc="1990273C" w:tentative="1">
      <w:start w:val="1"/>
      <w:numFmt w:val="bullet"/>
      <w:lvlText w:val="o"/>
      <w:lvlJc w:val="left"/>
      <w:pPr>
        <w:ind w:left="7206" w:hanging="360"/>
      </w:pPr>
      <w:rPr>
        <w:rFonts w:ascii="Courier New" w:hAnsi="Courier New" w:cs="Courier New" w:hint="default"/>
      </w:rPr>
    </w:lvl>
    <w:lvl w:ilvl="8" w:tplc="9DAC5BF2" w:tentative="1">
      <w:start w:val="1"/>
      <w:numFmt w:val="bullet"/>
      <w:lvlText w:val=""/>
      <w:lvlJc w:val="left"/>
      <w:pPr>
        <w:ind w:left="7926" w:hanging="360"/>
      </w:pPr>
      <w:rPr>
        <w:rFonts w:ascii="Wingdings" w:hAnsi="Wingdings" w:hint="default"/>
      </w:rPr>
    </w:lvl>
  </w:abstractNum>
  <w:abstractNum w:abstractNumId="9" w15:restartNumberingAfterBreak="0">
    <w:nsid w:val="17607376"/>
    <w:multiLevelType w:val="hybridMultilevel"/>
    <w:tmpl w:val="68E48ED2"/>
    <w:lvl w:ilvl="0" w:tplc="6E7E6644">
      <w:start w:val="1"/>
      <w:numFmt w:val="bullet"/>
      <w:lvlText w:val=""/>
      <w:lvlJc w:val="left"/>
      <w:pPr>
        <w:ind w:left="2166" w:hanging="360"/>
      </w:pPr>
      <w:rPr>
        <w:rFonts w:ascii="Symbol" w:hAnsi="Symbol" w:hint="default"/>
      </w:rPr>
    </w:lvl>
    <w:lvl w:ilvl="1" w:tplc="95AEC74E" w:tentative="1">
      <w:start w:val="1"/>
      <w:numFmt w:val="bullet"/>
      <w:lvlText w:val="o"/>
      <w:lvlJc w:val="left"/>
      <w:pPr>
        <w:ind w:left="2886" w:hanging="360"/>
      </w:pPr>
      <w:rPr>
        <w:rFonts w:ascii="Courier New" w:hAnsi="Courier New" w:cs="Courier New" w:hint="default"/>
      </w:rPr>
    </w:lvl>
    <w:lvl w:ilvl="2" w:tplc="9D6CA112" w:tentative="1">
      <w:start w:val="1"/>
      <w:numFmt w:val="bullet"/>
      <w:lvlText w:val=""/>
      <w:lvlJc w:val="left"/>
      <w:pPr>
        <w:ind w:left="3606" w:hanging="360"/>
      </w:pPr>
      <w:rPr>
        <w:rFonts w:ascii="Wingdings" w:hAnsi="Wingdings" w:hint="default"/>
      </w:rPr>
    </w:lvl>
    <w:lvl w:ilvl="3" w:tplc="D036456E" w:tentative="1">
      <w:start w:val="1"/>
      <w:numFmt w:val="bullet"/>
      <w:lvlText w:val=""/>
      <w:lvlJc w:val="left"/>
      <w:pPr>
        <w:ind w:left="4326" w:hanging="360"/>
      </w:pPr>
      <w:rPr>
        <w:rFonts w:ascii="Symbol" w:hAnsi="Symbol" w:hint="default"/>
      </w:rPr>
    </w:lvl>
    <w:lvl w:ilvl="4" w:tplc="DE1EA14C" w:tentative="1">
      <w:start w:val="1"/>
      <w:numFmt w:val="bullet"/>
      <w:lvlText w:val="o"/>
      <w:lvlJc w:val="left"/>
      <w:pPr>
        <w:ind w:left="5046" w:hanging="360"/>
      </w:pPr>
      <w:rPr>
        <w:rFonts w:ascii="Courier New" w:hAnsi="Courier New" w:cs="Courier New" w:hint="default"/>
      </w:rPr>
    </w:lvl>
    <w:lvl w:ilvl="5" w:tplc="6616BBF2" w:tentative="1">
      <w:start w:val="1"/>
      <w:numFmt w:val="bullet"/>
      <w:lvlText w:val=""/>
      <w:lvlJc w:val="left"/>
      <w:pPr>
        <w:ind w:left="5766" w:hanging="360"/>
      </w:pPr>
      <w:rPr>
        <w:rFonts w:ascii="Wingdings" w:hAnsi="Wingdings" w:hint="default"/>
      </w:rPr>
    </w:lvl>
    <w:lvl w:ilvl="6" w:tplc="C9FAEEE6" w:tentative="1">
      <w:start w:val="1"/>
      <w:numFmt w:val="bullet"/>
      <w:lvlText w:val=""/>
      <w:lvlJc w:val="left"/>
      <w:pPr>
        <w:ind w:left="6486" w:hanging="360"/>
      </w:pPr>
      <w:rPr>
        <w:rFonts w:ascii="Symbol" w:hAnsi="Symbol" w:hint="default"/>
      </w:rPr>
    </w:lvl>
    <w:lvl w:ilvl="7" w:tplc="90127E1C" w:tentative="1">
      <w:start w:val="1"/>
      <w:numFmt w:val="bullet"/>
      <w:lvlText w:val="o"/>
      <w:lvlJc w:val="left"/>
      <w:pPr>
        <w:ind w:left="7206" w:hanging="360"/>
      </w:pPr>
      <w:rPr>
        <w:rFonts w:ascii="Courier New" w:hAnsi="Courier New" w:cs="Courier New" w:hint="default"/>
      </w:rPr>
    </w:lvl>
    <w:lvl w:ilvl="8" w:tplc="612AF192" w:tentative="1">
      <w:start w:val="1"/>
      <w:numFmt w:val="bullet"/>
      <w:lvlText w:val=""/>
      <w:lvlJc w:val="left"/>
      <w:pPr>
        <w:ind w:left="7926" w:hanging="360"/>
      </w:pPr>
      <w:rPr>
        <w:rFonts w:ascii="Wingdings" w:hAnsi="Wingdings" w:hint="default"/>
      </w:rPr>
    </w:lvl>
  </w:abstractNum>
  <w:abstractNum w:abstractNumId="10" w15:restartNumberingAfterBreak="0">
    <w:nsid w:val="17CE6863"/>
    <w:multiLevelType w:val="hybridMultilevel"/>
    <w:tmpl w:val="EDA44588"/>
    <w:lvl w:ilvl="0" w:tplc="B6F0CEA0">
      <w:start w:val="1"/>
      <w:numFmt w:val="bullet"/>
      <w:lvlText w:val=""/>
      <w:lvlJc w:val="left"/>
      <w:pPr>
        <w:ind w:left="630" w:hanging="360"/>
      </w:pPr>
      <w:rPr>
        <w:rFonts w:ascii="Symbol" w:hAnsi="Symbol" w:hint="default"/>
      </w:rPr>
    </w:lvl>
    <w:lvl w:ilvl="1" w:tplc="4F864B02" w:tentative="1">
      <w:start w:val="1"/>
      <w:numFmt w:val="bullet"/>
      <w:lvlText w:val="o"/>
      <w:lvlJc w:val="left"/>
      <w:pPr>
        <w:ind w:left="1350" w:hanging="360"/>
      </w:pPr>
      <w:rPr>
        <w:rFonts w:ascii="Courier New" w:hAnsi="Courier New" w:cs="Courier New" w:hint="default"/>
      </w:rPr>
    </w:lvl>
    <w:lvl w:ilvl="2" w:tplc="0BAAFAA8" w:tentative="1">
      <w:start w:val="1"/>
      <w:numFmt w:val="bullet"/>
      <w:lvlText w:val=""/>
      <w:lvlJc w:val="left"/>
      <w:pPr>
        <w:ind w:left="2070" w:hanging="360"/>
      </w:pPr>
      <w:rPr>
        <w:rFonts w:ascii="Wingdings" w:hAnsi="Wingdings" w:hint="default"/>
      </w:rPr>
    </w:lvl>
    <w:lvl w:ilvl="3" w:tplc="B3C8A1B6" w:tentative="1">
      <w:start w:val="1"/>
      <w:numFmt w:val="bullet"/>
      <w:lvlText w:val=""/>
      <w:lvlJc w:val="left"/>
      <w:pPr>
        <w:ind w:left="2790" w:hanging="360"/>
      </w:pPr>
      <w:rPr>
        <w:rFonts w:ascii="Symbol" w:hAnsi="Symbol" w:hint="default"/>
      </w:rPr>
    </w:lvl>
    <w:lvl w:ilvl="4" w:tplc="420A099A" w:tentative="1">
      <w:start w:val="1"/>
      <w:numFmt w:val="bullet"/>
      <w:lvlText w:val="o"/>
      <w:lvlJc w:val="left"/>
      <w:pPr>
        <w:ind w:left="3510" w:hanging="360"/>
      </w:pPr>
      <w:rPr>
        <w:rFonts w:ascii="Courier New" w:hAnsi="Courier New" w:cs="Courier New" w:hint="default"/>
      </w:rPr>
    </w:lvl>
    <w:lvl w:ilvl="5" w:tplc="9F749DF4" w:tentative="1">
      <w:start w:val="1"/>
      <w:numFmt w:val="bullet"/>
      <w:lvlText w:val=""/>
      <w:lvlJc w:val="left"/>
      <w:pPr>
        <w:ind w:left="4230" w:hanging="360"/>
      </w:pPr>
      <w:rPr>
        <w:rFonts w:ascii="Wingdings" w:hAnsi="Wingdings" w:hint="default"/>
      </w:rPr>
    </w:lvl>
    <w:lvl w:ilvl="6" w:tplc="148ED7FE" w:tentative="1">
      <w:start w:val="1"/>
      <w:numFmt w:val="bullet"/>
      <w:lvlText w:val=""/>
      <w:lvlJc w:val="left"/>
      <w:pPr>
        <w:ind w:left="4950" w:hanging="360"/>
      </w:pPr>
      <w:rPr>
        <w:rFonts w:ascii="Symbol" w:hAnsi="Symbol" w:hint="default"/>
      </w:rPr>
    </w:lvl>
    <w:lvl w:ilvl="7" w:tplc="E16ED024" w:tentative="1">
      <w:start w:val="1"/>
      <w:numFmt w:val="bullet"/>
      <w:lvlText w:val="o"/>
      <w:lvlJc w:val="left"/>
      <w:pPr>
        <w:ind w:left="5670" w:hanging="360"/>
      </w:pPr>
      <w:rPr>
        <w:rFonts w:ascii="Courier New" w:hAnsi="Courier New" w:cs="Courier New" w:hint="default"/>
      </w:rPr>
    </w:lvl>
    <w:lvl w:ilvl="8" w:tplc="9F62E4A2" w:tentative="1">
      <w:start w:val="1"/>
      <w:numFmt w:val="bullet"/>
      <w:lvlText w:val=""/>
      <w:lvlJc w:val="left"/>
      <w:pPr>
        <w:ind w:left="6390" w:hanging="360"/>
      </w:pPr>
      <w:rPr>
        <w:rFonts w:ascii="Wingdings" w:hAnsi="Wingdings" w:hint="default"/>
      </w:rPr>
    </w:lvl>
  </w:abstractNum>
  <w:abstractNum w:abstractNumId="11" w15:restartNumberingAfterBreak="0">
    <w:nsid w:val="1A9C16D5"/>
    <w:multiLevelType w:val="hybridMultilevel"/>
    <w:tmpl w:val="AD54F248"/>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463D2"/>
    <w:multiLevelType w:val="hybridMultilevel"/>
    <w:tmpl w:val="7232556E"/>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B97BA2"/>
    <w:multiLevelType w:val="hybridMultilevel"/>
    <w:tmpl w:val="BFEEAD8C"/>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5F78FB"/>
    <w:multiLevelType w:val="hybridMultilevel"/>
    <w:tmpl w:val="F52C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8D41C5"/>
    <w:multiLevelType w:val="hybridMultilevel"/>
    <w:tmpl w:val="F43406EE"/>
    <w:lvl w:ilvl="0" w:tplc="E7A2EF7A">
      <w:start w:val="1"/>
      <w:numFmt w:val="bullet"/>
      <w:lvlText w:val="o"/>
      <w:lvlJc w:val="left"/>
      <w:pPr>
        <w:ind w:left="1446" w:hanging="360"/>
      </w:pPr>
      <w:rPr>
        <w:rFonts w:ascii="Courier New" w:hAnsi="Courier New" w:cs="Courier New" w:hint="default"/>
      </w:rPr>
    </w:lvl>
    <w:lvl w:ilvl="1" w:tplc="A15E3A52" w:tentative="1">
      <w:start w:val="1"/>
      <w:numFmt w:val="bullet"/>
      <w:lvlText w:val="o"/>
      <w:lvlJc w:val="left"/>
      <w:pPr>
        <w:ind w:left="2166" w:hanging="360"/>
      </w:pPr>
      <w:rPr>
        <w:rFonts w:ascii="Courier New" w:hAnsi="Courier New" w:cs="Courier New" w:hint="default"/>
      </w:rPr>
    </w:lvl>
    <w:lvl w:ilvl="2" w:tplc="DB7EFD52" w:tentative="1">
      <w:start w:val="1"/>
      <w:numFmt w:val="bullet"/>
      <w:lvlText w:val=""/>
      <w:lvlJc w:val="left"/>
      <w:pPr>
        <w:ind w:left="2886" w:hanging="360"/>
      </w:pPr>
      <w:rPr>
        <w:rFonts w:ascii="Wingdings" w:hAnsi="Wingdings" w:hint="default"/>
      </w:rPr>
    </w:lvl>
    <w:lvl w:ilvl="3" w:tplc="C4466796" w:tentative="1">
      <w:start w:val="1"/>
      <w:numFmt w:val="bullet"/>
      <w:lvlText w:val=""/>
      <w:lvlJc w:val="left"/>
      <w:pPr>
        <w:ind w:left="3606" w:hanging="360"/>
      </w:pPr>
      <w:rPr>
        <w:rFonts w:ascii="Symbol" w:hAnsi="Symbol" w:hint="default"/>
      </w:rPr>
    </w:lvl>
    <w:lvl w:ilvl="4" w:tplc="431E66DE" w:tentative="1">
      <w:start w:val="1"/>
      <w:numFmt w:val="bullet"/>
      <w:lvlText w:val="o"/>
      <w:lvlJc w:val="left"/>
      <w:pPr>
        <w:ind w:left="4326" w:hanging="360"/>
      </w:pPr>
      <w:rPr>
        <w:rFonts w:ascii="Courier New" w:hAnsi="Courier New" w:cs="Courier New" w:hint="default"/>
      </w:rPr>
    </w:lvl>
    <w:lvl w:ilvl="5" w:tplc="B956BEFA" w:tentative="1">
      <w:start w:val="1"/>
      <w:numFmt w:val="bullet"/>
      <w:lvlText w:val=""/>
      <w:lvlJc w:val="left"/>
      <w:pPr>
        <w:ind w:left="5046" w:hanging="360"/>
      </w:pPr>
      <w:rPr>
        <w:rFonts w:ascii="Wingdings" w:hAnsi="Wingdings" w:hint="default"/>
      </w:rPr>
    </w:lvl>
    <w:lvl w:ilvl="6" w:tplc="3858F2C4" w:tentative="1">
      <w:start w:val="1"/>
      <w:numFmt w:val="bullet"/>
      <w:lvlText w:val=""/>
      <w:lvlJc w:val="left"/>
      <w:pPr>
        <w:ind w:left="5766" w:hanging="360"/>
      </w:pPr>
      <w:rPr>
        <w:rFonts w:ascii="Symbol" w:hAnsi="Symbol" w:hint="default"/>
      </w:rPr>
    </w:lvl>
    <w:lvl w:ilvl="7" w:tplc="DF88EFA2" w:tentative="1">
      <w:start w:val="1"/>
      <w:numFmt w:val="bullet"/>
      <w:lvlText w:val="o"/>
      <w:lvlJc w:val="left"/>
      <w:pPr>
        <w:ind w:left="6486" w:hanging="360"/>
      </w:pPr>
      <w:rPr>
        <w:rFonts w:ascii="Courier New" w:hAnsi="Courier New" w:cs="Courier New" w:hint="default"/>
      </w:rPr>
    </w:lvl>
    <w:lvl w:ilvl="8" w:tplc="D55E06C6" w:tentative="1">
      <w:start w:val="1"/>
      <w:numFmt w:val="bullet"/>
      <w:lvlText w:val=""/>
      <w:lvlJc w:val="left"/>
      <w:pPr>
        <w:ind w:left="7206" w:hanging="360"/>
      </w:pPr>
      <w:rPr>
        <w:rFonts w:ascii="Wingdings" w:hAnsi="Wingdings" w:hint="default"/>
      </w:rPr>
    </w:lvl>
  </w:abstractNum>
  <w:abstractNum w:abstractNumId="16" w15:restartNumberingAfterBreak="0">
    <w:nsid w:val="2DD035DF"/>
    <w:multiLevelType w:val="hybridMultilevel"/>
    <w:tmpl w:val="F4B2ED1C"/>
    <w:lvl w:ilvl="0" w:tplc="42867FA2">
      <w:start w:val="1"/>
      <w:numFmt w:val="bullet"/>
      <w:lvlText w:val=""/>
      <w:lvlJc w:val="left"/>
      <w:pPr>
        <w:ind w:left="2160" w:hanging="360"/>
      </w:pPr>
      <w:rPr>
        <w:rFonts w:ascii="Symbol" w:hAnsi="Symbol" w:hint="default"/>
      </w:rPr>
    </w:lvl>
    <w:lvl w:ilvl="1" w:tplc="EC089670" w:tentative="1">
      <w:start w:val="1"/>
      <w:numFmt w:val="bullet"/>
      <w:lvlText w:val="o"/>
      <w:lvlJc w:val="left"/>
      <w:pPr>
        <w:ind w:left="2880" w:hanging="360"/>
      </w:pPr>
      <w:rPr>
        <w:rFonts w:ascii="Courier New" w:hAnsi="Courier New" w:cs="Courier New" w:hint="default"/>
      </w:rPr>
    </w:lvl>
    <w:lvl w:ilvl="2" w:tplc="EB8AC17C" w:tentative="1">
      <w:start w:val="1"/>
      <w:numFmt w:val="bullet"/>
      <w:lvlText w:val=""/>
      <w:lvlJc w:val="left"/>
      <w:pPr>
        <w:ind w:left="3600" w:hanging="360"/>
      </w:pPr>
      <w:rPr>
        <w:rFonts w:ascii="Wingdings" w:hAnsi="Wingdings" w:hint="default"/>
      </w:rPr>
    </w:lvl>
    <w:lvl w:ilvl="3" w:tplc="26888BE0" w:tentative="1">
      <w:start w:val="1"/>
      <w:numFmt w:val="bullet"/>
      <w:lvlText w:val=""/>
      <w:lvlJc w:val="left"/>
      <w:pPr>
        <w:ind w:left="4320" w:hanging="360"/>
      </w:pPr>
      <w:rPr>
        <w:rFonts w:ascii="Symbol" w:hAnsi="Symbol" w:hint="default"/>
      </w:rPr>
    </w:lvl>
    <w:lvl w:ilvl="4" w:tplc="A0C6691A" w:tentative="1">
      <w:start w:val="1"/>
      <w:numFmt w:val="bullet"/>
      <w:lvlText w:val="o"/>
      <w:lvlJc w:val="left"/>
      <w:pPr>
        <w:ind w:left="5040" w:hanging="360"/>
      </w:pPr>
      <w:rPr>
        <w:rFonts w:ascii="Courier New" w:hAnsi="Courier New" w:cs="Courier New" w:hint="default"/>
      </w:rPr>
    </w:lvl>
    <w:lvl w:ilvl="5" w:tplc="662ABC44" w:tentative="1">
      <w:start w:val="1"/>
      <w:numFmt w:val="bullet"/>
      <w:lvlText w:val=""/>
      <w:lvlJc w:val="left"/>
      <w:pPr>
        <w:ind w:left="5760" w:hanging="360"/>
      </w:pPr>
      <w:rPr>
        <w:rFonts w:ascii="Wingdings" w:hAnsi="Wingdings" w:hint="default"/>
      </w:rPr>
    </w:lvl>
    <w:lvl w:ilvl="6" w:tplc="FA8A3136" w:tentative="1">
      <w:start w:val="1"/>
      <w:numFmt w:val="bullet"/>
      <w:lvlText w:val=""/>
      <w:lvlJc w:val="left"/>
      <w:pPr>
        <w:ind w:left="6480" w:hanging="360"/>
      </w:pPr>
      <w:rPr>
        <w:rFonts w:ascii="Symbol" w:hAnsi="Symbol" w:hint="default"/>
      </w:rPr>
    </w:lvl>
    <w:lvl w:ilvl="7" w:tplc="41A4C444" w:tentative="1">
      <w:start w:val="1"/>
      <w:numFmt w:val="bullet"/>
      <w:lvlText w:val="o"/>
      <w:lvlJc w:val="left"/>
      <w:pPr>
        <w:ind w:left="7200" w:hanging="360"/>
      </w:pPr>
      <w:rPr>
        <w:rFonts w:ascii="Courier New" w:hAnsi="Courier New" w:cs="Courier New" w:hint="default"/>
      </w:rPr>
    </w:lvl>
    <w:lvl w:ilvl="8" w:tplc="EF1A4648" w:tentative="1">
      <w:start w:val="1"/>
      <w:numFmt w:val="bullet"/>
      <w:lvlText w:val=""/>
      <w:lvlJc w:val="left"/>
      <w:pPr>
        <w:ind w:left="7920" w:hanging="360"/>
      </w:pPr>
      <w:rPr>
        <w:rFonts w:ascii="Wingdings" w:hAnsi="Wingdings" w:hint="default"/>
      </w:rPr>
    </w:lvl>
  </w:abstractNum>
  <w:abstractNum w:abstractNumId="17" w15:restartNumberingAfterBreak="0">
    <w:nsid w:val="2ED901A3"/>
    <w:multiLevelType w:val="hybridMultilevel"/>
    <w:tmpl w:val="1270B87A"/>
    <w:lvl w:ilvl="0" w:tplc="06A09450">
      <w:start w:val="1"/>
      <w:numFmt w:val="bullet"/>
      <w:lvlText w:val="o"/>
      <w:lvlJc w:val="left"/>
      <w:pPr>
        <w:ind w:left="1446" w:hanging="360"/>
      </w:pPr>
      <w:rPr>
        <w:rFonts w:ascii="Courier New" w:hAnsi="Courier New" w:cs="Courier New" w:hint="default"/>
      </w:rPr>
    </w:lvl>
    <w:lvl w:ilvl="1" w:tplc="5C06BA66" w:tentative="1">
      <w:start w:val="1"/>
      <w:numFmt w:val="bullet"/>
      <w:lvlText w:val="o"/>
      <w:lvlJc w:val="left"/>
      <w:pPr>
        <w:ind w:left="2166" w:hanging="360"/>
      </w:pPr>
      <w:rPr>
        <w:rFonts w:ascii="Courier New" w:hAnsi="Courier New" w:cs="Courier New" w:hint="default"/>
      </w:rPr>
    </w:lvl>
    <w:lvl w:ilvl="2" w:tplc="825EB0E8" w:tentative="1">
      <w:start w:val="1"/>
      <w:numFmt w:val="bullet"/>
      <w:lvlText w:val=""/>
      <w:lvlJc w:val="left"/>
      <w:pPr>
        <w:ind w:left="2886" w:hanging="360"/>
      </w:pPr>
      <w:rPr>
        <w:rFonts w:ascii="Wingdings" w:hAnsi="Wingdings" w:hint="default"/>
      </w:rPr>
    </w:lvl>
    <w:lvl w:ilvl="3" w:tplc="676E85CE" w:tentative="1">
      <w:start w:val="1"/>
      <w:numFmt w:val="bullet"/>
      <w:lvlText w:val=""/>
      <w:lvlJc w:val="left"/>
      <w:pPr>
        <w:ind w:left="3606" w:hanging="360"/>
      </w:pPr>
      <w:rPr>
        <w:rFonts w:ascii="Symbol" w:hAnsi="Symbol" w:hint="default"/>
      </w:rPr>
    </w:lvl>
    <w:lvl w:ilvl="4" w:tplc="BA5C0802" w:tentative="1">
      <w:start w:val="1"/>
      <w:numFmt w:val="bullet"/>
      <w:lvlText w:val="o"/>
      <w:lvlJc w:val="left"/>
      <w:pPr>
        <w:ind w:left="4326" w:hanging="360"/>
      </w:pPr>
      <w:rPr>
        <w:rFonts w:ascii="Courier New" w:hAnsi="Courier New" w:cs="Courier New" w:hint="default"/>
      </w:rPr>
    </w:lvl>
    <w:lvl w:ilvl="5" w:tplc="A1D60C38" w:tentative="1">
      <w:start w:val="1"/>
      <w:numFmt w:val="bullet"/>
      <w:lvlText w:val=""/>
      <w:lvlJc w:val="left"/>
      <w:pPr>
        <w:ind w:left="5046" w:hanging="360"/>
      </w:pPr>
      <w:rPr>
        <w:rFonts w:ascii="Wingdings" w:hAnsi="Wingdings" w:hint="default"/>
      </w:rPr>
    </w:lvl>
    <w:lvl w:ilvl="6" w:tplc="3B6C2A1A" w:tentative="1">
      <w:start w:val="1"/>
      <w:numFmt w:val="bullet"/>
      <w:lvlText w:val=""/>
      <w:lvlJc w:val="left"/>
      <w:pPr>
        <w:ind w:left="5766" w:hanging="360"/>
      </w:pPr>
      <w:rPr>
        <w:rFonts w:ascii="Symbol" w:hAnsi="Symbol" w:hint="default"/>
      </w:rPr>
    </w:lvl>
    <w:lvl w:ilvl="7" w:tplc="7068B280" w:tentative="1">
      <w:start w:val="1"/>
      <w:numFmt w:val="bullet"/>
      <w:lvlText w:val="o"/>
      <w:lvlJc w:val="left"/>
      <w:pPr>
        <w:ind w:left="6486" w:hanging="360"/>
      </w:pPr>
      <w:rPr>
        <w:rFonts w:ascii="Courier New" w:hAnsi="Courier New" w:cs="Courier New" w:hint="default"/>
      </w:rPr>
    </w:lvl>
    <w:lvl w:ilvl="8" w:tplc="57FA83AE" w:tentative="1">
      <w:start w:val="1"/>
      <w:numFmt w:val="bullet"/>
      <w:lvlText w:val=""/>
      <w:lvlJc w:val="left"/>
      <w:pPr>
        <w:ind w:left="7206" w:hanging="360"/>
      </w:pPr>
      <w:rPr>
        <w:rFonts w:ascii="Wingdings" w:hAnsi="Wingdings" w:hint="default"/>
      </w:rPr>
    </w:lvl>
  </w:abstractNum>
  <w:abstractNum w:abstractNumId="18" w15:restartNumberingAfterBreak="0">
    <w:nsid w:val="2F7977A0"/>
    <w:multiLevelType w:val="hybridMultilevel"/>
    <w:tmpl w:val="4C78ED6A"/>
    <w:lvl w:ilvl="0" w:tplc="1C9CD4D2">
      <w:start w:val="1"/>
      <w:numFmt w:val="decimal"/>
      <w:lvlText w:val="%1."/>
      <w:lvlJc w:val="left"/>
      <w:pPr>
        <w:ind w:left="1050" w:hanging="360"/>
      </w:pPr>
    </w:lvl>
    <w:lvl w:ilvl="1" w:tplc="00169A52" w:tentative="1">
      <w:start w:val="1"/>
      <w:numFmt w:val="lowerLetter"/>
      <w:lvlText w:val="%2."/>
      <w:lvlJc w:val="left"/>
      <w:pPr>
        <w:ind w:left="1770" w:hanging="360"/>
      </w:pPr>
    </w:lvl>
    <w:lvl w:ilvl="2" w:tplc="CB9831F4" w:tentative="1">
      <w:start w:val="1"/>
      <w:numFmt w:val="lowerRoman"/>
      <w:lvlText w:val="%3."/>
      <w:lvlJc w:val="right"/>
      <w:pPr>
        <w:ind w:left="2490" w:hanging="180"/>
      </w:pPr>
    </w:lvl>
    <w:lvl w:ilvl="3" w:tplc="E1BA5C88" w:tentative="1">
      <w:start w:val="1"/>
      <w:numFmt w:val="decimal"/>
      <w:lvlText w:val="%4."/>
      <w:lvlJc w:val="left"/>
      <w:pPr>
        <w:ind w:left="3210" w:hanging="360"/>
      </w:pPr>
    </w:lvl>
    <w:lvl w:ilvl="4" w:tplc="29F88538" w:tentative="1">
      <w:start w:val="1"/>
      <w:numFmt w:val="lowerLetter"/>
      <w:lvlText w:val="%5."/>
      <w:lvlJc w:val="left"/>
      <w:pPr>
        <w:ind w:left="3930" w:hanging="360"/>
      </w:pPr>
    </w:lvl>
    <w:lvl w:ilvl="5" w:tplc="194CBC1C" w:tentative="1">
      <w:start w:val="1"/>
      <w:numFmt w:val="lowerRoman"/>
      <w:lvlText w:val="%6."/>
      <w:lvlJc w:val="right"/>
      <w:pPr>
        <w:ind w:left="4650" w:hanging="180"/>
      </w:pPr>
    </w:lvl>
    <w:lvl w:ilvl="6" w:tplc="364C5C9A" w:tentative="1">
      <w:start w:val="1"/>
      <w:numFmt w:val="decimal"/>
      <w:lvlText w:val="%7."/>
      <w:lvlJc w:val="left"/>
      <w:pPr>
        <w:ind w:left="5370" w:hanging="360"/>
      </w:pPr>
    </w:lvl>
    <w:lvl w:ilvl="7" w:tplc="060E934A" w:tentative="1">
      <w:start w:val="1"/>
      <w:numFmt w:val="lowerLetter"/>
      <w:lvlText w:val="%8."/>
      <w:lvlJc w:val="left"/>
      <w:pPr>
        <w:ind w:left="6090" w:hanging="360"/>
      </w:pPr>
    </w:lvl>
    <w:lvl w:ilvl="8" w:tplc="FCACFC90" w:tentative="1">
      <w:start w:val="1"/>
      <w:numFmt w:val="lowerRoman"/>
      <w:lvlText w:val="%9."/>
      <w:lvlJc w:val="right"/>
      <w:pPr>
        <w:ind w:left="6810" w:hanging="180"/>
      </w:pPr>
    </w:lvl>
  </w:abstractNum>
  <w:abstractNum w:abstractNumId="19" w15:restartNumberingAfterBreak="0">
    <w:nsid w:val="30F84FD7"/>
    <w:multiLevelType w:val="hybridMultilevel"/>
    <w:tmpl w:val="2E969ADA"/>
    <w:lvl w:ilvl="0" w:tplc="B950E6D6">
      <w:start w:val="1"/>
      <w:numFmt w:val="bullet"/>
      <w:lvlText w:val=""/>
      <w:lvlJc w:val="left"/>
      <w:pPr>
        <w:ind w:left="1446" w:hanging="360"/>
      </w:pPr>
      <w:rPr>
        <w:rFonts w:ascii="Symbol" w:hAnsi="Symbol" w:hint="default"/>
      </w:rPr>
    </w:lvl>
    <w:lvl w:ilvl="1" w:tplc="4EE04214" w:tentative="1">
      <w:start w:val="1"/>
      <w:numFmt w:val="bullet"/>
      <w:lvlText w:val="o"/>
      <w:lvlJc w:val="left"/>
      <w:pPr>
        <w:ind w:left="2166" w:hanging="360"/>
      </w:pPr>
      <w:rPr>
        <w:rFonts w:ascii="Courier New" w:hAnsi="Courier New" w:cs="Courier New" w:hint="default"/>
      </w:rPr>
    </w:lvl>
    <w:lvl w:ilvl="2" w:tplc="62CA48BA" w:tentative="1">
      <w:start w:val="1"/>
      <w:numFmt w:val="bullet"/>
      <w:lvlText w:val=""/>
      <w:lvlJc w:val="left"/>
      <w:pPr>
        <w:ind w:left="2886" w:hanging="360"/>
      </w:pPr>
      <w:rPr>
        <w:rFonts w:ascii="Wingdings" w:hAnsi="Wingdings" w:hint="default"/>
      </w:rPr>
    </w:lvl>
    <w:lvl w:ilvl="3" w:tplc="90D2599C" w:tentative="1">
      <w:start w:val="1"/>
      <w:numFmt w:val="bullet"/>
      <w:lvlText w:val=""/>
      <w:lvlJc w:val="left"/>
      <w:pPr>
        <w:ind w:left="3606" w:hanging="360"/>
      </w:pPr>
      <w:rPr>
        <w:rFonts w:ascii="Symbol" w:hAnsi="Symbol" w:hint="default"/>
      </w:rPr>
    </w:lvl>
    <w:lvl w:ilvl="4" w:tplc="1EFE6516" w:tentative="1">
      <w:start w:val="1"/>
      <w:numFmt w:val="bullet"/>
      <w:lvlText w:val="o"/>
      <w:lvlJc w:val="left"/>
      <w:pPr>
        <w:ind w:left="4326" w:hanging="360"/>
      </w:pPr>
      <w:rPr>
        <w:rFonts w:ascii="Courier New" w:hAnsi="Courier New" w:cs="Courier New" w:hint="default"/>
      </w:rPr>
    </w:lvl>
    <w:lvl w:ilvl="5" w:tplc="99A4AFB0" w:tentative="1">
      <w:start w:val="1"/>
      <w:numFmt w:val="bullet"/>
      <w:lvlText w:val=""/>
      <w:lvlJc w:val="left"/>
      <w:pPr>
        <w:ind w:left="5046" w:hanging="360"/>
      </w:pPr>
      <w:rPr>
        <w:rFonts w:ascii="Wingdings" w:hAnsi="Wingdings" w:hint="default"/>
      </w:rPr>
    </w:lvl>
    <w:lvl w:ilvl="6" w:tplc="62A6FAEC" w:tentative="1">
      <w:start w:val="1"/>
      <w:numFmt w:val="bullet"/>
      <w:lvlText w:val=""/>
      <w:lvlJc w:val="left"/>
      <w:pPr>
        <w:ind w:left="5766" w:hanging="360"/>
      </w:pPr>
      <w:rPr>
        <w:rFonts w:ascii="Symbol" w:hAnsi="Symbol" w:hint="default"/>
      </w:rPr>
    </w:lvl>
    <w:lvl w:ilvl="7" w:tplc="DE6ED350" w:tentative="1">
      <w:start w:val="1"/>
      <w:numFmt w:val="bullet"/>
      <w:lvlText w:val="o"/>
      <w:lvlJc w:val="left"/>
      <w:pPr>
        <w:ind w:left="6486" w:hanging="360"/>
      </w:pPr>
      <w:rPr>
        <w:rFonts w:ascii="Courier New" w:hAnsi="Courier New" w:cs="Courier New" w:hint="default"/>
      </w:rPr>
    </w:lvl>
    <w:lvl w:ilvl="8" w:tplc="3A2C3868" w:tentative="1">
      <w:start w:val="1"/>
      <w:numFmt w:val="bullet"/>
      <w:lvlText w:val=""/>
      <w:lvlJc w:val="left"/>
      <w:pPr>
        <w:ind w:left="7206" w:hanging="360"/>
      </w:pPr>
      <w:rPr>
        <w:rFonts w:ascii="Wingdings" w:hAnsi="Wingdings" w:hint="default"/>
      </w:rPr>
    </w:lvl>
  </w:abstractNum>
  <w:abstractNum w:abstractNumId="20" w15:restartNumberingAfterBreak="0">
    <w:nsid w:val="31AE22FF"/>
    <w:multiLevelType w:val="hybridMultilevel"/>
    <w:tmpl w:val="BC0C9ACC"/>
    <w:lvl w:ilvl="0" w:tplc="699038FC">
      <w:start w:val="1"/>
      <w:numFmt w:val="decimal"/>
      <w:lvlText w:val="%1."/>
      <w:lvlJc w:val="left"/>
      <w:pPr>
        <w:ind w:left="720" w:hanging="360"/>
      </w:pPr>
      <w:rPr>
        <w:color w:val="000000"/>
      </w:rPr>
    </w:lvl>
    <w:lvl w:ilvl="1" w:tplc="8CEE191C">
      <w:start w:val="1"/>
      <w:numFmt w:val="decimal"/>
      <w:lvlText w:val="%2."/>
      <w:lvlJc w:val="left"/>
      <w:pPr>
        <w:tabs>
          <w:tab w:val="num" w:pos="1440"/>
        </w:tabs>
        <w:ind w:left="1440" w:hanging="360"/>
      </w:pPr>
    </w:lvl>
    <w:lvl w:ilvl="2" w:tplc="9E24562C">
      <w:start w:val="1"/>
      <w:numFmt w:val="decimal"/>
      <w:lvlText w:val="%3."/>
      <w:lvlJc w:val="left"/>
      <w:pPr>
        <w:tabs>
          <w:tab w:val="num" w:pos="2160"/>
        </w:tabs>
        <w:ind w:left="2160" w:hanging="360"/>
      </w:pPr>
    </w:lvl>
    <w:lvl w:ilvl="3" w:tplc="541653F8">
      <w:start w:val="1"/>
      <w:numFmt w:val="decimal"/>
      <w:lvlText w:val="%4."/>
      <w:lvlJc w:val="left"/>
      <w:pPr>
        <w:tabs>
          <w:tab w:val="num" w:pos="2880"/>
        </w:tabs>
        <w:ind w:left="2880" w:hanging="360"/>
      </w:pPr>
    </w:lvl>
    <w:lvl w:ilvl="4" w:tplc="A1222636">
      <w:start w:val="1"/>
      <w:numFmt w:val="decimal"/>
      <w:lvlText w:val="%5."/>
      <w:lvlJc w:val="left"/>
      <w:pPr>
        <w:tabs>
          <w:tab w:val="num" w:pos="3600"/>
        </w:tabs>
        <w:ind w:left="3600" w:hanging="360"/>
      </w:pPr>
    </w:lvl>
    <w:lvl w:ilvl="5" w:tplc="302ECF14">
      <w:start w:val="1"/>
      <w:numFmt w:val="decimal"/>
      <w:lvlText w:val="%6."/>
      <w:lvlJc w:val="left"/>
      <w:pPr>
        <w:tabs>
          <w:tab w:val="num" w:pos="4320"/>
        </w:tabs>
        <w:ind w:left="4320" w:hanging="360"/>
      </w:pPr>
    </w:lvl>
    <w:lvl w:ilvl="6" w:tplc="D73E219C">
      <w:start w:val="1"/>
      <w:numFmt w:val="decimal"/>
      <w:lvlText w:val="%7."/>
      <w:lvlJc w:val="left"/>
      <w:pPr>
        <w:tabs>
          <w:tab w:val="num" w:pos="5040"/>
        </w:tabs>
        <w:ind w:left="5040" w:hanging="360"/>
      </w:pPr>
    </w:lvl>
    <w:lvl w:ilvl="7" w:tplc="CF162EA4">
      <w:start w:val="1"/>
      <w:numFmt w:val="decimal"/>
      <w:lvlText w:val="%8."/>
      <w:lvlJc w:val="left"/>
      <w:pPr>
        <w:tabs>
          <w:tab w:val="num" w:pos="5760"/>
        </w:tabs>
        <w:ind w:left="5760" w:hanging="360"/>
      </w:pPr>
    </w:lvl>
    <w:lvl w:ilvl="8" w:tplc="D5C20ABA">
      <w:start w:val="1"/>
      <w:numFmt w:val="decimal"/>
      <w:lvlText w:val="%9."/>
      <w:lvlJc w:val="left"/>
      <w:pPr>
        <w:tabs>
          <w:tab w:val="num" w:pos="6480"/>
        </w:tabs>
        <w:ind w:left="6480" w:hanging="360"/>
      </w:pPr>
    </w:lvl>
  </w:abstractNum>
  <w:abstractNum w:abstractNumId="21" w15:restartNumberingAfterBreak="0">
    <w:nsid w:val="334D5002"/>
    <w:multiLevelType w:val="hybridMultilevel"/>
    <w:tmpl w:val="3A121304"/>
    <w:lvl w:ilvl="0" w:tplc="432A0EAA">
      <w:start w:val="1"/>
      <w:numFmt w:val="lowerLetter"/>
      <w:lvlText w:val="%1."/>
      <w:lvlJc w:val="left"/>
      <w:pPr>
        <w:ind w:left="720" w:hanging="360"/>
      </w:pPr>
    </w:lvl>
    <w:lvl w:ilvl="1" w:tplc="CE448240" w:tentative="1">
      <w:start w:val="1"/>
      <w:numFmt w:val="lowerLetter"/>
      <w:lvlText w:val="%2."/>
      <w:lvlJc w:val="left"/>
      <w:pPr>
        <w:ind w:left="1440" w:hanging="360"/>
      </w:pPr>
    </w:lvl>
    <w:lvl w:ilvl="2" w:tplc="4AD6447E" w:tentative="1">
      <w:start w:val="1"/>
      <w:numFmt w:val="lowerRoman"/>
      <w:lvlText w:val="%3."/>
      <w:lvlJc w:val="right"/>
      <w:pPr>
        <w:ind w:left="2160" w:hanging="180"/>
      </w:pPr>
    </w:lvl>
    <w:lvl w:ilvl="3" w:tplc="FB1C0E96" w:tentative="1">
      <w:start w:val="1"/>
      <w:numFmt w:val="decimal"/>
      <w:lvlText w:val="%4."/>
      <w:lvlJc w:val="left"/>
      <w:pPr>
        <w:ind w:left="2880" w:hanging="360"/>
      </w:pPr>
    </w:lvl>
    <w:lvl w:ilvl="4" w:tplc="CB481DCE" w:tentative="1">
      <w:start w:val="1"/>
      <w:numFmt w:val="lowerLetter"/>
      <w:lvlText w:val="%5."/>
      <w:lvlJc w:val="left"/>
      <w:pPr>
        <w:ind w:left="3600" w:hanging="360"/>
      </w:pPr>
    </w:lvl>
    <w:lvl w:ilvl="5" w:tplc="E21C0560" w:tentative="1">
      <w:start w:val="1"/>
      <w:numFmt w:val="lowerRoman"/>
      <w:lvlText w:val="%6."/>
      <w:lvlJc w:val="right"/>
      <w:pPr>
        <w:ind w:left="4320" w:hanging="180"/>
      </w:pPr>
    </w:lvl>
    <w:lvl w:ilvl="6" w:tplc="8702F9C8" w:tentative="1">
      <w:start w:val="1"/>
      <w:numFmt w:val="decimal"/>
      <w:lvlText w:val="%7."/>
      <w:lvlJc w:val="left"/>
      <w:pPr>
        <w:ind w:left="5040" w:hanging="360"/>
      </w:pPr>
    </w:lvl>
    <w:lvl w:ilvl="7" w:tplc="346C846A" w:tentative="1">
      <w:start w:val="1"/>
      <w:numFmt w:val="lowerLetter"/>
      <w:lvlText w:val="%8."/>
      <w:lvlJc w:val="left"/>
      <w:pPr>
        <w:ind w:left="5760" w:hanging="360"/>
      </w:pPr>
    </w:lvl>
    <w:lvl w:ilvl="8" w:tplc="51EC5376" w:tentative="1">
      <w:start w:val="1"/>
      <w:numFmt w:val="lowerRoman"/>
      <w:lvlText w:val="%9."/>
      <w:lvlJc w:val="right"/>
      <w:pPr>
        <w:ind w:left="6480" w:hanging="180"/>
      </w:pPr>
    </w:lvl>
  </w:abstractNum>
  <w:abstractNum w:abstractNumId="22" w15:restartNumberingAfterBreak="0">
    <w:nsid w:val="33B72E9B"/>
    <w:multiLevelType w:val="hybridMultilevel"/>
    <w:tmpl w:val="4ECA2DD8"/>
    <w:lvl w:ilvl="0" w:tplc="CE704CC8">
      <w:start w:val="1"/>
      <w:numFmt w:val="bullet"/>
      <w:lvlText w:val="o"/>
      <w:lvlJc w:val="left"/>
      <w:pPr>
        <w:ind w:left="1080" w:hanging="360"/>
      </w:pPr>
      <w:rPr>
        <w:rFonts w:ascii="Courier New" w:hAnsi="Courier New" w:cs="Courier New" w:hint="default"/>
      </w:rPr>
    </w:lvl>
    <w:lvl w:ilvl="1" w:tplc="EE3AD076" w:tentative="1">
      <w:start w:val="1"/>
      <w:numFmt w:val="bullet"/>
      <w:lvlText w:val="o"/>
      <w:lvlJc w:val="left"/>
      <w:pPr>
        <w:ind w:left="1800" w:hanging="360"/>
      </w:pPr>
      <w:rPr>
        <w:rFonts w:ascii="Courier New" w:hAnsi="Courier New" w:cs="Courier New" w:hint="default"/>
      </w:rPr>
    </w:lvl>
    <w:lvl w:ilvl="2" w:tplc="B822A060" w:tentative="1">
      <w:start w:val="1"/>
      <w:numFmt w:val="bullet"/>
      <w:lvlText w:val=""/>
      <w:lvlJc w:val="left"/>
      <w:pPr>
        <w:ind w:left="2520" w:hanging="360"/>
      </w:pPr>
      <w:rPr>
        <w:rFonts w:ascii="Wingdings" w:hAnsi="Wingdings" w:hint="default"/>
      </w:rPr>
    </w:lvl>
    <w:lvl w:ilvl="3" w:tplc="04CE9460" w:tentative="1">
      <w:start w:val="1"/>
      <w:numFmt w:val="bullet"/>
      <w:lvlText w:val=""/>
      <w:lvlJc w:val="left"/>
      <w:pPr>
        <w:ind w:left="3240" w:hanging="360"/>
      </w:pPr>
      <w:rPr>
        <w:rFonts w:ascii="Symbol" w:hAnsi="Symbol" w:hint="default"/>
      </w:rPr>
    </w:lvl>
    <w:lvl w:ilvl="4" w:tplc="B0FAD5C4" w:tentative="1">
      <w:start w:val="1"/>
      <w:numFmt w:val="bullet"/>
      <w:lvlText w:val="o"/>
      <w:lvlJc w:val="left"/>
      <w:pPr>
        <w:ind w:left="3960" w:hanging="360"/>
      </w:pPr>
      <w:rPr>
        <w:rFonts w:ascii="Courier New" w:hAnsi="Courier New" w:cs="Courier New" w:hint="default"/>
      </w:rPr>
    </w:lvl>
    <w:lvl w:ilvl="5" w:tplc="6B16A5AA" w:tentative="1">
      <w:start w:val="1"/>
      <w:numFmt w:val="bullet"/>
      <w:lvlText w:val=""/>
      <w:lvlJc w:val="left"/>
      <w:pPr>
        <w:ind w:left="4680" w:hanging="360"/>
      </w:pPr>
      <w:rPr>
        <w:rFonts w:ascii="Wingdings" w:hAnsi="Wingdings" w:hint="default"/>
      </w:rPr>
    </w:lvl>
    <w:lvl w:ilvl="6" w:tplc="DBB8B622" w:tentative="1">
      <w:start w:val="1"/>
      <w:numFmt w:val="bullet"/>
      <w:lvlText w:val=""/>
      <w:lvlJc w:val="left"/>
      <w:pPr>
        <w:ind w:left="5400" w:hanging="360"/>
      </w:pPr>
      <w:rPr>
        <w:rFonts w:ascii="Symbol" w:hAnsi="Symbol" w:hint="default"/>
      </w:rPr>
    </w:lvl>
    <w:lvl w:ilvl="7" w:tplc="DD3E27B4" w:tentative="1">
      <w:start w:val="1"/>
      <w:numFmt w:val="bullet"/>
      <w:lvlText w:val="o"/>
      <w:lvlJc w:val="left"/>
      <w:pPr>
        <w:ind w:left="6120" w:hanging="360"/>
      </w:pPr>
      <w:rPr>
        <w:rFonts w:ascii="Courier New" w:hAnsi="Courier New" w:cs="Courier New" w:hint="default"/>
      </w:rPr>
    </w:lvl>
    <w:lvl w:ilvl="8" w:tplc="84D8DCEA" w:tentative="1">
      <w:start w:val="1"/>
      <w:numFmt w:val="bullet"/>
      <w:lvlText w:val=""/>
      <w:lvlJc w:val="left"/>
      <w:pPr>
        <w:ind w:left="6840" w:hanging="360"/>
      </w:pPr>
      <w:rPr>
        <w:rFonts w:ascii="Wingdings" w:hAnsi="Wingdings" w:hint="default"/>
      </w:rPr>
    </w:lvl>
  </w:abstractNum>
  <w:abstractNum w:abstractNumId="23" w15:restartNumberingAfterBreak="0">
    <w:nsid w:val="33C007A7"/>
    <w:multiLevelType w:val="hybridMultilevel"/>
    <w:tmpl w:val="BFEEAD8C"/>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AB3E22"/>
    <w:multiLevelType w:val="hybridMultilevel"/>
    <w:tmpl w:val="B55C1660"/>
    <w:lvl w:ilvl="0" w:tplc="5FF6C614">
      <w:start w:val="1"/>
      <w:numFmt w:val="decimal"/>
      <w:lvlText w:val="%1."/>
      <w:lvlJc w:val="left"/>
      <w:pPr>
        <w:ind w:left="720" w:hanging="360"/>
      </w:pPr>
    </w:lvl>
    <w:lvl w:ilvl="1" w:tplc="6DBE7FB0" w:tentative="1">
      <w:start w:val="1"/>
      <w:numFmt w:val="lowerLetter"/>
      <w:lvlText w:val="%2."/>
      <w:lvlJc w:val="left"/>
      <w:pPr>
        <w:ind w:left="1440" w:hanging="360"/>
      </w:pPr>
    </w:lvl>
    <w:lvl w:ilvl="2" w:tplc="E05A6ED6" w:tentative="1">
      <w:start w:val="1"/>
      <w:numFmt w:val="lowerRoman"/>
      <w:lvlText w:val="%3."/>
      <w:lvlJc w:val="right"/>
      <w:pPr>
        <w:ind w:left="2160" w:hanging="180"/>
      </w:pPr>
    </w:lvl>
    <w:lvl w:ilvl="3" w:tplc="743A5334" w:tentative="1">
      <w:start w:val="1"/>
      <w:numFmt w:val="decimal"/>
      <w:lvlText w:val="%4."/>
      <w:lvlJc w:val="left"/>
      <w:pPr>
        <w:ind w:left="2880" w:hanging="360"/>
      </w:pPr>
    </w:lvl>
    <w:lvl w:ilvl="4" w:tplc="42007AF8" w:tentative="1">
      <w:start w:val="1"/>
      <w:numFmt w:val="lowerLetter"/>
      <w:lvlText w:val="%5."/>
      <w:lvlJc w:val="left"/>
      <w:pPr>
        <w:ind w:left="3600" w:hanging="360"/>
      </w:pPr>
    </w:lvl>
    <w:lvl w:ilvl="5" w:tplc="F2A66608" w:tentative="1">
      <w:start w:val="1"/>
      <w:numFmt w:val="lowerRoman"/>
      <w:lvlText w:val="%6."/>
      <w:lvlJc w:val="right"/>
      <w:pPr>
        <w:ind w:left="4320" w:hanging="180"/>
      </w:pPr>
    </w:lvl>
    <w:lvl w:ilvl="6" w:tplc="DFBE2F92" w:tentative="1">
      <w:start w:val="1"/>
      <w:numFmt w:val="decimal"/>
      <w:lvlText w:val="%7."/>
      <w:lvlJc w:val="left"/>
      <w:pPr>
        <w:ind w:left="5040" w:hanging="360"/>
      </w:pPr>
    </w:lvl>
    <w:lvl w:ilvl="7" w:tplc="7E587BA8" w:tentative="1">
      <w:start w:val="1"/>
      <w:numFmt w:val="lowerLetter"/>
      <w:lvlText w:val="%8."/>
      <w:lvlJc w:val="left"/>
      <w:pPr>
        <w:ind w:left="5760" w:hanging="360"/>
      </w:pPr>
    </w:lvl>
    <w:lvl w:ilvl="8" w:tplc="3BF0EF60" w:tentative="1">
      <w:start w:val="1"/>
      <w:numFmt w:val="lowerRoman"/>
      <w:lvlText w:val="%9."/>
      <w:lvlJc w:val="right"/>
      <w:pPr>
        <w:ind w:left="6480" w:hanging="180"/>
      </w:pPr>
    </w:lvl>
  </w:abstractNum>
  <w:abstractNum w:abstractNumId="25" w15:restartNumberingAfterBreak="0">
    <w:nsid w:val="3B904E78"/>
    <w:multiLevelType w:val="hybridMultilevel"/>
    <w:tmpl w:val="F242645A"/>
    <w:lvl w:ilvl="0" w:tplc="BE148DA0">
      <w:start w:val="1"/>
      <w:numFmt w:val="bullet"/>
      <w:lvlText w:val=""/>
      <w:lvlJc w:val="left"/>
      <w:pPr>
        <w:ind w:left="1440" w:hanging="360"/>
      </w:pPr>
      <w:rPr>
        <w:rFonts w:ascii="Symbol" w:hAnsi="Symbol" w:hint="default"/>
      </w:rPr>
    </w:lvl>
    <w:lvl w:ilvl="1" w:tplc="9426F060" w:tentative="1">
      <w:start w:val="1"/>
      <w:numFmt w:val="bullet"/>
      <w:lvlText w:val="o"/>
      <w:lvlJc w:val="left"/>
      <w:pPr>
        <w:ind w:left="2160" w:hanging="360"/>
      </w:pPr>
      <w:rPr>
        <w:rFonts w:ascii="Courier New" w:hAnsi="Courier New" w:cs="Courier New" w:hint="default"/>
      </w:rPr>
    </w:lvl>
    <w:lvl w:ilvl="2" w:tplc="2EF4B21E" w:tentative="1">
      <w:start w:val="1"/>
      <w:numFmt w:val="bullet"/>
      <w:lvlText w:val=""/>
      <w:lvlJc w:val="left"/>
      <w:pPr>
        <w:ind w:left="2880" w:hanging="360"/>
      </w:pPr>
      <w:rPr>
        <w:rFonts w:ascii="Wingdings" w:hAnsi="Wingdings" w:hint="default"/>
      </w:rPr>
    </w:lvl>
    <w:lvl w:ilvl="3" w:tplc="DB560D4A" w:tentative="1">
      <w:start w:val="1"/>
      <w:numFmt w:val="bullet"/>
      <w:lvlText w:val=""/>
      <w:lvlJc w:val="left"/>
      <w:pPr>
        <w:ind w:left="3600" w:hanging="360"/>
      </w:pPr>
      <w:rPr>
        <w:rFonts w:ascii="Symbol" w:hAnsi="Symbol" w:hint="default"/>
      </w:rPr>
    </w:lvl>
    <w:lvl w:ilvl="4" w:tplc="194855F8" w:tentative="1">
      <w:start w:val="1"/>
      <w:numFmt w:val="bullet"/>
      <w:lvlText w:val="o"/>
      <w:lvlJc w:val="left"/>
      <w:pPr>
        <w:ind w:left="4320" w:hanging="360"/>
      </w:pPr>
      <w:rPr>
        <w:rFonts w:ascii="Courier New" w:hAnsi="Courier New" w:cs="Courier New" w:hint="default"/>
      </w:rPr>
    </w:lvl>
    <w:lvl w:ilvl="5" w:tplc="76CAC20A" w:tentative="1">
      <w:start w:val="1"/>
      <w:numFmt w:val="bullet"/>
      <w:lvlText w:val=""/>
      <w:lvlJc w:val="left"/>
      <w:pPr>
        <w:ind w:left="5040" w:hanging="360"/>
      </w:pPr>
      <w:rPr>
        <w:rFonts w:ascii="Wingdings" w:hAnsi="Wingdings" w:hint="default"/>
      </w:rPr>
    </w:lvl>
    <w:lvl w:ilvl="6" w:tplc="9DA8CD8A" w:tentative="1">
      <w:start w:val="1"/>
      <w:numFmt w:val="bullet"/>
      <w:lvlText w:val=""/>
      <w:lvlJc w:val="left"/>
      <w:pPr>
        <w:ind w:left="5760" w:hanging="360"/>
      </w:pPr>
      <w:rPr>
        <w:rFonts w:ascii="Symbol" w:hAnsi="Symbol" w:hint="default"/>
      </w:rPr>
    </w:lvl>
    <w:lvl w:ilvl="7" w:tplc="A39E762A" w:tentative="1">
      <w:start w:val="1"/>
      <w:numFmt w:val="bullet"/>
      <w:lvlText w:val="o"/>
      <w:lvlJc w:val="left"/>
      <w:pPr>
        <w:ind w:left="6480" w:hanging="360"/>
      </w:pPr>
      <w:rPr>
        <w:rFonts w:ascii="Courier New" w:hAnsi="Courier New" w:cs="Courier New" w:hint="default"/>
      </w:rPr>
    </w:lvl>
    <w:lvl w:ilvl="8" w:tplc="B098519C" w:tentative="1">
      <w:start w:val="1"/>
      <w:numFmt w:val="bullet"/>
      <w:lvlText w:val=""/>
      <w:lvlJc w:val="left"/>
      <w:pPr>
        <w:ind w:left="7200" w:hanging="360"/>
      </w:pPr>
      <w:rPr>
        <w:rFonts w:ascii="Wingdings" w:hAnsi="Wingdings" w:hint="default"/>
      </w:rPr>
    </w:lvl>
  </w:abstractNum>
  <w:abstractNum w:abstractNumId="26" w15:restartNumberingAfterBreak="0">
    <w:nsid w:val="3BC82E60"/>
    <w:multiLevelType w:val="hybridMultilevel"/>
    <w:tmpl w:val="44CA79F8"/>
    <w:lvl w:ilvl="0" w:tplc="9694277A">
      <w:start w:val="1"/>
      <w:numFmt w:val="bullet"/>
      <w:lvlText w:val="o"/>
      <w:lvlJc w:val="left"/>
      <w:pPr>
        <w:ind w:left="720" w:hanging="360"/>
      </w:pPr>
      <w:rPr>
        <w:rFonts w:ascii="Courier New" w:hAnsi="Courier New" w:cs="Courier New" w:hint="default"/>
      </w:rPr>
    </w:lvl>
    <w:lvl w:ilvl="1" w:tplc="FFF896B0" w:tentative="1">
      <w:start w:val="1"/>
      <w:numFmt w:val="bullet"/>
      <w:lvlText w:val="o"/>
      <w:lvlJc w:val="left"/>
      <w:pPr>
        <w:ind w:left="1440" w:hanging="360"/>
      </w:pPr>
      <w:rPr>
        <w:rFonts w:ascii="Courier New" w:hAnsi="Courier New" w:cs="Courier New" w:hint="default"/>
      </w:rPr>
    </w:lvl>
    <w:lvl w:ilvl="2" w:tplc="4B2EA156" w:tentative="1">
      <w:start w:val="1"/>
      <w:numFmt w:val="bullet"/>
      <w:lvlText w:val=""/>
      <w:lvlJc w:val="left"/>
      <w:pPr>
        <w:ind w:left="2160" w:hanging="360"/>
      </w:pPr>
      <w:rPr>
        <w:rFonts w:ascii="Wingdings" w:hAnsi="Wingdings" w:hint="default"/>
      </w:rPr>
    </w:lvl>
    <w:lvl w:ilvl="3" w:tplc="03F666AC" w:tentative="1">
      <w:start w:val="1"/>
      <w:numFmt w:val="bullet"/>
      <w:lvlText w:val=""/>
      <w:lvlJc w:val="left"/>
      <w:pPr>
        <w:ind w:left="2880" w:hanging="360"/>
      </w:pPr>
      <w:rPr>
        <w:rFonts w:ascii="Symbol" w:hAnsi="Symbol" w:hint="default"/>
      </w:rPr>
    </w:lvl>
    <w:lvl w:ilvl="4" w:tplc="5C8859C6" w:tentative="1">
      <w:start w:val="1"/>
      <w:numFmt w:val="bullet"/>
      <w:lvlText w:val="o"/>
      <w:lvlJc w:val="left"/>
      <w:pPr>
        <w:ind w:left="3600" w:hanging="360"/>
      </w:pPr>
      <w:rPr>
        <w:rFonts w:ascii="Courier New" w:hAnsi="Courier New" w:cs="Courier New" w:hint="default"/>
      </w:rPr>
    </w:lvl>
    <w:lvl w:ilvl="5" w:tplc="7430DBD6" w:tentative="1">
      <w:start w:val="1"/>
      <w:numFmt w:val="bullet"/>
      <w:lvlText w:val=""/>
      <w:lvlJc w:val="left"/>
      <w:pPr>
        <w:ind w:left="4320" w:hanging="360"/>
      </w:pPr>
      <w:rPr>
        <w:rFonts w:ascii="Wingdings" w:hAnsi="Wingdings" w:hint="default"/>
      </w:rPr>
    </w:lvl>
    <w:lvl w:ilvl="6" w:tplc="50D45EA6" w:tentative="1">
      <w:start w:val="1"/>
      <w:numFmt w:val="bullet"/>
      <w:lvlText w:val=""/>
      <w:lvlJc w:val="left"/>
      <w:pPr>
        <w:ind w:left="5040" w:hanging="360"/>
      </w:pPr>
      <w:rPr>
        <w:rFonts w:ascii="Symbol" w:hAnsi="Symbol" w:hint="default"/>
      </w:rPr>
    </w:lvl>
    <w:lvl w:ilvl="7" w:tplc="6FB01866" w:tentative="1">
      <w:start w:val="1"/>
      <w:numFmt w:val="bullet"/>
      <w:lvlText w:val="o"/>
      <w:lvlJc w:val="left"/>
      <w:pPr>
        <w:ind w:left="5760" w:hanging="360"/>
      </w:pPr>
      <w:rPr>
        <w:rFonts w:ascii="Courier New" w:hAnsi="Courier New" w:cs="Courier New" w:hint="default"/>
      </w:rPr>
    </w:lvl>
    <w:lvl w:ilvl="8" w:tplc="49825A1A" w:tentative="1">
      <w:start w:val="1"/>
      <w:numFmt w:val="bullet"/>
      <w:lvlText w:val=""/>
      <w:lvlJc w:val="left"/>
      <w:pPr>
        <w:ind w:left="6480" w:hanging="360"/>
      </w:pPr>
      <w:rPr>
        <w:rFonts w:ascii="Wingdings" w:hAnsi="Wingdings" w:hint="default"/>
      </w:rPr>
    </w:lvl>
  </w:abstractNum>
  <w:abstractNum w:abstractNumId="27" w15:restartNumberingAfterBreak="0">
    <w:nsid w:val="3E993910"/>
    <w:multiLevelType w:val="hybridMultilevel"/>
    <w:tmpl w:val="C8E802B4"/>
    <w:lvl w:ilvl="0" w:tplc="01B866DE">
      <w:start w:val="1"/>
      <w:numFmt w:val="decimal"/>
      <w:lvlText w:val="%1."/>
      <w:lvlJc w:val="left"/>
      <w:pPr>
        <w:ind w:left="720" w:hanging="360"/>
      </w:pPr>
    </w:lvl>
    <w:lvl w:ilvl="1" w:tplc="AEB02B0A" w:tentative="1">
      <w:start w:val="1"/>
      <w:numFmt w:val="lowerLetter"/>
      <w:lvlText w:val="%2."/>
      <w:lvlJc w:val="left"/>
      <w:pPr>
        <w:ind w:left="1440" w:hanging="360"/>
      </w:pPr>
    </w:lvl>
    <w:lvl w:ilvl="2" w:tplc="65085028" w:tentative="1">
      <w:start w:val="1"/>
      <w:numFmt w:val="lowerRoman"/>
      <w:lvlText w:val="%3."/>
      <w:lvlJc w:val="right"/>
      <w:pPr>
        <w:ind w:left="2160" w:hanging="180"/>
      </w:pPr>
    </w:lvl>
    <w:lvl w:ilvl="3" w:tplc="5EFC513E" w:tentative="1">
      <w:start w:val="1"/>
      <w:numFmt w:val="decimal"/>
      <w:lvlText w:val="%4."/>
      <w:lvlJc w:val="left"/>
      <w:pPr>
        <w:ind w:left="2880" w:hanging="360"/>
      </w:pPr>
    </w:lvl>
    <w:lvl w:ilvl="4" w:tplc="2E108EE6" w:tentative="1">
      <w:start w:val="1"/>
      <w:numFmt w:val="lowerLetter"/>
      <w:lvlText w:val="%5."/>
      <w:lvlJc w:val="left"/>
      <w:pPr>
        <w:ind w:left="3600" w:hanging="360"/>
      </w:pPr>
    </w:lvl>
    <w:lvl w:ilvl="5" w:tplc="988A95BC" w:tentative="1">
      <w:start w:val="1"/>
      <w:numFmt w:val="lowerRoman"/>
      <w:lvlText w:val="%6."/>
      <w:lvlJc w:val="right"/>
      <w:pPr>
        <w:ind w:left="4320" w:hanging="180"/>
      </w:pPr>
    </w:lvl>
    <w:lvl w:ilvl="6" w:tplc="FB7C9236" w:tentative="1">
      <w:start w:val="1"/>
      <w:numFmt w:val="decimal"/>
      <w:lvlText w:val="%7."/>
      <w:lvlJc w:val="left"/>
      <w:pPr>
        <w:ind w:left="5040" w:hanging="360"/>
      </w:pPr>
    </w:lvl>
    <w:lvl w:ilvl="7" w:tplc="BAEA2E2C" w:tentative="1">
      <w:start w:val="1"/>
      <w:numFmt w:val="lowerLetter"/>
      <w:lvlText w:val="%8."/>
      <w:lvlJc w:val="left"/>
      <w:pPr>
        <w:ind w:left="5760" w:hanging="360"/>
      </w:pPr>
    </w:lvl>
    <w:lvl w:ilvl="8" w:tplc="BC9AFC08" w:tentative="1">
      <w:start w:val="1"/>
      <w:numFmt w:val="lowerRoman"/>
      <w:lvlText w:val="%9."/>
      <w:lvlJc w:val="right"/>
      <w:pPr>
        <w:ind w:left="6480" w:hanging="180"/>
      </w:pPr>
    </w:lvl>
  </w:abstractNum>
  <w:abstractNum w:abstractNumId="28" w15:restartNumberingAfterBreak="0">
    <w:nsid w:val="464F1343"/>
    <w:multiLevelType w:val="hybridMultilevel"/>
    <w:tmpl w:val="47D2B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8CD2A2F"/>
    <w:multiLevelType w:val="hybridMultilevel"/>
    <w:tmpl w:val="A372BFB0"/>
    <w:lvl w:ilvl="0" w:tplc="6EFAF306">
      <w:start w:val="1"/>
      <w:numFmt w:val="bullet"/>
      <w:lvlText w:val="o"/>
      <w:lvlJc w:val="left"/>
      <w:pPr>
        <w:ind w:left="1080" w:hanging="360"/>
      </w:pPr>
      <w:rPr>
        <w:rFonts w:ascii="Courier New" w:hAnsi="Courier New" w:cs="Courier New" w:hint="default"/>
      </w:rPr>
    </w:lvl>
    <w:lvl w:ilvl="1" w:tplc="AFA843FA" w:tentative="1">
      <w:start w:val="1"/>
      <w:numFmt w:val="bullet"/>
      <w:lvlText w:val="o"/>
      <w:lvlJc w:val="left"/>
      <w:pPr>
        <w:ind w:left="1800" w:hanging="360"/>
      </w:pPr>
      <w:rPr>
        <w:rFonts w:ascii="Courier New" w:hAnsi="Courier New" w:cs="Courier New" w:hint="default"/>
      </w:rPr>
    </w:lvl>
    <w:lvl w:ilvl="2" w:tplc="4976A20E" w:tentative="1">
      <w:start w:val="1"/>
      <w:numFmt w:val="bullet"/>
      <w:lvlText w:val=""/>
      <w:lvlJc w:val="left"/>
      <w:pPr>
        <w:ind w:left="2520" w:hanging="360"/>
      </w:pPr>
      <w:rPr>
        <w:rFonts w:ascii="Wingdings" w:hAnsi="Wingdings" w:hint="default"/>
      </w:rPr>
    </w:lvl>
    <w:lvl w:ilvl="3" w:tplc="93F4A3EE" w:tentative="1">
      <w:start w:val="1"/>
      <w:numFmt w:val="bullet"/>
      <w:lvlText w:val=""/>
      <w:lvlJc w:val="left"/>
      <w:pPr>
        <w:ind w:left="3240" w:hanging="360"/>
      </w:pPr>
      <w:rPr>
        <w:rFonts w:ascii="Symbol" w:hAnsi="Symbol" w:hint="default"/>
      </w:rPr>
    </w:lvl>
    <w:lvl w:ilvl="4" w:tplc="813447CC" w:tentative="1">
      <w:start w:val="1"/>
      <w:numFmt w:val="bullet"/>
      <w:lvlText w:val="o"/>
      <w:lvlJc w:val="left"/>
      <w:pPr>
        <w:ind w:left="3960" w:hanging="360"/>
      </w:pPr>
      <w:rPr>
        <w:rFonts w:ascii="Courier New" w:hAnsi="Courier New" w:cs="Courier New" w:hint="default"/>
      </w:rPr>
    </w:lvl>
    <w:lvl w:ilvl="5" w:tplc="DC02E750" w:tentative="1">
      <w:start w:val="1"/>
      <w:numFmt w:val="bullet"/>
      <w:lvlText w:val=""/>
      <w:lvlJc w:val="left"/>
      <w:pPr>
        <w:ind w:left="4680" w:hanging="360"/>
      </w:pPr>
      <w:rPr>
        <w:rFonts w:ascii="Wingdings" w:hAnsi="Wingdings" w:hint="default"/>
      </w:rPr>
    </w:lvl>
    <w:lvl w:ilvl="6" w:tplc="8DA21A20" w:tentative="1">
      <w:start w:val="1"/>
      <w:numFmt w:val="bullet"/>
      <w:lvlText w:val=""/>
      <w:lvlJc w:val="left"/>
      <w:pPr>
        <w:ind w:left="5400" w:hanging="360"/>
      </w:pPr>
      <w:rPr>
        <w:rFonts w:ascii="Symbol" w:hAnsi="Symbol" w:hint="default"/>
      </w:rPr>
    </w:lvl>
    <w:lvl w:ilvl="7" w:tplc="B596B81E" w:tentative="1">
      <w:start w:val="1"/>
      <w:numFmt w:val="bullet"/>
      <w:lvlText w:val="o"/>
      <w:lvlJc w:val="left"/>
      <w:pPr>
        <w:ind w:left="6120" w:hanging="360"/>
      </w:pPr>
      <w:rPr>
        <w:rFonts w:ascii="Courier New" w:hAnsi="Courier New" w:cs="Courier New" w:hint="default"/>
      </w:rPr>
    </w:lvl>
    <w:lvl w:ilvl="8" w:tplc="DA8A8DD0" w:tentative="1">
      <w:start w:val="1"/>
      <w:numFmt w:val="bullet"/>
      <w:lvlText w:val=""/>
      <w:lvlJc w:val="left"/>
      <w:pPr>
        <w:ind w:left="6840" w:hanging="360"/>
      </w:pPr>
      <w:rPr>
        <w:rFonts w:ascii="Wingdings" w:hAnsi="Wingdings" w:hint="default"/>
      </w:rPr>
    </w:lvl>
  </w:abstractNum>
  <w:abstractNum w:abstractNumId="30" w15:restartNumberingAfterBreak="0">
    <w:nsid w:val="4C982A50"/>
    <w:multiLevelType w:val="hybridMultilevel"/>
    <w:tmpl w:val="F4B45EBE"/>
    <w:lvl w:ilvl="0" w:tplc="5EDA2A18">
      <w:start w:val="1"/>
      <w:numFmt w:val="lowerLetter"/>
      <w:lvlText w:val="%1."/>
      <w:lvlJc w:val="left"/>
      <w:pPr>
        <w:tabs>
          <w:tab w:val="num" w:pos="432"/>
        </w:tabs>
        <w:ind w:left="432" w:hanging="432"/>
      </w:pPr>
      <w:rPr>
        <w:b w:val="0"/>
      </w:rPr>
    </w:lvl>
    <w:lvl w:ilvl="1" w:tplc="1FD0BD02" w:tentative="1">
      <w:start w:val="1"/>
      <w:numFmt w:val="lowerLetter"/>
      <w:lvlText w:val="%2."/>
      <w:lvlJc w:val="left"/>
      <w:pPr>
        <w:ind w:left="-504" w:hanging="360"/>
      </w:pPr>
    </w:lvl>
    <w:lvl w:ilvl="2" w:tplc="A8E266DE" w:tentative="1">
      <w:start w:val="1"/>
      <w:numFmt w:val="lowerRoman"/>
      <w:lvlText w:val="%3."/>
      <w:lvlJc w:val="right"/>
      <w:pPr>
        <w:ind w:left="216" w:hanging="180"/>
      </w:pPr>
    </w:lvl>
    <w:lvl w:ilvl="3" w:tplc="A972E388" w:tentative="1">
      <w:start w:val="1"/>
      <w:numFmt w:val="decimal"/>
      <w:lvlText w:val="%4."/>
      <w:lvlJc w:val="left"/>
      <w:pPr>
        <w:ind w:left="936" w:hanging="360"/>
      </w:pPr>
    </w:lvl>
    <w:lvl w:ilvl="4" w:tplc="7BCE261C" w:tentative="1">
      <w:start w:val="1"/>
      <w:numFmt w:val="lowerLetter"/>
      <w:lvlText w:val="%5."/>
      <w:lvlJc w:val="left"/>
      <w:pPr>
        <w:ind w:left="1656" w:hanging="360"/>
      </w:pPr>
    </w:lvl>
    <w:lvl w:ilvl="5" w:tplc="6E4A8F5C" w:tentative="1">
      <w:start w:val="1"/>
      <w:numFmt w:val="lowerRoman"/>
      <w:lvlText w:val="%6."/>
      <w:lvlJc w:val="right"/>
      <w:pPr>
        <w:ind w:left="2376" w:hanging="180"/>
      </w:pPr>
    </w:lvl>
    <w:lvl w:ilvl="6" w:tplc="231C4100" w:tentative="1">
      <w:start w:val="1"/>
      <w:numFmt w:val="decimal"/>
      <w:lvlText w:val="%7."/>
      <w:lvlJc w:val="left"/>
      <w:pPr>
        <w:ind w:left="3096" w:hanging="360"/>
      </w:pPr>
    </w:lvl>
    <w:lvl w:ilvl="7" w:tplc="0DBC289A" w:tentative="1">
      <w:start w:val="1"/>
      <w:numFmt w:val="lowerLetter"/>
      <w:lvlText w:val="%8."/>
      <w:lvlJc w:val="left"/>
      <w:pPr>
        <w:ind w:left="3816" w:hanging="360"/>
      </w:pPr>
    </w:lvl>
    <w:lvl w:ilvl="8" w:tplc="EC94AC8C" w:tentative="1">
      <w:start w:val="1"/>
      <w:numFmt w:val="lowerRoman"/>
      <w:lvlText w:val="%9."/>
      <w:lvlJc w:val="right"/>
      <w:pPr>
        <w:ind w:left="4536" w:hanging="180"/>
      </w:pPr>
    </w:lvl>
  </w:abstractNum>
  <w:abstractNum w:abstractNumId="31" w15:restartNumberingAfterBreak="0">
    <w:nsid w:val="4D632597"/>
    <w:multiLevelType w:val="hybridMultilevel"/>
    <w:tmpl w:val="B68C9B74"/>
    <w:lvl w:ilvl="0" w:tplc="D746245C">
      <w:start w:val="1"/>
      <w:numFmt w:val="bullet"/>
      <w:lvlText w:val=""/>
      <w:lvlJc w:val="left"/>
      <w:pPr>
        <w:ind w:left="2886" w:hanging="360"/>
      </w:pPr>
      <w:rPr>
        <w:rFonts w:ascii="Wingdings" w:hAnsi="Wingdings" w:hint="default"/>
      </w:rPr>
    </w:lvl>
    <w:lvl w:ilvl="1" w:tplc="40E2AEF2" w:tentative="1">
      <w:start w:val="1"/>
      <w:numFmt w:val="bullet"/>
      <w:lvlText w:val="o"/>
      <w:lvlJc w:val="left"/>
      <w:pPr>
        <w:ind w:left="3606" w:hanging="360"/>
      </w:pPr>
      <w:rPr>
        <w:rFonts w:ascii="Courier New" w:hAnsi="Courier New" w:cs="Courier New" w:hint="default"/>
      </w:rPr>
    </w:lvl>
    <w:lvl w:ilvl="2" w:tplc="F8546526" w:tentative="1">
      <w:start w:val="1"/>
      <w:numFmt w:val="bullet"/>
      <w:lvlText w:val=""/>
      <w:lvlJc w:val="left"/>
      <w:pPr>
        <w:ind w:left="4326" w:hanging="360"/>
      </w:pPr>
      <w:rPr>
        <w:rFonts w:ascii="Wingdings" w:hAnsi="Wingdings" w:hint="default"/>
      </w:rPr>
    </w:lvl>
    <w:lvl w:ilvl="3" w:tplc="F1CCC1A0" w:tentative="1">
      <w:start w:val="1"/>
      <w:numFmt w:val="bullet"/>
      <w:lvlText w:val=""/>
      <w:lvlJc w:val="left"/>
      <w:pPr>
        <w:ind w:left="5046" w:hanging="360"/>
      </w:pPr>
      <w:rPr>
        <w:rFonts w:ascii="Symbol" w:hAnsi="Symbol" w:hint="default"/>
      </w:rPr>
    </w:lvl>
    <w:lvl w:ilvl="4" w:tplc="8A8A63FE" w:tentative="1">
      <w:start w:val="1"/>
      <w:numFmt w:val="bullet"/>
      <w:lvlText w:val="o"/>
      <w:lvlJc w:val="left"/>
      <w:pPr>
        <w:ind w:left="5766" w:hanging="360"/>
      </w:pPr>
      <w:rPr>
        <w:rFonts w:ascii="Courier New" w:hAnsi="Courier New" w:cs="Courier New" w:hint="default"/>
      </w:rPr>
    </w:lvl>
    <w:lvl w:ilvl="5" w:tplc="5B7CF81E" w:tentative="1">
      <w:start w:val="1"/>
      <w:numFmt w:val="bullet"/>
      <w:lvlText w:val=""/>
      <w:lvlJc w:val="left"/>
      <w:pPr>
        <w:ind w:left="6486" w:hanging="360"/>
      </w:pPr>
      <w:rPr>
        <w:rFonts w:ascii="Wingdings" w:hAnsi="Wingdings" w:hint="default"/>
      </w:rPr>
    </w:lvl>
    <w:lvl w:ilvl="6" w:tplc="294471B8" w:tentative="1">
      <w:start w:val="1"/>
      <w:numFmt w:val="bullet"/>
      <w:lvlText w:val=""/>
      <w:lvlJc w:val="left"/>
      <w:pPr>
        <w:ind w:left="7206" w:hanging="360"/>
      </w:pPr>
      <w:rPr>
        <w:rFonts w:ascii="Symbol" w:hAnsi="Symbol" w:hint="default"/>
      </w:rPr>
    </w:lvl>
    <w:lvl w:ilvl="7" w:tplc="0FE897DC" w:tentative="1">
      <w:start w:val="1"/>
      <w:numFmt w:val="bullet"/>
      <w:lvlText w:val="o"/>
      <w:lvlJc w:val="left"/>
      <w:pPr>
        <w:ind w:left="7926" w:hanging="360"/>
      </w:pPr>
      <w:rPr>
        <w:rFonts w:ascii="Courier New" w:hAnsi="Courier New" w:cs="Courier New" w:hint="default"/>
      </w:rPr>
    </w:lvl>
    <w:lvl w:ilvl="8" w:tplc="38D230AA" w:tentative="1">
      <w:start w:val="1"/>
      <w:numFmt w:val="bullet"/>
      <w:lvlText w:val=""/>
      <w:lvlJc w:val="left"/>
      <w:pPr>
        <w:ind w:left="8646" w:hanging="360"/>
      </w:pPr>
      <w:rPr>
        <w:rFonts w:ascii="Wingdings" w:hAnsi="Wingdings" w:hint="default"/>
      </w:rPr>
    </w:lvl>
  </w:abstractNum>
  <w:abstractNum w:abstractNumId="32" w15:restartNumberingAfterBreak="0">
    <w:nsid w:val="4ECF13D4"/>
    <w:multiLevelType w:val="hybridMultilevel"/>
    <w:tmpl w:val="B6B2843C"/>
    <w:lvl w:ilvl="0" w:tplc="3B8E499E">
      <w:start w:val="1"/>
      <w:numFmt w:val="bullet"/>
      <w:lvlText w:val=""/>
      <w:lvlJc w:val="left"/>
      <w:pPr>
        <w:ind w:left="2166" w:hanging="360"/>
      </w:pPr>
      <w:rPr>
        <w:rFonts w:ascii="Symbol" w:hAnsi="Symbol" w:hint="default"/>
      </w:rPr>
    </w:lvl>
    <w:lvl w:ilvl="1" w:tplc="AE6A94DA" w:tentative="1">
      <w:start w:val="1"/>
      <w:numFmt w:val="bullet"/>
      <w:lvlText w:val="o"/>
      <w:lvlJc w:val="left"/>
      <w:pPr>
        <w:ind w:left="2886" w:hanging="360"/>
      </w:pPr>
      <w:rPr>
        <w:rFonts w:ascii="Courier New" w:hAnsi="Courier New" w:cs="Courier New" w:hint="default"/>
      </w:rPr>
    </w:lvl>
    <w:lvl w:ilvl="2" w:tplc="E68C130C" w:tentative="1">
      <w:start w:val="1"/>
      <w:numFmt w:val="bullet"/>
      <w:lvlText w:val=""/>
      <w:lvlJc w:val="left"/>
      <w:pPr>
        <w:ind w:left="3606" w:hanging="360"/>
      </w:pPr>
      <w:rPr>
        <w:rFonts w:ascii="Wingdings" w:hAnsi="Wingdings" w:hint="default"/>
      </w:rPr>
    </w:lvl>
    <w:lvl w:ilvl="3" w:tplc="1FCE8822" w:tentative="1">
      <w:start w:val="1"/>
      <w:numFmt w:val="bullet"/>
      <w:lvlText w:val=""/>
      <w:lvlJc w:val="left"/>
      <w:pPr>
        <w:ind w:left="4326" w:hanging="360"/>
      </w:pPr>
      <w:rPr>
        <w:rFonts w:ascii="Symbol" w:hAnsi="Symbol" w:hint="default"/>
      </w:rPr>
    </w:lvl>
    <w:lvl w:ilvl="4" w:tplc="29ECC3A4" w:tentative="1">
      <w:start w:val="1"/>
      <w:numFmt w:val="bullet"/>
      <w:lvlText w:val="o"/>
      <w:lvlJc w:val="left"/>
      <w:pPr>
        <w:ind w:left="5046" w:hanging="360"/>
      </w:pPr>
      <w:rPr>
        <w:rFonts w:ascii="Courier New" w:hAnsi="Courier New" w:cs="Courier New" w:hint="default"/>
      </w:rPr>
    </w:lvl>
    <w:lvl w:ilvl="5" w:tplc="1164AFC2" w:tentative="1">
      <w:start w:val="1"/>
      <w:numFmt w:val="bullet"/>
      <w:lvlText w:val=""/>
      <w:lvlJc w:val="left"/>
      <w:pPr>
        <w:ind w:left="5766" w:hanging="360"/>
      </w:pPr>
      <w:rPr>
        <w:rFonts w:ascii="Wingdings" w:hAnsi="Wingdings" w:hint="default"/>
      </w:rPr>
    </w:lvl>
    <w:lvl w:ilvl="6" w:tplc="44C8177E" w:tentative="1">
      <w:start w:val="1"/>
      <w:numFmt w:val="bullet"/>
      <w:lvlText w:val=""/>
      <w:lvlJc w:val="left"/>
      <w:pPr>
        <w:ind w:left="6486" w:hanging="360"/>
      </w:pPr>
      <w:rPr>
        <w:rFonts w:ascii="Symbol" w:hAnsi="Symbol" w:hint="default"/>
      </w:rPr>
    </w:lvl>
    <w:lvl w:ilvl="7" w:tplc="935E1618" w:tentative="1">
      <w:start w:val="1"/>
      <w:numFmt w:val="bullet"/>
      <w:lvlText w:val="o"/>
      <w:lvlJc w:val="left"/>
      <w:pPr>
        <w:ind w:left="7206" w:hanging="360"/>
      </w:pPr>
      <w:rPr>
        <w:rFonts w:ascii="Courier New" w:hAnsi="Courier New" w:cs="Courier New" w:hint="default"/>
      </w:rPr>
    </w:lvl>
    <w:lvl w:ilvl="8" w:tplc="179AB934" w:tentative="1">
      <w:start w:val="1"/>
      <w:numFmt w:val="bullet"/>
      <w:lvlText w:val=""/>
      <w:lvlJc w:val="left"/>
      <w:pPr>
        <w:ind w:left="7926" w:hanging="360"/>
      </w:pPr>
      <w:rPr>
        <w:rFonts w:ascii="Wingdings" w:hAnsi="Wingdings" w:hint="default"/>
      </w:rPr>
    </w:lvl>
  </w:abstractNum>
  <w:abstractNum w:abstractNumId="33" w15:restartNumberingAfterBreak="0">
    <w:nsid w:val="4F5B25BE"/>
    <w:multiLevelType w:val="hybridMultilevel"/>
    <w:tmpl w:val="51B4DB2E"/>
    <w:lvl w:ilvl="0" w:tplc="DE04DA6E">
      <w:start w:val="1"/>
      <w:numFmt w:val="bullet"/>
      <w:lvlText w:val=""/>
      <w:lvlJc w:val="left"/>
      <w:pPr>
        <w:ind w:left="2166" w:hanging="360"/>
      </w:pPr>
      <w:rPr>
        <w:rFonts w:ascii="Symbol" w:hAnsi="Symbol" w:hint="default"/>
      </w:rPr>
    </w:lvl>
    <w:lvl w:ilvl="1" w:tplc="4DF65D54" w:tentative="1">
      <w:start w:val="1"/>
      <w:numFmt w:val="bullet"/>
      <w:lvlText w:val="o"/>
      <w:lvlJc w:val="left"/>
      <w:pPr>
        <w:ind w:left="2886" w:hanging="360"/>
      </w:pPr>
      <w:rPr>
        <w:rFonts w:ascii="Courier New" w:hAnsi="Courier New" w:cs="Courier New" w:hint="default"/>
      </w:rPr>
    </w:lvl>
    <w:lvl w:ilvl="2" w:tplc="DCC63E14" w:tentative="1">
      <w:start w:val="1"/>
      <w:numFmt w:val="bullet"/>
      <w:lvlText w:val=""/>
      <w:lvlJc w:val="left"/>
      <w:pPr>
        <w:ind w:left="3606" w:hanging="360"/>
      </w:pPr>
      <w:rPr>
        <w:rFonts w:ascii="Wingdings" w:hAnsi="Wingdings" w:hint="default"/>
      </w:rPr>
    </w:lvl>
    <w:lvl w:ilvl="3" w:tplc="FCB8AE8E" w:tentative="1">
      <w:start w:val="1"/>
      <w:numFmt w:val="bullet"/>
      <w:lvlText w:val=""/>
      <w:lvlJc w:val="left"/>
      <w:pPr>
        <w:ind w:left="4326" w:hanging="360"/>
      </w:pPr>
      <w:rPr>
        <w:rFonts w:ascii="Symbol" w:hAnsi="Symbol" w:hint="default"/>
      </w:rPr>
    </w:lvl>
    <w:lvl w:ilvl="4" w:tplc="1ECCCDD2" w:tentative="1">
      <w:start w:val="1"/>
      <w:numFmt w:val="bullet"/>
      <w:lvlText w:val="o"/>
      <w:lvlJc w:val="left"/>
      <w:pPr>
        <w:ind w:left="5046" w:hanging="360"/>
      </w:pPr>
      <w:rPr>
        <w:rFonts w:ascii="Courier New" w:hAnsi="Courier New" w:cs="Courier New" w:hint="default"/>
      </w:rPr>
    </w:lvl>
    <w:lvl w:ilvl="5" w:tplc="74901E58" w:tentative="1">
      <w:start w:val="1"/>
      <w:numFmt w:val="bullet"/>
      <w:lvlText w:val=""/>
      <w:lvlJc w:val="left"/>
      <w:pPr>
        <w:ind w:left="5766" w:hanging="360"/>
      </w:pPr>
      <w:rPr>
        <w:rFonts w:ascii="Wingdings" w:hAnsi="Wingdings" w:hint="default"/>
      </w:rPr>
    </w:lvl>
    <w:lvl w:ilvl="6" w:tplc="6AFA6D28" w:tentative="1">
      <w:start w:val="1"/>
      <w:numFmt w:val="bullet"/>
      <w:lvlText w:val=""/>
      <w:lvlJc w:val="left"/>
      <w:pPr>
        <w:ind w:left="6486" w:hanging="360"/>
      </w:pPr>
      <w:rPr>
        <w:rFonts w:ascii="Symbol" w:hAnsi="Symbol" w:hint="default"/>
      </w:rPr>
    </w:lvl>
    <w:lvl w:ilvl="7" w:tplc="27CC3A9E" w:tentative="1">
      <w:start w:val="1"/>
      <w:numFmt w:val="bullet"/>
      <w:lvlText w:val="o"/>
      <w:lvlJc w:val="left"/>
      <w:pPr>
        <w:ind w:left="7206" w:hanging="360"/>
      </w:pPr>
      <w:rPr>
        <w:rFonts w:ascii="Courier New" w:hAnsi="Courier New" w:cs="Courier New" w:hint="default"/>
      </w:rPr>
    </w:lvl>
    <w:lvl w:ilvl="8" w:tplc="45A2BB0E" w:tentative="1">
      <w:start w:val="1"/>
      <w:numFmt w:val="bullet"/>
      <w:lvlText w:val=""/>
      <w:lvlJc w:val="left"/>
      <w:pPr>
        <w:ind w:left="7926" w:hanging="360"/>
      </w:pPr>
      <w:rPr>
        <w:rFonts w:ascii="Wingdings" w:hAnsi="Wingdings" w:hint="default"/>
      </w:rPr>
    </w:lvl>
  </w:abstractNum>
  <w:abstractNum w:abstractNumId="34" w15:restartNumberingAfterBreak="0">
    <w:nsid w:val="50215746"/>
    <w:multiLevelType w:val="hybridMultilevel"/>
    <w:tmpl w:val="AA228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3192E78"/>
    <w:multiLevelType w:val="hybridMultilevel"/>
    <w:tmpl w:val="B7BC228A"/>
    <w:lvl w:ilvl="0" w:tplc="301024E2">
      <w:start w:val="1"/>
      <w:numFmt w:val="decimal"/>
      <w:lvlText w:val="%1."/>
      <w:lvlJc w:val="left"/>
      <w:pPr>
        <w:ind w:left="720" w:hanging="360"/>
      </w:pPr>
    </w:lvl>
    <w:lvl w:ilvl="1" w:tplc="462E9E7A" w:tentative="1">
      <w:start w:val="1"/>
      <w:numFmt w:val="lowerLetter"/>
      <w:lvlText w:val="%2."/>
      <w:lvlJc w:val="left"/>
      <w:pPr>
        <w:ind w:left="1440" w:hanging="360"/>
      </w:pPr>
    </w:lvl>
    <w:lvl w:ilvl="2" w:tplc="42E48EEA" w:tentative="1">
      <w:start w:val="1"/>
      <w:numFmt w:val="lowerRoman"/>
      <w:lvlText w:val="%3."/>
      <w:lvlJc w:val="right"/>
      <w:pPr>
        <w:ind w:left="2160" w:hanging="180"/>
      </w:pPr>
    </w:lvl>
    <w:lvl w:ilvl="3" w:tplc="39C8274A" w:tentative="1">
      <w:start w:val="1"/>
      <w:numFmt w:val="decimal"/>
      <w:lvlText w:val="%4."/>
      <w:lvlJc w:val="left"/>
      <w:pPr>
        <w:ind w:left="2880" w:hanging="360"/>
      </w:pPr>
    </w:lvl>
    <w:lvl w:ilvl="4" w:tplc="A508A47E" w:tentative="1">
      <w:start w:val="1"/>
      <w:numFmt w:val="lowerLetter"/>
      <w:lvlText w:val="%5."/>
      <w:lvlJc w:val="left"/>
      <w:pPr>
        <w:ind w:left="3600" w:hanging="360"/>
      </w:pPr>
    </w:lvl>
    <w:lvl w:ilvl="5" w:tplc="ECF28D10" w:tentative="1">
      <w:start w:val="1"/>
      <w:numFmt w:val="lowerRoman"/>
      <w:lvlText w:val="%6."/>
      <w:lvlJc w:val="right"/>
      <w:pPr>
        <w:ind w:left="4320" w:hanging="180"/>
      </w:pPr>
    </w:lvl>
    <w:lvl w:ilvl="6" w:tplc="0226E948" w:tentative="1">
      <w:start w:val="1"/>
      <w:numFmt w:val="decimal"/>
      <w:lvlText w:val="%7."/>
      <w:lvlJc w:val="left"/>
      <w:pPr>
        <w:ind w:left="5040" w:hanging="360"/>
      </w:pPr>
    </w:lvl>
    <w:lvl w:ilvl="7" w:tplc="F1888A72" w:tentative="1">
      <w:start w:val="1"/>
      <w:numFmt w:val="lowerLetter"/>
      <w:lvlText w:val="%8."/>
      <w:lvlJc w:val="left"/>
      <w:pPr>
        <w:ind w:left="5760" w:hanging="360"/>
      </w:pPr>
    </w:lvl>
    <w:lvl w:ilvl="8" w:tplc="A4F6FA3C" w:tentative="1">
      <w:start w:val="1"/>
      <w:numFmt w:val="lowerRoman"/>
      <w:lvlText w:val="%9."/>
      <w:lvlJc w:val="right"/>
      <w:pPr>
        <w:ind w:left="6480" w:hanging="180"/>
      </w:pPr>
    </w:lvl>
  </w:abstractNum>
  <w:abstractNum w:abstractNumId="36" w15:restartNumberingAfterBreak="0">
    <w:nsid w:val="56287B81"/>
    <w:multiLevelType w:val="hybridMultilevel"/>
    <w:tmpl w:val="4C78ED6A"/>
    <w:lvl w:ilvl="0" w:tplc="6F3849CC">
      <w:start w:val="1"/>
      <w:numFmt w:val="decimal"/>
      <w:lvlText w:val="%1."/>
      <w:lvlJc w:val="left"/>
      <w:pPr>
        <w:ind w:left="1050" w:hanging="360"/>
      </w:pPr>
    </w:lvl>
    <w:lvl w:ilvl="1" w:tplc="7B3E5CA2" w:tentative="1">
      <w:start w:val="1"/>
      <w:numFmt w:val="lowerLetter"/>
      <w:lvlText w:val="%2."/>
      <w:lvlJc w:val="left"/>
      <w:pPr>
        <w:ind w:left="1770" w:hanging="360"/>
      </w:pPr>
    </w:lvl>
    <w:lvl w:ilvl="2" w:tplc="1BA86CAE" w:tentative="1">
      <w:start w:val="1"/>
      <w:numFmt w:val="lowerRoman"/>
      <w:lvlText w:val="%3."/>
      <w:lvlJc w:val="right"/>
      <w:pPr>
        <w:ind w:left="2490" w:hanging="180"/>
      </w:pPr>
    </w:lvl>
    <w:lvl w:ilvl="3" w:tplc="CF0C764C" w:tentative="1">
      <w:start w:val="1"/>
      <w:numFmt w:val="decimal"/>
      <w:lvlText w:val="%4."/>
      <w:lvlJc w:val="left"/>
      <w:pPr>
        <w:ind w:left="3210" w:hanging="360"/>
      </w:pPr>
    </w:lvl>
    <w:lvl w:ilvl="4" w:tplc="DE284F7A" w:tentative="1">
      <w:start w:val="1"/>
      <w:numFmt w:val="lowerLetter"/>
      <w:lvlText w:val="%5."/>
      <w:lvlJc w:val="left"/>
      <w:pPr>
        <w:ind w:left="3930" w:hanging="360"/>
      </w:pPr>
    </w:lvl>
    <w:lvl w:ilvl="5" w:tplc="752470DA" w:tentative="1">
      <w:start w:val="1"/>
      <w:numFmt w:val="lowerRoman"/>
      <w:lvlText w:val="%6."/>
      <w:lvlJc w:val="right"/>
      <w:pPr>
        <w:ind w:left="4650" w:hanging="180"/>
      </w:pPr>
    </w:lvl>
    <w:lvl w:ilvl="6" w:tplc="F38A8690" w:tentative="1">
      <w:start w:val="1"/>
      <w:numFmt w:val="decimal"/>
      <w:lvlText w:val="%7."/>
      <w:lvlJc w:val="left"/>
      <w:pPr>
        <w:ind w:left="5370" w:hanging="360"/>
      </w:pPr>
    </w:lvl>
    <w:lvl w:ilvl="7" w:tplc="E522D832" w:tentative="1">
      <w:start w:val="1"/>
      <w:numFmt w:val="lowerLetter"/>
      <w:lvlText w:val="%8."/>
      <w:lvlJc w:val="left"/>
      <w:pPr>
        <w:ind w:left="6090" w:hanging="360"/>
      </w:pPr>
    </w:lvl>
    <w:lvl w:ilvl="8" w:tplc="AC0CBA88" w:tentative="1">
      <w:start w:val="1"/>
      <w:numFmt w:val="lowerRoman"/>
      <w:lvlText w:val="%9."/>
      <w:lvlJc w:val="right"/>
      <w:pPr>
        <w:ind w:left="6810" w:hanging="180"/>
      </w:pPr>
    </w:lvl>
  </w:abstractNum>
  <w:abstractNum w:abstractNumId="37" w15:restartNumberingAfterBreak="0">
    <w:nsid w:val="58A86530"/>
    <w:multiLevelType w:val="hybridMultilevel"/>
    <w:tmpl w:val="76C02E28"/>
    <w:lvl w:ilvl="0" w:tplc="96A00362">
      <w:start w:val="1"/>
      <w:numFmt w:val="bullet"/>
      <w:lvlText w:val=""/>
      <w:lvlJc w:val="left"/>
      <w:pPr>
        <w:ind w:left="843" w:hanging="360"/>
      </w:pPr>
      <w:rPr>
        <w:rFonts w:ascii="Symbol" w:hAnsi="Symbol" w:hint="default"/>
      </w:rPr>
    </w:lvl>
    <w:lvl w:ilvl="1" w:tplc="3880DCB8" w:tentative="1">
      <w:start w:val="1"/>
      <w:numFmt w:val="bullet"/>
      <w:lvlText w:val="o"/>
      <w:lvlJc w:val="left"/>
      <w:pPr>
        <w:ind w:left="1563" w:hanging="360"/>
      </w:pPr>
      <w:rPr>
        <w:rFonts w:ascii="Courier New" w:hAnsi="Courier New" w:cs="Courier New" w:hint="default"/>
      </w:rPr>
    </w:lvl>
    <w:lvl w:ilvl="2" w:tplc="14A08624" w:tentative="1">
      <w:start w:val="1"/>
      <w:numFmt w:val="bullet"/>
      <w:lvlText w:val=""/>
      <w:lvlJc w:val="left"/>
      <w:pPr>
        <w:ind w:left="2283" w:hanging="360"/>
      </w:pPr>
      <w:rPr>
        <w:rFonts w:ascii="Wingdings" w:hAnsi="Wingdings" w:hint="default"/>
      </w:rPr>
    </w:lvl>
    <w:lvl w:ilvl="3" w:tplc="B810E02A" w:tentative="1">
      <w:start w:val="1"/>
      <w:numFmt w:val="bullet"/>
      <w:lvlText w:val=""/>
      <w:lvlJc w:val="left"/>
      <w:pPr>
        <w:ind w:left="3003" w:hanging="360"/>
      </w:pPr>
      <w:rPr>
        <w:rFonts w:ascii="Symbol" w:hAnsi="Symbol" w:hint="default"/>
      </w:rPr>
    </w:lvl>
    <w:lvl w:ilvl="4" w:tplc="67B296A0" w:tentative="1">
      <w:start w:val="1"/>
      <w:numFmt w:val="bullet"/>
      <w:lvlText w:val="o"/>
      <w:lvlJc w:val="left"/>
      <w:pPr>
        <w:ind w:left="3723" w:hanging="360"/>
      </w:pPr>
      <w:rPr>
        <w:rFonts w:ascii="Courier New" w:hAnsi="Courier New" w:cs="Courier New" w:hint="default"/>
      </w:rPr>
    </w:lvl>
    <w:lvl w:ilvl="5" w:tplc="F026646E" w:tentative="1">
      <w:start w:val="1"/>
      <w:numFmt w:val="bullet"/>
      <w:lvlText w:val=""/>
      <w:lvlJc w:val="left"/>
      <w:pPr>
        <w:ind w:left="4443" w:hanging="360"/>
      </w:pPr>
      <w:rPr>
        <w:rFonts w:ascii="Wingdings" w:hAnsi="Wingdings" w:hint="default"/>
      </w:rPr>
    </w:lvl>
    <w:lvl w:ilvl="6" w:tplc="57FCD964" w:tentative="1">
      <w:start w:val="1"/>
      <w:numFmt w:val="bullet"/>
      <w:lvlText w:val=""/>
      <w:lvlJc w:val="left"/>
      <w:pPr>
        <w:ind w:left="5163" w:hanging="360"/>
      </w:pPr>
      <w:rPr>
        <w:rFonts w:ascii="Symbol" w:hAnsi="Symbol" w:hint="default"/>
      </w:rPr>
    </w:lvl>
    <w:lvl w:ilvl="7" w:tplc="56686448" w:tentative="1">
      <w:start w:val="1"/>
      <w:numFmt w:val="bullet"/>
      <w:lvlText w:val="o"/>
      <w:lvlJc w:val="left"/>
      <w:pPr>
        <w:ind w:left="5883" w:hanging="360"/>
      </w:pPr>
      <w:rPr>
        <w:rFonts w:ascii="Courier New" w:hAnsi="Courier New" w:cs="Courier New" w:hint="default"/>
      </w:rPr>
    </w:lvl>
    <w:lvl w:ilvl="8" w:tplc="A06CF152" w:tentative="1">
      <w:start w:val="1"/>
      <w:numFmt w:val="bullet"/>
      <w:lvlText w:val=""/>
      <w:lvlJc w:val="left"/>
      <w:pPr>
        <w:ind w:left="6603" w:hanging="360"/>
      </w:pPr>
      <w:rPr>
        <w:rFonts w:ascii="Wingdings" w:hAnsi="Wingdings" w:hint="default"/>
      </w:rPr>
    </w:lvl>
  </w:abstractNum>
  <w:abstractNum w:abstractNumId="38" w15:restartNumberingAfterBreak="0">
    <w:nsid w:val="60F260E4"/>
    <w:multiLevelType w:val="hybridMultilevel"/>
    <w:tmpl w:val="B08C99E0"/>
    <w:lvl w:ilvl="0" w:tplc="7814010C">
      <w:start w:val="1"/>
      <w:numFmt w:val="bullet"/>
      <w:lvlText w:val="o"/>
      <w:lvlJc w:val="left"/>
      <w:pPr>
        <w:ind w:left="1446" w:hanging="360"/>
      </w:pPr>
      <w:rPr>
        <w:rFonts w:ascii="Courier New" w:hAnsi="Courier New" w:cs="Courier New" w:hint="default"/>
      </w:rPr>
    </w:lvl>
    <w:lvl w:ilvl="1" w:tplc="9C7A7988" w:tentative="1">
      <w:start w:val="1"/>
      <w:numFmt w:val="bullet"/>
      <w:lvlText w:val="o"/>
      <w:lvlJc w:val="left"/>
      <w:pPr>
        <w:ind w:left="2166" w:hanging="360"/>
      </w:pPr>
      <w:rPr>
        <w:rFonts w:ascii="Courier New" w:hAnsi="Courier New" w:cs="Courier New" w:hint="default"/>
      </w:rPr>
    </w:lvl>
    <w:lvl w:ilvl="2" w:tplc="C10A2314" w:tentative="1">
      <w:start w:val="1"/>
      <w:numFmt w:val="bullet"/>
      <w:lvlText w:val=""/>
      <w:lvlJc w:val="left"/>
      <w:pPr>
        <w:ind w:left="2886" w:hanging="360"/>
      </w:pPr>
      <w:rPr>
        <w:rFonts w:ascii="Wingdings" w:hAnsi="Wingdings" w:hint="default"/>
      </w:rPr>
    </w:lvl>
    <w:lvl w:ilvl="3" w:tplc="23106F6C" w:tentative="1">
      <w:start w:val="1"/>
      <w:numFmt w:val="bullet"/>
      <w:lvlText w:val=""/>
      <w:lvlJc w:val="left"/>
      <w:pPr>
        <w:ind w:left="3606" w:hanging="360"/>
      </w:pPr>
      <w:rPr>
        <w:rFonts w:ascii="Symbol" w:hAnsi="Symbol" w:hint="default"/>
      </w:rPr>
    </w:lvl>
    <w:lvl w:ilvl="4" w:tplc="E0DCFAE6" w:tentative="1">
      <w:start w:val="1"/>
      <w:numFmt w:val="bullet"/>
      <w:lvlText w:val="o"/>
      <w:lvlJc w:val="left"/>
      <w:pPr>
        <w:ind w:left="4326" w:hanging="360"/>
      </w:pPr>
      <w:rPr>
        <w:rFonts w:ascii="Courier New" w:hAnsi="Courier New" w:cs="Courier New" w:hint="default"/>
      </w:rPr>
    </w:lvl>
    <w:lvl w:ilvl="5" w:tplc="ED0A3300" w:tentative="1">
      <w:start w:val="1"/>
      <w:numFmt w:val="bullet"/>
      <w:lvlText w:val=""/>
      <w:lvlJc w:val="left"/>
      <w:pPr>
        <w:ind w:left="5046" w:hanging="360"/>
      </w:pPr>
      <w:rPr>
        <w:rFonts w:ascii="Wingdings" w:hAnsi="Wingdings" w:hint="default"/>
      </w:rPr>
    </w:lvl>
    <w:lvl w:ilvl="6" w:tplc="18F23B76" w:tentative="1">
      <w:start w:val="1"/>
      <w:numFmt w:val="bullet"/>
      <w:lvlText w:val=""/>
      <w:lvlJc w:val="left"/>
      <w:pPr>
        <w:ind w:left="5766" w:hanging="360"/>
      </w:pPr>
      <w:rPr>
        <w:rFonts w:ascii="Symbol" w:hAnsi="Symbol" w:hint="default"/>
      </w:rPr>
    </w:lvl>
    <w:lvl w:ilvl="7" w:tplc="A84E43C4" w:tentative="1">
      <w:start w:val="1"/>
      <w:numFmt w:val="bullet"/>
      <w:lvlText w:val="o"/>
      <w:lvlJc w:val="left"/>
      <w:pPr>
        <w:ind w:left="6486" w:hanging="360"/>
      </w:pPr>
      <w:rPr>
        <w:rFonts w:ascii="Courier New" w:hAnsi="Courier New" w:cs="Courier New" w:hint="default"/>
      </w:rPr>
    </w:lvl>
    <w:lvl w:ilvl="8" w:tplc="2B82897E" w:tentative="1">
      <w:start w:val="1"/>
      <w:numFmt w:val="bullet"/>
      <w:lvlText w:val=""/>
      <w:lvlJc w:val="left"/>
      <w:pPr>
        <w:ind w:left="7206" w:hanging="360"/>
      </w:pPr>
      <w:rPr>
        <w:rFonts w:ascii="Wingdings" w:hAnsi="Wingdings" w:hint="default"/>
      </w:rPr>
    </w:lvl>
  </w:abstractNum>
  <w:abstractNum w:abstractNumId="39" w15:restartNumberingAfterBreak="0">
    <w:nsid w:val="65140DAF"/>
    <w:multiLevelType w:val="hybridMultilevel"/>
    <w:tmpl w:val="361EA73A"/>
    <w:lvl w:ilvl="0" w:tplc="312CDFCE">
      <w:start w:val="1"/>
      <w:numFmt w:val="bullet"/>
      <w:lvlText w:val=""/>
      <w:lvlJc w:val="left"/>
      <w:pPr>
        <w:ind w:left="720" w:hanging="360"/>
      </w:pPr>
      <w:rPr>
        <w:rFonts w:ascii="Symbol" w:hAnsi="Symbol" w:hint="default"/>
      </w:rPr>
    </w:lvl>
    <w:lvl w:ilvl="1" w:tplc="7F704C58" w:tentative="1">
      <w:start w:val="1"/>
      <w:numFmt w:val="bullet"/>
      <w:lvlText w:val="o"/>
      <w:lvlJc w:val="left"/>
      <w:pPr>
        <w:ind w:left="1440" w:hanging="360"/>
      </w:pPr>
      <w:rPr>
        <w:rFonts w:ascii="Courier New" w:hAnsi="Courier New" w:cs="Courier New" w:hint="default"/>
      </w:rPr>
    </w:lvl>
    <w:lvl w:ilvl="2" w:tplc="48A20712" w:tentative="1">
      <w:start w:val="1"/>
      <w:numFmt w:val="bullet"/>
      <w:lvlText w:val=""/>
      <w:lvlJc w:val="left"/>
      <w:pPr>
        <w:ind w:left="2160" w:hanging="360"/>
      </w:pPr>
      <w:rPr>
        <w:rFonts w:ascii="Wingdings" w:hAnsi="Wingdings" w:hint="default"/>
      </w:rPr>
    </w:lvl>
    <w:lvl w:ilvl="3" w:tplc="A0F8E54C" w:tentative="1">
      <w:start w:val="1"/>
      <w:numFmt w:val="bullet"/>
      <w:lvlText w:val=""/>
      <w:lvlJc w:val="left"/>
      <w:pPr>
        <w:ind w:left="2880" w:hanging="360"/>
      </w:pPr>
      <w:rPr>
        <w:rFonts w:ascii="Symbol" w:hAnsi="Symbol" w:hint="default"/>
      </w:rPr>
    </w:lvl>
    <w:lvl w:ilvl="4" w:tplc="29BC76F2" w:tentative="1">
      <w:start w:val="1"/>
      <w:numFmt w:val="bullet"/>
      <w:lvlText w:val="o"/>
      <w:lvlJc w:val="left"/>
      <w:pPr>
        <w:ind w:left="3600" w:hanging="360"/>
      </w:pPr>
      <w:rPr>
        <w:rFonts w:ascii="Courier New" w:hAnsi="Courier New" w:cs="Courier New" w:hint="default"/>
      </w:rPr>
    </w:lvl>
    <w:lvl w:ilvl="5" w:tplc="AF40BFB2" w:tentative="1">
      <w:start w:val="1"/>
      <w:numFmt w:val="bullet"/>
      <w:lvlText w:val=""/>
      <w:lvlJc w:val="left"/>
      <w:pPr>
        <w:ind w:left="4320" w:hanging="360"/>
      </w:pPr>
      <w:rPr>
        <w:rFonts w:ascii="Wingdings" w:hAnsi="Wingdings" w:hint="default"/>
      </w:rPr>
    </w:lvl>
    <w:lvl w:ilvl="6" w:tplc="C2C0E942" w:tentative="1">
      <w:start w:val="1"/>
      <w:numFmt w:val="bullet"/>
      <w:lvlText w:val=""/>
      <w:lvlJc w:val="left"/>
      <w:pPr>
        <w:ind w:left="5040" w:hanging="360"/>
      </w:pPr>
      <w:rPr>
        <w:rFonts w:ascii="Symbol" w:hAnsi="Symbol" w:hint="default"/>
      </w:rPr>
    </w:lvl>
    <w:lvl w:ilvl="7" w:tplc="058E583E" w:tentative="1">
      <w:start w:val="1"/>
      <w:numFmt w:val="bullet"/>
      <w:lvlText w:val="o"/>
      <w:lvlJc w:val="left"/>
      <w:pPr>
        <w:ind w:left="5760" w:hanging="360"/>
      </w:pPr>
      <w:rPr>
        <w:rFonts w:ascii="Courier New" w:hAnsi="Courier New" w:cs="Courier New" w:hint="default"/>
      </w:rPr>
    </w:lvl>
    <w:lvl w:ilvl="8" w:tplc="DDDCE5BC" w:tentative="1">
      <w:start w:val="1"/>
      <w:numFmt w:val="bullet"/>
      <w:lvlText w:val=""/>
      <w:lvlJc w:val="left"/>
      <w:pPr>
        <w:ind w:left="6480" w:hanging="360"/>
      </w:pPr>
      <w:rPr>
        <w:rFonts w:ascii="Wingdings" w:hAnsi="Wingdings" w:hint="default"/>
      </w:rPr>
    </w:lvl>
  </w:abstractNum>
  <w:abstractNum w:abstractNumId="40" w15:restartNumberingAfterBreak="0">
    <w:nsid w:val="67492487"/>
    <w:multiLevelType w:val="hybridMultilevel"/>
    <w:tmpl w:val="EE54BAAA"/>
    <w:lvl w:ilvl="0" w:tplc="9F260C10">
      <w:start w:val="1"/>
      <w:numFmt w:val="bullet"/>
      <w:lvlText w:val="o"/>
      <w:lvlJc w:val="left"/>
      <w:pPr>
        <w:ind w:left="1446" w:hanging="360"/>
      </w:pPr>
      <w:rPr>
        <w:rFonts w:ascii="Courier New" w:hAnsi="Courier New" w:cs="Courier New" w:hint="default"/>
      </w:rPr>
    </w:lvl>
    <w:lvl w:ilvl="1" w:tplc="2BA4BCCA" w:tentative="1">
      <w:start w:val="1"/>
      <w:numFmt w:val="bullet"/>
      <w:lvlText w:val="o"/>
      <w:lvlJc w:val="left"/>
      <w:pPr>
        <w:ind w:left="2166" w:hanging="360"/>
      </w:pPr>
      <w:rPr>
        <w:rFonts w:ascii="Courier New" w:hAnsi="Courier New" w:cs="Courier New" w:hint="default"/>
      </w:rPr>
    </w:lvl>
    <w:lvl w:ilvl="2" w:tplc="2026A8B6" w:tentative="1">
      <w:start w:val="1"/>
      <w:numFmt w:val="bullet"/>
      <w:lvlText w:val=""/>
      <w:lvlJc w:val="left"/>
      <w:pPr>
        <w:ind w:left="2886" w:hanging="360"/>
      </w:pPr>
      <w:rPr>
        <w:rFonts w:ascii="Wingdings" w:hAnsi="Wingdings" w:hint="default"/>
      </w:rPr>
    </w:lvl>
    <w:lvl w:ilvl="3" w:tplc="FB6E3596" w:tentative="1">
      <w:start w:val="1"/>
      <w:numFmt w:val="bullet"/>
      <w:lvlText w:val=""/>
      <w:lvlJc w:val="left"/>
      <w:pPr>
        <w:ind w:left="3606" w:hanging="360"/>
      </w:pPr>
      <w:rPr>
        <w:rFonts w:ascii="Symbol" w:hAnsi="Symbol" w:hint="default"/>
      </w:rPr>
    </w:lvl>
    <w:lvl w:ilvl="4" w:tplc="17DE0284" w:tentative="1">
      <w:start w:val="1"/>
      <w:numFmt w:val="bullet"/>
      <w:lvlText w:val="o"/>
      <w:lvlJc w:val="left"/>
      <w:pPr>
        <w:ind w:left="4326" w:hanging="360"/>
      </w:pPr>
      <w:rPr>
        <w:rFonts w:ascii="Courier New" w:hAnsi="Courier New" w:cs="Courier New" w:hint="default"/>
      </w:rPr>
    </w:lvl>
    <w:lvl w:ilvl="5" w:tplc="DAF0ABFE" w:tentative="1">
      <w:start w:val="1"/>
      <w:numFmt w:val="bullet"/>
      <w:lvlText w:val=""/>
      <w:lvlJc w:val="left"/>
      <w:pPr>
        <w:ind w:left="5046" w:hanging="360"/>
      </w:pPr>
      <w:rPr>
        <w:rFonts w:ascii="Wingdings" w:hAnsi="Wingdings" w:hint="default"/>
      </w:rPr>
    </w:lvl>
    <w:lvl w:ilvl="6" w:tplc="DDAEDF60" w:tentative="1">
      <w:start w:val="1"/>
      <w:numFmt w:val="bullet"/>
      <w:lvlText w:val=""/>
      <w:lvlJc w:val="left"/>
      <w:pPr>
        <w:ind w:left="5766" w:hanging="360"/>
      </w:pPr>
      <w:rPr>
        <w:rFonts w:ascii="Symbol" w:hAnsi="Symbol" w:hint="default"/>
      </w:rPr>
    </w:lvl>
    <w:lvl w:ilvl="7" w:tplc="EACAC9F8" w:tentative="1">
      <w:start w:val="1"/>
      <w:numFmt w:val="bullet"/>
      <w:lvlText w:val="o"/>
      <w:lvlJc w:val="left"/>
      <w:pPr>
        <w:ind w:left="6486" w:hanging="360"/>
      </w:pPr>
      <w:rPr>
        <w:rFonts w:ascii="Courier New" w:hAnsi="Courier New" w:cs="Courier New" w:hint="default"/>
      </w:rPr>
    </w:lvl>
    <w:lvl w:ilvl="8" w:tplc="DC3C8E74" w:tentative="1">
      <w:start w:val="1"/>
      <w:numFmt w:val="bullet"/>
      <w:lvlText w:val=""/>
      <w:lvlJc w:val="left"/>
      <w:pPr>
        <w:ind w:left="7206" w:hanging="360"/>
      </w:pPr>
      <w:rPr>
        <w:rFonts w:ascii="Wingdings" w:hAnsi="Wingdings" w:hint="default"/>
      </w:rPr>
    </w:lvl>
  </w:abstractNum>
  <w:abstractNum w:abstractNumId="41" w15:restartNumberingAfterBreak="0">
    <w:nsid w:val="684037F4"/>
    <w:multiLevelType w:val="hybridMultilevel"/>
    <w:tmpl w:val="B4E8D35C"/>
    <w:lvl w:ilvl="0" w:tplc="8C3C4400">
      <w:start w:val="1"/>
      <w:numFmt w:val="decimal"/>
      <w:lvlText w:val="%1."/>
      <w:lvlJc w:val="left"/>
      <w:pPr>
        <w:ind w:left="720" w:hanging="360"/>
      </w:pPr>
    </w:lvl>
    <w:lvl w:ilvl="1" w:tplc="0F382974" w:tentative="1">
      <w:start w:val="1"/>
      <w:numFmt w:val="lowerLetter"/>
      <w:lvlText w:val="%2."/>
      <w:lvlJc w:val="left"/>
      <w:pPr>
        <w:ind w:left="1440" w:hanging="360"/>
      </w:pPr>
    </w:lvl>
    <w:lvl w:ilvl="2" w:tplc="AF6AE848" w:tentative="1">
      <w:start w:val="1"/>
      <w:numFmt w:val="lowerRoman"/>
      <w:lvlText w:val="%3."/>
      <w:lvlJc w:val="right"/>
      <w:pPr>
        <w:ind w:left="2160" w:hanging="180"/>
      </w:pPr>
    </w:lvl>
    <w:lvl w:ilvl="3" w:tplc="BDB45664" w:tentative="1">
      <w:start w:val="1"/>
      <w:numFmt w:val="decimal"/>
      <w:lvlText w:val="%4."/>
      <w:lvlJc w:val="left"/>
      <w:pPr>
        <w:ind w:left="2880" w:hanging="360"/>
      </w:pPr>
    </w:lvl>
    <w:lvl w:ilvl="4" w:tplc="D1B49056" w:tentative="1">
      <w:start w:val="1"/>
      <w:numFmt w:val="lowerLetter"/>
      <w:lvlText w:val="%5."/>
      <w:lvlJc w:val="left"/>
      <w:pPr>
        <w:ind w:left="3600" w:hanging="360"/>
      </w:pPr>
    </w:lvl>
    <w:lvl w:ilvl="5" w:tplc="A3F6BC70" w:tentative="1">
      <w:start w:val="1"/>
      <w:numFmt w:val="lowerRoman"/>
      <w:lvlText w:val="%6."/>
      <w:lvlJc w:val="right"/>
      <w:pPr>
        <w:ind w:left="4320" w:hanging="180"/>
      </w:pPr>
    </w:lvl>
    <w:lvl w:ilvl="6" w:tplc="86B69914" w:tentative="1">
      <w:start w:val="1"/>
      <w:numFmt w:val="decimal"/>
      <w:lvlText w:val="%7."/>
      <w:lvlJc w:val="left"/>
      <w:pPr>
        <w:ind w:left="5040" w:hanging="360"/>
      </w:pPr>
    </w:lvl>
    <w:lvl w:ilvl="7" w:tplc="32B017B0" w:tentative="1">
      <w:start w:val="1"/>
      <w:numFmt w:val="lowerLetter"/>
      <w:lvlText w:val="%8."/>
      <w:lvlJc w:val="left"/>
      <w:pPr>
        <w:ind w:left="5760" w:hanging="360"/>
      </w:pPr>
    </w:lvl>
    <w:lvl w:ilvl="8" w:tplc="2E76D78A" w:tentative="1">
      <w:start w:val="1"/>
      <w:numFmt w:val="lowerRoman"/>
      <w:lvlText w:val="%9."/>
      <w:lvlJc w:val="right"/>
      <w:pPr>
        <w:ind w:left="6480" w:hanging="180"/>
      </w:pPr>
    </w:lvl>
  </w:abstractNum>
  <w:abstractNum w:abstractNumId="42" w15:restartNumberingAfterBreak="0">
    <w:nsid w:val="6BC776D9"/>
    <w:multiLevelType w:val="hybridMultilevel"/>
    <w:tmpl w:val="06A8937C"/>
    <w:lvl w:ilvl="0" w:tplc="02803312">
      <w:start w:val="1"/>
      <w:numFmt w:val="bullet"/>
      <w:lvlText w:val=""/>
      <w:lvlJc w:val="left"/>
      <w:pPr>
        <w:ind w:left="720" w:hanging="360"/>
      </w:pPr>
      <w:rPr>
        <w:rFonts w:ascii="Symbol" w:hAnsi="Symbol" w:hint="default"/>
      </w:rPr>
    </w:lvl>
    <w:lvl w:ilvl="1" w:tplc="ABFEAA38" w:tentative="1">
      <w:start w:val="1"/>
      <w:numFmt w:val="bullet"/>
      <w:lvlText w:val="o"/>
      <w:lvlJc w:val="left"/>
      <w:pPr>
        <w:ind w:left="1440" w:hanging="360"/>
      </w:pPr>
      <w:rPr>
        <w:rFonts w:ascii="Courier New" w:hAnsi="Courier New" w:cs="Courier New" w:hint="default"/>
      </w:rPr>
    </w:lvl>
    <w:lvl w:ilvl="2" w:tplc="B6380032" w:tentative="1">
      <w:start w:val="1"/>
      <w:numFmt w:val="bullet"/>
      <w:lvlText w:val=""/>
      <w:lvlJc w:val="left"/>
      <w:pPr>
        <w:ind w:left="2160" w:hanging="360"/>
      </w:pPr>
      <w:rPr>
        <w:rFonts w:ascii="Wingdings" w:hAnsi="Wingdings" w:hint="default"/>
      </w:rPr>
    </w:lvl>
    <w:lvl w:ilvl="3" w:tplc="C47EBBA0" w:tentative="1">
      <w:start w:val="1"/>
      <w:numFmt w:val="bullet"/>
      <w:lvlText w:val=""/>
      <w:lvlJc w:val="left"/>
      <w:pPr>
        <w:ind w:left="2880" w:hanging="360"/>
      </w:pPr>
      <w:rPr>
        <w:rFonts w:ascii="Symbol" w:hAnsi="Symbol" w:hint="default"/>
      </w:rPr>
    </w:lvl>
    <w:lvl w:ilvl="4" w:tplc="98903FC0" w:tentative="1">
      <w:start w:val="1"/>
      <w:numFmt w:val="bullet"/>
      <w:lvlText w:val="o"/>
      <w:lvlJc w:val="left"/>
      <w:pPr>
        <w:ind w:left="3600" w:hanging="360"/>
      </w:pPr>
      <w:rPr>
        <w:rFonts w:ascii="Courier New" w:hAnsi="Courier New" w:cs="Courier New" w:hint="default"/>
      </w:rPr>
    </w:lvl>
    <w:lvl w:ilvl="5" w:tplc="38FA1BA6" w:tentative="1">
      <w:start w:val="1"/>
      <w:numFmt w:val="bullet"/>
      <w:lvlText w:val=""/>
      <w:lvlJc w:val="left"/>
      <w:pPr>
        <w:ind w:left="4320" w:hanging="360"/>
      </w:pPr>
      <w:rPr>
        <w:rFonts w:ascii="Wingdings" w:hAnsi="Wingdings" w:hint="default"/>
      </w:rPr>
    </w:lvl>
    <w:lvl w:ilvl="6" w:tplc="F07EC9C0" w:tentative="1">
      <w:start w:val="1"/>
      <w:numFmt w:val="bullet"/>
      <w:lvlText w:val=""/>
      <w:lvlJc w:val="left"/>
      <w:pPr>
        <w:ind w:left="5040" w:hanging="360"/>
      </w:pPr>
      <w:rPr>
        <w:rFonts w:ascii="Symbol" w:hAnsi="Symbol" w:hint="default"/>
      </w:rPr>
    </w:lvl>
    <w:lvl w:ilvl="7" w:tplc="6AA01500" w:tentative="1">
      <w:start w:val="1"/>
      <w:numFmt w:val="bullet"/>
      <w:lvlText w:val="o"/>
      <w:lvlJc w:val="left"/>
      <w:pPr>
        <w:ind w:left="5760" w:hanging="360"/>
      </w:pPr>
      <w:rPr>
        <w:rFonts w:ascii="Courier New" w:hAnsi="Courier New" w:cs="Courier New" w:hint="default"/>
      </w:rPr>
    </w:lvl>
    <w:lvl w:ilvl="8" w:tplc="0838C580" w:tentative="1">
      <w:start w:val="1"/>
      <w:numFmt w:val="bullet"/>
      <w:lvlText w:val=""/>
      <w:lvlJc w:val="left"/>
      <w:pPr>
        <w:ind w:left="6480" w:hanging="360"/>
      </w:pPr>
      <w:rPr>
        <w:rFonts w:ascii="Wingdings" w:hAnsi="Wingdings" w:hint="default"/>
      </w:rPr>
    </w:lvl>
  </w:abstractNum>
  <w:abstractNum w:abstractNumId="43" w15:restartNumberingAfterBreak="0">
    <w:nsid w:val="6C0553C7"/>
    <w:multiLevelType w:val="hybridMultilevel"/>
    <w:tmpl w:val="685033B2"/>
    <w:lvl w:ilvl="0" w:tplc="BC6876B4">
      <w:start w:val="1"/>
      <w:numFmt w:val="bullet"/>
      <w:lvlText w:val=""/>
      <w:lvlJc w:val="left"/>
      <w:pPr>
        <w:ind w:left="720" w:hanging="360"/>
      </w:pPr>
      <w:rPr>
        <w:rFonts w:ascii="Symbol" w:hAnsi="Symbol" w:hint="default"/>
      </w:rPr>
    </w:lvl>
    <w:lvl w:ilvl="1" w:tplc="64D47E86" w:tentative="1">
      <w:start w:val="1"/>
      <w:numFmt w:val="bullet"/>
      <w:lvlText w:val="o"/>
      <w:lvlJc w:val="left"/>
      <w:pPr>
        <w:ind w:left="1440" w:hanging="360"/>
      </w:pPr>
      <w:rPr>
        <w:rFonts w:ascii="Courier New" w:hAnsi="Courier New" w:cs="Courier New" w:hint="default"/>
      </w:rPr>
    </w:lvl>
    <w:lvl w:ilvl="2" w:tplc="689A327A" w:tentative="1">
      <w:start w:val="1"/>
      <w:numFmt w:val="bullet"/>
      <w:lvlText w:val=""/>
      <w:lvlJc w:val="left"/>
      <w:pPr>
        <w:ind w:left="2160" w:hanging="360"/>
      </w:pPr>
      <w:rPr>
        <w:rFonts w:ascii="Wingdings" w:hAnsi="Wingdings" w:hint="default"/>
      </w:rPr>
    </w:lvl>
    <w:lvl w:ilvl="3" w:tplc="B94AF530" w:tentative="1">
      <w:start w:val="1"/>
      <w:numFmt w:val="bullet"/>
      <w:lvlText w:val=""/>
      <w:lvlJc w:val="left"/>
      <w:pPr>
        <w:ind w:left="2880" w:hanging="360"/>
      </w:pPr>
      <w:rPr>
        <w:rFonts w:ascii="Symbol" w:hAnsi="Symbol" w:hint="default"/>
      </w:rPr>
    </w:lvl>
    <w:lvl w:ilvl="4" w:tplc="E314F592" w:tentative="1">
      <w:start w:val="1"/>
      <w:numFmt w:val="bullet"/>
      <w:lvlText w:val="o"/>
      <w:lvlJc w:val="left"/>
      <w:pPr>
        <w:ind w:left="3600" w:hanging="360"/>
      </w:pPr>
      <w:rPr>
        <w:rFonts w:ascii="Courier New" w:hAnsi="Courier New" w:cs="Courier New" w:hint="default"/>
      </w:rPr>
    </w:lvl>
    <w:lvl w:ilvl="5" w:tplc="89AAAD1A" w:tentative="1">
      <w:start w:val="1"/>
      <w:numFmt w:val="bullet"/>
      <w:lvlText w:val=""/>
      <w:lvlJc w:val="left"/>
      <w:pPr>
        <w:ind w:left="4320" w:hanging="360"/>
      </w:pPr>
      <w:rPr>
        <w:rFonts w:ascii="Wingdings" w:hAnsi="Wingdings" w:hint="default"/>
      </w:rPr>
    </w:lvl>
    <w:lvl w:ilvl="6" w:tplc="73E452BA" w:tentative="1">
      <w:start w:val="1"/>
      <w:numFmt w:val="bullet"/>
      <w:lvlText w:val=""/>
      <w:lvlJc w:val="left"/>
      <w:pPr>
        <w:ind w:left="5040" w:hanging="360"/>
      </w:pPr>
      <w:rPr>
        <w:rFonts w:ascii="Symbol" w:hAnsi="Symbol" w:hint="default"/>
      </w:rPr>
    </w:lvl>
    <w:lvl w:ilvl="7" w:tplc="1D28CF12" w:tentative="1">
      <w:start w:val="1"/>
      <w:numFmt w:val="bullet"/>
      <w:lvlText w:val="o"/>
      <w:lvlJc w:val="left"/>
      <w:pPr>
        <w:ind w:left="5760" w:hanging="360"/>
      </w:pPr>
      <w:rPr>
        <w:rFonts w:ascii="Courier New" w:hAnsi="Courier New" w:cs="Courier New" w:hint="default"/>
      </w:rPr>
    </w:lvl>
    <w:lvl w:ilvl="8" w:tplc="7C7C11AA" w:tentative="1">
      <w:start w:val="1"/>
      <w:numFmt w:val="bullet"/>
      <w:lvlText w:val=""/>
      <w:lvlJc w:val="left"/>
      <w:pPr>
        <w:ind w:left="6480" w:hanging="360"/>
      </w:pPr>
      <w:rPr>
        <w:rFonts w:ascii="Wingdings" w:hAnsi="Wingdings" w:hint="default"/>
      </w:rPr>
    </w:lvl>
  </w:abstractNum>
  <w:abstractNum w:abstractNumId="44" w15:restartNumberingAfterBreak="0">
    <w:nsid w:val="71BD28E9"/>
    <w:multiLevelType w:val="hybridMultilevel"/>
    <w:tmpl w:val="149E4062"/>
    <w:lvl w:ilvl="0" w:tplc="09763B9C">
      <w:start w:val="1"/>
      <w:numFmt w:val="bullet"/>
      <w:lvlText w:val=""/>
      <w:lvlJc w:val="left"/>
      <w:pPr>
        <w:ind w:left="720" w:hanging="360"/>
      </w:pPr>
      <w:rPr>
        <w:rFonts w:ascii="Symbol" w:hAnsi="Symbol" w:hint="default"/>
      </w:rPr>
    </w:lvl>
    <w:lvl w:ilvl="1" w:tplc="1E4C8A5A">
      <w:start w:val="1"/>
      <w:numFmt w:val="bullet"/>
      <w:lvlText w:val="o"/>
      <w:lvlJc w:val="left"/>
      <w:pPr>
        <w:ind w:left="1440" w:hanging="360"/>
      </w:pPr>
      <w:rPr>
        <w:rFonts w:ascii="Courier New" w:hAnsi="Courier New" w:cs="Courier New" w:hint="default"/>
      </w:rPr>
    </w:lvl>
    <w:lvl w:ilvl="2" w:tplc="1F88EDC2">
      <w:start w:val="1"/>
      <w:numFmt w:val="bullet"/>
      <w:lvlText w:val=""/>
      <w:lvlJc w:val="left"/>
      <w:pPr>
        <w:ind w:left="2160" w:hanging="360"/>
      </w:pPr>
      <w:rPr>
        <w:rFonts w:ascii="Wingdings" w:hAnsi="Wingdings" w:cs="Wingdings" w:hint="default"/>
      </w:rPr>
    </w:lvl>
    <w:lvl w:ilvl="3" w:tplc="D924B8BA">
      <w:start w:val="1"/>
      <w:numFmt w:val="bullet"/>
      <w:lvlText w:val=""/>
      <w:lvlJc w:val="left"/>
      <w:pPr>
        <w:ind w:left="2880" w:hanging="360"/>
      </w:pPr>
      <w:rPr>
        <w:rFonts w:ascii="Symbol" w:hAnsi="Symbol" w:cs="Symbol" w:hint="default"/>
      </w:rPr>
    </w:lvl>
    <w:lvl w:ilvl="4" w:tplc="5524D7B2">
      <w:start w:val="1"/>
      <w:numFmt w:val="bullet"/>
      <w:lvlText w:val="o"/>
      <w:lvlJc w:val="left"/>
      <w:pPr>
        <w:ind w:left="3600" w:hanging="360"/>
      </w:pPr>
      <w:rPr>
        <w:rFonts w:ascii="Courier New" w:hAnsi="Courier New" w:cs="Courier New" w:hint="default"/>
      </w:rPr>
    </w:lvl>
    <w:lvl w:ilvl="5" w:tplc="6EB24344">
      <w:start w:val="1"/>
      <w:numFmt w:val="bullet"/>
      <w:lvlText w:val=""/>
      <w:lvlJc w:val="left"/>
      <w:pPr>
        <w:ind w:left="4320" w:hanging="360"/>
      </w:pPr>
      <w:rPr>
        <w:rFonts w:ascii="Wingdings" w:hAnsi="Wingdings" w:cs="Wingdings" w:hint="default"/>
      </w:rPr>
    </w:lvl>
    <w:lvl w:ilvl="6" w:tplc="F3E2EB46">
      <w:start w:val="1"/>
      <w:numFmt w:val="bullet"/>
      <w:lvlText w:val=""/>
      <w:lvlJc w:val="left"/>
      <w:pPr>
        <w:ind w:left="5040" w:hanging="360"/>
      </w:pPr>
      <w:rPr>
        <w:rFonts w:ascii="Symbol" w:hAnsi="Symbol" w:cs="Symbol" w:hint="default"/>
      </w:rPr>
    </w:lvl>
    <w:lvl w:ilvl="7" w:tplc="A4D887DA">
      <w:start w:val="1"/>
      <w:numFmt w:val="bullet"/>
      <w:lvlText w:val="o"/>
      <w:lvlJc w:val="left"/>
      <w:pPr>
        <w:ind w:left="5760" w:hanging="360"/>
      </w:pPr>
      <w:rPr>
        <w:rFonts w:ascii="Courier New" w:hAnsi="Courier New" w:cs="Courier New" w:hint="default"/>
      </w:rPr>
    </w:lvl>
    <w:lvl w:ilvl="8" w:tplc="61A0A594">
      <w:start w:val="1"/>
      <w:numFmt w:val="bullet"/>
      <w:lvlText w:val=""/>
      <w:lvlJc w:val="left"/>
      <w:pPr>
        <w:ind w:left="6480" w:hanging="360"/>
      </w:pPr>
      <w:rPr>
        <w:rFonts w:ascii="Wingdings" w:hAnsi="Wingdings" w:cs="Wingdings" w:hint="default"/>
      </w:rPr>
    </w:lvl>
  </w:abstractNum>
  <w:abstractNum w:abstractNumId="45" w15:restartNumberingAfterBreak="0">
    <w:nsid w:val="726424A4"/>
    <w:multiLevelType w:val="hybridMultilevel"/>
    <w:tmpl w:val="D354FCF4"/>
    <w:lvl w:ilvl="0" w:tplc="5C70B7C2">
      <w:start w:val="1"/>
      <w:numFmt w:val="decimal"/>
      <w:lvlText w:val="%1."/>
      <w:lvlJc w:val="left"/>
      <w:pPr>
        <w:ind w:left="720" w:hanging="360"/>
      </w:pPr>
      <w:rPr>
        <w:rFonts w:hint="default"/>
      </w:rPr>
    </w:lvl>
    <w:lvl w:ilvl="1" w:tplc="2572C86E" w:tentative="1">
      <w:start w:val="1"/>
      <w:numFmt w:val="lowerLetter"/>
      <w:lvlText w:val="%2."/>
      <w:lvlJc w:val="left"/>
      <w:pPr>
        <w:ind w:left="1440" w:hanging="360"/>
      </w:pPr>
    </w:lvl>
    <w:lvl w:ilvl="2" w:tplc="DAAA5AD6" w:tentative="1">
      <w:start w:val="1"/>
      <w:numFmt w:val="lowerRoman"/>
      <w:lvlText w:val="%3."/>
      <w:lvlJc w:val="right"/>
      <w:pPr>
        <w:ind w:left="2160" w:hanging="180"/>
      </w:pPr>
    </w:lvl>
    <w:lvl w:ilvl="3" w:tplc="3F76023E" w:tentative="1">
      <w:start w:val="1"/>
      <w:numFmt w:val="decimal"/>
      <w:lvlText w:val="%4."/>
      <w:lvlJc w:val="left"/>
      <w:pPr>
        <w:ind w:left="2880" w:hanging="360"/>
      </w:pPr>
    </w:lvl>
    <w:lvl w:ilvl="4" w:tplc="4A8EA710" w:tentative="1">
      <w:start w:val="1"/>
      <w:numFmt w:val="lowerLetter"/>
      <w:lvlText w:val="%5."/>
      <w:lvlJc w:val="left"/>
      <w:pPr>
        <w:ind w:left="3600" w:hanging="360"/>
      </w:pPr>
    </w:lvl>
    <w:lvl w:ilvl="5" w:tplc="7CD22404" w:tentative="1">
      <w:start w:val="1"/>
      <w:numFmt w:val="lowerRoman"/>
      <w:lvlText w:val="%6."/>
      <w:lvlJc w:val="right"/>
      <w:pPr>
        <w:ind w:left="4320" w:hanging="180"/>
      </w:pPr>
    </w:lvl>
    <w:lvl w:ilvl="6" w:tplc="2B08287A" w:tentative="1">
      <w:start w:val="1"/>
      <w:numFmt w:val="decimal"/>
      <w:lvlText w:val="%7."/>
      <w:lvlJc w:val="left"/>
      <w:pPr>
        <w:ind w:left="5040" w:hanging="360"/>
      </w:pPr>
    </w:lvl>
    <w:lvl w:ilvl="7" w:tplc="400EC540" w:tentative="1">
      <w:start w:val="1"/>
      <w:numFmt w:val="lowerLetter"/>
      <w:lvlText w:val="%8."/>
      <w:lvlJc w:val="left"/>
      <w:pPr>
        <w:ind w:left="5760" w:hanging="360"/>
      </w:pPr>
    </w:lvl>
    <w:lvl w:ilvl="8" w:tplc="CFD2581E" w:tentative="1">
      <w:start w:val="1"/>
      <w:numFmt w:val="lowerRoman"/>
      <w:lvlText w:val="%9."/>
      <w:lvlJc w:val="right"/>
      <w:pPr>
        <w:ind w:left="6480" w:hanging="180"/>
      </w:pPr>
    </w:lvl>
  </w:abstractNum>
  <w:abstractNum w:abstractNumId="46" w15:restartNumberingAfterBreak="0">
    <w:nsid w:val="76EE5A6F"/>
    <w:multiLevelType w:val="hybridMultilevel"/>
    <w:tmpl w:val="39889580"/>
    <w:lvl w:ilvl="0" w:tplc="BE3C9580">
      <w:start w:val="1"/>
      <w:numFmt w:val="decimal"/>
      <w:lvlText w:val="%1."/>
      <w:lvlJc w:val="left"/>
      <w:pPr>
        <w:ind w:left="720" w:hanging="360"/>
      </w:pPr>
    </w:lvl>
    <w:lvl w:ilvl="1" w:tplc="D526A160" w:tentative="1">
      <w:start w:val="1"/>
      <w:numFmt w:val="lowerLetter"/>
      <w:lvlText w:val="%2."/>
      <w:lvlJc w:val="left"/>
      <w:pPr>
        <w:ind w:left="1440" w:hanging="360"/>
      </w:pPr>
    </w:lvl>
    <w:lvl w:ilvl="2" w:tplc="78D02732" w:tentative="1">
      <w:start w:val="1"/>
      <w:numFmt w:val="lowerRoman"/>
      <w:lvlText w:val="%3."/>
      <w:lvlJc w:val="right"/>
      <w:pPr>
        <w:ind w:left="2160" w:hanging="180"/>
      </w:pPr>
    </w:lvl>
    <w:lvl w:ilvl="3" w:tplc="074C5D38" w:tentative="1">
      <w:start w:val="1"/>
      <w:numFmt w:val="decimal"/>
      <w:lvlText w:val="%4."/>
      <w:lvlJc w:val="left"/>
      <w:pPr>
        <w:ind w:left="2880" w:hanging="360"/>
      </w:pPr>
    </w:lvl>
    <w:lvl w:ilvl="4" w:tplc="90D4B220" w:tentative="1">
      <w:start w:val="1"/>
      <w:numFmt w:val="lowerLetter"/>
      <w:lvlText w:val="%5."/>
      <w:lvlJc w:val="left"/>
      <w:pPr>
        <w:ind w:left="3600" w:hanging="360"/>
      </w:pPr>
    </w:lvl>
    <w:lvl w:ilvl="5" w:tplc="F794814E" w:tentative="1">
      <w:start w:val="1"/>
      <w:numFmt w:val="lowerRoman"/>
      <w:lvlText w:val="%6."/>
      <w:lvlJc w:val="right"/>
      <w:pPr>
        <w:ind w:left="4320" w:hanging="180"/>
      </w:pPr>
    </w:lvl>
    <w:lvl w:ilvl="6" w:tplc="336E8036" w:tentative="1">
      <w:start w:val="1"/>
      <w:numFmt w:val="decimal"/>
      <w:lvlText w:val="%7."/>
      <w:lvlJc w:val="left"/>
      <w:pPr>
        <w:ind w:left="5040" w:hanging="360"/>
      </w:pPr>
    </w:lvl>
    <w:lvl w:ilvl="7" w:tplc="36C6B86E" w:tentative="1">
      <w:start w:val="1"/>
      <w:numFmt w:val="lowerLetter"/>
      <w:lvlText w:val="%8."/>
      <w:lvlJc w:val="left"/>
      <w:pPr>
        <w:ind w:left="5760" w:hanging="360"/>
      </w:pPr>
    </w:lvl>
    <w:lvl w:ilvl="8" w:tplc="E12283D0" w:tentative="1">
      <w:start w:val="1"/>
      <w:numFmt w:val="lowerRoman"/>
      <w:lvlText w:val="%9."/>
      <w:lvlJc w:val="right"/>
      <w:pPr>
        <w:ind w:left="6480" w:hanging="180"/>
      </w:pPr>
    </w:lvl>
  </w:abstractNum>
  <w:abstractNum w:abstractNumId="47" w15:restartNumberingAfterBreak="0">
    <w:nsid w:val="7B2D335E"/>
    <w:multiLevelType w:val="hybridMultilevel"/>
    <w:tmpl w:val="D00846BE"/>
    <w:lvl w:ilvl="0" w:tplc="B472EB0E">
      <w:start w:val="1"/>
      <w:numFmt w:val="bullet"/>
      <w:lvlText w:val=""/>
      <w:lvlJc w:val="left"/>
      <w:pPr>
        <w:ind w:left="1446" w:hanging="360"/>
      </w:pPr>
      <w:rPr>
        <w:rFonts w:ascii="Symbol" w:hAnsi="Symbol" w:hint="default"/>
      </w:rPr>
    </w:lvl>
    <w:lvl w:ilvl="1" w:tplc="0E94A0EC" w:tentative="1">
      <w:start w:val="1"/>
      <w:numFmt w:val="bullet"/>
      <w:lvlText w:val="o"/>
      <w:lvlJc w:val="left"/>
      <w:pPr>
        <w:ind w:left="2166" w:hanging="360"/>
      </w:pPr>
      <w:rPr>
        <w:rFonts w:ascii="Courier New" w:hAnsi="Courier New" w:cs="Courier New" w:hint="default"/>
      </w:rPr>
    </w:lvl>
    <w:lvl w:ilvl="2" w:tplc="1F927BCC" w:tentative="1">
      <w:start w:val="1"/>
      <w:numFmt w:val="bullet"/>
      <w:lvlText w:val=""/>
      <w:lvlJc w:val="left"/>
      <w:pPr>
        <w:ind w:left="2886" w:hanging="360"/>
      </w:pPr>
      <w:rPr>
        <w:rFonts w:ascii="Wingdings" w:hAnsi="Wingdings" w:hint="default"/>
      </w:rPr>
    </w:lvl>
    <w:lvl w:ilvl="3" w:tplc="9DF8D4D4" w:tentative="1">
      <w:start w:val="1"/>
      <w:numFmt w:val="bullet"/>
      <w:lvlText w:val=""/>
      <w:lvlJc w:val="left"/>
      <w:pPr>
        <w:ind w:left="3606" w:hanging="360"/>
      </w:pPr>
      <w:rPr>
        <w:rFonts w:ascii="Symbol" w:hAnsi="Symbol" w:hint="default"/>
      </w:rPr>
    </w:lvl>
    <w:lvl w:ilvl="4" w:tplc="6ACEEF60" w:tentative="1">
      <w:start w:val="1"/>
      <w:numFmt w:val="bullet"/>
      <w:lvlText w:val="o"/>
      <w:lvlJc w:val="left"/>
      <w:pPr>
        <w:ind w:left="4326" w:hanging="360"/>
      </w:pPr>
      <w:rPr>
        <w:rFonts w:ascii="Courier New" w:hAnsi="Courier New" w:cs="Courier New" w:hint="default"/>
      </w:rPr>
    </w:lvl>
    <w:lvl w:ilvl="5" w:tplc="C29435EA" w:tentative="1">
      <w:start w:val="1"/>
      <w:numFmt w:val="bullet"/>
      <w:lvlText w:val=""/>
      <w:lvlJc w:val="left"/>
      <w:pPr>
        <w:ind w:left="5046" w:hanging="360"/>
      </w:pPr>
      <w:rPr>
        <w:rFonts w:ascii="Wingdings" w:hAnsi="Wingdings" w:hint="default"/>
      </w:rPr>
    </w:lvl>
    <w:lvl w:ilvl="6" w:tplc="A2E26498" w:tentative="1">
      <w:start w:val="1"/>
      <w:numFmt w:val="bullet"/>
      <w:lvlText w:val=""/>
      <w:lvlJc w:val="left"/>
      <w:pPr>
        <w:ind w:left="5766" w:hanging="360"/>
      </w:pPr>
      <w:rPr>
        <w:rFonts w:ascii="Symbol" w:hAnsi="Symbol" w:hint="default"/>
      </w:rPr>
    </w:lvl>
    <w:lvl w:ilvl="7" w:tplc="A4D4EF1A" w:tentative="1">
      <w:start w:val="1"/>
      <w:numFmt w:val="bullet"/>
      <w:lvlText w:val="o"/>
      <w:lvlJc w:val="left"/>
      <w:pPr>
        <w:ind w:left="6486" w:hanging="360"/>
      </w:pPr>
      <w:rPr>
        <w:rFonts w:ascii="Courier New" w:hAnsi="Courier New" w:cs="Courier New" w:hint="default"/>
      </w:rPr>
    </w:lvl>
    <w:lvl w:ilvl="8" w:tplc="47E47A86" w:tentative="1">
      <w:start w:val="1"/>
      <w:numFmt w:val="bullet"/>
      <w:lvlText w:val=""/>
      <w:lvlJc w:val="left"/>
      <w:pPr>
        <w:ind w:left="7206" w:hanging="360"/>
      </w:pPr>
      <w:rPr>
        <w:rFonts w:ascii="Wingdings" w:hAnsi="Wingdings" w:hint="default"/>
      </w:rPr>
    </w:lvl>
  </w:abstractNum>
  <w:abstractNum w:abstractNumId="48" w15:restartNumberingAfterBreak="0">
    <w:nsid w:val="7B577CE0"/>
    <w:multiLevelType w:val="hybridMultilevel"/>
    <w:tmpl w:val="BFEEAD8C"/>
    <w:lvl w:ilvl="0" w:tplc="AE72C6F8">
      <w:start w:val="1"/>
      <w:numFmt w:val="decimal"/>
      <w:lvlText w:val="%1."/>
      <w:lvlJc w:val="left"/>
      <w:pPr>
        <w:ind w:left="945" w:hanging="585"/>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9"/>
  </w:num>
  <w:num w:numId="3">
    <w:abstractNumId w:val="43"/>
  </w:num>
  <w:num w:numId="4">
    <w:abstractNumId w:val="45"/>
  </w:num>
  <w:num w:numId="5">
    <w:abstractNumId w:val="7"/>
  </w:num>
  <w:num w:numId="6">
    <w:abstractNumId w:val="30"/>
  </w:num>
  <w:num w:numId="7">
    <w:abstractNumId w:val="26"/>
  </w:num>
  <w:num w:numId="8">
    <w:abstractNumId w:val="19"/>
  </w:num>
  <w:num w:numId="9">
    <w:abstractNumId w:val="25"/>
  </w:num>
  <w:num w:numId="10">
    <w:abstractNumId w:val="3"/>
  </w:num>
  <w:num w:numId="11">
    <w:abstractNumId w:val="29"/>
  </w:num>
  <w:num w:numId="12">
    <w:abstractNumId w:val="22"/>
  </w:num>
  <w:num w:numId="13">
    <w:abstractNumId w:val="10"/>
  </w:num>
  <w:num w:numId="14">
    <w:abstractNumId w:val="15"/>
  </w:num>
  <w:num w:numId="15">
    <w:abstractNumId w:val="8"/>
  </w:num>
  <w:num w:numId="16">
    <w:abstractNumId w:val="4"/>
  </w:num>
  <w:num w:numId="17">
    <w:abstractNumId w:val="40"/>
  </w:num>
  <w:num w:numId="18">
    <w:abstractNumId w:val="17"/>
  </w:num>
  <w:num w:numId="19">
    <w:abstractNumId w:val="38"/>
  </w:num>
  <w:num w:numId="20">
    <w:abstractNumId w:val="47"/>
  </w:num>
  <w:num w:numId="21">
    <w:abstractNumId w:val="41"/>
  </w:num>
  <w:num w:numId="22">
    <w:abstractNumId w:val="16"/>
  </w:num>
  <w:num w:numId="23">
    <w:abstractNumId w:val="18"/>
  </w:num>
  <w:num w:numId="24">
    <w:abstractNumId w:val="33"/>
  </w:num>
  <w:num w:numId="25">
    <w:abstractNumId w:val="1"/>
  </w:num>
  <w:num w:numId="26">
    <w:abstractNumId w:val="31"/>
  </w:num>
  <w:num w:numId="27">
    <w:abstractNumId w:val="32"/>
  </w:num>
  <w:num w:numId="28">
    <w:abstractNumId w:val="9"/>
  </w:num>
  <w:num w:numId="29">
    <w:abstractNumId w:val="37"/>
  </w:num>
  <w:num w:numId="30">
    <w:abstractNumId w:val="42"/>
  </w:num>
  <w:num w:numId="31">
    <w:abstractNumId w:val="21"/>
  </w:num>
  <w:num w:numId="32">
    <w:abstractNumId w:val="36"/>
  </w:num>
  <w:num w:numId="33">
    <w:abstractNumId w:val="46"/>
  </w:num>
  <w:num w:numId="34">
    <w:abstractNumId w:val="24"/>
  </w:num>
  <w:num w:numId="35">
    <w:abstractNumId w:val="20"/>
  </w:num>
  <w:num w:numId="36">
    <w:abstractNumId w:val="35"/>
  </w:num>
  <w:num w:numId="37">
    <w:abstractNumId w:val="6"/>
  </w:num>
  <w:num w:numId="38">
    <w:abstractNumId w:val="27"/>
  </w:num>
  <w:num w:numId="39">
    <w:abstractNumId w:val="5"/>
  </w:num>
  <w:num w:numId="40">
    <w:abstractNumId w:val="11"/>
  </w:num>
  <w:num w:numId="41">
    <w:abstractNumId w:val="12"/>
  </w:num>
  <w:num w:numId="42">
    <w:abstractNumId w:val="48"/>
  </w:num>
  <w:num w:numId="43">
    <w:abstractNumId w:val="13"/>
  </w:num>
  <w:num w:numId="44">
    <w:abstractNumId w:val="23"/>
  </w:num>
  <w:num w:numId="45">
    <w:abstractNumId w:val="0"/>
  </w:num>
  <w:num w:numId="46">
    <w:abstractNumId w:val="28"/>
  </w:num>
  <w:num w:numId="47">
    <w:abstractNumId w:val="34"/>
  </w:num>
  <w:num w:numId="48">
    <w:abstractNumId w:val="2"/>
  </w:num>
  <w:num w:numId="4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86B"/>
    <w:rsid w:val="00003579"/>
    <w:rsid w:val="000133C5"/>
    <w:rsid w:val="00013B66"/>
    <w:rsid w:val="00015D3C"/>
    <w:rsid w:val="00020540"/>
    <w:rsid w:val="00021694"/>
    <w:rsid w:val="00022484"/>
    <w:rsid w:val="000266D3"/>
    <w:rsid w:val="000276A4"/>
    <w:rsid w:val="00032524"/>
    <w:rsid w:val="00036EEC"/>
    <w:rsid w:val="00045C7C"/>
    <w:rsid w:val="00046E7F"/>
    <w:rsid w:val="00050101"/>
    <w:rsid w:val="000565CE"/>
    <w:rsid w:val="00056721"/>
    <w:rsid w:val="0006003A"/>
    <w:rsid w:val="00063DCC"/>
    <w:rsid w:val="00070B31"/>
    <w:rsid w:val="000715EA"/>
    <w:rsid w:val="00080D4B"/>
    <w:rsid w:val="000909B8"/>
    <w:rsid w:val="0009269D"/>
    <w:rsid w:val="000A6CC2"/>
    <w:rsid w:val="000B3540"/>
    <w:rsid w:val="000C6CC1"/>
    <w:rsid w:val="000D7745"/>
    <w:rsid w:val="000E5D08"/>
    <w:rsid w:val="000F57A8"/>
    <w:rsid w:val="00102105"/>
    <w:rsid w:val="00112432"/>
    <w:rsid w:val="0011302E"/>
    <w:rsid w:val="00116517"/>
    <w:rsid w:val="001217BA"/>
    <w:rsid w:val="00134A89"/>
    <w:rsid w:val="00155030"/>
    <w:rsid w:val="00155103"/>
    <w:rsid w:val="001815E6"/>
    <w:rsid w:val="001842A1"/>
    <w:rsid w:val="00187C4B"/>
    <w:rsid w:val="001907A8"/>
    <w:rsid w:val="001917DA"/>
    <w:rsid w:val="00192760"/>
    <w:rsid w:val="00195306"/>
    <w:rsid w:val="001B0687"/>
    <w:rsid w:val="001B161C"/>
    <w:rsid w:val="001B1DDC"/>
    <w:rsid w:val="001C46BD"/>
    <w:rsid w:val="001D03E8"/>
    <w:rsid w:val="001D387C"/>
    <w:rsid w:val="001D59D1"/>
    <w:rsid w:val="001D6684"/>
    <w:rsid w:val="001E3B38"/>
    <w:rsid w:val="001E7D86"/>
    <w:rsid w:val="0020376E"/>
    <w:rsid w:val="00212E28"/>
    <w:rsid w:val="002160DC"/>
    <w:rsid w:val="0022055C"/>
    <w:rsid w:val="0022130B"/>
    <w:rsid w:val="00227711"/>
    <w:rsid w:val="0023295B"/>
    <w:rsid w:val="0023622C"/>
    <w:rsid w:val="00236951"/>
    <w:rsid w:val="00246E8C"/>
    <w:rsid w:val="00265E61"/>
    <w:rsid w:val="002717FC"/>
    <w:rsid w:val="00272988"/>
    <w:rsid w:val="0027582F"/>
    <w:rsid w:val="00275BC7"/>
    <w:rsid w:val="00282ADE"/>
    <w:rsid w:val="0029081A"/>
    <w:rsid w:val="0029581F"/>
    <w:rsid w:val="002C366E"/>
    <w:rsid w:val="002C715A"/>
    <w:rsid w:val="002D79FB"/>
    <w:rsid w:val="002F3E8A"/>
    <w:rsid w:val="003011AC"/>
    <w:rsid w:val="003018C2"/>
    <w:rsid w:val="00306325"/>
    <w:rsid w:val="00312E56"/>
    <w:rsid w:val="00315826"/>
    <w:rsid w:val="00321A0F"/>
    <w:rsid w:val="00332888"/>
    <w:rsid w:val="00334BF5"/>
    <w:rsid w:val="003462BF"/>
    <w:rsid w:val="00355314"/>
    <w:rsid w:val="003564E1"/>
    <w:rsid w:val="00357CF2"/>
    <w:rsid w:val="00382A64"/>
    <w:rsid w:val="00394D8C"/>
    <w:rsid w:val="0039578A"/>
    <w:rsid w:val="003A033B"/>
    <w:rsid w:val="003A109A"/>
    <w:rsid w:val="003B2BC7"/>
    <w:rsid w:val="003C2C39"/>
    <w:rsid w:val="003D063F"/>
    <w:rsid w:val="003D4D4E"/>
    <w:rsid w:val="003D6C9E"/>
    <w:rsid w:val="00400314"/>
    <w:rsid w:val="004029AA"/>
    <w:rsid w:val="0040310C"/>
    <w:rsid w:val="0042044F"/>
    <w:rsid w:val="004223D1"/>
    <w:rsid w:val="00433BCA"/>
    <w:rsid w:val="00442CA1"/>
    <w:rsid w:val="00447984"/>
    <w:rsid w:val="0045307B"/>
    <w:rsid w:val="00464A21"/>
    <w:rsid w:val="0046535A"/>
    <w:rsid w:val="004711BD"/>
    <w:rsid w:val="00475E7E"/>
    <w:rsid w:val="00476472"/>
    <w:rsid w:val="00477685"/>
    <w:rsid w:val="00485290"/>
    <w:rsid w:val="00491D25"/>
    <w:rsid w:val="0049275B"/>
    <w:rsid w:val="00494F38"/>
    <w:rsid w:val="004953E3"/>
    <w:rsid w:val="00495E11"/>
    <w:rsid w:val="004973DB"/>
    <w:rsid w:val="004A7CEB"/>
    <w:rsid w:val="004B1AEF"/>
    <w:rsid w:val="004B451A"/>
    <w:rsid w:val="004B6B52"/>
    <w:rsid w:val="004C13DA"/>
    <w:rsid w:val="004C7051"/>
    <w:rsid w:val="004D49DE"/>
    <w:rsid w:val="004E73B3"/>
    <w:rsid w:val="004F74D7"/>
    <w:rsid w:val="00511073"/>
    <w:rsid w:val="00514C03"/>
    <w:rsid w:val="00515DE8"/>
    <w:rsid w:val="005161EB"/>
    <w:rsid w:val="00522280"/>
    <w:rsid w:val="00524C87"/>
    <w:rsid w:val="00525DF5"/>
    <w:rsid w:val="005457C0"/>
    <w:rsid w:val="00546E34"/>
    <w:rsid w:val="00551D03"/>
    <w:rsid w:val="005619AA"/>
    <w:rsid w:val="00567FC0"/>
    <w:rsid w:val="00575D18"/>
    <w:rsid w:val="0058207A"/>
    <w:rsid w:val="00592CE6"/>
    <w:rsid w:val="005A2153"/>
    <w:rsid w:val="005B5A22"/>
    <w:rsid w:val="005B7F1E"/>
    <w:rsid w:val="005C6907"/>
    <w:rsid w:val="005D302D"/>
    <w:rsid w:val="005D494F"/>
    <w:rsid w:val="005D7577"/>
    <w:rsid w:val="005E0CCA"/>
    <w:rsid w:val="00600CBC"/>
    <w:rsid w:val="0060222B"/>
    <w:rsid w:val="00610AD2"/>
    <w:rsid w:val="00623549"/>
    <w:rsid w:val="00623EC6"/>
    <w:rsid w:val="00624F4B"/>
    <w:rsid w:val="00633CC0"/>
    <w:rsid w:val="00634F85"/>
    <w:rsid w:val="0065218F"/>
    <w:rsid w:val="00654314"/>
    <w:rsid w:val="00656C24"/>
    <w:rsid w:val="00660003"/>
    <w:rsid w:val="00665302"/>
    <w:rsid w:val="00667705"/>
    <w:rsid w:val="00672D73"/>
    <w:rsid w:val="0068093E"/>
    <w:rsid w:val="00695D4B"/>
    <w:rsid w:val="006A177F"/>
    <w:rsid w:val="006A47C6"/>
    <w:rsid w:val="006A482D"/>
    <w:rsid w:val="006C32ED"/>
    <w:rsid w:val="006D42B6"/>
    <w:rsid w:val="006D5472"/>
    <w:rsid w:val="00702D7D"/>
    <w:rsid w:val="0070651E"/>
    <w:rsid w:val="00707150"/>
    <w:rsid w:val="00707DC2"/>
    <w:rsid w:val="00715C43"/>
    <w:rsid w:val="00724D44"/>
    <w:rsid w:val="00727AD6"/>
    <w:rsid w:val="00737356"/>
    <w:rsid w:val="00743AC1"/>
    <w:rsid w:val="0075126F"/>
    <w:rsid w:val="00751A42"/>
    <w:rsid w:val="00752919"/>
    <w:rsid w:val="007564C8"/>
    <w:rsid w:val="00757B2A"/>
    <w:rsid w:val="00763E4D"/>
    <w:rsid w:val="00765F4E"/>
    <w:rsid w:val="00766CDD"/>
    <w:rsid w:val="00767BB0"/>
    <w:rsid w:val="00776728"/>
    <w:rsid w:val="00782127"/>
    <w:rsid w:val="00785520"/>
    <w:rsid w:val="00791D54"/>
    <w:rsid w:val="007A045F"/>
    <w:rsid w:val="007A1828"/>
    <w:rsid w:val="007A7C42"/>
    <w:rsid w:val="007B3C69"/>
    <w:rsid w:val="007B499A"/>
    <w:rsid w:val="007C284E"/>
    <w:rsid w:val="007C464B"/>
    <w:rsid w:val="007E40D1"/>
    <w:rsid w:val="007E4D89"/>
    <w:rsid w:val="007E5B78"/>
    <w:rsid w:val="00806044"/>
    <w:rsid w:val="00806557"/>
    <w:rsid w:val="00820FC5"/>
    <w:rsid w:val="0083381E"/>
    <w:rsid w:val="00833F4C"/>
    <w:rsid w:val="00851275"/>
    <w:rsid w:val="00853350"/>
    <w:rsid w:val="00854A38"/>
    <w:rsid w:val="00864D3B"/>
    <w:rsid w:val="00897F49"/>
    <w:rsid w:val="008A4F80"/>
    <w:rsid w:val="008B43F6"/>
    <w:rsid w:val="008C06EE"/>
    <w:rsid w:val="008C4EB1"/>
    <w:rsid w:val="008F7E7F"/>
    <w:rsid w:val="0090234D"/>
    <w:rsid w:val="0092107C"/>
    <w:rsid w:val="00940087"/>
    <w:rsid w:val="009509D8"/>
    <w:rsid w:val="009568CF"/>
    <w:rsid w:val="00970E2C"/>
    <w:rsid w:val="00975C76"/>
    <w:rsid w:val="0098543B"/>
    <w:rsid w:val="00995C48"/>
    <w:rsid w:val="00996B18"/>
    <w:rsid w:val="009C4A11"/>
    <w:rsid w:val="009C5B2F"/>
    <w:rsid w:val="009D2BA0"/>
    <w:rsid w:val="009D55D1"/>
    <w:rsid w:val="009D7594"/>
    <w:rsid w:val="009F163F"/>
    <w:rsid w:val="009F1D5B"/>
    <w:rsid w:val="009F2E18"/>
    <w:rsid w:val="009F2FD1"/>
    <w:rsid w:val="009F68E3"/>
    <w:rsid w:val="00A01266"/>
    <w:rsid w:val="00A076E0"/>
    <w:rsid w:val="00A10FB9"/>
    <w:rsid w:val="00A111B2"/>
    <w:rsid w:val="00A23A1C"/>
    <w:rsid w:val="00A24FB9"/>
    <w:rsid w:val="00A2579E"/>
    <w:rsid w:val="00A308D1"/>
    <w:rsid w:val="00A55F8B"/>
    <w:rsid w:val="00A56F29"/>
    <w:rsid w:val="00A614F6"/>
    <w:rsid w:val="00A67C38"/>
    <w:rsid w:val="00A74D26"/>
    <w:rsid w:val="00A855B2"/>
    <w:rsid w:val="00A90DE7"/>
    <w:rsid w:val="00AA13FB"/>
    <w:rsid w:val="00AA1E6A"/>
    <w:rsid w:val="00AA7AB7"/>
    <w:rsid w:val="00AB105A"/>
    <w:rsid w:val="00AB2900"/>
    <w:rsid w:val="00AB6BE7"/>
    <w:rsid w:val="00AC60E8"/>
    <w:rsid w:val="00AD42C5"/>
    <w:rsid w:val="00AE226F"/>
    <w:rsid w:val="00AF0227"/>
    <w:rsid w:val="00B03DD6"/>
    <w:rsid w:val="00B135AA"/>
    <w:rsid w:val="00B13950"/>
    <w:rsid w:val="00B257E3"/>
    <w:rsid w:val="00B31470"/>
    <w:rsid w:val="00B34A5B"/>
    <w:rsid w:val="00B40674"/>
    <w:rsid w:val="00B41C3C"/>
    <w:rsid w:val="00B42AEA"/>
    <w:rsid w:val="00B43EBA"/>
    <w:rsid w:val="00B51648"/>
    <w:rsid w:val="00B62753"/>
    <w:rsid w:val="00B743F6"/>
    <w:rsid w:val="00B76647"/>
    <w:rsid w:val="00B87B01"/>
    <w:rsid w:val="00B90224"/>
    <w:rsid w:val="00B913C1"/>
    <w:rsid w:val="00B94AF8"/>
    <w:rsid w:val="00BA50C0"/>
    <w:rsid w:val="00BC0871"/>
    <w:rsid w:val="00BC3729"/>
    <w:rsid w:val="00BC672C"/>
    <w:rsid w:val="00BD267B"/>
    <w:rsid w:val="00BE4C98"/>
    <w:rsid w:val="00BE5DE4"/>
    <w:rsid w:val="00BF14C6"/>
    <w:rsid w:val="00BF36C1"/>
    <w:rsid w:val="00C0538C"/>
    <w:rsid w:val="00C058CC"/>
    <w:rsid w:val="00C073E9"/>
    <w:rsid w:val="00C129A3"/>
    <w:rsid w:val="00C1540D"/>
    <w:rsid w:val="00C17A16"/>
    <w:rsid w:val="00C22451"/>
    <w:rsid w:val="00C3141A"/>
    <w:rsid w:val="00C34BAA"/>
    <w:rsid w:val="00C41E3A"/>
    <w:rsid w:val="00C42EDE"/>
    <w:rsid w:val="00C603F9"/>
    <w:rsid w:val="00C66DBE"/>
    <w:rsid w:val="00C7088C"/>
    <w:rsid w:val="00C76A64"/>
    <w:rsid w:val="00C81911"/>
    <w:rsid w:val="00C82A74"/>
    <w:rsid w:val="00C94AA9"/>
    <w:rsid w:val="00C95058"/>
    <w:rsid w:val="00CB04BE"/>
    <w:rsid w:val="00CC4DCD"/>
    <w:rsid w:val="00CD3ED6"/>
    <w:rsid w:val="00CD6B85"/>
    <w:rsid w:val="00CE5329"/>
    <w:rsid w:val="00CF7452"/>
    <w:rsid w:val="00D000B1"/>
    <w:rsid w:val="00D0404D"/>
    <w:rsid w:val="00D122C3"/>
    <w:rsid w:val="00D12A57"/>
    <w:rsid w:val="00D12DE4"/>
    <w:rsid w:val="00D1401E"/>
    <w:rsid w:val="00D2086B"/>
    <w:rsid w:val="00D23AA0"/>
    <w:rsid w:val="00D2593A"/>
    <w:rsid w:val="00D35153"/>
    <w:rsid w:val="00D43B6D"/>
    <w:rsid w:val="00D453AE"/>
    <w:rsid w:val="00D60E3A"/>
    <w:rsid w:val="00D7671F"/>
    <w:rsid w:val="00D76C15"/>
    <w:rsid w:val="00D821D3"/>
    <w:rsid w:val="00D83480"/>
    <w:rsid w:val="00D83F17"/>
    <w:rsid w:val="00D905CB"/>
    <w:rsid w:val="00DB43C4"/>
    <w:rsid w:val="00DB5E7D"/>
    <w:rsid w:val="00DD184C"/>
    <w:rsid w:val="00DE490C"/>
    <w:rsid w:val="00DF0592"/>
    <w:rsid w:val="00DF1CD0"/>
    <w:rsid w:val="00DF1CF4"/>
    <w:rsid w:val="00E01897"/>
    <w:rsid w:val="00E058EB"/>
    <w:rsid w:val="00E1508B"/>
    <w:rsid w:val="00E22C57"/>
    <w:rsid w:val="00E24B7E"/>
    <w:rsid w:val="00E2570A"/>
    <w:rsid w:val="00E27755"/>
    <w:rsid w:val="00E35024"/>
    <w:rsid w:val="00E36CD1"/>
    <w:rsid w:val="00E4130A"/>
    <w:rsid w:val="00E43208"/>
    <w:rsid w:val="00E63A13"/>
    <w:rsid w:val="00E75826"/>
    <w:rsid w:val="00E766C6"/>
    <w:rsid w:val="00E76845"/>
    <w:rsid w:val="00E81F97"/>
    <w:rsid w:val="00EB1933"/>
    <w:rsid w:val="00EB5231"/>
    <w:rsid w:val="00EC2DB1"/>
    <w:rsid w:val="00EC5C7B"/>
    <w:rsid w:val="00ED0590"/>
    <w:rsid w:val="00ED53F4"/>
    <w:rsid w:val="00EF045B"/>
    <w:rsid w:val="00EF19C8"/>
    <w:rsid w:val="00EF6023"/>
    <w:rsid w:val="00EF667A"/>
    <w:rsid w:val="00F01EDF"/>
    <w:rsid w:val="00F04A28"/>
    <w:rsid w:val="00F05860"/>
    <w:rsid w:val="00F15F01"/>
    <w:rsid w:val="00F21A39"/>
    <w:rsid w:val="00F27B2D"/>
    <w:rsid w:val="00F3758F"/>
    <w:rsid w:val="00F411ED"/>
    <w:rsid w:val="00F43488"/>
    <w:rsid w:val="00F5019E"/>
    <w:rsid w:val="00F774F9"/>
    <w:rsid w:val="00F77BC0"/>
    <w:rsid w:val="00F91A1A"/>
    <w:rsid w:val="00F93E23"/>
    <w:rsid w:val="00F97440"/>
    <w:rsid w:val="00FB13E7"/>
    <w:rsid w:val="00FB3C6F"/>
    <w:rsid w:val="00FB4856"/>
    <w:rsid w:val="00FC53CA"/>
    <w:rsid w:val="00FC5A28"/>
    <w:rsid w:val="00FC6FB2"/>
    <w:rsid w:val="00FD6892"/>
    <w:rsid w:val="00FE02F1"/>
    <w:rsid w:val="00FF18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C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2FC"/>
    <w:pPr>
      <w:spacing w:before="240" w:after="240" w:line="480" w:lineRule="auto"/>
      <w:ind w:left="1440" w:right="1440" w:firstLine="720"/>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06D89"/>
    <w:pPr>
      <w:ind w:left="720" w:right="360"/>
    </w:pPr>
  </w:style>
  <w:style w:type="character" w:styleId="CommentReference">
    <w:name w:val="annotation reference"/>
    <w:uiPriority w:val="99"/>
    <w:semiHidden/>
    <w:unhideWhenUsed/>
    <w:rsid w:val="007122FC"/>
    <w:rPr>
      <w:sz w:val="16"/>
      <w:szCs w:val="16"/>
    </w:rPr>
  </w:style>
  <w:style w:type="paragraph" w:styleId="CommentText">
    <w:name w:val="annotation text"/>
    <w:basedOn w:val="Normal"/>
    <w:link w:val="CommentTextChar"/>
    <w:uiPriority w:val="99"/>
    <w:unhideWhenUsed/>
    <w:rsid w:val="007122FC"/>
    <w:rPr>
      <w:sz w:val="20"/>
      <w:szCs w:val="20"/>
    </w:rPr>
  </w:style>
  <w:style w:type="character" w:customStyle="1" w:styleId="CommentTextChar">
    <w:name w:val="Comment Text Char"/>
    <w:link w:val="CommentText"/>
    <w:uiPriority w:val="99"/>
    <w:rsid w:val="007122FC"/>
    <w:rPr>
      <w:rFonts w:ascii="Times New Roman" w:eastAsia="Calibri" w:hAnsi="Times New Roman" w:cs="Times New Roman"/>
      <w:sz w:val="20"/>
      <w:szCs w:val="20"/>
    </w:rPr>
  </w:style>
  <w:style w:type="paragraph" w:styleId="Quote">
    <w:name w:val="Quote"/>
    <w:basedOn w:val="Normal"/>
    <w:next w:val="Normal"/>
    <w:link w:val="QuoteChar"/>
    <w:uiPriority w:val="29"/>
    <w:qFormat/>
    <w:rsid w:val="007122FC"/>
    <w:pPr>
      <w:spacing w:line="240" w:lineRule="auto"/>
      <w:ind w:firstLine="0"/>
    </w:pPr>
    <w:rPr>
      <w:iCs/>
      <w:color w:val="000000"/>
    </w:rPr>
  </w:style>
  <w:style w:type="character" w:customStyle="1" w:styleId="QuoteChar">
    <w:name w:val="Quote Char"/>
    <w:link w:val="Quote"/>
    <w:uiPriority w:val="29"/>
    <w:rsid w:val="007122FC"/>
    <w:rPr>
      <w:rFonts w:ascii="Times New Roman" w:eastAsia="Calibri" w:hAnsi="Times New Roman" w:cs="Times New Roman"/>
      <w:iCs/>
      <w:color w:val="000000"/>
      <w:sz w:val="24"/>
      <w:szCs w:val="24"/>
    </w:rPr>
  </w:style>
  <w:style w:type="paragraph" w:customStyle="1" w:styleId="GaBody">
    <w:name w:val="GaBody"/>
    <w:basedOn w:val="Normal"/>
    <w:link w:val="GaBodyChar"/>
    <w:qFormat/>
    <w:rsid w:val="007122FC"/>
    <w:pPr>
      <w:ind w:left="0" w:right="0" w:firstLine="0"/>
    </w:pPr>
  </w:style>
  <w:style w:type="character" w:customStyle="1" w:styleId="GaBodyChar">
    <w:name w:val="GaBody Char"/>
    <w:link w:val="GaBody"/>
    <w:rsid w:val="007122FC"/>
    <w:rPr>
      <w:rFonts w:ascii="Times New Roman" w:eastAsia="Calibri" w:hAnsi="Times New Roman" w:cs="Times New Roman"/>
      <w:sz w:val="24"/>
      <w:szCs w:val="24"/>
    </w:rPr>
  </w:style>
  <w:style w:type="paragraph" w:styleId="FootnoteText">
    <w:name w:val="footnote text"/>
    <w:basedOn w:val="Normal"/>
    <w:next w:val="NoSpacing"/>
    <w:link w:val="FootnoteTextChar"/>
    <w:uiPriority w:val="99"/>
    <w:unhideWhenUsed/>
    <w:qFormat/>
    <w:rsid w:val="007122FC"/>
    <w:pPr>
      <w:spacing w:before="0" w:after="0" w:line="240" w:lineRule="auto"/>
      <w:ind w:left="0" w:firstLine="0"/>
      <w:jc w:val="left"/>
    </w:pPr>
    <w:rPr>
      <w:sz w:val="20"/>
      <w:szCs w:val="20"/>
    </w:rPr>
  </w:style>
  <w:style w:type="character" w:customStyle="1" w:styleId="FootnoteTextChar">
    <w:name w:val="Footnote Text Char"/>
    <w:link w:val="FootnoteText"/>
    <w:uiPriority w:val="99"/>
    <w:rsid w:val="007122FC"/>
    <w:rPr>
      <w:rFonts w:ascii="Times New Roman" w:eastAsia="Calibri" w:hAnsi="Times New Roman" w:cs="Times New Roman"/>
      <w:sz w:val="20"/>
      <w:szCs w:val="20"/>
    </w:rPr>
  </w:style>
  <w:style w:type="character" w:customStyle="1" w:styleId="ListParagraphChar">
    <w:name w:val="List Paragraph Char"/>
    <w:link w:val="ListParagraph"/>
    <w:uiPriority w:val="34"/>
    <w:rsid w:val="00906D89"/>
    <w:rPr>
      <w:rFonts w:ascii="Times New Roman" w:hAnsi="Times New Roman"/>
      <w:sz w:val="24"/>
      <w:szCs w:val="24"/>
    </w:rPr>
  </w:style>
  <w:style w:type="character" w:styleId="FootnoteReference">
    <w:name w:val="footnote reference"/>
    <w:uiPriority w:val="99"/>
    <w:semiHidden/>
    <w:unhideWhenUsed/>
    <w:rsid w:val="007122FC"/>
    <w:rPr>
      <w:vertAlign w:val="superscript"/>
    </w:rPr>
  </w:style>
  <w:style w:type="paragraph" w:styleId="Footer">
    <w:name w:val="footer"/>
    <w:basedOn w:val="Normal"/>
    <w:link w:val="FooterChar"/>
    <w:uiPriority w:val="99"/>
    <w:unhideWhenUsed/>
    <w:rsid w:val="007122FC"/>
    <w:pPr>
      <w:tabs>
        <w:tab w:val="center" w:pos="4680"/>
        <w:tab w:val="right" w:pos="9360"/>
      </w:tabs>
      <w:spacing w:before="0" w:after="0" w:line="240" w:lineRule="auto"/>
    </w:pPr>
  </w:style>
  <w:style w:type="character" w:customStyle="1" w:styleId="FooterChar">
    <w:name w:val="Footer Char"/>
    <w:link w:val="Footer"/>
    <w:uiPriority w:val="99"/>
    <w:rsid w:val="007122FC"/>
    <w:rPr>
      <w:rFonts w:ascii="Times New Roman" w:eastAsia="Calibri" w:hAnsi="Times New Roman" w:cs="Times New Roman"/>
      <w:sz w:val="24"/>
      <w:szCs w:val="24"/>
    </w:rPr>
  </w:style>
  <w:style w:type="paragraph" w:customStyle="1" w:styleId="H1">
    <w:name w:val="H1"/>
    <w:basedOn w:val="Normal"/>
    <w:link w:val="H1Char"/>
    <w:qFormat/>
    <w:rsid w:val="009F0635"/>
    <w:pPr>
      <w:keepNext/>
      <w:ind w:left="0" w:right="0" w:firstLine="0"/>
    </w:pPr>
    <w:rPr>
      <w:b/>
      <w:bCs/>
      <w:u w:val="single"/>
    </w:rPr>
  </w:style>
  <w:style w:type="paragraph" w:customStyle="1" w:styleId="GASummaryparagraph">
    <w:name w:val="GA Summary paragraph"/>
    <w:basedOn w:val="Normal"/>
    <w:link w:val="GASummaryparagraphChar"/>
    <w:qFormat/>
    <w:rsid w:val="007122FC"/>
    <w:pPr>
      <w:spacing w:before="0" w:after="0"/>
      <w:ind w:left="0" w:right="0" w:firstLine="0"/>
      <w:jc w:val="left"/>
    </w:pPr>
    <w:rPr>
      <w:sz w:val="28"/>
      <w:szCs w:val="28"/>
      <w:lang w:eastAsia="zh-CN"/>
    </w:rPr>
  </w:style>
  <w:style w:type="character" w:customStyle="1" w:styleId="H1Char">
    <w:name w:val="H1 Char"/>
    <w:link w:val="H1"/>
    <w:rsid w:val="009F0635"/>
    <w:rPr>
      <w:rFonts w:ascii="Times New Roman" w:hAnsi="Times New Roman"/>
      <w:b/>
      <w:bCs/>
      <w:sz w:val="24"/>
      <w:szCs w:val="24"/>
      <w:u w:val="single"/>
    </w:rPr>
  </w:style>
  <w:style w:type="character" w:customStyle="1" w:styleId="GASummaryparagraphChar">
    <w:name w:val="GA Summary paragraph Char"/>
    <w:link w:val="GASummaryparagraph"/>
    <w:rsid w:val="007122FC"/>
    <w:rPr>
      <w:rFonts w:ascii="Times New Roman" w:eastAsia="Calibri" w:hAnsi="Times New Roman" w:cs="Times New Roman"/>
      <w:sz w:val="28"/>
      <w:szCs w:val="28"/>
      <w:lang w:eastAsia="zh-CN"/>
    </w:rPr>
  </w:style>
  <w:style w:type="paragraph" w:customStyle="1" w:styleId="GeorgiaBody">
    <w:name w:val="Georgia Body"/>
    <w:basedOn w:val="Normal"/>
    <w:next w:val="Normal"/>
    <w:link w:val="GeorgiaBodyChar"/>
    <w:uiPriority w:val="99"/>
    <w:qFormat/>
    <w:rsid w:val="007122FC"/>
    <w:pPr>
      <w:spacing w:before="0" w:after="0"/>
      <w:ind w:left="720" w:right="0" w:firstLine="0"/>
      <w:jc w:val="left"/>
    </w:pPr>
    <w:rPr>
      <w:szCs w:val="20"/>
      <w:lang w:eastAsia="zh-CN"/>
    </w:rPr>
  </w:style>
  <w:style w:type="character" w:customStyle="1" w:styleId="GeorgiaBodyChar">
    <w:name w:val="Georgia Body Char"/>
    <w:link w:val="GeorgiaBody"/>
    <w:uiPriority w:val="99"/>
    <w:locked/>
    <w:rsid w:val="007122FC"/>
    <w:rPr>
      <w:rFonts w:ascii="Times New Roman" w:eastAsia="Calibri" w:hAnsi="Times New Roman" w:cs="Times New Roman"/>
      <w:sz w:val="24"/>
      <w:szCs w:val="20"/>
      <w:lang w:eastAsia="zh-CN"/>
    </w:rPr>
  </w:style>
  <w:style w:type="paragraph" w:styleId="NoSpacing">
    <w:name w:val="No Spacing"/>
    <w:uiPriority w:val="1"/>
    <w:qFormat/>
    <w:rsid w:val="007122FC"/>
    <w:pPr>
      <w:ind w:left="1440" w:right="1440" w:firstLine="720"/>
      <w:jc w:val="both"/>
    </w:pPr>
    <w:rPr>
      <w:rFonts w:ascii="Times New Roman" w:hAnsi="Times New Roman"/>
      <w:sz w:val="24"/>
      <w:szCs w:val="24"/>
    </w:rPr>
  </w:style>
  <w:style w:type="paragraph" w:styleId="BalloonText">
    <w:name w:val="Balloon Text"/>
    <w:basedOn w:val="Normal"/>
    <w:link w:val="BalloonTextChar"/>
    <w:uiPriority w:val="99"/>
    <w:semiHidden/>
    <w:unhideWhenUsed/>
    <w:rsid w:val="007122FC"/>
    <w:pPr>
      <w:spacing w:before="0" w:after="0" w:line="240" w:lineRule="auto"/>
    </w:pPr>
    <w:rPr>
      <w:rFonts w:ascii="Tahoma" w:hAnsi="Tahoma"/>
      <w:sz w:val="16"/>
      <w:szCs w:val="16"/>
    </w:rPr>
  </w:style>
  <w:style w:type="character" w:customStyle="1" w:styleId="BalloonTextChar">
    <w:name w:val="Balloon Text Char"/>
    <w:link w:val="BalloonText"/>
    <w:uiPriority w:val="99"/>
    <w:semiHidden/>
    <w:rsid w:val="007122FC"/>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0018A9"/>
    <w:pPr>
      <w:spacing w:line="240" w:lineRule="auto"/>
    </w:pPr>
    <w:rPr>
      <w:b/>
      <w:bCs/>
    </w:rPr>
  </w:style>
  <w:style w:type="character" w:customStyle="1" w:styleId="CommentSubjectChar">
    <w:name w:val="Comment Subject Char"/>
    <w:link w:val="CommentSubject"/>
    <w:uiPriority w:val="99"/>
    <w:semiHidden/>
    <w:rsid w:val="000018A9"/>
    <w:rPr>
      <w:rFonts w:ascii="Times New Roman" w:eastAsia="Calibri" w:hAnsi="Times New Roman" w:cs="Times New Roman"/>
      <w:b/>
      <w:bCs/>
      <w:sz w:val="20"/>
      <w:szCs w:val="20"/>
    </w:rPr>
  </w:style>
  <w:style w:type="paragraph" w:styleId="Header">
    <w:name w:val="header"/>
    <w:basedOn w:val="Normal"/>
    <w:link w:val="HeaderChar"/>
    <w:uiPriority w:val="99"/>
    <w:unhideWhenUsed/>
    <w:rsid w:val="006119CB"/>
    <w:pPr>
      <w:tabs>
        <w:tab w:val="center" w:pos="4680"/>
        <w:tab w:val="right" w:pos="9360"/>
      </w:tabs>
      <w:spacing w:before="0" w:after="0" w:line="240" w:lineRule="auto"/>
    </w:pPr>
  </w:style>
  <w:style w:type="character" w:customStyle="1" w:styleId="HeaderChar">
    <w:name w:val="Header Char"/>
    <w:link w:val="Header"/>
    <w:uiPriority w:val="99"/>
    <w:rsid w:val="006119CB"/>
    <w:rPr>
      <w:rFonts w:ascii="Times New Roman" w:hAnsi="Times New Roman"/>
      <w:sz w:val="24"/>
      <w:szCs w:val="24"/>
    </w:rPr>
  </w:style>
  <w:style w:type="paragraph" w:styleId="DocumentMap">
    <w:name w:val="Document Map"/>
    <w:basedOn w:val="Normal"/>
    <w:link w:val="DocumentMapChar"/>
    <w:uiPriority w:val="99"/>
    <w:semiHidden/>
    <w:unhideWhenUsed/>
    <w:rsid w:val="00B809F5"/>
    <w:pPr>
      <w:spacing w:before="0" w:after="0" w:line="240" w:lineRule="auto"/>
    </w:pPr>
    <w:rPr>
      <w:rFonts w:ascii="Tahoma" w:hAnsi="Tahoma"/>
      <w:sz w:val="16"/>
      <w:szCs w:val="16"/>
    </w:rPr>
  </w:style>
  <w:style w:type="character" w:customStyle="1" w:styleId="DocumentMapChar">
    <w:name w:val="Document Map Char"/>
    <w:link w:val="DocumentMap"/>
    <w:uiPriority w:val="99"/>
    <w:semiHidden/>
    <w:rsid w:val="00B809F5"/>
    <w:rPr>
      <w:rFonts w:ascii="Tahoma" w:hAnsi="Tahoma" w:cs="Tahoma"/>
      <w:sz w:val="16"/>
      <w:szCs w:val="16"/>
    </w:rPr>
  </w:style>
  <w:style w:type="character" w:styleId="BookTitle">
    <w:name w:val="Book Title"/>
    <w:uiPriority w:val="33"/>
    <w:qFormat/>
    <w:rsid w:val="007E2BB9"/>
    <w:rPr>
      <w:b/>
      <w:bCs/>
      <w:smallCaps/>
      <w:spacing w:val="5"/>
    </w:rPr>
  </w:style>
  <w:style w:type="paragraph" w:customStyle="1" w:styleId="GA-STF-DR">
    <w:name w:val="GA-STF-DR"/>
    <w:basedOn w:val="PlainText"/>
    <w:qFormat/>
    <w:rsid w:val="006F14B2"/>
    <w:pPr>
      <w:numPr>
        <w:numId w:val="5"/>
      </w:numPr>
      <w:tabs>
        <w:tab w:val="clear" w:pos="1944"/>
      </w:tabs>
      <w:ind w:left="1440" w:firstLine="720"/>
    </w:pPr>
  </w:style>
  <w:style w:type="paragraph" w:customStyle="1" w:styleId="Ga-DR-a">
    <w:name w:val="Ga-DR-a"/>
    <w:basedOn w:val="GA-STF-DR"/>
    <w:link w:val="Ga-DR-aChar"/>
    <w:qFormat/>
    <w:rsid w:val="006F14B2"/>
    <w:pPr>
      <w:numPr>
        <w:ilvl w:val="1"/>
      </w:numPr>
      <w:ind w:right="0"/>
      <w:jc w:val="left"/>
    </w:pPr>
    <w:rPr>
      <w:rFonts w:ascii="Times New Roman" w:hAnsi="Times New Roman"/>
      <w:sz w:val="24"/>
      <w:szCs w:val="24"/>
    </w:rPr>
  </w:style>
  <w:style w:type="character" w:customStyle="1" w:styleId="Ga-DR-aChar">
    <w:name w:val="Ga-DR-a Char"/>
    <w:link w:val="Ga-DR-a"/>
    <w:rsid w:val="006F14B2"/>
    <w:rPr>
      <w:rFonts w:ascii="Times New Roman" w:hAnsi="Times New Roman"/>
      <w:sz w:val="24"/>
      <w:szCs w:val="24"/>
    </w:rPr>
  </w:style>
  <w:style w:type="paragraph" w:styleId="PlainText">
    <w:name w:val="Plain Text"/>
    <w:basedOn w:val="Normal"/>
    <w:link w:val="PlainTextChar"/>
    <w:uiPriority w:val="99"/>
    <w:semiHidden/>
    <w:unhideWhenUsed/>
    <w:rsid w:val="006F14B2"/>
    <w:pPr>
      <w:spacing w:before="0" w:after="0" w:line="240" w:lineRule="auto"/>
    </w:pPr>
    <w:rPr>
      <w:rFonts w:ascii="Consolas" w:hAnsi="Consolas"/>
      <w:sz w:val="21"/>
      <w:szCs w:val="21"/>
    </w:rPr>
  </w:style>
  <w:style w:type="character" w:customStyle="1" w:styleId="PlainTextChar">
    <w:name w:val="Plain Text Char"/>
    <w:link w:val="PlainText"/>
    <w:uiPriority w:val="99"/>
    <w:semiHidden/>
    <w:rsid w:val="006F14B2"/>
    <w:rPr>
      <w:rFonts w:ascii="Consolas" w:hAnsi="Consolas" w:cs="Consolas"/>
      <w:sz w:val="21"/>
      <w:szCs w:val="21"/>
    </w:rPr>
  </w:style>
  <w:style w:type="character" w:customStyle="1" w:styleId="zzmpTrailerItem">
    <w:name w:val="zzmpTrailerItem"/>
    <w:basedOn w:val="DefaultParagraphFont"/>
    <w:rsid w:val="004151B0"/>
    <w:rPr>
      <w:rFonts w:ascii="Times New Roman" w:hAnsi="Times New Roman" w:cs="Times New Roman"/>
      <w:dstrike w:val="0"/>
      <w:noProof/>
      <w:color w:val="auto"/>
      <w:spacing w:val="0"/>
      <w:position w:val="0"/>
      <w:sz w:val="16"/>
      <w:szCs w:val="16"/>
      <w:u w:val="none"/>
      <w:effect w:val="none"/>
      <w:vertAlign w:val="baseline"/>
    </w:rPr>
  </w:style>
  <w:style w:type="paragraph" w:styleId="Revision">
    <w:name w:val="Revision"/>
    <w:hidden/>
    <w:uiPriority w:val="99"/>
    <w:semiHidden/>
    <w:rsid w:val="008F5218"/>
    <w:rPr>
      <w:rFonts w:ascii="Times New Roman" w:hAnsi="Times New Roman"/>
      <w:sz w:val="24"/>
      <w:szCs w:val="24"/>
    </w:rPr>
  </w:style>
  <w:style w:type="table" w:styleId="TableGrid">
    <w:name w:val="Table Grid"/>
    <w:basedOn w:val="TableNormal"/>
    <w:uiPriority w:val="59"/>
    <w:rsid w:val="003169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861293090msonormal">
    <w:name w:val="yiv2861293090msonormal"/>
    <w:basedOn w:val="Normal"/>
    <w:rsid w:val="00C7282C"/>
    <w:pPr>
      <w:spacing w:before="100" w:beforeAutospacing="1" w:after="100" w:afterAutospacing="1" w:line="240" w:lineRule="auto"/>
      <w:ind w:left="0" w:right="0" w:firstLine="0"/>
      <w:jc w:val="left"/>
    </w:pPr>
    <w:rPr>
      <w:rFonts w:eastAsia="Times New Roman"/>
    </w:rPr>
  </w:style>
  <w:style w:type="character" w:styleId="Hyperlink">
    <w:name w:val="Hyperlink"/>
    <w:basedOn w:val="DefaultParagraphFont"/>
    <w:uiPriority w:val="99"/>
    <w:semiHidden/>
    <w:unhideWhenUsed/>
    <w:rsid w:val="00C7282C"/>
    <w:rPr>
      <w:color w:val="0000FF"/>
      <w:u w:val="single"/>
    </w:rPr>
  </w:style>
  <w:style w:type="paragraph" w:customStyle="1" w:styleId="xmsonormal">
    <w:name w:val="x_msonormal"/>
    <w:basedOn w:val="Normal"/>
    <w:rsid w:val="00D2086B"/>
    <w:pPr>
      <w:spacing w:before="0" w:after="0" w:line="240" w:lineRule="auto"/>
      <w:ind w:left="0" w:right="0" w:firstLine="0"/>
      <w:jc w:val="left"/>
    </w:pPr>
    <w:rPr>
      <w:rFonts w:ascii="Calibri" w:eastAsiaTheme="minorHAnsi" w:hAnsi="Calibri" w:cs="Calibri"/>
      <w:sz w:val="22"/>
      <w:szCs w:val="22"/>
    </w:rPr>
  </w:style>
  <w:style w:type="paragraph" w:customStyle="1" w:styleId="xmsolistparagraph">
    <w:name w:val="x_msolistparagraph"/>
    <w:basedOn w:val="Normal"/>
    <w:rsid w:val="00D2086B"/>
    <w:pPr>
      <w:spacing w:before="0" w:after="0" w:line="240" w:lineRule="auto"/>
      <w:ind w:left="720" w:right="0" w:firstLine="0"/>
      <w:jc w:val="left"/>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18" Type="http://schemas.openxmlformats.org/officeDocument/2006/relationships/image" Target="media/image10.emf"/><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2C0F8-5AA0-4085-A399-6EB1E78E2F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6548</Words>
  <Characters>37327</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2022-07-14T16:27:00Z</dcterms:created>
  <dcterms:modified xsi:type="dcterms:W3CDTF">2022-07-14T16:27:00Z</dcterms:modified>
</cp:coreProperties>
</file>