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A19A0" w14:textId="443FE990" w:rsidR="003A563C" w:rsidRPr="00E651D1" w:rsidRDefault="003A563C" w:rsidP="00713485">
      <w:pPr>
        <w:pStyle w:val="Heading1"/>
        <w:jc w:val="both"/>
        <w:rPr>
          <w:rFonts w:ascii="Times New Roman" w:hAnsi="Times New Roman"/>
          <w:sz w:val="23"/>
          <w:szCs w:val="23"/>
        </w:rPr>
      </w:pPr>
      <w:r w:rsidRPr="00E651D1">
        <w:rPr>
          <w:rFonts w:ascii="Times New Roman" w:hAnsi="Times New Roman"/>
          <w:sz w:val="23"/>
          <w:szCs w:val="23"/>
        </w:rPr>
        <w:t xml:space="preserve">FOOTNOTE </w:t>
      </w:r>
      <w:r w:rsidR="00374B11" w:rsidRPr="00E651D1">
        <w:rPr>
          <w:rFonts w:ascii="Times New Roman" w:hAnsi="Times New Roman"/>
          <w:sz w:val="23"/>
          <w:szCs w:val="23"/>
        </w:rPr>
        <w:t>T</w:t>
      </w:r>
      <w:r w:rsidRPr="00E651D1">
        <w:rPr>
          <w:rFonts w:ascii="Times New Roman" w:hAnsi="Times New Roman"/>
          <w:sz w:val="23"/>
          <w:szCs w:val="23"/>
        </w:rPr>
        <w:t>/</w:t>
      </w:r>
      <w:r w:rsidR="002513D1" w:rsidRPr="00E651D1">
        <w:rPr>
          <w:rFonts w:ascii="Times New Roman" w:hAnsi="Times New Roman"/>
          <w:sz w:val="23"/>
          <w:szCs w:val="23"/>
          <w:u w:val="none"/>
        </w:rPr>
        <w:tab/>
      </w:r>
      <w:r w:rsidRPr="00E651D1">
        <w:rPr>
          <w:rFonts w:ascii="Times New Roman" w:hAnsi="Times New Roman"/>
          <w:sz w:val="23"/>
          <w:szCs w:val="23"/>
        </w:rPr>
        <w:t xml:space="preserve">$ </w:t>
      </w:r>
      <w:r w:rsidR="00A352A3">
        <w:rPr>
          <w:rFonts w:ascii="Times New Roman" w:hAnsi="Times New Roman"/>
          <w:sz w:val="23"/>
          <w:szCs w:val="23"/>
        </w:rPr>
        <w:t>327,276</w:t>
      </w:r>
      <w:r w:rsidRPr="00E651D1">
        <w:rPr>
          <w:rFonts w:ascii="Times New Roman" w:hAnsi="Times New Roman"/>
          <w:sz w:val="23"/>
          <w:szCs w:val="23"/>
          <w:u w:val="none"/>
        </w:rPr>
        <w:t xml:space="preserve"> </w:t>
      </w:r>
      <w:r w:rsidRPr="00E651D1">
        <w:rPr>
          <w:rFonts w:ascii="Times New Roman" w:hAnsi="Times New Roman"/>
          <w:sz w:val="23"/>
          <w:szCs w:val="23"/>
          <w:u w:val="none"/>
        </w:rPr>
        <w:tab/>
        <w:t>Depreciation</w:t>
      </w:r>
      <w:r w:rsidR="005B6A96" w:rsidRPr="00E651D1">
        <w:rPr>
          <w:rFonts w:ascii="Times New Roman" w:hAnsi="Times New Roman"/>
          <w:sz w:val="23"/>
          <w:szCs w:val="23"/>
          <w:u w:val="none"/>
        </w:rPr>
        <w:t xml:space="preserve"> and Amortization</w:t>
      </w:r>
      <w:r w:rsidRPr="00E651D1">
        <w:rPr>
          <w:rFonts w:ascii="Times New Roman" w:hAnsi="Times New Roman"/>
          <w:sz w:val="23"/>
          <w:szCs w:val="23"/>
          <w:u w:val="none"/>
        </w:rPr>
        <w:t xml:space="preserve"> Expense</w:t>
      </w:r>
    </w:p>
    <w:p w14:paraId="2455CF44" w14:textId="77777777" w:rsidR="00345BB7" w:rsidRPr="00E651D1" w:rsidRDefault="00345BB7" w:rsidP="00713485">
      <w:pPr>
        <w:jc w:val="both"/>
        <w:rPr>
          <w:sz w:val="23"/>
          <w:szCs w:val="23"/>
        </w:rPr>
      </w:pPr>
    </w:p>
    <w:p w14:paraId="5C8687B7" w14:textId="0982C605" w:rsidR="00723E15" w:rsidRDefault="00723E15" w:rsidP="00723E15">
      <w:pPr>
        <w:jc w:val="both"/>
        <w:rPr>
          <w:sz w:val="23"/>
          <w:szCs w:val="23"/>
        </w:rPr>
      </w:pPr>
      <w:r w:rsidRPr="006A0EC5">
        <w:rPr>
          <w:sz w:val="23"/>
          <w:szCs w:val="23"/>
        </w:rPr>
        <w:t xml:space="preserve">The increase is primarily due to the increase in depreciable plant balance in electric plant in service as identified in FOOTNOTE AH/ as well as proposed changes in depreciation rates </w:t>
      </w:r>
      <w:r w:rsidR="00576B1C">
        <w:rPr>
          <w:sz w:val="23"/>
          <w:szCs w:val="23"/>
        </w:rPr>
        <w:t>and ARO recovery r</w:t>
      </w:r>
      <w:r w:rsidRPr="006A0EC5">
        <w:rPr>
          <w:sz w:val="23"/>
          <w:szCs w:val="23"/>
        </w:rPr>
        <w:t>eflected in the Company’s budget beginning January 2023.</w:t>
      </w:r>
    </w:p>
    <w:p w14:paraId="2D37F150" w14:textId="77777777" w:rsidR="00115351" w:rsidRPr="00E47543" w:rsidRDefault="00115351" w:rsidP="00713485">
      <w:pPr>
        <w:jc w:val="both"/>
        <w:rPr>
          <w:sz w:val="23"/>
          <w:szCs w:val="23"/>
          <w:u w:val="single"/>
        </w:rPr>
      </w:pPr>
    </w:p>
    <w:p w14:paraId="56314AE0" w14:textId="41A6BCDA" w:rsidR="00AA7FF9" w:rsidRPr="007F5452" w:rsidRDefault="00AA7FF9" w:rsidP="00713485">
      <w:pPr>
        <w:jc w:val="both"/>
        <w:rPr>
          <w:color w:val="FF0000"/>
          <w:sz w:val="23"/>
          <w:szCs w:val="23"/>
        </w:rPr>
      </w:pPr>
      <w:bookmarkStart w:id="0" w:name="_Hlk9688820"/>
      <w:r w:rsidRPr="0089221E">
        <w:rPr>
          <w:sz w:val="23"/>
          <w:szCs w:val="23"/>
          <w:u w:val="single"/>
        </w:rPr>
        <w:t xml:space="preserve">FOOTNOTE </w:t>
      </w:r>
      <w:r w:rsidR="00374B11" w:rsidRPr="0089221E">
        <w:rPr>
          <w:sz w:val="23"/>
          <w:szCs w:val="23"/>
          <w:u w:val="single"/>
        </w:rPr>
        <w:t>U</w:t>
      </w:r>
      <w:r w:rsidRPr="0089221E">
        <w:rPr>
          <w:sz w:val="23"/>
          <w:szCs w:val="23"/>
          <w:u w:val="single"/>
        </w:rPr>
        <w:t>/</w:t>
      </w:r>
      <w:r w:rsidR="002513D1" w:rsidRPr="0089221E">
        <w:rPr>
          <w:sz w:val="23"/>
          <w:szCs w:val="23"/>
        </w:rPr>
        <w:tab/>
      </w:r>
      <w:r w:rsidR="008864BC" w:rsidRPr="0089221E">
        <w:rPr>
          <w:sz w:val="23"/>
          <w:szCs w:val="23"/>
          <w:u w:val="single"/>
        </w:rPr>
        <w:t>$(</w:t>
      </w:r>
      <w:r w:rsidR="00A352A3">
        <w:rPr>
          <w:sz w:val="23"/>
          <w:szCs w:val="23"/>
          <w:u w:val="single"/>
        </w:rPr>
        <w:t>248</w:t>
      </w:r>
      <w:r w:rsidR="008864BC" w:rsidRPr="0089221E">
        <w:rPr>
          <w:sz w:val="23"/>
          <w:szCs w:val="23"/>
          <w:u w:val="single"/>
        </w:rPr>
        <w:t>)</w:t>
      </w:r>
      <w:r w:rsidR="00F84D56" w:rsidRPr="0089221E">
        <w:rPr>
          <w:sz w:val="23"/>
          <w:szCs w:val="23"/>
        </w:rPr>
        <w:tab/>
      </w:r>
      <w:r w:rsidR="008864BC" w:rsidRPr="0089221E">
        <w:rPr>
          <w:sz w:val="23"/>
          <w:szCs w:val="23"/>
        </w:rPr>
        <w:tab/>
      </w:r>
      <w:r w:rsidRPr="0089221E">
        <w:rPr>
          <w:sz w:val="23"/>
          <w:szCs w:val="23"/>
        </w:rPr>
        <w:t>Nuclear Decommissioning Expense</w:t>
      </w:r>
    </w:p>
    <w:p w14:paraId="3C1251C9" w14:textId="77777777" w:rsidR="00AA7FF9" w:rsidRPr="007F5452" w:rsidRDefault="00AA7FF9" w:rsidP="00713485">
      <w:pPr>
        <w:jc w:val="both"/>
        <w:rPr>
          <w:sz w:val="23"/>
          <w:szCs w:val="23"/>
        </w:rPr>
      </w:pPr>
    </w:p>
    <w:p w14:paraId="25D860C4" w14:textId="526F9BC5" w:rsidR="00AA7FF9" w:rsidRPr="00E47543" w:rsidRDefault="00BC6044" w:rsidP="00713485">
      <w:pPr>
        <w:jc w:val="both"/>
        <w:rPr>
          <w:sz w:val="23"/>
          <w:szCs w:val="23"/>
          <w:u w:val="single"/>
        </w:rPr>
      </w:pPr>
      <w:r w:rsidRPr="00C73762">
        <w:rPr>
          <w:sz w:val="23"/>
          <w:szCs w:val="23"/>
        </w:rPr>
        <w:t>Th</w:t>
      </w:r>
      <w:r w:rsidR="0033632C" w:rsidRPr="00C73762">
        <w:rPr>
          <w:sz w:val="23"/>
          <w:szCs w:val="23"/>
        </w:rPr>
        <w:t xml:space="preserve">e </w:t>
      </w:r>
      <w:r w:rsidR="00AC42BB" w:rsidRPr="00C73762">
        <w:rPr>
          <w:sz w:val="23"/>
          <w:szCs w:val="23"/>
        </w:rPr>
        <w:t>decrease</w:t>
      </w:r>
      <w:r w:rsidR="002513D1" w:rsidRPr="00C73762">
        <w:rPr>
          <w:sz w:val="23"/>
          <w:szCs w:val="23"/>
        </w:rPr>
        <w:t xml:space="preserve"> reflects a</w:t>
      </w:r>
      <w:r w:rsidR="00AC42BB" w:rsidRPr="00C73762">
        <w:rPr>
          <w:sz w:val="23"/>
          <w:szCs w:val="23"/>
        </w:rPr>
        <w:t xml:space="preserve"> </w:t>
      </w:r>
      <w:r w:rsidR="00576B1C">
        <w:rPr>
          <w:sz w:val="23"/>
          <w:szCs w:val="23"/>
        </w:rPr>
        <w:t>reduction</w:t>
      </w:r>
      <w:r w:rsidR="002513D1" w:rsidRPr="00C73762">
        <w:rPr>
          <w:sz w:val="23"/>
          <w:szCs w:val="23"/>
        </w:rPr>
        <w:t xml:space="preserve"> in the nuclear decom</w:t>
      </w:r>
      <w:r w:rsidR="00AC42BB" w:rsidRPr="00C73762">
        <w:rPr>
          <w:sz w:val="23"/>
          <w:szCs w:val="23"/>
        </w:rPr>
        <w:t>missioning</w:t>
      </w:r>
      <w:r w:rsidR="002513D1" w:rsidRPr="00C73762">
        <w:rPr>
          <w:sz w:val="23"/>
          <w:szCs w:val="23"/>
        </w:rPr>
        <w:t xml:space="preserve"> accrual beginning January 20</w:t>
      </w:r>
      <w:r w:rsidR="0078031A" w:rsidRPr="00C73762">
        <w:rPr>
          <w:sz w:val="23"/>
          <w:szCs w:val="23"/>
        </w:rPr>
        <w:t>2</w:t>
      </w:r>
      <w:r w:rsidR="00BE3876" w:rsidRPr="00C73762">
        <w:rPr>
          <w:sz w:val="23"/>
          <w:szCs w:val="23"/>
        </w:rPr>
        <w:t>3</w:t>
      </w:r>
      <w:r w:rsidR="002513D1" w:rsidRPr="00C73762">
        <w:rPr>
          <w:sz w:val="23"/>
          <w:szCs w:val="23"/>
        </w:rPr>
        <w:t xml:space="preserve"> </w:t>
      </w:r>
      <w:r w:rsidR="00576B1C">
        <w:rPr>
          <w:sz w:val="23"/>
          <w:szCs w:val="23"/>
        </w:rPr>
        <w:t>for existing nuclear units, partially offset by the nuclear decommissioning accrual for Vogtle Unit 3 beginning in 2023</w:t>
      </w:r>
      <w:r w:rsidR="00FD594F">
        <w:rPr>
          <w:sz w:val="23"/>
          <w:szCs w:val="23"/>
        </w:rPr>
        <w:t xml:space="preserve"> which is </w:t>
      </w:r>
      <w:r w:rsidR="00197A8F">
        <w:rPr>
          <w:sz w:val="23"/>
          <w:szCs w:val="23"/>
        </w:rPr>
        <w:t>removed</w:t>
      </w:r>
      <w:r w:rsidR="00FD594F">
        <w:rPr>
          <w:sz w:val="23"/>
          <w:szCs w:val="23"/>
        </w:rPr>
        <w:t xml:space="preserve"> in FOOTNOTE BQ/</w:t>
      </w:r>
      <w:r w:rsidR="00576B1C">
        <w:rPr>
          <w:sz w:val="23"/>
          <w:szCs w:val="23"/>
        </w:rPr>
        <w:t>.</w:t>
      </w:r>
      <w:r w:rsidR="00AA7FF9" w:rsidRPr="00E47543">
        <w:rPr>
          <w:sz w:val="23"/>
          <w:szCs w:val="23"/>
        </w:rPr>
        <w:t xml:space="preserve"> </w:t>
      </w:r>
    </w:p>
    <w:bookmarkEnd w:id="0"/>
    <w:p w14:paraId="79050362" w14:textId="77777777" w:rsidR="00AA7FF9" w:rsidRPr="00E47543" w:rsidRDefault="00AA7FF9" w:rsidP="00713485">
      <w:pPr>
        <w:jc w:val="both"/>
        <w:rPr>
          <w:sz w:val="23"/>
          <w:szCs w:val="23"/>
          <w:u w:val="single"/>
        </w:rPr>
      </w:pPr>
    </w:p>
    <w:p w14:paraId="505FD20B" w14:textId="6A2434D7" w:rsidR="002513D1" w:rsidRPr="00E651D1" w:rsidRDefault="002513D1" w:rsidP="00713485">
      <w:pPr>
        <w:jc w:val="both"/>
        <w:rPr>
          <w:sz w:val="23"/>
          <w:szCs w:val="23"/>
        </w:rPr>
      </w:pPr>
      <w:r w:rsidRPr="00E651D1">
        <w:rPr>
          <w:sz w:val="23"/>
          <w:szCs w:val="23"/>
          <w:u w:val="single"/>
        </w:rPr>
        <w:t xml:space="preserve">FOOTNOTE </w:t>
      </w:r>
      <w:r w:rsidR="00374B11" w:rsidRPr="00E651D1">
        <w:rPr>
          <w:sz w:val="23"/>
          <w:szCs w:val="23"/>
          <w:u w:val="single"/>
        </w:rPr>
        <w:t>V</w:t>
      </w:r>
      <w:r w:rsidRPr="00E651D1">
        <w:rPr>
          <w:sz w:val="23"/>
          <w:szCs w:val="23"/>
          <w:u w:val="single"/>
        </w:rPr>
        <w:t>/</w:t>
      </w:r>
      <w:r w:rsidRPr="00E651D1">
        <w:rPr>
          <w:sz w:val="23"/>
          <w:szCs w:val="23"/>
        </w:rPr>
        <w:tab/>
      </w:r>
      <w:r w:rsidRPr="00E651D1">
        <w:rPr>
          <w:sz w:val="23"/>
          <w:szCs w:val="23"/>
          <w:u w:val="single"/>
        </w:rPr>
        <w:t>$</w:t>
      </w:r>
      <w:r w:rsidR="00A352A3">
        <w:rPr>
          <w:sz w:val="23"/>
          <w:szCs w:val="23"/>
          <w:u w:val="single"/>
        </w:rPr>
        <w:t>(3,126)</w:t>
      </w:r>
      <w:r w:rsidRPr="00E651D1">
        <w:rPr>
          <w:sz w:val="23"/>
          <w:szCs w:val="23"/>
        </w:rPr>
        <w:tab/>
        <w:t>Amortization of Investment Tax Credits</w:t>
      </w:r>
      <w:r w:rsidR="0033632C">
        <w:rPr>
          <w:sz w:val="23"/>
          <w:szCs w:val="23"/>
        </w:rPr>
        <w:t xml:space="preserve"> (ITCs)</w:t>
      </w:r>
    </w:p>
    <w:p w14:paraId="0709CB30" w14:textId="77777777" w:rsidR="002513D1" w:rsidRPr="00E651D1" w:rsidRDefault="002513D1" w:rsidP="00713485">
      <w:pPr>
        <w:jc w:val="both"/>
        <w:rPr>
          <w:sz w:val="23"/>
          <w:szCs w:val="23"/>
        </w:rPr>
      </w:pPr>
    </w:p>
    <w:p w14:paraId="1C2475EF" w14:textId="22E1544A" w:rsidR="002513D1" w:rsidRPr="00E651D1" w:rsidRDefault="00DF40A7" w:rsidP="00713485">
      <w:pPr>
        <w:jc w:val="both"/>
        <w:rPr>
          <w:sz w:val="23"/>
          <w:szCs w:val="23"/>
        </w:rPr>
      </w:pPr>
      <w:r w:rsidRPr="00004F60">
        <w:rPr>
          <w:sz w:val="23"/>
          <w:szCs w:val="23"/>
        </w:rPr>
        <w:t xml:space="preserve">The increase </w:t>
      </w:r>
      <w:r w:rsidR="00FD594F">
        <w:rPr>
          <w:sz w:val="23"/>
          <w:szCs w:val="23"/>
        </w:rPr>
        <w:t xml:space="preserve">in credits </w:t>
      </w:r>
      <w:r w:rsidRPr="00004F60">
        <w:rPr>
          <w:sz w:val="23"/>
          <w:szCs w:val="23"/>
        </w:rPr>
        <w:t xml:space="preserve">is primarily due to the utilization of </w:t>
      </w:r>
      <w:r>
        <w:rPr>
          <w:sz w:val="23"/>
          <w:szCs w:val="23"/>
        </w:rPr>
        <w:t xml:space="preserve">additional </w:t>
      </w:r>
      <w:r w:rsidRPr="00004F60">
        <w:rPr>
          <w:sz w:val="23"/>
          <w:szCs w:val="23"/>
        </w:rPr>
        <w:t>federal investment tax credits carried forward from prior periods and changes in the average service lives used for amortization of investment tax credits.</w:t>
      </w:r>
    </w:p>
    <w:p w14:paraId="5B6920EC" w14:textId="77777777" w:rsidR="00AB7618" w:rsidRPr="00E651D1" w:rsidRDefault="00AB7618" w:rsidP="00713485">
      <w:pPr>
        <w:jc w:val="both"/>
        <w:rPr>
          <w:sz w:val="23"/>
          <w:szCs w:val="23"/>
        </w:rPr>
      </w:pPr>
    </w:p>
    <w:p w14:paraId="6B20EE93" w14:textId="0A0BF99F" w:rsidR="00AB7618" w:rsidRPr="00E651D1" w:rsidRDefault="00AB7618" w:rsidP="00713485">
      <w:pPr>
        <w:jc w:val="both"/>
        <w:rPr>
          <w:sz w:val="23"/>
          <w:szCs w:val="23"/>
        </w:rPr>
      </w:pPr>
      <w:r w:rsidRPr="00E651D1">
        <w:rPr>
          <w:sz w:val="23"/>
          <w:szCs w:val="23"/>
          <w:u w:val="single"/>
        </w:rPr>
        <w:t xml:space="preserve">FOOTNOTE </w:t>
      </w:r>
      <w:r w:rsidR="00790F3E">
        <w:rPr>
          <w:sz w:val="23"/>
          <w:szCs w:val="23"/>
          <w:u w:val="single"/>
        </w:rPr>
        <w:t>W</w:t>
      </w:r>
      <w:r w:rsidRPr="00E651D1">
        <w:rPr>
          <w:sz w:val="23"/>
          <w:szCs w:val="23"/>
          <w:u w:val="single"/>
        </w:rPr>
        <w:t>/</w:t>
      </w:r>
      <w:r w:rsidRPr="00E651D1">
        <w:rPr>
          <w:sz w:val="23"/>
          <w:szCs w:val="23"/>
        </w:rPr>
        <w:tab/>
      </w:r>
      <w:r w:rsidRPr="00E651D1">
        <w:rPr>
          <w:sz w:val="23"/>
          <w:szCs w:val="23"/>
          <w:u w:val="single"/>
        </w:rPr>
        <w:t xml:space="preserve">$ </w:t>
      </w:r>
      <w:r w:rsidR="00790F3E">
        <w:rPr>
          <w:sz w:val="23"/>
          <w:szCs w:val="23"/>
          <w:u w:val="single"/>
        </w:rPr>
        <w:t>735</w:t>
      </w:r>
      <w:r w:rsidRPr="00E651D1">
        <w:rPr>
          <w:sz w:val="23"/>
          <w:szCs w:val="23"/>
        </w:rPr>
        <w:tab/>
      </w:r>
      <w:r w:rsidR="00790F3E">
        <w:rPr>
          <w:sz w:val="23"/>
          <w:szCs w:val="23"/>
        </w:rPr>
        <w:tab/>
      </w:r>
      <w:r w:rsidRPr="00E651D1">
        <w:rPr>
          <w:sz w:val="23"/>
          <w:szCs w:val="23"/>
        </w:rPr>
        <w:t xml:space="preserve">Amortization of </w:t>
      </w:r>
      <w:r w:rsidR="007C4339">
        <w:rPr>
          <w:sz w:val="23"/>
          <w:szCs w:val="23"/>
        </w:rPr>
        <w:t>State Tax Reform Refunds</w:t>
      </w:r>
    </w:p>
    <w:p w14:paraId="696D6C5E" w14:textId="77777777" w:rsidR="00AB7618" w:rsidRPr="00E651D1" w:rsidRDefault="00AB7618" w:rsidP="00713485">
      <w:pPr>
        <w:jc w:val="both"/>
        <w:rPr>
          <w:sz w:val="23"/>
          <w:szCs w:val="23"/>
        </w:rPr>
      </w:pPr>
    </w:p>
    <w:p w14:paraId="25E352CD" w14:textId="4A0AF113" w:rsidR="00AB7618" w:rsidRPr="00E651D1" w:rsidRDefault="003161E2" w:rsidP="00713485">
      <w:pPr>
        <w:jc w:val="both"/>
        <w:rPr>
          <w:sz w:val="23"/>
          <w:szCs w:val="23"/>
          <w:u w:val="single"/>
        </w:rPr>
      </w:pPr>
      <w:r w:rsidRPr="00CB5CB1">
        <w:rPr>
          <w:sz w:val="23"/>
          <w:szCs w:val="23"/>
        </w:rPr>
        <w:t>Th</w:t>
      </w:r>
      <w:r w:rsidR="003A641A" w:rsidRPr="00CB5CB1">
        <w:rPr>
          <w:sz w:val="23"/>
          <w:szCs w:val="23"/>
        </w:rPr>
        <w:t xml:space="preserve">e </w:t>
      </w:r>
      <w:r w:rsidR="0010535A">
        <w:rPr>
          <w:sz w:val="23"/>
          <w:szCs w:val="23"/>
        </w:rPr>
        <w:t>de</w:t>
      </w:r>
      <w:r w:rsidRPr="00CB5CB1">
        <w:rPr>
          <w:sz w:val="23"/>
          <w:szCs w:val="23"/>
        </w:rPr>
        <w:t xml:space="preserve">crease </w:t>
      </w:r>
      <w:r w:rsidR="00FD594F">
        <w:rPr>
          <w:sz w:val="23"/>
          <w:szCs w:val="23"/>
        </w:rPr>
        <w:t xml:space="preserve">in credits </w:t>
      </w:r>
      <w:r w:rsidRPr="00CB5CB1">
        <w:rPr>
          <w:sz w:val="23"/>
          <w:szCs w:val="23"/>
        </w:rPr>
        <w:t>reflects</w:t>
      </w:r>
      <w:r w:rsidR="003A641A" w:rsidRPr="00CB5CB1">
        <w:rPr>
          <w:sz w:val="23"/>
          <w:szCs w:val="23"/>
        </w:rPr>
        <w:t xml:space="preserve"> </w:t>
      </w:r>
      <w:r w:rsidR="007B5F77">
        <w:rPr>
          <w:sz w:val="23"/>
          <w:szCs w:val="23"/>
        </w:rPr>
        <w:t xml:space="preserve">the </w:t>
      </w:r>
      <w:r w:rsidR="00BD11FE">
        <w:rPr>
          <w:sz w:val="23"/>
          <w:szCs w:val="23"/>
        </w:rPr>
        <w:t xml:space="preserve">completion of the </w:t>
      </w:r>
      <w:r w:rsidR="003A641A" w:rsidRPr="00CB5CB1">
        <w:rPr>
          <w:sz w:val="23"/>
          <w:szCs w:val="23"/>
        </w:rPr>
        <w:t xml:space="preserve">amortization </w:t>
      </w:r>
      <w:r w:rsidR="002222FD">
        <w:rPr>
          <w:sz w:val="23"/>
          <w:szCs w:val="23"/>
        </w:rPr>
        <w:t>in</w:t>
      </w:r>
      <w:r w:rsidR="00BD11FE">
        <w:rPr>
          <w:sz w:val="23"/>
          <w:szCs w:val="23"/>
        </w:rPr>
        <w:t xml:space="preserve"> December 2022 </w:t>
      </w:r>
      <w:r w:rsidR="003A641A" w:rsidRPr="00CB5CB1">
        <w:rPr>
          <w:sz w:val="23"/>
          <w:szCs w:val="23"/>
        </w:rPr>
        <w:t xml:space="preserve">of the </w:t>
      </w:r>
      <w:r w:rsidR="00EC117B" w:rsidRPr="00CB5CB1">
        <w:rPr>
          <w:sz w:val="23"/>
          <w:szCs w:val="23"/>
        </w:rPr>
        <w:t>regulatory liability</w:t>
      </w:r>
      <w:r w:rsidR="003A641A" w:rsidRPr="00CB5CB1">
        <w:rPr>
          <w:sz w:val="23"/>
          <w:szCs w:val="23"/>
        </w:rPr>
        <w:t xml:space="preserve"> resulting from the reduction in Georgia state income tax rate, as </w:t>
      </w:r>
      <w:r w:rsidR="0010535A">
        <w:rPr>
          <w:sz w:val="23"/>
          <w:szCs w:val="23"/>
        </w:rPr>
        <w:t>approved</w:t>
      </w:r>
      <w:r w:rsidR="003A641A" w:rsidRPr="00CB5CB1">
        <w:rPr>
          <w:sz w:val="23"/>
          <w:szCs w:val="23"/>
        </w:rPr>
        <w:t xml:space="preserve"> by the Commission in </w:t>
      </w:r>
      <w:r w:rsidR="0010535A">
        <w:rPr>
          <w:sz w:val="23"/>
          <w:szCs w:val="23"/>
        </w:rPr>
        <w:t>Docket No. 42516</w:t>
      </w:r>
      <w:r w:rsidR="0037189A" w:rsidRPr="00CB5CB1">
        <w:rPr>
          <w:sz w:val="23"/>
          <w:szCs w:val="23"/>
        </w:rPr>
        <w:t>.</w:t>
      </w:r>
      <w:r w:rsidR="003A641A">
        <w:rPr>
          <w:sz w:val="23"/>
          <w:szCs w:val="23"/>
        </w:rPr>
        <w:t xml:space="preserve">  </w:t>
      </w:r>
      <w:r w:rsidR="00BC6044" w:rsidRPr="00E651D1">
        <w:rPr>
          <w:sz w:val="23"/>
          <w:szCs w:val="23"/>
        </w:rPr>
        <w:t xml:space="preserve">  </w:t>
      </w:r>
    </w:p>
    <w:p w14:paraId="1CEC5798" w14:textId="77777777" w:rsidR="00CD1613" w:rsidRPr="00E651D1" w:rsidRDefault="00CD1613" w:rsidP="00713485">
      <w:pPr>
        <w:jc w:val="both"/>
        <w:rPr>
          <w:sz w:val="23"/>
          <w:szCs w:val="23"/>
        </w:rPr>
      </w:pPr>
    </w:p>
    <w:p w14:paraId="31E922E2" w14:textId="0873F041" w:rsidR="00CD1613" w:rsidRPr="00E651D1" w:rsidRDefault="00AB7618" w:rsidP="00713485">
      <w:pPr>
        <w:jc w:val="both"/>
        <w:rPr>
          <w:sz w:val="23"/>
          <w:szCs w:val="23"/>
        </w:rPr>
      </w:pPr>
      <w:r w:rsidRPr="00E651D1">
        <w:rPr>
          <w:sz w:val="23"/>
          <w:szCs w:val="23"/>
          <w:u w:val="single"/>
        </w:rPr>
        <w:t xml:space="preserve">FOOTNOTE </w:t>
      </w:r>
      <w:r w:rsidR="00790F3E">
        <w:rPr>
          <w:sz w:val="23"/>
          <w:szCs w:val="23"/>
          <w:u w:val="single"/>
        </w:rPr>
        <w:t>X</w:t>
      </w:r>
      <w:r w:rsidR="00CD1613" w:rsidRPr="00E651D1">
        <w:rPr>
          <w:sz w:val="23"/>
          <w:szCs w:val="23"/>
          <w:u w:val="single"/>
        </w:rPr>
        <w:t>/</w:t>
      </w:r>
      <w:r w:rsidR="00CD1613" w:rsidRPr="00E651D1">
        <w:rPr>
          <w:sz w:val="23"/>
          <w:szCs w:val="23"/>
        </w:rPr>
        <w:tab/>
      </w:r>
      <w:r w:rsidR="00CD1613" w:rsidRPr="00E651D1">
        <w:rPr>
          <w:sz w:val="23"/>
          <w:szCs w:val="23"/>
          <w:u w:val="single"/>
        </w:rPr>
        <w:t xml:space="preserve">$ </w:t>
      </w:r>
      <w:r w:rsidR="00790F3E">
        <w:rPr>
          <w:sz w:val="23"/>
          <w:szCs w:val="23"/>
          <w:u w:val="single"/>
        </w:rPr>
        <w:t>(4,240)</w:t>
      </w:r>
      <w:r w:rsidR="00CD1613" w:rsidRPr="00E651D1">
        <w:rPr>
          <w:sz w:val="23"/>
          <w:szCs w:val="23"/>
        </w:rPr>
        <w:tab/>
        <w:t xml:space="preserve">Amortization </w:t>
      </w:r>
      <w:r w:rsidR="005B6A96" w:rsidRPr="00E651D1">
        <w:rPr>
          <w:sz w:val="23"/>
          <w:szCs w:val="23"/>
        </w:rPr>
        <w:t xml:space="preserve">of </w:t>
      </w:r>
      <w:r w:rsidR="00790F3E">
        <w:rPr>
          <w:sz w:val="23"/>
          <w:szCs w:val="23"/>
        </w:rPr>
        <w:t>Environmental CWIP</w:t>
      </w:r>
    </w:p>
    <w:p w14:paraId="57EC0893" w14:textId="77777777" w:rsidR="00CD1613" w:rsidRPr="00E651D1" w:rsidRDefault="00CD1613" w:rsidP="00713485">
      <w:pPr>
        <w:jc w:val="both"/>
        <w:rPr>
          <w:sz w:val="23"/>
          <w:szCs w:val="23"/>
        </w:rPr>
      </w:pPr>
    </w:p>
    <w:p w14:paraId="1E22F21B" w14:textId="20CF3986" w:rsidR="00BD11FE" w:rsidRPr="008D39B1" w:rsidRDefault="00BD11FE" w:rsidP="00BD11FE">
      <w:pPr>
        <w:rPr>
          <w:sz w:val="23"/>
          <w:szCs w:val="23"/>
        </w:rPr>
      </w:pPr>
      <w:r w:rsidRPr="008D39B1">
        <w:rPr>
          <w:sz w:val="23"/>
          <w:szCs w:val="23"/>
        </w:rPr>
        <w:t xml:space="preserve">This </w:t>
      </w:r>
      <w:r>
        <w:rPr>
          <w:sz w:val="23"/>
          <w:szCs w:val="23"/>
        </w:rPr>
        <w:t>de</w:t>
      </w:r>
      <w:r w:rsidRPr="008D39B1">
        <w:rPr>
          <w:sz w:val="23"/>
          <w:szCs w:val="23"/>
        </w:rPr>
        <w:t xml:space="preserve">crease reflects the </w:t>
      </w:r>
      <w:r>
        <w:rPr>
          <w:sz w:val="23"/>
          <w:szCs w:val="23"/>
        </w:rPr>
        <w:t>completion of the</w:t>
      </w:r>
      <w:r w:rsidRPr="008D39B1">
        <w:rPr>
          <w:sz w:val="23"/>
          <w:szCs w:val="23"/>
        </w:rPr>
        <w:t xml:space="preserve"> amortization</w:t>
      </w:r>
      <w:r w:rsidR="004E1862">
        <w:rPr>
          <w:sz w:val="23"/>
          <w:szCs w:val="23"/>
        </w:rPr>
        <w:t xml:space="preserve"> </w:t>
      </w:r>
      <w:r w:rsidR="002222FD">
        <w:rPr>
          <w:sz w:val="23"/>
          <w:szCs w:val="23"/>
        </w:rPr>
        <w:t>in</w:t>
      </w:r>
      <w:r w:rsidR="004E1862">
        <w:rPr>
          <w:sz w:val="23"/>
          <w:szCs w:val="23"/>
        </w:rPr>
        <w:t xml:space="preserve"> December 2022</w:t>
      </w:r>
      <w:r w:rsidRPr="008D39B1">
        <w:rPr>
          <w:sz w:val="23"/>
          <w:szCs w:val="23"/>
        </w:rPr>
        <w:t xml:space="preserve"> of environmental CWIP associated with Plant Branch Units </w:t>
      </w:r>
      <w:r w:rsidR="004E1862">
        <w:rPr>
          <w:sz w:val="23"/>
          <w:szCs w:val="23"/>
        </w:rPr>
        <w:t>1</w:t>
      </w:r>
      <w:r w:rsidRPr="008D39B1">
        <w:rPr>
          <w:sz w:val="23"/>
          <w:szCs w:val="23"/>
        </w:rPr>
        <w:t>-4 and Plant Yates Units 6-7</w:t>
      </w:r>
      <w:r w:rsidR="007B5F77">
        <w:rPr>
          <w:sz w:val="23"/>
          <w:szCs w:val="23"/>
        </w:rPr>
        <w:t>,</w:t>
      </w:r>
      <w:r w:rsidRPr="008D39B1">
        <w:rPr>
          <w:sz w:val="23"/>
          <w:szCs w:val="23"/>
        </w:rPr>
        <w:t xml:space="preserve"> as </w:t>
      </w:r>
      <w:r w:rsidR="004E1862">
        <w:rPr>
          <w:sz w:val="23"/>
          <w:szCs w:val="23"/>
        </w:rPr>
        <w:t>approved by the Commission in Docket No</w:t>
      </w:r>
      <w:r w:rsidRPr="008D39B1">
        <w:rPr>
          <w:sz w:val="23"/>
          <w:szCs w:val="23"/>
        </w:rPr>
        <w:t>.</w:t>
      </w:r>
      <w:r w:rsidR="004E1862">
        <w:rPr>
          <w:sz w:val="23"/>
          <w:szCs w:val="23"/>
        </w:rPr>
        <w:t xml:space="preserve"> 36989.</w:t>
      </w:r>
    </w:p>
    <w:p w14:paraId="66DADBC3" w14:textId="77777777" w:rsidR="00E35576" w:rsidRPr="00E651D1" w:rsidRDefault="00E35576" w:rsidP="00713485">
      <w:pPr>
        <w:jc w:val="both"/>
        <w:rPr>
          <w:sz w:val="23"/>
          <w:szCs w:val="23"/>
        </w:rPr>
      </w:pPr>
    </w:p>
    <w:p w14:paraId="752DB3F5" w14:textId="62D49686" w:rsidR="00CD1613" w:rsidRPr="00E651D1" w:rsidRDefault="00CD1613" w:rsidP="00713485">
      <w:pPr>
        <w:jc w:val="both"/>
        <w:rPr>
          <w:sz w:val="23"/>
          <w:szCs w:val="23"/>
        </w:rPr>
      </w:pPr>
      <w:r w:rsidRPr="00E651D1">
        <w:rPr>
          <w:sz w:val="23"/>
          <w:szCs w:val="23"/>
          <w:u w:val="single"/>
        </w:rPr>
        <w:t xml:space="preserve">FOOTNOTE </w:t>
      </w:r>
      <w:r w:rsidR="00790F3E">
        <w:rPr>
          <w:sz w:val="23"/>
          <w:szCs w:val="23"/>
          <w:u w:val="single"/>
        </w:rPr>
        <w:t>Y</w:t>
      </w:r>
      <w:r w:rsidRPr="00E651D1">
        <w:rPr>
          <w:sz w:val="23"/>
          <w:szCs w:val="23"/>
          <w:u w:val="single"/>
        </w:rPr>
        <w:t>/</w:t>
      </w:r>
      <w:r w:rsidRPr="00E651D1">
        <w:rPr>
          <w:sz w:val="23"/>
          <w:szCs w:val="23"/>
        </w:rPr>
        <w:tab/>
      </w:r>
      <w:r w:rsidRPr="00E651D1">
        <w:rPr>
          <w:sz w:val="23"/>
          <w:szCs w:val="23"/>
          <w:u w:val="single"/>
        </w:rPr>
        <w:t xml:space="preserve">$ </w:t>
      </w:r>
      <w:r w:rsidR="00790F3E">
        <w:rPr>
          <w:sz w:val="23"/>
          <w:szCs w:val="23"/>
          <w:u w:val="single"/>
        </w:rPr>
        <w:t>43,047</w:t>
      </w:r>
      <w:r w:rsidR="00F84D56" w:rsidRPr="00E651D1">
        <w:rPr>
          <w:sz w:val="23"/>
          <w:szCs w:val="23"/>
        </w:rPr>
        <w:tab/>
      </w:r>
      <w:r w:rsidRPr="00E651D1">
        <w:rPr>
          <w:sz w:val="23"/>
          <w:szCs w:val="23"/>
        </w:rPr>
        <w:t xml:space="preserve">Amortization of </w:t>
      </w:r>
      <w:r w:rsidR="00790F3E">
        <w:rPr>
          <w:sz w:val="23"/>
          <w:szCs w:val="23"/>
        </w:rPr>
        <w:t>Retired Units</w:t>
      </w:r>
      <w:r w:rsidR="005C4E79">
        <w:rPr>
          <w:sz w:val="23"/>
          <w:szCs w:val="23"/>
        </w:rPr>
        <w:t>’</w:t>
      </w:r>
      <w:r w:rsidR="00790F3E">
        <w:rPr>
          <w:sz w:val="23"/>
          <w:szCs w:val="23"/>
        </w:rPr>
        <w:t xml:space="preserve"> Net Book Value</w:t>
      </w:r>
    </w:p>
    <w:p w14:paraId="755DC253" w14:textId="77777777" w:rsidR="00CD1613" w:rsidRPr="00E651D1" w:rsidRDefault="00CD1613" w:rsidP="00713485">
      <w:pPr>
        <w:jc w:val="both"/>
        <w:rPr>
          <w:sz w:val="23"/>
          <w:szCs w:val="23"/>
        </w:rPr>
      </w:pPr>
    </w:p>
    <w:p w14:paraId="28F4E1F7" w14:textId="17011C1A" w:rsidR="00CD1613" w:rsidRPr="00E47543" w:rsidRDefault="009A754C" w:rsidP="00713485">
      <w:pPr>
        <w:jc w:val="both"/>
        <w:rPr>
          <w:sz w:val="23"/>
          <w:szCs w:val="23"/>
        </w:rPr>
      </w:pPr>
      <w:r w:rsidRPr="00E651D1">
        <w:rPr>
          <w:sz w:val="23"/>
          <w:szCs w:val="23"/>
        </w:rPr>
        <w:t>Th</w:t>
      </w:r>
      <w:r>
        <w:rPr>
          <w:sz w:val="23"/>
          <w:szCs w:val="23"/>
        </w:rPr>
        <w:t>e</w:t>
      </w:r>
      <w:r w:rsidRPr="00E651D1">
        <w:rPr>
          <w:sz w:val="23"/>
          <w:szCs w:val="23"/>
        </w:rPr>
        <w:t xml:space="preserve"> increase reflects the proposed amortization of the remaining net book value</w:t>
      </w:r>
      <w:r>
        <w:rPr>
          <w:sz w:val="23"/>
          <w:szCs w:val="23"/>
        </w:rPr>
        <w:t>s</w:t>
      </w:r>
      <w:r w:rsidRPr="00E651D1">
        <w:rPr>
          <w:sz w:val="23"/>
          <w:szCs w:val="23"/>
        </w:rPr>
        <w:t xml:space="preserve"> of Plant </w:t>
      </w:r>
      <w:r>
        <w:rPr>
          <w:sz w:val="23"/>
          <w:szCs w:val="23"/>
        </w:rPr>
        <w:t>Wansley</w:t>
      </w:r>
      <w:r w:rsidRPr="00E651D1">
        <w:rPr>
          <w:sz w:val="23"/>
          <w:szCs w:val="23"/>
        </w:rPr>
        <w:t xml:space="preserve"> Units 1</w:t>
      </w:r>
      <w:r w:rsidR="005332A1">
        <w:rPr>
          <w:sz w:val="23"/>
          <w:szCs w:val="23"/>
        </w:rPr>
        <w:t xml:space="preserve"> and </w:t>
      </w:r>
      <w:r>
        <w:rPr>
          <w:sz w:val="23"/>
          <w:szCs w:val="23"/>
        </w:rPr>
        <w:t>2 over its remaining useful life and Unit 5A over a 3-year period ending December 31, 2025</w:t>
      </w:r>
      <w:r w:rsidRPr="00E651D1">
        <w:rPr>
          <w:sz w:val="23"/>
          <w:szCs w:val="23"/>
        </w:rPr>
        <w:t xml:space="preserve">.  </w:t>
      </w:r>
    </w:p>
    <w:p w14:paraId="558D854A" w14:textId="77777777" w:rsidR="009F443A" w:rsidRPr="00E47543" w:rsidRDefault="009F443A" w:rsidP="00713485">
      <w:pPr>
        <w:jc w:val="both"/>
        <w:rPr>
          <w:sz w:val="23"/>
          <w:szCs w:val="23"/>
          <w:u w:val="single"/>
        </w:rPr>
      </w:pPr>
    </w:p>
    <w:p w14:paraId="0B245B3A" w14:textId="109F7344" w:rsidR="00790F3E" w:rsidRPr="00E651D1" w:rsidRDefault="00790F3E" w:rsidP="00790F3E">
      <w:pPr>
        <w:jc w:val="both"/>
        <w:rPr>
          <w:sz w:val="23"/>
          <w:szCs w:val="23"/>
        </w:rPr>
      </w:pPr>
      <w:r w:rsidRPr="00E651D1">
        <w:rPr>
          <w:sz w:val="23"/>
          <w:szCs w:val="23"/>
          <w:u w:val="single"/>
        </w:rPr>
        <w:t xml:space="preserve">FOOTNOTE </w:t>
      </w:r>
      <w:r>
        <w:rPr>
          <w:sz w:val="23"/>
          <w:szCs w:val="23"/>
          <w:u w:val="single"/>
        </w:rPr>
        <w:t>Z</w:t>
      </w:r>
      <w:r w:rsidRPr="00E651D1">
        <w:rPr>
          <w:sz w:val="23"/>
          <w:szCs w:val="23"/>
          <w:u w:val="single"/>
        </w:rPr>
        <w:t>/</w:t>
      </w:r>
      <w:r w:rsidRPr="00E651D1">
        <w:rPr>
          <w:sz w:val="23"/>
          <w:szCs w:val="23"/>
        </w:rPr>
        <w:tab/>
      </w:r>
      <w:r w:rsidRPr="00E651D1">
        <w:rPr>
          <w:sz w:val="23"/>
          <w:szCs w:val="23"/>
          <w:u w:val="single"/>
        </w:rPr>
        <w:t>$</w:t>
      </w:r>
      <w:r>
        <w:rPr>
          <w:sz w:val="23"/>
          <w:szCs w:val="23"/>
          <w:u w:val="single"/>
        </w:rPr>
        <w:t>(2,483)</w:t>
      </w:r>
      <w:r w:rsidRPr="00E651D1">
        <w:rPr>
          <w:sz w:val="23"/>
          <w:szCs w:val="23"/>
        </w:rPr>
        <w:tab/>
        <w:t xml:space="preserve">Amortization of </w:t>
      </w:r>
      <w:r>
        <w:rPr>
          <w:sz w:val="23"/>
          <w:szCs w:val="23"/>
        </w:rPr>
        <w:t>Deferred Health Care Costs</w:t>
      </w:r>
    </w:p>
    <w:p w14:paraId="0CCC6ADC" w14:textId="77777777" w:rsidR="00790F3E" w:rsidRPr="00E651D1" w:rsidRDefault="00790F3E" w:rsidP="00790F3E">
      <w:pPr>
        <w:jc w:val="both"/>
        <w:rPr>
          <w:sz w:val="23"/>
          <w:szCs w:val="23"/>
        </w:rPr>
      </w:pPr>
    </w:p>
    <w:p w14:paraId="192C2289" w14:textId="321503ED" w:rsidR="00790F3E" w:rsidRPr="00E47543" w:rsidRDefault="009A754C" w:rsidP="00790F3E">
      <w:pPr>
        <w:jc w:val="both"/>
        <w:rPr>
          <w:sz w:val="23"/>
          <w:szCs w:val="23"/>
        </w:rPr>
      </w:pPr>
      <w:r>
        <w:rPr>
          <w:sz w:val="23"/>
          <w:szCs w:val="23"/>
        </w:rPr>
        <w:t xml:space="preserve">The decrease reflects </w:t>
      </w:r>
      <w:r w:rsidR="002222FD">
        <w:rPr>
          <w:sz w:val="23"/>
          <w:szCs w:val="23"/>
        </w:rPr>
        <w:t xml:space="preserve">the </w:t>
      </w:r>
      <w:r>
        <w:rPr>
          <w:sz w:val="23"/>
          <w:szCs w:val="23"/>
        </w:rPr>
        <w:t xml:space="preserve">completion of the amortization </w:t>
      </w:r>
      <w:r w:rsidR="002222FD">
        <w:rPr>
          <w:sz w:val="23"/>
          <w:szCs w:val="23"/>
        </w:rPr>
        <w:t>in</w:t>
      </w:r>
      <w:r>
        <w:rPr>
          <w:sz w:val="23"/>
          <w:szCs w:val="23"/>
        </w:rPr>
        <w:t xml:space="preserve"> December 2022 of the regulatory asset </w:t>
      </w:r>
      <w:r w:rsidR="00BF7050">
        <w:rPr>
          <w:sz w:val="23"/>
          <w:szCs w:val="23"/>
        </w:rPr>
        <w:t>resulting from the tax impacts arising from the March 2010 Healthcare Act.</w:t>
      </w:r>
    </w:p>
    <w:p w14:paraId="4CCEB5A6" w14:textId="77777777" w:rsidR="00237108" w:rsidRDefault="00237108" w:rsidP="00790F3E">
      <w:pPr>
        <w:jc w:val="both"/>
        <w:rPr>
          <w:sz w:val="23"/>
          <w:szCs w:val="23"/>
          <w:u w:val="single"/>
        </w:rPr>
      </w:pPr>
    </w:p>
    <w:p w14:paraId="4A5D0E27" w14:textId="61901D0D" w:rsidR="00790F3E" w:rsidRPr="00E651D1" w:rsidRDefault="00790F3E" w:rsidP="00790F3E">
      <w:pPr>
        <w:jc w:val="both"/>
        <w:rPr>
          <w:sz w:val="23"/>
          <w:szCs w:val="23"/>
        </w:rPr>
      </w:pPr>
      <w:r w:rsidRPr="00E651D1">
        <w:rPr>
          <w:sz w:val="23"/>
          <w:szCs w:val="23"/>
          <w:u w:val="single"/>
        </w:rPr>
        <w:t xml:space="preserve">FOOTNOTE </w:t>
      </w:r>
      <w:r w:rsidR="00237108">
        <w:rPr>
          <w:sz w:val="23"/>
          <w:szCs w:val="23"/>
          <w:u w:val="single"/>
        </w:rPr>
        <w:t>AA</w:t>
      </w:r>
      <w:r w:rsidRPr="00E651D1">
        <w:rPr>
          <w:sz w:val="23"/>
          <w:szCs w:val="23"/>
          <w:u w:val="single"/>
        </w:rPr>
        <w:t>/</w:t>
      </w:r>
      <w:r w:rsidRPr="00E651D1">
        <w:rPr>
          <w:sz w:val="23"/>
          <w:szCs w:val="23"/>
        </w:rPr>
        <w:tab/>
      </w:r>
      <w:r w:rsidRPr="00E651D1">
        <w:rPr>
          <w:sz w:val="23"/>
          <w:szCs w:val="23"/>
          <w:u w:val="single"/>
        </w:rPr>
        <w:t>$</w:t>
      </w:r>
      <w:r w:rsidR="00237108">
        <w:rPr>
          <w:sz w:val="23"/>
          <w:szCs w:val="23"/>
          <w:u w:val="single"/>
        </w:rPr>
        <w:t>5,706</w:t>
      </w:r>
      <w:r w:rsidRPr="00E651D1">
        <w:rPr>
          <w:sz w:val="23"/>
          <w:szCs w:val="23"/>
        </w:rPr>
        <w:tab/>
      </w:r>
      <w:r>
        <w:rPr>
          <w:sz w:val="23"/>
          <w:szCs w:val="23"/>
        </w:rPr>
        <w:tab/>
      </w:r>
      <w:r w:rsidRPr="00E651D1">
        <w:rPr>
          <w:sz w:val="23"/>
          <w:szCs w:val="23"/>
        </w:rPr>
        <w:t xml:space="preserve">Amortization of </w:t>
      </w:r>
      <w:r w:rsidR="002222FD">
        <w:rPr>
          <w:sz w:val="23"/>
          <w:szCs w:val="23"/>
        </w:rPr>
        <w:t>Software</w:t>
      </w:r>
      <w:r w:rsidR="00237108">
        <w:rPr>
          <w:sz w:val="23"/>
          <w:szCs w:val="23"/>
        </w:rPr>
        <w:t xml:space="preserve"> and </w:t>
      </w:r>
      <w:r w:rsidR="002222FD">
        <w:rPr>
          <w:sz w:val="23"/>
          <w:szCs w:val="23"/>
        </w:rPr>
        <w:t>Cloud</w:t>
      </w:r>
      <w:r w:rsidR="005E0378">
        <w:rPr>
          <w:sz w:val="23"/>
          <w:szCs w:val="23"/>
        </w:rPr>
        <w:t xml:space="preserve"> Computing</w:t>
      </w:r>
    </w:p>
    <w:p w14:paraId="6EF4D2CB" w14:textId="77777777" w:rsidR="00790F3E" w:rsidRPr="00E651D1" w:rsidRDefault="00790F3E" w:rsidP="00790F3E">
      <w:pPr>
        <w:jc w:val="both"/>
        <w:rPr>
          <w:sz w:val="23"/>
          <w:szCs w:val="23"/>
        </w:rPr>
      </w:pPr>
    </w:p>
    <w:p w14:paraId="4147B3C7" w14:textId="7BEF6F55" w:rsidR="00790F3E" w:rsidRDefault="00790F3E" w:rsidP="00790F3E">
      <w:pPr>
        <w:jc w:val="both"/>
        <w:rPr>
          <w:sz w:val="22"/>
          <w:szCs w:val="22"/>
        </w:rPr>
      </w:pPr>
      <w:r w:rsidRPr="00E30373">
        <w:rPr>
          <w:sz w:val="23"/>
          <w:szCs w:val="23"/>
        </w:rPr>
        <w:t xml:space="preserve">The increase reflects the proposed </w:t>
      </w:r>
      <w:r w:rsidR="005332A1">
        <w:rPr>
          <w:sz w:val="23"/>
          <w:szCs w:val="23"/>
        </w:rPr>
        <w:t>5</w:t>
      </w:r>
      <w:r w:rsidRPr="00E30373">
        <w:rPr>
          <w:sz w:val="23"/>
          <w:szCs w:val="23"/>
        </w:rPr>
        <w:t xml:space="preserve">-year amortization </w:t>
      </w:r>
      <w:r w:rsidR="007333FC">
        <w:rPr>
          <w:sz w:val="23"/>
          <w:szCs w:val="23"/>
        </w:rPr>
        <w:t>ending December 202</w:t>
      </w:r>
      <w:r w:rsidR="005332A1">
        <w:rPr>
          <w:sz w:val="23"/>
          <w:szCs w:val="23"/>
        </w:rPr>
        <w:t>7</w:t>
      </w:r>
      <w:r w:rsidR="007333FC">
        <w:rPr>
          <w:sz w:val="23"/>
          <w:szCs w:val="23"/>
        </w:rPr>
        <w:t xml:space="preserve"> </w:t>
      </w:r>
      <w:r w:rsidRPr="00E30373">
        <w:rPr>
          <w:sz w:val="23"/>
          <w:szCs w:val="23"/>
        </w:rPr>
        <w:t>of the</w:t>
      </w:r>
      <w:r w:rsidR="00BF7050">
        <w:rPr>
          <w:sz w:val="22"/>
          <w:szCs w:val="22"/>
        </w:rPr>
        <w:t xml:space="preserve"> regulatory asset </w:t>
      </w:r>
      <w:r w:rsidR="00E30373">
        <w:rPr>
          <w:sz w:val="22"/>
          <w:szCs w:val="22"/>
        </w:rPr>
        <w:t>related to the deferral of</w:t>
      </w:r>
      <w:r w:rsidR="00BF7050">
        <w:rPr>
          <w:sz w:val="22"/>
          <w:szCs w:val="22"/>
        </w:rPr>
        <w:t xml:space="preserve"> certain expenses associated with the implementation of software and cloud computing projects</w:t>
      </w:r>
      <w:r w:rsidR="00E30373">
        <w:rPr>
          <w:sz w:val="22"/>
          <w:szCs w:val="22"/>
        </w:rPr>
        <w:t>.</w:t>
      </w:r>
    </w:p>
    <w:p w14:paraId="493B3A09" w14:textId="002E5526" w:rsidR="00E30373" w:rsidRDefault="00E30373" w:rsidP="00790F3E">
      <w:pPr>
        <w:jc w:val="both"/>
        <w:rPr>
          <w:sz w:val="22"/>
          <w:szCs w:val="22"/>
        </w:rPr>
      </w:pPr>
    </w:p>
    <w:p w14:paraId="0C85392C" w14:textId="77777777" w:rsidR="00E30373" w:rsidRPr="00E47543" w:rsidRDefault="00E30373" w:rsidP="00790F3E">
      <w:pPr>
        <w:jc w:val="both"/>
        <w:rPr>
          <w:sz w:val="23"/>
          <w:szCs w:val="23"/>
        </w:rPr>
      </w:pPr>
    </w:p>
    <w:p w14:paraId="2FAE3CBE" w14:textId="7D745664" w:rsidR="00790F3E" w:rsidRDefault="00790F3E" w:rsidP="00713485">
      <w:pPr>
        <w:jc w:val="both"/>
        <w:rPr>
          <w:sz w:val="23"/>
          <w:szCs w:val="23"/>
          <w:u w:val="single"/>
        </w:rPr>
      </w:pPr>
      <w:bookmarkStart w:id="1" w:name="_Hlk11078682"/>
    </w:p>
    <w:p w14:paraId="315A6B39" w14:textId="397B6843" w:rsidR="00237108" w:rsidRPr="00E651D1" w:rsidRDefault="00237108" w:rsidP="00237108">
      <w:pPr>
        <w:jc w:val="both"/>
        <w:rPr>
          <w:sz w:val="23"/>
          <w:szCs w:val="23"/>
        </w:rPr>
      </w:pPr>
      <w:r w:rsidRPr="00E651D1">
        <w:rPr>
          <w:sz w:val="23"/>
          <w:szCs w:val="23"/>
          <w:u w:val="single"/>
        </w:rPr>
        <w:t xml:space="preserve">FOOTNOTE </w:t>
      </w:r>
      <w:r>
        <w:rPr>
          <w:sz w:val="23"/>
          <w:szCs w:val="23"/>
          <w:u w:val="single"/>
        </w:rPr>
        <w:t>AB</w:t>
      </w:r>
      <w:r w:rsidRPr="00E651D1">
        <w:rPr>
          <w:sz w:val="23"/>
          <w:szCs w:val="23"/>
          <w:u w:val="single"/>
        </w:rPr>
        <w:t>/</w:t>
      </w:r>
      <w:r w:rsidRPr="00E651D1">
        <w:rPr>
          <w:sz w:val="23"/>
          <w:szCs w:val="23"/>
        </w:rPr>
        <w:tab/>
      </w:r>
      <w:r w:rsidRPr="00E651D1">
        <w:rPr>
          <w:sz w:val="23"/>
          <w:szCs w:val="23"/>
          <w:u w:val="single"/>
        </w:rPr>
        <w:t>$</w:t>
      </w:r>
      <w:r>
        <w:rPr>
          <w:sz w:val="23"/>
          <w:szCs w:val="23"/>
          <w:u w:val="single"/>
        </w:rPr>
        <w:t>153</w:t>
      </w:r>
      <w:r w:rsidRPr="00E651D1">
        <w:rPr>
          <w:sz w:val="23"/>
          <w:szCs w:val="23"/>
        </w:rPr>
        <w:tab/>
      </w:r>
      <w:r>
        <w:rPr>
          <w:sz w:val="23"/>
          <w:szCs w:val="23"/>
        </w:rPr>
        <w:tab/>
      </w:r>
      <w:r w:rsidRPr="00E651D1">
        <w:rPr>
          <w:sz w:val="23"/>
          <w:szCs w:val="23"/>
        </w:rPr>
        <w:t xml:space="preserve">Amortization of </w:t>
      </w:r>
      <w:r>
        <w:rPr>
          <w:sz w:val="23"/>
          <w:szCs w:val="23"/>
        </w:rPr>
        <w:t>Customer Usage Data</w:t>
      </w:r>
    </w:p>
    <w:p w14:paraId="74D03096" w14:textId="2B25FE4D" w:rsidR="00237108" w:rsidRDefault="00237108" w:rsidP="00237108">
      <w:pPr>
        <w:jc w:val="both"/>
        <w:rPr>
          <w:sz w:val="23"/>
          <w:szCs w:val="23"/>
        </w:rPr>
      </w:pPr>
    </w:p>
    <w:p w14:paraId="7CC1BF86" w14:textId="548BD3B8" w:rsidR="00E30373" w:rsidRDefault="00E30373" w:rsidP="00E30373">
      <w:pPr>
        <w:jc w:val="both"/>
        <w:rPr>
          <w:sz w:val="22"/>
          <w:szCs w:val="22"/>
        </w:rPr>
      </w:pPr>
      <w:r w:rsidRPr="00E30373">
        <w:rPr>
          <w:sz w:val="23"/>
          <w:szCs w:val="23"/>
        </w:rPr>
        <w:t xml:space="preserve">The increase reflects the proposed 3-year amortization </w:t>
      </w:r>
      <w:r w:rsidR="007333FC">
        <w:rPr>
          <w:sz w:val="23"/>
          <w:szCs w:val="23"/>
        </w:rPr>
        <w:t xml:space="preserve">ending December 2025 </w:t>
      </w:r>
      <w:r w:rsidRPr="00E30373">
        <w:rPr>
          <w:sz w:val="23"/>
          <w:szCs w:val="23"/>
        </w:rPr>
        <w:t>of the</w:t>
      </w:r>
      <w:r>
        <w:rPr>
          <w:sz w:val="22"/>
          <w:szCs w:val="22"/>
        </w:rPr>
        <w:t xml:space="preserve"> regulatory asset related to the deferral of costs of providing additional options for access to customer usage data.</w:t>
      </w:r>
    </w:p>
    <w:p w14:paraId="7323441E" w14:textId="2AF9349A" w:rsidR="00237108" w:rsidRDefault="00237108" w:rsidP="00713485">
      <w:pPr>
        <w:jc w:val="both"/>
        <w:rPr>
          <w:sz w:val="23"/>
          <w:szCs w:val="23"/>
          <w:u w:val="single"/>
        </w:rPr>
      </w:pPr>
    </w:p>
    <w:p w14:paraId="6606557E" w14:textId="13B2C6AE" w:rsidR="00237108" w:rsidRPr="00E651D1" w:rsidRDefault="00237108" w:rsidP="00237108">
      <w:pPr>
        <w:jc w:val="both"/>
        <w:rPr>
          <w:sz w:val="23"/>
          <w:szCs w:val="23"/>
        </w:rPr>
      </w:pPr>
      <w:r w:rsidRPr="00E651D1">
        <w:rPr>
          <w:sz w:val="23"/>
          <w:szCs w:val="23"/>
          <w:u w:val="single"/>
        </w:rPr>
        <w:t xml:space="preserve">FOOTNOTE </w:t>
      </w:r>
      <w:r>
        <w:rPr>
          <w:sz w:val="23"/>
          <w:szCs w:val="23"/>
          <w:u w:val="single"/>
        </w:rPr>
        <w:t>AC</w:t>
      </w:r>
      <w:r w:rsidRPr="00E651D1">
        <w:rPr>
          <w:sz w:val="23"/>
          <w:szCs w:val="23"/>
          <w:u w:val="single"/>
        </w:rPr>
        <w:t>/</w:t>
      </w:r>
      <w:r w:rsidRPr="00E651D1">
        <w:rPr>
          <w:sz w:val="23"/>
          <w:szCs w:val="23"/>
        </w:rPr>
        <w:tab/>
      </w:r>
      <w:r w:rsidRPr="00E651D1">
        <w:rPr>
          <w:sz w:val="23"/>
          <w:szCs w:val="23"/>
          <w:u w:val="single"/>
        </w:rPr>
        <w:t>$</w:t>
      </w:r>
      <w:r>
        <w:rPr>
          <w:sz w:val="23"/>
          <w:szCs w:val="23"/>
          <w:u w:val="single"/>
        </w:rPr>
        <w:t>4,901</w:t>
      </w:r>
      <w:r w:rsidRPr="00E651D1">
        <w:rPr>
          <w:sz w:val="23"/>
          <w:szCs w:val="23"/>
        </w:rPr>
        <w:tab/>
      </w:r>
      <w:r>
        <w:rPr>
          <w:sz w:val="23"/>
          <w:szCs w:val="23"/>
        </w:rPr>
        <w:tab/>
      </w:r>
      <w:r w:rsidRPr="00E651D1">
        <w:rPr>
          <w:sz w:val="23"/>
          <w:szCs w:val="23"/>
        </w:rPr>
        <w:t xml:space="preserve">Amortization of </w:t>
      </w:r>
      <w:r>
        <w:rPr>
          <w:sz w:val="23"/>
          <w:szCs w:val="23"/>
        </w:rPr>
        <w:t>COVID Deferral</w:t>
      </w:r>
    </w:p>
    <w:p w14:paraId="1C0AB019" w14:textId="77777777" w:rsidR="00237108" w:rsidRPr="00E651D1" w:rsidRDefault="00237108" w:rsidP="00237108">
      <w:pPr>
        <w:jc w:val="both"/>
        <w:rPr>
          <w:sz w:val="23"/>
          <w:szCs w:val="23"/>
        </w:rPr>
      </w:pPr>
    </w:p>
    <w:p w14:paraId="665ABF0C" w14:textId="67D3F18B" w:rsidR="00237108" w:rsidRDefault="00237108" w:rsidP="00237108">
      <w:pPr>
        <w:jc w:val="both"/>
        <w:rPr>
          <w:sz w:val="23"/>
          <w:szCs w:val="23"/>
        </w:rPr>
      </w:pPr>
      <w:r w:rsidRPr="004361BE">
        <w:rPr>
          <w:sz w:val="23"/>
          <w:szCs w:val="23"/>
        </w:rPr>
        <w:t>The increase reflects the proposed 3-year amortization</w:t>
      </w:r>
      <w:r w:rsidR="007333FC">
        <w:rPr>
          <w:sz w:val="23"/>
          <w:szCs w:val="23"/>
        </w:rPr>
        <w:t xml:space="preserve"> ending December 2025</w:t>
      </w:r>
      <w:r w:rsidRPr="004361BE">
        <w:rPr>
          <w:sz w:val="23"/>
          <w:szCs w:val="23"/>
        </w:rPr>
        <w:t xml:space="preserve"> of the </w:t>
      </w:r>
      <w:r w:rsidR="004361BE">
        <w:rPr>
          <w:sz w:val="23"/>
          <w:szCs w:val="23"/>
        </w:rPr>
        <w:t>regulatory asset associated with the deferral</w:t>
      </w:r>
      <w:r w:rsidR="00C43E2E">
        <w:rPr>
          <w:sz w:val="23"/>
          <w:szCs w:val="23"/>
        </w:rPr>
        <w:t xml:space="preserve"> of</w:t>
      </w:r>
      <w:r w:rsidR="004361BE">
        <w:rPr>
          <w:sz w:val="23"/>
          <w:szCs w:val="23"/>
        </w:rPr>
        <w:t xml:space="preserve"> </w:t>
      </w:r>
      <w:r w:rsidR="004361BE">
        <w:rPr>
          <w:sz w:val="22"/>
          <w:szCs w:val="22"/>
        </w:rPr>
        <w:t>the incremental cost</w:t>
      </w:r>
      <w:r w:rsidR="00C43E2E">
        <w:rPr>
          <w:sz w:val="22"/>
          <w:szCs w:val="22"/>
        </w:rPr>
        <w:t>s</w:t>
      </w:r>
      <w:r w:rsidR="004361BE">
        <w:rPr>
          <w:sz w:val="22"/>
          <w:szCs w:val="22"/>
        </w:rPr>
        <w:t xml:space="preserve"> of bad debt resulting from the suspension of disconnects for nonpayment due to COVID-19 and certain other incremental COVID-19 costs.</w:t>
      </w:r>
    </w:p>
    <w:p w14:paraId="52DBC1C4" w14:textId="1D2C8E2F" w:rsidR="00237108" w:rsidRPr="00237108" w:rsidRDefault="00237108" w:rsidP="00713485">
      <w:pPr>
        <w:jc w:val="both"/>
        <w:rPr>
          <w:sz w:val="23"/>
          <w:szCs w:val="23"/>
        </w:rPr>
      </w:pPr>
    </w:p>
    <w:p w14:paraId="63F13A8E" w14:textId="02FB4C22" w:rsidR="009F443A" w:rsidRPr="00E651D1" w:rsidRDefault="009F443A" w:rsidP="00713485">
      <w:pPr>
        <w:jc w:val="both"/>
        <w:rPr>
          <w:sz w:val="23"/>
          <w:szCs w:val="23"/>
        </w:rPr>
      </w:pPr>
      <w:r w:rsidRPr="00E651D1">
        <w:rPr>
          <w:sz w:val="23"/>
          <w:szCs w:val="23"/>
          <w:u w:val="single"/>
        </w:rPr>
        <w:t>FOOTNOTE A</w:t>
      </w:r>
      <w:r w:rsidR="00237108">
        <w:rPr>
          <w:sz w:val="23"/>
          <w:szCs w:val="23"/>
          <w:u w:val="single"/>
        </w:rPr>
        <w:t>D</w:t>
      </w:r>
      <w:r w:rsidRPr="00E651D1">
        <w:rPr>
          <w:sz w:val="23"/>
          <w:szCs w:val="23"/>
          <w:u w:val="single"/>
        </w:rPr>
        <w:t>/</w:t>
      </w:r>
      <w:r w:rsidRPr="00E651D1">
        <w:rPr>
          <w:sz w:val="23"/>
          <w:szCs w:val="23"/>
        </w:rPr>
        <w:tab/>
      </w:r>
      <w:r w:rsidRPr="00E651D1">
        <w:rPr>
          <w:sz w:val="23"/>
          <w:szCs w:val="23"/>
          <w:u w:val="single"/>
        </w:rPr>
        <w:t xml:space="preserve">$ </w:t>
      </w:r>
      <w:r w:rsidR="00237108">
        <w:rPr>
          <w:sz w:val="23"/>
          <w:szCs w:val="23"/>
          <w:u w:val="single"/>
        </w:rPr>
        <w:t>62,048</w:t>
      </w:r>
      <w:r w:rsidRPr="00E651D1">
        <w:rPr>
          <w:sz w:val="23"/>
          <w:szCs w:val="23"/>
        </w:rPr>
        <w:tab/>
      </w:r>
      <w:r w:rsidR="005B6A96" w:rsidRPr="00E651D1">
        <w:rPr>
          <w:sz w:val="23"/>
          <w:szCs w:val="23"/>
        </w:rPr>
        <w:t>Taxes Other Than Income Taxes</w:t>
      </w:r>
      <w:r w:rsidRPr="00E651D1">
        <w:rPr>
          <w:sz w:val="23"/>
          <w:szCs w:val="23"/>
        </w:rPr>
        <w:t xml:space="preserve"> </w:t>
      </w:r>
    </w:p>
    <w:p w14:paraId="386056DE" w14:textId="77777777" w:rsidR="009F443A" w:rsidRPr="00E651D1" w:rsidRDefault="009F443A" w:rsidP="00713485">
      <w:pPr>
        <w:jc w:val="both"/>
        <w:rPr>
          <w:sz w:val="23"/>
          <w:szCs w:val="23"/>
        </w:rPr>
      </w:pPr>
    </w:p>
    <w:p w14:paraId="5CEE4AE4" w14:textId="106FE487" w:rsidR="00173017" w:rsidRDefault="00173017" w:rsidP="00173017">
      <w:pPr>
        <w:jc w:val="both"/>
        <w:rPr>
          <w:sz w:val="23"/>
          <w:szCs w:val="23"/>
        </w:rPr>
      </w:pPr>
      <w:r w:rsidRPr="00750BDA">
        <w:rPr>
          <w:sz w:val="23"/>
          <w:szCs w:val="23"/>
        </w:rPr>
        <w:t xml:space="preserve">Real and personal property taxes are projected to increase </w:t>
      </w:r>
      <w:proofErr w:type="gramStart"/>
      <w:r w:rsidRPr="00750BDA">
        <w:rPr>
          <w:sz w:val="23"/>
          <w:szCs w:val="23"/>
        </w:rPr>
        <w:t>as a result of</w:t>
      </w:r>
      <w:proofErr w:type="gramEnd"/>
      <w:r w:rsidRPr="00750BDA">
        <w:rPr>
          <w:sz w:val="23"/>
          <w:szCs w:val="23"/>
        </w:rPr>
        <w:t xml:space="preserve"> plant additions and increase in </w:t>
      </w:r>
      <w:r w:rsidR="0048578E">
        <w:rPr>
          <w:sz w:val="23"/>
          <w:szCs w:val="23"/>
        </w:rPr>
        <w:t>the Company’s projected fair market value</w:t>
      </w:r>
      <w:r w:rsidRPr="00750BDA">
        <w:rPr>
          <w:sz w:val="23"/>
          <w:szCs w:val="23"/>
        </w:rPr>
        <w:t xml:space="preserve">; </w:t>
      </w:r>
      <w:r w:rsidRPr="00205E60">
        <w:rPr>
          <w:sz w:val="23"/>
          <w:szCs w:val="23"/>
        </w:rPr>
        <w:t xml:space="preserve">the </w:t>
      </w:r>
      <w:r w:rsidR="002844A0" w:rsidRPr="00205E60">
        <w:rPr>
          <w:sz w:val="23"/>
          <w:szCs w:val="23"/>
        </w:rPr>
        <w:t>decrease</w:t>
      </w:r>
      <w:r w:rsidR="002844A0">
        <w:rPr>
          <w:sz w:val="23"/>
          <w:szCs w:val="23"/>
        </w:rPr>
        <w:t xml:space="preserve"> in the payroll taxes is pri</w:t>
      </w:r>
      <w:r w:rsidR="00205E60">
        <w:rPr>
          <w:sz w:val="23"/>
          <w:szCs w:val="23"/>
        </w:rPr>
        <w:t xml:space="preserve">marily due to </w:t>
      </w:r>
      <w:r w:rsidR="00596AF3">
        <w:rPr>
          <w:sz w:val="23"/>
          <w:szCs w:val="23"/>
        </w:rPr>
        <w:t>lower incentive pay</w:t>
      </w:r>
      <w:r w:rsidR="00205E60">
        <w:rPr>
          <w:sz w:val="23"/>
          <w:szCs w:val="23"/>
        </w:rPr>
        <w:t>,</w:t>
      </w:r>
      <w:r w:rsidRPr="00750BDA">
        <w:rPr>
          <w:sz w:val="23"/>
          <w:szCs w:val="23"/>
        </w:rPr>
        <w:t xml:space="preserve"> and municipal franchise fees</w:t>
      </w:r>
      <w:r w:rsidR="00346380">
        <w:rPr>
          <w:sz w:val="23"/>
          <w:szCs w:val="23"/>
        </w:rPr>
        <w:t xml:space="preserve"> (MFF)</w:t>
      </w:r>
      <w:r w:rsidRPr="00750BDA">
        <w:rPr>
          <w:sz w:val="23"/>
          <w:szCs w:val="23"/>
        </w:rPr>
        <w:t xml:space="preserve"> are projected to decrease </w:t>
      </w:r>
      <w:r w:rsidR="00346380">
        <w:rPr>
          <w:sz w:val="23"/>
          <w:szCs w:val="23"/>
        </w:rPr>
        <w:t xml:space="preserve">due to a </w:t>
      </w:r>
      <w:r w:rsidR="00A12D41">
        <w:rPr>
          <w:sz w:val="23"/>
          <w:szCs w:val="23"/>
        </w:rPr>
        <w:t>reduction</w:t>
      </w:r>
      <w:r w:rsidR="00346380">
        <w:rPr>
          <w:sz w:val="23"/>
          <w:szCs w:val="23"/>
        </w:rPr>
        <w:t xml:space="preserve"> in the MFF rate</w:t>
      </w:r>
      <w:r w:rsidR="00A12D41">
        <w:rPr>
          <w:sz w:val="23"/>
          <w:szCs w:val="23"/>
        </w:rPr>
        <w:t xml:space="preserve"> approved by the Commission in the 2022 Compliance Filing</w:t>
      </w:r>
      <w:r w:rsidR="00346380">
        <w:rPr>
          <w:sz w:val="23"/>
          <w:szCs w:val="23"/>
        </w:rPr>
        <w:t xml:space="preserve"> </w:t>
      </w:r>
      <w:r w:rsidR="00A12D41">
        <w:rPr>
          <w:sz w:val="23"/>
          <w:szCs w:val="23"/>
        </w:rPr>
        <w:t xml:space="preserve">as well as a decrease in budgeted </w:t>
      </w:r>
      <w:r w:rsidR="00197A8F">
        <w:rPr>
          <w:sz w:val="23"/>
          <w:szCs w:val="23"/>
        </w:rPr>
        <w:t xml:space="preserve">total </w:t>
      </w:r>
      <w:r w:rsidR="00A12D41">
        <w:rPr>
          <w:sz w:val="23"/>
          <w:szCs w:val="23"/>
        </w:rPr>
        <w:t>retail revenues</w:t>
      </w:r>
      <w:r w:rsidRPr="00750BDA">
        <w:rPr>
          <w:sz w:val="23"/>
          <w:szCs w:val="23"/>
        </w:rPr>
        <w:t>.</w:t>
      </w:r>
    </w:p>
    <w:p w14:paraId="5EC10CBD" w14:textId="77777777" w:rsidR="007F5452" w:rsidRDefault="007F5452" w:rsidP="00713485">
      <w:pPr>
        <w:jc w:val="both"/>
        <w:rPr>
          <w:sz w:val="23"/>
          <w:szCs w:val="23"/>
        </w:rPr>
      </w:pPr>
    </w:p>
    <w:p w14:paraId="2F1294A4" w14:textId="433B4F2E" w:rsidR="003A563C" w:rsidRDefault="00444CAC" w:rsidP="00713485">
      <w:pPr>
        <w:jc w:val="center"/>
        <w:rPr>
          <w:sz w:val="23"/>
          <w:szCs w:val="23"/>
        </w:rPr>
      </w:pPr>
      <w:r w:rsidRPr="00444CAC">
        <w:rPr>
          <w:noProof/>
        </w:rPr>
        <w:drawing>
          <wp:inline distT="0" distB="0" distL="0" distR="0" wp14:anchorId="3DF8F0DD" wp14:editId="2A152AB4">
            <wp:extent cx="5486400" cy="14268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1426845"/>
                    </a:xfrm>
                    <a:prstGeom prst="rect">
                      <a:avLst/>
                    </a:prstGeom>
                    <a:noFill/>
                    <a:ln>
                      <a:noFill/>
                    </a:ln>
                  </pic:spPr>
                </pic:pic>
              </a:graphicData>
            </a:graphic>
          </wp:inline>
        </w:drawing>
      </w:r>
    </w:p>
    <w:bookmarkEnd w:id="1"/>
    <w:p w14:paraId="1A373BAA" w14:textId="77777777" w:rsidR="008B68EE" w:rsidRDefault="008B68EE" w:rsidP="00713485">
      <w:pPr>
        <w:jc w:val="both"/>
        <w:rPr>
          <w:sz w:val="23"/>
          <w:szCs w:val="23"/>
          <w:u w:val="single"/>
        </w:rPr>
      </w:pPr>
    </w:p>
    <w:p w14:paraId="53F8A706" w14:textId="06185D2C" w:rsidR="003A563C" w:rsidRPr="00E651D1" w:rsidRDefault="003A563C" w:rsidP="00713485">
      <w:pPr>
        <w:jc w:val="both"/>
        <w:rPr>
          <w:sz w:val="23"/>
          <w:szCs w:val="23"/>
        </w:rPr>
      </w:pPr>
      <w:r w:rsidRPr="00E651D1">
        <w:rPr>
          <w:sz w:val="23"/>
          <w:szCs w:val="23"/>
          <w:u w:val="single"/>
        </w:rPr>
        <w:t xml:space="preserve">FOOTNOTE </w:t>
      </w:r>
      <w:r w:rsidR="006D269F" w:rsidRPr="00E651D1">
        <w:rPr>
          <w:sz w:val="23"/>
          <w:szCs w:val="23"/>
          <w:u w:val="single"/>
        </w:rPr>
        <w:t>A</w:t>
      </w:r>
      <w:r w:rsidR="00444CAC">
        <w:rPr>
          <w:sz w:val="23"/>
          <w:szCs w:val="23"/>
          <w:u w:val="single"/>
        </w:rPr>
        <w:t>E</w:t>
      </w:r>
      <w:r w:rsidRPr="00E651D1">
        <w:rPr>
          <w:sz w:val="23"/>
          <w:szCs w:val="23"/>
          <w:u w:val="single"/>
        </w:rPr>
        <w:t>/</w:t>
      </w:r>
      <w:r w:rsidR="00004AFA" w:rsidRPr="00E651D1">
        <w:rPr>
          <w:sz w:val="23"/>
          <w:szCs w:val="23"/>
        </w:rPr>
        <w:tab/>
      </w:r>
      <w:r w:rsidRPr="00E651D1">
        <w:rPr>
          <w:sz w:val="23"/>
          <w:szCs w:val="23"/>
        </w:rPr>
        <w:t xml:space="preserve"> </w:t>
      </w:r>
      <w:r w:rsidRPr="00E651D1">
        <w:rPr>
          <w:sz w:val="23"/>
          <w:szCs w:val="23"/>
          <w:u w:val="single"/>
        </w:rPr>
        <w:t xml:space="preserve">$ </w:t>
      </w:r>
      <w:r w:rsidR="00444CAC">
        <w:rPr>
          <w:sz w:val="23"/>
          <w:szCs w:val="23"/>
          <w:u w:val="single"/>
        </w:rPr>
        <w:t>(147,354)</w:t>
      </w:r>
      <w:r w:rsidRPr="00E651D1">
        <w:rPr>
          <w:sz w:val="23"/>
          <w:szCs w:val="23"/>
        </w:rPr>
        <w:tab/>
      </w:r>
      <w:r w:rsidR="00541F36">
        <w:rPr>
          <w:sz w:val="23"/>
          <w:szCs w:val="23"/>
        </w:rPr>
        <w:t xml:space="preserve">Current </w:t>
      </w:r>
      <w:r w:rsidRPr="00E651D1">
        <w:rPr>
          <w:sz w:val="23"/>
          <w:szCs w:val="23"/>
        </w:rPr>
        <w:t>Income Taxes Payable</w:t>
      </w:r>
    </w:p>
    <w:p w14:paraId="052C68DA" w14:textId="77777777" w:rsidR="003A563C" w:rsidRPr="00E651D1" w:rsidRDefault="003A563C" w:rsidP="00713485">
      <w:pPr>
        <w:jc w:val="both"/>
        <w:rPr>
          <w:sz w:val="23"/>
          <w:szCs w:val="23"/>
        </w:rPr>
      </w:pPr>
    </w:p>
    <w:p w14:paraId="3E6347FC" w14:textId="7F7A4F6B" w:rsidR="00DF40A7" w:rsidRPr="001A2642" w:rsidRDefault="00DF40A7" w:rsidP="00DF40A7">
      <w:pPr>
        <w:jc w:val="both"/>
        <w:rPr>
          <w:sz w:val="23"/>
          <w:szCs w:val="23"/>
        </w:rPr>
      </w:pPr>
      <w:r w:rsidRPr="001A2642">
        <w:rPr>
          <w:sz w:val="23"/>
          <w:szCs w:val="23"/>
        </w:rPr>
        <w:t>The decrease in the income tax current provision is primarily due to an increase in deferred income taxes in the test period versus the historic period primarily related to increases in accelerated depreciation</w:t>
      </w:r>
      <w:r w:rsidR="001325C4">
        <w:rPr>
          <w:sz w:val="23"/>
          <w:szCs w:val="23"/>
        </w:rPr>
        <w:t xml:space="preserve"> based on proposed depreciation rates</w:t>
      </w:r>
      <w:r w:rsidRPr="001A2642">
        <w:rPr>
          <w:sz w:val="23"/>
          <w:szCs w:val="23"/>
        </w:rPr>
        <w:t xml:space="preserve">, </w:t>
      </w:r>
      <w:r w:rsidR="001325C4">
        <w:rPr>
          <w:sz w:val="23"/>
          <w:szCs w:val="23"/>
        </w:rPr>
        <w:t>proposed reduction in the annual</w:t>
      </w:r>
      <w:r w:rsidRPr="001A2642">
        <w:rPr>
          <w:sz w:val="23"/>
          <w:szCs w:val="23"/>
        </w:rPr>
        <w:t xml:space="preserve"> storm recovery, increased asset retirement obligations</w:t>
      </w:r>
      <w:r>
        <w:rPr>
          <w:sz w:val="23"/>
          <w:szCs w:val="23"/>
        </w:rPr>
        <w:t>,</w:t>
      </w:r>
      <w:r w:rsidRPr="001A2642">
        <w:rPr>
          <w:sz w:val="23"/>
          <w:szCs w:val="23"/>
        </w:rPr>
        <w:t xml:space="preserve"> and utilization of tax credits carried forward from prior periods.  </w:t>
      </w:r>
    </w:p>
    <w:p w14:paraId="247845F9" w14:textId="77777777" w:rsidR="00374B11" w:rsidRPr="00E651D1" w:rsidRDefault="00374B11" w:rsidP="00713485">
      <w:pPr>
        <w:jc w:val="both"/>
        <w:rPr>
          <w:sz w:val="23"/>
          <w:szCs w:val="23"/>
          <w:u w:val="single"/>
        </w:rPr>
      </w:pPr>
    </w:p>
    <w:p w14:paraId="352124D2" w14:textId="41FF2227" w:rsidR="003A563C" w:rsidRPr="00E651D1" w:rsidRDefault="003A563C" w:rsidP="00713485">
      <w:pPr>
        <w:jc w:val="both"/>
        <w:rPr>
          <w:sz w:val="23"/>
          <w:szCs w:val="23"/>
          <w:u w:val="single"/>
        </w:rPr>
      </w:pPr>
      <w:bookmarkStart w:id="2" w:name="_Hlk10806673"/>
      <w:r w:rsidRPr="00E651D1">
        <w:rPr>
          <w:sz w:val="23"/>
          <w:szCs w:val="23"/>
          <w:u w:val="single"/>
        </w:rPr>
        <w:t xml:space="preserve">FOOTNOTE </w:t>
      </w:r>
      <w:r w:rsidR="009475F8" w:rsidRPr="00E651D1">
        <w:rPr>
          <w:sz w:val="23"/>
          <w:szCs w:val="23"/>
          <w:u w:val="single"/>
        </w:rPr>
        <w:t>A</w:t>
      </w:r>
      <w:r w:rsidR="00444CAC">
        <w:rPr>
          <w:sz w:val="23"/>
          <w:szCs w:val="23"/>
          <w:u w:val="single"/>
        </w:rPr>
        <w:t>F</w:t>
      </w:r>
      <w:r w:rsidRPr="00E651D1">
        <w:rPr>
          <w:sz w:val="23"/>
          <w:szCs w:val="23"/>
          <w:u w:val="single"/>
        </w:rPr>
        <w:t>/</w:t>
      </w:r>
      <w:r w:rsidRPr="00E651D1">
        <w:rPr>
          <w:sz w:val="23"/>
          <w:szCs w:val="23"/>
        </w:rPr>
        <w:tab/>
      </w:r>
      <w:r w:rsidRPr="00E651D1">
        <w:rPr>
          <w:sz w:val="23"/>
          <w:szCs w:val="23"/>
          <w:u w:val="single"/>
        </w:rPr>
        <w:t xml:space="preserve">$ </w:t>
      </w:r>
      <w:r w:rsidR="00444CAC">
        <w:rPr>
          <w:sz w:val="23"/>
          <w:szCs w:val="23"/>
          <w:u w:val="single"/>
        </w:rPr>
        <w:t>271,348</w:t>
      </w:r>
      <w:r w:rsidRPr="00E651D1">
        <w:rPr>
          <w:sz w:val="23"/>
          <w:szCs w:val="23"/>
        </w:rPr>
        <w:tab/>
        <w:t xml:space="preserve"> Deferred Income Taxes</w:t>
      </w:r>
    </w:p>
    <w:p w14:paraId="538E4B14" w14:textId="339E0409" w:rsidR="003A563C" w:rsidRDefault="003A563C" w:rsidP="00713485">
      <w:pPr>
        <w:jc w:val="both"/>
        <w:rPr>
          <w:sz w:val="23"/>
          <w:szCs w:val="23"/>
        </w:rPr>
      </w:pPr>
    </w:p>
    <w:p w14:paraId="573092FB" w14:textId="276F3BEB" w:rsidR="00DF40A7" w:rsidRDefault="00DF40A7" w:rsidP="001325C4">
      <w:pPr>
        <w:jc w:val="both"/>
        <w:rPr>
          <w:sz w:val="23"/>
          <w:szCs w:val="23"/>
        </w:rPr>
      </w:pPr>
      <w:r w:rsidRPr="001A2642">
        <w:rPr>
          <w:sz w:val="23"/>
          <w:szCs w:val="23"/>
        </w:rPr>
        <w:t xml:space="preserve">The increase in net deferred income taxes is primarily from less unprotected excess ADIT amortization in the test period due to unprotected benefits </w:t>
      </w:r>
      <w:r>
        <w:rPr>
          <w:sz w:val="23"/>
          <w:szCs w:val="23"/>
        </w:rPr>
        <w:t xml:space="preserve">being </w:t>
      </w:r>
      <w:r w:rsidRPr="001A2642">
        <w:rPr>
          <w:sz w:val="23"/>
          <w:szCs w:val="23"/>
        </w:rPr>
        <w:t>fully amortized as of</w:t>
      </w:r>
      <w:r>
        <w:rPr>
          <w:sz w:val="23"/>
          <w:szCs w:val="23"/>
        </w:rPr>
        <w:t xml:space="preserve"> the</w:t>
      </w:r>
      <w:r w:rsidRPr="001A2642">
        <w:rPr>
          <w:sz w:val="23"/>
          <w:szCs w:val="23"/>
        </w:rPr>
        <w:t xml:space="preserve"> end of 2022 and more deferred tax expense due to </w:t>
      </w:r>
      <w:r>
        <w:rPr>
          <w:sz w:val="23"/>
          <w:szCs w:val="23"/>
        </w:rPr>
        <w:t>accelerated depreciation</w:t>
      </w:r>
      <w:r w:rsidR="00347D97">
        <w:rPr>
          <w:sz w:val="23"/>
          <w:szCs w:val="23"/>
        </w:rPr>
        <w:t xml:space="preserve"> </w:t>
      </w:r>
      <w:r w:rsidR="00357C3E">
        <w:rPr>
          <w:sz w:val="23"/>
          <w:szCs w:val="23"/>
        </w:rPr>
        <w:t>based on proposed depreciation rates</w:t>
      </w:r>
      <w:r>
        <w:rPr>
          <w:sz w:val="23"/>
          <w:szCs w:val="23"/>
        </w:rPr>
        <w:t xml:space="preserve">, </w:t>
      </w:r>
      <w:r w:rsidR="00357C3E">
        <w:rPr>
          <w:sz w:val="23"/>
          <w:szCs w:val="23"/>
        </w:rPr>
        <w:t>proposed reduction in the annual</w:t>
      </w:r>
      <w:r w:rsidR="00357C3E" w:rsidRPr="001A2642">
        <w:rPr>
          <w:sz w:val="23"/>
          <w:szCs w:val="23"/>
        </w:rPr>
        <w:t xml:space="preserve"> storm recovery</w:t>
      </w:r>
      <w:r w:rsidRPr="001A2642">
        <w:rPr>
          <w:sz w:val="23"/>
          <w:szCs w:val="23"/>
        </w:rPr>
        <w:t>, increased asset retirement obligations</w:t>
      </w:r>
      <w:r>
        <w:rPr>
          <w:sz w:val="23"/>
          <w:szCs w:val="23"/>
        </w:rPr>
        <w:t>,</w:t>
      </w:r>
      <w:r w:rsidRPr="001A2642">
        <w:rPr>
          <w:sz w:val="23"/>
          <w:szCs w:val="23"/>
        </w:rPr>
        <w:t xml:space="preserve"> and utilization of tax credits carried forward from prior periods.</w:t>
      </w:r>
    </w:p>
    <w:p w14:paraId="500DA29D" w14:textId="77777777" w:rsidR="00DF40A7" w:rsidRPr="00E651D1" w:rsidRDefault="00DF40A7" w:rsidP="00713485">
      <w:pPr>
        <w:jc w:val="both"/>
        <w:rPr>
          <w:sz w:val="23"/>
          <w:szCs w:val="23"/>
        </w:rPr>
      </w:pPr>
    </w:p>
    <w:p w14:paraId="335DC346" w14:textId="77777777" w:rsidR="000A6585" w:rsidRDefault="000A6585" w:rsidP="00713485">
      <w:pPr>
        <w:jc w:val="both"/>
        <w:rPr>
          <w:sz w:val="23"/>
          <w:szCs w:val="23"/>
          <w:u w:val="single"/>
        </w:rPr>
      </w:pPr>
      <w:bookmarkStart w:id="3" w:name="_MON_1335592376"/>
      <w:bookmarkStart w:id="4" w:name="_MON_1335593055"/>
      <w:bookmarkStart w:id="5" w:name="_MON_1335593114"/>
      <w:bookmarkStart w:id="6" w:name="_MON_1335784869"/>
      <w:bookmarkStart w:id="7" w:name="_MON_1335784901"/>
      <w:bookmarkStart w:id="8" w:name="_MON_1335785011"/>
      <w:bookmarkStart w:id="9" w:name="_MON_1335786538"/>
      <w:bookmarkStart w:id="10" w:name="_MON_1337338658"/>
      <w:bookmarkStart w:id="11" w:name="_MON_1338363796"/>
      <w:bookmarkStart w:id="12" w:name="_MON_1338364430"/>
      <w:bookmarkStart w:id="13" w:name="_MON_1338364494"/>
      <w:bookmarkStart w:id="14" w:name="_MON_1338547088"/>
      <w:bookmarkStart w:id="15" w:name="_MON_1338547100"/>
      <w:bookmarkStart w:id="16" w:name="_MON_1338547176"/>
      <w:bookmarkStart w:id="17" w:name="_MON_1338895394"/>
      <w:bookmarkStart w:id="18" w:name="_MON_1338895476"/>
      <w:bookmarkStart w:id="19" w:name="_MON_1335590897"/>
      <w:bookmarkStart w:id="20" w:name="_MON_1335591302"/>
      <w:bookmarkStart w:id="21" w:name="_MON_1335591624"/>
      <w:bookmarkStart w:id="22" w:name="_MON_133559207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2478935B" w14:textId="40B9CF98" w:rsidR="000A6585" w:rsidRDefault="003A563C" w:rsidP="00713485">
      <w:pPr>
        <w:jc w:val="both"/>
        <w:rPr>
          <w:sz w:val="23"/>
          <w:szCs w:val="23"/>
        </w:rPr>
      </w:pPr>
      <w:r w:rsidRPr="00E651D1">
        <w:rPr>
          <w:sz w:val="23"/>
          <w:szCs w:val="23"/>
          <w:u w:val="single"/>
        </w:rPr>
        <w:t xml:space="preserve">FOOTNOTE </w:t>
      </w:r>
      <w:r w:rsidR="00DD6E01" w:rsidRPr="00E651D1">
        <w:rPr>
          <w:sz w:val="23"/>
          <w:szCs w:val="23"/>
          <w:u w:val="single"/>
        </w:rPr>
        <w:t>A</w:t>
      </w:r>
      <w:r w:rsidR="00444CAC">
        <w:rPr>
          <w:sz w:val="23"/>
          <w:szCs w:val="23"/>
          <w:u w:val="single"/>
        </w:rPr>
        <w:t>G</w:t>
      </w:r>
      <w:r w:rsidRPr="00E651D1">
        <w:rPr>
          <w:sz w:val="23"/>
          <w:szCs w:val="23"/>
          <w:u w:val="single"/>
        </w:rPr>
        <w:t>/</w:t>
      </w:r>
      <w:r w:rsidRPr="00E651D1">
        <w:rPr>
          <w:sz w:val="23"/>
          <w:szCs w:val="23"/>
        </w:rPr>
        <w:tab/>
      </w:r>
      <w:r w:rsidRPr="00E651D1">
        <w:rPr>
          <w:sz w:val="23"/>
          <w:szCs w:val="23"/>
          <w:u w:val="single"/>
        </w:rPr>
        <w:t xml:space="preserve">$ </w:t>
      </w:r>
      <w:r w:rsidR="00444CAC">
        <w:rPr>
          <w:sz w:val="23"/>
          <w:szCs w:val="23"/>
          <w:u w:val="single"/>
        </w:rPr>
        <w:t>980</w:t>
      </w:r>
      <w:r w:rsidRPr="00E651D1">
        <w:rPr>
          <w:sz w:val="23"/>
          <w:szCs w:val="23"/>
        </w:rPr>
        <w:tab/>
        <w:t xml:space="preserve"> </w:t>
      </w:r>
      <w:r w:rsidR="00031718" w:rsidRPr="00E651D1">
        <w:rPr>
          <w:sz w:val="23"/>
          <w:szCs w:val="23"/>
        </w:rPr>
        <w:tab/>
      </w:r>
      <w:r w:rsidRPr="00E651D1">
        <w:rPr>
          <w:sz w:val="23"/>
          <w:szCs w:val="23"/>
        </w:rPr>
        <w:t>Interest on Customer Deposits</w:t>
      </w:r>
    </w:p>
    <w:p w14:paraId="74A37824" w14:textId="77777777" w:rsidR="000A6585" w:rsidRDefault="000A6585" w:rsidP="00713485">
      <w:pPr>
        <w:jc w:val="both"/>
        <w:rPr>
          <w:sz w:val="23"/>
          <w:szCs w:val="23"/>
        </w:rPr>
      </w:pPr>
    </w:p>
    <w:p w14:paraId="7E6A6454" w14:textId="0A5D1386" w:rsidR="00AE5DA7" w:rsidRPr="000A6585" w:rsidRDefault="003A563C" w:rsidP="00713485">
      <w:pPr>
        <w:jc w:val="both"/>
        <w:rPr>
          <w:sz w:val="23"/>
          <w:szCs w:val="23"/>
        </w:rPr>
      </w:pPr>
      <w:r w:rsidRPr="00274C42">
        <w:rPr>
          <w:sz w:val="23"/>
          <w:szCs w:val="23"/>
        </w:rPr>
        <w:t>Th</w:t>
      </w:r>
      <w:r w:rsidR="00374E49" w:rsidRPr="00274C42">
        <w:rPr>
          <w:sz w:val="23"/>
          <w:szCs w:val="23"/>
        </w:rPr>
        <w:t>e</w:t>
      </w:r>
      <w:r w:rsidRPr="00274C42">
        <w:rPr>
          <w:sz w:val="23"/>
          <w:szCs w:val="23"/>
        </w:rPr>
        <w:t xml:space="preserve"> </w:t>
      </w:r>
      <w:r w:rsidR="000A6585">
        <w:rPr>
          <w:sz w:val="23"/>
          <w:szCs w:val="23"/>
        </w:rPr>
        <w:t>decrease</w:t>
      </w:r>
      <w:r w:rsidRPr="00274C42">
        <w:rPr>
          <w:sz w:val="23"/>
          <w:szCs w:val="23"/>
        </w:rPr>
        <w:t xml:space="preserve"> </w:t>
      </w:r>
      <w:r w:rsidR="00FD594F">
        <w:rPr>
          <w:sz w:val="23"/>
          <w:szCs w:val="23"/>
        </w:rPr>
        <w:t xml:space="preserve">in credits </w:t>
      </w:r>
      <w:r w:rsidRPr="00274C42">
        <w:rPr>
          <w:sz w:val="23"/>
          <w:szCs w:val="23"/>
        </w:rPr>
        <w:t>results from</w:t>
      </w:r>
      <w:r w:rsidR="00374E49" w:rsidRPr="00274C42">
        <w:rPr>
          <w:sz w:val="23"/>
          <w:szCs w:val="23"/>
        </w:rPr>
        <w:t xml:space="preserve"> a projected </w:t>
      </w:r>
      <w:r w:rsidR="00274C42">
        <w:rPr>
          <w:sz w:val="23"/>
          <w:szCs w:val="23"/>
        </w:rPr>
        <w:t>decrease</w:t>
      </w:r>
      <w:r w:rsidRPr="00274C42">
        <w:rPr>
          <w:sz w:val="23"/>
          <w:szCs w:val="23"/>
        </w:rPr>
        <w:t xml:space="preserve"> in </w:t>
      </w:r>
      <w:r w:rsidR="00C21687" w:rsidRPr="00274C42">
        <w:rPr>
          <w:sz w:val="23"/>
          <w:szCs w:val="23"/>
        </w:rPr>
        <w:t>c</w:t>
      </w:r>
      <w:r w:rsidRPr="00274C42">
        <w:rPr>
          <w:sz w:val="23"/>
          <w:szCs w:val="23"/>
        </w:rPr>
        <w:t xml:space="preserve">ustomer </w:t>
      </w:r>
      <w:r w:rsidR="00C21687" w:rsidRPr="00274C42">
        <w:rPr>
          <w:sz w:val="23"/>
          <w:szCs w:val="23"/>
        </w:rPr>
        <w:t>d</w:t>
      </w:r>
      <w:r w:rsidRPr="00274C42">
        <w:rPr>
          <w:sz w:val="23"/>
          <w:szCs w:val="23"/>
        </w:rPr>
        <w:t>eposits</w:t>
      </w:r>
      <w:r w:rsidR="00374E49" w:rsidRPr="00274C42">
        <w:rPr>
          <w:sz w:val="23"/>
          <w:szCs w:val="23"/>
        </w:rPr>
        <w:t xml:space="preserve"> balance</w:t>
      </w:r>
      <w:r w:rsidRPr="00274C42">
        <w:rPr>
          <w:sz w:val="23"/>
          <w:szCs w:val="23"/>
        </w:rPr>
        <w:t xml:space="preserve"> as </w:t>
      </w:r>
      <w:r w:rsidR="00A70EA0" w:rsidRPr="00274C42">
        <w:rPr>
          <w:sz w:val="23"/>
          <w:szCs w:val="23"/>
        </w:rPr>
        <w:t>shown</w:t>
      </w:r>
      <w:r w:rsidRPr="00274C42">
        <w:rPr>
          <w:sz w:val="23"/>
          <w:szCs w:val="23"/>
        </w:rPr>
        <w:t xml:space="preserve"> in </w:t>
      </w:r>
      <w:r w:rsidR="00C2237E" w:rsidRPr="00274C42">
        <w:rPr>
          <w:sz w:val="23"/>
          <w:szCs w:val="23"/>
        </w:rPr>
        <w:t>FOOTNOTE</w:t>
      </w:r>
      <w:r w:rsidRPr="00274C42">
        <w:rPr>
          <w:sz w:val="23"/>
          <w:szCs w:val="23"/>
        </w:rPr>
        <w:t xml:space="preserve"> </w:t>
      </w:r>
      <w:r w:rsidR="006F7841" w:rsidRPr="00274C42">
        <w:rPr>
          <w:sz w:val="23"/>
          <w:szCs w:val="23"/>
        </w:rPr>
        <w:t>A</w:t>
      </w:r>
      <w:r w:rsidR="00274C42">
        <w:rPr>
          <w:sz w:val="23"/>
          <w:szCs w:val="23"/>
        </w:rPr>
        <w:t>Q</w:t>
      </w:r>
      <w:r w:rsidRPr="00274C42">
        <w:rPr>
          <w:sz w:val="23"/>
          <w:szCs w:val="23"/>
        </w:rPr>
        <w:t>/.</w:t>
      </w:r>
    </w:p>
    <w:p w14:paraId="5297D9B5" w14:textId="77777777" w:rsidR="00AE5DA7" w:rsidRDefault="00AE5DA7" w:rsidP="00713485">
      <w:pPr>
        <w:jc w:val="both"/>
        <w:rPr>
          <w:sz w:val="23"/>
          <w:szCs w:val="23"/>
          <w:u w:val="single"/>
        </w:rPr>
      </w:pPr>
    </w:p>
    <w:p w14:paraId="463DCA29" w14:textId="5835C7C4" w:rsidR="003A563C" w:rsidRPr="003761B4" w:rsidRDefault="003A563C" w:rsidP="003761B4">
      <w:pPr>
        <w:rPr>
          <w:sz w:val="23"/>
          <w:szCs w:val="23"/>
          <w:u w:val="single"/>
        </w:rPr>
      </w:pPr>
      <w:r w:rsidRPr="00E651D1">
        <w:rPr>
          <w:sz w:val="23"/>
          <w:szCs w:val="23"/>
          <w:u w:val="single"/>
        </w:rPr>
        <w:t xml:space="preserve">FOOTNOTE </w:t>
      </w:r>
      <w:r w:rsidR="00DD6E01" w:rsidRPr="00E651D1">
        <w:rPr>
          <w:sz w:val="23"/>
          <w:szCs w:val="23"/>
          <w:u w:val="single"/>
        </w:rPr>
        <w:t>A</w:t>
      </w:r>
      <w:r w:rsidR="00444CAC">
        <w:rPr>
          <w:sz w:val="23"/>
          <w:szCs w:val="23"/>
          <w:u w:val="single"/>
        </w:rPr>
        <w:t>H</w:t>
      </w:r>
      <w:r w:rsidR="00533B94" w:rsidRPr="00E651D1">
        <w:rPr>
          <w:sz w:val="23"/>
          <w:szCs w:val="23"/>
          <w:u w:val="single"/>
        </w:rPr>
        <w:t>/</w:t>
      </w:r>
      <w:r w:rsidRPr="00E651D1">
        <w:rPr>
          <w:sz w:val="23"/>
          <w:szCs w:val="23"/>
        </w:rPr>
        <w:tab/>
      </w:r>
      <w:r w:rsidRPr="00E651D1">
        <w:rPr>
          <w:sz w:val="23"/>
          <w:szCs w:val="23"/>
          <w:u w:val="single"/>
        </w:rPr>
        <w:t xml:space="preserve">$ </w:t>
      </w:r>
      <w:r w:rsidR="005B6A96" w:rsidRPr="00E651D1">
        <w:rPr>
          <w:sz w:val="23"/>
          <w:szCs w:val="23"/>
          <w:u w:val="single"/>
        </w:rPr>
        <w:t>4,</w:t>
      </w:r>
      <w:r w:rsidR="0023525D">
        <w:rPr>
          <w:sz w:val="23"/>
          <w:szCs w:val="23"/>
          <w:u w:val="single"/>
        </w:rPr>
        <w:t>848,938</w:t>
      </w:r>
      <w:r w:rsidRPr="00E651D1">
        <w:rPr>
          <w:sz w:val="23"/>
          <w:szCs w:val="23"/>
        </w:rPr>
        <w:tab/>
        <w:t>Electric-Plant-in-Service</w:t>
      </w:r>
    </w:p>
    <w:p w14:paraId="4B81732A" w14:textId="77777777" w:rsidR="003A563C" w:rsidRPr="00E651D1" w:rsidRDefault="003A563C" w:rsidP="00713485">
      <w:pPr>
        <w:jc w:val="both"/>
        <w:rPr>
          <w:sz w:val="23"/>
          <w:szCs w:val="23"/>
        </w:rPr>
      </w:pPr>
    </w:p>
    <w:p w14:paraId="402BFE28" w14:textId="77777777" w:rsidR="002F19F1" w:rsidRDefault="00374E49" w:rsidP="00713485">
      <w:pPr>
        <w:jc w:val="both"/>
        <w:rPr>
          <w:sz w:val="23"/>
          <w:szCs w:val="23"/>
        </w:rPr>
      </w:pPr>
      <w:r>
        <w:rPr>
          <w:sz w:val="23"/>
          <w:szCs w:val="23"/>
        </w:rPr>
        <w:t>The change in electric-plant-in-service</w:t>
      </w:r>
      <w:r w:rsidR="00BE08C4">
        <w:rPr>
          <w:sz w:val="23"/>
          <w:szCs w:val="23"/>
        </w:rPr>
        <w:t xml:space="preserve"> is provided by function below:</w:t>
      </w:r>
    </w:p>
    <w:p w14:paraId="72C20D95" w14:textId="77777777" w:rsidR="003A2D8B" w:rsidRPr="003A2D8B" w:rsidRDefault="003A2D8B" w:rsidP="00713485">
      <w:pPr>
        <w:jc w:val="both"/>
        <w:rPr>
          <w:sz w:val="23"/>
          <w:szCs w:val="23"/>
        </w:rPr>
      </w:pPr>
    </w:p>
    <w:p w14:paraId="19901128" w14:textId="2DCDBBBA" w:rsidR="002F19F1" w:rsidRPr="00E651D1" w:rsidRDefault="0023525D" w:rsidP="00713485">
      <w:pPr>
        <w:jc w:val="center"/>
        <w:rPr>
          <w:sz w:val="23"/>
          <w:szCs w:val="23"/>
        </w:rPr>
      </w:pPr>
      <w:r w:rsidRPr="0023525D">
        <w:rPr>
          <w:noProof/>
        </w:rPr>
        <w:drawing>
          <wp:inline distT="0" distB="0" distL="0" distR="0" wp14:anchorId="6FE95548" wp14:editId="60304EA8">
            <wp:extent cx="5486400" cy="19297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1929765"/>
                    </a:xfrm>
                    <a:prstGeom prst="rect">
                      <a:avLst/>
                    </a:prstGeom>
                    <a:noFill/>
                    <a:ln>
                      <a:noFill/>
                    </a:ln>
                  </pic:spPr>
                </pic:pic>
              </a:graphicData>
            </a:graphic>
          </wp:inline>
        </w:drawing>
      </w:r>
    </w:p>
    <w:p w14:paraId="46EEE11B" w14:textId="77777777" w:rsidR="002F19F1" w:rsidRPr="00E651D1" w:rsidRDefault="002F19F1" w:rsidP="00713485">
      <w:pPr>
        <w:jc w:val="both"/>
        <w:rPr>
          <w:sz w:val="23"/>
          <w:szCs w:val="23"/>
        </w:rPr>
      </w:pPr>
    </w:p>
    <w:p w14:paraId="380B91AF" w14:textId="35D3ED44" w:rsidR="001065BA" w:rsidRPr="001065BA" w:rsidRDefault="001065BA" w:rsidP="001065BA">
      <w:pPr>
        <w:jc w:val="both"/>
        <w:rPr>
          <w:sz w:val="23"/>
          <w:szCs w:val="23"/>
        </w:rPr>
      </w:pPr>
      <w:r w:rsidRPr="001065BA">
        <w:rPr>
          <w:sz w:val="23"/>
          <w:szCs w:val="23"/>
        </w:rPr>
        <w:t>The increase in production plant is primarily due to closure of Vogtle Units 3 and Common</w:t>
      </w:r>
      <w:r w:rsidR="008F279F">
        <w:rPr>
          <w:sz w:val="23"/>
          <w:szCs w:val="23"/>
        </w:rPr>
        <w:t>,</w:t>
      </w:r>
      <w:r w:rsidRPr="001065BA">
        <w:rPr>
          <w:sz w:val="23"/>
          <w:szCs w:val="23"/>
        </w:rPr>
        <w:t xml:space="preserve"> which is </w:t>
      </w:r>
      <w:r w:rsidR="008F279F">
        <w:rPr>
          <w:sz w:val="23"/>
          <w:szCs w:val="23"/>
        </w:rPr>
        <w:t xml:space="preserve">removed </w:t>
      </w:r>
      <w:r w:rsidR="0077767A" w:rsidRPr="000E69D0">
        <w:rPr>
          <w:sz w:val="23"/>
          <w:szCs w:val="23"/>
        </w:rPr>
        <w:t xml:space="preserve">from rate base in the test period </w:t>
      </w:r>
      <w:r w:rsidR="0077767A">
        <w:rPr>
          <w:sz w:val="23"/>
          <w:szCs w:val="23"/>
        </w:rPr>
        <w:t xml:space="preserve">in </w:t>
      </w:r>
      <w:r w:rsidR="008F279F">
        <w:rPr>
          <w:sz w:val="23"/>
          <w:szCs w:val="23"/>
        </w:rPr>
        <w:t>FOOTNOTE CB/</w:t>
      </w:r>
      <w:r w:rsidRPr="001065BA">
        <w:rPr>
          <w:sz w:val="23"/>
          <w:szCs w:val="23"/>
        </w:rPr>
        <w:t>.  Th</w:t>
      </w:r>
      <w:r w:rsidR="00683393">
        <w:rPr>
          <w:sz w:val="23"/>
          <w:szCs w:val="23"/>
        </w:rPr>
        <w:t>is</w:t>
      </w:r>
      <w:r w:rsidRPr="001065BA">
        <w:rPr>
          <w:sz w:val="23"/>
          <w:szCs w:val="23"/>
        </w:rPr>
        <w:t xml:space="preserve"> increase </w:t>
      </w:r>
      <w:r w:rsidR="00683393">
        <w:rPr>
          <w:sz w:val="23"/>
          <w:szCs w:val="23"/>
        </w:rPr>
        <w:t>is</w:t>
      </w:r>
      <w:r w:rsidRPr="001065BA">
        <w:rPr>
          <w:sz w:val="23"/>
          <w:szCs w:val="23"/>
        </w:rPr>
        <w:t xml:space="preserve"> partially offset by the</w:t>
      </w:r>
      <w:r w:rsidR="00683393">
        <w:rPr>
          <w:sz w:val="23"/>
          <w:szCs w:val="23"/>
        </w:rPr>
        <w:t xml:space="preserve"> proposed</w:t>
      </w:r>
      <w:r w:rsidRPr="001065BA">
        <w:rPr>
          <w:sz w:val="23"/>
          <w:szCs w:val="23"/>
        </w:rPr>
        <w:t xml:space="preserve"> </w:t>
      </w:r>
      <w:r w:rsidR="00683393">
        <w:rPr>
          <w:sz w:val="23"/>
          <w:szCs w:val="23"/>
        </w:rPr>
        <w:t>r</w:t>
      </w:r>
      <w:r w:rsidRPr="001065BA">
        <w:rPr>
          <w:sz w:val="23"/>
          <w:szCs w:val="23"/>
        </w:rPr>
        <w:t xml:space="preserve">etirement of Plant Wansley </w:t>
      </w:r>
      <w:r w:rsidR="00683393">
        <w:rPr>
          <w:sz w:val="23"/>
          <w:szCs w:val="23"/>
        </w:rPr>
        <w:t>Units 1, 2, 5A and Plant Boulevard Unit 1.</w:t>
      </w:r>
    </w:p>
    <w:p w14:paraId="2EE0AC55" w14:textId="77777777" w:rsidR="001065BA" w:rsidRPr="001065BA" w:rsidRDefault="001065BA" w:rsidP="001065BA">
      <w:pPr>
        <w:jc w:val="both"/>
        <w:rPr>
          <w:sz w:val="23"/>
          <w:szCs w:val="23"/>
          <w:highlight w:val="yellow"/>
        </w:rPr>
      </w:pPr>
    </w:p>
    <w:p w14:paraId="7C4016D6" w14:textId="77777777" w:rsidR="001065BA" w:rsidRPr="001065BA" w:rsidRDefault="001065BA" w:rsidP="001065BA">
      <w:pPr>
        <w:jc w:val="both"/>
        <w:rPr>
          <w:sz w:val="23"/>
          <w:szCs w:val="23"/>
        </w:rPr>
      </w:pPr>
      <w:r w:rsidRPr="001065BA">
        <w:rPr>
          <w:sz w:val="23"/>
          <w:szCs w:val="23"/>
        </w:rPr>
        <w:t>The increase in transmission plant is primarily due to transmission line and substation improvements, and construction of new substations and transmission lines.</w:t>
      </w:r>
    </w:p>
    <w:p w14:paraId="41B90767" w14:textId="77777777" w:rsidR="001065BA" w:rsidRPr="001065BA" w:rsidRDefault="001065BA" w:rsidP="001065BA">
      <w:pPr>
        <w:jc w:val="both"/>
        <w:rPr>
          <w:sz w:val="23"/>
          <w:szCs w:val="23"/>
        </w:rPr>
      </w:pPr>
    </w:p>
    <w:p w14:paraId="725DD767" w14:textId="77777777" w:rsidR="001065BA" w:rsidRPr="001065BA" w:rsidRDefault="001065BA" w:rsidP="001065BA">
      <w:pPr>
        <w:jc w:val="both"/>
        <w:rPr>
          <w:sz w:val="23"/>
          <w:szCs w:val="23"/>
        </w:rPr>
      </w:pPr>
      <w:r w:rsidRPr="001065BA">
        <w:rPr>
          <w:sz w:val="23"/>
          <w:szCs w:val="23"/>
        </w:rPr>
        <w:t>The increase in distribution plant is primarily due to construction and improvement of distribution lines and substations, and the purchase and installation of customer meters, substations, distribution transformers, and underground systems which serve new and existing customers. This includes the Grid Investment program as approved by the Commission in the 2019 rate case.</w:t>
      </w:r>
    </w:p>
    <w:p w14:paraId="151D7438" w14:textId="77777777" w:rsidR="001065BA" w:rsidRPr="001065BA" w:rsidRDefault="001065BA" w:rsidP="001065BA">
      <w:pPr>
        <w:jc w:val="both"/>
        <w:rPr>
          <w:sz w:val="23"/>
          <w:szCs w:val="23"/>
        </w:rPr>
      </w:pPr>
    </w:p>
    <w:p w14:paraId="26004E1B" w14:textId="77777777" w:rsidR="001065BA" w:rsidRPr="001065BA" w:rsidRDefault="001065BA" w:rsidP="001065BA">
      <w:pPr>
        <w:jc w:val="both"/>
        <w:rPr>
          <w:sz w:val="23"/>
          <w:szCs w:val="23"/>
        </w:rPr>
      </w:pPr>
      <w:r w:rsidRPr="001065BA">
        <w:rPr>
          <w:sz w:val="23"/>
          <w:szCs w:val="23"/>
        </w:rPr>
        <w:t>The increase in general plant is primarily due to additions and capital improvements to region facilities, fleet vehicles, communication equipment, and tools and testing equipment.</w:t>
      </w:r>
    </w:p>
    <w:p w14:paraId="74C11967" w14:textId="77777777" w:rsidR="001065BA" w:rsidRPr="001065BA" w:rsidRDefault="001065BA" w:rsidP="001065BA">
      <w:pPr>
        <w:jc w:val="both"/>
        <w:rPr>
          <w:sz w:val="23"/>
          <w:szCs w:val="23"/>
        </w:rPr>
      </w:pPr>
    </w:p>
    <w:p w14:paraId="2EF87C14" w14:textId="77777777" w:rsidR="001065BA" w:rsidRPr="001065BA" w:rsidRDefault="001065BA" w:rsidP="001065BA">
      <w:pPr>
        <w:jc w:val="both"/>
        <w:rPr>
          <w:sz w:val="23"/>
          <w:szCs w:val="23"/>
        </w:rPr>
      </w:pPr>
      <w:r w:rsidRPr="001065BA">
        <w:rPr>
          <w:sz w:val="23"/>
          <w:szCs w:val="23"/>
        </w:rPr>
        <w:t>The increase in intangible plant is primarily due to work management systems, security systems, and software system upgrades to corporate business systems.</w:t>
      </w:r>
    </w:p>
    <w:p w14:paraId="63AD2382" w14:textId="77777777" w:rsidR="002F19F1" w:rsidRPr="00E651D1" w:rsidRDefault="002F19F1" w:rsidP="00713485">
      <w:pPr>
        <w:jc w:val="both"/>
        <w:rPr>
          <w:sz w:val="23"/>
          <w:szCs w:val="23"/>
          <w:u w:val="single"/>
        </w:rPr>
      </w:pPr>
    </w:p>
    <w:p w14:paraId="04382A7E" w14:textId="73371C20" w:rsidR="003A563C" w:rsidRPr="00E651D1" w:rsidRDefault="003A563C" w:rsidP="00713485">
      <w:pPr>
        <w:jc w:val="both"/>
        <w:rPr>
          <w:sz w:val="23"/>
          <w:szCs w:val="23"/>
        </w:rPr>
      </w:pPr>
      <w:r w:rsidRPr="00630F40">
        <w:rPr>
          <w:sz w:val="23"/>
          <w:szCs w:val="23"/>
          <w:u w:val="single"/>
        </w:rPr>
        <w:t xml:space="preserve">FOOTNOTE </w:t>
      </w:r>
      <w:r w:rsidR="00DD6E01" w:rsidRPr="00630F40">
        <w:rPr>
          <w:sz w:val="23"/>
          <w:szCs w:val="23"/>
          <w:u w:val="single"/>
        </w:rPr>
        <w:t>A</w:t>
      </w:r>
      <w:r w:rsidR="0023525D">
        <w:rPr>
          <w:sz w:val="23"/>
          <w:szCs w:val="23"/>
          <w:u w:val="single"/>
        </w:rPr>
        <w:t>I</w:t>
      </w:r>
      <w:r w:rsidR="00DD6E01" w:rsidRPr="00630F40">
        <w:rPr>
          <w:sz w:val="23"/>
          <w:szCs w:val="23"/>
          <w:u w:val="single"/>
        </w:rPr>
        <w:t>/</w:t>
      </w:r>
      <w:r w:rsidRPr="00630F40">
        <w:rPr>
          <w:sz w:val="23"/>
          <w:szCs w:val="23"/>
        </w:rPr>
        <w:tab/>
      </w:r>
      <w:r w:rsidRPr="00630F40">
        <w:rPr>
          <w:sz w:val="23"/>
          <w:szCs w:val="23"/>
          <w:u w:val="single"/>
        </w:rPr>
        <w:t xml:space="preserve">$ </w:t>
      </w:r>
      <w:r w:rsidR="0023525D">
        <w:rPr>
          <w:sz w:val="23"/>
          <w:szCs w:val="23"/>
          <w:u w:val="single"/>
        </w:rPr>
        <w:t>103,140</w:t>
      </w:r>
      <w:r w:rsidRPr="00630F40">
        <w:rPr>
          <w:sz w:val="23"/>
          <w:szCs w:val="23"/>
        </w:rPr>
        <w:tab/>
        <w:t xml:space="preserve">Nuclear Fuel </w:t>
      </w:r>
    </w:p>
    <w:p w14:paraId="79C2C557" w14:textId="533307A4" w:rsidR="003A563C" w:rsidRDefault="003A563C" w:rsidP="00713485">
      <w:pPr>
        <w:jc w:val="both"/>
        <w:rPr>
          <w:sz w:val="23"/>
          <w:szCs w:val="23"/>
        </w:rPr>
      </w:pPr>
    </w:p>
    <w:p w14:paraId="67B90321" w14:textId="5037FE6E" w:rsidR="00872959" w:rsidRPr="00872959" w:rsidRDefault="00872959" w:rsidP="00872959">
      <w:pPr>
        <w:pStyle w:val="BodyText"/>
        <w:jc w:val="both"/>
        <w:rPr>
          <w:sz w:val="23"/>
          <w:szCs w:val="23"/>
          <w:u w:val="single"/>
        </w:rPr>
      </w:pPr>
      <w:r w:rsidRPr="000E69D0">
        <w:rPr>
          <w:rFonts w:ascii="Times New Roman" w:hAnsi="Times New Roman"/>
          <w:sz w:val="23"/>
          <w:szCs w:val="23"/>
        </w:rPr>
        <w:t xml:space="preserve">The increase is primarily driven by the impact of FOOTNOTE I/, which removes the nuclear fuel associated with Plant Vogtle Units 3 and 4 in 2021.  Additionally, </w:t>
      </w:r>
      <w:r w:rsidR="0041425D">
        <w:rPr>
          <w:rFonts w:ascii="Times New Roman" w:hAnsi="Times New Roman"/>
          <w:sz w:val="23"/>
          <w:szCs w:val="23"/>
        </w:rPr>
        <w:t xml:space="preserve">Plant </w:t>
      </w:r>
      <w:r w:rsidRPr="000E69D0">
        <w:rPr>
          <w:rFonts w:ascii="Times New Roman" w:hAnsi="Times New Roman"/>
          <w:sz w:val="23"/>
          <w:szCs w:val="23"/>
        </w:rPr>
        <w:t>Vogtle</w:t>
      </w:r>
      <w:r w:rsidR="0041425D">
        <w:rPr>
          <w:rFonts w:ascii="Times New Roman" w:hAnsi="Times New Roman"/>
          <w:sz w:val="23"/>
          <w:szCs w:val="23"/>
        </w:rPr>
        <w:t xml:space="preserve"> Unit</w:t>
      </w:r>
      <w:r w:rsidRPr="000E69D0">
        <w:rPr>
          <w:rFonts w:ascii="Times New Roman" w:hAnsi="Times New Roman"/>
          <w:sz w:val="23"/>
          <w:szCs w:val="23"/>
        </w:rPr>
        <w:t xml:space="preserve"> 3 </w:t>
      </w:r>
      <w:r w:rsidR="009C6EB6">
        <w:rPr>
          <w:rFonts w:ascii="Times New Roman" w:hAnsi="Times New Roman"/>
          <w:sz w:val="23"/>
          <w:szCs w:val="23"/>
        </w:rPr>
        <w:t>i</w:t>
      </w:r>
      <w:r w:rsidRPr="000E69D0">
        <w:rPr>
          <w:rFonts w:ascii="Times New Roman" w:hAnsi="Times New Roman"/>
          <w:sz w:val="23"/>
          <w:szCs w:val="23"/>
        </w:rPr>
        <w:t xml:space="preserve">nitial </w:t>
      </w:r>
      <w:r w:rsidR="009C6EB6">
        <w:rPr>
          <w:rFonts w:ascii="Times New Roman" w:hAnsi="Times New Roman"/>
          <w:sz w:val="23"/>
          <w:szCs w:val="23"/>
        </w:rPr>
        <w:t>c</w:t>
      </w:r>
      <w:r w:rsidRPr="000E69D0">
        <w:rPr>
          <w:rFonts w:ascii="Times New Roman" w:hAnsi="Times New Roman"/>
          <w:sz w:val="23"/>
          <w:szCs w:val="23"/>
        </w:rPr>
        <w:t xml:space="preserve">ore </w:t>
      </w:r>
      <w:r w:rsidR="009C6EB6">
        <w:rPr>
          <w:rFonts w:ascii="Times New Roman" w:hAnsi="Times New Roman"/>
          <w:sz w:val="23"/>
          <w:szCs w:val="23"/>
        </w:rPr>
        <w:t>f</w:t>
      </w:r>
      <w:r w:rsidRPr="000E69D0">
        <w:rPr>
          <w:rFonts w:ascii="Times New Roman" w:hAnsi="Times New Roman"/>
          <w:sz w:val="23"/>
          <w:szCs w:val="23"/>
        </w:rPr>
        <w:t xml:space="preserve">uel is projected to </w:t>
      </w:r>
      <w:r w:rsidR="009C6EB6">
        <w:rPr>
          <w:rFonts w:ascii="Times New Roman" w:hAnsi="Times New Roman"/>
          <w:sz w:val="23"/>
          <w:szCs w:val="23"/>
        </w:rPr>
        <w:t>be reclassed</w:t>
      </w:r>
      <w:r w:rsidRPr="000E69D0">
        <w:rPr>
          <w:rFonts w:ascii="Times New Roman" w:hAnsi="Times New Roman"/>
          <w:sz w:val="23"/>
          <w:szCs w:val="23"/>
        </w:rPr>
        <w:t xml:space="preserve"> from CWIP to plant in service during the </w:t>
      </w:r>
      <w:r w:rsidR="009C6EB6">
        <w:rPr>
          <w:rFonts w:ascii="Times New Roman" w:hAnsi="Times New Roman"/>
          <w:sz w:val="23"/>
          <w:szCs w:val="23"/>
        </w:rPr>
        <w:t>t</w:t>
      </w:r>
      <w:r>
        <w:rPr>
          <w:rFonts w:ascii="Times New Roman" w:hAnsi="Times New Roman"/>
          <w:sz w:val="23"/>
          <w:szCs w:val="23"/>
        </w:rPr>
        <w:t xml:space="preserve">est </w:t>
      </w:r>
      <w:r w:rsidR="009C6EB6">
        <w:rPr>
          <w:rFonts w:ascii="Times New Roman" w:hAnsi="Times New Roman"/>
          <w:sz w:val="23"/>
          <w:szCs w:val="23"/>
        </w:rPr>
        <w:t>y</w:t>
      </w:r>
      <w:r>
        <w:rPr>
          <w:rFonts w:ascii="Times New Roman" w:hAnsi="Times New Roman"/>
          <w:sz w:val="23"/>
          <w:szCs w:val="23"/>
        </w:rPr>
        <w:t>ear</w:t>
      </w:r>
      <w:r w:rsidRPr="000E69D0">
        <w:rPr>
          <w:rFonts w:ascii="Times New Roman" w:hAnsi="Times New Roman"/>
          <w:sz w:val="23"/>
          <w:szCs w:val="23"/>
        </w:rPr>
        <w:t xml:space="preserve">.  Nuclear fuel associated with Plant Vogtle Units 3 and 4 is removed from rate base in the test period </w:t>
      </w:r>
      <w:r w:rsidR="0077767A">
        <w:rPr>
          <w:rFonts w:ascii="Times New Roman" w:hAnsi="Times New Roman"/>
          <w:sz w:val="23"/>
          <w:szCs w:val="23"/>
        </w:rPr>
        <w:t>in</w:t>
      </w:r>
      <w:r w:rsidRPr="000E69D0">
        <w:rPr>
          <w:rFonts w:ascii="Times New Roman" w:hAnsi="Times New Roman"/>
          <w:sz w:val="23"/>
          <w:szCs w:val="23"/>
        </w:rPr>
        <w:t xml:space="preserve"> FOOTNOTE CC/.</w:t>
      </w:r>
    </w:p>
    <w:p w14:paraId="2DBCF255" w14:textId="77777777" w:rsidR="00630F40" w:rsidRDefault="00630F40" w:rsidP="00713485">
      <w:pPr>
        <w:pStyle w:val="BodyText"/>
        <w:jc w:val="both"/>
        <w:rPr>
          <w:sz w:val="23"/>
          <w:szCs w:val="23"/>
          <w:u w:val="single"/>
        </w:rPr>
      </w:pPr>
    </w:p>
    <w:p w14:paraId="44A96F42" w14:textId="23F62B2A" w:rsidR="00DD6E01" w:rsidRPr="00630F40" w:rsidRDefault="00DD6E01" w:rsidP="00713485">
      <w:pPr>
        <w:jc w:val="both"/>
        <w:rPr>
          <w:sz w:val="23"/>
          <w:szCs w:val="23"/>
        </w:rPr>
      </w:pPr>
      <w:r w:rsidRPr="00630F40">
        <w:rPr>
          <w:sz w:val="23"/>
          <w:szCs w:val="23"/>
          <w:u w:val="single"/>
        </w:rPr>
        <w:t>FOOTNOTE A</w:t>
      </w:r>
      <w:r w:rsidR="0023525D">
        <w:rPr>
          <w:sz w:val="23"/>
          <w:szCs w:val="23"/>
          <w:u w:val="single"/>
        </w:rPr>
        <w:t>J</w:t>
      </w:r>
      <w:r w:rsidRPr="00630F40">
        <w:rPr>
          <w:sz w:val="23"/>
          <w:szCs w:val="23"/>
          <w:u w:val="single"/>
        </w:rPr>
        <w:t>/</w:t>
      </w:r>
      <w:r w:rsidRPr="00630F40">
        <w:rPr>
          <w:sz w:val="23"/>
          <w:szCs w:val="23"/>
        </w:rPr>
        <w:tab/>
      </w:r>
      <w:r w:rsidRPr="00630F40">
        <w:rPr>
          <w:sz w:val="23"/>
          <w:szCs w:val="23"/>
          <w:u w:val="single"/>
        </w:rPr>
        <w:t xml:space="preserve">$ </w:t>
      </w:r>
      <w:r w:rsidR="0031138D" w:rsidRPr="00630F40">
        <w:rPr>
          <w:sz w:val="23"/>
          <w:szCs w:val="23"/>
          <w:u w:val="single"/>
        </w:rPr>
        <w:t>(</w:t>
      </w:r>
      <w:r w:rsidR="0023525D">
        <w:rPr>
          <w:sz w:val="23"/>
          <w:szCs w:val="23"/>
          <w:u w:val="single"/>
        </w:rPr>
        <w:t>8,133</w:t>
      </w:r>
      <w:r w:rsidR="0031138D" w:rsidRPr="00630F40">
        <w:rPr>
          <w:sz w:val="23"/>
          <w:szCs w:val="23"/>
          <w:u w:val="single"/>
        </w:rPr>
        <w:t>)</w:t>
      </w:r>
      <w:r w:rsidR="00F84D56" w:rsidRPr="00630F40">
        <w:rPr>
          <w:sz w:val="23"/>
          <w:szCs w:val="23"/>
        </w:rPr>
        <w:tab/>
      </w:r>
      <w:r w:rsidR="0031138D" w:rsidRPr="00630F40">
        <w:rPr>
          <w:sz w:val="23"/>
          <w:szCs w:val="23"/>
        </w:rPr>
        <w:t xml:space="preserve">Electric </w:t>
      </w:r>
      <w:r w:rsidRPr="00630F40">
        <w:rPr>
          <w:sz w:val="23"/>
          <w:szCs w:val="23"/>
        </w:rPr>
        <w:t xml:space="preserve">Plant Held for Future Use </w:t>
      </w:r>
    </w:p>
    <w:p w14:paraId="331E22A6" w14:textId="0F22BCD2" w:rsidR="00DD6E01" w:rsidRDefault="00DD6E01" w:rsidP="00713485">
      <w:pPr>
        <w:jc w:val="both"/>
        <w:rPr>
          <w:sz w:val="23"/>
          <w:szCs w:val="23"/>
        </w:rPr>
      </w:pPr>
    </w:p>
    <w:p w14:paraId="5233BCB0" w14:textId="4FA404B5" w:rsidR="00723E15" w:rsidRPr="00723E15" w:rsidRDefault="00723E15" w:rsidP="00723E15">
      <w:pPr>
        <w:jc w:val="both"/>
        <w:rPr>
          <w:rFonts w:ascii="Arial" w:hAnsi="Arial"/>
          <w:sz w:val="23"/>
          <w:szCs w:val="23"/>
          <w:u w:val="single"/>
        </w:rPr>
      </w:pPr>
      <w:r w:rsidRPr="00723E15">
        <w:rPr>
          <w:sz w:val="23"/>
          <w:szCs w:val="23"/>
        </w:rPr>
        <w:t>The decrease is primarily due to the commencement of construction on two transmission line projects and a distribution substation resulting in land associated with the projects transferring from PHFFU to CWIP. The decrease also includes the reduction of the Stewart County land balance</w:t>
      </w:r>
      <w:r w:rsidR="00A63C59">
        <w:rPr>
          <w:sz w:val="23"/>
          <w:szCs w:val="23"/>
        </w:rPr>
        <w:t xml:space="preserve"> due to </w:t>
      </w:r>
      <w:r w:rsidR="00A63C59" w:rsidRPr="00723E15">
        <w:rPr>
          <w:sz w:val="23"/>
          <w:szCs w:val="23"/>
        </w:rPr>
        <w:t>budgeted timber sale</w:t>
      </w:r>
      <w:r w:rsidR="00A63C59">
        <w:rPr>
          <w:sz w:val="23"/>
          <w:szCs w:val="23"/>
        </w:rPr>
        <w:t>s</w:t>
      </w:r>
      <w:r w:rsidRPr="00723E15">
        <w:rPr>
          <w:sz w:val="23"/>
          <w:szCs w:val="23"/>
        </w:rPr>
        <w:t xml:space="preserve">. Additional details for electric plant held for future use are provided in MFR A-5.  </w:t>
      </w:r>
    </w:p>
    <w:p w14:paraId="42B26E06" w14:textId="77777777" w:rsidR="00723E15" w:rsidRPr="00E651D1" w:rsidRDefault="00723E15" w:rsidP="00713485">
      <w:pPr>
        <w:jc w:val="both"/>
        <w:rPr>
          <w:sz w:val="23"/>
          <w:szCs w:val="23"/>
        </w:rPr>
      </w:pPr>
    </w:p>
    <w:p w14:paraId="513F7FF3" w14:textId="563A4D59" w:rsidR="00962F77" w:rsidRPr="00E651D1" w:rsidRDefault="003A563C" w:rsidP="00713485">
      <w:pPr>
        <w:ind w:left="2160" w:hanging="2160"/>
        <w:jc w:val="both"/>
        <w:rPr>
          <w:sz w:val="23"/>
          <w:szCs w:val="23"/>
        </w:rPr>
      </w:pPr>
      <w:r w:rsidRPr="00C24502">
        <w:rPr>
          <w:sz w:val="23"/>
          <w:szCs w:val="23"/>
          <w:u w:val="single"/>
        </w:rPr>
        <w:t xml:space="preserve">FOOTNOTE </w:t>
      </w:r>
      <w:r w:rsidR="00962F77" w:rsidRPr="00C24502">
        <w:rPr>
          <w:sz w:val="23"/>
          <w:szCs w:val="23"/>
          <w:u w:val="single"/>
        </w:rPr>
        <w:t>A</w:t>
      </w:r>
      <w:r w:rsidR="0023525D">
        <w:rPr>
          <w:sz w:val="23"/>
          <w:szCs w:val="23"/>
          <w:u w:val="single"/>
        </w:rPr>
        <w:t>K</w:t>
      </w:r>
      <w:r w:rsidRPr="00C24502">
        <w:rPr>
          <w:sz w:val="23"/>
          <w:szCs w:val="23"/>
          <w:u w:val="single"/>
        </w:rPr>
        <w:t>/</w:t>
      </w:r>
      <w:r w:rsidRPr="00C24502">
        <w:rPr>
          <w:sz w:val="23"/>
          <w:szCs w:val="23"/>
        </w:rPr>
        <w:tab/>
      </w:r>
      <w:r w:rsidRPr="00C24502">
        <w:rPr>
          <w:sz w:val="23"/>
          <w:szCs w:val="23"/>
          <w:u w:val="single"/>
        </w:rPr>
        <w:t xml:space="preserve">$ </w:t>
      </w:r>
      <w:r w:rsidR="009A14C6">
        <w:rPr>
          <w:sz w:val="23"/>
          <w:szCs w:val="23"/>
          <w:u w:val="single"/>
        </w:rPr>
        <w:t>627,475</w:t>
      </w:r>
      <w:r w:rsidR="00A04727" w:rsidRPr="00C24502">
        <w:rPr>
          <w:sz w:val="23"/>
          <w:szCs w:val="23"/>
        </w:rPr>
        <w:tab/>
      </w:r>
      <w:r w:rsidRPr="00C24502">
        <w:rPr>
          <w:sz w:val="23"/>
          <w:szCs w:val="23"/>
        </w:rPr>
        <w:t>Acc</w:t>
      </w:r>
      <w:r w:rsidR="00A63C59">
        <w:rPr>
          <w:sz w:val="23"/>
          <w:szCs w:val="23"/>
        </w:rPr>
        <w:t>umulated</w:t>
      </w:r>
      <w:r w:rsidRPr="00C24502">
        <w:rPr>
          <w:sz w:val="23"/>
          <w:szCs w:val="23"/>
        </w:rPr>
        <w:t xml:space="preserve"> Depr</w:t>
      </w:r>
      <w:r w:rsidR="00A63C59">
        <w:rPr>
          <w:sz w:val="23"/>
          <w:szCs w:val="23"/>
        </w:rPr>
        <w:t>eciation and</w:t>
      </w:r>
      <w:r w:rsidR="00962F77" w:rsidRPr="00C24502">
        <w:rPr>
          <w:sz w:val="23"/>
          <w:szCs w:val="23"/>
        </w:rPr>
        <w:t xml:space="preserve"> Amort</w:t>
      </w:r>
      <w:r w:rsidR="00A63C59">
        <w:rPr>
          <w:sz w:val="23"/>
          <w:szCs w:val="23"/>
        </w:rPr>
        <w:t>ization</w:t>
      </w:r>
    </w:p>
    <w:p w14:paraId="0C1C67F2" w14:textId="77777777" w:rsidR="00D06221" w:rsidRPr="002F19F1" w:rsidRDefault="00D06221" w:rsidP="00713485">
      <w:pPr>
        <w:jc w:val="both"/>
        <w:rPr>
          <w:sz w:val="23"/>
          <w:szCs w:val="23"/>
          <w:highlight w:val="green"/>
        </w:rPr>
      </w:pPr>
    </w:p>
    <w:p w14:paraId="12AB363B" w14:textId="6CFC5963" w:rsidR="007E5675" w:rsidRPr="001065BA" w:rsidRDefault="001065BA" w:rsidP="00713485">
      <w:pPr>
        <w:pStyle w:val="BodyText"/>
        <w:tabs>
          <w:tab w:val="decimal" w:pos="4680"/>
          <w:tab w:val="decimal" w:pos="5850"/>
        </w:tabs>
        <w:jc w:val="both"/>
        <w:rPr>
          <w:rFonts w:ascii="Times New Roman" w:hAnsi="Times New Roman"/>
          <w:color w:val="FF0000"/>
          <w:sz w:val="23"/>
          <w:szCs w:val="23"/>
        </w:rPr>
      </w:pPr>
      <w:r w:rsidRPr="00A86DCB">
        <w:rPr>
          <w:rFonts w:ascii="Times New Roman" w:hAnsi="Times New Roman"/>
          <w:sz w:val="23"/>
          <w:szCs w:val="23"/>
        </w:rPr>
        <w:t xml:space="preserve">The increase is due to depreciation and removal costs </w:t>
      </w:r>
      <w:r w:rsidR="00013F18">
        <w:rPr>
          <w:rFonts w:ascii="Times New Roman" w:hAnsi="Times New Roman"/>
          <w:sz w:val="23"/>
          <w:szCs w:val="23"/>
        </w:rPr>
        <w:t xml:space="preserve">in 2022 based on current depreciation rates </w:t>
      </w:r>
      <w:r w:rsidRPr="00A86DCB">
        <w:rPr>
          <w:rFonts w:ascii="Times New Roman" w:hAnsi="Times New Roman"/>
          <w:sz w:val="23"/>
          <w:szCs w:val="23"/>
        </w:rPr>
        <w:t>and incorporation of new</w:t>
      </w:r>
      <w:r w:rsidR="00013F18">
        <w:rPr>
          <w:rFonts w:ascii="Times New Roman" w:hAnsi="Times New Roman"/>
          <w:sz w:val="23"/>
          <w:szCs w:val="23"/>
        </w:rPr>
        <w:t xml:space="preserve"> proposed</w:t>
      </w:r>
      <w:r w:rsidRPr="00A86DCB">
        <w:rPr>
          <w:rFonts w:ascii="Times New Roman" w:hAnsi="Times New Roman"/>
          <w:sz w:val="23"/>
          <w:szCs w:val="23"/>
        </w:rPr>
        <w:t xml:space="preserve"> depreciation rates </w:t>
      </w:r>
      <w:r w:rsidR="00013F18">
        <w:rPr>
          <w:rFonts w:ascii="Times New Roman" w:hAnsi="Times New Roman"/>
          <w:sz w:val="23"/>
          <w:szCs w:val="23"/>
        </w:rPr>
        <w:t>beginning in 2023</w:t>
      </w:r>
      <w:r w:rsidRPr="00A86DCB">
        <w:rPr>
          <w:rFonts w:ascii="Times New Roman" w:hAnsi="Times New Roman"/>
          <w:sz w:val="23"/>
          <w:szCs w:val="23"/>
        </w:rPr>
        <w:t xml:space="preserve">, partially offset by </w:t>
      </w:r>
      <w:r w:rsidR="00013F18">
        <w:rPr>
          <w:rFonts w:ascii="Times New Roman" w:hAnsi="Times New Roman"/>
          <w:sz w:val="23"/>
          <w:szCs w:val="23"/>
        </w:rPr>
        <w:t xml:space="preserve">the </w:t>
      </w:r>
      <w:r w:rsidR="00013F18" w:rsidRPr="00013F18">
        <w:rPr>
          <w:rFonts w:ascii="Times New Roman" w:hAnsi="Times New Roman"/>
          <w:sz w:val="23"/>
          <w:szCs w:val="23"/>
        </w:rPr>
        <w:t>proposed retirement of Plant Wansley Units 1, 2, 5A and Plant Boulevard Unit 1</w:t>
      </w:r>
      <w:r w:rsidRPr="00A86DCB">
        <w:rPr>
          <w:rFonts w:ascii="Times New Roman" w:hAnsi="Times New Roman"/>
          <w:sz w:val="23"/>
          <w:szCs w:val="23"/>
        </w:rPr>
        <w:t>.  Functional breakdown of the increase is as follows:</w:t>
      </w:r>
      <w:r>
        <w:rPr>
          <w:rFonts w:ascii="Times New Roman" w:hAnsi="Times New Roman"/>
          <w:sz w:val="23"/>
          <w:szCs w:val="23"/>
        </w:rPr>
        <w:t xml:space="preserve"> </w:t>
      </w:r>
    </w:p>
    <w:p w14:paraId="6C19A4CC" w14:textId="77777777" w:rsidR="001065BA" w:rsidRPr="00E651D1" w:rsidRDefault="001065BA" w:rsidP="00713485">
      <w:pPr>
        <w:pStyle w:val="BodyText"/>
        <w:tabs>
          <w:tab w:val="decimal" w:pos="4680"/>
          <w:tab w:val="decimal" w:pos="5850"/>
        </w:tabs>
        <w:jc w:val="both"/>
        <w:rPr>
          <w:rFonts w:ascii="Times New Roman" w:hAnsi="Times New Roman"/>
          <w:sz w:val="23"/>
          <w:szCs w:val="23"/>
        </w:rPr>
      </w:pPr>
    </w:p>
    <w:p w14:paraId="4D4C216B" w14:textId="70F9EDD9" w:rsidR="00986E49" w:rsidRPr="00E651D1" w:rsidRDefault="009A14C6" w:rsidP="00713485">
      <w:pPr>
        <w:jc w:val="center"/>
        <w:rPr>
          <w:sz w:val="23"/>
          <w:szCs w:val="23"/>
          <w:u w:val="single"/>
        </w:rPr>
      </w:pPr>
      <w:r w:rsidRPr="009A14C6">
        <w:rPr>
          <w:noProof/>
        </w:rPr>
        <w:drawing>
          <wp:inline distT="0" distB="0" distL="0" distR="0" wp14:anchorId="371AD98F" wp14:editId="2189E10E">
            <wp:extent cx="5486400" cy="1781810"/>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1781810"/>
                    </a:xfrm>
                    <a:prstGeom prst="rect">
                      <a:avLst/>
                    </a:prstGeom>
                    <a:noFill/>
                    <a:ln>
                      <a:noFill/>
                    </a:ln>
                  </pic:spPr>
                </pic:pic>
              </a:graphicData>
            </a:graphic>
          </wp:inline>
        </w:drawing>
      </w:r>
    </w:p>
    <w:p w14:paraId="7CAAD13F" w14:textId="77777777" w:rsidR="00722583" w:rsidRPr="00E651D1" w:rsidRDefault="00722583" w:rsidP="00713485">
      <w:pPr>
        <w:jc w:val="both"/>
        <w:rPr>
          <w:sz w:val="23"/>
          <w:szCs w:val="23"/>
          <w:u w:val="single"/>
        </w:rPr>
      </w:pPr>
    </w:p>
    <w:p w14:paraId="402A53C0" w14:textId="5015B059" w:rsidR="003A563C" w:rsidRPr="00E651D1" w:rsidRDefault="003A563C" w:rsidP="00713485">
      <w:pPr>
        <w:jc w:val="both"/>
        <w:rPr>
          <w:sz w:val="23"/>
          <w:szCs w:val="23"/>
        </w:rPr>
      </w:pPr>
      <w:r w:rsidRPr="00E651D1">
        <w:rPr>
          <w:sz w:val="23"/>
          <w:szCs w:val="23"/>
          <w:u w:val="single"/>
        </w:rPr>
        <w:t xml:space="preserve">FOOTNOTE </w:t>
      </w:r>
      <w:r w:rsidR="001A0CBA" w:rsidRPr="00E651D1">
        <w:rPr>
          <w:sz w:val="23"/>
          <w:szCs w:val="23"/>
          <w:u w:val="single"/>
        </w:rPr>
        <w:t>A</w:t>
      </w:r>
      <w:r w:rsidR="009A14C6">
        <w:rPr>
          <w:sz w:val="23"/>
          <w:szCs w:val="23"/>
          <w:u w:val="single"/>
        </w:rPr>
        <w:t>L</w:t>
      </w:r>
      <w:r w:rsidRPr="00E651D1">
        <w:rPr>
          <w:sz w:val="23"/>
          <w:szCs w:val="23"/>
          <w:u w:val="single"/>
        </w:rPr>
        <w:t>/</w:t>
      </w:r>
      <w:r w:rsidR="00031718" w:rsidRPr="00E651D1">
        <w:rPr>
          <w:sz w:val="23"/>
          <w:szCs w:val="23"/>
        </w:rPr>
        <w:tab/>
      </w:r>
      <w:r w:rsidRPr="00E651D1">
        <w:rPr>
          <w:sz w:val="23"/>
          <w:szCs w:val="23"/>
          <w:u w:val="single"/>
        </w:rPr>
        <w:t>$</w:t>
      </w:r>
      <w:r w:rsidR="009A14C6">
        <w:rPr>
          <w:sz w:val="23"/>
          <w:szCs w:val="23"/>
          <w:u w:val="single"/>
        </w:rPr>
        <w:t>(3,676)</w:t>
      </w:r>
      <w:r w:rsidR="00717A46" w:rsidRPr="00A3204C">
        <w:rPr>
          <w:sz w:val="23"/>
          <w:szCs w:val="23"/>
        </w:rPr>
        <w:tab/>
      </w:r>
      <w:r w:rsidRPr="00E651D1">
        <w:rPr>
          <w:sz w:val="23"/>
          <w:szCs w:val="23"/>
        </w:rPr>
        <w:t>Accum</w:t>
      </w:r>
      <w:r w:rsidR="00A63C59">
        <w:rPr>
          <w:sz w:val="23"/>
          <w:szCs w:val="23"/>
        </w:rPr>
        <w:t>ulated</w:t>
      </w:r>
      <w:r w:rsidRPr="00E651D1">
        <w:rPr>
          <w:sz w:val="23"/>
          <w:szCs w:val="23"/>
        </w:rPr>
        <w:t xml:space="preserve"> Nuclear Fuel </w:t>
      </w:r>
      <w:r w:rsidR="001A0CBA" w:rsidRPr="00E651D1">
        <w:rPr>
          <w:sz w:val="23"/>
          <w:szCs w:val="23"/>
        </w:rPr>
        <w:t>Amor</w:t>
      </w:r>
      <w:r w:rsidR="002254C2">
        <w:rPr>
          <w:sz w:val="23"/>
          <w:szCs w:val="23"/>
        </w:rPr>
        <w:t>tization</w:t>
      </w:r>
    </w:p>
    <w:p w14:paraId="32DBBBF3" w14:textId="098229B7" w:rsidR="00D06221" w:rsidRDefault="00D06221" w:rsidP="00713485">
      <w:pPr>
        <w:jc w:val="both"/>
        <w:rPr>
          <w:sz w:val="23"/>
          <w:szCs w:val="23"/>
        </w:rPr>
      </w:pPr>
    </w:p>
    <w:p w14:paraId="6186F6F1" w14:textId="4CECCFE3" w:rsidR="00872959" w:rsidRPr="00E651D1" w:rsidRDefault="00872959" w:rsidP="00713485">
      <w:pPr>
        <w:jc w:val="both"/>
        <w:rPr>
          <w:sz w:val="23"/>
          <w:szCs w:val="23"/>
        </w:rPr>
      </w:pPr>
      <w:r w:rsidRPr="00872959">
        <w:rPr>
          <w:sz w:val="23"/>
          <w:szCs w:val="23"/>
        </w:rPr>
        <w:t>The decrease in amortization is a result of lower projected fuel reload cost placed in service during the test period</w:t>
      </w:r>
      <w:r w:rsidR="008A0770">
        <w:rPr>
          <w:sz w:val="23"/>
          <w:szCs w:val="23"/>
        </w:rPr>
        <w:t>, which is pa</w:t>
      </w:r>
      <w:r w:rsidRPr="00872959">
        <w:rPr>
          <w:sz w:val="23"/>
          <w:szCs w:val="23"/>
        </w:rPr>
        <w:t xml:space="preserve">rtially </w:t>
      </w:r>
      <w:r w:rsidR="008A0770">
        <w:rPr>
          <w:sz w:val="23"/>
          <w:szCs w:val="23"/>
        </w:rPr>
        <w:t>offset by the</w:t>
      </w:r>
      <w:r w:rsidRPr="00872959">
        <w:rPr>
          <w:sz w:val="23"/>
          <w:szCs w:val="23"/>
        </w:rPr>
        <w:t xml:space="preserve"> amortization for the commercial startup of </w:t>
      </w:r>
      <w:r w:rsidR="001769D8">
        <w:rPr>
          <w:sz w:val="23"/>
          <w:szCs w:val="23"/>
        </w:rPr>
        <w:t xml:space="preserve">Plant </w:t>
      </w:r>
      <w:r w:rsidRPr="00872959">
        <w:rPr>
          <w:sz w:val="23"/>
          <w:szCs w:val="23"/>
        </w:rPr>
        <w:t>Vogtle Unit 3 during the test period.</w:t>
      </w:r>
      <w:r w:rsidR="008A0770" w:rsidRPr="008A0770">
        <w:rPr>
          <w:sz w:val="23"/>
          <w:szCs w:val="23"/>
        </w:rPr>
        <w:t xml:space="preserve"> </w:t>
      </w:r>
      <w:r w:rsidR="008A0770" w:rsidRPr="000E69D0">
        <w:rPr>
          <w:sz w:val="23"/>
          <w:szCs w:val="23"/>
        </w:rPr>
        <w:t xml:space="preserve">Nuclear fuel associated with Plant Vogtle Unit 3 </w:t>
      </w:r>
      <w:r w:rsidR="008A0770">
        <w:rPr>
          <w:sz w:val="23"/>
          <w:szCs w:val="23"/>
        </w:rPr>
        <w:t>is</w:t>
      </w:r>
      <w:r w:rsidR="008A0770" w:rsidRPr="000E69D0">
        <w:rPr>
          <w:sz w:val="23"/>
          <w:szCs w:val="23"/>
        </w:rPr>
        <w:t xml:space="preserve"> removed from rate base in the test period </w:t>
      </w:r>
      <w:r w:rsidR="0077767A">
        <w:rPr>
          <w:sz w:val="23"/>
          <w:szCs w:val="23"/>
        </w:rPr>
        <w:t>in</w:t>
      </w:r>
      <w:r w:rsidR="008A0770" w:rsidRPr="000E69D0">
        <w:rPr>
          <w:sz w:val="23"/>
          <w:szCs w:val="23"/>
        </w:rPr>
        <w:t xml:space="preserve"> FOOTNOTE C</w:t>
      </w:r>
      <w:r w:rsidR="008A0770">
        <w:rPr>
          <w:sz w:val="23"/>
          <w:szCs w:val="23"/>
        </w:rPr>
        <w:t>E</w:t>
      </w:r>
      <w:r w:rsidR="008A0770" w:rsidRPr="000E69D0">
        <w:rPr>
          <w:sz w:val="23"/>
          <w:szCs w:val="23"/>
        </w:rPr>
        <w:t>/</w:t>
      </w:r>
      <w:r w:rsidR="008A0770">
        <w:rPr>
          <w:sz w:val="23"/>
          <w:szCs w:val="23"/>
        </w:rPr>
        <w:t>.</w:t>
      </w:r>
    </w:p>
    <w:p w14:paraId="789B37F5" w14:textId="77777777" w:rsidR="00DE660E" w:rsidRPr="00E651D1" w:rsidRDefault="00DE660E" w:rsidP="00713485">
      <w:pPr>
        <w:jc w:val="both"/>
        <w:rPr>
          <w:sz w:val="23"/>
          <w:szCs w:val="23"/>
        </w:rPr>
      </w:pPr>
    </w:p>
    <w:p w14:paraId="75BE97C1" w14:textId="15713ED4" w:rsidR="003A563C" w:rsidRPr="00E651D1" w:rsidRDefault="003A563C" w:rsidP="00713485">
      <w:pPr>
        <w:jc w:val="both"/>
        <w:rPr>
          <w:sz w:val="23"/>
          <w:szCs w:val="23"/>
        </w:rPr>
      </w:pPr>
      <w:r w:rsidRPr="00E651D1">
        <w:rPr>
          <w:sz w:val="23"/>
          <w:szCs w:val="23"/>
          <w:u w:val="single"/>
        </w:rPr>
        <w:t xml:space="preserve">FOOTNOTE </w:t>
      </w:r>
      <w:r w:rsidR="001A0CBA" w:rsidRPr="00E651D1">
        <w:rPr>
          <w:sz w:val="23"/>
          <w:szCs w:val="23"/>
          <w:u w:val="single"/>
        </w:rPr>
        <w:t>A</w:t>
      </w:r>
      <w:r w:rsidR="00A3204C">
        <w:rPr>
          <w:sz w:val="23"/>
          <w:szCs w:val="23"/>
          <w:u w:val="single"/>
        </w:rPr>
        <w:t>M</w:t>
      </w:r>
      <w:r w:rsidRPr="00E651D1">
        <w:rPr>
          <w:sz w:val="23"/>
          <w:szCs w:val="23"/>
        </w:rPr>
        <w:t>/</w:t>
      </w:r>
      <w:r w:rsidRPr="00E651D1">
        <w:rPr>
          <w:sz w:val="23"/>
          <w:szCs w:val="23"/>
        </w:rPr>
        <w:tab/>
      </w:r>
      <w:r w:rsidRPr="00E651D1">
        <w:rPr>
          <w:sz w:val="23"/>
          <w:szCs w:val="23"/>
          <w:u w:val="single"/>
        </w:rPr>
        <w:t>$</w:t>
      </w:r>
      <w:r w:rsidR="00A3204C">
        <w:rPr>
          <w:sz w:val="23"/>
          <w:szCs w:val="23"/>
          <w:u w:val="single"/>
        </w:rPr>
        <w:t>68,702</w:t>
      </w:r>
      <w:r w:rsidRPr="00E651D1">
        <w:rPr>
          <w:sz w:val="23"/>
          <w:szCs w:val="23"/>
        </w:rPr>
        <w:tab/>
        <w:t>Fuel and Materials &amp; Supplies Inventory</w:t>
      </w:r>
      <w:r w:rsidR="00174021">
        <w:rPr>
          <w:sz w:val="23"/>
          <w:szCs w:val="23"/>
        </w:rPr>
        <w:t xml:space="preserve"> </w:t>
      </w:r>
    </w:p>
    <w:p w14:paraId="2BD0BABB" w14:textId="77777777" w:rsidR="003A563C" w:rsidRPr="00E651D1" w:rsidRDefault="003A563C" w:rsidP="00713485">
      <w:pPr>
        <w:jc w:val="both"/>
        <w:rPr>
          <w:sz w:val="23"/>
          <w:szCs w:val="23"/>
        </w:rPr>
      </w:pPr>
    </w:p>
    <w:p w14:paraId="019855E7" w14:textId="77777777" w:rsidR="003A563C" w:rsidRPr="00E651D1" w:rsidRDefault="003A563C" w:rsidP="00713485">
      <w:pPr>
        <w:jc w:val="both"/>
        <w:rPr>
          <w:sz w:val="23"/>
          <w:szCs w:val="23"/>
        </w:rPr>
      </w:pPr>
      <w:r w:rsidRPr="00E651D1">
        <w:rPr>
          <w:sz w:val="23"/>
          <w:szCs w:val="23"/>
        </w:rPr>
        <w:t xml:space="preserve">The following is </w:t>
      </w:r>
      <w:r w:rsidR="00174021">
        <w:rPr>
          <w:sz w:val="23"/>
          <w:szCs w:val="23"/>
        </w:rPr>
        <w:t xml:space="preserve">a further breakdown of the change </w:t>
      </w:r>
      <w:r w:rsidRPr="00E651D1">
        <w:rPr>
          <w:sz w:val="23"/>
          <w:szCs w:val="23"/>
        </w:rPr>
        <w:t>in Fuel and Materials &amp; Supplies Inventory:</w:t>
      </w:r>
    </w:p>
    <w:p w14:paraId="4C243AB6" w14:textId="77777777" w:rsidR="000B1F75" w:rsidRPr="00E651D1" w:rsidRDefault="000B1F75" w:rsidP="00713485">
      <w:pPr>
        <w:jc w:val="both"/>
        <w:rPr>
          <w:sz w:val="23"/>
          <w:szCs w:val="23"/>
        </w:rPr>
      </w:pPr>
    </w:p>
    <w:p w14:paraId="24ED3003" w14:textId="5D22949E" w:rsidR="001A0CBA" w:rsidRPr="00E651D1" w:rsidRDefault="00A3204C" w:rsidP="00713485">
      <w:pPr>
        <w:jc w:val="center"/>
        <w:rPr>
          <w:sz w:val="23"/>
          <w:szCs w:val="23"/>
        </w:rPr>
      </w:pPr>
      <w:bookmarkStart w:id="23" w:name="_Hlk104835023"/>
      <w:r w:rsidRPr="00A3204C">
        <w:rPr>
          <w:noProof/>
        </w:rPr>
        <w:drawing>
          <wp:inline distT="0" distB="0" distL="0" distR="0" wp14:anchorId="0A21170B" wp14:editId="194EAE84">
            <wp:extent cx="5486400" cy="13976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1397635"/>
                    </a:xfrm>
                    <a:prstGeom prst="rect">
                      <a:avLst/>
                    </a:prstGeom>
                    <a:noFill/>
                    <a:ln>
                      <a:noFill/>
                    </a:ln>
                  </pic:spPr>
                </pic:pic>
              </a:graphicData>
            </a:graphic>
          </wp:inline>
        </w:drawing>
      </w:r>
    </w:p>
    <w:p w14:paraId="3A57A481" w14:textId="77777777" w:rsidR="001E413E" w:rsidRPr="00E651D1" w:rsidRDefault="001E413E" w:rsidP="00713485">
      <w:pPr>
        <w:jc w:val="both"/>
        <w:rPr>
          <w:sz w:val="23"/>
          <w:szCs w:val="23"/>
        </w:rPr>
      </w:pPr>
    </w:p>
    <w:p w14:paraId="4F4EB24B" w14:textId="54BCE6BD" w:rsidR="003333F8" w:rsidRPr="00EC0BB5" w:rsidRDefault="0016467E" w:rsidP="00713485">
      <w:pPr>
        <w:pStyle w:val="BodyText"/>
        <w:jc w:val="both"/>
        <w:rPr>
          <w:rFonts w:ascii="Times New Roman" w:hAnsi="Times New Roman"/>
          <w:sz w:val="23"/>
          <w:szCs w:val="23"/>
        </w:rPr>
      </w:pPr>
      <w:r w:rsidRPr="0016467E">
        <w:rPr>
          <w:rFonts w:ascii="Times New Roman" w:hAnsi="Times New Roman"/>
          <w:sz w:val="23"/>
          <w:szCs w:val="23"/>
        </w:rPr>
        <w:t>The increase</w:t>
      </w:r>
      <w:r w:rsidR="00223479">
        <w:rPr>
          <w:rFonts w:ascii="Times New Roman" w:hAnsi="Times New Roman"/>
          <w:sz w:val="23"/>
          <w:szCs w:val="23"/>
        </w:rPr>
        <w:t xml:space="preserve"> in </w:t>
      </w:r>
      <w:r w:rsidR="001769D8">
        <w:rPr>
          <w:rFonts w:ascii="Times New Roman" w:hAnsi="Times New Roman"/>
          <w:sz w:val="23"/>
          <w:szCs w:val="23"/>
        </w:rPr>
        <w:t>m</w:t>
      </w:r>
      <w:r w:rsidR="00223479">
        <w:rPr>
          <w:rFonts w:ascii="Times New Roman" w:hAnsi="Times New Roman"/>
          <w:sz w:val="23"/>
          <w:szCs w:val="23"/>
        </w:rPr>
        <w:t xml:space="preserve">aterials and </w:t>
      </w:r>
      <w:r w:rsidR="001769D8">
        <w:rPr>
          <w:rFonts w:ascii="Times New Roman" w:hAnsi="Times New Roman"/>
          <w:sz w:val="23"/>
          <w:szCs w:val="23"/>
        </w:rPr>
        <w:t>s</w:t>
      </w:r>
      <w:r w:rsidR="00223479">
        <w:rPr>
          <w:rFonts w:ascii="Times New Roman" w:hAnsi="Times New Roman"/>
          <w:sz w:val="23"/>
          <w:szCs w:val="23"/>
        </w:rPr>
        <w:t xml:space="preserve">upplies </w:t>
      </w:r>
      <w:r w:rsidR="001769D8">
        <w:rPr>
          <w:rFonts w:ascii="Times New Roman" w:hAnsi="Times New Roman"/>
          <w:sz w:val="23"/>
          <w:szCs w:val="23"/>
        </w:rPr>
        <w:t>i</w:t>
      </w:r>
      <w:r w:rsidR="00223479">
        <w:rPr>
          <w:rFonts w:ascii="Times New Roman" w:hAnsi="Times New Roman"/>
          <w:sz w:val="23"/>
          <w:szCs w:val="23"/>
        </w:rPr>
        <w:t xml:space="preserve">nventory </w:t>
      </w:r>
      <w:r>
        <w:rPr>
          <w:rFonts w:ascii="Times New Roman" w:hAnsi="Times New Roman"/>
          <w:sz w:val="23"/>
          <w:szCs w:val="23"/>
        </w:rPr>
        <w:t xml:space="preserve">is primarily driven by </w:t>
      </w:r>
      <w:r w:rsidR="00223479">
        <w:rPr>
          <w:rFonts w:ascii="Times New Roman" w:hAnsi="Times New Roman"/>
          <w:sz w:val="23"/>
          <w:szCs w:val="23"/>
        </w:rPr>
        <w:t xml:space="preserve">inflationary pressures resulting from COVID-19 induced bottlenecks, supply shortages and strong demand causing an upward shift </w:t>
      </w:r>
      <w:r w:rsidR="00A90F06">
        <w:rPr>
          <w:rFonts w:ascii="Times New Roman" w:hAnsi="Times New Roman"/>
          <w:sz w:val="23"/>
          <w:szCs w:val="23"/>
        </w:rPr>
        <w:t xml:space="preserve">in the Producer Price Index, </w:t>
      </w:r>
      <w:r w:rsidR="005F2675">
        <w:rPr>
          <w:rFonts w:ascii="Times New Roman" w:hAnsi="Times New Roman"/>
          <w:sz w:val="23"/>
          <w:szCs w:val="23"/>
        </w:rPr>
        <w:t>as well as the impact of FOOTNOTE K/, which removes the Materials and Supplies Inventory associated with Unregulated Outdoor Lighting. P</w:t>
      </w:r>
      <w:r w:rsidR="00A90F06">
        <w:rPr>
          <w:rFonts w:ascii="Times New Roman" w:hAnsi="Times New Roman"/>
          <w:sz w:val="23"/>
          <w:szCs w:val="23"/>
        </w:rPr>
        <w:t>artiall</w:t>
      </w:r>
      <w:r w:rsidR="005F2675">
        <w:rPr>
          <w:rFonts w:ascii="Times New Roman" w:hAnsi="Times New Roman"/>
          <w:sz w:val="23"/>
          <w:szCs w:val="23"/>
        </w:rPr>
        <w:t>y offsetting this increase is</w:t>
      </w:r>
      <w:r w:rsidR="00A90F06">
        <w:rPr>
          <w:rFonts w:ascii="Times New Roman" w:hAnsi="Times New Roman"/>
          <w:sz w:val="23"/>
          <w:szCs w:val="23"/>
        </w:rPr>
        <w:t xml:space="preserve"> the reclassification of</w:t>
      </w:r>
      <w:r w:rsidR="00431255">
        <w:rPr>
          <w:rFonts w:ascii="Times New Roman" w:hAnsi="Times New Roman"/>
          <w:sz w:val="23"/>
          <w:szCs w:val="23"/>
        </w:rPr>
        <w:t xml:space="preserve"> unusable</w:t>
      </w:r>
      <w:r w:rsidR="00A90F06">
        <w:rPr>
          <w:rFonts w:ascii="Times New Roman" w:hAnsi="Times New Roman"/>
          <w:sz w:val="23"/>
          <w:szCs w:val="23"/>
        </w:rPr>
        <w:t xml:space="preserve"> </w:t>
      </w:r>
      <w:r w:rsidR="001769D8">
        <w:rPr>
          <w:rFonts w:ascii="Times New Roman" w:hAnsi="Times New Roman"/>
          <w:sz w:val="23"/>
          <w:szCs w:val="23"/>
        </w:rPr>
        <w:t>m</w:t>
      </w:r>
      <w:r w:rsidR="00A90F06">
        <w:rPr>
          <w:rFonts w:ascii="Times New Roman" w:hAnsi="Times New Roman"/>
          <w:sz w:val="23"/>
          <w:szCs w:val="23"/>
        </w:rPr>
        <w:t xml:space="preserve">aterials and </w:t>
      </w:r>
      <w:r w:rsidR="001769D8">
        <w:rPr>
          <w:rFonts w:ascii="Times New Roman" w:hAnsi="Times New Roman"/>
          <w:sz w:val="23"/>
          <w:szCs w:val="23"/>
        </w:rPr>
        <w:t>s</w:t>
      </w:r>
      <w:r w:rsidR="00A90F06">
        <w:rPr>
          <w:rFonts w:ascii="Times New Roman" w:hAnsi="Times New Roman"/>
          <w:sz w:val="23"/>
          <w:szCs w:val="23"/>
        </w:rPr>
        <w:t xml:space="preserve">upplies </w:t>
      </w:r>
      <w:r w:rsidR="001769D8">
        <w:rPr>
          <w:rFonts w:ascii="Times New Roman" w:hAnsi="Times New Roman"/>
          <w:sz w:val="23"/>
          <w:szCs w:val="23"/>
        </w:rPr>
        <w:t>i</w:t>
      </w:r>
      <w:r w:rsidR="00A90F06">
        <w:rPr>
          <w:rFonts w:ascii="Times New Roman" w:hAnsi="Times New Roman"/>
          <w:sz w:val="23"/>
          <w:szCs w:val="23"/>
        </w:rPr>
        <w:t>nventory related to the</w:t>
      </w:r>
      <w:r w:rsidR="00431255">
        <w:rPr>
          <w:rFonts w:ascii="Times New Roman" w:hAnsi="Times New Roman"/>
          <w:sz w:val="23"/>
          <w:szCs w:val="23"/>
        </w:rPr>
        <w:t xml:space="preserve"> proposed</w:t>
      </w:r>
      <w:r w:rsidR="00A90F06">
        <w:rPr>
          <w:rFonts w:ascii="Times New Roman" w:hAnsi="Times New Roman"/>
          <w:sz w:val="23"/>
          <w:szCs w:val="23"/>
        </w:rPr>
        <w:t xml:space="preserve"> decertification of Plant Wansley Units 1</w:t>
      </w:r>
      <w:r w:rsidR="001769D8">
        <w:rPr>
          <w:rFonts w:ascii="Times New Roman" w:hAnsi="Times New Roman"/>
          <w:sz w:val="23"/>
          <w:szCs w:val="23"/>
        </w:rPr>
        <w:t xml:space="preserve"> and 2</w:t>
      </w:r>
      <w:r w:rsidR="00A90F06">
        <w:rPr>
          <w:rFonts w:ascii="Times New Roman" w:hAnsi="Times New Roman"/>
          <w:sz w:val="23"/>
          <w:szCs w:val="23"/>
        </w:rPr>
        <w:t xml:space="preserve"> and 5A to a regulatory asset.</w:t>
      </w:r>
      <w:r w:rsidR="009A1EA9">
        <w:rPr>
          <w:rFonts w:ascii="Times New Roman" w:hAnsi="Times New Roman"/>
          <w:sz w:val="23"/>
          <w:szCs w:val="23"/>
        </w:rPr>
        <w:t xml:space="preserve"> </w:t>
      </w:r>
    </w:p>
    <w:bookmarkEnd w:id="23"/>
    <w:p w14:paraId="191AC163" w14:textId="77777777" w:rsidR="00E651D1" w:rsidRDefault="00E651D1" w:rsidP="00713485">
      <w:pPr>
        <w:jc w:val="both"/>
        <w:rPr>
          <w:sz w:val="23"/>
          <w:szCs w:val="23"/>
          <w:u w:val="single"/>
        </w:rPr>
      </w:pPr>
    </w:p>
    <w:p w14:paraId="02E70CB7" w14:textId="6B1B2C75" w:rsidR="008736C6" w:rsidRPr="003761B4" w:rsidRDefault="003A563C" w:rsidP="00713485">
      <w:pPr>
        <w:jc w:val="both"/>
        <w:rPr>
          <w:sz w:val="23"/>
          <w:szCs w:val="23"/>
          <w:u w:val="single"/>
        </w:rPr>
      </w:pPr>
      <w:r w:rsidRPr="00E651D1">
        <w:rPr>
          <w:sz w:val="23"/>
          <w:szCs w:val="23"/>
          <w:u w:val="single"/>
        </w:rPr>
        <w:t xml:space="preserve">FOOTNOTE </w:t>
      </w:r>
      <w:r w:rsidR="001469CF" w:rsidRPr="00E651D1">
        <w:rPr>
          <w:sz w:val="23"/>
          <w:szCs w:val="23"/>
          <w:u w:val="single"/>
        </w:rPr>
        <w:t>A</w:t>
      </w:r>
      <w:r w:rsidR="00A3204C">
        <w:rPr>
          <w:sz w:val="23"/>
          <w:szCs w:val="23"/>
          <w:u w:val="single"/>
        </w:rPr>
        <w:t>N</w:t>
      </w:r>
      <w:r w:rsidR="002109C8" w:rsidRPr="00E651D1">
        <w:rPr>
          <w:sz w:val="23"/>
          <w:szCs w:val="23"/>
          <w:u w:val="single"/>
        </w:rPr>
        <w:t>/</w:t>
      </w:r>
      <w:r w:rsidRPr="00E651D1">
        <w:rPr>
          <w:sz w:val="23"/>
          <w:szCs w:val="23"/>
        </w:rPr>
        <w:t xml:space="preserve"> </w:t>
      </w:r>
      <w:r w:rsidR="00673C5B" w:rsidRPr="00E651D1">
        <w:rPr>
          <w:sz w:val="23"/>
          <w:szCs w:val="23"/>
        </w:rPr>
        <w:tab/>
      </w:r>
      <w:r w:rsidR="003077D0" w:rsidRPr="00E651D1">
        <w:rPr>
          <w:sz w:val="23"/>
          <w:szCs w:val="23"/>
          <w:u w:val="single"/>
        </w:rPr>
        <w:t>$ (</w:t>
      </w:r>
      <w:r w:rsidR="00A3204C">
        <w:rPr>
          <w:sz w:val="23"/>
          <w:szCs w:val="23"/>
          <w:u w:val="single"/>
        </w:rPr>
        <w:t>170</w:t>
      </w:r>
      <w:r w:rsidR="003077D0" w:rsidRPr="00E651D1">
        <w:rPr>
          <w:sz w:val="23"/>
          <w:szCs w:val="23"/>
          <w:u w:val="single"/>
        </w:rPr>
        <w:t>)</w:t>
      </w:r>
      <w:r w:rsidRPr="00E651D1">
        <w:rPr>
          <w:sz w:val="23"/>
          <w:szCs w:val="23"/>
        </w:rPr>
        <w:t xml:space="preserve"> </w:t>
      </w:r>
      <w:r w:rsidRPr="00E651D1">
        <w:rPr>
          <w:sz w:val="23"/>
          <w:szCs w:val="23"/>
        </w:rPr>
        <w:tab/>
        <w:t>Payables Associated with Capital M&amp;S</w:t>
      </w:r>
    </w:p>
    <w:p w14:paraId="74DF71D7" w14:textId="77777777" w:rsidR="008736C6" w:rsidRPr="00E651D1" w:rsidRDefault="008736C6" w:rsidP="00713485">
      <w:pPr>
        <w:jc w:val="both"/>
        <w:rPr>
          <w:sz w:val="23"/>
          <w:szCs w:val="23"/>
        </w:rPr>
      </w:pPr>
    </w:p>
    <w:p w14:paraId="3B1F2923" w14:textId="5D129174" w:rsidR="00E35576" w:rsidRPr="007E5675" w:rsidRDefault="00E651D1" w:rsidP="00713485">
      <w:pPr>
        <w:jc w:val="both"/>
        <w:rPr>
          <w:sz w:val="23"/>
          <w:szCs w:val="23"/>
        </w:rPr>
      </w:pPr>
      <w:r w:rsidRPr="00E651D1">
        <w:rPr>
          <w:sz w:val="23"/>
          <w:szCs w:val="23"/>
        </w:rPr>
        <w:t xml:space="preserve">The increase </w:t>
      </w:r>
      <w:r w:rsidR="00431255">
        <w:rPr>
          <w:sz w:val="23"/>
          <w:szCs w:val="23"/>
        </w:rPr>
        <w:t xml:space="preserve">in the </w:t>
      </w:r>
      <w:r w:rsidR="00960FC5">
        <w:rPr>
          <w:sz w:val="23"/>
          <w:szCs w:val="23"/>
        </w:rPr>
        <w:t>liability is</w:t>
      </w:r>
      <w:r w:rsidR="008736C6" w:rsidRPr="00E651D1">
        <w:rPr>
          <w:sz w:val="23"/>
          <w:szCs w:val="23"/>
        </w:rPr>
        <w:t xml:space="preserve"> due to </w:t>
      </w:r>
      <w:r w:rsidRPr="00E651D1">
        <w:rPr>
          <w:sz w:val="23"/>
          <w:szCs w:val="23"/>
        </w:rPr>
        <w:t xml:space="preserve">an </w:t>
      </w:r>
      <w:r w:rsidR="00ED4FC9" w:rsidRPr="00E651D1">
        <w:rPr>
          <w:sz w:val="23"/>
          <w:szCs w:val="23"/>
        </w:rPr>
        <w:t>increase</w:t>
      </w:r>
      <w:r w:rsidR="008736C6" w:rsidRPr="00E651D1">
        <w:rPr>
          <w:sz w:val="23"/>
          <w:szCs w:val="23"/>
        </w:rPr>
        <w:t xml:space="preserve"> in materials and supplies</w:t>
      </w:r>
      <w:r w:rsidR="001469CF" w:rsidRPr="00E651D1">
        <w:rPr>
          <w:sz w:val="23"/>
          <w:szCs w:val="23"/>
        </w:rPr>
        <w:t xml:space="preserve"> inventories</w:t>
      </w:r>
      <w:r w:rsidR="00F14184" w:rsidRPr="00E651D1">
        <w:rPr>
          <w:sz w:val="23"/>
          <w:szCs w:val="23"/>
        </w:rPr>
        <w:t>.</w:t>
      </w:r>
      <w:r w:rsidR="003A563C" w:rsidRPr="00E651D1">
        <w:rPr>
          <w:sz w:val="23"/>
          <w:szCs w:val="23"/>
        </w:rPr>
        <w:tab/>
      </w:r>
    </w:p>
    <w:p w14:paraId="357A0100" w14:textId="77777777" w:rsidR="00174021" w:rsidRDefault="00174021" w:rsidP="00713485">
      <w:pPr>
        <w:jc w:val="both"/>
        <w:rPr>
          <w:sz w:val="23"/>
          <w:szCs w:val="23"/>
          <w:u w:val="single"/>
        </w:rPr>
      </w:pPr>
    </w:p>
    <w:p w14:paraId="24853C50" w14:textId="4ACFFB8D" w:rsidR="003A563C" w:rsidRPr="007E5675" w:rsidRDefault="003A563C" w:rsidP="00713485">
      <w:pPr>
        <w:jc w:val="both"/>
        <w:rPr>
          <w:sz w:val="23"/>
          <w:szCs w:val="23"/>
        </w:rPr>
      </w:pPr>
      <w:r w:rsidRPr="007E5675">
        <w:rPr>
          <w:sz w:val="23"/>
          <w:szCs w:val="23"/>
          <w:u w:val="single"/>
        </w:rPr>
        <w:t xml:space="preserve">FOOTNOTE </w:t>
      </w:r>
      <w:r w:rsidR="001469CF" w:rsidRPr="007E5675">
        <w:rPr>
          <w:sz w:val="23"/>
          <w:szCs w:val="23"/>
          <w:u w:val="single"/>
        </w:rPr>
        <w:t>A</w:t>
      </w:r>
      <w:r w:rsidR="000C731A">
        <w:rPr>
          <w:sz w:val="23"/>
          <w:szCs w:val="23"/>
          <w:u w:val="single"/>
        </w:rPr>
        <w:t>O</w:t>
      </w:r>
      <w:r w:rsidR="002109C8" w:rsidRPr="007E5675">
        <w:rPr>
          <w:sz w:val="23"/>
          <w:szCs w:val="23"/>
          <w:u w:val="single"/>
        </w:rPr>
        <w:t>/</w:t>
      </w:r>
      <w:r w:rsidR="00673C5B" w:rsidRPr="007E5675">
        <w:rPr>
          <w:sz w:val="23"/>
          <w:szCs w:val="23"/>
        </w:rPr>
        <w:tab/>
      </w:r>
      <w:r w:rsidRPr="007E5675">
        <w:rPr>
          <w:sz w:val="23"/>
          <w:szCs w:val="23"/>
        </w:rPr>
        <w:t xml:space="preserve"> </w:t>
      </w:r>
      <w:r w:rsidR="003077D0" w:rsidRPr="007E5675">
        <w:rPr>
          <w:sz w:val="23"/>
          <w:szCs w:val="23"/>
          <w:u w:val="single"/>
        </w:rPr>
        <w:t>$</w:t>
      </w:r>
      <w:r w:rsidR="00A3204C">
        <w:rPr>
          <w:sz w:val="23"/>
          <w:szCs w:val="23"/>
          <w:u w:val="single"/>
        </w:rPr>
        <w:t>22,671</w:t>
      </w:r>
      <w:r w:rsidRPr="007E5675">
        <w:rPr>
          <w:sz w:val="23"/>
          <w:szCs w:val="23"/>
        </w:rPr>
        <w:t xml:space="preserve"> </w:t>
      </w:r>
      <w:r w:rsidRPr="007E5675">
        <w:rPr>
          <w:sz w:val="23"/>
          <w:szCs w:val="23"/>
        </w:rPr>
        <w:tab/>
        <w:t>Min</w:t>
      </w:r>
      <w:r w:rsidR="00F21C73" w:rsidRPr="007E5675">
        <w:rPr>
          <w:sz w:val="23"/>
          <w:szCs w:val="23"/>
        </w:rPr>
        <w:t>.</w:t>
      </w:r>
      <w:r w:rsidRPr="007E5675">
        <w:rPr>
          <w:sz w:val="23"/>
          <w:szCs w:val="23"/>
        </w:rPr>
        <w:t xml:space="preserve"> Bank Bal</w:t>
      </w:r>
      <w:r w:rsidR="001469CF" w:rsidRPr="007E5675">
        <w:rPr>
          <w:sz w:val="23"/>
          <w:szCs w:val="23"/>
        </w:rPr>
        <w:t>ances</w:t>
      </w:r>
      <w:r w:rsidR="00174021">
        <w:rPr>
          <w:sz w:val="23"/>
          <w:szCs w:val="23"/>
        </w:rPr>
        <w:t xml:space="preserve"> and</w:t>
      </w:r>
      <w:r w:rsidR="00673C5B" w:rsidRPr="007E5675">
        <w:rPr>
          <w:sz w:val="23"/>
          <w:szCs w:val="23"/>
        </w:rPr>
        <w:t xml:space="preserve"> </w:t>
      </w:r>
      <w:r w:rsidR="00E30E1A" w:rsidRPr="007E5675">
        <w:rPr>
          <w:sz w:val="23"/>
          <w:szCs w:val="23"/>
        </w:rPr>
        <w:t>Prepayments</w:t>
      </w:r>
    </w:p>
    <w:p w14:paraId="26677E57" w14:textId="77777777" w:rsidR="003A563C" w:rsidRPr="007E5675" w:rsidRDefault="003A563C" w:rsidP="00713485">
      <w:pPr>
        <w:jc w:val="both"/>
        <w:rPr>
          <w:sz w:val="23"/>
          <w:szCs w:val="23"/>
        </w:rPr>
      </w:pPr>
    </w:p>
    <w:p w14:paraId="6B6688B3" w14:textId="77777777" w:rsidR="006F1DB4" w:rsidRPr="007E5675" w:rsidRDefault="00174021" w:rsidP="00713485">
      <w:pPr>
        <w:jc w:val="both"/>
        <w:rPr>
          <w:sz w:val="23"/>
          <w:szCs w:val="23"/>
        </w:rPr>
      </w:pPr>
      <w:r>
        <w:rPr>
          <w:sz w:val="23"/>
          <w:szCs w:val="23"/>
        </w:rPr>
        <w:t xml:space="preserve">The following is a further breakdown of the change in Minimum Bank Balances and Prepayments: </w:t>
      </w:r>
    </w:p>
    <w:p w14:paraId="5797249A" w14:textId="77777777" w:rsidR="006F1DB4" w:rsidRPr="00E651D1" w:rsidRDefault="006F1DB4" w:rsidP="00713485">
      <w:pPr>
        <w:jc w:val="both"/>
        <w:rPr>
          <w:sz w:val="23"/>
          <w:szCs w:val="23"/>
          <w:highlight w:val="red"/>
        </w:rPr>
      </w:pPr>
    </w:p>
    <w:p w14:paraId="5C63FF3C" w14:textId="5805D62D" w:rsidR="001469CF" w:rsidRPr="007E5675" w:rsidRDefault="000C731A" w:rsidP="00713485">
      <w:pPr>
        <w:jc w:val="center"/>
        <w:rPr>
          <w:sz w:val="23"/>
          <w:szCs w:val="23"/>
        </w:rPr>
      </w:pPr>
      <w:r w:rsidRPr="000C731A">
        <w:rPr>
          <w:noProof/>
        </w:rPr>
        <w:drawing>
          <wp:inline distT="0" distB="0" distL="0" distR="0" wp14:anchorId="778D079C" wp14:editId="6DAA3317">
            <wp:extent cx="5486400" cy="990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990600"/>
                    </a:xfrm>
                    <a:prstGeom prst="rect">
                      <a:avLst/>
                    </a:prstGeom>
                    <a:noFill/>
                    <a:ln>
                      <a:noFill/>
                    </a:ln>
                  </pic:spPr>
                </pic:pic>
              </a:graphicData>
            </a:graphic>
          </wp:inline>
        </w:drawing>
      </w:r>
    </w:p>
    <w:p w14:paraId="03439218" w14:textId="77777777" w:rsidR="00673C5B" w:rsidRPr="00E651D1" w:rsidRDefault="00673C5B" w:rsidP="00713485">
      <w:pPr>
        <w:jc w:val="both"/>
        <w:rPr>
          <w:color w:val="FF0000"/>
          <w:sz w:val="23"/>
          <w:szCs w:val="23"/>
          <w:highlight w:val="red"/>
        </w:rPr>
      </w:pPr>
    </w:p>
    <w:p w14:paraId="3A0EA5A3" w14:textId="45061B42" w:rsidR="006F1DB4" w:rsidRDefault="008E6433" w:rsidP="00713485">
      <w:pPr>
        <w:jc w:val="both"/>
        <w:rPr>
          <w:sz w:val="23"/>
          <w:szCs w:val="23"/>
        </w:rPr>
      </w:pPr>
      <w:r>
        <w:rPr>
          <w:sz w:val="23"/>
          <w:szCs w:val="23"/>
        </w:rPr>
        <w:t>The increase in prepayments is primarily due to the payment of the Plant McIntosh</w:t>
      </w:r>
      <w:r w:rsidR="008D463B">
        <w:rPr>
          <w:sz w:val="23"/>
          <w:szCs w:val="23"/>
        </w:rPr>
        <w:t xml:space="preserve"> Long-Term Service Agreement</w:t>
      </w:r>
      <w:r>
        <w:rPr>
          <w:sz w:val="23"/>
          <w:szCs w:val="23"/>
        </w:rPr>
        <w:t xml:space="preserve"> </w:t>
      </w:r>
      <w:r w:rsidR="008D463B">
        <w:rPr>
          <w:sz w:val="23"/>
          <w:szCs w:val="23"/>
        </w:rPr>
        <w:t>(</w:t>
      </w:r>
      <w:r>
        <w:rPr>
          <w:sz w:val="23"/>
          <w:szCs w:val="23"/>
        </w:rPr>
        <w:t>LTSA</w:t>
      </w:r>
      <w:r w:rsidR="008D463B">
        <w:rPr>
          <w:sz w:val="23"/>
          <w:szCs w:val="23"/>
        </w:rPr>
        <w:t>)</w:t>
      </w:r>
      <w:r>
        <w:rPr>
          <w:sz w:val="23"/>
          <w:szCs w:val="23"/>
        </w:rPr>
        <w:t xml:space="preserve"> in 2023 for future scheduled outage work and the re</w:t>
      </w:r>
      <w:r w:rsidR="008D463B">
        <w:rPr>
          <w:sz w:val="23"/>
          <w:szCs w:val="23"/>
        </w:rPr>
        <w:t>class</w:t>
      </w:r>
      <w:r>
        <w:rPr>
          <w:sz w:val="23"/>
          <w:szCs w:val="23"/>
        </w:rPr>
        <w:t xml:space="preserve"> of the Plant McDonough LTSA in March 2021</w:t>
      </w:r>
      <w:r w:rsidR="008D463B">
        <w:rPr>
          <w:sz w:val="23"/>
          <w:szCs w:val="23"/>
        </w:rPr>
        <w:t xml:space="preserve"> to </w:t>
      </w:r>
      <w:r w:rsidR="005B3133">
        <w:rPr>
          <w:sz w:val="23"/>
          <w:szCs w:val="23"/>
        </w:rPr>
        <w:t>p</w:t>
      </w:r>
      <w:r w:rsidR="008D463B">
        <w:rPr>
          <w:sz w:val="23"/>
          <w:szCs w:val="23"/>
        </w:rPr>
        <w:t>lant-in-service</w:t>
      </w:r>
      <w:r>
        <w:rPr>
          <w:sz w:val="23"/>
          <w:szCs w:val="23"/>
        </w:rPr>
        <w:t xml:space="preserve"> related to outage work performed.</w:t>
      </w:r>
    </w:p>
    <w:p w14:paraId="6BC373DA" w14:textId="77777777" w:rsidR="008E6433" w:rsidRPr="00E47543" w:rsidRDefault="008E6433" w:rsidP="00713485">
      <w:pPr>
        <w:jc w:val="both"/>
        <w:rPr>
          <w:sz w:val="23"/>
          <w:szCs w:val="23"/>
          <w:u w:val="single"/>
        </w:rPr>
      </w:pPr>
    </w:p>
    <w:p w14:paraId="5EF51F40" w14:textId="1A68F439" w:rsidR="00A9755C" w:rsidRPr="00E651D1" w:rsidRDefault="00A9755C" w:rsidP="00713485">
      <w:pPr>
        <w:jc w:val="both"/>
        <w:rPr>
          <w:sz w:val="23"/>
          <w:szCs w:val="23"/>
        </w:rPr>
      </w:pPr>
      <w:r w:rsidRPr="00E651D1">
        <w:rPr>
          <w:sz w:val="23"/>
          <w:szCs w:val="23"/>
          <w:u w:val="single"/>
        </w:rPr>
        <w:t xml:space="preserve">FOOTNOTE </w:t>
      </w:r>
      <w:r w:rsidR="00E30E1A" w:rsidRPr="00E651D1">
        <w:rPr>
          <w:sz w:val="23"/>
          <w:szCs w:val="23"/>
          <w:u w:val="single"/>
        </w:rPr>
        <w:t>A</w:t>
      </w:r>
      <w:r w:rsidR="000C731A">
        <w:rPr>
          <w:sz w:val="23"/>
          <w:szCs w:val="23"/>
          <w:u w:val="single"/>
        </w:rPr>
        <w:t>P</w:t>
      </w:r>
      <w:proofErr w:type="gramStart"/>
      <w:r w:rsidRPr="00E651D1">
        <w:rPr>
          <w:sz w:val="23"/>
          <w:szCs w:val="23"/>
          <w:u w:val="single"/>
        </w:rPr>
        <w:t>/</w:t>
      </w:r>
      <w:r w:rsidRPr="00E651D1">
        <w:rPr>
          <w:sz w:val="23"/>
          <w:szCs w:val="23"/>
        </w:rPr>
        <w:t xml:space="preserve">  </w:t>
      </w:r>
      <w:r w:rsidRPr="00E651D1">
        <w:rPr>
          <w:sz w:val="23"/>
          <w:szCs w:val="23"/>
        </w:rPr>
        <w:tab/>
      </w:r>
      <w:proofErr w:type="gramEnd"/>
      <w:r w:rsidRPr="00E651D1">
        <w:rPr>
          <w:sz w:val="23"/>
          <w:szCs w:val="23"/>
          <w:u w:val="single"/>
        </w:rPr>
        <w:t>$</w:t>
      </w:r>
      <w:r w:rsidR="000C731A">
        <w:rPr>
          <w:sz w:val="23"/>
          <w:szCs w:val="23"/>
          <w:u w:val="single"/>
        </w:rPr>
        <w:t>165,696</w:t>
      </w:r>
      <w:r w:rsidRPr="00E651D1">
        <w:rPr>
          <w:sz w:val="23"/>
          <w:szCs w:val="23"/>
        </w:rPr>
        <w:tab/>
        <w:t>Prepaid Pension Asset</w:t>
      </w:r>
    </w:p>
    <w:p w14:paraId="7CBCCD90" w14:textId="77777777" w:rsidR="008A3405" w:rsidRPr="00E651D1" w:rsidRDefault="008A3405" w:rsidP="00713485">
      <w:pPr>
        <w:jc w:val="both"/>
        <w:rPr>
          <w:sz w:val="23"/>
          <w:szCs w:val="23"/>
        </w:rPr>
      </w:pPr>
    </w:p>
    <w:p w14:paraId="7226FC0E" w14:textId="77777777" w:rsidR="002D68A3" w:rsidRPr="00DC5E23" w:rsidRDefault="00261A77" w:rsidP="00713485">
      <w:pPr>
        <w:jc w:val="both"/>
        <w:rPr>
          <w:color w:val="FF0000"/>
          <w:sz w:val="23"/>
          <w:szCs w:val="23"/>
        </w:rPr>
      </w:pPr>
      <w:r w:rsidRPr="00E651D1">
        <w:rPr>
          <w:sz w:val="23"/>
          <w:szCs w:val="23"/>
        </w:rPr>
        <w:t xml:space="preserve">The increase is primarily due to </w:t>
      </w:r>
      <w:r w:rsidR="00DC5E23">
        <w:rPr>
          <w:sz w:val="23"/>
          <w:szCs w:val="23"/>
        </w:rPr>
        <w:t xml:space="preserve">the </w:t>
      </w:r>
      <w:r w:rsidR="00E47543" w:rsidRPr="00E651D1">
        <w:rPr>
          <w:sz w:val="23"/>
          <w:szCs w:val="23"/>
        </w:rPr>
        <w:t xml:space="preserve">expected return on pension plan assets exceeding </w:t>
      </w:r>
      <w:r w:rsidR="008F62B5">
        <w:rPr>
          <w:sz w:val="23"/>
          <w:szCs w:val="23"/>
        </w:rPr>
        <w:t xml:space="preserve">the pension cost.  </w:t>
      </w:r>
      <w:r w:rsidR="00DC5E23">
        <w:rPr>
          <w:color w:val="FF0000"/>
          <w:sz w:val="23"/>
          <w:szCs w:val="23"/>
        </w:rPr>
        <w:t xml:space="preserve"> </w:t>
      </w:r>
    </w:p>
    <w:p w14:paraId="5CA090E8" w14:textId="77777777" w:rsidR="00110EB5" w:rsidRPr="00E651D1" w:rsidRDefault="00110EB5" w:rsidP="00713485">
      <w:pPr>
        <w:jc w:val="both"/>
        <w:rPr>
          <w:sz w:val="23"/>
          <w:szCs w:val="23"/>
          <w:u w:val="single"/>
        </w:rPr>
      </w:pPr>
    </w:p>
    <w:p w14:paraId="16E3FCCF" w14:textId="0C857473" w:rsidR="00110EB5" w:rsidRPr="00E651D1" w:rsidRDefault="00110EB5" w:rsidP="00713485">
      <w:pPr>
        <w:jc w:val="both"/>
        <w:rPr>
          <w:sz w:val="23"/>
          <w:szCs w:val="23"/>
        </w:rPr>
      </w:pPr>
      <w:bookmarkStart w:id="24" w:name="_Hlk104498400"/>
      <w:r w:rsidRPr="00E651D1">
        <w:rPr>
          <w:sz w:val="23"/>
          <w:szCs w:val="23"/>
          <w:u w:val="single"/>
        </w:rPr>
        <w:t xml:space="preserve">FOOTNOTE </w:t>
      </w:r>
      <w:r w:rsidR="00E30E1A" w:rsidRPr="00E651D1">
        <w:rPr>
          <w:sz w:val="23"/>
          <w:szCs w:val="23"/>
          <w:u w:val="single"/>
        </w:rPr>
        <w:t>A</w:t>
      </w:r>
      <w:r w:rsidR="000C731A">
        <w:rPr>
          <w:sz w:val="23"/>
          <w:szCs w:val="23"/>
          <w:u w:val="single"/>
        </w:rPr>
        <w:t>Q</w:t>
      </w:r>
      <w:proofErr w:type="gramStart"/>
      <w:r w:rsidRPr="00E651D1">
        <w:rPr>
          <w:sz w:val="23"/>
          <w:szCs w:val="23"/>
          <w:u w:val="single"/>
        </w:rPr>
        <w:t>/</w:t>
      </w:r>
      <w:r w:rsidRPr="00E651D1">
        <w:rPr>
          <w:sz w:val="23"/>
          <w:szCs w:val="23"/>
        </w:rPr>
        <w:t xml:space="preserve">  </w:t>
      </w:r>
      <w:r w:rsidRPr="00E651D1">
        <w:rPr>
          <w:sz w:val="23"/>
          <w:szCs w:val="23"/>
        </w:rPr>
        <w:tab/>
      </w:r>
      <w:proofErr w:type="gramEnd"/>
      <w:r w:rsidRPr="00E651D1">
        <w:rPr>
          <w:sz w:val="23"/>
          <w:szCs w:val="23"/>
          <w:u w:val="single"/>
        </w:rPr>
        <w:t>$</w:t>
      </w:r>
      <w:r w:rsidR="000C731A">
        <w:rPr>
          <w:sz w:val="23"/>
          <w:szCs w:val="23"/>
          <w:u w:val="single"/>
        </w:rPr>
        <w:t>8,435</w:t>
      </w:r>
      <w:r w:rsidRPr="00E651D1">
        <w:rPr>
          <w:sz w:val="23"/>
          <w:szCs w:val="23"/>
        </w:rPr>
        <w:tab/>
        <w:t xml:space="preserve"> </w:t>
      </w:r>
      <w:r w:rsidR="00FD594F">
        <w:rPr>
          <w:sz w:val="23"/>
          <w:szCs w:val="23"/>
        </w:rPr>
        <w:tab/>
      </w:r>
      <w:r w:rsidRPr="00E651D1">
        <w:rPr>
          <w:sz w:val="23"/>
          <w:szCs w:val="23"/>
        </w:rPr>
        <w:t>Customer Deposits</w:t>
      </w:r>
    </w:p>
    <w:p w14:paraId="43665396" w14:textId="77777777" w:rsidR="00110EB5" w:rsidRPr="00E651D1" w:rsidRDefault="00110EB5" w:rsidP="00713485">
      <w:pPr>
        <w:jc w:val="both"/>
        <w:rPr>
          <w:sz w:val="23"/>
          <w:szCs w:val="23"/>
        </w:rPr>
      </w:pPr>
    </w:p>
    <w:p w14:paraId="18A381F3" w14:textId="012E2B94" w:rsidR="003246BD" w:rsidRDefault="00274C42" w:rsidP="00647557">
      <w:pPr>
        <w:pStyle w:val="BodyText"/>
        <w:jc w:val="both"/>
        <w:rPr>
          <w:rFonts w:ascii="Times New Roman" w:hAnsi="Times New Roman"/>
          <w:sz w:val="23"/>
          <w:szCs w:val="23"/>
        </w:rPr>
      </w:pPr>
      <w:r w:rsidRPr="00382D3A">
        <w:rPr>
          <w:rFonts w:ascii="Times New Roman" w:hAnsi="Times New Roman"/>
          <w:sz w:val="23"/>
          <w:szCs w:val="23"/>
        </w:rPr>
        <w:t>The decrease</w:t>
      </w:r>
      <w:r w:rsidR="004F1093">
        <w:rPr>
          <w:rFonts w:ascii="Times New Roman" w:hAnsi="Times New Roman"/>
          <w:sz w:val="23"/>
          <w:szCs w:val="23"/>
        </w:rPr>
        <w:t xml:space="preserve"> in the liability </w:t>
      </w:r>
      <w:r w:rsidRPr="00382D3A">
        <w:rPr>
          <w:rFonts w:ascii="Times New Roman" w:hAnsi="Times New Roman"/>
          <w:sz w:val="23"/>
          <w:szCs w:val="23"/>
        </w:rPr>
        <w:t>is primarily due</w:t>
      </w:r>
      <w:r w:rsidR="00647557" w:rsidRPr="00382D3A">
        <w:rPr>
          <w:rFonts w:ascii="Times New Roman" w:hAnsi="Times New Roman"/>
          <w:sz w:val="23"/>
          <w:szCs w:val="23"/>
        </w:rPr>
        <w:t xml:space="preserve"> to </w:t>
      </w:r>
      <w:r w:rsidR="005B3133" w:rsidRPr="005B3133">
        <w:rPr>
          <w:rFonts w:ascii="Times New Roman" w:hAnsi="Times New Roman"/>
          <w:sz w:val="23"/>
          <w:szCs w:val="23"/>
        </w:rPr>
        <w:t>the moratorium that is currently in place for customer deposits due to the COVID-19 pandemic</w:t>
      </w:r>
      <w:r w:rsidR="00EC6BC7">
        <w:rPr>
          <w:rFonts w:ascii="Times New Roman" w:hAnsi="Times New Roman"/>
          <w:sz w:val="23"/>
          <w:szCs w:val="23"/>
        </w:rPr>
        <w:t>.</w:t>
      </w:r>
    </w:p>
    <w:bookmarkEnd w:id="24"/>
    <w:p w14:paraId="7A2920EB" w14:textId="77777777" w:rsidR="00647557" w:rsidRPr="00647557" w:rsidRDefault="00647557" w:rsidP="00647557">
      <w:pPr>
        <w:pStyle w:val="BodyText"/>
        <w:jc w:val="both"/>
        <w:rPr>
          <w:rFonts w:ascii="Times New Roman" w:hAnsi="Times New Roman"/>
          <w:sz w:val="23"/>
          <w:szCs w:val="23"/>
        </w:rPr>
      </w:pPr>
    </w:p>
    <w:p w14:paraId="53BD1354" w14:textId="76D121A3" w:rsidR="003A563C" w:rsidRPr="00E651D1" w:rsidRDefault="003A563C" w:rsidP="00713485">
      <w:pPr>
        <w:jc w:val="both"/>
        <w:rPr>
          <w:sz w:val="23"/>
          <w:szCs w:val="23"/>
        </w:rPr>
      </w:pPr>
      <w:r w:rsidRPr="00E651D1">
        <w:rPr>
          <w:sz w:val="23"/>
          <w:szCs w:val="23"/>
          <w:u w:val="single"/>
        </w:rPr>
        <w:t xml:space="preserve">FOOTNOTE </w:t>
      </w:r>
      <w:r w:rsidR="00E30E1A" w:rsidRPr="00E651D1">
        <w:rPr>
          <w:sz w:val="23"/>
          <w:szCs w:val="23"/>
          <w:u w:val="single"/>
        </w:rPr>
        <w:t>A</w:t>
      </w:r>
      <w:r w:rsidR="000C731A">
        <w:rPr>
          <w:sz w:val="23"/>
          <w:szCs w:val="23"/>
          <w:u w:val="single"/>
        </w:rPr>
        <w:t>R</w:t>
      </w:r>
      <w:proofErr w:type="gramStart"/>
      <w:r w:rsidRPr="00E651D1">
        <w:rPr>
          <w:sz w:val="23"/>
          <w:szCs w:val="23"/>
          <w:u w:val="single"/>
        </w:rPr>
        <w:t>/</w:t>
      </w:r>
      <w:r w:rsidRPr="00E651D1">
        <w:rPr>
          <w:sz w:val="23"/>
          <w:szCs w:val="23"/>
        </w:rPr>
        <w:t xml:space="preserve">  </w:t>
      </w:r>
      <w:r w:rsidRPr="00E651D1">
        <w:rPr>
          <w:sz w:val="23"/>
          <w:szCs w:val="23"/>
        </w:rPr>
        <w:tab/>
      </w:r>
      <w:proofErr w:type="gramEnd"/>
      <w:r w:rsidRPr="00E651D1">
        <w:rPr>
          <w:sz w:val="23"/>
          <w:szCs w:val="23"/>
          <w:u w:val="single"/>
        </w:rPr>
        <w:t>$</w:t>
      </w:r>
      <w:r w:rsidR="000C731A">
        <w:rPr>
          <w:sz w:val="23"/>
          <w:szCs w:val="23"/>
          <w:u w:val="single"/>
        </w:rPr>
        <w:t>38</w:t>
      </w:r>
      <w:r w:rsidRPr="00E651D1">
        <w:rPr>
          <w:sz w:val="23"/>
          <w:szCs w:val="23"/>
        </w:rPr>
        <w:t xml:space="preserve"> </w:t>
      </w:r>
      <w:r w:rsidRPr="00E651D1">
        <w:rPr>
          <w:sz w:val="23"/>
          <w:szCs w:val="23"/>
        </w:rPr>
        <w:tab/>
      </w:r>
      <w:r w:rsidR="00FD594F">
        <w:rPr>
          <w:sz w:val="23"/>
          <w:szCs w:val="23"/>
        </w:rPr>
        <w:tab/>
      </w:r>
      <w:r w:rsidRPr="00E651D1">
        <w:rPr>
          <w:sz w:val="23"/>
          <w:szCs w:val="23"/>
        </w:rPr>
        <w:t>Accumulated Interest on Customer Deposits</w:t>
      </w:r>
      <w:r w:rsidR="00DC5E23">
        <w:rPr>
          <w:sz w:val="23"/>
          <w:szCs w:val="23"/>
        </w:rPr>
        <w:t xml:space="preserve"> </w:t>
      </w:r>
    </w:p>
    <w:p w14:paraId="179B655E" w14:textId="77777777" w:rsidR="003A563C" w:rsidRPr="00E651D1" w:rsidRDefault="003A563C" w:rsidP="00713485">
      <w:pPr>
        <w:jc w:val="both"/>
        <w:rPr>
          <w:sz w:val="23"/>
          <w:szCs w:val="23"/>
        </w:rPr>
      </w:pPr>
    </w:p>
    <w:p w14:paraId="3F8C978C" w14:textId="2C5DA9B3" w:rsidR="005561C8" w:rsidRDefault="005561C8" w:rsidP="00713485">
      <w:pPr>
        <w:jc w:val="both"/>
        <w:rPr>
          <w:sz w:val="23"/>
          <w:szCs w:val="23"/>
        </w:rPr>
      </w:pPr>
      <w:r w:rsidRPr="00CB4B02">
        <w:rPr>
          <w:sz w:val="23"/>
          <w:szCs w:val="23"/>
        </w:rPr>
        <w:t xml:space="preserve">The decrease </w:t>
      </w:r>
      <w:r w:rsidR="00D619AD">
        <w:rPr>
          <w:sz w:val="23"/>
          <w:szCs w:val="23"/>
        </w:rPr>
        <w:t xml:space="preserve">in the liability </w:t>
      </w:r>
      <w:r w:rsidRPr="00CB4B02">
        <w:rPr>
          <w:sz w:val="23"/>
          <w:szCs w:val="23"/>
        </w:rPr>
        <w:t xml:space="preserve">is primarily due to </w:t>
      </w:r>
      <w:r w:rsidR="00CB4B02" w:rsidRPr="00CB4B02">
        <w:rPr>
          <w:sz w:val="23"/>
          <w:szCs w:val="23"/>
        </w:rPr>
        <w:t>a</w:t>
      </w:r>
      <w:r w:rsidR="00CB4B02">
        <w:rPr>
          <w:sz w:val="23"/>
          <w:szCs w:val="23"/>
        </w:rPr>
        <w:t xml:space="preserve"> reduction in the balance of customer deposits. </w:t>
      </w:r>
      <w:r>
        <w:rPr>
          <w:sz w:val="23"/>
          <w:szCs w:val="23"/>
        </w:rPr>
        <w:t xml:space="preserve"> </w:t>
      </w:r>
    </w:p>
    <w:p w14:paraId="1493BD83" w14:textId="77777777" w:rsidR="001C7739" w:rsidRDefault="001C7739" w:rsidP="00713485">
      <w:pPr>
        <w:jc w:val="both"/>
        <w:rPr>
          <w:sz w:val="23"/>
          <w:szCs w:val="23"/>
          <w:u w:val="single"/>
        </w:rPr>
      </w:pPr>
      <w:bookmarkStart w:id="25" w:name="_Hlk105170821"/>
    </w:p>
    <w:p w14:paraId="5EA98EFE" w14:textId="1EFE15B7" w:rsidR="003A563C" w:rsidRPr="003761B4" w:rsidRDefault="003A563C" w:rsidP="00713485">
      <w:pPr>
        <w:jc w:val="both"/>
        <w:rPr>
          <w:sz w:val="23"/>
          <w:szCs w:val="23"/>
          <w:highlight w:val="yellow"/>
          <w:u w:val="single"/>
        </w:rPr>
      </w:pPr>
      <w:r w:rsidRPr="007E25DD">
        <w:rPr>
          <w:sz w:val="23"/>
          <w:szCs w:val="23"/>
          <w:u w:val="single"/>
        </w:rPr>
        <w:t xml:space="preserve">FOOTNOTE </w:t>
      </w:r>
      <w:r w:rsidR="00E30E1A" w:rsidRPr="007E25DD">
        <w:rPr>
          <w:sz w:val="23"/>
          <w:szCs w:val="23"/>
          <w:u w:val="single"/>
        </w:rPr>
        <w:t>A</w:t>
      </w:r>
      <w:r w:rsidR="000C731A">
        <w:rPr>
          <w:sz w:val="23"/>
          <w:szCs w:val="23"/>
          <w:u w:val="single"/>
        </w:rPr>
        <w:t>S</w:t>
      </w:r>
      <w:r w:rsidRPr="007E25DD">
        <w:rPr>
          <w:sz w:val="23"/>
          <w:szCs w:val="23"/>
          <w:u w:val="single"/>
        </w:rPr>
        <w:t>/</w:t>
      </w:r>
      <w:r w:rsidRPr="007E25DD">
        <w:rPr>
          <w:sz w:val="23"/>
          <w:szCs w:val="23"/>
        </w:rPr>
        <w:t xml:space="preserve"> </w:t>
      </w:r>
      <w:r w:rsidRPr="007E25DD">
        <w:rPr>
          <w:sz w:val="23"/>
          <w:szCs w:val="23"/>
        </w:rPr>
        <w:tab/>
      </w:r>
      <w:r w:rsidRPr="007E25DD">
        <w:rPr>
          <w:sz w:val="23"/>
          <w:szCs w:val="23"/>
          <w:u w:val="single"/>
        </w:rPr>
        <w:t>$</w:t>
      </w:r>
      <w:r w:rsidR="000C731A">
        <w:rPr>
          <w:sz w:val="23"/>
          <w:szCs w:val="23"/>
          <w:u w:val="single"/>
        </w:rPr>
        <w:t>(342,199)</w:t>
      </w:r>
      <w:r w:rsidRPr="007E25DD">
        <w:rPr>
          <w:sz w:val="23"/>
          <w:szCs w:val="23"/>
        </w:rPr>
        <w:t xml:space="preserve"> </w:t>
      </w:r>
      <w:r w:rsidRPr="007E25DD">
        <w:rPr>
          <w:sz w:val="23"/>
          <w:szCs w:val="23"/>
        </w:rPr>
        <w:tab/>
        <w:t>Operating Reserve</w:t>
      </w:r>
      <w:r w:rsidR="00224285" w:rsidRPr="007E25DD">
        <w:rPr>
          <w:sz w:val="23"/>
          <w:szCs w:val="23"/>
        </w:rPr>
        <w:t>s</w:t>
      </w:r>
      <w:r w:rsidR="008B68EE" w:rsidRPr="007E25DD">
        <w:rPr>
          <w:color w:val="FF0000"/>
          <w:sz w:val="23"/>
          <w:szCs w:val="23"/>
        </w:rPr>
        <w:t xml:space="preserve"> </w:t>
      </w:r>
    </w:p>
    <w:p w14:paraId="29DF87C2" w14:textId="77777777" w:rsidR="003A563C" w:rsidRPr="009E2E59" w:rsidRDefault="003A563C" w:rsidP="00713485">
      <w:pPr>
        <w:jc w:val="both"/>
        <w:rPr>
          <w:sz w:val="23"/>
          <w:szCs w:val="23"/>
          <w:highlight w:val="yellow"/>
        </w:rPr>
      </w:pPr>
    </w:p>
    <w:p w14:paraId="7209E173" w14:textId="1A21D2FE" w:rsidR="00890E71" w:rsidRDefault="00FC0B2B" w:rsidP="00713485">
      <w:pPr>
        <w:jc w:val="both"/>
        <w:rPr>
          <w:sz w:val="23"/>
          <w:szCs w:val="23"/>
        </w:rPr>
      </w:pPr>
      <w:r w:rsidRPr="00FC0B2B">
        <w:rPr>
          <w:sz w:val="23"/>
          <w:szCs w:val="23"/>
        </w:rPr>
        <w:t>The</w:t>
      </w:r>
      <w:r>
        <w:rPr>
          <w:sz w:val="23"/>
          <w:szCs w:val="23"/>
        </w:rPr>
        <w:t xml:space="preserve"> increase in the</w:t>
      </w:r>
      <w:r w:rsidR="00890E71">
        <w:rPr>
          <w:sz w:val="23"/>
          <w:szCs w:val="23"/>
        </w:rPr>
        <w:t xml:space="preserve"> net</w:t>
      </w:r>
      <w:r>
        <w:rPr>
          <w:sz w:val="23"/>
          <w:szCs w:val="23"/>
        </w:rPr>
        <w:t xml:space="preserve"> </w:t>
      </w:r>
      <w:r w:rsidR="00D619AD">
        <w:rPr>
          <w:sz w:val="23"/>
          <w:szCs w:val="23"/>
        </w:rPr>
        <w:t>o</w:t>
      </w:r>
      <w:r>
        <w:rPr>
          <w:sz w:val="23"/>
          <w:szCs w:val="23"/>
        </w:rPr>
        <w:t xml:space="preserve">perating </w:t>
      </w:r>
      <w:r w:rsidR="00D619AD">
        <w:rPr>
          <w:sz w:val="23"/>
          <w:szCs w:val="23"/>
        </w:rPr>
        <w:t>r</w:t>
      </w:r>
      <w:r>
        <w:rPr>
          <w:sz w:val="23"/>
          <w:szCs w:val="23"/>
        </w:rPr>
        <w:t xml:space="preserve">eserves liability is primarily driven by </w:t>
      </w:r>
      <w:r w:rsidR="009145D6">
        <w:rPr>
          <w:sz w:val="23"/>
          <w:szCs w:val="23"/>
        </w:rPr>
        <w:t>the</w:t>
      </w:r>
      <w:r w:rsidR="009E000F">
        <w:rPr>
          <w:sz w:val="23"/>
          <w:szCs w:val="23"/>
        </w:rPr>
        <w:t xml:space="preserve"> over-</w:t>
      </w:r>
      <w:r w:rsidR="009145D6">
        <w:rPr>
          <w:sz w:val="23"/>
          <w:szCs w:val="23"/>
        </w:rPr>
        <w:t>recovery of</w:t>
      </w:r>
      <w:r>
        <w:rPr>
          <w:sz w:val="23"/>
          <w:szCs w:val="23"/>
        </w:rPr>
        <w:t xml:space="preserve"> storm damage</w:t>
      </w:r>
      <w:r w:rsidR="009E000F">
        <w:rPr>
          <w:sz w:val="23"/>
          <w:szCs w:val="23"/>
        </w:rPr>
        <w:t xml:space="preserve"> costs</w:t>
      </w:r>
      <w:r w:rsidR="00C93FDF">
        <w:rPr>
          <w:sz w:val="23"/>
          <w:szCs w:val="23"/>
        </w:rPr>
        <w:t xml:space="preserve">, </w:t>
      </w:r>
      <w:r w:rsidR="009E000F">
        <w:rPr>
          <w:sz w:val="23"/>
          <w:szCs w:val="23"/>
        </w:rPr>
        <w:t>increase</w:t>
      </w:r>
      <w:r w:rsidR="00C93FDF">
        <w:rPr>
          <w:sz w:val="23"/>
          <w:szCs w:val="23"/>
        </w:rPr>
        <w:t>s</w:t>
      </w:r>
      <w:r w:rsidR="009E000F">
        <w:rPr>
          <w:sz w:val="23"/>
          <w:szCs w:val="23"/>
        </w:rPr>
        <w:t xml:space="preserve"> in</w:t>
      </w:r>
      <w:r w:rsidR="00C93FDF">
        <w:rPr>
          <w:sz w:val="23"/>
          <w:szCs w:val="23"/>
        </w:rPr>
        <w:t xml:space="preserve"> </w:t>
      </w:r>
      <w:r>
        <w:rPr>
          <w:sz w:val="23"/>
          <w:szCs w:val="23"/>
        </w:rPr>
        <w:t>Transmission</w:t>
      </w:r>
      <w:r w:rsidR="00890E71">
        <w:rPr>
          <w:sz w:val="23"/>
          <w:szCs w:val="23"/>
        </w:rPr>
        <w:t xml:space="preserve"> and Distribution</w:t>
      </w:r>
      <w:r>
        <w:rPr>
          <w:sz w:val="23"/>
          <w:szCs w:val="23"/>
        </w:rPr>
        <w:t xml:space="preserve"> C</w:t>
      </w:r>
      <w:r w:rsidR="009E000F">
        <w:rPr>
          <w:sz w:val="23"/>
          <w:szCs w:val="23"/>
        </w:rPr>
        <w:t>ontributions in Aid of Construction (CIAC)</w:t>
      </w:r>
      <w:r>
        <w:rPr>
          <w:sz w:val="23"/>
          <w:szCs w:val="23"/>
        </w:rPr>
        <w:t xml:space="preserve"> </w:t>
      </w:r>
      <w:r w:rsidR="00C93FDF">
        <w:rPr>
          <w:sz w:val="23"/>
          <w:szCs w:val="23"/>
        </w:rPr>
        <w:t xml:space="preserve">and </w:t>
      </w:r>
      <w:r>
        <w:rPr>
          <w:sz w:val="23"/>
          <w:szCs w:val="23"/>
        </w:rPr>
        <w:t>SCS</w:t>
      </w:r>
      <w:r w:rsidR="00C93FDF">
        <w:rPr>
          <w:sz w:val="23"/>
          <w:szCs w:val="23"/>
        </w:rPr>
        <w:t xml:space="preserve"> Cash Deferment</w:t>
      </w:r>
      <w:r w:rsidR="00890E71">
        <w:rPr>
          <w:sz w:val="23"/>
          <w:szCs w:val="23"/>
        </w:rPr>
        <w:t xml:space="preserve"> liability balances</w:t>
      </w:r>
      <w:r>
        <w:rPr>
          <w:sz w:val="23"/>
          <w:szCs w:val="23"/>
        </w:rPr>
        <w:t xml:space="preserve">, </w:t>
      </w:r>
      <w:r w:rsidR="00960F37">
        <w:rPr>
          <w:sz w:val="23"/>
          <w:szCs w:val="23"/>
        </w:rPr>
        <w:t xml:space="preserve">and a decrease in the </w:t>
      </w:r>
      <w:r w:rsidR="00C93FDF">
        <w:rPr>
          <w:sz w:val="23"/>
          <w:szCs w:val="23"/>
        </w:rPr>
        <w:t xml:space="preserve">Vogtle 3&amp;4 </w:t>
      </w:r>
      <w:r w:rsidR="00890E71">
        <w:rPr>
          <w:sz w:val="23"/>
          <w:szCs w:val="23"/>
        </w:rPr>
        <w:t>Advance Payment asset balances</w:t>
      </w:r>
      <w:r w:rsidR="00A81494">
        <w:rPr>
          <w:sz w:val="23"/>
          <w:szCs w:val="23"/>
        </w:rPr>
        <w:t>.</w:t>
      </w:r>
      <w:r w:rsidR="008F4B64">
        <w:rPr>
          <w:sz w:val="23"/>
          <w:szCs w:val="23"/>
        </w:rPr>
        <w:t xml:space="preserve"> </w:t>
      </w:r>
    </w:p>
    <w:p w14:paraId="7F67DD03" w14:textId="13BDC3B6" w:rsidR="004A45CF" w:rsidRDefault="00FC0B2B" w:rsidP="00713485">
      <w:pPr>
        <w:jc w:val="both"/>
        <w:rPr>
          <w:sz w:val="23"/>
          <w:szCs w:val="23"/>
        </w:rPr>
      </w:pPr>
      <w:r w:rsidRPr="00FC0B2B">
        <w:rPr>
          <w:sz w:val="23"/>
          <w:szCs w:val="23"/>
        </w:rPr>
        <w:t xml:space="preserve"> </w:t>
      </w:r>
    </w:p>
    <w:p w14:paraId="4E96BD7E" w14:textId="1C0AAF67" w:rsidR="004A45CF" w:rsidRDefault="00890E71" w:rsidP="00890E71">
      <w:pPr>
        <w:jc w:val="center"/>
        <w:rPr>
          <w:sz w:val="23"/>
          <w:szCs w:val="23"/>
        </w:rPr>
      </w:pPr>
      <w:r w:rsidRPr="00890E71">
        <w:rPr>
          <w:noProof/>
        </w:rPr>
        <w:drawing>
          <wp:inline distT="0" distB="0" distL="0" distR="0" wp14:anchorId="6C0BA74E" wp14:editId="220ACF41">
            <wp:extent cx="5486400" cy="15678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0" cy="1567815"/>
                    </a:xfrm>
                    <a:prstGeom prst="rect">
                      <a:avLst/>
                    </a:prstGeom>
                    <a:noFill/>
                    <a:ln>
                      <a:noFill/>
                    </a:ln>
                  </pic:spPr>
                </pic:pic>
              </a:graphicData>
            </a:graphic>
          </wp:inline>
        </w:drawing>
      </w:r>
    </w:p>
    <w:bookmarkEnd w:id="25"/>
    <w:p w14:paraId="24F8537C" w14:textId="77777777" w:rsidR="00F12882" w:rsidRPr="00E47543" w:rsidRDefault="00F12882" w:rsidP="00713485">
      <w:pPr>
        <w:jc w:val="both"/>
        <w:rPr>
          <w:sz w:val="23"/>
          <w:szCs w:val="23"/>
        </w:rPr>
      </w:pPr>
    </w:p>
    <w:p w14:paraId="65A78147" w14:textId="21DB3887" w:rsidR="00717A46" w:rsidRPr="009E2E59" w:rsidRDefault="00717A46" w:rsidP="00713485">
      <w:pPr>
        <w:jc w:val="both"/>
        <w:rPr>
          <w:sz w:val="23"/>
          <w:szCs w:val="23"/>
        </w:rPr>
      </w:pPr>
      <w:r w:rsidRPr="009E2E59">
        <w:rPr>
          <w:sz w:val="23"/>
          <w:szCs w:val="23"/>
          <w:u w:val="single"/>
        </w:rPr>
        <w:t>FOOTNOTE A</w:t>
      </w:r>
      <w:r w:rsidR="00A93135">
        <w:rPr>
          <w:sz w:val="23"/>
          <w:szCs w:val="23"/>
          <w:u w:val="single"/>
        </w:rPr>
        <w:t>T</w:t>
      </w:r>
      <w:r w:rsidRPr="009E2E59">
        <w:rPr>
          <w:sz w:val="23"/>
          <w:szCs w:val="23"/>
          <w:u w:val="single"/>
        </w:rPr>
        <w:t>/</w:t>
      </w:r>
      <w:r w:rsidRPr="009E2E59">
        <w:rPr>
          <w:sz w:val="23"/>
          <w:szCs w:val="23"/>
        </w:rPr>
        <w:t xml:space="preserve"> </w:t>
      </w:r>
      <w:r w:rsidRPr="009E2E59">
        <w:rPr>
          <w:sz w:val="23"/>
          <w:szCs w:val="23"/>
        </w:rPr>
        <w:tab/>
      </w:r>
      <w:r w:rsidRPr="009E2E59">
        <w:rPr>
          <w:sz w:val="23"/>
          <w:szCs w:val="23"/>
          <w:u w:val="single"/>
        </w:rPr>
        <w:t>$ (1</w:t>
      </w:r>
      <w:r w:rsidR="00A93135">
        <w:rPr>
          <w:sz w:val="23"/>
          <w:szCs w:val="23"/>
          <w:u w:val="single"/>
        </w:rPr>
        <w:t>0,203</w:t>
      </w:r>
      <w:r w:rsidRPr="009E2E59">
        <w:rPr>
          <w:sz w:val="23"/>
          <w:szCs w:val="23"/>
          <w:u w:val="single"/>
        </w:rPr>
        <w:t>)</w:t>
      </w:r>
      <w:r w:rsidRPr="009E2E59">
        <w:rPr>
          <w:sz w:val="23"/>
          <w:szCs w:val="23"/>
        </w:rPr>
        <w:t xml:space="preserve"> </w:t>
      </w:r>
      <w:r w:rsidRPr="009E2E59">
        <w:rPr>
          <w:sz w:val="23"/>
          <w:szCs w:val="23"/>
        </w:rPr>
        <w:tab/>
        <w:t xml:space="preserve">Environmental CWIP </w:t>
      </w:r>
    </w:p>
    <w:p w14:paraId="66177AB3" w14:textId="77777777" w:rsidR="00717A46" w:rsidRPr="009E2E59" w:rsidRDefault="00717A46" w:rsidP="00713485">
      <w:pPr>
        <w:jc w:val="both"/>
        <w:rPr>
          <w:sz w:val="23"/>
          <w:szCs w:val="23"/>
        </w:rPr>
      </w:pPr>
    </w:p>
    <w:p w14:paraId="2DCB132C" w14:textId="4230004C" w:rsidR="00717A46" w:rsidRPr="009E2E59" w:rsidRDefault="00E35576" w:rsidP="00713485">
      <w:pPr>
        <w:jc w:val="both"/>
        <w:rPr>
          <w:sz w:val="23"/>
          <w:szCs w:val="23"/>
        </w:rPr>
      </w:pPr>
      <w:r w:rsidRPr="007362AC">
        <w:rPr>
          <w:sz w:val="23"/>
          <w:szCs w:val="23"/>
        </w:rPr>
        <w:t>The decrease</w:t>
      </w:r>
      <w:r w:rsidR="00DC5E23" w:rsidRPr="007362AC">
        <w:rPr>
          <w:sz w:val="23"/>
          <w:szCs w:val="23"/>
        </w:rPr>
        <w:t xml:space="preserve"> </w:t>
      </w:r>
      <w:r w:rsidRPr="007362AC">
        <w:rPr>
          <w:sz w:val="23"/>
          <w:szCs w:val="23"/>
        </w:rPr>
        <w:t>is due to the</w:t>
      </w:r>
      <w:r w:rsidR="00BE0DA1">
        <w:rPr>
          <w:sz w:val="23"/>
          <w:szCs w:val="23"/>
        </w:rPr>
        <w:t xml:space="preserve"> continued </w:t>
      </w:r>
      <w:r w:rsidRPr="007362AC">
        <w:rPr>
          <w:sz w:val="23"/>
          <w:szCs w:val="23"/>
        </w:rPr>
        <w:t>amortization</w:t>
      </w:r>
      <w:r w:rsidR="00BE0DA1">
        <w:rPr>
          <w:sz w:val="23"/>
          <w:szCs w:val="23"/>
        </w:rPr>
        <w:t xml:space="preserve"> through December 2022</w:t>
      </w:r>
      <w:r w:rsidRPr="007362AC">
        <w:rPr>
          <w:sz w:val="23"/>
          <w:szCs w:val="23"/>
        </w:rPr>
        <w:t xml:space="preserve"> of</w:t>
      </w:r>
      <w:r w:rsidR="007362AC">
        <w:rPr>
          <w:sz w:val="23"/>
          <w:szCs w:val="23"/>
        </w:rPr>
        <w:t xml:space="preserve"> the</w:t>
      </w:r>
      <w:r w:rsidRPr="007362AC">
        <w:rPr>
          <w:sz w:val="23"/>
          <w:szCs w:val="23"/>
        </w:rPr>
        <w:t xml:space="preserve"> </w:t>
      </w:r>
      <w:r w:rsidR="00DC5E23" w:rsidRPr="007362AC">
        <w:rPr>
          <w:sz w:val="23"/>
          <w:szCs w:val="23"/>
        </w:rPr>
        <w:t>cancelled environmental construction projects</w:t>
      </w:r>
      <w:r w:rsidRPr="007362AC">
        <w:rPr>
          <w:sz w:val="23"/>
          <w:szCs w:val="23"/>
        </w:rPr>
        <w:t xml:space="preserve"> associated with Plant Branch Units </w:t>
      </w:r>
      <w:r w:rsidR="00715E82" w:rsidRPr="007362AC">
        <w:rPr>
          <w:sz w:val="23"/>
          <w:szCs w:val="23"/>
        </w:rPr>
        <w:t>1-</w:t>
      </w:r>
      <w:r w:rsidRPr="007362AC">
        <w:rPr>
          <w:sz w:val="23"/>
          <w:szCs w:val="23"/>
        </w:rPr>
        <w:t>4 and Plant Yates Units 6</w:t>
      </w:r>
      <w:r w:rsidR="00801B20">
        <w:rPr>
          <w:sz w:val="23"/>
          <w:szCs w:val="23"/>
        </w:rPr>
        <w:t xml:space="preserve"> and </w:t>
      </w:r>
      <w:r w:rsidRPr="007362AC">
        <w:rPr>
          <w:sz w:val="23"/>
          <w:szCs w:val="23"/>
        </w:rPr>
        <w:t>7</w:t>
      </w:r>
      <w:r w:rsidR="00BE0DA1">
        <w:rPr>
          <w:sz w:val="23"/>
          <w:szCs w:val="23"/>
        </w:rPr>
        <w:t>,</w:t>
      </w:r>
      <w:r w:rsidRPr="007362AC">
        <w:rPr>
          <w:sz w:val="23"/>
          <w:szCs w:val="23"/>
        </w:rPr>
        <w:t xml:space="preserve"> </w:t>
      </w:r>
      <w:r w:rsidR="00BE0DA1">
        <w:rPr>
          <w:sz w:val="23"/>
          <w:szCs w:val="23"/>
        </w:rPr>
        <w:t xml:space="preserve">as approved by </w:t>
      </w:r>
      <w:r w:rsidRPr="007362AC">
        <w:rPr>
          <w:sz w:val="23"/>
          <w:szCs w:val="23"/>
        </w:rPr>
        <w:t>the Commission in Docket No. 36989</w:t>
      </w:r>
      <w:r w:rsidR="00BE0DA1">
        <w:rPr>
          <w:sz w:val="23"/>
          <w:szCs w:val="23"/>
        </w:rPr>
        <w:t>.</w:t>
      </w:r>
    </w:p>
    <w:p w14:paraId="62AB5945" w14:textId="77777777" w:rsidR="00825FBE" w:rsidRDefault="00825FBE" w:rsidP="00713485">
      <w:pPr>
        <w:jc w:val="both"/>
        <w:rPr>
          <w:sz w:val="23"/>
          <w:szCs w:val="23"/>
          <w:u w:val="single"/>
        </w:rPr>
      </w:pPr>
    </w:p>
    <w:p w14:paraId="628CA78C" w14:textId="759AC799" w:rsidR="00351A88" w:rsidRPr="009E2E59" w:rsidRDefault="00351A88" w:rsidP="00713485">
      <w:pPr>
        <w:jc w:val="both"/>
        <w:rPr>
          <w:sz w:val="23"/>
          <w:szCs w:val="23"/>
          <w:u w:val="single"/>
        </w:rPr>
      </w:pPr>
      <w:r w:rsidRPr="009E2E59">
        <w:rPr>
          <w:sz w:val="23"/>
          <w:szCs w:val="23"/>
          <w:u w:val="single"/>
        </w:rPr>
        <w:t>FOOTNOTE A</w:t>
      </w:r>
      <w:r w:rsidR="00A93135">
        <w:rPr>
          <w:sz w:val="23"/>
          <w:szCs w:val="23"/>
          <w:u w:val="single"/>
        </w:rPr>
        <w:t>U</w:t>
      </w:r>
      <w:r w:rsidRPr="009E2E59">
        <w:rPr>
          <w:sz w:val="23"/>
          <w:szCs w:val="23"/>
          <w:u w:val="single"/>
        </w:rPr>
        <w:t>/</w:t>
      </w:r>
      <w:r w:rsidRPr="009E2E59">
        <w:rPr>
          <w:sz w:val="23"/>
          <w:szCs w:val="23"/>
        </w:rPr>
        <w:t xml:space="preserve"> </w:t>
      </w:r>
      <w:r w:rsidRPr="009E2E59">
        <w:rPr>
          <w:sz w:val="23"/>
          <w:szCs w:val="23"/>
        </w:rPr>
        <w:tab/>
      </w:r>
      <w:r w:rsidRPr="009E2E59">
        <w:rPr>
          <w:sz w:val="23"/>
          <w:szCs w:val="23"/>
          <w:u w:val="single"/>
        </w:rPr>
        <w:t xml:space="preserve">$ </w:t>
      </w:r>
      <w:r w:rsidR="00A93135">
        <w:rPr>
          <w:sz w:val="23"/>
          <w:szCs w:val="23"/>
          <w:u w:val="single"/>
        </w:rPr>
        <w:t>357,570</w:t>
      </w:r>
      <w:r w:rsidRPr="009E2E59">
        <w:rPr>
          <w:sz w:val="23"/>
          <w:szCs w:val="23"/>
        </w:rPr>
        <w:tab/>
        <w:t>Retired Units’ N</w:t>
      </w:r>
      <w:r w:rsidR="00DC5E23">
        <w:rPr>
          <w:sz w:val="23"/>
          <w:szCs w:val="23"/>
        </w:rPr>
        <w:t>et Book Value</w:t>
      </w:r>
      <w:r w:rsidRPr="009E2E59">
        <w:rPr>
          <w:sz w:val="23"/>
          <w:szCs w:val="23"/>
        </w:rPr>
        <w:t xml:space="preserve"> </w:t>
      </w:r>
    </w:p>
    <w:p w14:paraId="49048CE3" w14:textId="77777777" w:rsidR="00351A88" w:rsidRPr="009E2E59" w:rsidRDefault="00351A88" w:rsidP="00713485">
      <w:pPr>
        <w:jc w:val="both"/>
        <w:rPr>
          <w:sz w:val="23"/>
          <w:szCs w:val="23"/>
        </w:rPr>
      </w:pPr>
    </w:p>
    <w:p w14:paraId="4E9DB0F0" w14:textId="3CF711B2" w:rsidR="000034F8" w:rsidRPr="006C57DE" w:rsidRDefault="00E35576" w:rsidP="00713485">
      <w:pPr>
        <w:jc w:val="both"/>
        <w:rPr>
          <w:color w:val="FF0000"/>
          <w:sz w:val="23"/>
          <w:szCs w:val="23"/>
        </w:rPr>
      </w:pPr>
      <w:r w:rsidRPr="007362AC">
        <w:rPr>
          <w:sz w:val="23"/>
          <w:szCs w:val="23"/>
        </w:rPr>
        <w:t>Th</w:t>
      </w:r>
      <w:r w:rsidR="00DC5E23" w:rsidRPr="007362AC">
        <w:rPr>
          <w:sz w:val="23"/>
          <w:szCs w:val="23"/>
        </w:rPr>
        <w:t>e</w:t>
      </w:r>
      <w:r w:rsidRPr="007362AC">
        <w:rPr>
          <w:sz w:val="23"/>
          <w:szCs w:val="23"/>
        </w:rPr>
        <w:t xml:space="preserve"> increase reflects the</w:t>
      </w:r>
      <w:r w:rsidR="004774E9">
        <w:rPr>
          <w:sz w:val="23"/>
          <w:szCs w:val="23"/>
        </w:rPr>
        <w:t xml:space="preserve"> </w:t>
      </w:r>
      <w:r w:rsidR="00DC5E23" w:rsidRPr="007362AC">
        <w:rPr>
          <w:sz w:val="23"/>
          <w:szCs w:val="23"/>
        </w:rPr>
        <w:t xml:space="preserve">reclassification </w:t>
      </w:r>
      <w:r w:rsidRPr="007362AC">
        <w:rPr>
          <w:sz w:val="23"/>
          <w:szCs w:val="23"/>
        </w:rPr>
        <w:t>of the remaining net book value</w:t>
      </w:r>
      <w:r w:rsidR="00BA7488">
        <w:rPr>
          <w:sz w:val="23"/>
          <w:szCs w:val="23"/>
        </w:rPr>
        <w:t>s</w:t>
      </w:r>
      <w:r w:rsidRPr="007362AC">
        <w:rPr>
          <w:sz w:val="23"/>
          <w:szCs w:val="23"/>
        </w:rPr>
        <w:t xml:space="preserve"> of Plant </w:t>
      </w:r>
      <w:r w:rsidR="00C71468">
        <w:rPr>
          <w:sz w:val="23"/>
          <w:szCs w:val="23"/>
        </w:rPr>
        <w:t xml:space="preserve">Wansley </w:t>
      </w:r>
      <w:r w:rsidRPr="007362AC">
        <w:rPr>
          <w:sz w:val="23"/>
          <w:szCs w:val="23"/>
        </w:rPr>
        <w:t xml:space="preserve">Units </w:t>
      </w:r>
      <w:r w:rsidR="00BA7488">
        <w:rPr>
          <w:sz w:val="23"/>
          <w:szCs w:val="23"/>
        </w:rPr>
        <w:t>1,</w:t>
      </w:r>
      <w:r w:rsidR="00801B20">
        <w:rPr>
          <w:sz w:val="23"/>
          <w:szCs w:val="23"/>
        </w:rPr>
        <w:t xml:space="preserve"> </w:t>
      </w:r>
      <w:r w:rsidR="00F25193">
        <w:rPr>
          <w:sz w:val="23"/>
          <w:szCs w:val="23"/>
        </w:rPr>
        <w:t>2</w:t>
      </w:r>
      <w:r w:rsidR="00BA7488">
        <w:rPr>
          <w:sz w:val="23"/>
          <w:szCs w:val="23"/>
        </w:rPr>
        <w:t>,</w:t>
      </w:r>
      <w:r w:rsidR="006B3F68">
        <w:rPr>
          <w:sz w:val="23"/>
          <w:szCs w:val="23"/>
        </w:rPr>
        <w:t xml:space="preserve"> and</w:t>
      </w:r>
      <w:r w:rsidR="0085642D">
        <w:rPr>
          <w:sz w:val="23"/>
          <w:szCs w:val="23"/>
        </w:rPr>
        <w:t xml:space="preserve"> </w:t>
      </w:r>
      <w:r w:rsidR="00C71468">
        <w:rPr>
          <w:sz w:val="23"/>
          <w:szCs w:val="23"/>
        </w:rPr>
        <w:t>5A</w:t>
      </w:r>
      <w:r w:rsidR="00801B20">
        <w:rPr>
          <w:sz w:val="23"/>
          <w:szCs w:val="23"/>
        </w:rPr>
        <w:t xml:space="preserve"> to</w:t>
      </w:r>
      <w:r w:rsidR="00DC5E23" w:rsidRPr="007362AC">
        <w:rPr>
          <w:sz w:val="23"/>
          <w:szCs w:val="23"/>
        </w:rPr>
        <w:t xml:space="preserve"> a regulatory asset</w:t>
      </w:r>
      <w:r w:rsidR="004774E9">
        <w:rPr>
          <w:sz w:val="23"/>
          <w:szCs w:val="23"/>
        </w:rPr>
        <w:t xml:space="preserve"> as </w:t>
      </w:r>
      <w:r w:rsidR="008464E6">
        <w:rPr>
          <w:sz w:val="23"/>
          <w:szCs w:val="23"/>
        </w:rPr>
        <w:t>proposed</w:t>
      </w:r>
      <w:r w:rsidR="004774E9">
        <w:rPr>
          <w:sz w:val="23"/>
          <w:szCs w:val="23"/>
        </w:rPr>
        <w:t xml:space="preserve"> in Docket No. 44160</w:t>
      </w:r>
      <w:r w:rsidR="006367BB" w:rsidRPr="007362AC">
        <w:rPr>
          <w:sz w:val="23"/>
          <w:szCs w:val="23"/>
        </w:rPr>
        <w:t>. The increase is partially offset by the</w:t>
      </w:r>
      <w:r w:rsidR="00E87277">
        <w:rPr>
          <w:sz w:val="23"/>
          <w:szCs w:val="23"/>
        </w:rPr>
        <w:t xml:space="preserve"> proposed </w:t>
      </w:r>
      <w:r w:rsidR="003B26AE">
        <w:rPr>
          <w:sz w:val="23"/>
          <w:szCs w:val="23"/>
        </w:rPr>
        <w:t xml:space="preserve">amortization of </w:t>
      </w:r>
      <w:r w:rsidR="00507D4F">
        <w:rPr>
          <w:sz w:val="23"/>
          <w:szCs w:val="23"/>
        </w:rPr>
        <w:t>Wansley Units 1</w:t>
      </w:r>
      <w:r w:rsidR="00801B20">
        <w:rPr>
          <w:sz w:val="23"/>
          <w:szCs w:val="23"/>
        </w:rPr>
        <w:t xml:space="preserve"> and </w:t>
      </w:r>
      <w:r w:rsidR="00507D4F">
        <w:rPr>
          <w:sz w:val="23"/>
          <w:szCs w:val="23"/>
        </w:rPr>
        <w:t xml:space="preserve">2 over its remaining useful life and Wansley Unit 5A over the </w:t>
      </w:r>
      <w:r w:rsidR="00894B68">
        <w:rPr>
          <w:sz w:val="23"/>
          <w:szCs w:val="23"/>
        </w:rPr>
        <w:t>three-year period ending December 31, 2025. T</w:t>
      </w:r>
      <w:r w:rsidR="003B26AE">
        <w:rPr>
          <w:sz w:val="23"/>
          <w:szCs w:val="23"/>
        </w:rPr>
        <w:t>he</w:t>
      </w:r>
      <w:r w:rsidR="00894B68">
        <w:rPr>
          <w:sz w:val="23"/>
          <w:szCs w:val="23"/>
        </w:rPr>
        <w:t xml:space="preserve"> increase is also partially offset by the</w:t>
      </w:r>
      <w:r w:rsidR="006367BB" w:rsidRPr="007362AC">
        <w:rPr>
          <w:sz w:val="23"/>
          <w:szCs w:val="23"/>
        </w:rPr>
        <w:t xml:space="preserve"> </w:t>
      </w:r>
      <w:r w:rsidR="0085642D">
        <w:rPr>
          <w:sz w:val="23"/>
          <w:szCs w:val="23"/>
        </w:rPr>
        <w:t>continued</w:t>
      </w:r>
      <w:r w:rsidR="006367BB" w:rsidRPr="007362AC">
        <w:rPr>
          <w:sz w:val="23"/>
          <w:szCs w:val="23"/>
        </w:rPr>
        <w:t xml:space="preserve"> amortization of</w:t>
      </w:r>
      <w:r w:rsidR="0085642D">
        <w:rPr>
          <w:sz w:val="23"/>
          <w:szCs w:val="23"/>
        </w:rPr>
        <w:t xml:space="preserve"> the</w:t>
      </w:r>
      <w:r w:rsidR="00F12882" w:rsidRPr="007362AC">
        <w:rPr>
          <w:sz w:val="23"/>
          <w:szCs w:val="23"/>
        </w:rPr>
        <w:t xml:space="preserve"> net book value</w:t>
      </w:r>
      <w:r w:rsidR="008D6674">
        <w:rPr>
          <w:sz w:val="23"/>
          <w:szCs w:val="23"/>
        </w:rPr>
        <w:t>s</w:t>
      </w:r>
      <w:r w:rsidR="00F12882" w:rsidRPr="007362AC">
        <w:rPr>
          <w:sz w:val="23"/>
          <w:szCs w:val="23"/>
        </w:rPr>
        <w:t xml:space="preserve"> of</w:t>
      </w:r>
      <w:r w:rsidR="003B26AE">
        <w:rPr>
          <w:sz w:val="23"/>
          <w:szCs w:val="23"/>
        </w:rPr>
        <w:t xml:space="preserve"> Plant Branch Units 2-4 and Common,</w:t>
      </w:r>
      <w:r w:rsidR="00F12882" w:rsidRPr="007362AC">
        <w:rPr>
          <w:sz w:val="23"/>
          <w:szCs w:val="23"/>
        </w:rPr>
        <w:t xml:space="preserve"> Plant Mitchell Unit 3</w:t>
      </w:r>
      <w:r w:rsidR="003B26AE">
        <w:rPr>
          <w:sz w:val="23"/>
          <w:szCs w:val="23"/>
        </w:rPr>
        <w:t xml:space="preserve">, </w:t>
      </w:r>
      <w:r w:rsidR="006367BB" w:rsidRPr="007362AC">
        <w:rPr>
          <w:sz w:val="23"/>
          <w:szCs w:val="23"/>
        </w:rPr>
        <w:t>Plant Hammond Units 1-4</w:t>
      </w:r>
      <w:r w:rsidR="00D10176">
        <w:rPr>
          <w:sz w:val="23"/>
          <w:szCs w:val="23"/>
        </w:rPr>
        <w:t>,</w:t>
      </w:r>
      <w:r w:rsidR="006367BB" w:rsidRPr="007362AC">
        <w:rPr>
          <w:sz w:val="23"/>
          <w:szCs w:val="23"/>
        </w:rPr>
        <w:t xml:space="preserve"> Plant McIntosh Unit</w:t>
      </w:r>
      <w:r w:rsidR="00F12882" w:rsidRPr="007362AC">
        <w:rPr>
          <w:sz w:val="23"/>
          <w:szCs w:val="23"/>
        </w:rPr>
        <w:t xml:space="preserve"> 1, and hydro units</w:t>
      </w:r>
      <w:r w:rsidR="00D10176">
        <w:rPr>
          <w:sz w:val="23"/>
          <w:szCs w:val="23"/>
        </w:rPr>
        <w:t>.</w:t>
      </w:r>
    </w:p>
    <w:p w14:paraId="1299C42D" w14:textId="77777777" w:rsidR="00351A88" w:rsidRPr="009E2E59" w:rsidRDefault="00351A88" w:rsidP="00713485">
      <w:pPr>
        <w:jc w:val="both"/>
        <w:rPr>
          <w:sz w:val="23"/>
          <w:szCs w:val="23"/>
        </w:rPr>
      </w:pPr>
    </w:p>
    <w:p w14:paraId="03E9C2B4" w14:textId="3794DD4F" w:rsidR="00A93135" w:rsidRPr="009E2E59" w:rsidRDefault="00A93135" w:rsidP="00A93135">
      <w:pPr>
        <w:jc w:val="both"/>
        <w:rPr>
          <w:sz w:val="23"/>
          <w:szCs w:val="23"/>
          <w:u w:val="single"/>
        </w:rPr>
      </w:pPr>
      <w:r w:rsidRPr="009E2E59">
        <w:rPr>
          <w:sz w:val="23"/>
          <w:szCs w:val="23"/>
          <w:u w:val="single"/>
        </w:rPr>
        <w:t>FOOTNOTE A</w:t>
      </w:r>
      <w:r>
        <w:rPr>
          <w:sz w:val="23"/>
          <w:szCs w:val="23"/>
          <w:u w:val="single"/>
        </w:rPr>
        <w:t>V</w:t>
      </w:r>
      <w:r w:rsidRPr="009E2E59">
        <w:rPr>
          <w:sz w:val="23"/>
          <w:szCs w:val="23"/>
          <w:u w:val="single"/>
        </w:rPr>
        <w:t>/</w:t>
      </w:r>
      <w:r w:rsidRPr="009E2E59">
        <w:rPr>
          <w:sz w:val="23"/>
          <w:szCs w:val="23"/>
        </w:rPr>
        <w:t xml:space="preserve"> </w:t>
      </w:r>
      <w:r w:rsidRPr="009E2E59">
        <w:rPr>
          <w:sz w:val="23"/>
          <w:szCs w:val="23"/>
        </w:rPr>
        <w:tab/>
      </w:r>
      <w:r w:rsidRPr="009E2E59">
        <w:rPr>
          <w:sz w:val="23"/>
          <w:szCs w:val="23"/>
          <w:u w:val="single"/>
        </w:rPr>
        <w:t>$</w:t>
      </w:r>
      <w:r>
        <w:rPr>
          <w:sz w:val="23"/>
          <w:szCs w:val="23"/>
          <w:u w:val="single"/>
        </w:rPr>
        <w:t>24,180</w:t>
      </w:r>
      <w:r w:rsidRPr="009E2E59">
        <w:rPr>
          <w:sz w:val="23"/>
          <w:szCs w:val="23"/>
        </w:rPr>
        <w:tab/>
      </w:r>
      <w:r w:rsidR="00B824C6">
        <w:rPr>
          <w:sz w:val="23"/>
          <w:szCs w:val="23"/>
        </w:rPr>
        <w:t>Bowen and Scherer Depreciation Deferral</w:t>
      </w:r>
      <w:r w:rsidRPr="009E2E59">
        <w:rPr>
          <w:sz w:val="23"/>
          <w:szCs w:val="23"/>
        </w:rPr>
        <w:t xml:space="preserve"> </w:t>
      </w:r>
    </w:p>
    <w:p w14:paraId="39DF34CE" w14:textId="77777777" w:rsidR="00A93135" w:rsidRPr="009E2E59" w:rsidRDefault="00A93135" w:rsidP="00A93135">
      <w:pPr>
        <w:jc w:val="both"/>
        <w:rPr>
          <w:sz w:val="23"/>
          <w:szCs w:val="23"/>
        </w:rPr>
      </w:pPr>
    </w:p>
    <w:p w14:paraId="0B08E4BC" w14:textId="3DF7B62D" w:rsidR="00B824C6" w:rsidRPr="00EE0971" w:rsidRDefault="004D4524" w:rsidP="00EE0971">
      <w:pPr>
        <w:jc w:val="both"/>
        <w:rPr>
          <w:sz w:val="23"/>
          <w:szCs w:val="23"/>
        </w:rPr>
      </w:pPr>
      <w:r>
        <w:rPr>
          <w:sz w:val="23"/>
          <w:szCs w:val="23"/>
        </w:rPr>
        <w:t xml:space="preserve">The increase </w:t>
      </w:r>
      <w:r w:rsidR="00EE0971">
        <w:rPr>
          <w:sz w:val="23"/>
          <w:szCs w:val="23"/>
        </w:rPr>
        <w:t>is due to</w:t>
      </w:r>
      <w:r>
        <w:rPr>
          <w:sz w:val="23"/>
          <w:szCs w:val="23"/>
        </w:rPr>
        <w:t xml:space="preserve"> the</w:t>
      </w:r>
      <w:r w:rsidR="001D6F96">
        <w:rPr>
          <w:sz w:val="23"/>
          <w:szCs w:val="23"/>
        </w:rPr>
        <w:t xml:space="preserve"> proposed</w:t>
      </w:r>
      <w:r>
        <w:rPr>
          <w:sz w:val="23"/>
          <w:szCs w:val="23"/>
        </w:rPr>
        <w:t xml:space="preserve"> deferral</w:t>
      </w:r>
      <w:r w:rsidR="00EE0971">
        <w:rPr>
          <w:sz w:val="23"/>
          <w:szCs w:val="23"/>
        </w:rPr>
        <w:t xml:space="preserve"> to a regulatory asset a portion of</w:t>
      </w:r>
      <w:r w:rsidR="001D6F96">
        <w:rPr>
          <w:sz w:val="23"/>
          <w:szCs w:val="23"/>
        </w:rPr>
        <w:t xml:space="preserve"> depreciation expenses</w:t>
      </w:r>
      <w:r>
        <w:rPr>
          <w:sz w:val="23"/>
          <w:szCs w:val="23"/>
        </w:rPr>
        <w:t xml:space="preserve"> associated with</w:t>
      </w:r>
      <w:r w:rsidR="001D6F96">
        <w:rPr>
          <w:sz w:val="23"/>
          <w:szCs w:val="23"/>
        </w:rPr>
        <w:t xml:space="preserve"> </w:t>
      </w:r>
      <w:r>
        <w:rPr>
          <w:sz w:val="23"/>
          <w:szCs w:val="23"/>
        </w:rPr>
        <w:t>Plant Bowen Units 1-2 and Scherer Units 1-3</w:t>
      </w:r>
      <w:r w:rsidR="00AC65C8">
        <w:rPr>
          <w:sz w:val="23"/>
          <w:szCs w:val="23"/>
        </w:rPr>
        <w:t xml:space="preserve"> beginning in 2023 </w:t>
      </w:r>
      <w:r w:rsidR="001D6F96">
        <w:rPr>
          <w:sz w:val="23"/>
          <w:szCs w:val="23"/>
        </w:rPr>
        <w:t xml:space="preserve">to </w:t>
      </w:r>
      <w:r w:rsidR="00EE0971">
        <w:rPr>
          <w:sz w:val="23"/>
          <w:szCs w:val="23"/>
        </w:rPr>
        <w:t xml:space="preserve">reflect the net book values to </w:t>
      </w:r>
      <w:r w:rsidR="001D6F96">
        <w:rPr>
          <w:sz w:val="23"/>
          <w:szCs w:val="23"/>
        </w:rPr>
        <w:t xml:space="preserve">be recovered over the </w:t>
      </w:r>
      <w:r w:rsidR="009806A3">
        <w:rPr>
          <w:sz w:val="23"/>
          <w:szCs w:val="23"/>
        </w:rPr>
        <w:t>nine-year period ending December 2031.</w:t>
      </w:r>
    </w:p>
    <w:p w14:paraId="63BF5E52" w14:textId="77777777" w:rsidR="00B824C6" w:rsidRDefault="00B824C6">
      <w:pPr>
        <w:rPr>
          <w:sz w:val="23"/>
          <w:szCs w:val="23"/>
          <w:u w:val="single"/>
        </w:rPr>
      </w:pPr>
    </w:p>
    <w:p w14:paraId="3F92511F" w14:textId="424C743B" w:rsidR="00B824C6" w:rsidRPr="009E2E59" w:rsidRDefault="00B824C6" w:rsidP="00B824C6">
      <w:pPr>
        <w:jc w:val="both"/>
        <w:rPr>
          <w:sz w:val="23"/>
          <w:szCs w:val="23"/>
          <w:u w:val="single"/>
        </w:rPr>
      </w:pPr>
      <w:r w:rsidRPr="009E2E59">
        <w:rPr>
          <w:sz w:val="23"/>
          <w:szCs w:val="23"/>
          <w:u w:val="single"/>
        </w:rPr>
        <w:t>FOOTNOTE A</w:t>
      </w:r>
      <w:r>
        <w:rPr>
          <w:sz w:val="23"/>
          <w:szCs w:val="23"/>
          <w:u w:val="single"/>
        </w:rPr>
        <w:t>W</w:t>
      </w:r>
      <w:r w:rsidRPr="009E2E59">
        <w:rPr>
          <w:sz w:val="23"/>
          <w:szCs w:val="23"/>
          <w:u w:val="single"/>
        </w:rPr>
        <w:t>/</w:t>
      </w:r>
      <w:r w:rsidRPr="009E2E59">
        <w:rPr>
          <w:sz w:val="23"/>
          <w:szCs w:val="23"/>
        </w:rPr>
        <w:t xml:space="preserve"> </w:t>
      </w:r>
      <w:r w:rsidRPr="009E2E59">
        <w:rPr>
          <w:sz w:val="23"/>
          <w:szCs w:val="23"/>
        </w:rPr>
        <w:tab/>
      </w:r>
      <w:r w:rsidRPr="009E2E59">
        <w:rPr>
          <w:sz w:val="23"/>
          <w:szCs w:val="23"/>
          <w:u w:val="single"/>
        </w:rPr>
        <w:t>$</w:t>
      </w:r>
      <w:r w:rsidR="00E1276E">
        <w:rPr>
          <w:sz w:val="23"/>
          <w:szCs w:val="23"/>
          <w:u w:val="single"/>
        </w:rPr>
        <w:t>308,244</w:t>
      </w:r>
      <w:r w:rsidRPr="009E2E59">
        <w:rPr>
          <w:sz w:val="23"/>
          <w:szCs w:val="23"/>
        </w:rPr>
        <w:tab/>
      </w:r>
      <w:r>
        <w:rPr>
          <w:sz w:val="23"/>
          <w:szCs w:val="23"/>
        </w:rPr>
        <w:t>Tax Reform Regulatory Liability</w:t>
      </w:r>
      <w:r w:rsidRPr="009E2E59">
        <w:rPr>
          <w:sz w:val="23"/>
          <w:szCs w:val="23"/>
        </w:rPr>
        <w:t xml:space="preserve"> </w:t>
      </w:r>
    </w:p>
    <w:p w14:paraId="6B3EEA3A" w14:textId="77777777" w:rsidR="00B824C6" w:rsidRPr="009E2E59" w:rsidRDefault="00B824C6" w:rsidP="00B824C6">
      <w:pPr>
        <w:jc w:val="both"/>
        <w:rPr>
          <w:sz w:val="23"/>
          <w:szCs w:val="23"/>
        </w:rPr>
      </w:pPr>
    </w:p>
    <w:p w14:paraId="0602C738" w14:textId="27AB7E10" w:rsidR="00B824C6" w:rsidRPr="003761B4" w:rsidRDefault="00F57A5A" w:rsidP="00713485">
      <w:pPr>
        <w:jc w:val="both"/>
        <w:rPr>
          <w:sz w:val="23"/>
          <w:szCs w:val="23"/>
        </w:rPr>
      </w:pPr>
      <w:r>
        <w:rPr>
          <w:sz w:val="23"/>
          <w:szCs w:val="23"/>
        </w:rPr>
        <w:t>The decrease</w:t>
      </w:r>
      <w:r w:rsidR="00BE0DA1">
        <w:rPr>
          <w:sz w:val="23"/>
          <w:szCs w:val="23"/>
        </w:rPr>
        <w:t xml:space="preserve"> in the liability</w:t>
      </w:r>
      <w:r>
        <w:rPr>
          <w:sz w:val="23"/>
          <w:szCs w:val="23"/>
        </w:rPr>
        <w:t xml:space="preserve"> is due to the continued amortization through December 2022 of the unprotected excess ADITs previously generated by the remeasurement of federal deferred income taxes from the Tax Reform Act</w:t>
      </w:r>
      <w:r w:rsidR="00EF550F">
        <w:rPr>
          <w:sz w:val="23"/>
          <w:szCs w:val="23"/>
        </w:rPr>
        <w:t>,</w:t>
      </w:r>
      <w:r w:rsidR="00EF550F" w:rsidRPr="007362AC">
        <w:rPr>
          <w:sz w:val="23"/>
          <w:szCs w:val="23"/>
        </w:rPr>
        <w:t xml:space="preserve"> </w:t>
      </w:r>
      <w:r w:rsidR="00EF550F">
        <w:rPr>
          <w:sz w:val="23"/>
          <w:szCs w:val="23"/>
        </w:rPr>
        <w:t xml:space="preserve">as approved by </w:t>
      </w:r>
      <w:r w:rsidR="00EF550F" w:rsidRPr="007362AC">
        <w:rPr>
          <w:sz w:val="23"/>
          <w:szCs w:val="23"/>
        </w:rPr>
        <w:t xml:space="preserve">the Commission in Docket No. </w:t>
      </w:r>
      <w:r w:rsidR="00EF550F">
        <w:rPr>
          <w:sz w:val="23"/>
          <w:szCs w:val="23"/>
        </w:rPr>
        <w:t>42516.</w:t>
      </w:r>
    </w:p>
    <w:p w14:paraId="1054473A" w14:textId="77777777" w:rsidR="00707507" w:rsidRDefault="00707507" w:rsidP="00EE7DF8">
      <w:pPr>
        <w:jc w:val="both"/>
        <w:rPr>
          <w:sz w:val="23"/>
          <w:szCs w:val="23"/>
          <w:u w:val="single"/>
        </w:rPr>
      </w:pPr>
    </w:p>
    <w:p w14:paraId="2C043953" w14:textId="6C863994" w:rsidR="00EE7DF8" w:rsidRPr="009E2E59" w:rsidRDefault="00EE7DF8" w:rsidP="00EE7DF8">
      <w:pPr>
        <w:jc w:val="both"/>
        <w:rPr>
          <w:sz w:val="23"/>
          <w:szCs w:val="23"/>
          <w:u w:val="single"/>
        </w:rPr>
      </w:pPr>
      <w:r w:rsidRPr="009E2E59">
        <w:rPr>
          <w:sz w:val="23"/>
          <w:szCs w:val="23"/>
          <w:u w:val="single"/>
        </w:rPr>
        <w:t>FOOTNOTE A</w:t>
      </w:r>
      <w:r>
        <w:rPr>
          <w:sz w:val="23"/>
          <w:szCs w:val="23"/>
          <w:u w:val="single"/>
        </w:rPr>
        <w:t>X</w:t>
      </w:r>
      <w:r w:rsidRPr="009E2E59">
        <w:rPr>
          <w:sz w:val="23"/>
          <w:szCs w:val="23"/>
          <w:u w:val="single"/>
        </w:rPr>
        <w:t>/</w:t>
      </w:r>
      <w:r w:rsidRPr="009E2E59">
        <w:rPr>
          <w:sz w:val="23"/>
          <w:szCs w:val="23"/>
        </w:rPr>
        <w:t xml:space="preserve"> </w:t>
      </w:r>
      <w:r w:rsidRPr="009E2E59">
        <w:rPr>
          <w:sz w:val="23"/>
          <w:szCs w:val="23"/>
        </w:rPr>
        <w:tab/>
      </w:r>
      <w:r w:rsidR="00BE0DA1">
        <w:rPr>
          <w:sz w:val="23"/>
          <w:szCs w:val="23"/>
        </w:rPr>
        <w:t>(</w:t>
      </w:r>
      <w:r w:rsidRPr="009E2E59">
        <w:rPr>
          <w:sz w:val="23"/>
          <w:szCs w:val="23"/>
          <w:u w:val="single"/>
        </w:rPr>
        <w:t>$</w:t>
      </w:r>
      <w:r w:rsidR="00BE0DA1">
        <w:rPr>
          <w:sz w:val="23"/>
          <w:szCs w:val="23"/>
          <w:u w:val="single"/>
        </w:rPr>
        <w:t>5,975)</w:t>
      </w:r>
      <w:r w:rsidRPr="009E2E59">
        <w:rPr>
          <w:sz w:val="23"/>
          <w:szCs w:val="23"/>
        </w:rPr>
        <w:tab/>
      </w:r>
      <w:r>
        <w:rPr>
          <w:sz w:val="23"/>
          <w:szCs w:val="23"/>
        </w:rPr>
        <w:t>OPRB Retiree Drug Subsidy</w:t>
      </w:r>
      <w:r w:rsidR="00B82036">
        <w:rPr>
          <w:sz w:val="23"/>
          <w:szCs w:val="23"/>
        </w:rPr>
        <w:t xml:space="preserve"> Tax</w:t>
      </w:r>
      <w:r>
        <w:rPr>
          <w:sz w:val="23"/>
          <w:szCs w:val="23"/>
        </w:rPr>
        <w:t xml:space="preserve"> Regulatory Asset</w:t>
      </w:r>
      <w:r w:rsidRPr="009E2E59">
        <w:rPr>
          <w:sz w:val="23"/>
          <w:szCs w:val="23"/>
        </w:rPr>
        <w:t xml:space="preserve"> </w:t>
      </w:r>
    </w:p>
    <w:p w14:paraId="33331C69" w14:textId="77777777" w:rsidR="00EE7DF8" w:rsidRDefault="00EE7DF8" w:rsidP="00713485">
      <w:pPr>
        <w:jc w:val="both"/>
        <w:rPr>
          <w:sz w:val="23"/>
          <w:szCs w:val="23"/>
          <w:u w:val="single"/>
        </w:rPr>
      </w:pPr>
    </w:p>
    <w:p w14:paraId="69E06C34" w14:textId="02FB44D6" w:rsidR="00F825BD" w:rsidRPr="009E2E59" w:rsidRDefault="00F825BD" w:rsidP="00F825BD">
      <w:pPr>
        <w:jc w:val="both"/>
        <w:rPr>
          <w:sz w:val="23"/>
          <w:szCs w:val="23"/>
        </w:rPr>
      </w:pPr>
      <w:r w:rsidRPr="009E2E59">
        <w:rPr>
          <w:sz w:val="23"/>
          <w:szCs w:val="23"/>
        </w:rPr>
        <w:t>Th</w:t>
      </w:r>
      <w:r>
        <w:rPr>
          <w:sz w:val="23"/>
          <w:szCs w:val="23"/>
        </w:rPr>
        <w:t>e</w:t>
      </w:r>
      <w:r w:rsidRPr="009E2E59">
        <w:rPr>
          <w:sz w:val="23"/>
          <w:szCs w:val="23"/>
        </w:rPr>
        <w:t xml:space="preserve"> decrease is due to the continued amortization</w:t>
      </w:r>
      <w:r>
        <w:rPr>
          <w:sz w:val="23"/>
          <w:szCs w:val="23"/>
        </w:rPr>
        <w:t xml:space="preserve"> through December 2022</w:t>
      </w:r>
      <w:r w:rsidRPr="009E2E59">
        <w:rPr>
          <w:sz w:val="23"/>
          <w:szCs w:val="23"/>
        </w:rPr>
        <w:t xml:space="preserve"> of the </w:t>
      </w:r>
      <w:r>
        <w:rPr>
          <w:sz w:val="23"/>
          <w:szCs w:val="23"/>
        </w:rPr>
        <w:t xml:space="preserve">deferred tax costs from the March 2010 Healthcare Act, as approved by the Commission in Docket No. 31958.  </w:t>
      </w:r>
    </w:p>
    <w:p w14:paraId="0BF75F00" w14:textId="77777777" w:rsidR="00EE7DF8" w:rsidRDefault="00EE7DF8" w:rsidP="00713485">
      <w:pPr>
        <w:jc w:val="both"/>
        <w:rPr>
          <w:sz w:val="23"/>
          <w:szCs w:val="23"/>
          <w:u w:val="single"/>
        </w:rPr>
      </w:pPr>
    </w:p>
    <w:p w14:paraId="32D5A5C7" w14:textId="051C1502" w:rsidR="000A4706" w:rsidRPr="009E2E59" w:rsidRDefault="000A4706" w:rsidP="00713485">
      <w:pPr>
        <w:jc w:val="both"/>
        <w:rPr>
          <w:sz w:val="23"/>
          <w:szCs w:val="23"/>
          <w:u w:val="single"/>
        </w:rPr>
      </w:pPr>
      <w:r w:rsidRPr="009E2E59">
        <w:rPr>
          <w:sz w:val="23"/>
          <w:szCs w:val="23"/>
          <w:u w:val="single"/>
        </w:rPr>
        <w:t>FOOTNOTE A</w:t>
      </w:r>
      <w:r w:rsidR="00EE7DF8">
        <w:rPr>
          <w:sz w:val="23"/>
          <w:szCs w:val="23"/>
          <w:u w:val="single"/>
        </w:rPr>
        <w:t>Y</w:t>
      </w:r>
      <w:r w:rsidRPr="009E2E59">
        <w:rPr>
          <w:sz w:val="23"/>
          <w:szCs w:val="23"/>
          <w:u w:val="single"/>
        </w:rPr>
        <w:t>/</w:t>
      </w:r>
      <w:r w:rsidRPr="009E2E59">
        <w:rPr>
          <w:sz w:val="23"/>
          <w:szCs w:val="23"/>
        </w:rPr>
        <w:t xml:space="preserve"> </w:t>
      </w:r>
      <w:r w:rsidRPr="009E2E59">
        <w:rPr>
          <w:sz w:val="23"/>
          <w:szCs w:val="23"/>
        </w:rPr>
        <w:tab/>
      </w:r>
      <w:r w:rsidRPr="009E2E59">
        <w:rPr>
          <w:sz w:val="23"/>
          <w:szCs w:val="23"/>
          <w:u w:val="single"/>
        </w:rPr>
        <w:t xml:space="preserve">$ </w:t>
      </w:r>
      <w:r w:rsidR="00EE7DF8">
        <w:rPr>
          <w:sz w:val="23"/>
          <w:szCs w:val="23"/>
          <w:u w:val="single"/>
        </w:rPr>
        <w:t>16,077</w:t>
      </w:r>
      <w:r w:rsidRPr="009E2E59">
        <w:rPr>
          <w:sz w:val="23"/>
          <w:szCs w:val="23"/>
        </w:rPr>
        <w:tab/>
      </w:r>
      <w:r w:rsidR="00B82036">
        <w:rPr>
          <w:sz w:val="23"/>
          <w:szCs w:val="23"/>
        </w:rPr>
        <w:t>Unusable Inventory Regulatory Asset</w:t>
      </w:r>
      <w:r w:rsidR="00717A46" w:rsidRPr="009E2E59">
        <w:rPr>
          <w:sz w:val="23"/>
          <w:szCs w:val="23"/>
        </w:rPr>
        <w:t xml:space="preserve"> </w:t>
      </w:r>
    </w:p>
    <w:p w14:paraId="4945A141" w14:textId="77777777" w:rsidR="00717A46" w:rsidRPr="009E2E59" w:rsidRDefault="00717A46" w:rsidP="00713485">
      <w:pPr>
        <w:jc w:val="both"/>
        <w:rPr>
          <w:sz w:val="23"/>
          <w:szCs w:val="23"/>
        </w:rPr>
      </w:pPr>
    </w:p>
    <w:p w14:paraId="5D74B871" w14:textId="11DDBDE2" w:rsidR="00F61F95" w:rsidRPr="00F05B0B" w:rsidRDefault="00E35576" w:rsidP="00713485">
      <w:pPr>
        <w:jc w:val="both"/>
        <w:rPr>
          <w:sz w:val="23"/>
          <w:szCs w:val="23"/>
        </w:rPr>
      </w:pPr>
      <w:r w:rsidRPr="001944BF">
        <w:rPr>
          <w:sz w:val="23"/>
          <w:szCs w:val="23"/>
        </w:rPr>
        <w:t>Th</w:t>
      </w:r>
      <w:r w:rsidR="00DC5E23" w:rsidRPr="001944BF">
        <w:rPr>
          <w:sz w:val="23"/>
          <w:szCs w:val="23"/>
        </w:rPr>
        <w:t>e</w:t>
      </w:r>
      <w:r w:rsidRPr="001944BF">
        <w:rPr>
          <w:sz w:val="23"/>
          <w:szCs w:val="23"/>
        </w:rPr>
        <w:t xml:space="preserve"> increase reflects the </w:t>
      </w:r>
      <w:r w:rsidR="00DC5E23" w:rsidRPr="001944BF">
        <w:rPr>
          <w:sz w:val="23"/>
          <w:szCs w:val="23"/>
        </w:rPr>
        <w:t>reclassification</w:t>
      </w:r>
      <w:r w:rsidR="001944BF">
        <w:rPr>
          <w:sz w:val="23"/>
          <w:szCs w:val="23"/>
        </w:rPr>
        <w:t xml:space="preserve"> to a regulatory asset</w:t>
      </w:r>
      <w:r w:rsidR="00DC5E23" w:rsidRPr="001944BF">
        <w:rPr>
          <w:sz w:val="23"/>
          <w:szCs w:val="23"/>
        </w:rPr>
        <w:t xml:space="preserve"> </w:t>
      </w:r>
      <w:r w:rsidR="001944BF">
        <w:rPr>
          <w:sz w:val="23"/>
          <w:szCs w:val="23"/>
        </w:rPr>
        <w:t>the</w:t>
      </w:r>
      <w:r w:rsidR="006C57DE" w:rsidRPr="001944BF">
        <w:rPr>
          <w:sz w:val="23"/>
          <w:szCs w:val="23"/>
        </w:rPr>
        <w:t xml:space="preserve"> </w:t>
      </w:r>
      <w:r w:rsidR="00EF550F">
        <w:rPr>
          <w:sz w:val="23"/>
          <w:szCs w:val="23"/>
        </w:rPr>
        <w:t xml:space="preserve">unusable </w:t>
      </w:r>
      <w:r w:rsidRPr="001944BF">
        <w:rPr>
          <w:sz w:val="23"/>
          <w:szCs w:val="23"/>
        </w:rPr>
        <w:t xml:space="preserve">materials and supplies associated with the </w:t>
      </w:r>
      <w:r w:rsidR="007022FC" w:rsidRPr="001944BF">
        <w:rPr>
          <w:sz w:val="23"/>
          <w:szCs w:val="23"/>
        </w:rPr>
        <w:t>retirement</w:t>
      </w:r>
      <w:r w:rsidRPr="001944BF">
        <w:rPr>
          <w:sz w:val="23"/>
          <w:szCs w:val="23"/>
        </w:rPr>
        <w:t xml:space="preserve"> of</w:t>
      </w:r>
      <w:r w:rsidR="009806A3" w:rsidRPr="001944BF">
        <w:rPr>
          <w:sz w:val="23"/>
          <w:szCs w:val="23"/>
        </w:rPr>
        <w:t xml:space="preserve"> Plant </w:t>
      </w:r>
      <w:r w:rsidR="007022FC" w:rsidRPr="001944BF">
        <w:rPr>
          <w:sz w:val="23"/>
          <w:szCs w:val="23"/>
        </w:rPr>
        <w:t>Wansley Units 1</w:t>
      </w:r>
      <w:r w:rsidR="00EF550F">
        <w:rPr>
          <w:sz w:val="23"/>
          <w:szCs w:val="23"/>
        </w:rPr>
        <w:t>,</w:t>
      </w:r>
      <w:r w:rsidR="00801B20">
        <w:rPr>
          <w:sz w:val="23"/>
          <w:szCs w:val="23"/>
        </w:rPr>
        <w:t xml:space="preserve"> </w:t>
      </w:r>
      <w:r w:rsidR="007022FC" w:rsidRPr="001944BF">
        <w:rPr>
          <w:sz w:val="23"/>
          <w:szCs w:val="23"/>
        </w:rPr>
        <w:t>2</w:t>
      </w:r>
      <w:r w:rsidR="00EF550F">
        <w:rPr>
          <w:sz w:val="23"/>
          <w:szCs w:val="23"/>
        </w:rPr>
        <w:t>,</w:t>
      </w:r>
      <w:r w:rsidR="009806A3" w:rsidRPr="001944BF">
        <w:rPr>
          <w:sz w:val="23"/>
          <w:szCs w:val="23"/>
        </w:rPr>
        <w:t xml:space="preserve"> and</w:t>
      </w:r>
      <w:r w:rsidR="007022FC" w:rsidRPr="001944BF">
        <w:rPr>
          <w:sz w:val="23"/>
          <w:szCs w:val="23"/>
        </w:rPr>
        <w:t xml:space="preserve"> 5A</w:t>
      </w:r>
      <w:r w:rsidRPr="001944BF">
        <w:rPr>
          <w:sz w:val="23"/>
          <w:szCs w:val="23"/>
        </w:rPr>
        <w:t xml:space="preserve"> </w:t>
      </w:r>
      <w:r w:rsidR="001944BF" w:rsidRPr="001944BF">
        <w:rPr>
          <w:sz w:val="23"/>
          <w:szCs w:val="23"/>
        </w:rPr>
        <w:t>as proposed in</w:t>
      </w:r>
      <w:r w:rsidRPr="001944BF">
        <w:rPr>
          <w:sz w:val="23"/>
          <w:szCs w:val="23"/>
        </w:rPr>
        <w:t xml:space="preserve"> Docket No. 4</w:t>
      </w:r>
      <w:r w:rsidR="007022FC" w:rsidRPr="001944BF">
        <w:rPr>
          <w:sz w:val="23"/>
          <w:szCs w:val="23"/>
        </w:rPr>
        <w:t>4160</w:t>
      </w:r>
      <w:r w:rsidR="00DC5E23" w:rsidRPr="001944BF">
        <w:rPr>
          <w:sz w:val="23"/>
          <w:szCs w:val="23"/>
        </w:rPr>
        <w:t>,</w:t>
      </w:r>
      <w:r w:rsidR="00F61F95">
        <w:rPr>
          <w:sz w:val="23"/>
          <w:szCs w:val="23"/>
        </w:rPr>
        <w:t xml:space="preserve"> with recovery of the regulatory asset to be determined by the Commission in the Company’s future base rate case.</w:t>
      </w:r>
    </w:p>
    <w:p w14:paraId="59FDC68E" w14:textId="77777777" w:rsidR="00F12882" w:rsidRDefault="00F12882" w:rsidP="00713485">
      <w:pPr>
        <w:jc w:val="both"/>
        <w:rPr>
          <w:sz w:val="23"/>
          <w:szCs w:val="23"/>
          <w:u w:val="single"/>
        </w:rPr>
      </w:pPr>
    </w:p>
    <w:p w14:paraId="77B7186A" w14:textId="32A98613" w:rsidR="00351A88" w:rsidRPr="009E2E59" w:rsidRDefault="00351A88" w:rsidP="00713485">
      <w:pPr>
        <w:jc w:val="both"/>
        <w:rPr>
          <w:sz w:val="23"/>
          <w:szCs w:val="23"/>
          <w:u w:val="single"/>
        </w:rPr>
      </w:pPr>
      <w:r w:rsidRPr="009E2E59">
        <w:rPr>
          <w:sz w:val="23"/>
          <w:szCs w:val="23"/>
          <w:u w:val="single"/>
        </w:rPr>
        <w:t>FOOTNOTE A</w:t>
      </w:r>
      <w:r w:rsidR="00EE7DF8">
        <w:rPr>
          <w:sz w:val="23"/>
          <w:szCs w:val="23"/>
          <w:u w:val="single"/>
        </w:rPr>
        <w:t>Z</w:t>
      </w:r>
      <w:r w:rsidRPr="009E2E59">
        <w:rPr>
          <w:sz w:val="23"/>
          <w:szCs w:val="23"/>
          <w:u w:val="single"/>
        </w:rPr>
        <w:t>/</w:t>
      </w:r>
      <w:r w:rsidRPr="009E2E59">
        <w:rPr>
          <w:sz w:val="23"/>
          <w:szCs w:val="23"/>
        </w:rPr>
        <w:t xml:space="preserve"> </w:t>
      </w:r>
      <w:r w:rsidRPr="009E2E59">
        <w:rPr>
          <w:sz w:val="23"/>
          <w:szCs w:val="23"/>
        </w:rPr>
        <w:tab/>
      </w:r>
      <w:r w:rsidRPr="009E2E59">
        <w:rPr>
          <w:sz w:val="23"/>
          <w:szCs w:val="23"/>
          <w:u w:val="single"/>
        </w:rPr>
        <w:t xml:space="preserve">$ </w:t>
      </w:r>
      <w:r w:rsidR="00EE7DF8">
        <w:rPr>
          <w:sz w:val="23"/>
          <w:szCs w:val="23"/>
          <w:u w:val="single"/>
        </w:rPr>
        <w:t>55,821</w:t>
      </w:r>
      <w:r w:rsidRPr="009E2E59">
        <w:rPr>
          <w:sz w:val="23"/>
          <w:szCs w:val="23"/>
        </w:rPr>
        <w:tab/>
      </w:r>
      <w:r w:rsidR="00EE7DF8">
        <w:rPr>
          <w:sz w:val="23"/>
          <w:szCs w:val="23"/>
        </w:rPr>
        <w:t>NCCR ADIT</w:t>
      </w:r>
    </w:p>
    <w:p w14:paraId="46308AC0" w14:textId="2B09694B" w:rsidR="00351A88" w:rsidRDefault="00351A88" w:rsidP="00713485">
      <w:pPr>
        <w:jc w:val="both"/>
        <w:rPr>
          <w:sz w:val="23"/>
          <w:szCs w:val="23"/>
        </w:rPr>
      </w:pPr>
    </w:p>
    <w:p w14:paraId="6629782C" w14:textId="3698E8EF" w:rsidR="00DF40A7" w:rsidRPr="009E2E59" w:rsidRDefault="00DF40A7" w:rsidP="00DF40A7">
      <w:pPr>
        <w:jc w:val="both"/>
        <w:rPr>
          <w:sz w:val="23"/>
          <w:szCs w:val="23"/>
          <w:u w:val="single"/>
        </w:rPr>
      </w:pPr>
      <w:r>
        <w:rPr>
          <w:sz w:val="23"/>
          <w:szCs w:val="23"/>
        </w:rPr>
        <w:t>The increase in NCCR ADIT is due to the</w:t>
      </w:r>
      <w:r w:rsidR="00EF550F">
        <w:rPr>
          <w:sz w:val="23"/>
          <w:szCs w:val="23"/>
        </w:rPr>
        <w:t xml:space="preserve"> </w:t>
      </w:r>
      <w:r w:rsidR="002F056D">
        <w:rPr>
          <w:sz w:val="23"/>
          <w:szCs w:val="23"/>
        </w:rPr>
        <w:t xml:space="preserve">inclusion of </w:t>
      </w:r>
      <w:r>
        <w:rPr>
          <w:sz w:val="23"/>
          <w:szCs w:val="23"/>
        </w:rPr>
        <w:t xml:space="preserve">deficient deferred income taxes </w:t>
      </w:r>
      <w:r w:rsidR="002F056D">
        <w:rPr>
          <w:sz w:val="23"/>
          <w:szCs w:val="23"/>
        </w:rPr>
        <w:t xml:space="preserve">for Plant Vogtle Units 3 and 4 </w:t>
      </w:r>
      <w:r w:rsidR="009727B8">
        <w:rPr>
          <w:sz w:val="23"/>
          <w:szCs w:val="23"/>
        </w:rPr>
        <w:t>upon projected Unit 3 in-service of March 2023</w:t>
      </w:r>
      <w:r>
        <w:rPr>
          <w:sz w:val="23"/>
          <w:szCs w:val="23"/>
        </w:rPr>
        <w:t>.  Th</w:t>
      </w:r>
      <w:r w:rsidR="002F056D">
        <w:rPr>
          <w:sz w:val="23"/>
          <w:szCs w:val="23"/>
        </w:rPr>
        <w:t xml:space="preserve">e NCCR ADIT is excluded from rate base in this filing </w:t>
      </w:r>
      <w:r w:rsidR="00816564">
        <w:rPr>
          <w:sz w:val="23"/>
          <w:szCs w:val="23"/>
        </w:rPr>
        <w:t>in</w:t>
      </w:r>
      <w:r w:rsidR="00FF0684">
        <w:rPr>
          <w:sz w:val="23"/>
          <w:szCs w:val="23"/>
        </w:rPr>
        <w:t xml:space="preserve"> FOOTNOTE CM/</w:t>
      </w:r>
      <w:r>
        <w:rPr>
          <w:sz w:val="23"/>
          <w:szCs w:val="23"/>
        </w:rPr>
        <w:t>.</w:t>
      </w:r>
    </w:p>
    <w:p w14:paraId="0F7008CE" w14:textId="77777777" w:rsidR="006F1DB4" w:rsidRPr="009E2E59" w:rsidRDefault="006F1DB4" w:rsidP="00713485">
      <w:pPr>
        <w:jc w:val="both"/>
        <w:rPr>
          <w:sz w:val="23"/>
          <w:szCs w:val="23"/>
          <w:u w:val="single"/>
        </w:rPr>
      </w:pPr>
    </w:p>
    <w:p w14:paraId="580E89BF" w14:textId="4961CA04" w:rsidR="00717A46" w:rsidRPr="009E2E59" w:rsidRDefault="00717A46" w:rsidP="00713485">
      <w:pPr>
        <w:jc w:val="both"/>
        <w:rPr>
          <w:sz w:val="23"/>
          <w:szCs w:val="23"/>
        </w:rPr>
      </w:pPr>
      <w:r w:rsidRPr="009E2E59">
        <w:rPr>
          <w:sz w:val="23"/>
          <w:szCs w:val="23"/>
          <w:u w:val="single"/>
        </w:rPr>
        <w:t xml:space="preserve">FOOTNOTE </w:t>
      </w:r>
      <w:r w:rsidR="00EE7DF8">
        <w:rPr>
          <w:sz w:val="23"/>
          <w:szCs w:val="23"/>
          <w:u w:val="single"/>
        </w:rPr>
        <w:t>BA</w:t>
      </w:r>
      <w:r w:rsidRPr="009E2E59">
        <w:rPr>
          <w:sz w:val="23"/>
          <w:szCs w:val="23"/>
          <w:u w:val="single"/>
        </w:rPr>
        <w:t>/</w:t>
      </w:r>
      <w:r w:rsidRPr="009E2E59">
        <w:rPr>
          <w:sz w:val="23"/>
          <w:szCs w:val="23"/>
        </w:rPr>
        <w:t xml:space="preserve"> </w:t>
      </w:r>
      <w:r w:rsidRPr="009E2E59">
        <w:rPr>
          <w:sz w:val="23"/>
          <w:szCs w:val="23"/>
        </w:rPr>
        <w:tab/>
      </w:r>
      <w:r w:rsidRPr="009E2E59">
        <w:rPr>
          <w:sz w:val="23"/>
          <w:szCs w:val="23"/>
          <w:u w:val="single"/>
        </w:rPr>
        <w:t>$</w:t>
      </w:r>
      <w:r w:rsidR="00EE7DF8">
        <w:rPr>
          <w:sz w:val="23"/>
          <w:szCs w:val="23"/>
          <w:u w:val="single"/>
        </w:rPr>
        <w:t>2,487</w:t>
      </w:r>
      <w:r w:rsidRPr="009E2E59">
        <w:rPr>
          <w:sz w:val="23"/>
          <w:szCs w:val="23"/>
        </w:rPr>
        <w:tab/>
      </w:r>
      <w:r w:rsidRPr="009E2E59">
        <w:rPr>
          <w:sz w:val="23"/>
          <w:szCs w:val="23"/>
        </w:rPr>
        <w:tab/>
      </w:r>
      <w:r w:rsidR="00EE7DF8">
        <w:rPr>
          <w:sz w:val="23"/>
          <w:szCs w:val="23"/>
        </w:rPr>
        <w:t>Vogtle Unit 3 Depreciation Deferral</w:t>
      </w:r>
    </w:p>
    <w:p w14:paraId="40C74618" w14:textId="77777777" w:rsidR="00717A46" w:rsidRPr="009E2E59" w:rsidRDefault="00717A46" w:rsidP="00713485">
      <w:pPr>
        <w:jc w:val="both"/>
        <w:rPr>
          <w:sz w:val="23"/>
          <w:szCs w:val="23"/>
        </w:rPr>
      </w:pPr>
    </w:p>
    <w:p w14:paraId="155CA8EF" w14:textId="38595C68" w:rsidR="000A4706" w:rsidRDefault="002267E7" w:rsidP="00713485">
      <w:pPr>
        <w:jc w:val="both"/>
        <w:rPr>
          <w:sz w:val="23"/>
          <w:szCs w:val="23"/>
        </w:rPr>
      </w:pPr>
      <w:r>
        <w:rPr>
          <w:sz w:val="23"/>
          <w:szCs w:val="23"/>
        </w:rPr>
        <w:t xml:space="preserve">The increase is due to the deferral of depreciation expense on </w:t>
      </w:r>
      <w:r w:rsidR="002F056D">
        <w:rPr>
          <w:sz w:val="23"/>
          <w:szCs w:val="23"/>
        </w:rPr>
        <w:t xml:space="preserve">the portion of </w:t>
      </w:r>
      <w:r w:rsidR="00E82FEE">
        <w:rPr>
          <w:sz w:val="23"/>
          <w:szCs w:val="23"/>
        </w:rPr>
        <w:t xml:space="preserve">Plant </w:t>
      </w:r>
      <w:r>
        <w:rPr>
          <w:sz w:val="23"/>
          <w:szCs w:val="23"/>
        </w:rPr>
        <w:t xml:space="preserve">Vogtle Unit 3 </w:t>
      </w:r>
      <w:r w:rsidR="002F056D">
        <w:rPr>
          <w:sz w:val="23"/>
          <w:szCs w:val="23"/>
        </w:rPr>
        <w:t xml:space="preserve">capital </w:t>
      </w:r>
      <w:r>
        <w:rPr>
          <w:sz w:val="23"/>
          <w:szCs w:val="23"/>
        </w:rPr>
        <w:t xml:space="preserve">costs </w:t>
      </w:r>
      <w:r w:rsidR="002F056D">
        <w:rPr>
          <w:sz w:val="23"/>
          <w:szCs w:val="23"/>
        </w:rPr>
        <w:t>excluded from base</w:t>
      </w:r>
      <w:r w:rsidR="00C270A4">
        <w:rPr>
          <w:sz w:val="23"/>
          <w:szCs w:val="23"/>
        </w:rPr>
        <w:t xml:space="preserve"> rates as determined by the Commission in Docket No. 43838</w:t>
      </w:r>
      <w:r w:rsidR="00C92520">
        <w:rPr>
          <w:sz w:val="23"/>
          <w:szCs w:val="23"/>
        </w:rPr>
        <w:t xml:space="preserve">. </w:t>
      </w:r>
      <w:r w:rsidR="00A469EB">
        <w:rPr>
          <w:sz w:val="23"/>
          <w:szCs w:val="23"/>
        </w:rPr>
        <w:t xml:space="preserve">The recovery of the regulatory asset will be determined by the Commission during the Plant Vogtle Unit 4 base rate filing. </w:t>
      </w:r>
      <w:r w:rsidR="00816564">
        <w:rPr>
          <w:sz w:val="23"/>
          <w:szCs w:val="23"/>
        </w:rPr>
        <w:t xml:space="preserve">The Vogtle </w:t>
      </w:r>
      <w:r w:rsidR="00A469EB">
        <w:rPr>
          <w:sz w:val="23"/>
          <w:szCs w:val="23"/>
        </w:rPr>
        <w:t xml:space="preserve">Unit </w:t>
      </w:r>
      <w:r w:rsidR="00816564">
        <w:rPr>
          <w:sz w:val="23"/>
          <w:szCs w:val="23"/>
        </w:rPr>
        <w:t xml:space="preserve">3 </w:t>
      </w:r>
      <w:r w:rsidR="00A469EB">
        <w:rPr>
          <w:sz w:val="23"/>
          <w:szCs w:val="23"/>
        </w:rPr>
        <w:t>D</w:t>
      </w:r>
      <w:r w:rsidR="00816564">
        <w:rPr>
          <w:sz w:val="23"/>
          <w:szCs w:val="23"/>
        </w:rPr>
        <w:t xml:space="preserve">epreciation </w:t>
      </w:r>
      <w:r w:rsidR="00A469EB">
        <w:rPr>
          <w:sz w:val="23"/>
          <w:szCs w:val="23"/>
        </w:rPr>
        <w:t>D</w:t>
      </w:r>
      <w:r w:rsidR="00816564">
        <w:rPr>
          <w:sz w:val="23"/>
          <w:szCs w:val="23"/>
        </w:rPr>
        <w:t xml:space="preserve">eferral regulatory asset is removed from rate base in this filing in FOOTNOTE CN/. </w:t>
      </w:r>
    </w:p>
    <w:p w14:paraId="7A893177" w14:textId="77777777" w:rsidR="002267E7" w:rsidRPr="009E2E59" w:rsidRDefault="002267E7" w:rsidP="00713485">
      <w:pPr>
        <w:jc w:val="both"/>
        <w:rPr>
          <w:sz w:val="23"/>
          <w:szCs w:val="23"/>
        </w:rPr>
      </w:pPr>
    </w:p>
    <w:p w14:paraId="1EC9A807" w14:textId="6192A0D9" w:rsidR="000A4706" w:rsidRPr="009E2E59" w:rsidRDefault="000A4706" w:rsidP="00713485">
      <w:pPr>
        <w:jc w:val="both"/>
        <w:rPr>
          <w:sz w:val="23"/>
          <w:szCs w:val="23"/>
        </w:rPr>
      </w:pPr>
      <w:r w:rsidRPr="009E2E59">
        <w:rPr>
          <w:sz w:val="23"/>
          <w:szCs w:val="23"/>
          <w:u w:val="single"/>
        </w:rPr>
        <w:t xml:space="preserve">FOOTNOTE </w:t>
      </w:r>
      <w:r w:rsidR="00EE7DF8">
        <w:rPr>
          <w:sz w:val="23"/>
          <w:szCs w:val="23"/>
          <w:u w:val="single"/>
        </w:rPr>
        <w:t>BB</w:t>
      </w:r>
      <w:r w:rsidRPr="009E2E59">
        <w:rPr>
          <w:sz w:val="23"/>
          <w:szCs w:val="23"/>
          <w:u w:val="single"/>
        </w:rPr>
        <w:t>/</w:t>
      </w:r>
      <w:r w:rsidRPr="009E2E59">
        <w:rPr>
          <w:sz w:val="23"/>
          <w:szCs w:val="23"/>
        </w:rPr>
        <w:t xml:space="preserve"> </w:t>
      </w:r>
      <w:r w:rsidRPr="009E2E59">
        <w:rPr>
          <w:sz w:val="23"/>
          <w:szCs w:val="23"/>
        </w:rPr>
        <w:tab/>
      </w:r>
      <w:r w:rsidRPr="009E2E59">
        <w:rPr>
          <w:sz w:val="23"/>
          <w:szCs w:val="23"/>
          <w:u w:val="single"/>
        </w:rPr>
        <w:t>$</w:t>
      </w:r>
      <w:r w:rsidR="00EE7DF8">
        <w:rPr>
          <w:sz w:val="23"/>
          <w:szCs w:val="23"/>
          <w:u w:val="single"/>
        </w:rPr>
        <w:t>550</w:t>
      </w:r>
      <w:r w:rsidR="00F12882" w:rsidRPr="00EE7DF8">
        <w:rPr>
          <w:sz w:val="23"/>
          <w:szCs w:val="23"/>
        </w:rPr>
        <w:tab/>
      </w:r>
      <w:r w:rsidRPr="009E2E59">
        <w:rPr>
          <w:sz w:val="23"/>
          <w:szCs w:val="23"/>
        </w:rPr>
        <w:tab/>
      </w:r>
      <w:r w:rsidR="00EE7DF8">
        <w:rPr>
          <w:sz w:val="23"/>
          <w:szCs w:val="23"/>
        </w:rPr>
        <w:t>Customer Usage Data Costs</w:t>
      </w:r>
    </w:p>
    <w:p w14:paraId="393FC7CB" w14:textId="77777777" w:rsidR="000A4706" w:rsidRPr="009E2E59" w:rsidRDefault="000A4706" w:rsidP="00713485">
      <w:pPr>
        <w:jc w:val="both"/>
        <w:rPr>
          <w:sz w:val="23"/>
          <w:szCs w:val="23"/>
        </w:rPr>
      </w:pPr>
    </w:p>
    <w:p w14:paraId="697C0C20" w14:textId="4B99BFC2" w:rsidR="008B68EE" w:rsidRDefault="00D61CD1" w:rsidP="00713485">
      <w:pPr>
        <w:jc w:val="both"/>
        <w:rPr>
          <w:sz w:val="22"/>
          <w:szCs w:val="22"/>
        </w:rPr>
      </w:pPr>
      <w:r>
        <w:rPr>
          <w:sz w:val="23"/>
          <w:szCs w:val="23"/>
        </w:rPr>
        <w:t>The increase reflects the deferral</w:t>
      </w:r>
      <w:r>
        <w:rPr>
          <w:sz w:val="22"/>
          <w:szCs w:val="22"/>
        </w:rPr>
        <w:t xml:space="preserve"> </w:t>
      </w:r>
      <w:r w:rsidR="003F170C">
        <w:rPr>
          <w:sz w:val="22"/>
          <w:szCs w:val="22"/>
        </w:rPr>
        <w:t>to a regulatory asset the</w:t>
      </w:r>
      <w:r>
        <w:rPr>
          <w:sz w:val="22"/>
          <w:szCs w:val="22"/>
        </w:rPr>
        <w:t xml:space="preserve"> costs of providing additional options for access to customer usage data as approved by the Commission in Docket No. 42516, partially offset by the proposed 3-year amortization ending December 2025.</w:t>
      </w:r>
    </w:p>
    <w:p w14:paraId="5F158509" w14:textId="77777777" w:rsidR="00D61CD1" w:rsidRPr="00D61CD1" w:rsidRDefault="00D61CD1" w:rsidP="00713485">
      <w:pPr>
        <w:jc w:val="both"/>
        <w:rPr>
          <w:sz w:val="23"/>
          <w:szCs w:val="23"/>
        </w:rPr>
      </w:pPr>
    </w:p>
    <w:p w14:paraId="56EA1B17" w14:textId="22CDD6A6" w:rsidR="00A13D17" w:rsidRPr="008B68EE" w:rsidRDefault="00A13D17" w:rsidP="00713485">
      <w:pPr>
        <w:jc w:val="both"/>
        <w:rPr>
          <w:sz w:val="23"/>
          <w:szCs w:val="23"/>
        </w:rPr>
      </w:pPr>
      <w:r w:rsidRPr="009E2E59">
        <w:rPr>
          <w:sz w:val="23"/>
          <w:szCs w:val="23"/>
          <w:u w:val="single"/>
        </w:rPr>
        <w:t xml:space="preserve">FOOTNOTE </w:t>
      </w:r>
      <w:r w:rsidR="00EE7DF8">
        <w:rPr>
          <w:sz w:val="23"/>
          <w:szCs w:val="23"/>
          <w:u w:val="single"/>
        </w:rPr>
        <w:t>BC</w:t>
      </w:r>
      <w:proofErr w:type="gramStart"/>
      <w:r w:rsidRPr="009E2E59">
        <w:rPr>
          <w:sz w:val="23"/>
          <w:szCs w:val="23"/>
          <w:u w:val="single"/>
        </w:rPr>
        <w:t>/</w:t>
      </w:r>
      <w:r w:rsidRPr="009E2E59">
        <w:rPr>
          <w:sz w:val="23"/>
          <w:szCs w:val="23"/>
        </w:rPr>
        <w:t xml:space="preserve">  </w:t>
      </w:r>
      <w:r w:rsidRPr="009E2E59">
        <w:rPr>
          <w:sz w:val="23"/>
          <w:szCs w:val="23"/>
        </w:rPr>
        <w:tab/>
      </w:r>
      <w:proofErr w:type="gramEnd"/>
      <w:r w:rsidRPr="009E2E59">
        <w:rPr>
          <w:sz w:val="23"/>
          <w:szCs w:val="23"/>
          <w:u w:val="single"/>
        </w:rPr>
        <w:t>$</w:t>
      </w:r>
      <w:r w:rsidR="00EE7DF8">
        <w:rPr>
          <w:sz w:val="23"/>
          <w:szCs w:val="23"/>
          <w:u w:val="single"/>
        </w:rPr>
        <w:t>795</w:t>
      </w:r>
      <w:r w:rsidRPr="009E2E59">
        <w:rPr>
          <w:sz w:val="23"/>
          <w:szCs w:val="23"/>
        </w:rPr>
        <w:tab/>
      </w:r>
      <w:r w:rsidR="00EE7DF8">
        <w:rPr>
          <w:sz w:val="23"/>
          <w:szCs w:val="23"/>
        </w:rPr>
        <w:tab/>
      </w:r>
      <w:r w:rsidR="0020792E">
        <w:rPr>
          <w:sz w:val="23"/>
          <w:szCs w:val="23"/>
        </w:rPr>
        <w:t xml:space="preserve">TOU </w:t>
      </w:r>
      <w:r w:rsidR="009727B8">
        <w:rPr>
          <w:sz w:val="23"/>
          <w:szCs w:val="23"/>
        </w:rPr>
        <w:t>FD</w:t>
      </w:r>
      <w:r w:rsidR="0020792E">
        <w:rPr>
          <w:sz w:val="23"/>
          <w:szCs w:val="23"/>
        </w:rPr>
        <w:t xml:space="preserve"> Revenue Erosion</w:t>
      </w:r>
    </w:p>
    <w:p w14:paraId="6E1E17AC" w14:textId="56E9995B" w:rsidR="00A13D17" w:rsidRDefault="00A13D17" w:rsidP="00713485">
      <w:pPr>
        <w:jc w:val="both"/>
        <w:rPr>
          <w:sz w:val="23"/>
          <w:szCs w:val="23"/>
        </w:rPr>
      </w:pPr>
    </w:p>
    <w:p w14:paraId="5AAD2022" w14:textId="19F34C39" w:rsidR="008B5EBB" w:rsidRPr="009E2E59" w:rsidRDefault="008B5EBB" w:rsidP="00713485">
      <w:pPr>
        <w:jc w:val="both"/>
        <w:rPr>
          <w:sz w:val="23"/>
          <w:szCs w:val="23"/>
        </w:rPr>
      </w:pPr>
      <w:r>
        <w:rPr>
          <w:sz w:val="23"/>
          <w:szCs w:val="23"/>
        </w:rPr>
        <w:t>The increase reflects the deferral to a regulatory asset</w:t>
      </w:r>
      <w:r w:rsidR="00955055">
        <w:rPr>
          <w:sz w:val="23"/>
          <w:szCs w:val="23"/>
        </w:rPr>
        <w:t xml:space="preserve"> of</w:t>
      </w:r>
      <w:r>
        <w:rPr>
          <w:sz w:val="23"/>
          <w:szCs w:val="23"/>
        </w:rPr>
        <w:t xml:space="preserve"> </w:t>
      </w:r>
      <w:r>
        <w:rPr>
          <w:sz w:val="22"/>
          <w:szCs w:val="22"/>
        </w:rPr>
        <w:t>any revenue erosion from the conversion of certain retail customers to the Time of Use – Food and Drink</w:t>
      </w:r>
      <w:r w:rsidR="00955055">
        <w:rPr>
          <w:sz w:val="22"/>
          <w:szCs w:val="22"/>
        </w:rPr>
        <w:t xml:space="preserve"> tariff</w:t>
      </w:r>
      <w:r>
        <w:rPr>
          <w:sz w:val="22"/>
          <w:szCs w:val="22"/>
        </w:rPr>
        <w:t xml:space="preserve"> </w:t>
      </w:r>
      <w:r w:rsidR="00955055">
        <w:rPr>
          <w:sz w:val="22"/>
          <w:szCs w:val="22"/>
        </w:rPr>
        <w:t xml:space="preserve">(“TOU-FD”), partially offset by the amortization </w:t>
      </w:r>
      <w:r>
        <w:rPr>
          <w:sz w:val="22"/>
          <w:szCs w:val="22"/>
        </w:rPr>
        <w:t xml:space="preserve">and </w:t>
      </w:r>
      <w:r w:rsidR="00955055">
        <w:rPr>
          <w:sz w:val="22"/>
          <w:szCs w:val="22"/>
        </w:rPr>
        <w:t>recovery from all TOU-FD customers in the following year, as approved by the Commission in Docket No. 42516.</w:t>
      </w:r>
    </w:p>
    <w:p w14:paraId="0AEC6059" w14:textId="77777777" w:rsidR="008B68EE" w:rsidRDefault="008B68EE" w:rsidP="00713485">
      <w:pPr>
        <w:jc w:val="both"/>
        <w:rPr>
          <w:sz w:val="23"/>
          <w:szCs w:val="23"/>
          <w:u w:val="single"/>
          <w:lang w:val="fr-FR"/>
        </w:rPr>
      </w:pPr>
    </w:p>
    <w:p w14:paraId="2938F9EB" w14:textId="27375912" w:rsidR="00A13D17" w:rsidRPr="009E2E59" w:rsidRDefault="00A13D17" w:rsidP="00713485">
      <w:pPr>
        <w:jc w:val="both"/>
        <w:rPr>
          <w:sz w:val="23"/>
          <w:szCs w:val="23"/>
          <w:lang w:val="fr-FR"/>
        </w:rPr>
      </w:pPr>
      <w:bookmarkStart w:id="26" w:name="_Hlk11077895"/>
      <w:r w:rsidRPr="009E2E59">
        <w:rPr>
          <w:sz w:val="23"/>
          <w:szCs w:val="23"/>
          <w:u w:val="single"/>
          <w:lang w:val="fr-FR"/>
        </w:rPr>
        <w:t xml:space="preserve">FOOTNOTE </w:t>
      </w:r>
      <w:r w:rsidR="0020792E">
        <w:rPr>
          <w:sz w:val="23"/>
          <w:szCs w:val="23"/>
          <w:u w:val="single"/>
          <w:lang w:val="fr-FR"/>
        </w:rPr>
        <w:t>BD</w:t>
      </w:r>
      <w:proofErr w:type="gramStart"/>
      <w:r w:rsidRPr="009E2E59">
        <w:rPr>
          <w:sz w:val="23"/>
          <w:szCs w:val="23"/>
          <w:u w:val="single"/>
          <w:lang w:val="fr-FR"/>
        </w:rPr>
        <w:t>/</w:t>
      </w:r>
      <w:r w:rsidRPr="009E2E59">
        <w:rPr>
          <w:sz w:val="23"/>
          <w:szCs w:val="23"/>
          <w:lang w:val="fr-FR"/>
        </w:rPr>
        <w:t xml:space="preserve">  </w:t>
      </w:r>
      <w:r w:rsidRPr="009E2E59">
        <w:rPr>
          <w:sz w:val="23"/>
          <w:szCs w:val="23"/>
          <w:lang w:val="fr-FR"/>
        </w:rPr>
        <w:tab/>
      </w:r>
      <w:proofErr w:type="gramEnd"/>
      <w:r w:rsidRPr="009E2E59">
        <w:rPr>
          <w:sz w:val="23"/>
          <w:szCs w:val="23"/>
          <w:u w:val="single"/>
          <w:lang w:val="fr-FR"/>
        </w:rPr>
        <w:t>$</w:t>
      </w:r>
      <w:r w:rsidR="0020792E">
        <w:rPr>
          <w:sz w:val="23"/>
          <w:szCs w:val="23"/>
          <w:u w:val="single"/>
          <w:lang w:val="fr-FR"/>
        </w:rPr>
        <w:t>28,990</w:t>
      </w:r>
      <w:r w:rsidRPr="009E2E59">
        <w:rPr>
          <w:sz w:val="23"/>
          <w:szCs w:val="23"/>
          <w:lang w:val="fr-FR"/>
        </w:rPr>
        <w:tab/>
      </w:r>
      <w:r w:rsidR="0020792E">
        <w:rPr>
          <w:sz w:val="23"/>
          <w:szCs w:val="23"/>
          <w:lang w:val="fr-FR"/>
        </w:rPr>
        <w:t>S</w:t>
      </w:r>
      <w:r w:rsidR="00EF550F">
        <w:rPr>
          <w:sz w:val="23"/>
          <w:szCs w:val="23"/>
          <w:lang w:val="fr-FR"/>
        </w:rPr>
        <w:t>oftware</w:t>
      </w:r>
      <w:r w:rsidR="0020792E">
        <w:rPr>
          <w:sz w:val="23"/>
          <w:szCs w:val="23"/>
          <w:lang w:val="fr-FR"/>
        </w:rPr>
        <w:t xml:space="preserve"> &amp; Cloud </w:t>
      </w:r>
      <w:proofErr w:type="spellStart"/>
      <w:r w:rsidR="00EF550F">
        <w:rPr>
          <w:sz w:val="23"/>
          <w:szCs w:val="23"/>
          <w:lang w:val="fr-FR"/>
        </w:rPr>
        <w:t>Comp</w:t>
      </w:r>
      <w:r w:rsidR="00F4497D">
        <w:rPr>
          <w:sz w:val="23"/>
          <w:szCs w:val="23"/>
          <w:lang w:val="fr-FR"/>
        </w:rPr>
        <w:t>uting</w:t>
      </w:r>
      <w:proofErr w:type="spellEnd"/>
    </w:p>
    <w:p w14:paraId="09D88012" w14:textId="77777777" w:rsidR="00A13D17" w:rsidRPr="009E2E59" w:rsidRDefault="00A13D17" w:rsidP="00713485">
      <w:pPr>
        <w:jc w:val="both"/>
        <w:rPr>
          <w:sz w:val="23"/>
          <w:szCs w:val="23"/>
          <w:lang w:val="fr-FR"/>
        </w:rPr>
      </w:pPr>
    </w:p>
    <w:bookmarkEnd w:id="26"/>
    <w:p w14:paraId="49A7E03D" w14:textId="31C0E75E" w:rsidR="00F41F96" w:rsidRDefault="003F170C" w:rsidP="00713485">
      <w:pPr>
        <w:jc w:val="both"/>
        <w:rPr>
          <w:sz w:val="22"/>
          <w:szCs w:val="22"/>
        </w:rPr>
      </w:pPr>
      <w:r>
        <w:rPr>
          <w:sz w:val="23"/>
          <w:szCs w:val="23"/>
        </w:rPr>
        <w:t>The increase reflects the deferral to a regulatory</w:t>
      </w:r>
      <w:r w:rsidR="00255B97">
        <w:rPr>
          <w:sz w:val="23"/>
          <w:szCs w:val="23"/>
        </w:rPr>
        <w:t xml:space="preserve"> </w:t>
      </w:r>
      <w:r>
        <w:rPr>
          <w:sz w:val="23"/>
          <w:szCs w:val="23"/>
        </w:rPr>
        <w:t>asset</w:t>
      </w:r>
      <w:r w:rsidR="00255B97">
        <w:rPr>
          <w:sz w:val="23"/>
          <w:szCs w:val="23"/>
        </w:rPr>
        <w:t xml:space="preserve"> of</w:t>
      </w:r>
      <w:r>
        <w:rPr>
          <w:sz w:val="23"/>
          <w:szCs w:val="23"/>
        </w:rPr>
        <w:t xml:space="preserve"> </w:t>
      </w:r>
      <w:r w:rsidR="00255B97">
        <w:rPr>
          <w:sz w:val="22"/>
          <w:szCs w:val="22"/>
        </w:rPr>
        <w:t xml:space="preserve">certain expenses associated with the implementation of software and cloud computing projects as approved by the Commission in Docket No. 42516, partially offset by the proposed 5-year amortization ending December 2027. </w:t>
      </w:r>
    </w:p>
    <w:p w14:paraId="140A3524" w14:textId="77777777" w:rsidR="00B82036" w:rsidRDefault="00B82036" w:rsidP="0020792E">
      <w:pPr>
        <w:jc w:val="both"/>
        <w:rPr>
          <w:sz w:val="23"/>
          <w:szCs w:val="23"/>
          <w:u w:val="single"/>
        </w:rPr>
      </w:pPr>
      <w:bookmarkStart w:id="27" w:name="_Hlk104837212"/>
      <w:bookmarkStart w:id="28" w:name="_Hlk10807409"/>
    </w:p>
    <w:p w14:paraId="375F2D2D" w14:textId="1F1C197B" w:rsidR="0020792E" w:rsidRPr="008B68EE" w:rsidRDefault="0020792E" w:rsidP="0020792E">
      <w:pPr>
        <w:jc w:val="both"/>
        <w:rPr>
          <w:sz w:val="23"/>
          <w:szCs w:val="23"/>
        </w:rPr>
      </w:pPr>
      <w:r w:rsidRPr="009E2E59">
        <w:rPr>
          <w:sz w:val="23"/>
          <w:szCs w:val="23"/>
          <w:u w:val="single"/>
        </w:rPr>
        <w:t xml:space="preserve">FOOTNOTE </w:t>
      </w:r>
      <w:r>
        <w:rPr>
          <w:sz w:val="23"/>
          <w:szCs w:val="23"/>
          <w:u w:val="single"/>
        </w:rPr>
        <w:t>BE</w:t>
      </w:r>
      <w:proofErr w:type="gramStart"/>
      <w:r w:rsidRPr="009E2E59">
        <w:rPr>
          <w:sz w:val="23"/>
          <w:szCs w:val="23"/>
          <w:u w:val="single"/>
        </w:rPr>
        <w:t>/</w:t>
      </w:r>
      <w:r w:rsidRPr="009E2E59">
        <w:rPr>
          <w:sz w:val="23"/>
          <w:szCs w:val="23"/>
        </w:rPr>
        <w:t xml:space="preserve">  </w:t>
      </w:r>
      <w:r w:rsidRPr="009E2E59">
        <w:rPr>
          <w:sz w:val="23"/>
          <w:szCs w:val="23"/>
        </w:rPr>
        <w:tab/>
      </w:r>
      <w:proofErr w:type="gramEnd"/>
      <w:r w:rsidRPr="009E2E59">
        <w:rPr>
          <w:sz w:val="23"/>
          <w:szCs w:val="23"/>
          <w:u w:val="single"/>
        </w:rPr>
        <w:t>$</w:t>
      </w:r>
      <w:r>
        <w:rPr>
          <w:sz w:val="23"/>
          <w:szCs w:val="23"/>
          <w:u w:val="single"/>
        </w:rPr>
        <w:t>721</w:t>
      </w:r>
      <w:r w:rsidRPr="009E2E59">
        <w:rPr>
          <w:sz w:val="23"/>
          <w:szCs w:val="23"/>
        </w:rPr>
        <w:tab/>
      </w:r>
      <w:r>
        <w:rPr>
          <w:sz w:val="23"/>
          <w:szCs w:val="23"/>
        </w:rPr>
        <w:tab/>
        <w:t>Deferred Nuclear Outage Costs</w:t>
      </w:r>
    </w:p>
    <w:p w14:paraId="16ECCC4D" w14:textId="399278FB" w:rsidR="00CF5BB3" w:rsidRDefault="00CF5BB3" w:rsidP="00CF5BB3">
      <w:pPr>
        <w:jc w:val="both"/>
        <w:rPr>
          <w:sz w:val="23"/>
          <w:szCs w:val="23"/>
        </w:rPr>
      </w:pPr>
    </w:p>
    <w:p w14:paraId="57EA5342" w14:textId="7540C8F9" w:rsidR="009A507A" w:rsidRPr="009E2E59" w:rsidRDefault="009A507A" w:rsidP="009A507A">
      <w:pPr>
        <w:pStyle w:val="BodyText2"/>
        <w:jc w:val="both"/>
        <w:rPr>
          <w:sz w:val="23"/>
          <w:szCs w:val="23"/>
        </w:rPr>
      </w:pPr>
      <w:r w:rsidRPr="009E2E59">
        <w:rPr>
          <w:sz w:val="23"/>
          <w:szCs w:val="23"/>
        </w:rPr>
        <w:t xml:space="preserve">The increase is due to deferral and amortization of </w:t>
      </w:r>
      <w:r>
        <w:rPr>
          <w:sz w:val="23"/>
          <w:szCs w:val="23"/>
        </w:rPr>
        <w:t xml:space="preserve">nuclear </w:t>
      </w:r>
      <w:r w:rsidRPr="009E2E59">
        <w:rPr>
          <w:sz w:val="23"/>
          <w:szCs w:val="23"/>
        </w:rPr>
        <w:t>outage costs</w:t>
      </w:r>
      <w:r>
        <w:rPr>
          <w:sz w:val="23"/>
          <w:szCs w:val="23"/>
        </w:rPr>
        <w:t xml:space="preserve"> based on the outage cycles</w:t>
      </w:r>
      <w:r w:rsidRPr="009E2E59">
        <w:rPr>
          <w:sz w:val="23"/>
          <w:szCs w:val="23"/>
        </w:rPr>
        <w:t xml:space="preserve">, in accordance with the </w:t>
      </w:r>
      <w:r>
        <w:rPr>
          <w:sz w:val="23"/>
          <w:szCs w:val="23"/>
        </w:rPr>
        <w:t>methodology</w:t>
      </w:r>
      <w:r w:rsidRPr="009E2E59">
        <w:rPr>
          <w:sz w:val="23"/>
          <w:szCs w:val="23"/>
        </w:rPr>
        <w:t xml:space="preserve"> outlined in the Accounting Order </w:t>
      </w:r>
      <w:r>
        <w:rPr>
          <w:sz w:val="23"/>
          <w:szCs w:val="23"/>
        </w:rPr>
        <w:t>approved</w:t>
      </w:r>
      <w:r w:rsidRPr="009E2E59">
        <w:rPr>
          <w:sz w:val="23"/>
          <w:szCs w:val="23"/>
        </w:rPr>
        <w:t xml:space="preserve"> in Docket </w:t>
      </w:r>
      <w:r>
        <w:rPr>
          <w:sz w:val="23"/>
          <w:szCs w:val="23"/>
        </w:rPr>
        <w:t xml:space="preserve">No. </w:t>
      </w:r>
      <w:r w:rsidRPr="009E2E59">
        <w:rPr>
          <w:sz w:val="23"/>
          <w:szCs w:val="23"/>
        </w:rPr>
        <w:t xml:space="preserve">4007. </w:t>
      </w:r>
    </w:p>
    <w:bookmarkEnd w:id="27"/>
    <w:p w14:paraId="517DFE4E" w14:textId="113987FF" w:rsidR="0020792E" w:rsidRDefault="0020792E" w:rsidP="00713485">
      <w:pPr>
        <w:jc w:val="both"/>
        <w:rPr>
          <w:sz w:val="23"/>
          <w:szCs w:val="23"/>
          <w:u w:val="single"/>
        </w:rPr>
      </w:pPr>
    </w:p>
    <w:p w14:paraId="3D8F278C" w14:textId="32EA82C1" w:rsidR="00CF5BB3" w:rsidRDefault="00CF5BB3" w:rsidP="00CF5BB3">
      <w:pPr>
        <w:jc w:val="both"/>
        <w:rPr>
          <w:sz w:val="23"/>
          <w:szCs w:val="23"/>
        </w:rPr>
      </w:pPr>
      <w:r w:rsidRPr="009E2E59">
        <w:rPr>
          <w:sz w:val="23"/>
          <w:szCs w:val="23"/>
          <w:u w:val="single"/>
        </w:rPr>
        <w:t xml:space="preserve">FOOTNOTE </w:t>
      </w:r>
      <w:r>
        <w:rPr>
          <w:sz w:val="23"/>
          <w:szCs w:val="23"/>
          <w:u w:val="single"/>
        </w:rPr>
        <w:t>BF</w:t>
      </w:r>
      <w:proofErr w:type="gramStart"/>
      <w:r w:rsidRPr="009E2E59">
        <w:rPr>
          <w:sz w:val="23"/>
          <w:szCs w:val="23"/>
          <w:u w:val="single"/>
        </w:rPr>
        <w:t>/</w:t>
      </w:r>
      <w:r w:rsidRPr="009E2E59">
        <w:rPr>
          <w:sz w:val="23"/>
          <w:szCs w:val="23"/>
        </w:rPr>
        <w:t xml:space="preserve">  </w:t>
      </w:r>
      <w:r>
        <w:rPr>
          <w:sz w:val="23"/>
          <w:szCs w:val="23"/>
        </w:rPr>
        <w:tab/>
      </w:r>
      <w:proofErr w:type="gramEnd"/>
      <w:r w:rsidRPr="009E2E59">
        <w:rPr>
          <w:sz w:val="23"/>
          <w:szCs w:val="23"/>
          <w:u w:val="single"/>
        </w:rPr>
        <w:t>$</w:t>
      </w:r>
      <w:r>
        <w:rPr>
          <w:sz w:val="23"/>
          <w:szCs w:val="23"/>
          <w:u w:val="single"/>
        </w:rPr>
        <w:t>(45,518)</w:t>
      </w:r>
      <w:r w:rsidRPr="00CF5BB3">
        <w:rPr>
          <w:sz w:val="23"/>
          <w:szCs w:val="23"/>
        </w:rPr>
        <w:t xml:space="preserve">    </w:t>
      </w:r>
      <w:r w:rsidRPr="00CF5BB3">
        <w:rPr>
          <w:sz w:val="23"/>
          <w:szCs w:val="23"/>
        </w:rPr>
        <w:tab/>
      </w:r>
      <w:r>
        <w:rPr>
          <w:sz w:val="23"/>
          <w:szCs w:val="23"/>
        </w:rPr>
        <w:t xml:space="preserve">Asset Retirement Obligation </w:t>
      </w:r>
      <w:r w:rsidR="00744AC7">
        <w:rPr>
          <w:sz w:val="23"/>
          <w:szCs w:val="23"/>
        </w:rPr>
        <w:t>(182 &amp; 230)</w:t>
      </w:r>
    </w:p>
    <w:p w14:paraId="69A6E4D3" w14:textId="42A57421" w:rsidR="00723E15" w:rsidRDefault="00723E15" w:rsidP="00CF5BB3">
      <w:pPr>
        <w:jc w:val="both"/>
        <w:rPr>
          <w:sz w:val="23"/>
          <w:szCs w:val="23"/>
        </w:rPr>
      </w:pPr>
    </w:p>
    <w:p w14:paraId="0BB5E554" w14:textId="0966E4A9" w:rsidR="00723E15" w:rsidRPr="009E2E59" w:rsidRDefault="00723E15" w:rsidP="00723E15">
      <w:pPr>
        <w:jc w:val="both"/>
        <w:rPr>
          <w:sz w:val="23"/>
          <w:szCs w:val="23"/>
        </w:rPr>
      </w:pPr>
      <w:r w:rsidRPr="006E6802">
        <w:rPr>
          <w:sz w:val="23"/>
          <w:szCs w:val="23"/>
        </w:rPr>
        <w:t>The increase</w:t>
      </w:r>
      <w:r w:rsidR="00140642">
        <w:rPr>
          <w:sz w:val="23"/>
          <w:szCs w:val="23"/>
        </w:rPr>
        <w:t xml:space="preserve"> in the liability</w:t>
      </w:r>
      <w:r w:rsidRPr="006E6802">
        <w:rPr>
          <w:sz w:val="23"/>
          <w:szCs w:val="23"/>
        </w:rPr>
        <w:t xml:space="preserve"> is primarily due to increases in expected future ARO compliance expenditures related to the Coal Combustion Residual (CCR) rule</w:t>
      </w:r>
      <w:r w:rsidR="00A469EB">
        <w:rPr>
          <w:sz w:val="23"/>
          <w:szCs w:val="23"/>
        </w:rPr>
        <w:t>.</w:t>
      </w:r>
      <w:r w:rsidRPr="006E6802">
        <w:rPr>
          <w:sz w:val="23"/>
          <w:szCs w:val="23"/>
        </w:rPr>
        <w:t xml:space="preserve"> ARO balances in assets and liabilities in accounts 182 and 230 have no impact to retail rate base as shown in Exhibit APA/SPA/ADH/MBR-4, Schedule 5.</w:t>
      </w:r>
    </w:p>
    <w:p w14:paraId="0C408367" w14:textId="21FDC669" w:rsidR="00016D9B" w:rsidRDefault="00016D9B" w:rsidP="00CF5BB3">
      <w:pPr>
        <w:jc w:val="both"/>
        <w:rPr>
          <w:sz w:val="23"/>
          <w:szCs w:val="23"/>
        </w:rPr>
      </w:pPr>
    </w:p>
    <w:p w14:paraId="7313A66A" w14:textId="5E172BB7" w:rsidR="00016D9B" w:rsidRPr="008B68EE" w:rsidRDefault="00016D9B" w:rsidP="00016D9B">
      <w:pPr>
        <w:jc w:val="both"/>
        <w:rPr>
          <w:sz w:val="23"/>
          <w:szCs w:val="23"/>
        </w:rPr>
      </w:pPr>
      <w:bookmarkStart w:id="29" w:name="_Hlk104835461"/>
      <w:r w:rsidRPr="009E2E59">
        <w:rPr>
          <w:sz w:val="23"/>
          <w:szCs w:val="23"/>
          <w:u w:val="single"/>
        </w:rPr>
        <w:t xml:space="preserve">FOOTNOTE </w:t>
      </w:r>
      <w:r>
        <w:rPr>
          <w:sz w:val="23"/>
          <w:szCs w:val="23"/>
          <w:u w:val="single"/>
        </w:rPr>
        <w:t>BG</w:t>
      </w:r>
      <w:proofErr w:type="gramStart"/>
      <w:r w:rsidRPr="009E2E59">
        <w:rPr>
          <w:sz w:val="23"/>
          <w:szCs w:val="23"/>
          <w:u w:val="single"/>
        </w:rPr>
        <w:t>/</w:t>
      </w:r>
      <w:r w:rsidRPr="009E2E59">
        <w:rPr>
          <w:sz w:val="23"/>
          <w:szCs w:val="23"/>
        </w:rPr>
        <w:t xml:space="preserve">  </w:t>
      </w:r>
      <w:r w:rsidRPr="009E2E59">
        <w:rPr>
          <w:sz w:val="23"/>
          <w:szCs w:val="23"/>
        </w:rPr>
        <w:tab/>
      </w:r>
      <w:proofErr w:type="gramEnd"/>
      <w:r w:rsidR="009C7C0A">
        <w:rPr>
          <w:sz w:val="23"/>
          <w:szCs w:val="23"/>
        </w:rPr>
        <w:t>(</w:t>
      </w:r>
      <w:r w:rsidRPr="009E2E59">
        <w:rPr>
          <w:sz w:val="23"/>
          <w:szCs w:val="23"/>
          <w:u w:val="single"/>
        </w:rPr>
        <w:t>$</w:t>
      </w:r>
      <w:r w:rsidR="009C7C0A">
        <w:rPr>
          <w:sz w:val="23"/>
          <w:szCs w:val="23"/>
          <w:u w:val="single"/>
        </w:rPr>
        <w:t>1,034,050)</w:t>
      </w:r>
      <w:r w:rsidRPr="009E2E59">
        <w:rPr>
          <w:sz w:val="23"/>
          <w:szCs w:val="23"/>
        </w:rPr>
        <w:tab/>
      </w:r>
      <w:r>
        <w:rPr>
          <w:sz w:val="23"/>
          <w:szCs w:val="23"/>
        </w:rPr>
        <w:t>Asset Retirement Obligation (254)</w:t>
      </w:r>
    </w:p>
    <w:bookmarkEnd w:id="29"/>
    <w:p w14:paraId="44D0F55A" w14:textId="033C4A65" w:rsidR="00C87582" w:rsidRDefault="00C87582" w:rsidP="00C87582">
      <w:pPr>
        <w:jc w:val="both"/>
        <w:rPr>
          <w:sz w:val="23"/>
          <w:szCs w:val="23"/>
        </w:rPr>
      </w:pPr>
    </w:p>
    <w:p w14:paraId="5A78C972" w14:textId="6231C299" w:rsidR="009C7C0A" w:rsidRPr="00FA52FD" w:rsidRDefault="009C7C0A" w:rsidP="009C7C0A">
      <w:pPr>
        <w:jc w:val="both"/>
        <w:rPr>
          <w:color w:val="FF0000"/>
          <w:sz w:val="23"/>
          <w:szCs w:val="23"/>
        </w:rPr>
      </w:pPr>
      <w:r w:rsidRPr="00132F95">
        <w:rPr>
          <w:sz w:val="23"/>
          <w:szCs w:val="23"/>
        </w:rPr>
        <w:t xml:space="preserve">The increase </w:t>
      </w:r>
      <w:r w:rsidR="00D619AD">
        <w:rPr>
          <w:sz w:val="23"/>
          <w:szCs w:val="23"/>
        </w:rPr>
        <w:t xml:space="preserve">in the liability </w:t>
      </w:r>
      <w:r w:rsidRPr="00132F95">
        <w:rPr>
          <w:sz w:val="23"/>
          <w:szCs w:val="23"/>
        </w:rPr>
        <w:t xml:space="preserve">primarily reflects the impact of FOOTNOTE L/, which removes the ARO liability for nuclear decommissioning funded by an external trust.  The increase is offset by the projected CCR ARO compliance settlement cost </w:t>
      </w:r>
      <w:r w:rsidR="005F31B2">
        <w:rPr>
          <w:sz w:val="23"/>
          <w:szCs w:val="23"/>
        </w:rPr>
        <w:t>net of</w:t>
      </w:r>
      <w:r w:rsidRPr="00132F95">
        <w:rPr>
          <w:sz w:val="23"/>
          <w:szCs w:val="23"/>
        </w:rPr>
        <w:t xml:space="preserve"> recovery.</w:t>
      </w:r>
    </w:p>
    <w:p w14:paraId="1FD842DE" w14:textId="77777777" w:rsidR="0020792E" w:rsidRDefault="0020792E" w:rsidP="00713485">
      <w:pPr>
        <w:jc w:val="both"/>
        <w:rPr>
          <w:sz w:val="23"/>
          <w:szCs w:val="23"/>
          <w:u w:val="single"/>
        </w:rPr>
      </w:pPr>
    </w:p>
    <w:p w14:paraId="48525A07" w14:textId="251478DA" w:rsidR="003A563C" w:rsidRPr="009E2E59" w:rsidRDefault="003A563C" w:rsidP="00713485">
      <w:pPr>
        <w:jc w:val="both"/>
        <w:rPr>
          <w:sz w:val="23"/>
          <w:szCs w:val="23"/>
        </w:rPr>
      </w:pPr>
      <w:r w:rsidRPr="009E2E59">
        <w:rPr>
          <w:sz w:val="23"/>
          <w:szCs w:val="23"/>
          <w:u w:val="single"/>
        </w:rPr>
        <w:t xml:space="preserve">FOOTNOTE </w:t>
      </w:r>
      <w:r w:rsidR="0020792E">
        <w:rPr>
          <w:sz w:val="23"/>
          <w:szCs w:val="23"/>
          <w:u w:val="single"/>
        </w:rPr>
        <w:t>B</w:t>
      </w:r>
      <w:r w:rsidR="00016D9B">
        <w:rPr>
          <w:sz w:val="23"/>
          <w:szCs w:val="23"/>
          <w:u w:val="single"/>
        </w:rPr>
        <w:t>H</w:t>
      </w:r>
      <w:r w:rsidRPr="009E2E59">
        <w:rPr>
          <w:sz w:val="23"/>
          <w:szCs w:val="23"/>
          <w:u w:val="single"/>
        </w:rPr>
        <w:t>/</w:t>
      </w:r>
      <w:r w:rsidRPr="009E2E59">
        <w:rPr>
          <w:sz w:val="23"/>
          <w:szCs w:val="23"/>
        </w:rPr>
        <w:t xml:space="preserve"> </w:t>
      </w:r>
      <w:r w:rsidRPr="009E2E59">
        <w:rPr>
          <w:sz w:val="23"/>
          <w:szCs w:val="23"/>
        </w:rPr>
        <w:tab/>
      </w:r>
      <w:r w:rsidRPr="009E2E59">
        <w:rPr>
          <w:sz w:val="23"/>
          <w:szCs w:val="23"/>
          <w:u w:val="single"/>
        </w:rPr>
        <w:t>$</w:t>
      </w:r>
      <w:r w:rsidR="00016D9B">
        <w:rPr>
          <w:sz w:val="23"/>
          <w:szCs w:val="23"/>
          <w:u w:val="single"/>
        </w:rPr>
        <w:t>104,909</w:t>
      </w:r>
      <w:r w:rsidRPr="009E2E59">
        <w:rPr>
          <w:sz w:val="23"/>
          <w:szCs w:val="23"/>
        </w:rPr>
        <w:t xml:space="preserve"> </w:t>
      </w:r>
      <w:r w:rsidRPr="009E2E59">
        <w:rPr>
          <w:sz w:val="23"/>
          <w:szCs w:val="23"/>
        </w:rPr>
        <w:tab/>
        <w:t>Accumulated Deferred Income Taxes -</w:t>
      </w:r>
    </w:p>
    <w:p w14:paraId="2B1ED590" w14:textId="68893561" w:rsidR="00DF40A7" w:rsidRDefault="003A563C" w:rsidP="00DF40A7">
      <w:pPr>
        <w:jc w:val="both"/>
        <w:rPr>
          <w:sz w:val="23"/>
          <w:szCs w:val="23"/>
        </w:rPr>
      </w:pPr>
      <w:r w:rsidRPr="009E2E59">
        <w:rPr>
          <w:sz w:val="23"/>
          <w:szCs w:val="23"/>
        </w:rPr>
        <w:tab/>
      </w:r>
      <w:r w:rsidRPr="009E2E59">
        <w:rPr>
          <w:sz w:val="23"/>
          <w:szCs w:val="23"/>
        </w:rPr>
        <w:tab/>
      </w:r>
      <w:r w:rsidRPr="009E2E59">
        <w:rPr>
          <w:sz w:val="23"/>
          <w:szCs w:val="23"/>
        </w:rPr>
        <w:tab/>
      </w:r>
      <w:r w:rsidRPr="009E2E59">
        <w:rPr>
          <w:sz w:val="23"/>
          <w:szCs w:val="23"/>
        </w:rPr>
        <w:tab/>
      </w:r>
      <w:r w:rsidRPr="009E2E59">
        <w:rPr>
          <w:sz w:val="23"/>
          <w:szCs w:val="23"/>
        </w:rPr>
        <w:tab/>
        <w:t>Accelerated Amortization - Account 281</w:t>
      </w:r>
    </w:p>
    <w:p w14:paraId="72D1CABD" w14:textId="77777777" w:rsidR="00140642" w:rsidRDefault="00140642" w:rsidP="00DF40A7">
      <w:pPr>
        <w:jc w:val="both"/>
        <w:rPr>
          <w:sz w:val="23"/>
          <w:szCs w:val="23"/>
        </w:rPr>
      </w:pPr>
    </w:p>
    <w:p w14:paraId="53D1EC04" w14:textId="0EB8F484" w:rsidR="00DF40A7" w:rsidRPr="00FA52FD" w:rsidRDefault="00DF40A7" w:rsidP="00DF40A7">
      <w:pPr>
        <w:jc w:val="both"/>
        <w:rPr>
          <w:sz w:val="23"/>
          <w:szCs w:val="23"/>
        </w:rPr>
      </w:pPr>
      <w:r w:rsidRPr="00F85C70">
        <w:rPr>
          <w:sz w:val="23"/>
          <w:szCs w:val="23"/>
        </w:rPr>
        <w:t>The decrease</w:t>
      </w:r>
      <w:r w:rsidR="00140642">
        <w:rPr>
          <w:sz w:val="23"/>
          <w:szCs w:val="23"/>
        </w:rPr>
        <w:t xml:space="preserve"> in the liability</w:t>
      </w:r>
      <w:r w:rsidRPr="00F85C70">
        <w:rPr>
          <w:sz w:val="23"/>
          <w:szCs w:val="23"/>
        </w:rPr>
        <w:t xml:space="preserve"> is primarily due to the reversal of accelerated depreciation and basis differences for pollution control related assets.</w:t>
      </w:r>
      <w:r>
        <w:rPr>
          <w:sz w:val="23"/>
          <w:szCs w:val="23"/>
        </w:rPr>
        <w:t xml:space="preserve"> </w:t>
      </w:r>
    </w:p>
    <w:bookmarkEnd w:id="28"/>
    <w:p w14:paraId="30187624" w14:textId="77777777" w:rsidR="00825FBE" w:rsidRDefault="00825FBE" w:rsidP="00713485">
      <w:pPr>
        <w:jc w:val="both"/>
        <w:rPr>
          <w:sz w:val="23"/>
          <w:szCs w:val="23"/>
          <w:u w:val="single"/>
        </w:rPr>
      </w:pPr>
    </w:p>
    <w:p w14:paraId="357920F7" w14:textId="0AFA41CE" w:rsidR="003A563C" w:rsidRPr="009E2E59" w:rsidRDefault="003A563C" w:rsidP="00713485">
      <w:pPr>
        <w:jc w:val="both"/>
        <w:rPr>
          <w:sz w:val="23"/>
          <w:szCs w:val="23"/>
        </w:rPr>
      </w:pPr>
      <w:bookmarkStart w:id="30" w:name="_Hlk10807397"/>
      <w:r w:rsidRPr="009E2E59">
        <w:rPr>
          <w:sz w:val="23"/>
          <w:szCs w:val="23"/>
          <w:u w:val="single"/>
        </w:rPr>
        <w:t xml:space="preserve">FOOTNOTE </w:t>
      </w:r>
      <w:r w:rsidR="00A13D17" w:rsidRPr="009E2E59">
        <w:rPr>
          <w:sz w:val="23"/>
          <w:szCs w:val="23"/>
          <w:u w:val="single"/>
        </w:rPr>
        <w:t>B</w:t>
      </w:r>
      <w:r w:rsidR="00016D9B">
        <w:rPr>
          <w:sz w:val="23"/>
          <w:szCs w:val="23"/>
          <w:u w:val="single"/>
        </w:rPr>
        <w:t>I</w:t>
      </w:r>
      <w:r w:rsidR="002109C8" w:rsidRPr="009E2E59">
        <w:rPr>
          <w:sz w:val="23"/>
          <w:szCs w:val="23"/>
          <w:u w:val="single"/>
        </w:rPr>
        <w:t>/</w:t>
      </w:r>
      <w:r w:rsidR="00031718" w:rsidRPr="009E2E59">
        <w:rPr>
          <w:sz w:val="23"/>
          <w:szCs w:val="23"/>
        </w:rPr>
        <w:tab/>
      </w:r>
      <w:r w:rsidRPr="009E2E59">
        <w:rPr>
          <w:sz w:val="23"/>
          <w:szCs w:val="23"/>
          <w:u w:val="single"/>
        </w:rPr>
        <w:t>$</w:t>
      </w:r>
      <w:r w:rsidR="001559E3">
        <w:rPr>
          <w:sz w:val="23"/>
          <w:szCs w:val="23"/>
          <w:u w:val="single"/>
        </w:rPr>
        <w:t>20,851</w:t>
      </w:r>
      <w:r w:rsidRPr="009E2E59">
        <w:rPr>
          <w:sz w:val="23"/>
          <w:szCs w:val="23"/>
        </w:rPr>
        <w:tab/>
        <w:t xml:space="preserve">Accumulated Deferred Income Taxes- </w:t>
      </w:r>
    </w:p>
    <w:p w14:paraId="02F26E10" w14:textId="2ADE6CB0" w:rsidR="003A563C" w:rsidRDefault="003A563C" w:rsidP="00713485">
      <w:pPr>
        <w:jc w:val="both"/>
        <w:rPr>
          <w:sz w:val="23"/>
          <w:szCs w:val="23"/>
        </w:rPr>
      </w:pPr>
      <w:r w:rsidRPr="009E2E59">
        <w:rPr>
          <w:sz w:val="23"/>
          <w:szCs w:val="23"/>
        </w:rPr>
        <w:tab/>
      </w:r>
      <w:r w:rsidRPr="009E2E59">
        <w:rPr>
          <w:sz w:val="23"/>
          <w:szCs w:val="23"/>
        </w:rPr>
        <w:tab/>
      </w:r>
      <w:r w:rsidRPr="009E2E59">
        <w:rPr>
          <w:sz w:val="23"/>
          <w:szCs w:val="23"/>
        </w:rPr>
        <w:tab/>
      </w:r>
      <w:r w:rsidRPr="009E2E59">
        <w:rPr>
          <w:sz w:val="23"/>
          <w:szCs w:val="23"/>
        </w:rPr>
        <w:tab/>
      </w:r>
      <w:r w:rsidRPr="009E2E59">
        <w:rPr>
          <w:sz w:val="23"/>
          <w:szCs w:val="23"/>
        </w:rPr>
        <w:tab/>
        <w:t>Other Property - Account 282</w:t>
      </w:r>
    </w:p>
    <w:p w14:paraId="31FC781A" w14:textId="77777777" w:rsidR="007235FF" w:rsidRPr="009E2E59" w:rsidRDefault="007235FF" w:rsidP="00713485">
      <w:pPr>
        <w:jc w:val="both"/>
        <w:rPr>
          <w:sz w:val="23"/>
          <w:szCs w:val="23"/>
        </w:rPr>
      </w:pPr>
    </w:p>
    <w:p w14:paraId="480C3528" w14:textId="53A330EE" w:rsidR="00DF40A7" w:rsidRPr="00437705" w:rsidRDefault="00DF40A7" w:rsidP="00DF40A7">
      <w:pPr>
        <w:jc w:val="both"/>
        <w:rPr>
          <w:sz w:val="23"/>
          <w:szCs w:val="23"/>
        </w:rPr>
      </w:pPr>
      <w:r w:rsidRPr="006A2BA5">
        <w:rPr>
          <w:sz w:val="23"/>
          <w:szCs w:val="23"/>
        </w:rPr>
        <w:t xml:space="preserve">The decrease </w:t>
      </w:r>
      <w:r w:rsidR="00140642">
        <w:rPr>
          <w:sz w:val="23"/>
          <w:szCs w:val="23"/>
        </w:rPr>
        <w:t xml:space="preserve">in the liability </w:t>
      </w:r>
      <w:r w:rsidRPr="006A2BA5">
        <w:rPr>
          <w:sz w:val="23"/>
          <w:szCs w:val="23"/>
        </w:rPr>
        <w:t>is primarily due to column adjustments reflected in FOOTNOTE M/, offset by increases in asset retirement obligations and accelerated depreciation.</w:t>
      </w:r>
    </w:p>
    <w:p w14:paraId="499AAF98" w14:textId="77777777" w:rsidR="00DF40A7" w:rsidRPr="009E2E59" w:rsidRDefault="00DF40A7" w:rsidP="00713485">
      <w:pPr>
        <w:jc w:val="both"/>
        <w:rPr>
          <w:sz w:val="23"/>
          <w:szCs w:val="23"/>
        </w:rPr>
      </w:pPr>
    </w:p>
    <w:p w14:paraId="4E696352" w14:textId="6D486C31" w:rsidR="001559E3" w:rsidRPr="009E2E59" w:rsidRDefault="001559E3" w:rsidP="001559E3">
      <w:pPr>
        <w:jc w:val="both"/>
        <w:rPr>
          <w:sz w:val="23"/>
          <w:szCs w:val="23"/>
        </w:rPr>
      </w:pPr>
      <w:bookmarkStart w:id="31" w:name="_Hlk10807417"/>
      <w:bookmarkEnd w:id="30"/>
      <w:r w:rsidRPr="009E2E59">
        <w:rPr>
          <w:sz w:val="23"/>
          <w:szCs w:val="23"/>
          <w:u w:val="single"/>
        </w:rPr>
        <w:t>FOOTNOTE B</w:t>
      </w:r>
      <w:r>
        <w:rPr>
          <w:sz w:val="23"/>
          <w:szCs w:val="23"/>
          <w:u w:val="single"/>
        </w:rPr>
        <w:t>J</w:t>
      </w:r>
      <w:r w:rsidRPr="009E2E59">
        <w:rPr>
          <w:sz w:val="23"/>
          <w:szCs w:val="23"/>
          <w:u w:val="single"/>
        </w:rPr>
        <w:t>/</w:t>
      </w:r>
      <w:r w:rsidRPr="009E2E59">
        <w:rPr>
          <w:sz w:val="23"/>
          <w:szCs w:val="23"/>
        </w:rPr>
        <w:tab/>
      </w:r>
      <w:r w:rsidRPr="009E2E59">
        <w:rPr>
          <w:sz w:val="23"/>
          <w:szCs w:val="23"/>
          <w:u w:val="single"/>
        </w:rPr>
        <w:t>$(1</w:t>
      </w:r>
      <w:r>
        <w:rPr>
          <w:sz w:val="23"/>
          <w:szCs w:val="23"/>
          <w:u w:val="single"/>
        </w:rPr>
        <w:t>29,725</w:t>
      </w:r>
      <w:r w:rsidRPr="009E2E59">
        <w:rPr>
          <w:sz w:val="23"/>
          <w:szCs w:val="23"/>
          <w:u w:val="single"/>
        </w:rPr>
        <w:t>)</w:t>
      </w:r>
      <w:r w:rsidRPr="009E2E59">
        <w:rPr>
          <w:sz w:val="23"/>
          <w:szCs w:val="23"/>
        </w:rPr>
        <w:tab/>
        <w:t>Accumulated Deferred Income Taxes -</w:t>
      </w:r>
    </w:p>
    <w:p w14:paraId="3C1413E3" w14:textId="209D2994" w:rsidR="001559E3" w:rsidRDefault="001559E3" w:rsidP="001559E3">
      <w:pPr>
        <w:jc w:val="both"/>
        <w:rPr>
          <w:sz w:val="23"/>
          <w:szCs w:val="23"/>
        </w:rPr>
      </w:pPr>
      <w:r w:rsidRPr="009E2E59">
        <w:rPr>
          <w:sz w:val="23"/>
          <w:szCs w:val="23"/>
        </w:rPr>
        <w:tab/>
      </w:r>
      <w:r w:rsidRPr="009E2E59">
        <w:rPr>
          <w:sz w:val="23"/>
          <w:szCs w:val="23"/>
        </w:rPr>
        <w:tab/>
      </w:r>
      <w:r w:rsidRPr="009E2E59">
        <w:rPr>
          <w:sz w:val="23"/>
          <w:szCs w:val="23"/>
        </w:rPr>
        <w:tab/>
      </w:r>
      <w:r w:rsidRPr="009E2E59">
        <w:rPr>
          <w:sz w:val="23"/>
          <w:szCs w:val="23"/>
        </w:rPr>
        <w:tab/>
      </w:r>
      <w:r w:rsidRPr="009E2E59">
        <w:rPr>
          <w:sz w:val="23"/>
          <w:szCs w:val="23"/>
        </w:rPr>
        <w:tab/>
        <w:t>Other - Account 283</w:t>
      </w:r>
    </w:p>
    <w:p w14:paraId="4850E111" w14:textId="77777777" w:rsidR="007235FF" w:rsidRPr="009E2E59" w:rsidRDefault="007235FF" w:rsidP="001559E3">
      <w:pPr>
        <w:jc w:val="both"/>
        <w:rPr>
          <w:sz w:val="23"/>
          <w:szCs w:val="23"/>
        </w:rPr>
      </w:pPr>
    </w:p>
    <w:p w14:paraId="1500C3BC" w14:textId="725F853D" w:rsidR="007235FF" w:rsidRPr="009E2E59" w:rsidRDefault="007235FF" w:rsidP="007235FF">
      <w:pPr>
        <w:jc w:val="both"/>
        <w:rPr>
          <w:sz w:val="23"/>
          <w:szCs w:val="23"/>
        </w:rPr>
      </w:pPr>
      <w:r w:rsidRPr="006A2BA5">
        <w:rPr>
          <w:sz w:val="23"/>
          <w:szCs w:val="23"/>
        </w:rPr>
        <w:t xml:space="preserve">The increase </w:t>
      </w:r>
      <w:r w:rsidR="00140642">
        <w:rPr>
          <w:sz w:val="23"/>
          <w:szCs w:val="23"/>
        </w:rPr>
        <w:t xml:space="preserve">in the liability </w:t>
      </w:r>
      <w:r w:rsidRPr="006A2BA5">
        <w:rPr>
          <w:sz w:val="23"/>
          <w:szCs w:val="23"/>
        </w:rPr>
        <w:t>is primarily due to the reclassification of net book values to regulatory assets for the proposed decertification of units in Docket No. 44160, partially offset by a decrease in storm damage accrual.</w:t>
      </w:r>
      <w:r>
        <w:rPr>
          <w:sz w:val="23"/>
          <w:szCs w:val="23"/>
        </w:rPr>
        <w:t xml:space="preserve">  </w:t>
      </w:r>
    </w:p>
    <w:p w14:paraId="0C52E448" w14:textId="77777777" w:rsidR="001559E3" w:rsidRDefault="001559E3">
      <w:pPr>
        <w:rPr>
          <w:sz w:val="23"/>
          <w:szCs w:val="23"/>
          <w:u w:val="single"/>
        </w:rPr>
      </w:pPr>
    </w:p>
    <w:p w14:paraId="630C523B" w14:textId="20D68DAA" w:rsidR="001559E3" w:rsidRPr="009E2E59" w:rsidRDefault="001559E3" w:rsidP="001559E3">
      <w:pPr>
        <w:jc w:val="both"/>
        <w:rPr>
          <w:sz w:val="23"/>
          <w:szCs w:val="23"/>
        </w:rPr>
      </w:pPr>
      <w:r w:rsidRPr="009E2E59">
        <w:rPr>
          <w:sz w:val="23"/>
          <w:szCs w:val="23"/>
          <w:u w:val="single"/>
        </w:rPr>
        <w:t>FOOTNOTE B</w:t>
      </w:r>
      <w:r>
        <w:rPr>
          <w:sz w:val="23"/>
          <w:szCs w:val="23"/>
          <w:u w:val="single"/>
        </w:rPr>
        <w:t>K</w:t>
      </w:r>
      <w:proofErr w:type="gramStart"/>
      <w:r w:rsidRPr="009E2E59">
        <w:rPr>
          <w:sz w:val="23"/>
          <w:szCs w:val="23"/>
          <w:u w:val="single"/>
        </w:rPr>
        <w:t>/</w:t>
      </w:r>
      <w:r w:rsidRPr="009E2E59">
        <w:rPr>
          <w:sz w:val="23"/>
          <w:szCs w:val="23"/>
        </w:rPr>
        <w:t xml:space="preserve">  </w:t>
      </w:r>
      <w:r w:rsidRPr="009E2E59">
        <w:rPr>
          <w:sz w:val="23"/>
          <w:szCs w:val="23"/>
        </w:rPr>
        <w:tab/>
      </w:r>
      <w:proofErr w:type="gramEnd"/>
      <w:r w:rsidRPr="009E2E59">
        <w:rPr>
          <w:sz w:val="23"/>
          <w:szCs w:val="23"/>
          <w:u w:val="single"/>
        </w:rPr>
        <w:t>$</w:t>
      </w:r>
      <w:r>
        <w:rPr>
          <w:sz w:val="23"/>
          <w:szCs w:val="23"/>
          <w:u w:val="single"/>
        </w:rPr>
        <w:t>(39,954)</w:t>
      </w:r>
      <w:r w:rsidRPr="009E2E59">
        <w:rPr>
          <w:sz w:val="23"/>
          <w:szCs w:val="23"/>
        </w:rPr>
        <w:t xml:space="preserve"> </w:t>
      </w:r>
      <w:r w:rsidRPr="009E2E59">
        <w:rPr>
          <w:sz w:val="23"/>
          <w:szCs w:val="23"/>
        </w:rPr>
        <w:tab/>
        <w:t>Accumulated Deferred Income Taxes -</w:t>
      </w:r>
    </w:p>
    <w:p w14:paraId="6ABB847D" w14:textId="77777777" w:rsidR="001559E3" w:rsidRPr="009E2E59" w:rsidRDefault="001559E3" w:rsidP="001559E3">
      <w:pPr>
        <w:jc w:val="both"/>
        <w:rPr>
          <w:sz w:val="23"/>
          <w:szCs w:val="23"/>
        </w:rPr>
      </w:pPr>
      <w:r w:rsidRPr="009E2E59">
        <w:rPr>
          <w:sz w:val="23"/>
          <w:szCs w:val="23"/>
        </w:rPr>
        <w:tab/>
      </w:r>
      <w:r w:rsidRPr="009E2E59">
        <w:rPr>
          <w:sz w:val="23"/>
          <w:szCs w:val="23"/>
        </w:rPr>
        <w:tab/>
      </w:r>
      <w:r w:rsidRPr="009E2E59">
        <w:rPr>
          <w:sz w:val="23"/>
          <w:szCs w:val="23"/>
        </w:rPr>
        <w:tab/>
      </w:r>
      <w:r w:rsidRPr="009E2E59">
        <w:rPr>
          <w:sz w:val="23"/>
          <w:szCs w:val="23"/>
        </w:rPr>
        <w:tab/>
      </w:r>
      <w:r w:rsidRPr="009E2E59">
        <w:rPr>
          <w:sz w:val="23"/>
          <w:szCs w:val="23"/>
        </w:rPr>
        <w:tab/>
        <w:t>Prepaid - Account 190</w:t>
      </w:r>
    </w:p>
    <w:p w14:paraId="36D68E32" w14:textId="77777777" w:rsidR="001559E3" w:rsidRPr="009E2E59" w:rsidRDefault="001559E3" w:rsidP="001559E3">
      <w:pPr>
        <w:jc w:val="both"/>
        <w:rPr>
          <w:sz w:val="23"/>
          <w:szCs w:val="23"/>
        </w:rPr>
      </w:pPr>
    </w:p>
    <w:p w14:paraId="14560E6A" w14:textId="77777777" w:rsidR="007235FF" w:rsidRPr="00E47543" w:rsidRDefault="007235FF" w:rsidP="007235FF">
      <w:pPr>
        <w:jc w:val="both"/>
        <w:rPr>
          <w:sz w:val="23"/>
          <w:szCs w:val="23"/>
        </w:rPr>
      </w:pPr>
      <w:r w:rsidRPr="006A2BA5">
        <w:rPr>
          <w:sz w:val="23"/>
          <w:szCs w:val="23"/>
        </w:rPr>
        <w:t>The decrease is primarily due to timing differences from federal tax reform</w:t>
      </w:r>
      <w:r>
        <w:rPr>
          <w:sz w:val="23"/>
          <w:szCs w:val="23"/>
        </w:rPr>
        <w:t xml:space="preserve"> </w:t>
      </w:r>
      <w:r w:rsidRPr="006A2BA5">
        <w:rPr>
          <w:sz w:val="23"/>
          <w:szCs w:val="23"/>
        </w:rPr>
        <w:t xml:space="preserve">as ordered by the Commission in the Tax Reform Act settlement in Docket No. 36989, partially offset by an </w:t>
      </w:r>
      <w:r w:rsidRPr="001A2642">
        <w:rPr>
          <w:sz w:val="23"/>
          <w:szCs w:val="23"/>
        </w:rPr>
        <w:t>increase</w:t>
      </w:r>
      <w:r w:rsidRPr="006A2BA5">
        <w:rPr>
          <w:sz w:val="23"/>
          <w:szCs w:val="23"/>
        </w:rPr>
        <w:t xml:space="preserve"> in the tax credit carry forward</w:t>
      </w:r>
      <w:r>
        <w:rPr>
          <w:sz w:val="23"/>
          <w:szCs w:val="23"/>
        </w:rPr>
        <w:t>.</w:t>
      </w:r>
    </w:p>
    <w:p w14:paraId="7A88AA7F" w14:textId="77777777" w:rsidR="001559E3" w:rsidRDefault="001559E3">
      <w:pPr>
        <w:rPr>
          <w:sz w:val="23"/>
          <w:szCs w:val="23"/>
          <w:u w:val="single"/>
        </w:rPr>
      </w:pPr>
    </w:p>
    <w:p w14:paraId="6801CC0F" w14:textId="0E6B8B77" w:rsidR="001559E3" w:rsidRPr="00E47543" w:rsidRDefault="001559E3" w:rsidP="001559E3">
      <w:pPr>
        <w:jc w:val="both"/>
        <w:rPr>
          <w:sz w:val="23"/>
          <w:szCs w:val="23"/>
        </w:rPr>
      </w:pPr>
      <w:bookmarkStart w:id="32" w:name="_Hlk104839795"/>
      <w:r w:rsidRPr="00E47543">
        <w:rPr>
          <w:sz w:val="23"/>
          <w:szCs w:val="23"/>
          <w:u w:val="single"/>
        </w:rPr>
        <w:t>FOOTNOTE B</w:t>
      </w:r>
      <w:r>
        <w:rPr>
          <w:sz w:val="23"/>
          <w:szCs w:val="23"/>
          <w:u w:val="single"/>
        </w:rPr>
        <w:t>L</w:t>
      </w:r>
      <w:r w:rsidRPr="00E47543">
        <w:rPr>
          <w:sz w:val="23"/>
          <w:szCs w:val="23"/>
          <w:u w:val="single"/>
        </w:rPr>
        <w:t>/</w:t>
      </w:r>
      <w:r w:rsidRPr="00E47543">
        <w:rPr>
          <w:sz w:val="23"/>
          <w:szCs w:val="23"/>
        </w:rPr>
        <w:t xml:space="preserve"> </w:t>
      </w:r>
      <w:r w:rsidRPr="00E47543">
        <w:rPr>
          <w:sz w:val="23"/>
          <w:szCs w:val="23"/>
        </w:rPr>
        <w:tab/>
      </w:r>
      <w:r w:rsidRPr="00E47543">
        <w:rPr>
          <w:sz w:val="23"/>
          <w:szCs w:val="23"/>
          <w:u w:val="single"/>
        </w:rPr>
        <w:t>$(</w:t>
      </w:r>
      <w:r>
        <w:rPr>
          <w:sz w:val="23"/>
          <w:szCs w:val="23"/>
          <w:u w:val="single"/>
        </w:rPr>
        <w:t>51,507</w:t>
      </w:r>
      <w:r w:rsidRPr="00E47543">
        <w:rPr>
          <w:sz w:val="23"/>
          <w:szCs w:val="23"/>
          <w:u w:val="single"/>
        </w:rPr>
        <w:t>)</w:t>
      </w:r>
      <w:r w:rsidRPr="00E47543">
        <w:rPr>
          <w:sz w:val="23"/>
          <w:szCs w:val="23"/>
        </w:rPr>
        <w:tab/>
        <w:t>Cash Working Capital</w:t>
      </w:r>
    </w:p>
    <w:p w14:paraId="27FE5A74" w14:textId="77777777" w:rsidR="001559E3" w:rsidRPr="00E47543" w:rsidRDefault="001559E3" w:rsidP="001559E3">
      <w:pPr>
        <w:jc w:val="both"/>
        <w:rPr>
          <w:sz w:val="23"/>
          <w:szCs w:val="23"/>
        </w:rPr>
      </w:pPr>
    </w:p>
    <w:p w14:paraId="03A4FC7C" w14:textId="790FF085" w:rsidR="00D1023A" w:rsidRPr="003761B4" w:rsidRDefault="001559E3" w:rsidP="003761B4">
      <w:pPr>
        <w:pStyle w:val="BodyText2"/>
        <w:jc w:val="both"/>
        <w:rPr>
          <w:sz w:val="23"/>
          <w:szCs w:val="23"/>
        </w:rPr>
      </w:pPr>
      <w:r w:rsidRPr="00A559F7">
        <w:rPr>
          <w:sz w:val="23"/>
          <w:szCs w:val="23"/>
        </w:rPr>
        <w:t xml:space="preserve">The </w:t>
      </w:r>
      <w:r w:rsidR="00CE7A42">
        <w:rPr>
          <w:sz w:val="23"/>
          <w:szCs w:val="23"/>
        </w:rPr>
        <w:t>decrease</w:t>
      </w:r>
      <w:r w:rsidRPr="00A559F7">
        <w:rPr>
          <w:sz w:val="23"/>
          <w:szCs w:val="23"/>
        </w:rPr>
        <w:t xml:space="preserve"> is due to</w:t>
      </w:r>
      <w:r w:rsidR="00981F02" w:rsidRPr="00A559F7">
        <w:rPr>
          <w:sz w:val="23"/>
          <w:szCs w:val="23"/>
        </w:rPr>
        <w:t xml:space="preserve"> an increase in </w:t>
      </w:r>
      <w:r w:rsidR="00A559F7" w:rsidRPr="00A559F7">
        <w:rPr>
          <w:sz w:val="23"/>
          <w:szCs w:val="23"/>
        </w:rPr>
        <w:t>overall</w:t>
      </w:r>
      <w:r w:rsidR="00981F02" w:rsidRPr="00A559F7">
        <w:rPr>
          <w:sz w:val="23"/>
          <w:szCs w:val="23"/>
        </w:rPr>
        <w:t xml:space="preserve"> lead days, primarily driven by</w:t>
      </w:r>
      <w:r w:rsidRPr="00A559F7">
        <w:rPr>
          <w:sz w:val="23"/>
          <w:szCs w:val="23"/>
        </w:rPr>
        <w:t xml:space="preserve"> the change in days the Company pays its suppliers</w:t>
      </w:r>
      <w:r w:rsidR="00A559F7" w:rsidRPr="00A559F7">
        <w:rPr>
          <w:sz w:val="23"/>
          <w:szCs w:val="23"/>
        </w:rPr>
        <w:t xml:space="preserve"> for fuel invoices and the payment of property taxes</w:t>
      </w:r>
      <w:r w:rsidR="00A559F7">
        <w:rPr>
          <w:sz w:val="23"/>
          <w:szCs w:val="23"/>
        </w:rPr>
        <w:t xml:space="preserve"> </w:t>
      </w:r>
      <w:r w:rsidRPr="00A559F7">
        <w:rPr>
          <w:sz w:val="23"/>
          <w:szCs w:val="23"/>
        </w:rPr>
        <w:t>in the Company’s 20</w:t>
      </w:r>
      <w:r w:rsidR="00A559F7" w:rsidRPr="00A559F7">
        <w:rPr>
          <w:sz w:val="23"/>
          <w:szCs w:val="23"/>
        </w:rPr>
        <w:t>21</w:t>
      </w:r>
      <w:r w:rsidRPr="00A559F7">
        <w:rPr>
          <w:sz w:val="23"/>
          <w:szCs w:val="23"/>
        </w:rPr>
        <w:t xml:space="preserve"> lead/lag study, which is incorporated in the test period.  </w:t>
      </w:r>
      <w:r w:rsidRPr="001D2BA5">
        <w:rPr>
          <w:sz w:val="23"/>
          <w:szCs w:val="23"/>
        </w:rPr>
        <w:t>Please see Appendix</w:t>
      </w:r>
      <w:r w:rsidR="001D2BA5">
        <w:rPr>
          <w:sz w:val="23"/>
          <w:szCs w:val="23"/>
        </w:rPr>
        <w:t xml:space="preserve"> </w:t>
      </w:r>
      <w:r w:rsidRPr="001D2BA5">
        <w:rPr>
          <w:sz w:val="23"/>
          <w:szCs w:val="23"/>
        </w:rPr>
        <w:t xml:space="preserve">Exhibit 3 for a summary of the study.  </w:t>
      </w:r>
      <w:r w:rsidRPr="00231447">
        <w:rPr>
          <w:sz w:val="23"/>
          <w:szCs w:val="23"/>
        </w:rPr>
        <w:t>The following page provides a detailed calculation of the adjustment.</w:t>
      </w:r>
      <w:r>
        <w:rPr>
          <w:sz w:val="23"/>
          <w:szCs w:val="23"/>
        </w:rPr>
        <w:t xml:space="preserve">  </w:t>
      </w:r>
      <w:r w:rsidRPr="008D39B1">
        <w:rPr>
          <w:sz w:val="23"/>
          <w:szCs w:val="23"/>
        </w:rPr>
        <w:t xml:space="preserve"> </w:t>
      </w:r>
    </w:p>
    <w:bookmarkEnd w:id="32"/>
    <w:bookmarkEnd w:id="31"/>
    <w:sectPr w:rsidR="00D1023A" w:rsidRPr="003761B4" w:rsidSect="006B3288">
      <w:headerReference w:type="default" r:id="rId13"/>
      <w:pgSz w:w="12240" w:h="15840"/>
      <w:pgMar w:top="1440" w:right="1800" w:bottom="1008" w:left="1800" w:header="432" w:footer="720" w:gutter="0"/>
      <w:pgNumType w:start="19"/>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37DCF" w14:textId="77777777" w:rsidR="00D71855" w:rsidRPr="009E1CE4" w:rsidRDefault="00D71855">
      <w:pPr>
        <w:rPr>
          <w:sz w:val="19"/>
          <w:szCs w:val="19"/>
        </w:rPr>
      </w:pPr>
      <w:r w:rsidRPr="009E1CE4">
        <w:rPr>
          <w:sz w:val="19"/>
          <w:szCs w:val="19"/>
        </w:rPr>
        <w:separator/>
      </w:r>
    </w:p>
  </w:endnote>
  <w:endnote w:type="continuationSeparator" w:id="0">
    <w:p w14:paraId="6927CF9B" w14:textId="77777777" w:rsidR="00D71855" w:rsidRPr="009E1CE4" w:rsidRDefault="00D71855">
      <w:pPr>
        <w:rPr>
          <w:sz w:val="19"/>
          <w:szCs w:val="19"/>
        </w:rPr>
      </w:pPr>
      <w:r w:rsidRPr="009E1CE4">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2C63E" w14:textId="77777777" w:rsidR="00D71855" w:rsidRPr="009E1CE4" w:rsidRDefault="00D71855">
      <w:pPr>
        <w:rPr>
          <w:sz w:val="19"/>
          <w:szCs w:val="19"/>
        </w:rPr>
      </w:pPr>
      <w:r w:rsidRPr="009E1CE4">
        <w:rPr>
          <w:sz w:val="19"/>
          <w:szCs w:val="19"/>
        </w:rPr>
        <w:separator/>
      </w:r>
    </w:p>
  </w:footnote>
  <w:footnote w:type="continuationSeparator" w:id="0">
    <w:p w14:paraId="2C856247" w14:textId="77777777" w:rsidR="00D71855" w:rsidRPr="009E1CE4" w:rsidRDefault="00D71855">
      <w:pPr>
        <w:rPr>
          <w:sz w:val="19"/>
          <w:szCs w:val="19"/>
        </w:rPr>
      </w:pPr>
      <w:r w:rsidRPr="009E1CE4">
        <w:rPr>
          <w:sz w:val="19"/>
          <w:szCs w:val="19"/>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318336367"/>
      <w:docPartObj>
        <w:docPartGallery w:val="Page Numbers (Top of Page)"/>
        <w:docPartUnique/>
      </w:docPartObj>
    </w:sdtPr>
    <w:sdtEndPr/>
    <w:sdtContent>
      <w:p w14:paraId="3D0E2B5B" w14:textId="6123F27E" w:rsidR="001C1E46" w:rsidRPr="00DA4042" w:rsidRDefault="001C1E46" w:rsidP="001C1E46">
        <w:pPr>
          <w:pStyle w:val="Header"/>
          <w:jc w:val="right"/>
          <w:rPr>
            <w:sz w:val="24"/>
          </w:rPr>
        </w:pPr>
        <w:r w:rsidRPr="00DA4042">
          <w:rPr>
            <w:sz w:val="24"/>
          </w:rPr>
          <w:t>Exhibit___(</w:t>
        </w:r>
        <w:r w:rsidR="00402D0D">
          <w:rPr>
            <w:sz w:val="24"/>
          </w:rPr>
          <w:t>APA</w:t>
        </w:r>
        <w:r w:rsidR="00AB6748">
          <w:rPr>
            <w:sz w:val="24"/>
          </w:rPr>
          <w:t>/</w:t>
        </w:r>
        <w:r>
          <w:rPr>
            <w:sz w:val="24"/>
          </w:rPr>
          <w:t>SPA</w:t>
        </w:r>
        <w:r w:rsidR="00402D0D">
          <w:rPr>
            <w:sz w:val="24"/>
          </w:rPr>
          <w:t>/ADH</w:t>
        </w:r>
        <w:r w:rsidR="00AB6748">
          <w:rPr>
            <w:sz w:val="24"/>
          </w:rPr>
          <w:t>/</w:t>
        </w:r>
        <w:r>
          <w:rPr>
            <w:sz w:val="24"/>
          </w:rPr>
          <w:t>MBR</w:t>
        </w:r>
        <w:r w:rsidRPr="00DA4042">
          <w:rPr>
            <w:sz w:val="24"/>
          </w:rPr>
          <w:t>-2)</w:t>
        </w:r>
      </w:p>
      <w:p w14:paraId="63A224F6" w14:textId="7FBE7036" w:rsidR="001C1E46" w:rsidRPr="001C1E46" w:rsidRDefault="001C1E46">
        <w:pPr>
          <w:pStyle w:val="Header"/>
          <w:jc w:val="right"/>
          <w:rPr>
            <w:sz w:val="24"/>
          </w:rPr>
        </w:pPr>
        <w:r w:rsidRPr="001C1E46">
          <w:rPr>
            <w:sz w:val="24"/>
          </w:rPr>
          <w:t xml:space="preserve">Page </w:t>
        </w:r>
        <w:r w:rsidRPr="001C1E46">
          <w:rPr>
            <w:sz w:val="24"/>
          </w:rPr>
          <w:fldChar w:fldCharType="begin"/>
        </w:r>
        <w:r w:rsidRPr="001C1E46">
          <w:rPr>
            <w:sz w:val="24"/>
          </w:rPr>
          <w:instrText xml:space="preserve"> PAGE </w:instrText>
        </w:r>
        <w:r w:rsidRPr="001C1E46">
          <w:rPr>
            <w:sz w:val="24"/>
          </w:rPr>
          <w:fldChar w:fldCharType="separate"/>
        </w:r>
        <w:r w:rsidRPr="001C1E46">
          <w:rPr>
            <w:sz w:val="24"/>
          </w:rPr>
          <w:t>2</w:t>
        </w:r>
        <w:r w:rsidRPr="001C1E46">
          <w:rPr>
            <w:sz w:val="24"/>
          </w:rPr>
          <w:fldChar w:fldCharType="end"/>
        </w:r>
        <w:r w:rsidRPr="001C1E46">
          <w:rPr>
            <w:sz w:val="24"/>
          </w:rPr>
          <w:t xml:space="preserve"> of 3</w:t>
        </w:r>
        <w:r w:rsidR="001C7739">
          <w:rPr>
            <w:sz w:val="24"/>
          </w:rPr>
          <w:t>7</w:t>
        </w:r>
      </w:p>
    </w:sdtContent>
  </w:sdt>
  <w:p w14:paraId="5E70E894" w14:textId="77777777" w:rsidR="00DC2191" w:rsidRPr="003452E6" w:rsidRDefault="00DC2191" w:rsidP="003452E6">
    <w:pPr>
      <w:pStyle w:val="Header"/>
      <w:spacing w:after="60"/>
      <w:jc w:val="right"/>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05E49"/>
    <w:multiLevelType w:val="singleLevel"/>
    <w:tmpl w:val="7B3632F2"/>
    <w:lvl w:ilvl="0">
      <w:start w:val="2"/>
      <w:numFmt w:val="lowerLetter"/>
      <w:lvlText w:val="(%1)"/>
      <w:lvlJc w:val="left"/>
      <w:pPr>
        <w:tabs>
          <w:tab w:val="num" w:pos="390"/>
        </w:tabs>
        <w:ind w:left="390" w:hanging="390"/>
      </w:pPr>
      <w:rPr>
        <w:rFonts w:hint="default"/>
        <w:b w:val="0"/>
      </w:rPr>
    </w:lvl>
  </w:abstractNum>
  <w:abstractNum w:abstractNumId="1" w15:restartNumberingAfterBreak="0">
    <w:nsid w:val="5DC10E19"/>
    <w:multiLevelType w:val="hybridMultilevel"/>
    <w:tmpl w:val="FD809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9C28B7"/>
    <w:multiLevelType w:val="singleLevel"/>
    <w:tmpl w:val="579ECCD6"/>
    <w:lvl w:ilvl="0">
      <w:start w:val="2"/>
      <w:numFmt w:val="decimal"/>
      <w:lvlText w:val="(%1)"/>
      <w:lvlJc w:val="left"/>
      <w:pPr>
        <w:tabs>
          <w:tab w:val="num" w:pos="630"/>
        </w:tabs>
        <w:ind w:left="630" w:hanging="390"/>
      </w:pPr>
      <w:rPr>
        <w:rFonts w:hint="default"/>
      </w:rPr>
    </w:lvl>
  </w:abstractNum>
  <w:num w:numId="1" w16cid:durableId="2088921022">
    <w:abstractNumId w:val="0"/>
  </w:num>
  <w:num w:numId="2" w16cid:durableId="137649011">
    <w:abstractNumId w:val="2"/>
  </w:num>
  <w:num w:numId="3" w16cid:durableId="12547809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287"/>
    <w:rsid w:val="000034F8"/>
    <w:rsid w:val="00004AFA"/>
    <w:rsid w:val="00006B43"/>
    <w:rsid w:val="00013F18"/>
    <w:rsid w:val="00014A61"/>
    <w:rsid w:val="00016D9B"/>
    <w:rsid w:val="0001748B"/>
    <w:rsid w:val="000205CD"/>
    <w:rsid w:val="00027788"/>
    <w:rsid w:val="00030893"/>
    <w:rsid w:val="00031718"/>
    <w:rsid w:val="00043A64"/>
    <w:rsid w:val="00043B58"/>
    <w:rsid w:val="00051B2D"/>
    <w:rsid w:val="0005533D"/>
    <w:rsid w:val="00061C8B"/>
    <w:rsid w:val="00064E8E"/>
    <w:rsid w:val="0006565F"/>
    <w:rsid w:val="00066BDD"/>
    <w:rsid w:val="00066C7A"/>
    <w:rsid w:val="0006727D"/>
    <w:rsid w:val="000740D2"/>
    <w:rsid w:val="00076911"/>
    <w:rsid w:val="00094147"/>
    <w:rsid w:val="00094E31"/>
    <w:rsid w:val="000A25EC"/>
    <w:rsid w:val="000A2A49"/>
    <w:rsid w:val="000A4706"/>
    <w:rsid w:val="000A58B6"/>
    <w:rsid w:val="000A6585"/>
    <w:rsid w:val="000B14CC"/>
    <w:rsid w:val="000B1F75"/>
    <w:rsid w:val="000B373C"/>
    <w:rsid w:val="000C16ED"/>
    <w:rsid w:val="000C1BB0"/>
    <w:rsid w:val="000C3203"/>
    <w:rsid w:val="000C3A58"/>
    <w:rsid w:val="000C4751"/>
    <w:rsid w:val="000C6814"/>
    <w:rsid w:val="000C731A"/>
    <w:rsid w:val="000C7922"/>
    <w:rsid w:val="000C7FDB"/>
    <w:rsid w:val="000D046E"/>
    <w:rsid w:val="000E782E"/>
    <w:rsid w:val="000F286C"/>
    <w:rsid w:val="000F7507"/>
    <w:rsid w:val="0010535A"/>
    <w:rsid w:val="001065BA"/>
    <w:rsid w:val="00110228"/>
    <w:rsid w:val="00110EB5"/>
    <w:rsid w:val="00115351"/>
    <w:rsid w:val="0011642C"/>
    <w:rsid w:val="00121047"/>
    <w:rsid w:val="00121808"/>
    <w:rsid w:val="00122815"/>
    <w:rsid w:val="001242EA"/>
    <w:rsid w:val="0012732E"/>
    <w:rsid w:val="001325C4"/>
    <w:rsid w:val="00133BF5"/>
    <w:rsid w:val="00140642"/>
    <w:rsid w:val="00140F28"/>
    <w:rsid w:val="001469CF"/>
    <w:rsid w:val="001559E3"/>
    <w:rsid w:val="0016368B"/>
    <w:rsid w:val="0016467E"/>
    <w:rsid w:val="00172BE7"/>
    <w:rsid w:val="00173017"/>
    <w:rsid w:val="00174021"/>
    <w:rsid w:val="00174F0C"/>
    <w:rsid w:val="00176091"/>
    <w:rsid w:val="001769D8"/>
    <w:rsid w:val="001944BF"/>
    <w:rsid w:val="001950E5"/>
    <w:rsid w:val="001959B1"/>
    <w:rsid w:val="00197A8F"/>
    <w:rsid w:val="001A0CBA"/>
    <w:rsid w:val="001C0F07"/>
    <w:rsid w:val="001C1E46"/>
    <w:rsid w:val="001C5D7D"/>
    <w:rsid w:val="001C62D6"/>
    <w:rsid w:val="001C7739"/>
    <w:rsid w:val="001D0685"/>
    <w:rsid w:val="001D2159"/>
    <w:rsid w:val="001D2BA5"/>
    <w:rsid w:val="001D6B33"/>
    <w:rsid w:val="001D6F96"/>
    <w:rsid w:val="001E053F"/>
    <w:rsid w:val="001E312C"/>
    <w:rsid w:val="001E413E"/>
    <w:rsid w:val="001E4BF4"/>
    <w:rsid w:val="001E765D"/>
    <w:rsid w:val="00205E60"/>
    <w:rsid w:val="0020792E"/>
    <w:rsid w:val="002109C8"/>
    <w:rsid w:val="00220F65"/>
    <w:rsid w:val="002222FD"/>
    <w:rsid w:val="00222468"/>
    <w:rsid w:val="00223479"/>
    <w:rsid w:val="00224285"/>
    <w:rsid w:val="002254C2"/>
    <w:rsid w:val="002267E7"/>
    <w:rsid w:val="00231447"/>
    <w:rsid w:val="0023525D"/>
    <w:rsid w:val="00237108"/>
    <w:rsid w:val="00237266"/>
    <w:rsid w:val="00240140"/>
    <w:rsid w:val="002469D3"/>
    <w:rsid w:val="00247767"/>
    <w:rsid w:val="0025093F"/>
    <w:rsid w:val="002513D1"/>
    <w:rsid w:val="002516A1"/>
    <w:rsid w:val="00255284"/>
    <w:rsid w:val="00255800"/>
    <w:rsid w:val="00255B97"/>
    <w:rsid w:val="00255EC4"/>
    <w:rsid w:val="00261A77"/>
    <w:rsid w:val="00271285"/>
    <w:rsid w:val="002724BA"/>
    <w:rsid w:val="00274C42"/>
    <w:rsid w:val="00281DDE"/>
    <w:rsid w:val="0028340D"/>
    <w:rsid w:val="002844A0"/>
    <w:rsid w:val="00287EAA"/>
    <w:rsid w:val="00291A00"/>
    <w:rsid w:val="00294277"/>
    <w:rsid w:val="0029738C"/>
    <w:rsid w:val="002A5EE3"/>
    <w:rsid w:val="002B716D"/>
    <w:rsid w:val="002C1F63"/>
    <w:rsid w:val="002C27EA"/>
    <w:rsid w:val="002C3D96"/>
    <w:rsid w:val="002C3DED"/>
    <w:rsid w:val="002C71CE"/>
    <w:rsid w:val="002D1D38"/>
    <w:rsid w:val="002D68A3"/>
    <w:rsid w:val="002E21C5"/>
    <w:rsid w:val="002E50C4"/>
    <w:rsid w:val="002E695B"/>
    <w:rsid w:val="002F056D"/>
    <w:rsid w:val="002F05A2"/>
    <w:rsid w:val="002F19F1"/>
    <w:rsid w:val="002F21DE"/>
    <w:rsid w:val="002F77C4"/>
    <w:rsid w:val="003077D0"/>
    <w:rsid w:val="00307950"/>
    <w:rsid w:val="0031138D"/>
    <w:rsid w:val="00313B51"/>
    <w:rsid w:val="00314200"/>
    <w:rsid w:val="003161E2"/>
    <w:rsid w:val="00323273"/>
    <w:rsid w:val="003246BD"/>
    <w:rsid w:val="00324F6B"/>
    <w:rsid w:val="00326544"/>
    <w:rsid w:val="003319B4"/>
    <w:rsid w:val="003333F8"/>
    <w:rsid w:val="0033632C"/>
    <w:rsid w:val="00340A37"/>
    <w:rsid w:val="00341556"/>
    <w:rsid w:val="00341FCE"/>
    <w:rsid w:val="0034292E"/>
    <w:rsid w:val="00342E99"/>
    <w:rsid w:val="00343193"/>
    <w:rsid w:val="003452E6"/>
    <w:rsid w:val="00345BB7"/>
    <w:rsid w:val="00346380"/>
    <w:rsid w:val="00347D97"/>
    <w:rsid w:val="00351A88"/>
    <w:rsid w:val="00357C3E"/>
    <w:rsid w:val="00363A05"/>
    <w:rsid w:val="0037189A"/>
    <w:rsid w:val="00374B11"/>
    <w:rsid w:val="00374E49"/>
    <w:rsid w:val="003761B4"/>
    <w:rsid w:val="00382D3A"/>
    <w:rsid w:val="003952EE"/>
    <w:rsid w:val="003A2D8B"/>
    <w:rsid w:val="003A3F4F"/>
    <w:rsid w:val="003A563C"/>
    <w:rsid w:val="003A641A"/>
    <w:rsid w:val="003A6FA8"/>
    <w:rsid w:val="003B26AE"/>
    <w:rsid w:val="003B7D2B"/>
    <w:rsid w:val="003C1524"/>
    <w:rsid w:val="003C5546"/>
    <w:rsid w:val="003D20AD"/>
    <w:rsid w:val="003D3627"/>
    <w:rsid w:val="003D4342"/>
    <w:rsid w:val="003D6FF4"/>
    <w:rsid w:val="003E1733"/>
    <w:rsid w:val="003F170C"/>
    <w:rsid w:val="003F4919"/>
    <w:rsid w:val="00401B03"/>
    <w:rsid w:val="004021CA"/>
    <w:rsid w:val="00402D0D"/>
    <w:rsid w:val="00403A66"/>
    <w:rsid w:val="0040732C"/>
    <w:rsid w:val="0041425D"/>
    <w:rsid w:val="00415E5E"/>
    <w:rsid w:val="004276C5"/>
    <w:rsid w:val="00431255"/>
    <w:rsid w:val="004361BE"/>
    <w:rsid w:val="00437705"/>
    <w:rsid w:val="00441984"/>
    <w:rsid w:val="0044429B"/>
    <w:rsid w:val="00444CAC"/>
    <w:rsid w:val="004529EF"/>
    <w:rsid w:val="004605D9"/>
    <w:rsid w:val="004774E9"/>
    <w:rsid w:val="00484492"/>
    <w:rsid w:val="0048518E"/>
    <w:rsid w:val="0048578E"/>
    <w:rsid w:val="00490853"/>
    <w:rsid w:val="00494602"/>
    <w:rsid w:val="00495FAC"/>
    <w:rsid w:val="004A45CF"/>
    <w:rsid w:val="004A4E16"/>
    <w:rsid w:val="004B1A33"/>
    <w:rsid w:val="004C2357"/>
    <w:rsid w:val="004C7C3F"/>
    <w:rsid w:val="004D25E3"/>
    <w:rsid w:val="004D4524"/>
    <w:rsid w:val="004D658E"/>
    <w:rsid w:val="004E1862"/>
    <w:rsid w:val="004E2261"/>
    <w:rsid w:val="004E235F"/>
    <w:rsid w:val="004E2934"/>
    <w:rsid w:val="004E4B73"/>
    <w:rsid w:val="004E7C0A"/>
    <w:rsid w:val="004F1093"/>
    <w:rsid w:val="0050090E"/>
    <w:rsid w:val="00506917"/>
    <w:rsid w:val="005077EF"/>
    <w:rsid w:val="00507D4F"/>
    <w:rsid w:val="005157EB"/>
    <w:rsid w:val="00522BFA"/>
    <w:rsid w:val="005332A1"/>
    <w:rsid w:val="00533B94"/>
    <w:rsid w:val="00537BE4"/>
    <w:rsid w:val="00541D8F"/>
    <w:rsid w:val="00541F36"/>
    <w:rsid w:val="005561C8"/>
    <w:rsid w:val="005623C5"/>
    <w:rsid w:val="00562A70"/>
    <w:rsid w:val="00564429"/>
    <w:rsid w:val="00576B1C"/>
    <w:rsid w:val="00576F12"/>
    <w:rsid w:val="0058516B"/>
    <w:rsid w:val="0058615A"/>
    <w:rsid w:val="0058617C"/>
    <w:rsid w:val="005935E9"/>
    <w:rsid w:val="00596AF3"/>
    <w:rsid w:val="0059798A"/>
    <w:rsid w:val="005A196B"/>
    <w:rsid w:val="005B1DC1"/>
    <w:rsid w:val="005B3133"/>
    <w:rsid w:val="005B479C"/>
    <w:rsid w:val="005B6A96"/>
    <w:rsid w:val="005B73D0"/>
    <w:rsid w:val="005C048D"/>
    <w:rsid w:val="005C05E8"/>
    <w:rsid w:val="005C3164"/>
    <w:rsid w:val="005C49CE"/>
    <w:rsid w:val="005C4E79"/>
    <w:rsid w:val="005C719D"/>
    <w:rsid w:val="005D1CA0"/>
    <w:rsid w:val="005D6AAC"/>
    <w:rsid w:val="005E0378"/>
    <w:rsid w:val="005E21F0"/>
    <w:rsid w:val="005E3EC7"/>
    <w:rsid w:val="005E5B49"/>
    <w:rsid w:val="005E69BB"/>
    <w:rsid w:val="005F2675"/>
    <w:rsid w:val="005F31B2"/>
    <w:rsid w:val="0060177F"/>
    <w:rsid w:val="006035BA"/>
    <w:rsid w:val="0060437E"/>
    <w:rsid w:val="006071C3"/>
    <w:rsid w:val="006152A3"/>
    <w:rsid w:val="006170A3"/>
    <w:rsid w:val="00617C24"/>
    <w:rsid w:val="00620A03"/>
    <w:rsid w:val="006222CB"/>
    <w:rsid w:val="00630F40"/>
    <w:rsid w:val="00636564"/>
    <w:rsid w:val="006367BB"/>
    <w:rsid w:val="00640D6F"/>
    <w:rsid w:val="006418B7"/>
    <w:rsid w:val="00647557"/>
    <w:rsid w:val="006535C6"/>
    <w:rsid w:val="00663D35"/>
    <w:rsid w:val="006672BC"/>
    <w:rsid w:val="00673C5B"/>
    <w:rsid w:val="00683393"/>
    <w:rsid w:val="0068343A"/>
    <w:rsid w:val="006842EA"/>
    <w:rsid w:val="00684390"/>
    <w:rsid w:val="00686BD2"/>
    <w:rsid w:val="006919A1"/>
    <w:rsid w:val="006956EE"/>
    <w:rsid w:val="006A177F"/>
    <w:rsid w:val="006A74B4"/>
    <w:rsid w:val="006B3288"/>
    <w:rsid w:val="006B3F68"/>
    <w:rsid w:val="006C1921"/>
    <w:rsid w:val="006C3D62"/>
    <w:rsid w:val="006C57DE"/>
    <w:rsid w:val="006C5F0D"/>
    <w:rsid w:val="006C7ED5"/>
    <w:rsid w:val="006D269F"/>
    <w:rsid w:val="006D57B6"/>
    <w:rsid w:val="006F1DB4"/>
    <w:rsid w:val="006F7841"/>
    <w:rsid w:val="007022FC"/>
    <w:rsid w:val="00707507"/>
    <w:rsid w:val="00712439"/>
    <w:rsid w:val="00713485"/>
    <w:rsid w:val="007147C5"/>
    <w:rsid w:val="00715E82"/>
    <w:rsid w:val="00717A46"/>
    <w:rsid w:val="00722583"/>
    <w:rsid w:val="007235FF"/>
    <w:rsid w:val="00723E15"/>
    <w:rsid w:val="00727F0F"/>
    <w:rsid w:val="00730574"/>
    <w:rsid w:val="007333FC"/>
    <w:rsid w:val="007350DA"/>
    <w:rsid w:val="007362AC"/>
    <w:rsid w:val="00744AC7"/>
    <w:rsid w:val="007451C5"/>
    <w:rsid w:val="007502B7"/>
    <w:rsid w:val="0075230A"/>
    <w:rsid w:val="00752B09"/>
    <w:rsid w:val="00756C7C"/>
    <w:rsid w:val="00756FE1"/>
    <w:rsid w:val="0076412B"/>
    <w:rsid w:val="00771562"/>
    <w:rsid w:val="007726F1"/>
    <w:rsid w:val="0077767A"/>
    <w:rsid w:val="0078031A"/>
    <w:rsid w:val="00790F3E"/>
    <w:rsid w:val="00792E3D"/>
    <w:rsid w:val="00794C91"/>
    <w:rsid w:val="007A6A5F"/>
    <w:rsid w:val="007B0D6B"/>
    <w:rsid w:val="007B28AA"/>
    <w:rsid w:val="007B385C"/>
    <w:rsid w:val="007B4497"/>
    <w:rsid w:val="007B5216"/>
    <w:rsid w:val="007B55C5"/>
    <w:rsid w:val="007B5F77"/>
    <w:rsid w:val="007B6AEB"/>
    <w:rsid w:val="007B6EBC"/>
    <w:rsid w:val="007C23FA"/>
    <w:rsid w:val="007C4339"/>
    <w:rsid w:val="007D1A18"/>
    <w:rsid w:val="007D1BB8"/>
    <w:rsid w:val="007D430F"/>
    <w:rsid w:val="007E25DD"/>
    <w:rsid w:val="007E29A1"/>
    <w:rsid w:val="007E5675"/>
    <w:rsid w:val="007F5452"/>
    <w:rsid w:val="007F6373"/>
    <w:rsid w:val="00801B20"/>
    <w:rsid w:val="00801CF4"/>
    <w:rsid w:val="008115C4"/>
    <w:rsid w:val="00812A59"/>
    <w:rsid w:val="00816564"/>
    <w:rsid w:val="008225C2"/>
    <w:rsid w:val="00825FBE"/>
    <w:rsid w:val="00830B97"/>
    <w:rsid w:val="00830DCA"/>
    <w:rsid w:val="008324D8"/>
    <w:rsid w:val="00833234"/>
    <w:rsid w:val="00833DEE"/>
    <w:rsid w:val="00836213"/>
    <w:rsid w:val="00836216"/>
    <w:rsid w:val="00840BC3"/>
    <w:rsid w:val="00842586"/>
    <w:rsid w:val="00842CBD"/>
    <w:rsid w:val="008464E6"/>
    <w:rsid w:val="00846A57"/>
    <w:rsid w:val="0084716A"/>
    <w:rsid w:val="00847277"/>
    <w:rsid w:val="00852FB5"/>
    <w:rsid w:val="0085642D"/>
    <w:rsid w:val="00857A7D"/>
    <w:rsid w:val="00860FF1"/>
    <w:rsid w:val="0086188D"/>
    <w:rsid w:val="0086260B"/>
    <w:rsid w:val="00866244"/>
    <w:rsid w:val="00866B71"/>
    <w:rsid w:val="00872959"/>
    <w:rsid w:val="008736C6"/>
    <w:rsid w:val="00873E76"/>
    <w:rsid w:val="0088247F"/>
    <w:rsid w:val="00885877"/>
    <w:rsid w:val="008861F0"/>
    <w:rsid w:val="008864BC"/>
    <w:rsid w:val="00886FD0"/>
    <w:rsid w:val="00887F50"/>
    <w:rsid w:val="00890E71"/>
    <w:rsid w:val="0089221E"/>
    <w:rsid w:val="00892FE9"/>
    <w:rsid w:val="00894B68"/>
    <w:rsid w:val="008A0770"/>
    <w:rsid w:val="008A08F6"/>
    <w:rsid w:val="008A3405"/>
    <w:rsid w:val="008B056F"/>
    <w:rsid w:val="008B2B9F"/>
    <w:rsid w:val="008B457C"/>
    <w:rsid w:val="008B598A"/>
    <w:rsid w:val="008B5EBB"/>
    <w:rsid w:val="008B68EE"/>
    <w:rsid w:val="008B7278"/>
    <w:rsid w:val="008C0EE7"/>
    <w:rsid w:val="008C41A0"/>
    <w:rsid w:val="008D1544"/>
    <w:rsid w:val="008D1997"/>
    <w:rsid w:val="008D238E"/>
    <w:rsid w:val="008D39B1"/>
    <w:rsid w:val="008D463B"/>
    <w:rsid w:val="008D5F11"/>
    <w:rsid w:val="008D6674"/>
    <w:rsid w:val="008D7F69"/>
    <w:rsid w:val="008E20C6"/>
    <w:rsid w:val="008E2F53"/>
    <w:rsid w:val="008E470D"/>
    <w:rsid w:val="008E6433"/>
    <w:rsid w:val="008F279F"/>
    <w:rsid w:val="008F4A43"/>
    <w:rsid w:val="008F4B64"/>
    <w:rsid w:val="008F5831"/>
    <w:rsid w:val="008F62B5"/>
    <w:rsid w:val="009078C1"/>
    <w:rsid w:val="00914582"/>
    <w:rsid w:val="009145D6"/>
    <w:rsid w:val="00925520"/>
    <w:rsid w:val="00931D9B"/>
    <w:rsid w:val="0093743C"/>
    <w:rsid w:val="00937EE3"/>
    <w:rsid w:val="009406D0"/>
    <w:rsid w:val="00941E8C"/>
    <w:rsid w:val="0094283A"/>
    <w:rsid w:val="0094362A"/>
    <w:rsid w:val="00944A5E"/>
    <w:rsid w:val="009475F8"/>
    <w:rsid w:val="00950F17"/>
    <w:rsid w:val="00953619"/>
    <w:rsid w:val="00955055"/>
    <w:rsid w:val="00960F37"/>
    <w:rsid w:val="00960FC5"/>
    <w:rsid w:val="00962F77"/>
    <w:rsid w:val="00963BAD"/>
    <w:rsid w:val="00965367"/>
    <w:rsid w:val="009727B8"/>
    <w:rsid w:val="00974983"/>
    <w:rsid w:val="00976C70"/>
    <w:rsid w:val="00977382"/>
    <w:rsid w:val="009806A3"/>
    <w:rsid w:val="00981F02"/>
    <w:rsid w:val="00983BFD"/>
    <w:rsid w:val="00986E49"/>
    <w:rsid w:val="009960C5"/>
    <w:rsid w:val="009961D1"/>
    <w:rsid w:val="009A14C6"/>
    <w:rsid w:val="009A1EA9"/>
    <w:rsid w:val="009A507A"/>
    <w:rsid w:val="009A6978"/>
    <w:rsid w:val="009A754C"/>
    <w:rsid w:val="009B79C3"/>
    <w:rsid w:val="009B7F6E"/>
    <w:rsid w:val="009C1DC7"/>
    <w:rsid w:val="009C26E0"/>
    <w:rsid w:val="009C6EB6"/>
    <w:rsid w:val="009C7C0A"/>
    <w:rsid w:val="009D0000"/>
    <w:rsid w:val="009D1F5B"/>
    <w:rsid w:val="009E000F"/>
    <w:rsid w:val="009E1CE4"/>
    <w:rsid w:val="009E2E59"/>
    <w:rsid w:val="009E4D59"/>
    <w:rsid w:val="009E5A5A"/>
    <w:rsid w:val="009F1891"/>
    <w:rsid w:val="009F443A"/>
    <w:rsid w:val="00A031FA"/>
    <w:rsid w:val="00A04165"/>
    <w:rsid w:val="00A04726"/>
    <w:rsid w:val="00A04727"/>
    <w:rsid w:val="00A12D41"/>
    <w:rsid w:val="00A13D17"/>
    <w:rsid w:val="00A23382"/>
    <w:rsid w:val="00A27D97"/>
    <w:rsid w:val="00A3204C"/>
    <w:rsid w:val="00A352A3"/>
    <w:rsid w:val="00A352B6"/>
    <w:rsid w:val="00A365E0"/>
    <w:rsid w:val="00A4102A"/>
    <w:rsid w:val="00A426C4"/>
    <w:rsid w:val="00A469EB"/>
    <w:rsid w:val="00A50F70"/>
    <w:rsid w:val="00A51CA0"/>
    <w:rsid w:val="00A52660"/>
    <w:rsid w:val="00A559F7"/>
    <w:rsid w:val="00A568AF"/>
    <w:rsid w:val="00A63C59"/>
    <w:rsid w:val="00A6447F"/>
    <w:rsid w:val="00A70EA0"/>
    <w:rsid w:val="00A722F2"/>
    <w:rsid w:val="00A81494"/>
    <w:rsid w:val="00A83928"/>
    <w:rsid w:val="00A90F06"/>
    <w:rsid w:val="00A91655"/>
    <w:rsid w:val="00A923D6"/>
    <w:rsid w:val="00A93135"/>
    <w:rsid w:val="00A9755C"/>
    <w:rsid w:val="00AA7FF9"/>
    <w:rsid w:val="00AB64E0"/>
    <w:rsid w:val="00AB6748"/>
    <w:rsid w:val="00AB7618"/>
    <w:rsid w:val="00AC1267"/>
    <w:rsid w:val="00AC17D6"/>
    <w:rsid w:val="00AC22FA"/>
    <w:rsid w:val="00AC42BB"/>
    <w:rsid w:val="00AC65C8"/>
    <w:rsid w:val="00AD6722"/>
    <w:rsid w:val="00AE5DA7"/>
    <w:rsid w:val="00AE6C93"/>
    <w:rsid w:val="00AF174E"/>
    <w:rsid w:val="00AF2EDD"/>
    <w:rsid w:val="00B009CF"/>
    <w:rsid w:val="00B01BDD"/>
    <w:rsid w:val="00B04726"/>
    <w:rsid w:val="00B169CB"/>
    <w:rsid w:val="00B17916"/>
    <w:rsid w:val="00B37B93"/>
    <w:rsid w:val="00B44FD5"/>
    <w:rsid w:val="00B45219"/>
    <w:rsid w:val="00B52B14"/>
    <w:rsid w:val="00B57CEA"/>
    <w:rsid w:val="00B71A21"/>
    <w:rsid w:val="00B7629C"/>
    <w:rsid w:val="00B80E1A"/>
    <w:rsid w:val="00B82036"/>
    <w:rsid w:val="00B824C6"/>
    <w:rsid w:val="00B8373B"/>
    <w:rsid w:val="00B913C6"/>
    <w:rsid w:val="00BA1162"/>
    <w:rsid w:val="00BA2B6C"/>
    <w:rsid w:val="00BA5E2A"/>
    <w:rsid w:val="00BA7488"/>
    <w:rsid w:val="00BB25A5"/>
    <w:rsid w:val="00BB351B"/>
    <w:rsid w:val="00BB673F"/>
    <w:rsid w:val="00BC17F2"/>
    <w:rsid w:val="00BC3CE0"/>
    <w:rsid w:val="00BC6044"/>
    <w:rsid w:val="00BD11FE"/>
    <w:rsid w:val="00BD469E"/>
    <w:rsid w:val="00BD5DDC"/>
    <w:rsid w:val="00BD6356"/>
    <w:rsid w:val="00BD6E77"/>
    <w:rsid w:val="00BE036A"/>
    <w:rsid w:val="00BE08C4"/>
    <w:rsid w:val="00BE0DA1"/>
    <w:rsid w:val="00BE3344"/>
    <w:rsid w:val="00BE3876"/>
    <w:rsid w:val="00BF6F99"/>
    <w:rsid w:val="00BF7050"/>
    <w:rsid w:val="00C0318A"/>
    <w:rsid w:val="00C13643"/>
    <w:rsid w:val="00C1717F"/>
    <w:rsid w:val="00C17F4D"/>
    <w:rsid w:val="00C21687"/>
    <w:rsid w:val="00C2237E"/>
    <w:rsid w:val="00C24502"/>
    <w:rsid w:val="00C2499B"/>
    <w:rsid w:val="00C270A4"/>
    <w:rsid w:val="00C305CB"/>
    <w:rsid w:val="00C365D0"/>
    <w:rsid w:val="00C42D42"/>
    <w:rsid w:val="00C43E2E"/>
    <w:rsid w:val="00C6482C"/>
    <w:rsid w:val="00C65459"/>
    <w:rsid w:val="00C71468"/>
    <w:rsid w:val="00C73762"/>
    <w:rsid w:val="00C86409"/>
    <w:rsid w:val="00C87582"/>
    <w:rsid w:val="00C92520"/>
    <w:rsid w:val="00C92926"/>
    <w:rsid w:val="00C93FDF"/>
    <w:rsid w:val="00C96AD2"/>
    <w:rsid w:val="00CB4B02"/>
    <w:rsid w:val="00CB5CB1"/>
    <w:rsid w:val="00CC4D6C"/>
    <w:rsid w:val="00CD1613"/>
    <w:rsid w:val="00CD49F7"/>
    <w:rsid w:val="00CE359A"/>
    <w:rsid w:val="00CE399E"/>
    <w:rsid w:val="00CE7A42"/>
    <w:rsid w:val="00CF55D2"/>
    <w:rsid w:val="00CF5BB3"/>
    <w:rsid w:val="00CF774A"/>
    <w:rsid w:val="00D06221"/>
    <w:rsid w:val="00D10176"/>
    <w:rsid w:val="00D1023A"/>
    <w:rsid w:val="00D10AE6"/>
    <w:rsid w:val="00D12756"/>
    <w:rsid w:val="00D165F6"/>
    <w:rsid w:val="00D21F4B"/>
    <w:rsid w:val="00D25575"/>
    <w:rsid w:val="00D3312C"/>
    <w:rsid w:val="00D35013"/>
    <w:rsid w:val="00D37287"/>
    <w:rsid w:val="00D4535C"/>
    <w:rsid w:val="00D46B64"/>
    <w:rsid w:val="00D514BA"/>
    <w:rsid w:val="00D5642C"/>
    <w:rsid w:val="00D573A4"/>
    <w:rsid w:val="00D619AD"/>
    <w:rsid w:val="00D61CD1"/>
    <w:rsid w:val="00D71855"/>
    <w:rsid w:val="00D77874"/>
    <w:rsid w:val="00D80882"/>
    <w:rsid w:val="00D82822"/>
    <w:rsid w:val="00D82846"/>
    <w:rsid w:val="00D8638F"/>
    <w:rsid w:val="00D86F45"/>
    <w:rsid w:val="00D87E12"/>
    <w:rsid w:val="00D90CF5"/>
    <w:rsid w:val="00D915B7"/>
    <w:rsid w:val="00D94EA2"/>
    <w:rsid w:val="00D967BE"/>
    <w:rsid w:val="00D97EC4"/>
    <w:rsid w:val="00DA43EA"/>
    <w:rsid w:val="00DB3137"/>
    <w:rsid w:val="00DB603D"/>
    <w:rsid w:val="00DB63DA"/>
    <w:rsid w:val="00DC2191"/>
    <w:rsid w:val="00DC56F9"/>
    <w:rsid w:val="00DC5E23"/>
    <w:rsid w:val="00DD6E01"/>
    <w:rsid w:val="00DE660E"/>
    <w:rsid w:val="00DE6BBD"/>
    <w:rsid w:val="00DF40A7"/>
    <w:rsid w:val="00E00D49"/>
    <w:rsid w:val="00E01ED6"/>
    <w:rsid w:val="00E0362D"/>
    <w:rsid w:val="00E03CA7"/>
    <w:rsid w:val="00E102C6"/>
    <w:rsid w:val="00E11EB1"/>
    <w:rsid w:val="00E1276E"/>
    <w:rsid w:val="00E13916"/>
    <w:rsid w:val="00E20D6D"/>
    <w:rsid w:val="00E243A0"/>
    <w:rsid w:val="00E30373"/>
    <w:rsid w:val="00E30E1A"/>
    <w:rsid w:val="00E3434F"/>
    <w:rsid w:val="00E35576"/>
    <w:rsid w:val="00E37F12"/>
    <w:rsid w:val="00E40794"/>
    <w:rsid w:val="00E47543"/>
    <w:rsid w:val="00E47A72"/>
    <w:rsid w:val="00E53651"/>
    <w:rsid w:val="00E55347"/>
    <w:rsid w:val="00E570CE"/>
    <w:rsid w:val="00E63EF3"/>
    <w:rsid w:val="00E651D1"/>
    <w:rsid w:val="00E67543"/>
    <w:rsid w:val="00E72289"/>
    <w:rsid w:val="00E741E1"/>
    <w:rsid w:val="00E82FEE"/>
    <w:rsid w:val="00E87277"/>
    <w:rsid w:val="00EA0B80"/>
    <w:rsid w:val="00EA4496"/>
    <w:rsid w:val="00EB4F9F"/>
    <w:rsid w:val="00EC0BB5"/>
    <w:rsid w:val="00EC117B"/>
    <w:rsid w:val="00EC6BC7"/>
    <w:rsid w:val="00EC7986"/>
    <w:rsid w:val="00ED10A2"/>
    <w:rsid w:val="00ED4FC9"/>
    <w:rsid w:val="00ED636B"/>
    <w:rsid w:val="00EE0971"/>
    <w:rsid w:val="00EE1A7B"/>
    <w:rsid w:val="00EE7DF8"/>
    <w:rsid w:val="00EF3C35"/>
    <w:rsid w:val="00EF550F"/>
    <w:rsid w:val="00F0033D"/>
    <w:rsid w:val="00F01543"/>
    <w:rsid w:val="00F05B0B"/>
    <w:rsid w:val="00F110FB"/>
    <w:rsid w:val="00F12882"/>
    <w:rsid w:val="00F14184"/>
    <w:rsid w:val="00F21C73"/>
    <w:rsid w:val="00F25193"/>
    <w:rsid w:val="00F30377"/>
    <w:rsid w:val="00F30EF1"/>
    <w:rsid w:val="00F322B7"/>
    <w:rsid w:val="00F40923"/>
    <w:rsid w:val="00F41F96"/>
    <w:rsid w:val="00F43ADB"/>
    <w:rsid w:val="00F4497D"/>
    <w:rsid w:val="00F44AE8"/>
    <w:rsid w:val="00F456E5"/>
    <w:rsid w:val="00F57A5A"/>
    <w:rsid w:val="00F61F95"/>
    <w:rsid w:val="00F64529"/>
    <w:rsid w:val="00F825BD"/>
    <w:rsid w:val="00F82643"/>
    <w:rsid w:val="00F82973"/>
    <w:rsid w:val="00F82BCC"/>
    <w:rsid w:val="00F84D56"/>
    <w:rsid w:val="00F85B8C"/>
    <w:rsid w:val="00FA0B3F"/>
    <w:rsid w:val="00FA0D51"/>
    <w:rsid w:val="00FA15D1"/>
    <w:rsid w:val="00FA1F8B"/>
    <w:rsid w:val="00FA3991"/>
    <w:rsid w:val="00FA4EF4"/>
    <w:rsid w:val="00FA52FD"/>
    <w:rsid w:val="00FC0B2B"/>
    <w:rsid w:val="00FC22B1"/>
    <w:rsid w:val="00FC6849"/>
    <w:rsid w:val="00FC6FA8"/>
    <w:rsid w:val="00FD1174"/>
    <w:rsid w:val="00FD172C"/>
    <w:rsid w:val="00FD594F"/>
    <w:rsid w:val="00FD64A5"/>
    <w:rsid w:val="00FD6F09"/>
    <w:rsid w:val="00FF0684"/>
    <w:rsid w:val="00FF28FC"/>
    <w:rsid w:val="00FF3A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965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rFonts w:ascii="Arial" w:hAnsi="Arial"/>
      <w:sz w:val="22"/>
      <w:u w:val="single"/>
    </w:rPr>
  </w:style>
  <w:style w:type="paragraph" w:styleId="Heading2">
    <w:name w:val="heading 2"/>
    <w:basedOn w:val="Normal"/>
    <w:next w:val="Normal"/>
    <w:qFormat/>
    <w:pPr>
      <w:keepNext/>
      <w:ind w:left="674" w:hanging="674"/>
      <w:jc w:val="center"/>
      <w:outlineLvl w:val="1"/>
    </w:pPr>
    <w:rPr>
      <w:rFonts w:ascii="Arial" w:hAnsi="Arial"/>
      <w:sz w:val="22"/>
      <w:u w:val="single"/>
    </w:rPr>
  </w:style>
  <w:style w:type="paragraph" w:styleId="Heading3">
    <w:name w:val="heading 3"/>
    <w:basedOn w:val="Normal"/>
    <w:next w:val="Normal"/>
    <w:qFormat/>
    <w:pPr>
      <w:keepNext/>
      <w:jc w:val="right"/>
      <w:outlineLvl w:val="2"/>
    </w:pPr>
    <w:rPr>
      <w:rFonts w:ascii="Arial" w:hAnsi="Arial"/>
      <w:sz w:val="22"/>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tabs>
        <w:tab w:val="right" w:pos="5040"/>
      </w:tabs>
      <w:ind w:left="2502" w:hanging="720"/>
      <w:jc w:val="right"/>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sz w:val="22"/>
    </w:rPr>
  </w:style>
  <w:style w:type="paragraph" w:styleId="DocumentMap">
    <w:name w:val="Document Map"/>
    <w:basedOn w:val="Normal"/>
    <w:semiHidden/>
    <w:pPr>
      <w:shd w:val="clear" w:color="auto" w:fill="000080"/>
    </w:pPr>
    <w:rPr>
      <w:rFonts w:ascii="Tahoma" w:hAnsi="Tahoma"/>
    </w:rPr>
  </w:style>
  <w:style w:type="paragraph" w:styleId="Title">
    <w:name w:val="Title"/>
    <w:basedOn w:val="Normal"/>
    <w:qFormat/>
    <w:pPr>
      <w:spacing w:before="240" w:after="60"/>
      <w:jc w:val="center"/>
      <w:outlineLvl w:val="0"/>
    </w:pPr>
    <w:rPr>
      <w:rFonts w:ascii="Arial" w:hAnsi="Arial"/>
      <w:b/>
      <w:kern w:val="28"/>
      <w:sz w:val="32"/>
    </w:rPr>
  </w:style>
  <w:style w:type="paragraph" w:styleId="BodyText2">
    <w:name w:val="Body Text 2"/>
    <w:basedOn w:val="Normal"/>
    <w:rPr>
      <w:sz w:val="24"/>
    </w:rPr>
  </w:style>
  <w:style w:type="paragraph" w:styleId="Header">
    <w:name w:val="header"/>
    <w:basedOn w:val="Normal"/>
    <w:link w:val="HeaderChar"/>
    <w:uiPriority w:val="99"/>
    <w:rsid w:val="00C96AD2"/>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9078C1"/>
    <w:rPr>
      <w:rFonts w:ascii="Tahoma" w:hAnsi="Tahoma" w:cs="Tahoma"/>
      <w:sz w:val="16"/>
      <w:szCs w:val="16"/>
    </w:rPr>
  </w:style>
  <w:style w:type="character" w:customStyle="1" w:styleId="HeaderChar">
    <w:name w:val="Header Char"/>
    <w:basedOn w:val="DefaultParagraphFont"/>
    <w:link w:val="Header"/>
    <w:uiPriority w:val="99"/>
    <w:rsid w:val="00C96AD2"/>
  </w:style>
  <w:style w:type="table" w:styleId="TableGrid">
    <w:name w:val="Table Grid"/>
    <w:basedOn w:val="TableNormal"/>
    <w:rsid w:val="007F54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E0378"/>
    <w:rPr>
      <w:sz w:val="16"/>
      <w:szCs w:val="16"/>
    </w:rPr>
  </w:style>
  <w:style w:type="paragraph" w:styleId="CommentText">
    <w:name w:val="annotation text"/>
    <w:basedOn w:val="Normal"/>
    <w:link w:val="CommentTextChar"/>
    <w:rsid w:val="005E0378"/>
  </w:style>
  <w:style w:type="character" w:customStyle="1" w:styleId="CommentTextChar">
    <w:name w:val="Comment Text Char"/>
    <w:basedOn w:val="DefaultParagraphFont"/>
    <w:link w:val="CommentText"/>
    <w:rsid w:val="005E0378"/>
  </w:style>
  <w:style w:type="paragraph" w:styleId="CommentSubject">
    <w:name w:val="annotation subject"/>
    <w:basedOn w:val="CommentText"/>
    <w:next w:val="CommentText"/>
    <w:link w:val="CommentSubjectChar"/>
    <w:rsid w:val="005E0378"/>
    <w:rPr>
      <w:b/>
      <w:bCs/>
    </w:rPr>
  </w:style>
  <w:style w:type="character" w:customStyle="1" w:styleId="CommentSubjectChar">
    <w:name w:val="Comment Subject Char"/>
    <w:basedOn w:val="CommentTextChar"/>
    <w:link w:val="CommentSubject"/>
    <w:rsid w:val="005E03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508120">
      <w:bodyDiv w:val="1"/>
      <w:marLeft w:val="0"/>
      <w:marRight w:val="0"/>
      <w:marTop w:val="0"/>
      <w:marBottom w:val="0"/>
      <w:divBdr>
        <w:top w:val="none" w:sz="0" w:space="0" w:color="auto"/>
        <w:left w:val="none" w:sz="0" w:space="0" w:color="auto"/>
        <w:bottom w:val="none" w:sz="0" w:space="0" w:color="auto"/>
        <w:right w:val="none" w:sz="0" w:space="0" w:color="auto"/>
      </w:divBdr>
    </w:div>
    <w:div w:id="1208688140">
      <w:bodyDiv w:val="1"/>
      <w:marLeft w:val="0"/>
      <w:marRight w:val="0"/>
      <w:marTop w:val="0"/>
      <w:marBottom w:val="0"/>
      <w:divBdr>
        <w:top w:val="none" w:sz="0" w:space="0" w:color="auto"/>
        <w:left w:val="none" w:sz="0" w:space="0" w:color="auto"/>
        <w:bottom w:val="none" w:sz="0" w:space="0" w:color="auto"/>
        <w:right w:val="none" w:sz="0" w:space="0" w:color="auto"/>
      </w:divBdr>
    </w:div>
    <w:div w:id="1333216433">
      <w:bodyDiv w:val="1"/>
      <w:marLeft w:val="0"/>
      <w:marRight w:val="0"/>
      <w:marTop w:val="0"/>
      <w:marBottom w:val="0"/>
      <w:divBdr>
        <w:top w:val="none" w:sz="0" w:space="0" w:color="auto"/>
        <w:left w:val="none" w:sz="0" w:space="0" w:color="auto"/>
        <w:bottom w:val="none" w:sz="0" w:space="0" w:color="auto"/>
        <w:right w:val="none" w:sz="0" w:space="0" w:color="auto"/>
      </w:divBdr>
    </w:div>
    <w:div w:id="1707951502">
      <w:bodyDiv w:val="1"/>
      <w:marLeft w:val="0"/>
      <w:marRight w:val="0"/>
      <w:marTop w:val="0"/>
      <w:marBottom w:val="0"/>
      <w:divBdr>
        <w:top w:val="none" w:sz="0" w:space="0" w:color="auto"/>
        <w:left w:val="none" w:sz="0" w:space="0" w:color="auto"/>
        <w:bottom w:val="none" w:sz="0" w:space="0" w:color="auto"/>
        <w:right w:val="none" w:sz="0" w:space="0" w:color="auto"/>
      </w:divBdr>
    </w:div>
    <w:div w:id="18774232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2427</Words>
  <Characters>13839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2022-05-23T04:29:00Z</dcterms:created>
  <dcterms:modified xsi:type="dcterms:W3CDTF">2022-06-21T14:19:00Z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