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230"/>
        <w:gridCol w:w="3097"/>
        <w:gridCol w:w="3728"/>
      </w:tblGrid>
      <w:tr w:rsidR="000134FD" w14:paraId="59B7A7AE" w14:textId="77777777" w:rsidTr="007A5BF5">
        <w:trPr>
          <w:trHeight w:val="1681"/>
          <w:jc w:val="center"/>
        </w:trPr>
        <w:tc>
          <w:tcPr>
            <w:tcW w:w="4230" w:type="dxa"/>
            <w:hideMark/>
          </w:tcPr>
          <w:p w14:paraId="2BEFA256" w14:textId="22BB50AF" w:rsidR="000134FD" w:rsidRDefault="004875CE" w:rsidP="007A5BF5">
            <w:pPr>
              <w:spacing w:line="276" w:lineRule="auto"/>
              <w:rPr>
                <w:rStyle w:val="Strong"/>
                <w:rFonts w:ascii="Arial Black" w:hAnsi="Arial Black"/>
                <w:sz w:val="16"/>
                <w:szCs w:val="16"/>
              </w:rPr>
            </w:pPr>
            <w:r>
              <w:rPr>
                <w:rFonts w:ascii="Arial Black" w:hAnsi="Arial Black"/>
                <w:sz w:val="16"/>
                <w:szCs w:val="16"/>
              </w:rPr>
              <w:t>,</w:t>
            </w:r>
            <w:r w:rsidR="000134FD">
              <w:rPr>
                <w:rFonts w:ascii="Arial Black" w:hAnsi="Arial Black"/>
                <w:sz w:val="16"/>
                <w:szCs w:val="16"/>
              </w:rPr>
              <w:fldChar w:fldCharType="begin"/>
            </w:r>
            <w:r w:rsidR="000134FD">
              <w:rPr>
                <w:rFonts w:ascii="Arial Black" w:hAnsi="Arial Black"/>
                <w:sz w:val="16"/>
                <w:szCs w:val="16"/>
              </w:rPr>
              <w:instrText>PRIVATE</w:instrText>
            </w:r>
            <w:r w:rsidR="000134FD">
              <w:rPr>
                <w:rFonts w:ascii="Arial Black" w:hAnsi="Arial Black"/>
                <w:sz w:val="16"/>
                <w:szCs w:val="16"/>
              </w:rPr>
              <w:fldChar w:fldCharType="end"/>
            </w:r>
            <w:r w:rsidR="000134FD">
              <w:rPr>
                <w:rStyle w:val="Strong"/>
                <w:rFonts w:ascii="Arial Black" w:hAnsi="Arial Black"/>
                <w:sz w:val="16"/>
                <w:szCs w:val="16"/>
              </w:rPr>
              <w:t>COMMISSIONERS:</w:t>
            </w:r>
          </w:p>
          <w:p w14:paraId="23338DF1" w14:textId="77777777" w:rsidR="000134FD" w:rsidRDefault="000134FD" w:rsidP="007A5BF5">
            <w:pPr>
              <w:spacing w:line="276" w:lineRule="auto"/>
              <w:rPr>
                <w:rStyle w:val="Strong"/>
                <w:rFonts w:ascii="Arial Black" w:hAnsi="Arial Black"/>
                <w:sz w:val="16"/>
                <w:szCs w:val="16"/>
              </w:rPr>
            </w:pPr>
          </w:p>
          <w:p w14:paraId="0BD92215" w14:textId="77777777" w:rsidR="000134FD" w:rsidRDefault="000134FD" w:rsidP="007A5BF5">
            <w:pPr>
              <w:spacing w:line="276" w:lineRule="auto"/>
              <w:rPr>
                <w:rStyle w:val="Strong"/>
                <w:rFonts w:ascii="Arial Black" w:hAnsi="Arial Black"/>
                <w:sz w:val="16"/>
                <w:szCs w:val="16"/>
              </w:rPr>
            </w:pPr>
            <w:r>
              <w:rPr>
                <w:rStyle w:val="Strong"/>
                <w:rFonts w:ascii="Arial Black" w:hAnsi="Arial Black"/>
                <w:sz w:val="16"/>
                <w:szCs w:val="16"/>
              </w:rPr>
              <w:t xml:space="preserve">TRICIA PRIDEMORE, Chairman </w:t>
            </w:r>
          </w:p>
          <w:p w14:paraId="23FD36B4" w14:textId="77777777" w:rsidR="000134FD" w:rsidRDefault="000134FD" w:rsidP="007A5BF5">
            <w:pPr>
              <w:spacing w:line="276" w:lineRule="auto"/>
              <w:rPr>
                <w:rStyle w:val="Strong"/>
                <w:rFonts w:ascii="Arial Black" w:hAnsi="Arial Black"/>
                <w:sz w:val="16"/>
                <w:szCs w:val="16"/>
              </w:rPr>
            </w:pPr>
            <w:r>
              <w:rPr>
                <w:rStyle w:val="Strong"/>
                <w:rFonts w:ascii="Arial Black" w:hAnsi="Arial Black"/>
                <w:sz w:val="16"/>
                <w:szCs w:val="16"/>
              </w:rPr>
              <w:t>TIM G. ECHOLS, Vice-Chairman</w:t>
            </w:r>
          </w:p>
          <w:p w14:paraId="44285E46" w14:textId="77777777" w:rsidR="000134FD" w:rsidRDefault="000134FD" w:rsidP="007A5BF5">
            <w:pPr>
              <w:spacing w:line="276" w:lineRule="auto"/>
              <w:rPr>
                <w:rStyle w:val="Strong"/>
                <w:rFonts w:ascii="Arial Black" w:hAnsi="Arial Black"/>
                <w:sz w:val="16"/>
                <w:szCs w:val="16"/>
              </w:rPr>
            </w:pPr>
            <w:r>
              <w:rPr>
                <w:rStyle w:val="Strong"/>
                <w:rFonts w:ascii="Arial Black" w:hAnsi="Arial Black"/>
                <w:sz w:val="16"/>
                <w:szCs w:val="16"/>
              </w:rPr>
              <w:t xml:space="preserve">FITZ JOHNSON </w:t>
            </w:r>
          </w:p>
          <w:p w14:paraId="5BB576D3" w14:textId="77777777" w:rsidR="000134FD" w:rsidRDefault="000134FD" w:rsidP="007A5BF5">
            <w:pPr>
              <w:spacing w:line="276" w:lineRule="auto"/>
            </w:pPr>
            <w:r>
              <w:rPr>
                <w:rStyle w:val="Strong"/>
                <w:rFonts w:ascii="Arial Black" w:hAnsi="Arial Black"/>
                <w:sz w:val="16"/>
                <w:szCs w:val="16"/>
              </w:rPr>
              <w:t xml:space="preserve">LAUREN “BUBBA” McDONALD                                  </w:t>
            </w:r>
            <w:r>
              <w:rPr>
                <w:rFonts w:ascii="Arial Black" w:hAnsi="Arial Black"/>
                <w:b/>
                <w:sz w:val="16"/>
                <w:szCs w:val="16"/>
              </w:rPr>
              <w:br/>
            </w:r>
            <w:r>
              <w:rPr>
                <w:rStyle w:val="Strong"/>
                <w:rFonts w:ascii="Arial Black" w:hAnsi="Arial Black"/>
                <w:sz w:val="16"/>
                <w:szCs w:val="16"/>
              </w:rPr>
              <w:t xml:space="preserve">JASON SHAW                          </w:t>
            </w:r>
            <w:r>
              <w:rPr>
                <w:rFonts w:ascii="Arial Black" w:hAnsi="Arial Black"/>
                <w:b/>
                <w:sz w:val="16"/>
                <w:szCs w:val="16"/>
              </w:rPr>
              <w:br/>
            </w:r>
          </w:p>
        </w:tc>
        <w:tc>
          <w:tcPr>
            <w:tcW w:w="3097" w:type="dxa"/>
            <w:hideMark/>
          </w:tcPr>
          <w:p w14:paraId="5B9C5CDC" w14:textId="77777777" w:rsidR="000134FD" w:rsidRDefault="000134FD" w:rsidP="007A5BF5">
            <w:pPr>
              <w:spacing w:line="276" w:lineRule="auto"/>
              <w:jc w:val="center"/>
            </w:pPr>
            <w:r>
              <w:rPr>
                <w:noProof/>
              </w:rPr>
              <w:drawing>
                <wp:inline distT="0" distB="0" distL="0" distR="0" wp14:anchorId="6296B7DA" wp14:editId="4B18068E">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18A34675" w14:textId="77777777" w:rsidR="000134FD" w:rsidRDefault="000134FD" w:rsidP="007A5BF5">
            <w:pPr>
              <w:spacing w:line="276" w:lineRule="auto"/>
              <w:jc w:val="right"/>
              <w:rPr>
                <w:rFonts w:ascii="Arial Black" w:hAnsi="Arial Black"/>
                <w:b/>
                <w:sz w:val="16"/>
                <w:szCs w:val="16"/>
              </w:rPr>
            </w:pPr>
          </w:p>
          <w:p w14:paraId="4AD2A482" w14:textId="77777777" w:rsidR="000134FD" w:rsidRDefault="000134FD" w:rsidP="007A5BF5">
            <w:pPr>
              <w:spacing w:line="276" w:lineRule="auto"/>
              <w:jc w:val="right"/>
              <w:rPr>
                <w:rFonts w:ascii="Arial Black" w:hAnsi="Arial Black"/>
                <w:b/>
                <w:sz w:val="16"/>
                <w:szCs w:val="16"/>
              </w:rPr>
            </w:pPr>
          </w:p>
          <w:p w14:paraId="0DFDFD4D" w14:textId="77777777" w:rsidR="000134FD" w:rsidRDefault="000134FD" w:rsidP="007A5BF5">
            <w:pPr>
              <w:spacing w:line="276" w:lineRule="auto"/>
              <w:jc w:val="right"/>
              <w:rPr>
                <w:rFonts w:ascii="Arial Black" w:hAnsi="Arial Black"/>
                <w:b/>
                <w:sz w:val="16"/>
                <w:szCs w:val="16"/>
              </w:rPr>
            </w:pPr>
            <w:r>
              <w:rPr>
                <w:rFonts w:ascii="Arial Black" w:hAnsi="Arial Black"/>
                <w:b/>
                <w:sz w:val="16"/>
                <w:szCs w:val="16"/>
              </w:rPr>
              <w:t>REECE McALISTER </w:t>
            </w:r>
          </w:p>
          <w:p w14:paraId="63EB1FEE" w14:textId="77777777" w:rsidR="000134FD" w:rsidRDefault="000134FD" w:rsidP="007A5BF5">
            <w:pPr>
              <w:spacing w:line="276" w:lineRule="auto"/>
              <w:jc w:val="right"/>
              <w:rPr>
                <w:rFonts w:ascii="Arial Black" w:hAnsi="Arial Black"/>
                <w:b/>
                <w:sz w:val="16"/>
                <w:szCs w:val="16"/>
              </w:rPr>
            </w:pPr>
            <w:r>
              <w:rPr>
                <w:rFonts w:ascii="Arial Black" w:hAnsi="Arial Black"/>
                <w:b/>
                <w:sz w:val="16"/>
                <w:szCs w:val="16"/>
              </w:rPr>
              <w:t>EXECUTIVE DIRECTOR</w:t>
            </w:r>
          </w:p>
          <w:p w14:paraId="4E34C6B3" w14:textId="77777777" w:rsidR="000134FD" w:rsidRDefault="000134FD" w:rsidP="007A5BF5">
            <w:pPr>
              <w:spacing w:line="276" w:lineRule="auto"/>
              <w:jc w:val="right"/>
              <w:rPr>
                <w:rFonts w:ascii="Arial Black" w:hAnsi="Arial Black"/>
                <w:sz w:val="16"/>
                <w:szCs w:val="16"/>
              </w:rPr>
            </w:pPr>
            <w:r>
              <w:rPr>
                <w:rFonts w:ascii="Arial Black" w:hAnsi="Arial Black"/>
                <w:b/>
                <w:sz w:val="16"/>
                <w:szCs w:val="16"/>
              </w:rPr>
              <w:t xml:space="preserve"> </w:t>
            </w:r>
            <w:r>
              <w:rPr>
                <w:rFonts w:ascii="Arial Black" w:hAnsi="Arial Black"/>
                <w:b/>
                <w:sz w:val="16"/>
                <w:szCs w:val="16"/>
              </w:rPr>
              <w:br/>
              <w:t>SALLIE TANNER</w:t>
            </w:r>
            <w:r>
              <w:rPr>
                <w:rFonts w:ascii="Arial Black" w:hAnsi="Arial Black"/>
                <w:b/>
                <w:sz w:val="16"/>
                <w:szCs w:val="16"/>
              </w:rPr>
              <w:br/>
              <w:t>EXECUTIVE SECRETARY</w:t>
            </w:r>
          </w:p>
        </w:tc>
      </w:tr>
      <w:tr w:rsidR="000134FD" w14:paraId="5EFDC67B" w14:textId="77777777" w:rsidTr="007A5BF5">
        <w:trPr>
          <w:trHeight w:val="772"/>
          <w:jc w:val="center"/>
        </w:trPr>
        <w:tc>
          <w:tcPr>
            <w:tcW w:w="11055" w:type="dxa"/>
            <w:gridSpan w:val="3"/>
            <w:hideMark/>
          </w:tcPr>
          <w:p w14:paraId="75A89234" w14:textId="77777777" w:rsidR="000134FD" w:rsidRDefault="000134FD" w:rsidP="007A5BF5">
            <w:pPr>
              <w:pStyle w:val="Heading1"/>
              <w:spacing w:line="276" w:lineRule="auto"/>
              <w:rPr>
                <w:rFonts w:ascii="Old English Text MT" w:hAnsi="Old English Text MT"/>
                <w:sz w:val="42"/>
              </w:rPr>
            </w:pPr>
            <w:r>
              <w:rPr>
                <w:rFonts w:ascii="Old English Text MT" w:hAnsi="Old English Text MT"/>
                <w:sz w:val="42"/>
              </w:rPr>
              <w:t>Georgia Public Service Commission</w:t>
            </w:r>
          </w:p>
        </w:tc>
      </w:tr>
      <w:tr w:rsidR="000134FD" w14:paraId="7F42E577" w14:textId="77777777" w:rsidTr="007A5BF5">
        <w:trPr>
          <w:jc w:val="center"/>
        </w:trPr>
        <w:tc>
          <w:tcPr>
            <w:tcW w:w="4230" w:type="dxa"/>
            <w:hideMark/>
          </w:tcPr>
          <w:p w14:paraId="48B4449C" w14:textId="77777777" w:rsidR="000134FD" w:rsidRDefault="000134FD" w:rsidP="007A5BF5">
            <w:pPr>
              <w:spacing w:line="276" w:lineRule="auto"/>
              <w:rPr>
                <w:rFonts w:cs="Arial"/>
                <w:b/>
                <w:bCs/>
                <w:sz w:val="17"/>
                <w:szCs w:val="17"/>
              </w:rPr>
            </w:pPr>
            <w:r>
              <w:rPr>
                <w:rFonts w:cs="Arial"/>
                <w:b/>
                <w:bCs/>
                <w:sz w:val="17"/>
                <w:szCs w:val="17"/>
              </w:rPr>
              <w:t xml:space="preserve">(404) 656-4501  </w:t>
            </w:r>
          </w:p>
          <w:p w14:paraId="46B8EC0A" w14:textId="77777777" w:rsidR="000134FD" w:rsidRDefault="000134FD" w:rsidP="007A5BF5">
            <w:pPr>
              <w:spacing w:line="276" w:lineRule="auto"/>
              <w:rPr>
                <w:rFonts w:cs="Arial"/>
                <w:b/>
                <w:bCs/>
              </w:rPr>
            </w:pPr>
            <w:r>
              <w:rPr>
                <w:rFonts w:cs="Arial"/>
                <w:b/>
                <w:bCs/>
                <w:sz w:val="17"/>
                <w:szCs w:val="17"/>
              </w:rPr>
              <w:t>(800) 282-5813</w:t>
            </w:r>
          </w:p>
        </w:tc>
        <w:tc>
          <w:tcPr>
            <w:tcW w:w="3097" w:type="dxa"/>
            <w:hideMark/>
          </w:tcPr>
          <w:p w14:paraId="3F440D88" w14:textId="77777777" w:rsidR="000134FD" w:rsidRDefault="000134FD" w:rsidP="007A5BF5">
            <w:pPr>
              <w:spacing w:line="276" w:lineRule="auto"/>
              <w:rPr>
                <w:rFonts w:cs="Arial"/>
                <w:b/>
                <w:sz w:val="17"/>
                <w:szCs w:val="17"/>
              </w:rPr>
            </w:pPr>
            <w:r>
              <w:rPr>
                <w:rFonts w:cs="Arial"/>
                <w:b/>
                <w:sz w:val="17"/>
                <w:szCs w:val="17"/>
              </w:rPr>
              <w:t>244 WASHINGTON STREET, SW</w:t>
            </w:r>
            <w:r>
              <w:rPr>
                <w:rFonts w:cs="Arial"/>
                <w:b/>
                <w:sz w:val="17"/>
                <w:szCs w:val="17"/>
              </w:rPr>
              <w:br/>
              <w:t>ATLANTA, GEORGIA 30334-5701</w:t>
            </w:r>
          </w:p>
        </w:tc>
        <w:tc>
          <w:tcPr>
            <w:tcW w:w="3728" w:type="dxa"/>
            <w:hideMark/>
          </w:tcPr>
          <w:p w14:paraId="30C7E257" w14:textId="77777777" w:rsidR="000134FD" w:rsidRDefault="000134FD" w:rsidP="007A5BF5">
            <w:pPr>
              <w:spacing w:line="276" w:lineRule="auto"/>
              <w:jc w:val="right"/>
              <w:rPr>
                <w:rFonts w:cs="Arial"/>
                <w:b/>
                <w:bCs/>
              </w:rPr>
            </w:pPr>
            <w:r>
              <w:rPr>
                <w:rFonts w:cs="Arial"/>
                <w:b/>
                <w:bCs/>
                <w:sz w:val="17"/>
                <w:szCs w:val="17"/>
              </w:rPr>
              <w:t>FAX:  (404) 656-2341                   www.psc.state.ga.us</w:t>
            </w:r>
          </w:p>
        </w:tc>
      </w:tr>
    </w:tbl>
    <w:p w14:paraId="4469F978" w14:textId="77777777" w:rsidR="002A3623" w:rsidRDefault="00930D35"/>
    <w:p w14:paraId="30945885" w14:textId="77777777" w:rsidR="000134FD" w:rsidRDefault="000134FD"/>
    <w:p w14:paraId="4614BDAF" w14:textId="77777777" w:rsidR="005356B9" w:rsidRDefault="005356B9" w:rsidP="005356B9">
      <w:pPr>
        <w:spacing w:line="360" w:lineRule="auto"/>
        <w:jc w:val="both"/>
        <w:rPr>
          <w:b/>
          <w:bCs/>
        </w:rPr>
      </w:pPr>
      <w:r>
        <w:rPr>
          <w:b/>
          <w:bCs/>
        </w:rPr>
        <w:t>Docket No. 4822:</w:t>
      </w:r>
      <w:r>
        <w:rPr>
          <w:b/>
          <w:bCs/>
        </w:rPr>
        <w:tab/>
        <w:t>Capacity and Energy Payments to Cogenerators under PURPA</w:t>
      </w:r>
    </w:p>
    <w:p w14:paraId="24BDB479" w14:textId="77777777" w:rsidR="005356B9" w:rsidRDefault="005356B9" w:rsidP="005356B9">
      <w:pPr>
        <w:spacing w:line="360" w:lineRule="auto"/>
        <w:jc w:val="both"/>
        <w:rPr>
          <w:b/>
          <w:bCs/>
        </w:rPr>
      </w:pPr>
      <w:r>
        <w:rPr>
          <w:b/>
          <w:bCs/>
        </w:rPr>
        <w:t>Docket No. 16573:</w:t>
      </w:r>
      <w:r>
        <w:rPr>
          <w:b/>
          <w:bCs/>
        </w:rPr>
        <w:tab/>
        <w:t>Georgia Power Company’s Green Energy Program</w:t>
      </w:r>
    </w:p>
    <w:p w14:paraId="1CC14DE4" w14:textId="77777777" w:rsidR="000134FD" w:rsidRPr="0047692F" w:rsidRDefault="005356B9" w:rsidP="005356B9">
      <w:pPr>
        <w:spacing w:line="360" w:lineRule="auto"/>
        <w:ind w:left="2160" w:hanging="2160"/>
        <w:jc w:val="both"/>
      </w:pPr>
      <w:r>
        <w:rPr>
          <w:b/>
          <w:bCs/>
        </w:rPr>
        <w:t>Docket No. 19279:</w:t>
      </w:r>
      <w:r>
        <w:rPr>
          <w:b/>
          <w:bCs/>
        </w:rPr>
        <w:tab/>
        <w:t>Biomass Gas &amp; Electric, LLC’s Petition to Establish Docket Regarding Forsyth County Renewable Energy Plant</w:t>
      </w:r>
    </w:p>
    <w:p w14:paraId="3ED5E5B1" w14:textId="77777777" w:rsidR="000134FD" w:rsidRPr="0047692F" w:rsidRDefault="000134FD" w:rsidP="000134FD">
      <w:pPr>
        <w:rPr>
          <w:b/>
        </w:rPr>
      </w:pPr>
    </w:p>
    <w:p w14:paraId="2ED9842E" w14:textId="1E5CA920" w:rsidR="000134FD" w:rsidRDefault="000134FD" w:rsidP="000134FD">
      <w:pPr>
        <w:jc w:val="center"/>
        <w:rPr>
          <w:b/>
        </w:rPr>
      </w:pPr>
      <w:r w:rsidRPr="00895F36">
        <w:rPr>
          <w:b/>
          <w:caps/>
        </w:rPr>
        <w:t>Order Approving</w:t>
      </w:r>
      <w:r w:rsidR="005356B9" w:rsidRPr="005356B9">
        <w:t xml:space="preserve"> </w:t>
      </w:r>
      <w:r w:rsidR="005356B9" w:rsidRPr="005356B9">
        <w:rPr>
          <w:b/>
          <w:caps/>
        </w:rPr>
        <w:t xml:space="preserve">Qualifying Facility Interconnection </w:t>
      </w:r>
      <w:r w:rsidR="00660B9D">
        <w:rPr>
          <w:b/>
          <w:caps/>
        </w:rPr>
        <w:t xml:space="preserve">PROCEDURES AND </w:t>
      </w:r>
      <w:r w:rsidR="00B80806">
        <w:rPr>
          <w:b/>
          <w:caps/>
        </w:rPr>
        <w:t xml:space="preserve">INTERCONNECTION </w:t>
      </w:r>
      <w:r w:rsidR="005356B9" w:rsidRPr="005356B9">
        <w:rPr>
          <w:b/>
          <w:caps/>
        </w:rPr>
        <w:t>Agreement Documents</w:t>
      </w:r>
    </w:p>
    <w:p w14:paraId="69B09A1F" w14:textId="77777777" w:rsidR="000134FD" w:rsidRPr="00EC582D" w:rsidRDefault="000134FD" w:rsidP="000134FD">
      <w:pPr>
        <w:jc w:val="center"/>
        <w:rPr>
          <w:b/>
        </w:rPr>
      </w:pPr>
    </w:p>
    <w:p w14:paraId="3715870E" w14:textId="77777777" w:rsidR="000134FD" w:rsidRPr="00EC582D" w:rsidRDefault="000134FD" w:rsidP="000134FD">
      <w:pPr>
        <w:pStyle w:val="BodyText"/>
        <w:jc w:val="center"/>
        <w:rPr>
          <w:b/>
          <w:caps/>
          <w:sz w:val="24"/>
          <w:szCs w:val="24"/>
        </w:rPr>
      </w:pPr>
    </w:p>
    <w:p w14:paraId="4FEAFE39" w14:textId="77777777" w:rsidR="000134FD" w:rsidRPr="00AE4D89" w:rsidRDefault="000134FD" w:rsidP="000134FD">
      <w:pPr>
        <w:pStyle w:val="BodyText"/>
        <w:jc w:val="center"/>
        <w:rPr>
          <w:b/>
          <w:caps/>
          <w:sz w:val="24"/>
          <w:szCs w:val="24"/>
        </w:rPr>
      </w:pPr>
    </w:p>
    <w:p w14:paraId="0527BE42" w14:textId="54976FD1" w:rsidR="00312868" w:rsidRDefault="00312868" w:rsidP="00312868">
      <w:pPr>
        <w:spacing w:line="360" w:lineRule="auto"/>
        <w:ind w:firstLine="720"/>
        <w:jc w:val="both"/>
      </w:pPr>
      <w:r>
        <w:t xml:space="preserve">In a March 11, 2021 Order, the Georgia Public Service Commission (“Commission”) approved an executed stipulation between </w:t>
      </w:r>
      <w:r w:rsidR="00211757">
        <w:t xml:space="preserve">Commission </w:t>
      </w:r>
      <w:r>
        <w:t xml:space="preserve">Staff </w:t>
      </w:r>
      <w:r w:rsidR="00211757">
        <w:t xml:space="preserve">(“Staff”) </w:t>
      </w:r>
      <w:r>
        <w:t xml:space="preserve">and Georgia Power Company (“Georgia Power” and “Company”) as well as the requirement that qualifying facilities (“QF”) continue to pay their total reasonable interconnection costs and that modifications to the transmission system, (Network Upgrade Costs) that are required in order to facilitate the QF’s interconnection be refunded (100%) back to the QF since these upgrades benefit the system and therefore customers with improved grid reliability.  </w:t>
      </w:r>
    </w:p>
    <w:p w14:paraId="60BA8C84" w14:textId="77777777" w:rsidR="00312868" w:rsidRDefault="00312868" w:rsidP="00312868">
      <w:pPr>
        <w:spacing w:line="360" w:lineRule="auto"/>
        <w:ind w:firstLine="720"/>
        <w:jc w:val="both"/>
      </w:pPr>
    </w:p>
    <w:p w14:paraId="6FAD9A0A" w14:textId="7FAAC012" w:rsidR="00312868" w:rsidRDefault="0084708B" w:rsidP="00312868">
      <w:pPr>
        <w:spacing w:line="360" w:lineRule="auto"/>
        <w:ind w:firstLine="720"/>
        <w:jc w:val="both"/>
      </w:pPr>
      <w:r>
        <w:t>T</w:t>
      </w:r>
      <w:r w:rsidR="00312868">
        <w:t xml:space="preserve">he March 11, 2021 Order approved the QF Standard Offer contracts as well as the process for a QF pursuing a Small Generator Interconnection Agreement (“SGIA”), Large Generator Interconnection Agreement (“LGIA”) or interconnection with an Integrated Transmission System (“ITS”) participant.  For </w:t>
      </w:r>
      <w:r w:rsidR="00AC72FF">
        <w:t xml:space="preserve">the approved QF </w:t>
      </w:r>
      <w:r w:rsidR="00D5228E">
        <w:t>S</w:t>
      </w:r>
      <w:r w:rsidR="00AC72FF">
        <w:t>tandard Offer contracts,</w:t>
      </w:r>
      <w:r w:rsidR="00312868">
        <w:t xml:space="preserve"> the pro-forma provisions </w:t>
      </w:r>
      <w:r w:rsidR="00BF3560">
        <w:t>we</w:t>
      </w:r>
      <w:r w:rsidR="00312868">
        <w:t>re to be further negotiated by the parties to include the total reasonable cost of the QF’s interconnection. Georgia Power w</w:t>
      </w:r>
      <w:r w:rsidR="00BF3560">
        <w:t>ould</w:t>
      </w:r>
      <w:r w:rsidR="00312868">
        <w:t xml:space="preserve"> then submit the negotiated contract to Staff at least 30 days prior to the effective date of the contract to afford Staff the opportunity to review the contract and determine whether any modification to the standard form ha</w:t>
      </w:r>
      <w:r w:rsidR="00BF3560">
        <w:t>d</w:t>
      </w:r>
      <w:r w:rsidR="00312868">
        <w:t xml:space="preserve"> been made that is material enough to require separate Commission approval. Absent any contrary indication by Staff within 15 days after the Company’s submission, the contract w</w:t>
      </w:r>
      <w:r w:rsidR="00BF3560">
        <w:t>ould</w:t>
      </w:r>
      <w:r w:rsidR="00312868">
        <w:t xml:space="preserve"> be “deemed certified.” </w:t>
      </w:r>
    </w:p>
    <w:p w14:paraId="71FB55A9" w14:textId="77777777" w:rsidR="00377CF7" w:rsidRDefault="00377CF7" w:rsidP="00312868">
      <w:pPr>
        <w:spacing w:line="360" w:lineRule="auto"/>
        <w:ind w:firstLine="720"/>
        <w:jc w:val="both"/>
      </w:pPr>
    </w:p>
    <w:p w14:paraId="5212211D" w14:textId="77777777" w:rsidR="00C8417F" w:rsidRDefault="00AF49E7" w:rsidP="00C8417F">
      <w:pPr>
        <w:spacing w:line="360" w:lineRule="auto"/>
        <w:ind w:firstLine="720"/>
        <w:jc w:val="both"/>
      </w:pPr>
      <w:r>
        <w:t>In a January 13, 2022 Order, the Commission ordered</w:t>
      </w:r>
      <w:r w:rsidR="00312868">
        <w:t xml:space="preserve"> that Georgia Power and the Commission's </w:t>
      </w:r>
      <w:r>
        <w:t>Energy Efficiency and Renewable Energy (“</w:t>
      </w:r>
      <w:r w:rsidR="00312868">
        <w:t>EERE</w:t>
      </w:r>
      <w:r>
        <w:t>”)</w:t>
      </w:r>
      <w:r w:rsidR="00312868">
        <w:t xml:space="preserve"> and </w:t>
      </w:r>
      <w:r>
        <w:t>E</w:t>
      </w:r>
      <w:r w:rsidR="00312868">
        <w:t xml:space="preserve">lectric </w:t>
      </w:r>
      <w:r>
        <w:t>S</w:t>
      </w:r>
      <w:r w:rsidR="00312868">
        <w:t xml:space="preserve">taff work to finalize the state jurisdictional QF interconnection procedures so that they specify the recommended reimbursement of interconnection and delivery network upgrade costs to QFs, including the appropriate reimbursement for network upgrades that are included in the </w:t>
      </w:r>
      <w:r w:rsidR="00211757">
        <w:t>C</w:t>
      </w:r>
      <w:r w:rsidR="00312868">
        <w:t xml:space="preserve">ompany's ten-year plan. If the </w:t>
      </w:r>
      <w:r w:rsidR="00896D02">
        <w:t>C</w:t>
      </w:r>
      <w:r w:rsidR="00312868">
        <w:t xml:space="preserve">ompany and </w:t>
      </w:r>
      <w:r w:rsidR="00896D02">
        <w:t>S</w:t>
      </w:r>
      <w:r w:rsidR="00312868">
        <w:t xml:space="preserve">taff </w:t>
      </w:r>
      <w:r w:rsidR="00896D02">
        <w:t xml:space="preserve">could not </w:t>
      </w:r>
      <w:r w:rsidR="00312868">
        <w:t>agree on the state jurisdictional QF procedure</w:t>
      </w:r>
      <w:r w:rsidR="00211757">
        <w:t>s</w:t>
      </w:r>
      <w:r w:rsidR="00312868">
        <w:t xml:space="preserve">, any disagreement </w:t>
      </w:r>
      <w:r w:rsidR="00896D02">
        <w:t xml:space="preserve">would </w:t>
      </w:r>
      <w:r w:rsidR="00312868">
        <w:t>be brought back before the Commission for future consideration.</w:t>
      </w:r>
      <w:r w:rsidR="00C8417F">
        <w:t xml:space="preserve">  </w:t>
      </w:r>
    </w:p>
    <w:p w14:paraId="1C8D44F5" w14:textId="77777777" w:rsidR="00C8417F" w:rsidRDefault="00C8417F" w:rsidP="00C8417F">
      <w:pPr>
        <w:spacing w:line="360" w:lineRule="auto"/>
        <w:ind w:firstLine="720"/>
        <w:jc w:val="both"/>
      </w:pPr>
    </w:p>
    <w:p w14:paraId="729B224C" w14:textId="77777777" w:rsidR="00C8417F" w:rsidRDefault="00C8417F" w:rsidP="00C8417F">
      <w:pPr>
        <w:spacing w:line="360" w:lineRule="auto"/>
        <w:ind w:firstLine="720"/>
        <w:jc w:val="both"/>
      </w:pPr>
      <w:r>
        <w:t xml:space="preserve">Georgia Power and Staff worked together to finalize the state jurisdictional QF interconnection procedures and interconnection agreement templates so that they specify the recommended reimbursement of interconnection and delivery related network upgrade costs to QFs, including the appropriate reimbursement for network upgrades that are included in the Company’s ten-year plan. </w:t>
      </w:r>
    </w:p>
    <w:p w14:paraId="447FBFC3" w14:textId="77777777" w:rsidR="00BA710E" w:rsidRDefault="00BA710E" w:rsidP="000134FD">
      <w:pPr>
        <w:spacing w:line="360" w:lineRule="auto"/>
        <w:ind w:firstLine="720"/>
        <w:jc w:val="both"/>
      </w:pPr>
    </w:p>
    <w:p w14:paraId="73EC62F2" w14:textId="329A9763" w:rsidR="00C8417F" w:rsidRDefault="00C8417F" w:rsidP="00C8417F">
      <w:pPr>
        <w:spacing w:line="360" w:lineRule="auto"/>
        <w:ind w:firstLine="720"/>
        <w:jc w:val="both"/>
      </w:pPr>
      <w:r>
        <w:t>On April 8, 2022</w:t>
      </w:r>
      <w:r w:rsidR="00660B9D">
        <w:t>,</w:t>
      </w:r>
      <w:r>
        <w:t xml:space="preserve"> at the request of the Commission, Georgia Power filed </w:t>
      </w:r>
      <w:r w:rsidR="00211757">
        <w:t>its</w:t>
      </w:r>
      <w:r>
        <w:t xml:space="preserve"> </w:t>
      </w:r>
      <w:r w:rsidR="00211757">
        <w:t>s</w:t>
      </w:r>
      <w:r>
        <w:t>tate</w:t>
      </w:r>
      <w:r w:rsidR="00211757">
        <w:t xml:space="preserve"> j</w:t>
      </w:r>
      <w:r>
        <w:t xml:space="preserve">urisdictional </w:t>
      </w:r>
      <w:r w:rsidR="00211757">
        <w:t>QF</w:t>
      </w:r>
      <w:r>
        <w:t xml:space="preserve"> Transmission Generator Interconnection Procedures</w:t>
      </w:r>
      <w:r w:rsidR="00211757">
        <w:t xml:space="preserve"> (“TGIP”)</w:t>
      </w:r>
      <w:r>
        <w:t xml:space="preserve">, </w:t>
      </w:r>
      <w:r w:rsidR="00211757">
        <w:t xml:space="preserve">QF </w:t>
      </w:r>
      <w:r>
        <w:t>Distribution Generator Interconnection Procedures</w:t>
      </w:r>
      <w:r w:rsidR="00211757">
        <w:t xml:space="preserve"> (“DGIP”)</w:t>
      </w:r>
      <w:r>
        <w:t xml:space="preserve">, and corresponding Transmission </w:t>
      </w:r>
      <w:r w:rsidR="00211757">
        <w:t>QF</w:t>
      </w:r>
      <w:r>
        <w:t xml:space="preserve"> Interconnection Agreement </w:t>
      </w:r>
      <w:r w:rsidR="00211757">
        <w:t xml:space="preserve">(“QFIA”) </w:t>
      </w:r>
      <w:r>
        <w:t xml:space="preserve">and Distribution </w:t>
      </w:r>
      <w:r w:rsidR="00211757">
        <w:t>QFIA</w:t>
      </w:r>
      <w:r>
        <w:t xml:space="preserve"> template</w:t>
      </w:r>
      <w:r w:rsidR="00211757">
        <w:t>s</w:t>
      </w:r>
      <w:r>
        <w:t>.</w:t>
      </w:r>
    </w:p>
    <w:p w14:paraId="4E9CC637" w14:textId="77777777" w:rsidR="00C8417F" w:rsidRDefault="00C8417F" w:rsidP="00C8417F">
      <w:pPr>
        <w:spacing w:line="360" w:lineRule="auto"/>
        <w:jc w:val="both"/>
      </w:pPr>
    </w:p>
    <w:p w14:paraId="6F6CFFD3" w14:textId="5384DE22" w:rsidR="00AB2DEF" w:rsidRDefault="00AB2DEF" w:rsidP="00943F46">
      <w:pPr>
        <w:spacing w:line="360" w:lineRule="auto"/>
        <w:ind w:firstLine="720"/>
        <w:jc w:val="both"/>
      </w:pPr>
      <w:r>
        <w:t xml:space="preserve">At the request of the Commission, </w:t>
      </w:r>
      <w:r w:rsidR="00943F46">
        <w:t xml:space="preserve">Georgia Power, </w:t>
      </w:r>
      <w:r>
        <w:t>the Georgia Large Scale Solar Association (“</w:t>
      </w:r>
      <w:r w:rsidR="00943F46">
        <w:t>GLSSA</w:t>
      </w:r>
      <w:r>
        <w:t>”)</w:t>
      </w:r>
      <w:r w:rsidR="00943F46">
        <w:t xml:space="preserve">, and </w:t>
      </w:r>
      <w:r>
        <w:t xml:space="preserve">the Georgia </w:t>
      </w:r>
      <w:r w:rsidRPr="00AB2DEF">
        <w:t>Solar Energy Industries Association</w:t>
      </w:r>
      <w:r>
        <w:t xml:space="preserve"> (“</w:t>
      </w:r>
      <w:r w:rsidR="00943F46">
        <w:t>GASEIA</w:t>
      </w:r>
      <w:r>
        <w:t>”)</w:t>
      </w:r>
      <w:r w:rsidR="00943F46">
        <w:t xml:space="preserve"> </w:t>
      </w:r>
      <w:r>
        <w:t>met to resolve issues the parties had with the proposed QFIA documents</w:t>
      </w:r>
      <w:r w:rsidR="00AA1684">
        <w:t xml:space="preserve"> and potential adverse impacts to current Utility Scale and distributed generation </w:t>
      </w:r>
      <w:r w:rsidR="00912FF8">
        <w:t xml:space="preserve">(“DG”) </w:t>
      </w:r>
      <w:r w:rsidR="00AA1684">
        <w:t>projects that are part of a Georgia Power renewable program</w:t>
      </w:r>
      <w:r>
        <w:t xml:space="preserve">. </w:t>
      </w:r>
      <w:r w:rsidR="00943F46">
        <w:t xml:space="preserve"> </w:t>
      </w:r>
      <w:r w:rsidR="00AA1684">
        <w:t>In order t</w:t>
      </w:r>
      <w:r>
        <w:t xml:space="preserve">o </w:t>
      </w:r>
      <w:r w:rsidR="00AA1684">
        <w:t>reach a resolution</w:t>
      </w:r>
      <w:r>
        <w:t xml:space="preserve">, the parties </w:t>
      </w:r>
      <w:r w:rsidR="00943F46">
        <w:t xml:space="preserve">agreed to a Term Sheet </w:t>
      </w:r>
      <w:r w:rsidR="00517BE8">
        <w:t>(</w:t>
      </w:r>
      <w:r w:rsidR="00980B42">
        <w:t>Attachment A</w:t>
      </w:r>
      <w:r w:rsidR="00517BE8">
        <w:t xml:space="preserve">) </w:t>
      </w:r>
      <w:r>
        <w:t xml:space="preserve">for existing Utility Scale </w:t>
      </w:r>
      <w:r w:rsidR="00211757">
        <w:t>Power Purchase Agreements (“</w:t>
      </w:r>
      <w:r>
        <w:t>PPAs</w:t>
      </w:r>
      <w:r w:rsidR="00211757">
        <w:t>”)</w:t>
      </w:r>
      <w:r>
        <w:t xml:space="preserve"> and interconnect</w:t>
      </w:r>
      <w:r w:rsidR="00480CC8">
        <w:t>ion</w:t>
      </w:r>
      <w:r>
        <w:t xml:space="preserve"> agreements in </w:t>
      </w:r>
      <w:r w:rsidR="00211757">
        <w:t>the Large Scale Solar (“</w:t>
      </w:r>
      <w:r>
        <w:t>LSS</w:t>
      </w:r>
      <w:r w:rsidR="00211757">
        <w:t>”) program</w:t>
      </w:r>
      <w:r>
        <w:t xml:space="preserve">, </w:t>
      </w:r>
      <w:r w:rsidR="00B105CE">
        <w:t>Advanced Solar Initiative (“</w:t>
      </w:r>
      <w:r>
        <w:t>ASI</w:t>
      </w:r>
      <w:r w:rsidR="00B105CE">
        <w:t>”)</w:t>
      </w:r>
      <w:r>
        <w:t xml:space="preserve">, ASI-Prime, </w:t>
      </w:r>
      <w:r w:rsidR="00B105CE">
        <w:t>Renewable Energy Development Initiative (“</w:t>
      </w:r>
      <w:r>
        <w:t>REDI</w:t>
      </w:r>
      <w:r w:rsidR="00B105CE">
        <w:t>”)</w:t>
      </w:r>
      <w:r>
        <w:t xml:space="preserve"> and REDI II and for existing DG </w:t>
      </w:r>
      <w:r w:rsidR="00B105CE">
        <w:t>i</w:t>
      </w:r>
      <w:r>
        <w:t xml:space="preserve">nterconnection </w:t>
      </w:r>
      <w:r w:rsidR="00B105CE">
        <w:t>a</w:t>
      </w:r>
      <w:r>
        <w:t xml:space="preserve">greements in ASI, ASI-Prime, REDI I, REDI II, </w:t>
      </w:r>
      <w:r w:rsidR="00B105CE">
        <w:t xml:space="preserve">and the </w:t>
      </w:r>
      <w:r>
        <w:t xml:space="preserve">2020 DG </w:t>
      </w:r>
      <w:r w:rsidR="00B105CE">
        <w:t>Request For Proposals (“</w:t>
      </w:r>
      <w:r>
        <w:t>RFP</w:t>
      </w:r>
      <w:r w:rsidR="00B105CE">
        <w:t>”)</w:t>
      </w:r>
      <w:r>
        <w:t>.  The Term Sheet was provided to Staff for review.</w:t>
      </w:r>
    </w:p>
    <w:p w14:paraId="439F254F" w14:textId="77777777" w:rsidR="00AB2DEF" w:rsidRDefault="00AB2DEF" w:rsidP="00943F46">
      <w:pPr>
        <w:spacing w:line="360" w:lineRule="auto"/>
        <w:ind w:firstLine="720"/>
        <w:jc w:val="both"/>
      </w:pPr>
    </w:p>
    <w:p w14:paraId="4B6711A7" w14:textId="0535DC45" w:rsidR="00943F46" w:rsidRDefault="009E48FD" w:rsidP="00943F46">
      <w:pPr>
        <w:spacing w:line="360" w:lineRule="auto"/>
        <w:ind w:firstLine="720"/>
        <w:jc w:val="both"/>
      </w:pPr>
      <w:r>
        <w:t xml:space="preserve">Also, Georgia Power </w:t>
      </w:r>
      <w:r w:rsidR="00B105CE">
        <w:t xml:space="preserve">in agreement </w:t>
      </w:r>
      <w:r>
        <w:t xml:space="preserve">with </w:t>
      </w:r>
      <w:r w:rsidR="000A47E0" w:rsidRPr="000A47E0">
        <w:t>Heelstone Renewable Energy, LLC</w:t>
      </w:r>
      <w:r w:rsidR="000A47E0">
        <w:t xml:space="preserve"> (“</w:t>
      </w:r>
      <w:r w:rsidR="00943F46">
        <w:t>Heelstone</w:t>
      </w:r>
      <w:r w:rsidR="000A47E0">
        <w:t>”)</w:t>
      </w:r>
      <w:r w:rsidR="00943F46">
        <w:t xml:space="preserve"> and C</w:t>
      </w:r>
      <w:r w:rsidR="00AA1684">
        <w:t>ompetitive Power Ventures (“C</w:t>
      </w:r>
      <w:r w:rsidR="00943F46">
        <w:t>PV</w:t>
      </w:r>
      <w:r w:rsidR="00AA1684">
        <w:t>"</w:t>
      </w:r>
      <w:r w:rsidR="00B94429">
        <w:t>)</w:t>
      </w:r>
      <w:r w:rsidR="00943F46">
        <w:t xml:space="preserve"> Stagecoach</w:t>
      </w:r>
      <w:r>
        <w:t xml:space="preserve"> proposed language </w:t>
      </w:r>
      <w:r w:rsidR="00660B9D">
        <w:t xml:space="preserve">that </w:t>
      </w:r>
      <w:r>
        <w:t>exempt</w:t>
      </w:r>
      <w:r w:rsidR="00B94429">
        <w:t>ed</w:t>
      </w:r>
      <w:r>
        <w:t xml:space="preserve"> Heelstone and CPV Stagecoach’s </w:t>
      </w:r>
      <w:r w:rsidR="00943F46">
        <w:t xml:space="preserve">QF projects from the QFIA procedures. Georgia Power, Heelstone and CPV Stagecoach agreed on the </w:t>
      </w:r>
      <w:r>
        <w:t xml:space="preserve">following </w:t>
      </w:r>
      <w:r w:rsidR="00943F46">
        <w:t>language:</w:t>
      </w:r>
    </w:p>
    <w:p w14:paraId="4C1D1839" w14:textId="77777777" w:rsidR="00943F46" w:rsidRDefault="00943F46" w:rsidP="00943F46">
      <w:pPr>
        <w:spacing w:line="360" w:lineRule="auto"/>
        <w:ind w:firstLine="720"/>
        <w:jc w:val="both"/>
      </w:pPr>
      <w:r>
        <w:t xml:space="preserve"> </w:t>
      </w:r>
    </w:p>
    <w:p w14:paraId="13371368" w14:textId="77777777" w:rsidR="00943F46" w:rsidRPr="009E48FD" w:rsidRDefault="00943F46" w:rsidP="00061FD6">
      <w:pPr>
        <w:ind w:left="720" w:right="720"/>
        <w:jc w:val="both"/>
        <w:rPr>
          <w:i/>
        </w:rPr>
      </w:pPr>
      <w:r w:rsidRPr="009E48FD">
        <w:rPr>
          <w:i/>
        </w:rPr>
        <w:t>Notwithstanding the approval of these new QFIA Procedures, the Commission affirms that the prior orders entered in this Docket on March 11, 2021, January 13, 2022, and April 14, 2022 with respect to the Competitive Power Ventures (“CPV”) “Stagecoach” project and the five existing “Heelstone Projects,” known as (1) Bird Dog Solar, LLC; (2) Blackwater Solar, LLC; (3) Hobnail Solar, LLC; (4) Wolfskin Solar, LLC; and (5) Alligator Creek Solar, LLC, shall remain in full force and effect. This order approving Georgia Power’s State-Jurisdictional Qualifying Facility Interconnection Procedures and QFIA templates does not alter or amend the decisions reached by the Commission with respect to the CPV Stagecoach or Heelstone Projects. All six (6) of these QF projects identified above have executed PPAs and have already undergone the required initial study by Georgia Power such that none of these QF projects will need to submit a new QF Interconnection Request, nor be subject to a new Interconnection Queue Position. Heelstone and CPV can proceed towards commercial operation pursuant to the terms of its executed PPAs and LGIAs.</w:t>
      </w:r>
    </w:p>
    <w:p w14:paraId="42F0484F" w14:textId="77777777" w:rsidR="00943F46" w:rsidRDefault="00943F46" w:rsidP="00943F46">
      <w:pPr>
        <w:spacing w:line="360" w:lineRule="auto"/>
        <w:ind w:firstLine="720"/>
        <w:jc w:val="both"/>
      </w:pPr>
      <w:r>
        <w:t xml:space="preserve"> </w:t>
      </w:r>
    </w:p>
    <w:p w14:paraId="1712DC23" w14:textId="4AA92587" w:rsidR="00943F46" w:rsidRDefault="00AB2DEF" w:rsidP="000134FD">
      <w:pPr>
        <w:spacing w:line="360" w:lineRule="auto"/>
        <w:ind w:firstLine="720"/>
        <w:jc w:val="both"/>
      </w:pPr>
      <w:r>
        <w:t xml:space="preserve">At the May 17, 2022 </w:t>
      </w:r>
      <w:r w:rsidR="009E48FD">
        <w:t>A</w:t>
      </w:r>
      <w:r>
        <w:t xml:space="preserve">dministrative </w:t>
      </w:r>
      <w:r w:rsidR="009E48FD">
        <w:t>S</w:t>
      </w:r>
      <w:r>
        <w:t>ession</w:t>
      </w:r>
      <w:r w:rsidR="00440B99">
        <w:t>,</w:t>
      </w:r>
      <w:r>
        <w:t xml:space="preserve"> Staff recommended approval of the state jurisdictional QF interconnection procedures and interconnection agreement templates and that any modifications or updates to these procedures or templates made as a matter of routine business practice should be posted on Georgia Power’s website. </w:t>
      </w:r>
      <w:r w:rsidR="009E48FD" w:rsidRPr="009E48FD">
        <w:t>Staff recommend</w:t>
      </w:r>
      <w:r w:rsidR="009E48FD">
        <w:t>ed</w:t>
      </w:r>
      <w:r w:rsidR="009E48FD" w:rsidRPr="009E48FD">
        <w:t xml:space="preserve"> that the Commission adopt the provisions </w:t>
      </w:r>
      <w:r w:rsidR="009E48FD">
        <w:t xml:space="preserve">contained </w:t>
      </w:r>
      <w:r w:rsidR="009E48FD" w:rsidRPr="009E48FD">
        <w:t>in the Term Sheet</w:t>
      </w:r>
      <w:r w:rsidR="009E48FD">
        <w:t xml:space="preserve"> agreed to by Georgia Power, GLSSA, and GASEIA</w:t>
      </w:r>
      <w:r w:rsidR="009E48FD" w:rsidRPr="009E48FD">
        <w:t>.</w:t>
      </w:r>
      <w:r w:rsidR="009E48FD">
        <w:t xml:space="preserve">  Staff also recommended </w:t>
      </w:r>
      <w:r w:rsidR="009E48FD" w:rsidRPr="009E48FD">
        <w:t xml:space="preserve">that the Commission include </w:t>
      </w:r>
      <w:r w:rsidR="009E48FD">
        <w:t xml:space="preserve">the language proposed by Georgia Power, Heelstone and CPV Stagecoach </w:t>
      </w:r>
      <w:r w:rsidR="009E48FD" w:rsidRPr="009E48FD">
        <w:t xml:space="preserve">in its Order </w:t>
      </w:r>
      <w:r w:rsidR="004875CE">
        <w:t xml:space="preserve">for </w:t>
      </w:r>
      <w:r w:rsidR="009E48FD" w:rsidRPr="009E48FD">
        <w:t>this matter</w:t>
      </w:r>
      <w:r w:rsidR="009E48FD">
        <w:t>.</w:t>
      </w:r>
    </w:p>
    <w:p w14:paraId="4993F199" w14:textId="77777777" w:rsidR="0084708B" w:rsidRDefault="0084708B" w:rsidP="000134FD">
      <w:pPr>
        <w:spacing w:line="360" w:lineRule="auto"/>
        <w:ind w:firstLine="720"/>
        <w:jc w:val="both"/>
      </w:pPr>
    </w:p>
    <w:p w14:paraId="4BA84DFA" w14:textId="77777777" w:rsidR="0084708B" w:rsidRDefault="0084708B" w:rsidP="0084708B">
      <w:pPr>
        <w:spacing w:line="360" w:lineRule="auto"/>
        <w:ind w:firstLine="720"/>
        <w:jc w:val="both"/>
      </w:pPr>
      <w:r>
        <w:t>At the May 17, 2022 Administrative Session Commissioner Echols offered the following motion:</w:t>
      </w:r>
    </w:p>
    <w:p w14:paraId="12C45008" w14:textId="77777777" w:rsidR="0084708B" w:rsidRDefault="0084708B" w:rsidP="0084708B">
      <w:pPr>
        <w:spacing w:line="360" w:lineRule="auto"/>
        <w:ind w:firstLine="720"/>
        <w:jc w:val="both"/>
      </w:pPr>
    </w:p>
    <w:p w14:paraId="103EFF14" w14:textId="77777777" w:rsidR="0084708B" w:rsidRDefault="00211757" w:rsidP="00061FD6">
      <w:pPr>
        <w:ind w:left="720" w:right="720"/>
        <w:jc w:val="both"/>
      </w:pPr>
      <w:r>
        <w:rPr>
          <w:i/>
        </w:rPr>
        <w:t>I move that we adopt the Staff recommendation</w:t>
      </w:r>
      <w:r w:rsidR="00B105CE">
        <w:rPr>
          <w:i/>
        </w:rPr>
        <w:t>,</w:t>
      </w:r>
      <w:r>
        <w:rPr>
          <w:i/>
        </w:rPr>
        <w:t xml:space="preserve"> and I move that we set the term for DG for 35 years.</w:t>
      </w:r>
    </w:p>
    <w:p w14:paraId="5BCC5045" w14:textId="77777777" w:rsidR="0084708B" w:rsidRDefault="0084708B" w:rsidP="0084708B">
      <w:pPr>
        <w:spacing w:line="360" w:lineRule="auto"/>
        <w:ind w:firstLine="720"/>
        <w:jc w:val="both"/>
      </w:pPr>
    </w:p>
    <w:p w14:paraId="48305523" w14:textId="77777777" w:rsidR="000134FD" w:rsidRDefault="0084708B" w:rsidP="000134FD">
      <w:pPr>
        <w:spacing w:line="360" w:lineRule="auto"/>
        <w:ind w:firstLine="720"/>
        <w:jc w:val="both"/>
      </w:pPr>
      <w:r>
        <w:t xml:space="preserve">The Commission approved Staff’s recommendation as amended by the Echols motion at the </w:t>
      </w:r>
      <w:r w:rsidR="00127FCD">
        <w:t>May 17, 2022</w:t>
      </w:r>
      <w:r w:rsidR="000134FD">
        <w:t xml:space="preserve"> Administrative Session.</w:t>
      </w:r>
    </w:p>
    <w:p w14:paraId="013EF30A" w14:textId="77777777" w:rsidR="000134FD" w:rsidRPr="00D42742" w:rsidRDefault="000134FD" w:rsidP="000134FD">
      <w:pPr>
        <w:spacing w:line="360" w:lineRule="auto"/>
        <w:jc w:val="both"/>
      </w:pPr>
    </w:p>
    <w:p w14:paraId="66FE7982" w14:textId="77777777" w:rsidR="000134FD" w:rsidRPr="00A25CB5" w:rsidRDefault="000134FD" w:rsidP="000134FD">
      <w:pPr>
        <w:spacing w:line="360" w:lineRule="auto"/>
        <w:ind w:right="720"/>
        <w:jc w:val="center"/>
      </w:pPr>
      <w:r w:rsidRPr="00D42742">
        <w:t>* * * * * * * * * * * * *</w:t>
      </w:r>
    </w:p>
    <w:p w14:paraId="4B8856E1" w14:textId="77777777" w:rsidR="000134FD" w:rsidRPr="00301D2F" w:rsidRDefault="000134FD" w:rsidP="000134FD">
      <w:pPr>
        <w:spacing w:line="360" w:lineRule="auto"/>
        <w:jc w:val="center"/>
        <w:rPr>
          <w:rFonts w:cs="Arial"/>
        </w:rPr>
      </w:pPr>
    </w:p>
    <w:p w14:paraId="4879D532" w14:textId="77777777" w:rsidR="000134FD" w:rsidRDefault="000134FD" w:rsidP="000134FD">
      <w:pPr>
        <w:pStyle w:val="BodyText"/>
        <w:spacing w:line="360" w:lineRule="auto"/>
        <w:ind w:firstLine="720"/>
        <w:rPr>
          <w:rFonts w:cs="Arial"/>
          <w:sz w:val="24"/>
          <w:szCs w:val="24"/>
        </w:rPr>
      </w:pPr>
      <w:r w:rsidRPr="00301D2F">
        <w:rPr>
          <w:rFonts w:cs="Arial"/>
          <w:b/>
          <w:sz w:val="24"/>
          <w:szCs w:val="24"/>
        </w:rPr>
        <w:t>WHEREFORE IT IS ORDERED</w:t>
      </w:r>
      <w:r w:rsidRPr="00301D2F">
        <w:rPr>
          <w:rFonts w:cs="Arial"/>
          <w:sz w:val="24"/>
          <w:szCs w:val="24"/>
        </w:rPr>
        <w:t xml:space="preserve"> </w:t>
      </w:r>
      <w:r w:rsidRPr="000E20F8">
        <w:rPr>
          <w:rFonts w:cs="Arial"/>
          <w:sz w:val="24"/>
          <w:szCs w:val="24"/>
        </w:rPr>
        <w:t>that</w:t>
      </w:r>
      <w:r w:rsidR="00127FCD">
        <w:rPr>
          <w:rFonts w:cs="Arial"/>
          <w:sz w:val="24"/>
          <w:szCs w:val="24"/>
        </w:rPr>
        <w:t xml:space="preserve"> </w:t>
      </w:r>
      <w:r w:rsidR="00480CC8" w:rsidRPr="00480CC8">
        <w:rPr>
          <w:rFonts w:cs="Arial"/>
          <w:sz w:val="24"/>
          <w:szCs w:val="24"/>
        </w:rPr>
        <w:t>Georgia Power</w:t>
      </w:r>
      <w:r w:rsidR="00480CC8">
        <w:rPr>
          <w:rFonts w:cs="Arial"/>
          <w:sz w:val="24"/>
          <w:szCs w:val="24"/>
        </w:rPr>
        <w:t xml:space="preserve"> Company’s</w:t>
      </w:r>
      <w:r w:rsidR="00480CC8" w:rsidRPr="00480CC8">
        <w:rPr>
          <w:rFonts w:cs="Arial"/>
          <w:sz w:val="24"/>
          <w:szCs w:val="24"/>
        </w:rPr>
        <w:t xml:space="preserve"> state jurisdictional </w:t>
      </w:r>
      <w:r w:rsidR="00480CC8">
        <w:rPr>
          <w:rFonts w:cs="Arial"/>
          <w:sz w:val="24"/>
          <w:szCs w:val="24"/>
        </w:rPr>
        <w:t>Qualifying Facility</w:t>
      </w:r>
      <w:r w:rsidR="00480CC8" w:rsidRPr="00480CC8">
        <w:rPr>
          <w:rFonts w:cs="Arial"/>
          <w:sz w:val="24"/>
          <w:szCs w:val="24"/>
        </w:rPr>
        <w:t xml:space="preserve"> Transmission Generator Interconnection Procedures, </w:t>
      </w:r>
      <w:r w:rsidR="00480CC8">
        <w:rPr>
          <w:rFonts w:cs="Arial"/>
          <w:sz w:val="24"/>
          <w:szCs w:val="24"/>
        </w:rPr>
        <w:t>Qualifying Facility</w:t>
      </w:r>
      <w:r w:rsidR="00480CC8" w:rsidRPr="00480CC8">
        <w:rPr>
          <w:rFonts w:cs="Arial"/>
          <w:sz w:val="24"/>
          <w:szCs w:val="24"/>
        </w:rPr>
        <w:t xml:space="preserve"> Distribution Generator Interconnection Procedures, and corresponding Transmission </w:t>
      </w:r>
      <w:r w:rsidR="00480CC8">
        <w:rPr>
          <w:rFonts w:cs="Arial"/>
          <w:sz w:val="24"/>
          <w:szCs w:val="24"/>
        </w:rPr>
        <w:t>Qualifying Facility</w:t>
      </w:r>
      <w:r w:rsidR="00480CC8" w:rsidRPr="00480CC8">
        <w:rPr>
          <w:rFonts w:cs="Arial"/>
          <w:sz w:val="24"/>
          <w:szCs w:val="24"/>
        </w:rPr>
        <w:t xml:space="preserve"> Interconnection Agreement and Distribution </w:t>
      </w:r>
      <w:r w:rsidR="00480CC8">
        <w:rPr>
          <w:rFonts w:cs="Arial"/>
          <w:sz w:val="24"/>
          <w:szCs w:val="24"/>
        </w:rPr>
        <w:t>Qualifying Facility</w:t>
      </w:r>
      <w:r w:rsidR="00480CC8" w:rsidRPr="00480CC8">
        <w:rPr>
          <w:rFonts w:cs="Arial"/>
          <w:sz w:val="24"/>
          <w:szCs w:val="24"/>
        </w:rPr>
        <w:t xml:space="preserve"> Interconnection Agreement templates</w:t>
      </w:r>
      <w:r w:rsidR="00480CC8">
        <w:rPr>
          <w:rFonts w:cs="Arial"/>
          <w:sz w:val="24"/>
          <w:szCs w:val="24"/>
        </w:rPr>
        <w:t xml:space="preserve"> are hereby approved.</w:t>
      </w:r>
    </w:p>
    <w:p w14:paraId="04F4C8BE" w14:textId="77777777" w:rsidR="00480CC8" w:rsidRDefault="00480CC8" w:rsidP="000134FD">
      <w:pPr>
        <w:pStyle w:val="BodyText"/>
        <w:spacing w:line="360" w:lineRule="auto"/>
        <w:ind w:firstLine="720"/>
        <w:rPr>
          <w:rFonts w:cs="Arial"/>
          <w:sz w:val="24"/>
          <w:szCs w:val="24"/>
        </w:rPr>
      </w:pPr>
    </w:p>
    <w:p w14:paraId="3DC5D1E1" w14:textId="77777777" w:rsidR="00480CC8" w:rsidRDefault="00480CC8" w:rsidP="000134FD">
      <w:pPr>
        <w:pStyle w:val="BodyText"/>
        <w:spacing w:line="360" w:lineRule="auto"/>
        <w:ind w:firstLine="720"/>
        <w:rPr>
          <w:rFonts w:cs="Arial"/>
          <w:sz w:val="24"/>
          <w:szCs w:val="24"/>
        </w:rPr>
      </w:pPr>
      <w:r w:rsidRPr="00480CC8">
        <w:rPr>
          <w:b/>
          <w:sz w:val="24"/>
          <w:szCs w:val="24"/>
        </w:rPr>
        <w:t>ORDERED FURTHER</w:t>
      </w:r>
      <w:r w:rsidRPr="00B105CE">
        <w:rPr>
          <w:sz w:val="24"/>
          <w:szCs w:val="24"/>
        </w:rPr>
        <w:t xml:space="preserve">, </w:t>
      </w:r>
      <w:r w:rsidRPr="00480CC8">
        <w:rPr>
          <w:rFonts w:cs="Arial"/>
          <w:sz w:val="24"/>
          <w:szCs w:val="24"/>
        </w:rPr>
        <w:t xml:space="preserve">that any modifications or updates to these procedures or templates made as a matter of routine business practice </w:t>
      </w:r>
      <w:r>
        <w:rPr>
          <w:rFonts w:cs="Arial"/>
          <w:sz w:val="24"/>
          <w:szCs w:val="24"/>
        </w:rPr>
        <w:t>shall</w:t>
      </w:r>
      <w:r w:rsidRPr="00480CC8">
        <w:rPr>
          <w:rFonts w:cs="Arial"/>
          <w:sz w:val="24"/>
          <w:szCs w:val="24"/>
        </w:rPr>
        <w:t xml:space="preserve"> be posted on Georgia Power</w:t>
      </w:r>
      <w:r>
        <w:rPr>
          <w:rFonts w:cs="Arial"/>
          <w:sz w:val="24"/>
          <w:szCs w:val="24"/>
        </w:rPr>
        <w:t xml:space="preserve"> Company</w:t>
      </w:r>
      <w:r w:rsidRPr="00480CC8">
        <w:rPr>
          <w:rFonts w:cs="Arial"/>
          <w:sz w:val="24"/>
          <w:szCs w:val="24"/>
        </w:rPr>
        <w:t>’s website</w:t>
      </w:r>
      <w:r>
        <w:rPr>
          <w:rFonts w:cs="Arial"/>
          <w:sz w:val="24"/>
          <w:szCs w:val="24"/>
        </w:rPr>
        <w:t>.</w:t>
      </w:r>
    </w:p>
    <w:p w14:paraId="691168B2" w14:textId="77777777" w:rsidR="00B105CE" w:rsidRDefault="00B105CE" w:rsidP="000134FD">
      <w:pPr>
        <w:pStyle w:val="BodyText"/>
        <w:spacing w:line="360" w:lineRule="auto"/>
        <w:ind w:firstLine="720"/>
        <w:rPr>
          <w:sz w:val="24"/>
          <w:szCs w:val="24"/>
        </w:rPr>
      </w:pPr>
    </w:p>
    <w:p w14:paraId="5BEA6B33" w14:textId="0FBB7CD5" w:rsidR="00B105CE" w:rsidRDefault="00B105CE" w:rsidP="000134FD">
      <w:pPr>
        <w:pStyle w:val="BodyText"/>
        <w:spacing w:line="360" w:lineRule="auto"/>
        <w:ind w:firstLine="720"/>
        <w:rPr>
          <w:sz w:val="24"/>
          <w:szCs w:val="24"/>
        </w:rPr>
      </w:pPr>
      <w:r w:rsidRPr="00480CC8">
        <w:rPr>
          <w:b/>
          <w:sz w:val="24"/>
          <w:szCs w:val="24"/>
        </w:rPr>
        <w:t>ORDERED FURTHER</w:t>
      </w:r>
      <w:r w:rsidRPr="00B105CE">
        <w:rPr>
          <w:sz w:val="24"/>
          <w:szCs w:val="24"/>
        </w:rPr>
        <w:t xml:space="preserve">, that </w:t>
      </w:r>
      <w:r w:rsidR="00480CC8">
        <w:rPr>
          <w:sz w:val="24"/>
          <w:szCs w:val="24"/>
        </w:rPr>
        <w:t>the provisions contained in the Term Sheet (attached</w:t>
      </w:r>
      <w:r w:rsidR="001F1A2E">
        <w:rPr>
          <w:sz w:val="24"/>
          <w:szCs w:val="24"/>
        </w:rPr>
        <w:t xml:space="preserve"> hereto as Attachment A</w:t>
      </w:r>
      <w:r w:rsidR="00480CC8">
        <w:rPr>
          <w:sz w:val="24"/>
          <w:szCs w:val="24"/>
        </w:rPr>
        <w:t xml:space="preserve">) are hereby approved for </w:t>
      </w:r>
      <w:r w:rsidR="00480CC8" w:rsidRPr="00480CC8">
        <w:rPr>
          <w:sz w:val="24"/>
          <w:szCs w:val="24"/>
        </w:rPr>
        <w:t>existing Utility Scale Power Purchase Agreements and interconnect</w:t>
      </w:r>
      <w:r w:rsidR="00480CC8">
        <w:rPr>
          <w:sz w:val="24"/>
          <w:szCs w:val="24"/>
        </w:rPr>
        <w:t>ion</w:t>
      </w:r>
      <w:r w:rsidR="00480CC8" w:rsidRPr="00480CC8">
        <w:rPr>
          <w:sz w:val="24"/>
          <w:szCs w:val="24"/>
        </w:rPr>
        <w:t xml:space="preserve"> agreements in the Large Scale Solar program, Advanced Solar Initiative, Advanced Solar Initiative-Prime, Renewable Energy Development Initiative and Renewable Energy Development Initiative II and for existing distributed generation interconnection agreements in Advanced Solar Initiative, Advanced Solar Initiative-Prime, Renewable Energy Development Initiative I, Renewable Energy Development Initiative II, and the 2020 distributed generation Request For Proposals.</w:t>
      </w:r>
    </w:p>
    <w:p w14:paraId="4B1F6B01" w14:textId="77777777" w:rsidR="00B105CE" w:rsidRDefault="00B105CE" w:rsidP="000134FD">
      <w:pPr>
        <w:pStyle w:val="BodyText"/>
        <w:spacing w:line="360" w:lineRule="auto"/>
        <w:ind w:firstLine="720"/>
        <w:rPr>
          <w:sz w:val="24"/>
          <w:szCs w:val="24"/>
        </w:rPr>
      </w:pPr>
    </w:p>
    <w:p w14:paraId="7AA37D8F" w14:textId="77777777" w:rsidR="00980B42" w:rsidRDefault="00B105CE" w:rsidP="00980B42">
      <w:pPr>
        <w:pStyle w:val="BodyText"/>
        <w:spacing w:line="360" w:lineRule="auto"/>
        <w:ind w:firstLine="720"/>
        <w:rPr>
          <w:sz w:val="24"/>
          <w:szCs w:val="24"/>
        </w:rPr>
      </w:pPr>
      <w:r w:rsidRPr="00945814">
        <w:rPr>
          <w:b/>
          <w:sz w:val="24"/>
          <w:szCs w:val="24"/>
        </w:rPr>
        <w:t>ORDERED FURTHER</w:t>
      </w:r>
      <w:r w:rsidRPr="00B105CE">
        <w:rPr>
          <w:sz w:val="24"/>
          <w:szCs w:val="24"/>
        </w:rPr>
        <w:t xml:space="preserve">, </w:t>
      </w:r>
      <w:r w:rsidR="00980B42">
        <w:rPr>
          <w:sz w:val="24"/>
          <w:szCs w:val="24"/>
        </w:rPr>
        <w:t xml:space="preserve">that </w:t>
      </w:r>
      <w:r w:rsidR="00980B42" w:rsidRPr="00947D84">
        <w:rPr>
          <w:sz w:val="24"/>
          <w:szCs w:val="24"/>
        </w:rPr>
        <w:t>the native load designation</w:t>
      </w:r>
      <w:r w:rsidR="00980B42">
        <w:rPr>
          <w:sz w:val="24"/>
          <w:szCs w:val="24"/>
        </w:rPr>
        <w:t>s</w:t>
      </w:r>
      <w:r w:rsidR="00980B42" w:rsidRPr="00947D84">
        <w:rPr>
          <w:sz w:val="24"/>
          <w:szCs w:val="24"/>
        </w:rPr>
        <w:t xml:space="preserve"> </w:t>
      </w:r>
      <w:r w:rsidR="00980B42">
        <w:rPr>
          <w:sz w:val="24"/>
          <w:szCs w:val="24"/>
        </w:rPr>
        <w:t xml:space="preserve">and </w:t>
      </w:r>
      <w:r w:rsidR="00980B42" w:rsidRPr="00947D84">
        <w:rPr>
          <w:sz w:val="24"/>
          <w:szCs w:val="24"/>
        </w:rPr>
        <w:t xml:space="preserve">program </w:t>
      </w:r>
      <w:r w:rsidR="00980B42">
        <w:rPr>
          <w:sz w:val="24"/>
          <w:szCs w:val="24"/>
        </w:rPr>
        <w:t xml:space="preserve">interconnection agreements </w:t>
      </w:r>
      <w:r w:rsidR="00980B42" w:rsidRPr="00480CC8">
        <w:rPr>
          <w:sz w:val="24"/>
          <w:szCs w:val="24"/>
        </w:rPr>
        <w:t>for existing distributed generation interconnection agreements in Advanced Solar Initiative, Advanced Solar Initiative-Prime, Renewable Energy Development Initiative I, Renewable Energy Development Initiative II, and the 2020 distributed generation Request For Proposals</w:t>
      </w:r>
      <w:r w:rsidR="00980B42">
        <w:rPr>
          <w:sz w:val="24"/>
          <w:szCs w:val="24"/>
        </w:rPr>
        <w:t xml:space="preserve">, may be extended </w:t>
      </w:r>
      <w:r w:rsidR="00980B42" w:rsidRPr="00947D84">
        <w:rPr>
          <w:sz w:val="24"/>
          <w:szCs w:val="24"/>
        </w:rPr>
        <w:t>for up to 35 years</w:t>
      </w:r>
      <w:r w:rsidR="00980B42">
        <w:rPr>
          <w:sz w:val="24"/>
          <w:szCs w:val="24"/>
        </w:rPr>
        <w:t>.</w:t>
      </w:r>
    </w:p>
    <w:p w14:paraId="5E9489C7" w14:textId="77777777" w:rsidR="00B105CE" w:rsidRDefault="00B105CE" w:rsidP="000134FD">
      <w:pPr>
        <w:pStyle w:val="BodyText"/>
        <w:spacing w:line="360" w:lineRule="auto"/>
        <w:ind w:firstLine="720"/>
        <w:rPr>
          <w:sz w:val="24"/>
          <w:szCs w:val="24"/>
        </w:rPr>
      </w:pPr>
    </w:p>
    <w:p w14:paraId="2B3127C9" w14:textId="6DEBC71B" w:rsidR="00980B42" w:rsidRDefault="00B105CE" w:rsidP="00980B42">
      <w:pPr>
        <w:pStyle w:val="BodyText"/>
        <w:spacing w:line="360" w:lineRule="auto"/>
        <w:ind w:firstLine="720"/>
        <w:rPr>
          <w:sz w:val="24"/>
          <w:szCs w:val="24"/>
        </w:rPr>
      </w:pPr>
      <w:r w:rsidRPr="00947D84">
        <w:rPr>
          <w:b/>
          <w:sz w:val="24"/>
          <w:szCs w:val="24"/>
        </w:rPr>
        <w:t>ORDERED FURTHER</w:t>
      </w:r>
      <w:r w:rsidRPr="00B105CE">
        <w:rPr>
          <w:sz w:val="24"/>
          <w:szCs w:val="24"/>
        </w:rPr>
        <w:t>,</w:t>
      </w:r>
      <w:r w:rsidR="00980B42">
        <w:rPr>
          <w:sz w:val="24"/>
          <w:szCs w:val="24"/>
        </w:rPr>
        <w:t xml:space="preserve"> </w:t>
      </w:r>
      <w:r w:rsidR="00980B42">
        <w:rPr>
          <w:sz w:val="24"/>
          <w:szCs w:val="24"/>
        </w:rPr>
        <w:t>that n</w:t>
      </w:r>
      <w:r w:rsidR="00980B42" w:rsidRPr="00480CC8">
        <w:rPr>
          <w:sz w:val="24"/>
          <w:szCs w:val="24"/>
        </w:rPr>
        <w:t>otwithstanding the approval of these new QFIA Procedures, the Commission affirms that the prior orders entered in this Docket on March 11, 2021, January 13, 2022, and April 14, 2022 with respect to the Competitive Power Ventures (“CPV”) “Stagecoach” project and the five existing “Heelstone Projects,” known as (1) Bird Dog Solar, LLC; (2) Blackwater Solar, LLC; (3) Hobnail Solar, LLC; (4) Wolfskin Solar, LLC; and (5) Alligator Creek Solar, LLC, shall remain in full force and effect. This order approving Georgia Power’s State-Jurisdictional Qualifying Facility Interconnection Procedures and QFIA templates does not alter or amend the decisions reached by the Commission with respect to the CPV Stagecoach or Heelstone Projects. All six (6) of these QF projects identified above have executed PPAs and have already undergone the required initial study by Georgia Power such that none of these QF projects will need to submit a new QF Interconnection Request, nor be subject to a new Interconnection Queue Position. Heelstone and CPV can proceed towards commercial operation pursuant to the terms of its executed PPAs and LGIAs.</w:t>
      </w:r>
    </w:p>
    <w:p w14:paraId="03768358" w14:textId="17D0055E" w:rsidR="00B105CE" w:rsidRDefault="00B105CE" w:rsidP="00947D84">
      <w:pPr>
        <w:pStyle w:val="BodyText"/>
        <w:spacing w:line="360" w:lineRule="auto"/>
        <w:ind w:firstLine="720"/>
        <w:rPr>
          <w:sz w:val="24"/>
          <w:szCs w:val="24"/>
        </w:rPr>
      </w:pPr>
    </w:p>
    <w:p w14:paraId="3E8DFE00" w14:textId="77777777" w:rsidR="000134FD" w:rsidRDefault="000134FD" w:rsidP="000134FD">
      <w:pPr>
        <w:spacing w:line="360" w:lineRule="auto"/>
        <w:ind w:firstLine="720"/>
        <w:jc w:val="both"/>
        <w:rPr>
          <w:rFonts w:cs="Arial"/>
        </w:rPr>
      </w:pPr>
      <w:r w:rsidRPr="00301D2F">
        <w:rPr>
          <w:rFonts w:cs="Arial"/>
          <w:b/>
        </w:rPr>
        <w:t>ORDERED FURTHER</w:t>
      </w:r>
      <w:r w:rsidRPr="00301D2F">
        <w:rPr>
          <w:rFonts w:cs="Arial"/>
        </w:rPr>
        <w:t xml:space="preserve">, </w:t>
      </w:r>
      <w:r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68562289" w14:textId="77777777" w:rsidR="000134FD" w:rsidRPr="006E37E6" w:rsidRDefault="000134FD" w:rsidP="000134FD">
      <w:pPr>
        <w:spacing w:line="360" w:lineRule="auto"/>
        <w:ind w:firstLine="720"/>
        <w:jc w:val="both"/>
        <w:rPr>
          <w:rFonts w:cs="Arial"/>
          <w:szCs w:val="22"/>
        </w:rPr>
      </w:pPr>
    </w:p>
    <w:p w14:paraId="4B77C81F" w14:textId="77777777" w:rsidR="000134FD" w:rsidRPr="00FE77C8" w:rsidRDefault="000134FD" w:rsidP="000134FD">
      <w:pPr>
        <w:spacing w:line="360" w:lineRule="auto"/>
        <w:ind w:firstLine="720"/>
        <w:jc w:val="both"/>
        <w:rPr>
          <w:rFonts w:cs="Arial"/>
          <w:b/>
          <w:szCs w:val="22"/>
        </w:rPr>
      </w:pPr>
      <w:r w:rsidRPr="00FE77C8">
        <w:rPr>
          <w:rFonts w:cs="Arial"/>
          <w:b/>
          <w:szCs w:val="22"/>
        </w:rPr>
        <w:t>ORDERED FURTHER</w:t>
      </w:r>
      <w:r w:rsidRPr="00FE77C8">
        <w:rPr>
          <w:rFonts w:cs="Arial"/>
          <w:szCs w:val="22"/>
        </w:rPr>
        <w:t>, that a motion for reconsideration, rehearing, or oral argument or any other motion shall not stay the effective date of this Order, unless otherwise ordered by the Commission.</w:t>
      </w:r>
    </w:p>
    <w:p w14:paraId="4D452BBF" w14:textId="77777777" w:rsidR="000134FD" w:rsidRPr="00FE77C8" w:rsidRDefault="000134FD" w:rsidP="000134FD">
      <w:pPr>
        <w:spacing w:line="360" w:lineRule="auto"/>
        <w:ind w:firstLine="720"/>
        <w:jc w:val="both"/>
        <w:rPr>
          <w:rFonts w:cs="Arial"/>
          <w:b/>
          <w:szCs w:val="22"/>
        </w:rPr>
      </w:pPr>
    </w:p>
    <w:p w14:paraId="71AC1A19" w14:textId="77777777" w:rsidR="000134FD" w:rsidRDefault="000134FD" w:rsidP="000134FD">
      <w:pPr>
        <w:spacing w:line="360" w:lineRule="auto"/>
        <w:ind w:firstLine="720"/>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72721782" w14:textId="77777777" w:rsidR="000134FD" w:rsidRDefault="000134FD" w:rsidP="000134FD">
      <w:pPr>
        <w:spacing w:line="360" w:lineRule="auto"/>
        <w:ind w:firstLine="720"/>
        <w:jc w:val="both"/>
        <w:rPr>
          <w:rFonts w:cs="Arial"/>
          <w:szCs w:val="22"/>
        </w:rPr>
      </w:pPr>
    </w:p>
    <w:p w14:paraId="1DFCBBC2" w14:textId="77777777" w:rsidR="000134FD" w:rsidRDefault="000134FD" w:rsidP="000134FD">
      <w:pPr>
        <w:spacing w:line="360" w:lineRule="auto"/>
        <w:ind w:firstLine="720"/>
        <w:jc w:val="both"/>
        <w:rPr>
          <w:rFonts w:cs="Arial"/>
          <w:szCs w:val="22"/>
        </w:rPr>
      </w:pPr>
      <w:r w:rsidRPr="006E37E6">
        <w:rPr>
          <w:rFonts w:cs="Arial"/>
          <w:szCs w:val="22"/>
        </w:rPr>
        <w:t>The above by action of the Commission in Administrative Session on the</w:t>
      </w:r>
      <w:r>
        <w:rPr>
          <w:rFonts w:cs="Arial"/>
          <w:szCs w:val="22"/>
        </w:rPr>
        <w:t xml:space="preserve"> 17th</w:t>
      </w:r>
      <w:r>
        <w:rPr>
          <w:rFonts w:cs="Arial"/>
          <w:szCs w:val="22"/>
          <w:vertAlign w:val="superscript"/>
        </w:rPr>
        <w:t xml:space="preserve"> </w:t>
      </w:r>
      <w:r w:rsidRPr="006E37E6">
        <w:rPr>
          <w:rFonts w:cs="Arial"/>
          <w:szCs w:val="22"/>
        </w:rPr>
        <w:t xml:space="preserve">day of </w:t>
      </w:r>
      <w:r>
        <w:rPr>
          <w:rFonts w:cs="Arial"/>
          <w:szCs w:val="22"/>
        </w:rPr>
        <w:t>May</w:t>
      </w:r>
      <w:r w:rsidRPr="006E37E6">
        <w:rPr>
          <w:rFonts w:cs="Arial"/>
          <w:szCs w:val="22"/>
        </w:rPr>
        <w:t xml:space="preserve">, </w:t>
      </w:r>
      <w:r>
        <w:rPr>
          <w:rFonts w:cs="Arial"/>
          <w:szCs w:val="22"/>
        </w:rPr>
        <w:t>2022</w:t>
      </w:r>
      <w:r w:rsidRPr="006E37E6">
        <w:rPr>
          <w:rFonts w:cs="Arial"/>
          <w:szCs w:val="22"/>
        </w:rPr>
        <w:t>.</w:t>
      </w:r>
    </w:p>
    <w:p w14:paraId="03BBB9C0" w14:textId="77777777" w:rsidR="000134FD" w:rsidRDefault="000134FD" w:rsidP="000134FD">
      <w:pPr>
        <w:jc w:val="both"/>
        <w:rPr>
          <w:rFonts w:cs="Arial"/>
          <w:szCs w:val="22"/>
        </w:rPr>
      </w:pPr>
    </w:p>
    <w:p w14:paraId="53D1BE09" w14:textId="77777777" w:rsidR="000134FD" w:rsidRDefault="000134FD" w:rsidP="000134FD">
      <w:pPr>
        <w:jc w:val="both"/>
        <w:rPr>
          <w:rFonts w:cs="Arial"/>
          <w:szCs w:val="22"/>
        </w:rPr>
      </w:pPr>
    </w:p>
    <w:p w14:paraId="30743D75" w14:textId="77777777" w:rsidR="000134FD" w:rsidRPr="006E37E6" w:rsidRDefault="000134FD" w:rsidP="000134FD">
      <w:pPr>
        <w:jc w:val="both"/>
        <w:rPr>
          <w:rFonts w:cs="Arial"/>
          <w:szCs w:val="22"/>
        </w:rPr>
      </w:pPr>
    </w:p>
    <w:p w14:paraId="76667157" w14:textId="77777777" w:rsidR="000134FD" w:rsidRDefault="000134FD" w:rsidP="000134FD">
      <w:pPr>
        <w:jc w:val="both"/>
        <w:rPr>
          <w:rFonts w:cs="Arial"/>
          <w:szCs w:val="22"/>
        </w:rPr>
      </w:pPr>
    </w:p>
    <w:p w14:paraId="53170D84" w14:textId="77777777" w:rsidR="000134FD" w:rsidRPr="006E37E6" w:rsidRDefault="000134FD" w:rsidP="000134FD">
      <w:pPr>
        <w:jc w:val="both"/>
        <w:rPr>
          <w:rFonts w:cs="Arial"/>
          <w:szCs w:val="22"/>
        </w:rPr>
      </w:pPr>
    </w:p>
    <w:p w14:paraId="366E64FC" w14:textId="77777777" w:rsidR="000134FD" w:rsidRPr="006E37E6" w:rsidRDefault="000134FD" w:rsidP="000134FD">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4424DDD4" w14:textId="77777777" w:rsidR="000134FD" w:rsidRPr="006E37E6" w:rsidRDefault="000134FD" w:rsidP="000134FD">
      <w:pPr>
        <w:jc w:val="both"/>
        <w:rPr>
          <w:rFonts w:cs="Arial"/>
          <w:szCs w:val="22"/>
        </w:rPr>
      </w:pPr>
      <w:r>
        <w:rPr>
          <w:rFonts w:cs="Arial"/>
          <w:szCs w:val="22"/>
        </w:rPr>
        <w:t>Sallie</w:t>
      </w:r>
      <w:r w:rsidRPr="006E37E6">
        <w:rPr>
          <w:rFonts w:cs="Arial"/>
          <w:szCs w:val="22"/>
        </w:rPr>
        <w:t xml:space="preserve"> </w:t>
      </w:r>
      <w:r>
        <w:rPr>
          <w:rFonts w:cs="Arial"/>
          <w:szCs w:val="22"/>
        </w:rPr>
        <w:t>Tanner</w:t>
      </w:r>
      <w:r>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Pr>
          <w:rFonts w:cs="Arial"/>
          <w:szCs w:val="22"/>
        </w:rPr>
        <w:t>Tricia Pridemore</w:t>
      </w:r>
    </w:p>
    <w:p w14:paraId="555EF664" w14:textId="77777777" w:rsidR="000134FD" w:rsidRPr="006E37E6" w:rsidRDefault="000134FD" w:rsidP="000134FD">
      <w:pPr>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371F3524" w14:textId="77777777" w:rsidR="000134FD" w:rsidRPr="006E37E6" w:rsidRDefault="000134FD" w:rsidP="000134FD">
      <w:pPr>
        <w:jc w:val="both"/>
        <w:rPr>
          <w:rFonts w:cs="Arial"/>
          <w:szCs w:val="22"/>
        </w:rPr>
      </w:pPr>
    </w:p>
    <w:p w14:paraId="4346859D" w14:textId="77777777" w:rsidR="000134FD" w:rsidRPr="006E37E6" w:rsidRDefault="000134FD" w:rsidP="000134FD">
      <w:pPr>
        <w:jc w:val="both"/>
        <w:rPr>
          <w:rFonts w:cs="Arial"/>
          <w:szCs w:val="22"/>
        </w:rPr>
      </w:pPr>
    </w:p>
    <w:p w14:paraId="0380A238" w14:textId="77777777" w:rsidR="000134FD" w:rsidRPr="006E37E6" w:rsidRDefault="000134FD" w:rsidP="000134FD">
      <w:pPr>
        <w:jc w:val="both"/>
        <w:rPr>
          <w:rFonts w:cs="Arial"/>
          <w:szCs w:val="22"/>
        </w:rPr>
      </w:pPr>
    </w:p>
    <w:p w14:paraId="78DBEB13" w14:textId="77777777" w:rsidR="000134FD" w:rsidRPr="006E37E6" w:rsidRDefault="000134FD" w:rsidP="000134FD">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__________________________</w:t>
      </w:r>
    </w:p>
    <w:p w14:paraId="27D6229A" w14:textId="77777777" w:rsidR="000134FD" w:rsidRPr="006E37E6" w:rsidRDefault="000134FD" w:rsidP="000134FD">
      <w:pPr>
        <w:jc w:val="both"/>
        <w:rPr>
          <w:rFonts w:cs="Arial"/>
          <w:szCs w:val="22"/>
        </w:rPr>
      </w:pPr>
      <w:r w:rsidRPr="006E37E6">
        <w:rPr>
          <w:rFonts w:cs="Arial"/>
          <w:szCs w:val="22"/>
        </w:rPr>
        <w:t>Date</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Date</w:t>
      </w:r>
    </w:p>
    <w:p w14:paraId="5CFA3A98" w14:textId="77777777" w:rsidR="000134FD" w:rsidRPr="003F2763" w:rsidRDefault="000134FD" w:rsidP="000134FD">
      <w:pPr>
        <w:pStyle w:val="Heading1"/>
      </w:pPr>
    </w:p>
    <w:p w14:paraId="06A6D275" w14:textId="77777777" w:rsidR="000134FD" w:rsidRDefault="000134FD" w:rsidP="000134FD"/>
    <w:p w14:paraId="48E481EF" w14:textId="77777777" w:rsidR="000134FD" w:rsidRDefault="000134FD" w:rsidP="000134FD"/>
    <w:p w14:paraId="015986D8" w14:textId="77777777" w:rsidR="000134FD" w:rsidRDefault="000134FD"/>
    <w:sectPr w:rsidR="000134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7811" w14:textId="77777777" w:rsidR="00930D35" w:rsidRDefault="00930D35" w:rsidP="000134FD">
      <w:r>
        <w:separator/>
      </w:r>
    </w:p>
  </w:endnote>
  <w:endnote w:type="continuationSeparator" w:id="0">
    <w:p w14:paraId="1531D150" w14:textId="77777777" w:rsidR="00930D35" w:rsidRDefault="00930D35" w:rsidP="0001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45A7" w14:textId="77777777" w:rsidR="000134FD" w:rsidRDefault="000134FD" w:rsidP="000134FD">
    <w:pPr>
      <w:pStyle w:val="Footer"/>
      <w:jc w:val="center"/>
      <w:rPr>
        <w:sz w:val="18"/>
      </w:rPr>
    </w:pPr>
  </w:p>
  <w:p w14:paraId="71BBFACC" w14:textId="77777777" w:rsidR="000134FD" w:rsidRPr="00FE3E4C" w:rsidRDefault="000134FD" w:rsidP="000134FD">
    <w:pPr>
      <w:pStyle w:val="Footer"/>
      <w:jc w:val="center"/>
      <w:rPr>
        <w:sz w:val="20"/>
        <w:szCs w:val="20"/>
      </w:rPr>
    </w:pPr>
    <w:r w:rsidRPr="00FE3E4C">
      <w:rPr>
        <w:sz w:val="20"/>
        <w:szCs w:val="20"/>
      </w:rPr>
      <w:t>Docket No</w:t>
    </w:r>
    <w:r>
      <w:rPr>
        <w:sz w:val="20"/>
        <w:szCs w:val="20"/>
      </w:rPr>
      <w:t>s</w:t>
    </w:r>
    <w:r w:rsidRPr="00FE3E4C">
      <w:rPr>
        <w:sz w:val="20"/>
        <w:szCs w:val="20"/>
      </w:rPr>
      <w:t xml:space="preserve">. </w:t>
    </w:r>
    <w:r>
      <w:rPr>
        <w:sz w:val="20"/>
        <w:szCs w:val="20"/>
      </w:rPr>
      <w:t>4822, 16573, and 19279</w:t>
    </w:r>
  </w:p>
  <w:p w14:paraId="539149DC" w14:textId="0C95ACCC" w:rsidR="000134FD" w:rsidRPr="00FE3E4C" w:rsidRDefault="000134FD" w:rsidP="000134FD">
    <w:pPr>
      <w:pStyle w:val="BodyText"/>
      <w:jc w:val="center"/>
    </w:pPr>
    <w:r w:rsidRPr="00F55A41">
      <w:t xml:space="preserve">Order Approving </w:t>
    </w:r>
    <w:bookmarkStart w:id="0" w:name="_Hlk103677877"/>
    <w:r>
      <w:t xml:space="preserve">Qualifying Facility Interconnection </w:t>
    </w:r>
    <w:r w:rsidR="00912FF8">
      <w:t xml:space="preserve">Procedures and Interconnection </w:t>
    </w:r>
    <w:r>
      <w:t>Agreement Documents</w:t>
    </w:r>
    <w:bookmarkEnd w:id="0"/>
  </w:p>
  <w:p w14:paraId="07CB708A" w14:textId="399CF706" w:rsidR="000134FD" w:rsidRPr="00FE3E4C" w:rsidRDefault="000134FD" w:rsidP="000134FD">
    <w:pPr>
      <w:pStyle w:val="Footer"/>
      <w:jc w:val="center"/>
      <w:rPr>
        <w:sz w:val="20"/>
        <w:szCs w:val="20"/>
      </w:rPr>
    </w:pPr>
    <w:r w:rsidRPr="00FE3E4C">
      <w:rPr>
        <w:sz w:val="20"/>
        <w:szCs w:val="20"/>
      </w:rPr>
      <w:t xml:space="preserve">Page </w:t>
    </w:r>
    <w:r w:rsidRPr="00FE3E4C">
      <w:rPr>
        <w:sz w:val="20"/>
        <w:szCs w:val="20"/>
      </w:rPr>
      <w:fldChar w:fldCharType="begin"/>
    </w:r>
    <w:r w:rsidRPr="00FE3E4C">
      <w:rPr>
        <w:sz w:val="20"/>
        <w:szCs w:val="20"/>
      </w:rPr>
      <w:instrText xml:space="preserve"> PAGE </w:instrText>
    </w:r>
    <w:r w:rsidRPr="00FE3E4C">
      <w:rPr>
        <w:sz w:val="20"/>
        <w:szCs w:val="20"/>
      </w:rPr>
      <w:fldChar w:fldCharType="separate"/>
    </w:r>
    <w:r w:rsidR="001F1A2E">
      <w:rPr>
        <w:noProof/>
        <w:sz w:val="20"/>
        <w:szCs w:val="20"/>
      </w:rPr>
      <w:t>6</w:t>
    </w:r>
    <w:r w:rsidRPr="00FE3E4C">
      <w:rPr>
        <w:sz w:val="20"/>
        <w:szCs w:val="20"/>
      </w:rPr>
      <w:fldChar w:fldCharType="end"/>
    </w:r>
    <w:r w:rsidRPr="00FE3E4C">
      <w:rPr>
        <w:sz w:val="20"/>
        <w:szCs w:val="20"/>
      </w:rPr>
      <w:t xml:space="preserve"> of </w:t>
    </w:r>
    <w:r w:rsidRPr="00FE3E4C">
      <w:rPr>
        <w:sz w:val="20"/>
        <w:szCs w:val="20"/>
      </w:rPr>
      <w:fldChar w:fldCharType="begin"/>
    </w:r>
    <w:r w:rsidRPr="00FE3E4C">
      <w:rPr>
        <w:sz w:val="20"/>
        <w:szCs w:val="20"/>
      </w:rPr>
      <w:instrText xml:space="preserve"> NUMPAGES </w:instrText>
    </w:r>
    <w:r w:rsidRPr="00FE3E4C">
      <w:rPr>
        <w:sz w:val="20"/>
        <w:szCs w:val="20"/>
      </w:rPr>
      <w:fldChar w:fldCharType="separate"/>
    </w:r>
    <w:r w:rsidR="001F1A2E">
      <w:rPr>
        <w:noProof/>
        <w:sz w:val="20"/>
        <w:szCs w:val="20"/>
      </w:rPr>
      <w:t>6</w:t>
    </w:r>
    <w:r w:rsidRPr="00FE3E4C">
      <w:rPr>
        <w:sz w:val="20"/>
        <w:szCs w:val="20"/>
      </w:rPr>
      <w:fldChar w:fldCharType="end"/>
    </w:r>
  </w:p>
  <w:p w14:paraId="22A91C07" w14:textId="77777777" w:rsidR="000134FD" w:rsidRDefault="000134FD" w:rsidP="000134FD">
    <w:pPr>
      <w:pStyle w:val="Footer"/>
    </w:pPr>
  </w:p>
  <w:p w14:paraId="4CA4ED5E" w14:textId="77777777" w:rsidR="000134FD" w:rsidRDefault="000134FD" w:rsidP="000134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F3D6" w14:textId="77777777" w:rsidR="00930D35" w:rsidRDefault="00930D35" w:rsidP="000134FD">
      <w:r>
        <w:separator/>
      </w:r>
    </w:p>
  </w:footnote>
  <w:footnote w:type="continuationSeparator" w:id="0">
    <w:p w14:paraId="11FCEC5E" w14:textId="77777777" w:rsidR="00930D35" w:rsidRDefault="00930D35" w:rsidP="00013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32E3F"/>
    <w:multiLevelType w:val="hybridMultilevel"/>
    <w:tmpl w:val="30CA2DDA"/>
    <w:lvl w:ilvl="0" w:tplc="911A11C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60249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120"/>
    <w:rsid w:val="000134FD"/>
    <w:rsid w:val="000376FB"/>
    <w:rsid w:val="00061FD6"/>
    <w:rsid w:val="000A47E0"/>
    <w:rsid w:val="00127FCD"/>
    <w:rsid w:val="001A0C06"/>
    <w:rsid w:val="001C3BAE"/>
    <w:rsid w:val="001F1A2E"/>
    <w:rsid w:val="00211757"/>
    <w:rsid w:val="0028509D"/>
    <w:rsid w:val="00312868"/>
    <w:rsid w:val="00334955"/>
    <w:rsid w:val="00366719"/>
    <w:rsid w:val="003718E3"/>
    <w:rsid w:val="00377CF7"/>
    <w:rsid w:val="00406DFA"/>
    <w:rsid w:val="00421A4F"/>
    <w:rsid w:val="00440B99"/>
    <w:rsid w:val="00480CC8"/>
    <w:rsid w:val="004875CE"/>
    <w:rsid w:val="004D1676"/>
    <w:rsid w:val="00517BE8"/>
    <w:rsid w:val="005356B9"/>
    <w:rsid w:val="00602064"/>
    <w:rsid w:val="006336C3"/>
    <w:rsid w:val="00643CE4"/>
    <w:rsid w:val="00660B9D"/>
    <w:rsid w:val="0084708B"/>
    <w:rsid w:val="00896D02"/>
    <w:rsid w:val="008F3A61"/>
    <w:rsid w:val="00912FF8"/>
    <w:rsid w:val="00930D35"/>
    <w:rsid w:val="00943F46"/>
    <w:rsid w:val="00945814"/>
    <w:rsid w:val="00947D84"/>
    <w:rsid w:val="00964768"/>
    <w:rsid w:val="00974AFC"/>
    <w:rsid w:val="00980B42"/>
    <w:rsid w:val="009A11E3"/>
    <w:rsid w:val="009E48FD"/>
    <w:rsid w:val="009F3120"/>
    <w:rsid w:val="009F548F"/>
    <w:rsid w:val="00AA1684"/>
    <w:rsid w:val="00AB2DEF"/>
    <w:rsid w:val="00AC72FF"/>
    <w:rsid w:val="00AF49E7"/>
    <w:rsid w:val="00B105CE"/>
    <w:rsid w:val="00B17E5A"/>
    <w:rsid w:val="00B354DB"/>
    <w:rsid w:val="00B80806"/>
    <w:rsid w:val="00B94429"/>
    <w:rsid w:val="00BA710E"/>
    <w:rsid w:val="00BF3560"/>
    <w:rsid w:val="00C51120"/>
    <w:rsid w:val="00C8417F"/>
    <w:rsid w:val="00CE2F4B"/>
    <w:rsid w:val="00D5228E"/>
    <w:rsid w:val="00E328CC"/>
    <w:rsid w:val="00E90E34"/>
    <w:rsid w:val="00E979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1064C"/>
  <w15:chartTrackingRefBased/>
  <w15:docId w15:val="{C2C1B059-2756-46C5-8E58-D789DE63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F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0134FD"/>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34FD"/>
    <w:rPr>
      <w:rFonts w:ascii="Times New Roman" w:eastAsia="Times New Roman" w:hAnsi="Times New Roman" w:cs="Times New Roman"/>
      <w:sz w:val="24"/>
      <w:szCs w:val="24"/>
      <w:lang w:eastAsia="en-US"/>
    </w:rPr>
  </w:style>
  <w:style w:type="character" w:styleId="Strong">
    <w:name w:val="Strong"/>
    <w:qFormat/>
    <w:rsid w:val="000134FD"/>
    <w:rPr>
      <w:b/>
      <w:bCs w:val="0"/>
    </w:rPr>
  </w:style>
  <w:style w:type="paragraph" w:styleId="Title">
    <w:name w:val="Title"/>
    <w:basedOn w:val="Normal"/>
    <w:link w:val="TitleChar"/>
    <w:qFormat/>
    <w:rsid w:val="000134FD"/>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0134FD"/>
    <w:rPr>
      <w:rFonts w:ascii="Times New Roman" w:eastAsia="Times New Roman" w:hAnsi="Times New Roman" w:cs="Times New Roman"/>
      <w:sz w:val="24"/>
      <w:szCs w:val="24"/>
      <w:lang w:eastAsia="en-US"/>
    </w:rPr>
  </w:style>
  <w:style w:type="paragraph" w:styleId="BodyText">
    <w:name w:val="Body Text"/>
    <w:basedOn w:val="Normal"/>
    <w:link w:val="BodyTextChar"/>
    <w:rsid w:val="000134FD"/>
    <w:pPr>
      <w:jc w:val="both"/>
    </w:pPr>
    <w:rPr>
      <w:sz w:val="20"/>
      <w:szCs w:val="20"/>
    </w:rPr>
  </w:style>
  <w:style w:type="character" w:customStyle="1" w:styleId="BodyTextChar">
    <w:name w:val="Body Text Char"/>
    <w:basedOn w:val="DefaultParagraphFont"/>
    <w:link w:val="BodyText"/>
    <w:rsid w:val="000134FD"/>
    <w:rPr>
      <w:rFonts w:ascii="Times New Roman" w:eastAsia="Times New Roman" w:hAnsi="Times New Roman" w:cs="Times New Roman"/>
      <w:sz w:val="20"/>
      <w:szCs w:val="20"/>
      <w:lang w:eastAsia="en-US"/>
    </w:rPr>
  </w:style>
  <w:style w:type="paragraph" w:styleId="Subtitle">
    <w:name w:val="Subtitle"/>
    <w:basedOn w:val="Normal"/>
    <w:link w:val="SubtitleChar"/>
    <w:qFormat/>
    <w:rsid w:val="000134FD"/>
    <w:pPr>
      <w:ind w:left="1260" w:hanging="1260"/>
    </w:pPr>
    <w:rPr>
      <w:rFonts w:ascii="Cambria" w:hAnsi="Cambria"/>
    </w:rPr>
  </w:style>
  <w:style w:type="character" w:customStyle="1" w:styleId="SubtitleChar">
    <w:name w:val="Subtitle Char"/>
    <w:basedOn w:val="DefaultParagraphFont"/>
    <w:link w:val="Subtitle"/>
    <w:rsid w:val="000134FD"/>
    <w:rPr>
      <w:rFonts w:ascii="Cambria" w:eastAsia="Times New Roman" w:hAnsi="Cambria" w:cs="Times New Roman"/>
      <w:sz w:val="24"/>
      <w:szCs w:val="24"/>
      <w:lang w:eastAsia="en-US"/>
    </w:rPr>
  </w:style>
  <w:style w:type="paragraph" w:styleId="Header">
    <w:name w:val="header"/>
    <w:basedOn w:val="Normal"/>
    <w:link w:val="HeaderChar"/>
    <w:uiPriority w:val="99"/>
    <w:unhideWhenUsed/>
    <w:rsid w:val="000134FD"/>
    <w:pPr>
      <w:tabs>
        <w:tab w:val="center" w:pos="4680"/>
        <w:tab w:val="right" w:pos="9360"/>
      </w:tabs>
    </w:pPr>
  </w:style>
  <w:style w:type="character" w:customStyle="1" w:styleId="HeaderChar">
    <w:name w:val="Header Char"/>
    <w:basedOn w:val="DefaultParagraphFont"/>
    <w:link w:val="Header"/>
    <w:uiPriority w:val="99"/>
    <w:rsid w:val="000134FD"/>
    <w:rPr>
      <w:rFonts w:ascii="Times New Roman" w:eastAsia="Times New Roman" w:hAnsi="Times New Roman" w:cs="Times New Roman"/>
      <w:sz w:val="24"/>
      <w:szCs w:val="24"/>
      <w:lang w:eastAsia="en-US"/>
    </w:rPr>
  </w:style>
  <w:style w:type="paragraph" w:styleId="Footer">
    <w:name w:val="footer"/>
    <w:basedOn w:val="Normal"/>
    <w:link w:val="FooterChar"/>
    <w:unhideWhenUsed/>
    <w:rsid w:val="000134FD"/>
    <w:pPr>
      <w:tabs>
        <w:tab w:val="center" w:pos="4680"/>
        <w:tab w:val="right" w:pos="9360"/>
      </w:tabs>
    </w:pPr>
  </w:style>
  <w:style w:type="character" w:customStyle="1" w:styleId="FooterChar">
    <w:name w:val="Footer Char"/>
    <w:basedOn w:val="DefaultParagraphFont"/>
    <w:link w:val="Footer"/>
    <w:rsid w:val="000134F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BA710E"/>
    <w:pPr>
      <w:ind w:left="720"/>
      <w:contextualSpacing/>
    </w:pPr>
  </w:style>
  <w:style w:type="paragraph" w:styleId="Revision">
    <w:name w:val="Revision"/>
    <w:hidden/>
    <w:uiPriority w:val="99"/>
    <w:semiHidden/>
    <w:rsid w:val="00660B9D"/>
    <w:pPr>
      <w:spacing w:after="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F1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A2E"/>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1F1A2E"/>
    <w:rPr>
      <w:sz w:val="16"/>
      <w:szCs w:val="16"/>
    </w:rPr>
  </w:style>
  <w:style w:type="paragraph" w:styleId="CommentText">
    <w:name w:val="annotation text"/>
    <w:basedOn w:val="Normal"/>
    <w:link w:val="CommentTextChar"/>
    <w:uiPriority w:val="99"/>
    <w:semiHidden/>
    <w:unhideWhenUsed/>
    <w:rsid w:val="001F1A2E"/>
    <w:rPr>
      <w:sz w:val="20"/>
      <w:szCs w:val="20"/>
    </w:rPr>
  </w:style>
  <w:style w:type="character" w:customStyle="1" w:styleId="CommentTextChar">
    <w:name w:val="Comment Text Char"/>
    <w:basedOn w:val="DefaultParagraphFont"/>
    <w:link w:val="CommentText"/>
    <w:uiPriority w:val="99"/>
    <w:semiHidden/>
    <w:rsid w:val="001F1A2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F1A2E"/>
    <w:rPr>
      <w:b/>
      <w:bCs/>
    </w:rPr>
  </w:style>
  <w:style w:type="character" w:customStyle="1" w:styleId="CommentSubjectChar">
    <w:name w:val="Comment Subject Char"/>
    <w:basedOn w:val="CommentTextChar"/>
    <w:link w:val="CommentSubject"/>
    <w:uiPriority w:val="99"/>
    <w:semiHidden/>
    <w:rsid w:val="001F1A2E"/>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16152">
      <w:bodyDiv w:val="1"/>
      <w:marLeft w:val="0"/>
      <w:marRight w:val="0"/>
      <w:marTop w:val="0"/>
      <w:marBottom w:val="0"/>
      <w:divBdr>
        <w:top w:val="none" w:sz="0" w:space="0" w:color="auto"/>
        <w:left w:val="none" w:sz="0" w:space="0" w:color="auto"/>
        <w:bottom w:val="none" w:sz="0" w:space="0" w:color="auto"/>
        <w:right w:val="none" w:sz="0" w:space="0" w:color="auto"/>
      </w:divBdr>
    </w:div>
    <w:div w:id="501775770">
      <w:bodyDiv w:val="1"/>
      <w:marLeft w:val="0"/>
      <w:marRight w:val="0"/>
      <w:marTop w:val="0"/>
      <w:marBottom w:val="0"/>
      <w:divBdr>
        <w:top w:val="none" w:sz="0" w:space="0" w:color="auto"/>
        <w:left w:val="none" w:sz="0" w:space="0" w:color="auto"/>
        <w:bottom w:val="none" w:sz="0" w:space="0" w:color="auto"/>
        <w:right w:val="none" w:sz="0" w:space="0" w:color="auto"/>
      </w:divBdr>
      <w:divsChild>
        <w:div w:id="1590386029">
          <w:marLeft w:val="0"/>
          <w:marRight w:val="0"/>
          <w:marTop w:val="0"/>
          <w:marBottom w:val="0"/>
          <w:divBdr>
            <w:top w:val="none" w:sz="0" w:space="0" w:color="auto"/>
            <w:left w:val="none" w:sz="0" w:space="0" w:color="auto"/>
            <w:bottom w:val="none" w:sz="0" w:space="0" w:color="auto"/>
            <w:right w:val="none" w:sz="0" w:space="0" w:color="auto"/>
          </w:divBdr>
        </w:div>
        <w:div w:id="1158500605">
          <w:marLeft w:val="0"/>
          <w:marRight w:val="0"/>
          <w:marTop w:val="0"/>
          <w:marBottom w:val="0"/>
          <w:divBdr>
            <w:top w:val="none" w:sz="0" w:space="0" w:color="auto"/>
            <w:left w:val="none" w:sz="0" w:space="0" w:color="auto"/>
            <w:bottom w:val="none" w:sz="0" w:space="0" w:color="auto"/>
            <w:right w:val="none" w:sz="0" w:space="0" w:color="auto"/>
          </w:divBdr>
        </w:div>
        <w:div w:id="624047088">
          <w:marLeft w:val="0"/>
          <w:marRight w:val="0"/>
          <w:marTop w:val="0"/>
          <w:marBottom w:val="0"/>
          <w:divBdr>
            <w:top w:val="none" w:sz="0" w:space="0" w:color="auto"/>
            <w:left w:val="none" w:sz="0" w:space="0" w:color="auto"/>
            <w:bottom w:val="none" w:sz="0" w:space="0" w:color="auto"/>
            <w:right w:val="none" w:sz="0" w:space="0" w:color="auto"/>
          </w:divBdr>
        </w:div>
        <w:div w:id="101151287">
          <w:marLeft w:val="0"/>
          <w:marRight w:val="0"/>
          <w:marTop w:val="0"/>
          <w:marBottom w:val="0"/>
          <w:divBdr>
            <w:top w:val="none" w:sz="0" w:space="0" w:color="auto"/>
            <w:left w:val="none" w:sz="0" w:space="0" w:color="auto"/>
            <w:bottom w:val="none" w:sz="0" w:space="0" w:color="auto"/>
            <w:right w:val="none" w:sz="0" w:space="0" w:color="auto"/>
          </w:divBdr>
        </w:div>
        <w:div w:id="1496997663">
          <w:marLeft w:val="720"/>
          <w:marRight w:val="0"/>
          <w:marTop w:val="0"/>
          <w:marBottom w:val="0"/>
          <w:divBdr>
            <w:top w:val="none" w:sz="0" w:space="0" w:color="auto"/>
            <w:left w:val="none" w:sz="0" w:space="0" w:color="auto"/>
            <w:bottom w:val="none" w:sz="0" w:space="0" w:color="auto"/>
            <w:right w:val="none" w:sz="0" w:space="0" w:color="auto"/>
          </w:divBdr>
        </w:div>
        <w:div w:id="914047221">
          <w:marLeft w:val="720"/>
          <w:marRight w:val="0"/>
          <w:marTop w:val="0"/>
          <w:marBottom w:val="0"/>
          <w:divBdr>
            <w:top w:val="none" w:sz="0" w:space="0" w:color="auto"/>
            <w:left w:val="none" w:sz="0" w:space="0" w:color="auto"/>
            <w:bottom w:val="none" w:sz="0" w:space="0" w:color="auto"/>
            <w:right w:val="none" w:sz="0" w:space="0" w:color="auto"/>
          </w:divBdr>
        </w:div>
        <w:div w:id="405419474">
          <w:marLeft w:val="0"/>
          <w:marRight w:val="0"/>
          <w:marTop w:val="0"/>
          <w:marBottom w:val="0"/>
          <w:divBdr>
            <w:top w:val="none" w:sz="0" w:space="0" w:color="auto"/>
            <w:left w:val="none" w:sz="0" w:space="0" w:color="auto"/>
            <w:bottom w:val="none" w:sz="0" w:space="0" w:color="auto"/>
            <w:right w:val="none" w:sz="0" w:space="0" w:color="auto"/>
          </w:divBdr>
        </w:div>
        <w:div w:id="1103956647">
          <w:marLeft w:val="1440"/>
          <w:marRight w:val="0"/>
          <w:marTop w:val="0"/>
          <w:marBottom w:val="0"/>
          <w:divBdr>
            <w:top w:val="none" w:sz="0" w:space="0" w:color="auto"/>
            <w:left w:val="none" w:sz="0" w:space="0" w:color="auto"/>
            <w:bottom w:val="none" w:sz="0" w:space="0" w:color="auto"/>
            <w:right w:val="none" w:sz="0" w:space="0" w:color="auto"/>
          </w:divBdr>
        </w:div>
        <w:div w:id="901909897">
          <w:marLeft w:val="720"/>
          <w:marRight w:val="0"/>
          <w:marTop w:val="0"/>
          <w:marBottom w:val="0"/>
          <w:divBdr>
            <w:top w:val="none" w:sz="0" w:space="0" w:color="auto"/>
            <w:left w:val="none" w:sz="0" w:space="0" w:color="auto"/>
            <w:bottom w:val="none" w:sz="0" w:space="0" w:color="auto"/>
            <w:right w:val="none" w:sz="0" w:space="0" w:color="auto"/>
          </w:divBdr>
        </w:div>
        <w:div w:id="1090009523">
          <w:marLeft w:val="0"/>
          <w:marRight w:val="0"/>
          <w:marTop w:val="0"/>
          <w:marBottom w:val="0"/>
          <w:divBdr>
            <w:top w:val="none" w:sz="0" w:space="0" w:color="auto"/>
            <w:left w:val="none" w:sz="0" w:space="0" w:color="auto"/>
            <w:bottom w:val="none" w:sz="0" w:space="0" w:color="auto"/>
            <w:right w:val="none" w:sz="0" w:space="0" w:color="auto"/>
          </w:divBdr>
        </w:div>
      </w:divsChild>
    </w:div>
    <w:div w:id="701397692">
      <w:bodyDiv w:val="1"/>
      <w:marLeft w:val="0"/>
      <w:marRight w:val="0"/>
      <w:marTop w:val="0"/>
      <w:marBottom w:val="0"/>
      <w:divBdr>
        <w:top w:val="none" w:sz="0" w:space="0" w:color="auto"/>
        <w:left w:val="none" w:sz="0" w:space="0" w:color="auto"/>
        <w:bottom w:val="none" w:sz="0" w:space="0" w:color="auto"/>
        <w:right w:val="none" w:sz="0" w:space="0" w:color="auto"/>
      </w:divBdr>
    </w:div>
    <w:div w:id="77306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Kaduk;jamie barber</dc:creator>
  <cp:keywords/>
  <dc:description/>
  <cp:lastModifiedBy>Jamie Barber</cp:lastModifiedBy>
  <cp:revision>2</cp:revision>
  <dcterms:created xsi:type="dcterms:W3CDTF">2022-05-20T17:35:00Z</dcterms:created>
  <dcterms:modified xsi:type="dcterms:W3CDTF">2022-05-20T17:35:00Z</dcterms:modified>
</cp:coreProperties>
</file>